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B7B" w:rsidRPr="00C0744A" w:rsidRDefault="00D0600C" w:rsidP="008D0D96">
      <w:pPr>
        <w:pStyle w:val="Title"/>
        <w:ind w:right="260"/>
        <w:jc w:val="left"/>
        <w:rPr>
          <w:noProof/>
          <w:sz w:val="32"/>
          <w:szCs w:val="32"/>
          <w:lang w:eastAsia="en-GB"/>
        </w:rPr>
      </w:pPr>
      <w:r>
        <w:rPr>
          <w:noProof/>
          <w:lang w:eastAsia="en-GB"/>
        </w:rPr>
        <w:drawing>
          <wp:anchor distT="0" distB="0" distL="114300" distR="114300" simplePos="0" relativeHeight="251659264" behindDoc="0" locked="0" layoutInCell="1" allowOverlap="1" wp14:anchorId="6AC7F59D" wp14:editId="14268757">
            <wp:simplePos x="0" y="0"/>
            <wp:positionH relativeFrom="column">
              <wp:posOffset>5054803</wp:posOffset>
            </wp:positionH>
            <wp:positionV relativeFrom="paragraph">
              <wp:posOffset>-557403</wp:posOffset>
            </wp:positionV>
            <wp:extent cx="1637665" cy="964565"/>
            <wp:effectExtent l="0" t="0" r="635" b="698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way LOGO 2017.jpg"/>
                    <pic:cNvPicPr/>
                  </pic:nvPicPr>
                  <pic:blipFill>
                    <a:blip r:embed="rId1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14:sizeRelH relativeFrom="margin">
              <wp14:pctWidth>0</wp14:pctWidth>
            </wp14:sizeRelH>
            <wp14:sizeRelV relativeFrom="margin">
              <wp14:pctHeight>0</wp14:pctHeight>
            </wp14:sizeRelV>
          </wp:anchor>
        </w:drawing>
      </w:r>
      <w:r w:rsidR="004C5B7B" w:rsidRPr="00C0744A">
        <w:rPr>
          <w:noProof/>
          <w:sz w:val="32"/>
          <w:szCs w:val="32"/>
          <w:lang w:eastAsia="en-GB"/>
        </w:rPr>
        <w:t xml:space="preserve">Meeting of </w:t>
      </w:r>
      <w:r w:rsidR="004C5B7B" w:rsidRPr="00AE0CC3">
        <w:rPr>
          <w:noProof/>
          <w:sz w:val="32"/>
          <w:szCs w:val="32"/>
          <w:lang w:eastAsia="en-GB"/>
        </w:rPr>
        <w:t xml:space="preserve">the </w:t>
      </w:r>
      <w:r w:rsidR="00AB4087">
        <w:rPr>
          <w:noProof/>
          <w:sz w:val="32"/>
          <w:szCs w:val="32"/>
          <w:lang w:eastAsia="en-GB"/>
        </w:rPr>
        <w:t>People</w:t>
      </w:r>
      <w:r w:rsidR="004C5B7B">
        <w:rPr>
          <w:noProof/>
          <w:sz w:val="32"/>
          <w:szCs w:val="32"/>
          <w:lang w:eastAsia="en-GB"/>
        </w:rPr>
        <w:t xml:space="preserve"> Committee/Trust Board</w:t>
      </w:r>
      <w:r w:rsidR="004C5B7B" w:rsidRPr="00C0744A">
        <w:rPr>
          <w:noProof/>
          <w:sz w:val="32"/>
          <w:szCs w:val="32"/>
          <w:lang w:eastAsia="en-GB"/>
        </w:rPr>
        <w:t xml:space="preserve">  </w:t>
      </w:r>
    </w:p>
    <w:p w:rsidR="004C5B7B" w:rsidRDefault="008D0D96" w:rsidP="008D0D96">
      <w:pPr>
        <w:pStyle w:val="Title"/>
        <w:ind w:right="260"/>
        <w:jc w:val="left"/>
        <w:rPr>
          <w:noProof/>
          <w:sz w:val="32"/>
          <w:szCs w:val="32"/>
          <w:lang w:eastAsia="en-GB"/>
        </w:rPr>
      </w:pPr>
      <w:sdt>
        <w:sdtPr>
          <w:rPr>
            <w:noProof/>
            <w:sz w:val="32"/>
            <w:szCs w:val="32"/>
            <w:lang w:eastAsia="en-GB"/>
          </w:rPr>
          <w:id w:val="800425157"/>
          <w:placeholder>
            <w:docPart w:val="AC045444EE4E48FDA0242752427E9419"/>
          </w:placeholder>
          <w:date w:fullDate="2023-05-25T00:00:00Z">
            <w:dateFormat w:val="dddd, dd MMMM yyyy"/>
            <w:lid w:val="en-GB"/>
            <w:storeMappedDataAs w:val="dateTime"/>
            <w:calendar w:val="gregorian"/>
          </w:date>
        </w:sdtPr>
        <w:sdtEndPr/>
        <w:sdtContent>
          <w:r w:rsidR="006F468A">
            <w:rPr>
              <w:noProof/>
              <w:sz w:val="32"/>
              <w:szCs w:val="32"/>
              <w:lang w:eastAsia="en-GB"/>
            </w:rPr>
            <w:t>Thursday, 25 May 2023</w:t>
          </w:r>
        </w:sdtContent>
      </w:sdt>
    </w:p>
    <w:p w:rsidR="00D0600C" w:rsidRDefault="00D0600C" w:rsidP="008D0D96">
      <w:pPr>
        <w:pStyle w:val="Title"/>
        <w:ind w:right="260"/>
        <w:jc w:val="left"/>
        <w:rPr>
          <w:color w:val="1F497D" w:themeColor="text2"/>
          <w:sz w:val="40"/>
          <w:szCs w:val="40"/>
        </w:rPr>
      </w:pPr>
    </w:p>
    <w:p w:rsidR="008325C6" w:rsidRPr="008325C6" w:rsidRDefault="008325C6" w:rsidP="008D0D96">
      <w:pPr>
        <w:ind w:right="260"/>
        <w:rPr>
          <w:rFonts w:cs="Arial"/>
          <w:b/>
          <w:sz w:val="28"/>
        </w:rPr>
      </w:pPr>
      <w:r w:rsidRPr="008325C6">
        <w:rPr>
          <w:rFonts w:cs="Arial"/>
          <w:b/>
          <w:szCs w:val="22"/>
        </w:rPr>
        <w:t>Workforce Race Equality Standard and Workforce Disability Standard Data Report 2023</w:t>
      </w:r>
    </w:p>
    <w:p w:rsidR="008325C6" w:rsidRPr="008325C6" w:rsidRDefault="008325C6" w:rsidP="008D0D96">
      <w:pPr>
        <w:ind w:right="260"/>
        <w:rPr>
          <w:rFonts w:cs="Arial"/>
          <w:sz w:val="22"/>
          <w:szCs w:val="22"/>
        </w:rPr>
      </w:pPr>
    </w:p>
    <w:p w:rsidR="008325C6" w:rsidRPr="008325C6" w:rsidRDefault="008325C6" w:rsidP="008D0D96">
      <w:pPr>
        <w:tabs>
          <w:tab w:val="left" w:pos="2835"/>
        </w:tabs>
        <w:ind w:right="260"/>
        <w:rPr>
          <w:rFonts w:cs="Arial"/>
          <w:szCs w:val="24"/>
        </w:rPr>
      </w:pPr>
      <w:r w:rsidRPr="008325C6">
        <w:rPr>
          <w:rFonts w:cs="Arial"/>
          <w:szCs w:val="24"/>
        </w:rPr>
        <w:t>Report Author</w:t>
      </w:r>
      <w:r w:rsidRPr="008325C6">
        <w:rPr>
          <w:rFonts w:cs="Arial"/>
          <w:szCs w:val="24"/>
        </w:rPr>
        <w:tab/>
        <w:t>Alister McClure, Head of Equality and Inclusion</w:t>
      </w:r>
    </w:p>
    <w:p w:rsidR="008325C6" w:rsidRPr="008325C6" w:rsidRDefault="008325C6" w:rsidP="008D0D96">
      <w:pPr>
        <w:tabs>
          <w:tab w:val="left" w:pos="1134"/>
          <w:tab w:val="left" w:pos="2835"/>
        </w:tabs>
        <w:ind w:right="260"/>
        <w:rPr>
          <w:rFonts w:cs="Arial"/>
          <w:szCs w:val="24"/>
        </w:rPr>
      </w:pPr>
      <w:r w:rsidRPr="008325C6">
        <w:rPr>
          <w:rFonts w:cs="Arial"/>
          <w:szCs w:val="24"/>
        </w:rPr>
        <w:t>Lead Executive Director</w:t>
      </w:r>
      <w:r w:rsidRPr="008325C6">
        <w:rPr>
          <w:rFonts w:cs="Arial"/>
          <w:szCs w:val="24"/>
        </w:rPr>
        <w:tab/>
        <w:t>Leon Hinton, Chief People Officer</w:t>
      </w:r>
    </w:p>
    <w:p w:rsidR="008325C6" w:rsidRPr="008325C6" w:rsidRDefault="008325C6" w:rsidP="008D0D96">
      <w:pPr>
        <w:tabs>
          <w:tab w:val="left" w:pos="1134"/>
          <w:tab w:val="left" w:pos="2835"/>
        </w:tabs>
        <w:ind w:right="260"/>
        <w:rPr>
          <w:rFonts w:cs="Arial"/>
          <w:szCs w:val="24"/>
        </w:rPr>
      </w:pPr>
    </w:p>
    <w:p w:rsidR="008325C6" w:rsidRPr="008325C6" w:rsidRDefault="008325C6" w:rsidP="008D0D96">
      <w:pPr>
        <w:tabs>
          <w:tab w:val="left" w:pos="2835"/>
        </w:tabs>
        <w:ind w:right="260"/>
        <w:rPr>
          <w:rFonts w:cs="Arial"/>
          <w:szCs w:val="24"/>
          <w:u w:val="single"/>
        </w:rPr>
      </w:pPr>
      <w:r w:rsidRPr="008325C6">
        <w:rPr>
          <w:rFonts w:cs="Arial"/>
          <w:szCs w:val="24"/>
          <w:u w:val="single"/>
        </w:rPr>
        <w:t>Executive Summary</w:t>
      </w:r>
    </w:p>
    <w:p w:rsidR="008325C6" w:rsidRPr="008325C6" w:rsidRDefault="008325C6" w:rsidP="008D0D96">
      <w:pPr>
        <w:numPr>
          <w:ilvl w:val="1"/>
          <w:numId w:val="1"/>
        </w:numPr>
        <w:spacing w:after="120" w:line="276" w:lineRule="auto"/>
        <w:ind w:right="260"/>
        <w:jc w:val="both"/>
        <w:rPr>
          <w:rFonts w:cs="Arial"/>
          <w:szCs w:val="24"/>
        </w:rPr>
      </w:pPr>
      <w:r w:rsidRPr="008325C6">
        <w:rPr>
          <w:rFonts w:cs="Arial"/>
          <w:szCs w:val="24"/>
        </w:rPr>
        <w:t>This is report on the WDES and WRES data for 2023.  Appendices 1 and 2 set out a narrative on the WRES and WDES data respectively. The data itself will be published via the NHS Data Collections portal; and a collections spreadsheet is attached for both the WRES and WDES</w:t>
      </w:r>
    </w:p>
    <w:p w:rsidR="008325C6" w:rsidRPr="008325C6" w:rsidRDefault="008325C6" w:rsidP="008D0D96">
      <w:pPr>
        <w:numPr>
          <w:ilvl w:val="1"/>
          <w:numId w:val="1"/>
        </w:numPr>
        <w:spacing w:after="120" w:line="276" w:lineRule="auto"/>
        <w:ind w:right="260"/>
        <w:jc w:val="both"/>
        <w:rPr>
          <w:rFonts w:cs="Arial"/>
          <w:szCs w:val="24"/>
        </w:rPr>
      </w:pPr>
      <w:r w:rsidRPr="008325C6">
        <w:rPr>
          <w:rFonts w:cs="Arial"/>
          <w:szCs w:val="24"/>
        </w:rPr>
        <w:t>Data relating to the Annual Staff Survey 2022 was shared at the last meeting of the Equality and Inclusion Steering Group, which demonstrated little difference from the previous year. Performance on the other quantifiable metrics has improved for both the WRES and the WDES.</w:t>
      </w:r>
    </w:p>
    <w:p w:rsidR="008325C6" w:rsidRPr="008325C6" w:rsidRDefault="008325C6" w:rsidP="008D0D96">
      <w:pPr>
        <w:numPr>
          <w:ilvl w:val="1"/>
          <w:numId w:val="1"/>
        </w:numPr>
        <w:spacing w:after="120" w:line="276" w:lineRule="auto"/>
        <w:ind w:right="260"/>
        <w:jc w:val="both"/>
        <w:rPr>
          <w:rFonts w:cs="Arial"/>
          <w:szCs w:val="24"/>
        </w:rPr>
      </w:pPr>
      <w:r w:rsidRPr="008325C6">
        <w:rPr>
          <w:rFonts w:cs="Arial"/>
          <w:szCs w:val="24"/>
        </w:rPr>
        <w:t>The WRES and WDES data must be published by 30 May 2023, and the action plan(s) published by 30 October 2023.  Further analysis of the workforce data will be brought to the Equality Steering Group (in June) and the Action Plan will be brought to this Steering Group and the People Committee later in the year.</w:t>
      </w:r>
    </w:p>
    <w:p w:rsidR="008325C6" w:rsidRDefault="008325C6" w:rsidP="008D0D96">
      <w:pPr>
        <w:ind w:right="260"/>
        <w:rPr>
          <w:rFonts w:cs="Arial"/>
          <w:sz w:val="22"/>
          <w:szCs w:val="22"/>
        </w:rPr>
      </w:pPr>
    </w:p>
    <w:p w:rsidR="008325C6" w:rsidRPr="008325C6" w:rsidRDefault="008325C6" w:rsidP="008D0D96">
      <w:pPr>
        <w:ind w:right="260"/>
        <w:rPr>
          <w:rFonts w:cs="Arial"/>
          <w:sz w:val="22"/>
          <w:szCs w:val="22"/>
          <w:u w:val="single"/>
        </w:rPr>
      </w:pPr>
      <w:r w:rsidRPr="008325C6">
        <w:rPr>
          <w:rFonts w:cs="Arial"/>
          <w:sz w:val="22"/>
          <w:szCs w:val="22"/>
          <w:u w:val="single"/>
        </w:rPr>
        <w:t>Recommendation</w:t>
      </w:r>
    </w:p>
    <w:p w:rsidR="008325C6" w:rsidRDefault="008325C6" w:rsidP="008D0D96">
      <w:pPr>
        <w:ind w:right="260"/>
        <w:rPr>
          <w:rFonts w:cs="Arial"/>
          <w:sz w:val="22"/>
          <w:szCs w:val="22"/>
        </w:rPr>
      </w:pPr>
    </w:p>
    <w:p w:rsidR="008325C6" w:rsidRDefault="008325C6" w:rsidP="008D0D96">
      <w:pPr>
        <w:ind w:right="260"/>
        <w:rPr>
          <w:rFonts w:cs="Arial"/>
          <w:sz w:val="22"/>
          <w:szCs w:val="22"/>
        </w:rPr>
      </w:pPr>
      <w:r>
        <w:rPr>
          <w:rFonts w:cs="Arial"/>
          <w:sz w:val="22"/>
          <w:szCs w:val="22"/>
        </w:rPr>
        <w:t>The Committee is asked to note the data and approve its publication, which must be by 31 May 2023</w:t>
      </w:r>
    </w:p>
    <w:p w:rsidR="008325C6" w:rsidRDefault="008325C6" w:rsidP="008D0D96">
      <w:pPr>
        <w:ind w:right="260"/>
        <w:rPr>
          <w:rFonts w:cs="Arial"/>
          <w:sz w:val="22"/>
          <w:szCs w:val="22"/>
        </w:rPr>
      </w:pPr>
    </w:p>
    <w:p w:rsidR="008325C6" w:rsidRPr="008325C6" w:rsidRDefault="008325C6" w:rsidP="008D0D96">
      <w:pPr>
        <w:ind w:right="260"/>
        <w:rPr>
          <w:rFonts w:cs="Arial"/>
          <w:sz w:val="22"/>
          <w:szCs w:val="22"/>
          <w:u w:val="single"/>
        </w:rPr>
      </w:pPr>
      <w:r w:rsidRPr="008325C6">
        <w:rPr>
          <w:rFonts w:cs="Arial"/>
          <w:sz w:val="22"/>
          <w:szCs w:val="22"/>
          <w:u w:val="single"/>
        </w:rPr>
        <w:t>Appendices</w:t>
      </w:r>
    </w:p>
    <w:p w:rsidR="008325C6" w:rsidRDefault="008325C6" w:rsidP="008D0D96">
      <w:pPr>
        <w:ind w:right="260"/>
        <w:rPr>
          <w:rFonts w:cs="Arial"/>
          <w:sz w:val="22"/>
          <w:szCs w:val="22"/>
        </w:rPr>
      </w:pPr>
    </w:p>
    <w:p w:rsidR="008325C6" w:rsidRDefault="008325C6" w:rsidP="008D0D96">
      <w:pPr>
        <w:ind w:right="260"/>
        <w:rPr>
          <w:rFonts w:cs="Arial"/>
          <w:sz w:val="22"/>
          <w:szCs w:val="22"/>
        </w:rPr>
      </w:pPr>
      <w:r>
        <w:rPr>
          <w:rFonts w:cs="Arial"/>
          <w:sz w:val="22"/>
          <w:szCs w:val="22"/>
        </w:rPr>
        <w:t>1 WRES Data Report</w:t>
      </w:r>
    </w:p>
    <w:p w:rsidR="008325C6" w:rsidRDefault="008325C6" w:rsidP="008D0D96">
      <w:pPr>
        <w:ind w:right="260"/>
        <w:rPr>
          <w:rFonts w:cs="Arial"/>
          <w:sz w:val="22"/>
          <w:szCs w:val="22"/>
        </w:rPr>
      </w:pPr>
      <w:r>
        <w:rPr>
          <w:rFonts w:cs="Arial"/>
          <w:sz w:val="22"/>
          <w:szCs w:val="22"/>
        </w:rPr>
        <w:t>2 WDES Data Report</w:t>
      </w:r>
    </w:p>
    <w:p w:rsidR="008325C6" w:rsidRPr="008325C6" w:rsidRDefault="008325C6" w:rsidP="008D0D96">
      <w:pPr>
        <w:ind w:right="260"/>
        <w:rPr>
          <w:rFonts w:cs="Arial"/>
          <w:sz w:val="22"/>
          <w:szCs w:val="22"/>
        </w:rPr>
      </w:pPr>
    </w:p>
    <w:p w:rsidR="00171F2E" w:rsidRDefault="00171F2E" w:rsidP="008D0D96">
      <w:pPr>
        <w:pStyle w:val="Title"/>
        <w:ind w:right="260"/>
        <w:jc w:val="left"/>
        <w:rPr>
          <w:noProof/>
          <w:sz w:val="32"/>
          <w:szCs w:val="32"/>
          <w:lang w:eastAsia="en-GB"/>
        </w:rPr>
      </w:pPr>
    </w:p>
    <w:tbl>
      <w:tblPr>
        <w:tblStyle w:val="TableGrid"/>
        <w:tblpPr w:leftFromText="180" w:rightFromText="180" w:vertAnchor="page" w:horzAnchor="margin" w:tblpY="2416"/>
        <w:tblW w:w="10031" w:type="dxa"/>
        <w:tblLook w:val="04A0" w:firstRow="1" w:lastRow="0" w:firstColumn="1" w:lastColumn="0" w:noHBand="0" w:noVBand="1"/>
      </w:tblPr>
      <w:tblGrid>
        <w:gridCol w:w="10031"/>
      </w:tblGrid>
      <w:tr w:rsidR="00806DC6" w:rsidTr="00CD3426">
        <w:tc>
          <w:tcPr>
            <w:tcW w:w="10031" w:type="dxa"/>
            <w:vAlign w:val="center"/>
          </w:tcPr>
          <w:p w:rsidR="00806DC6" w:rsidRDefault="00806DC6" w:rsidP="008D0D96">
            <w:pPr>
              <w:spacing w:before="240" w:line="276" w:lineRule="auto"/>
              <w:ind w:right="260"/>
              <w:rPr>
                <w:b/>
                <w:sz w:val="28"/>
                <w:szCs w:val="28"/>
              </w:rPr>
            </w:pPr>
            <w:r>
              <w:rPr>
                <w:b/>
                <w:sz w:val="28"/>
                <w:szCs w:val="28"/>
              </w:rPr>
              <w:lastRenderedPageBreak/>
              <w:t xml:space="preserve">Meeting: </w:t>
            </w:r>
            <w:r w:rsidR="00107E5A">
              <w:rPr>
                <w:szCs w:val="24"/>
              </w:rPr>
              <w:t>People Committee</w:t>
            </w:r>
            <w:r>
              <w:rPr>
                <w:b/>
                <w:sz w:val="28"/>
                <w:szCs w:val="28"/>
              </w:rPr>
              <w:t xml:space="preserve"> </w:t>
            </w:r>
          </w:p>
          <w:p w:rsidR="00806DC6" w:rsidRDefault="00806DC6" w:rsidP="008D0D96">
            <w:pPr>
              <w:spacing w:before="240" w:line="276" w:lineRule="auto"/>
              <w:ind w:right="260"/>
              <w:rPr>
                <w:b/>
                <w:sz w:val="28"/>
                <w:szCs w:val="28"/>
              </w:rPr>
            </w:pPr>
            <w:r>
              <w:rPr>
                <w:b/>
                <w:sz w:val="28"/>
                <w:szCs w:val="28"/>
              </w:rPr>
              <w:t xml:space="preserve">Date: </w:t>
            </w:r>
            <w:r w:rsidR="00107E5A">
              <w:rPr>
                <w:szCs w:val="24"/>
              </w:rPr>
              <w:t>25 May 2023</w:t>
            </w:r>
          </w:p>
        </w:tc>
      </w:tr>
      <w:tr w:rsidR="00806DC6" w:rsidTr="00CD3426">
        <w:tc>
          <w:tcPr>
            <w:tcW w:w="10031" w:type="dxa"/>
            <w:vAlign w:val="center"/>
          </w:tcPr>
          <w:p w:rsidR="00806DC6" w:rsidRDefault="00806DC6" w:rsidP="008D0D96">
            <w:pPr>
              <w:spacing w:before="240" w:line="276" w:lineRule="auto"/>
              <w:ind w:right="260"/>
              <w:rPr>
                <w:b/>
                <w:sz w:val="28"/>
                <w:szCs w:val="28"/>
              </w:rPr>
            </w:pPr>
            <w:r>
              <w:rPr>
                <w:b/>
                <w:sz w:val="28"/>
                <w:szCs w:val="28"/>
              </w:rPr>
              <w:t xml:space="preserve">Title: </w:t>
            </w:r>
            <w:r w:rsidR="00107E5A">
              <w:rPr>
                <w:szCs w:val="24"/>
              </w:rPr>
              <w:t>Workforce Race Equality Standard and Workforce Disability Equality Standard Data Reports 2023</w:t>
            </w:r>
          </w:p>
        </w:tc>
      </w:tr>
      <w:tr w:rsidR="00806DC6" w:rsidRPr="00496F2B" w:rsidTr="00CD3426">
        <w:tc>
          <w:tcPr>
            <w:tcW w:w="10031" w:type="dxa"/>
            <w:shd w:val="clear" w:color="auto" w:fill="548DD4" w:themeFill="text2" w:themeFillTint="99"/>
            <w:vAlign w:val="center"/>
          </w:tcPr>
          <w:p w:rsidR="00806DC6" w:rsidRPr="00496F2B" w:rsidRDefault="00806DC6" w:rsidP="008D0D96">
            <w:pPr>
              <w:spacing w:before="240" w:line="276" w:lineRule="auto"/>
              <w:ind w:right="260"/>
              <w:rPr>
                <w:b/>
                <w:szCs w:val="24"/>
              </w:rPr>
            </w:pPr>
            <w:r>
              <w:rPr>
                <w:b/>
                <w:sz w:val="28"/>
                <w:szCs w:val="28"/>
              </w:rPr>
              <w:t xml:space="preserve">Introduction </w:t>
            </w:r>
          </w:p>
        </w:tc>
      </w:tr>
      <w:tr w:rsidR="00806DC6" w:rsidRPr="00D6741A" w:rsidTr="00CD3426">
        <w:tc>
          <w:tcPr>
            <w:tcW w:w="10031" w:type="dxa"/>
          </w:tcPr>
          <w:p w:rsidR="00107E5A" w:rsidRDefault="00107E5A" w:rsidP="008D0D96">
            <w:pPr>
              <w:spacing w:before="240" w:line="276" w:lineRule="auto"/>
              <w:ind w:right="260"/>
              <w:rPr>
                <w:szCs w:val="24"/>
              </w:rPr>
            </w:pPr>
            <w:r>
              <w:rPr>
                <w:szCs w:val="24"/>
              </w:rPr>
              <w:t>This is the annual data return for these national metrics.  The publication date was brought forward from August to May, and approval for publication is requested.  Further analysis will be undertaken and brought to a later meeting, together with an update to the WRES and WDES Action Plans, and benchmarking with other Trusts.</w:t>
            </w:r>
          </w:p>
          <w:p w:rsidR="00107E5A" w:rsidRDefault="00107E5A" w:rsidP="008D0D96">
            <w:pPr>
              <w:spacing w:before="240" w:line="276" w:lineRule="auto"/>
              <w:ind w:right="260"/>
              <w:rPr>
                <w:szCs w:val="24"/>
              </w:rPr>
            </w:pPr>
            <w:r>
              <w:rPr>
                <w:szCs w:val="24"/>
              </w:rPr>
              <w:t>These metrics are only for a limited number of nationally benchmarked indicators, and do not necessarily cover all the issues the Trust might prioritise.</w:t>
            </w:r>
          </w:p>
          <w:p w:rsidR="00107E5A" w:rsidRDefault="00107E5A" w:rsidP="008D0D96">
            <w:pPr>
              <w:spacing w:before="240" w:line="276" w:lineRule="auto"/>
              <w:ind w:right="260"/>
              <w:rPr>
                <w:szCs w:val="24"/>
              </w:rPr>
            </w:pPr>
            <w:r>
              <w:rPr>
                <w:szCs w:val="24"/>
              </w:rPr>
              <w:t>The staff perception data has not been included in this report, as it was brought to the meeting in March 2023.  That data is already in the national data set and does not need to approved by the Committee.</w:t>
            </w:r>
          </w:p>
          <w:p w:rsidR="00806DC6" w:rsidRPr="00D6741A" w:rsidRDefault="00806DC6" w:rsidP="008D0D96">
            <w:pPr>
              <w:spacing w:before="240" w:line="276" w:lineRule="auto"/>
              <w:ind w:right="260"/>
              <w:rPr>
                <w:szCs w:val="24"/>
              </w:rPr>
            </w:pPr>
            <w:r>
              <w:rPr>
                <w:szCs w:val="24"/>
              </w:rPr>
              <w:t xml:space="preserve"> </w:t>
            </w:r>
          </w:p>
        </w:tc>
      </w:tr>
      <w:tr w:rsidR="00806DC6" w:rsidRPr="00496F2B" w:rsidTr="00CD3426">
        <w:tc>
          <w:tcPr>
            <w:tcW w:w="10031" w:type="dxa"/>
            <w:shd w:val="clear" w:color="auto" w:fill="548DD4" w:themeFill="text2" w:themeFillTint="99"/>
          </w:tcPr>
          <w:p w:rsidR="00806DC6" w:rsidRPr="00496F2B" w:rsidRDefault="00806DC6" w:rsidP="008D0D96">
            <w:pPr>
              <w:spacing w:before="240" w:line="276" w:lineRule="auto"/>
              <w:ind w:right="260"/>
              <w:rPr>
                <w:b/>
                <w:szCs w:val="24"/>
              </w:rPr>
            </w:pPr>
            <w:r>
              <w:rPr>
                <w:b/>
                <w:sz w:val="28"/>
                <w:szCs w:val="28"/>
              </w:rPr>
              <w:t xml:space="preserve">Current Status </w:t>
            </w:r>
          </w:p>
        </w:tc>
      </w:tr>
      <w:tr w:rsidR="00806DC6" w:rsidRPr="00496F2B" w:rsidTr="00CD3426">
        <w:tc>
          <w:tcPr>
            <w:tcW w:w="10031" w:type="dxa"/>
          </w:tcPr>
          <w:p w:rsidR="00806DC6" w:rsidRDefault="00107E5A" w:rsidP="008D0D96">
            <w:pPr>
              <w:pStyle w:val="Default"/>
              <w:spacing w:before="240" w:line="276" w:lineRule="auto"/>
              <w:ind w:right="260"/>
              <w:jc w:val="both"/>
            </w:pPr>
            <w:r w:rsidRPr="00107E5A">
              <w:t>There is mixed progress</w:t>
            </w:r>
            <w:r>
              <w:t xml:space="preserve"> on these metrics.  The likelihood of being appointed from shortlist to hire has deteriorated for Black, Asian, and Minority Ethnic/Global Majority </w:t>
            </w:r>
            <w:r w:rsidR="005537C1">
              <w:t xml:space="preserve">(described in the indicators as BME) </w:t>
            </w:r>
            <w:r>
              <w:t xml:space="preserve">candidates, but improved for disabled </w:t>
            </w:r>
            <w:r w:rsidR="005537C1">
              <w:t>candidates.  The WRES metrics on entering formal procedures are close to equity, but the WDES shows that disabled staff are almost twice as likely as non-disabled staff of being in capability procedures.</w:t>
            </w:r>
          </w:p>
          <w:p w:rsidR="005537C1" w:rsidRPr="00107E5A" w:rsidRDefault="005537C1" w:rsidP="008D0D96">
            <w:pPr>
              <w:pStyle w:val="Default"/>
              <w:spacing w:before="240" w:line="276" w:lineRule="auto"/>
              <w:ind w:right="260"/>
              <w:jc w:val="both"/>
            </w:pPr>
            <w:r>
              <w:t xml:space="preserve">Although not included in this report, the Staff Survey data shared in March, continues to raise concerns about </w:t>
            </w:r>
            <w:proofErr w:type="spellStart"/>
            <w:r>
              <w:t>behaviours</w:t>
            </w:r>
            <w:proofErr w:type="spellEnd"/>
            <w:r>
              <w:t>, such as bullying, harassment, and discrimination.</w:t>
            </w:r>
          </w:p>
          <w:p w:rsidR="00806DC6" w:rsidRPr="00496F2B" w:rsidRDefault="00806DC6" w:rsidP="008D0D96">
            <w:pPr>
              <w:pStyle w:val="Default"/>
              <w:spacing w:before="240" w:line="276" w:lineRule="auto"/>
              <w:ind w:right="260"/>
              <w:jc w:val="both"/>
              <w:rPr>
                <w:highlight w:val="yellow"/>
              </w:rPr>
            </w:pPr>
          </w:p>
        </w:tc>
      </w:tr>
      <w:tr w:rsidR="00806DC6" w:rsidRPr="00496F2B" w:rsidTr="00CD3426">
        <w:tc>
          <w:tcPr>
            <w:tcW w:w="10031" w:type="dxa"/>
            <w:shd w:val="clear" w:color="auto" w:fill="548DD4" w:themeFill="text2" w:themeFillTint="99"/>
          </w:tcPr>
          <w:p w:rsidR="00806DC6" w:rsidRPr="00496F2B" w:rsidRDefault="00806DC6" w:rsidP="008D0D96">
            <w:pPr>
              <w:spacing w:before="240" w:line="276" w:lineRule="auto"/>
              <w:ind w:right="260"/>
              <w:rPr>
                <w:b/>
                <w:szCs w:val="24"/>
              </w:rPr>
            </w:pPr>
            <w:r>
              <w:rPr>
                <w:b/>
                <w:sz w:val="28"/>
                <w:szCs w:val="28"/>
              </w:rPr>
              <w:t>Goal / Aims</w:t>
            </w:r>
          </w:p>
        </w:tc>
      </w:tr>
      <w:tr w:rsidR="00806DC6" w:rsidRPr="00496F2B" w:rsidTr="00CD3426">
        <w:tc>
          <w:tcPr>
            <w:tcW w:w="10031" w:type="dxa"/>
          </w:tcPr>
          <w:p w:rsidR="00806DC6" w:rsidRPr="001C5E9E" w:rsidRDefault="005537C1" w:rsidP="008D0D96">
            <w:pPr>
              <w:pStyle w:val="Default"/>
              <w:spacing w:before="240" w:line="276" w:lineRule="auto"/>
              <w:ind w:right="260"/>
              <w:jc w:val="both"/>
            </w:pPr>
            <w:r w:rsidRPr="001C5E9E">
              <w:t xml:space="preserve">The overall aim to achieve equity on all indicators.  </w:t>
            </w:r>
            <w:r w:rsidR="001C5E9E" w:rsidRPr="001C5E9E">
              <w:t xml:space="preserve"> Actions already in the Trusts work </w:t>
            </w:r>
            <w:proofErr w:type="spellStart"/>
            <w:r w:rsidR="001C5E9E" w:rsidRPr="001C5E9E">
              <w:t>programme</w:t>
            </w:r>
            <w:proofErr w:type="spellEnd"/>
            <w:r w:rsidR="001C5E9E" w:rsidRPr="001C5E9E">
              <w:t xml:space="preserve"> include: a new focus on understanding, dealing with and preventing bullying and harassment; prioritizing managers for training on ‘De-biasing Recruitment’; improving </w:t>
            </w:r>
            <w:r w:rsidR="001C5E9E" w:rsidRPr="001C5E9E">
              <w:lastRenderedPageBreak/>
              <w:t>consideration of reasonable adjustments; and further work on positive action.</w:t>
            </w:r>
          </w:p>
        </w:tc>
      </w:tr>
      <w:tr w:rsidR="00806DC6" w:rsidRPr="00496F2B" w:rsidTr="00CD3426">
        <w:tc>
          <w:tcPr>
            <w:tcW w:w="10031" w:type="dxa"/>
            <w:shd w:val="clear" w:color="auto" w:fill="548DD4" w:themeFill="text2" w:themeFillTint="99"/>
          </w:tcPr>
          <w:p w:rsidR="00806DC6" w:rsidRPr="00384952" w:rsidRDefault="00806DC6" w:rsidP="008D0D96">
            <w:pPr>
              <w:pStyle w:val="Default"/>
              <w:spacing w:before="240" w:line="276" w:lineRule="auto"/>
              <w:ind w:right="260"/>
              <w:jc w:val="both"/>
              <w:rPr>
                <w:b/>
                <w:sz w:val="28"/>
                <w:szCs w:val="28"/>
                <w:highlight w:val="yellow"/>
              </w:rPr>
            </w:pPr>
            <w:r w:rsidRPr="00384952">
              <w:rPr>
                <w:b/>
                <w:sz w:val="28"/>
                <w:szCs w:val="28"/>
              </w:rPr>
              <w:lastRenderedPageBreak/>
              <w:t>Countermeasures</w:t>
            </w:r>
          </w:p>
        </w:tc>
      </w:tr>
      <w:tr w:rsidR="00806DC6" w:rsidRPr="00496F2B" w:rsidTr="00CD3426">
        <w:tc>
          <w:tcPr>
            <w:tcW w:w="10031" w:type="dxa"/>
          </w:tcPr>
          <w:p w:rsidR="00806DC6" w:rsidRDefault="001C5E9E" w:rsidP="008D0D96">
            <w:pPr>
              <w:pStyle w:val="ListParagraph"/>
              <w:spacing w:before="240" w:line="276" w:lineRule="auto"/>
              <w:ind w:left="0" w:right="260"/>
              <w:jc w:val="both"/>
            </w:pPr>
            <w:r>
              <w:t>The Recommendation at this stage is to approve the publication of the data, so that it can be used for further analysis, preparing future plans, and consulting with staff and staff networks on specific priorities and actions.</w:t>
            </w:r>
          </w:p>
          <w:p w:rsidR="00806DC6" w:rsidRPr="00384952" w:rsidRDefault="00806DC6" w:rsidP="008D0D96">
            <w:pPr>
              <w:pStyle w:val="Default"/>
              <w:spacing w:before="240" w:line="276" w:lineRule="auto"/>
              <w:ind w:right="260"/>
              <w:jc w:val="both"/>
              <w:rPr>
                <w:b/>
                <w:sz w:val="28"/>
                <w:szCs w:val="28"/>
              </w:rPr>
            </w:pPr>
          </w:p>
        </w:tc>
      </w:tr>
    </w:tbl>
    <w:p w:rsidR="00806DC6" w:rsidRDefault="00806DC6" w:rsidP="008D0D96">
      <w:pPr>
        <w:pStyle w:val="Title"/>
        <w:ind w:right="260"/>
        <w:jc w:val="left"/>
        <w:rPr>
          <w:noProof/>
          <w:sz w:val="32"/>
          <w:szCs w:val="32"/>
          <w:lang w:eastAsia="en-GB"/>
        </w:rPr>
      </w:pPr>
    </w:p>
    <w:p w:rsidR="00171F2E" w:rsidRDefault="00171F2E" w:rsidP="008D0D96">
      <w:pPr>
        <w:pStyle w:val="Title"/>
        <w:ind w:right="260"/>
        <w:jc w:val="left"/>
        <w:rPr>
          <w:noProof/>
          <w:sz w:val="32"/>
          <w:szCs w:val="32"/>
          <w:lang w:eastAsia="en-GB"/>
        </w:rPr>
      </w:pPr>
    </w:p>
    <w:p w:rsidR="00806DC6" w:rsidRDefault="00806DC6" w:rsidP="008D0D96">
      <w:pPr>
        <w:ind w:right="260"/>
        <w:rPr>
          <w:b/>
          <w:noProof/>
          <w:sz w:val="32"/>
          <w:szCs w:val="32"/>
          <w:lang w:eastAsia="en-GB"/>
        </w:rPr>
      </w:pPr>
      <w:r>
        <w:rPr>
          <w:noProof/>
          <w:sz w:val="32"/>
          <w:szCs w:val="32"/>
          <w:lang w:eastAsia="en-GB"/>
        </w:rPr>
        <w:br w:type="page"/>
      </w:r>
    </w:p>
    <w:p w:rsidR="00806DC6" w:rsidRPr="00966136" w:rsidRDefault="00806DC6" w:rsidP="008D0D96">
      <w:pPr>
        <w:ind w:right="260"/>
        <w:rPr>
          <w:rFonts w:ascii="Arial Bold" w:hAnsi="Arial Bold" w:cs="Arial"/>
          <w:b/>
          <w:bCs/>
          <w:caps/>
          <w:color w:val="365F91" w:themeColor="accent1" w:themeShade="BF"/>
          <w:kern w:val="32"/>
          <w:sz w:val="32"/>
          <w:szCs w:val="32"/>
        </w:rPr>
      </w:pPr>
      <w:r w:rsidRPr="00966136">
        <w:rPr>
          <w:rFonts w:ascii="Arial Bold" w:hAnsi="Arial Bold" w:cs="Arial"/>
          <w:b/>
          <w:bCs/>
          <w:caps/>
          <w:color w:val="365F91" w:themeColor="accent1" w:themeShade="BF"/>
          <w:kern w:val="32"/>
          <w:sz w:val="32"/>
          <w:szCs w:val="32"/>
        </w:rPr>
        <w:lastRenderedPageBreak/>
        <w:t xml:space="preserve">Appendix </w:t>
      </w:r>
      <w:r>
        <w:rPr>
          <w:rFonts w:ascii="Arial Bold" w:hAnsi="Arial Bold" w:cs="Arial"/>
          <w:b/>
          <w:bCs/>
          <w:caps/>
          <w:color w:val="365F91" w:themeColor="accent1" w:themeShade="BF"/>
          <w:kern w:val="32"/>
          <w:sz w:val="32"/>
          <w:szCs w:val="32"/>
        </w:rPr>
        <w:t>1A</w:t>
      </w:r>
      <w:r w:rsidRPr="00966136">
        <w:rPr>
          <w:rFonts w:ascii="Arial Bold" w:hAnsi="Arial Bold" w:cs="Arial"/>
          <w:b/>
          <w:bCs/>
          <w:caps/>
          <w:color w:val="365F91" w:themeColor="accent1" w:themeShade="BF"/>
          <w:kern w:val="32"/>
          <w:sz w:val="32"/>
          <w:szCs w:val="32"/>
        </w:rPr>
        <w:t xml:space="preserve"> –WRES</w:t>
      </w:r>
      <w:r>
        <w:rPr>
          <w:rFonts w:ascii="Arial Bold" w:hAnsi="Arial Bold" w:cs="Arial"/>
          <w:b/>
          <w:bCs/>
          <w:caps/>
          <w:color w:val="365F91" w:themeColor="accent1" w:themeShade="BF"/>
          <w:kern w:val="32"/>
          <w:sz w:val="32"/>
          <w:szCs w:val="32"/>
        </w:rPr>
        <w:t xml:space="preserve"> Data report</w:t>
      </w:r>
    </w:p>
    <w:p w:rsidR="00806DC6" w:rsidRDefault="00806DC6" w:rsidP="008D0D96">
      <w:pPr>
        <w:ind w:right="260"/>
      </w:pPr>
    </w:p>
    <w:bookmarkStart w:id="0" w:name="_Toc480793681"/>
    <w:p w:rsidR="00806DC6" w:rsidRDefault="008D0D96" w:rsidP="008D0D96">
      <w:pPr>
        <w:pStyle w:val="Heading1"/>
        <w:numPr>
          <w:ilvl w:val="0"/>
          <w:numId w:val="25"/>
        </w:numPr>
        <w:pBdr>
          <w:bottom w:val="inset" w:sz="18" w:space="1" w:color="808080" w:themeColor="background1" w:themeShade="80"/>
        </w:pBdr>
        <w:ind w:left="703" w:right="260" w:hanging="703"/>
        <w:rPr>
          <w:caps/>
        </w:rPr>
      </w:pPr>
      <w:sdt>
        <w:sdtPr>
          <w:rPr>
            <w:caps/>
          </w:rPr>
          <w:id w:val="1216004229"/>
        </w:sdtPr>
        <w:sdtEndPr/>
        <w:sdtContent>
          <w:r w:rsidR="00806DC6">
            <w:rPr>
              <w:caps/>
            </w:rPr>
            <w:t>Executive summary</w:t>
          </w:r>
        </w:sdtContent>
      </w:sdt>
      <w:bookmarkEnd w:id="0"/>
    </w:p>
    <w:p w:rsidR="00806DC6" w:rsidRDefault="00806DC6" w:rsidP="008D0D96">
      <w:pPr>
        <w:ind w:right="260"/>
      </w:pPr>
    </w:p>
    <w:p w:rsidR="00806DC6" w:rsidRPr="00397090" w:rsidRDefault="00806DC6" w:rsidP="008D0D96">
      <w:pPr>
        <w:spacing w:after="120"/>
        <w:ind w:left="709" w:right="260" w:hanging="709"/>
        <w:jc w:val="both"/>
        <w:rPr>
          <w:rFonts w:cs="Arial"/>
          <w:sz w:val="22"/>
          <w:szCs w:val="22"/>
        </w:rPr>
      </w:pPr>
      <w:r w:rsidRPr="00397090">
        <w:rPr>
          <w:rFonts w:cs="Arial"/>
          <w:sz w:val="22"/>
          <w:szCs w:val="22"/>
        </w:rPr>
        <w:t>1.1</w:t>
      </w:r>
      <w:r w:rsidRPr="00397090">
        <w:rPr>
          <w:rFonts w:cs="Arial"/>
          <w:sz w:val="22"/>
          <w:szCs w:val="22"/>
        </w:rPr>
        <w:tab/>
        <w:t xml:space="preserve">The main purpose of the Workforce Race Equality Standard (WRES) is: </w:t>
      </w:r>
    </w:p>
    <w:p w:rsidR="00806DC6" w:rsidRPr="00397090" w:rsidRDefault="00806DC6" w:rsidP="008D0D96">
      <w:pPr>
        <w:numPr>
          <w:ilvl w:val="2"/>
          <w:numId w:val="26"/>
        </w:numPr>
        <w:spacing w:after="120"/>
        <w:ind w:left="1225" w:right="260" w:hanging="505"/>
        <w:jc w:val="both"/>
        <w:rPr>
          <w:rFonts w:cs="Arial"/>
          <w:sz w:val="22"/>
          <w:szCs w:val="22"/>
        </w:rPr>
      </w:pPr>
      <w:r w:rsidRPr="00397090">
        <w:rPr>
          <w:rFonts w:cs="Arial"/>
          <w:sz w:val="22"/>
          <w:szCs w:val="22"/>
        </w:rPr>
        <w:t xml:space="preserve">to help local, and national, NHS organisations (and other organisations providing NHS services) to review their data against the nine WRES indicators, </w:t>
      </w:r>
    </w:p>
    <w:p w:rsidR="00806DC6" w:rsidRPr="00397090" w:rsidRDefault="00806DC6" w:rsidP="008D0D96">
      <w:pPr>
        <w:numPr>
          <w:ilvl w:val="2"/>
          <w:numId w:val="26"/>
        </w:numPr>
        <w:spacing w:after="120"/>
        <w:ind w:left="1225" w:right="260" w:hanging="505"/>
        <w:jc w:val="both"/>
        <w:rPr>
          <w:rFonts w:cs="Arial"/>
          <w:sz w:val="22"/>
          <w:szCs w:val="22"/>
        </w:rPr>
      </w:pPr>
      <w:r w:rsidRPr="00397090">
        <w:rPr>
          <w:rFonts w:cs="Arial"/>
          <w:sz w:val="22"/>
          <w:szCs w:val="22"/>
        </w:rPr>
        <w:t xml:space="preserve">to produce action plans to close the gaps in workplace experience between white and Black and Ethnic Minority (BME) staff, and, </w:t>
      </w:r>
    </w:p>
    <w:p w:rsidR="00806DC6" w:rsidRPr="00397090" w:rsidRDefault="00806DC6" w:rsidP="008D0D96">
      <w:pPr>
        <w:numPr>
          <w:ilvl w:val="2"/>
          <w:numId w:val="26"/>
        </w:numPr>
        <w:spacing w:after="120"/>
        <w:ind w:left="1225" w:right="260" w:hanging="505"/>
        <w:jc w:val="both"/>
        <w:rPr>
          <w:rFonts w:cs="Arial"/>
          <w:sz w:val="22"/>
          <w:szCs w:val="22"/>
        </w:rPr>
      </w:pPr>
      <w:r w:rsidRPr="00397090">
        <w:rPr>
          <w:rFonts w:cs="Arial"/>
          <w:sz w:val="22"/>
          <w:szCs w:val="22"/>
        </w:rPr>
        <w:t xml:space="preserve">to improve BME representation at the Board level of the organisation. </w:t>
      </w:r>
    </w:p>
    <w:p w:rsidR="00806DC6" w:rsidRPr="00397090" w:rsidRDefault="00806DC6" w:rsidP="008D0D96">
      <w:pPr>
        <w:spacing w:after="240"/>
        <w:ind w:left="709" w:right="260" w:hanging="709"/>
        <w:jc w:val="both"/>
        <w:rPr>
          <w:rFonts w:cs="Arial"/>
          <w:sz w:val="22"/>
          <w:szCs w:val="22"/>
        </w:rPr>
      </w:pPr>
      <w:r w:rsidRPr="00397090">
        <w:rPr>
          <w:rFonts w:cs="Arial"/>
          <w:sz w:val="22"/>
          <w:szCs w:val="22"/>
        </w:rPr>
        <w:t>1.2</w:t>
      </w:r>
      <w:r w:rsidRPr="00397090">
        <w:rPr>
          <w:rFonts w:cs="Arial"/>
          <w:sz w:val="22"/>
          <w:szCs w:val="22"/>
        </w:rPr>
        <w:tab/>
        <w:t>The WRES assessment has been prepared following revised technical guidance published by NHS England in 2021.  There</w:t>
      </w:r>
      <w:r>
        <w:rPr>
          <w:rFonts w:cs="Arial"/>
          <w:sz w:val="22"/>
          <w:szCs w:val="22"/>
        </w:rPr>
        <w:t xml:space="preserve"> are 9 performance indicators.</w:t>
      </w:r>
    </w:p>
    <w:p w:rsidR="00806DC6" w:rsidRPr="00397090" w:rsidRDefault="00806DC6" w:rsidP="008D0D96">
      <w:pPr>
        <w:spacing w:after="240"/>
        <w:ind w:left="709" w:right="260"/>
        <w:jc w:val="both"/>
        <w:rPr>
          <w:rFonts w:cs="Arial"/>
          <w:sz w:val="22"/>
          <w:szCs w:val="22"/>
        </w:rPr>
      </w:pPr>
      <w:r w:rsidRPr="00397090">
        <w:rPr>
          <w:rFonts w:cs="Arial"/>
          <w:sz w:val="22"/>
          <w:szCs w:val="22"/>
        </w:rPr>
        <w:t>[For indicators 2, 3 and 4, a score of 1.00 equals equity.  A score of greater than 1.00 shows an advantage to White staff; a score of less than 1.00 shows an advantage to BME staff.]</w:t>
      </w:r>
    </w:p>
    <w:p w:rsidR="00806DC6" w:rsidRPr="00926326" w:rsidRDefault="00806DC6" w:rsidP="008D0D96">
      <w:pPr>
        <w:spacing w:after="120"/>
        <w:ind w:left="705" w:right="260" w:hanging="705"/>
      </w:pPr>
      <w:r w:rsidRPr="00926326">
        <w:rPr>
          <w:rFonts w:cs="Arial"/>
          <w:sz w:val="22"/>
          <w:szCs w:val="22"/>
        </w:rPr>
        <w:t>1.4</w:t>
      </w:r>
      <w:r w:rsidRPr="00926326">
        <w:rPr>
          <w:rFonts w:cs="Arial"/>
          <w:sz w:val="22"/>
          <w:szCs w:val="22"/>
        </w:rPr>
        <w:tab/>
        <w:t>It is a mandatory requirement in NHS standard contracts (Schedule 6a) to report on the WRES, and publish the data by 31 August each year, and publish a WRES Action Plan by 30 September.</w:t>
      </w:r>
    </w:p>
    <w:p w:rsidR="00806DC6" w:rsidRPr="00733C0D" w:rsidRDefault="00806DC6" w:rsidP="008D0D96">
      <w:pPr>
        <w:tabs>
          <w:tab w:val="left" w:pos="8127"/>
        </w:tabs>
        <w:ind w:right="260"/>
      </w:pPr>
      <w:r w:rsidRPr="00733C0D">
        <w:tab/>
      </w:r>
    </w:p>
    <w:p w:rsidR="00806DC6" w:rsidRPr="00296A28" w:rsidRDefault="008D0D96" w:rsidP="008D0D96">
      <w:pPr>
        <w:keepNext/>
        <w:numPr>
          <w:ilvl w:val="0"/>
          <w:numId w:val="25"/>
        </w:numPr>
        <w:shd w:val="clear" w:color="auto" w:fill="FFFFFF"/>
        <w:spacing w:before="240" w:after="60"/>
        <w:ind w:right="260"/>
        <w:outlineLvl w:val="0"/>
        <w:rPr>
          <w:rFonts w:ascii="Arial Bold" w:hAnsi="Arial Bold" w:cs="Arial"/>
          <w:b/>
          <w:bCs/>
          <w:caps/>
          <w:color w:val="365F91"/>
          <w:kern w:val="32"/>
          <w:sz w:val="32"/>
          <w:szCs w:val="32"/>
        </w:rPr>
      </w:pPr>
      <w:sdt>
        <w:sdtPr>
          <w:rPr>
            <w:rFonts w:ascii="Arial Bold" w:hAnsi="Arial Bold" w:cs="Arial"/>
            <w:b/>
            <w:bCs/>
            <w:caps/>
            <w:color w:val="365F91"/>
            <w:kern w:val="32"/>
            <w:sz w:val="32"/>
            <w:szCs w:val="32"/>
          </w:rPr>
          <w:id w:val="-1927108837"/>
        </w:sdtPr>
        <w:sdtEndPr/>
        <w:sdtContent>
          <w:r w:rsidR="00806DC6" w:rsidRPr="00296A28">
            <w:rPr>
              <w:rFonts w:ascii="Arial Bold" w:hAnsi="Arial Bold" w:cs="Arial"/>
              <w:b/>
              <w:bCs/>
              <w:color w:val="365F91"/>
              <w:kern w:val="32"/>
              <w:sz w:val="32"/>
              <w:szCs w:val="32"/>
            </w:rPr>
            <w:t>KEY FINDINGS</w:t>
          </w:r>
        </w:sdtContent>
      </w:sdt>
    </w:p>
    <w:p w:rsidR="00806DC6" w:rsidRPr="00296A28" w:rsidRDefault="00806DC6" w:rsidP="008D0D96">
      <w:pPr>
        <w:ind w:right="260"/>
      </w:pPr>
    </w:p>
    <w:p w:rsidR="00806DC6" w:rsidRPr="00296A28" w:rsidRDefault="00806DC6" w:rsidP="008D0D96">
      <w:pPr>
        <w:numPr>
          <w:ilvl w:val="1"/>
          <w:numId w:val="25"/>
        </w:numPr>
        <w:spacing w:after="120"/>
        <w:ind w:right="260"/>
        <w:jc w:val="both"/>
        <w:rPr>
          <w:rFonts w:cs="Arial"/>
          <w:sz w:val="22"/>
          <w:szCs w:val="22"/>
        </w:rPr>
      </w:pPr>
      <w:r w:rsidRPr="00296A28">
        <w:rPr>
          <w:rFonts w:cs="Arial"/>
          <w:sz w:val="22"/>
          <w:szCs w:val="22"/>
        </w:rPr>
        <w:t xml:space="preserve">The WRES data report has been prepared following revised technical guidance published by NHS England in </w:t>
      </w:r>
      <w:r>
        <w:rPr>
          <w:rFonts w:cs="Arial"/>
          <w:sz w:val="22"/>
          <w:szCs w:val="22"/>
        </w:rPr>
        <w:t>2021</w:t>
      </w:r>
      <w:r w:rsidRPr="00296A28">
        <w:rPr>
          <w:rFonts w:cs="Arial"/>
          <w:sz w:val="22"/>
          <w:szCs w:val="22"/>
        </w:rPr>
        <w:t>.  There are 9 performance indicators, [For indicators 2, 3 and 4, a score of 1.00 equals equity.  A score of greater than 1.00 shows an advantage to White staff; a score of less than 1.00 shows an advantage to BME staff.]</w:t>
      </w:r>
      <w:r>
        <w:rPr>
          <w:rFonts w:cs="Arial"/>
          <w:sz w:val="22"/>
          <w:szCs w:val="22"/>
        </w:rPr>
        <w:t xml:space="preserve">  Indicator 9 (Board representation is not included in this report, is in the online data report.</w:t>
      </w:r>
    </w:p>
    <w:p w:rsidR="00806DC6" w:rsidRPr="00AB35B9" w:rsidRDefault="00806DC6" w:rsidP="008D0D96">
      <w:pPr>
        <w:numPr>
          <w:ilvl w:val="1"/>
          <w:numId w:val="25"/>
        </w:numPr>
        <w:spacing w:after="120"/>
        <w:ind w:right="260"/>
        <w:rPr>
          <w:rFonts w:cs="Arial"/>
          <w:sz w:val="22"/>
          <w:szCs w:val="22"/>
        </w:rPr>
      </w:pPr>
      <w:r w:rsidRPr="00AB35B9">
        <w:rPr>
          <w:rFonts w:cs="Arial"/>
          <w:b/>
          <w:sz w:val="22"/>
          <w:szCs w:val="22"/>
        </w:rPr>
        <w:t>Indicator 1</w:t>
      </w:r>
      <w:r w:rsidRPr="00AB35B9">
        <w:rPr>
          <w:rFonts w:cs="Arial"/>
          <w:sz w:val="22"/>
          <w:szCs w:val="22"/>
        </w:rPr>
        <w:t xml:space="preserve"> – </w:t>
      </w:r>
      <w:r w:rsidRPr="00AB35B9">
        <w:rPr>
          <w:rFonts w:cs="Arial"/>
          <w:b/>
          <w:sz w:val="22"/>
          <w:szCs w:val="22"/>
        </w:rPr>
        <w:t>Workforce profile</w:t>
      </w:r>
    </w:p>
    <w:p w:rsidR="00806DC6" w:rsidRPr="00AB35B9" w:rsidRDefault="00806DC6" w:rsidP="008D0D96">
      <w:pPr>
        <w:ind w:left="720" w:right="260"/>
        <w:rPr>
          <w:rFonts w:cs="Arial"/>
          <w:sz w:val="22"/>
          <w:szCs w:val="22"/>
        </w:rPr>
      </w:pPr>
    </w:p>
    <w:p w:rsidR="00806DC6" w:rsidRPr="00AB35B9" w:rsidRDefault="00806DC6" w:rsidP="008D0D96">
      <w:pPr>
        <w:spacing w:after="120"/>
        <w:ind w:left="705" w:right="260"/>
        <w:jc w:val="both"/>
        <w:rPr>
          <w:rFonts w:cs="Arial"/>
          <w:sz w:val="22"/>
          <w:szCs w:val="22"/>
        </w:rPr>
      </w:pPr>
      <w:r w:rsidRPr="00AB35B9">
        <w:rPr>
          <w:rFonts w:cs="Arial"/>
          <w:sz w:val="22"/>
          <w:szCs w:val="22"/>
        </w:rPr>
        <w:t>Staff in each of the Agenda for Change (</w:t>
      </w:r>
      <w:proofErr w:type="spellStart"/>
      <w:r w:rsidRPr="00AB35B9">
        <w:rPr>
          <w:rFonts w:cs="Arial"/>
          <w:sz w:val="22"/>
          <w:szCs w:val="22"/>
        </w:rPr>
        <w:t>AfC</w:t>
      </w:r>
      <w:proofErr w:type="spellEnd"/>
      <w:r w:rsidRPr="00AB35B9">
        <w:rPr>
          <w:rFonts w:cs="Arial"/>
          <w:sz w:val="22"/>
          <w:szCs w:val="22"/>
        </w:rPr>
        <w:t>) Bands 1-9 and VSM (including Executive Group members) compared with staff in the overall workforce.</w:t>
      </w:r>
    </w:p>
    <w:p w:rsidR="00806DC6" w:rsidRPr="00AB35B9" w:rsidRDefault="00806DC6" w:rsidP="008D0D96">
      <w:pPr>
        <w:spacing w:after="120"/>
        <w:ind w:left="705" w:right="260"/>
        <w:jc w:val="both"/>
        <w:rPr>
          <w:rFonts w:cs="Arial"/>
          <w:sz w:val="22"/>
          <w:szCs w:val="22"/>
        </w:rPr>
      </w:pPr>
      <w:r w:rsidRPr="00AB35B9">
        <w:rPr>
          <w:rFonts w:cs="Arial"/>
          <w:sz w:val="22"/>
          <w:szCs w:val="22"/>
        </w:rPr>
        <w:t xml:space="preserve">This information is required to be broken down not only by band, but also separating clinical non-medical, medical and dental and non-clinical staff.  The data shows that there points in progression between grades where the proportion of BME staff in the workforce is lower than expected.  For example, there is a dip in representation from Bands </w:t>
      </w:r>
      <w:r>
        <w:rPr>
          <w:rFonts w:cs="Arial"/>
          <w:sz w:val="22"/>
          <w:szCs w:val="22"/>
        </w:rPr>
        <w:t>6</w:t>
      </w:r>
      <w:r w:rsidRPr="00AB35B9">
        <w:rPr>
          <w:rFonts w:cs="Arial"/>
          <w:sz w:val="22"/>
          <w:szCs w:val="22"/>
        </w:rPr>
        <w:t xml:space="preserve"> and </w:t>
      </w:r>
      <w:r>
        <w:rPr>
          <w:rFonts w:cs="Arial"/>
          <w:sz w:val="22"/>
          <w:szCs w:val="22"/>
        </w:rPr>
        <w:t>7</w:t>
      </w:r>
      <w:r w:rsidRPr="00AB35B9">
        <w:rPr>
          <w:rFonts w:cs="Arial"/>
          <w:sz w:val="22"/>
          <w:szCs w:val="22"/>
        </w:rPr>
        <w:t>,</w:t>
      </w:r>
      <w:r>
        <w:rPr>
          <w:rFonts w:cs="Arial"/>
          <w:sz w:val="22"/>
          <w:szCs w:val="22"/>
        </w:rPr>
        <w:t xml:space="preserve"> (in previous years the dip was between Bands 5 and 6)</w:t>
      </w:r>
      <w:r w:rsidRPr="00AB35B9">
        <w:rPr>
          <w:rFonts w:cs="Arial"/>
          <w:sz w:val="22"/>
          <w:szCs w:val="22"/>
        </w:rPr>
        <w:t xml:space="preserve"> and progressively from Bands 5 through to 8a in the non-medical clinical workforce.  The Trust’s workforce is considerably more diverse than the local population, and the representation of staff for Black, Asian and Minority Ethnic (BME) backgrounds is similar to the local population from Bands 5 to 7 of the non-clinical workforce. </w:t>
      </w:r>
    </w:p>
    <w:p w:rsidR="00806DC6" w:rsidRPr="00AB35B9" w:rsidRDefault="00806DC6" w:rsidP="008D0D96">
      <w:pPr>
        <w:spacing w:after="120"/>
        <w:ind w:left="705" w:right="260"/>
        <w:jc w:val="both"/>
        <w:rPr>
          <w:rFonts w:cs="Arial"/>
          <w:sz w:val="22"/>
          <w:szCs w:val="22"/>
        </w:rPr>
      </w:pPr>
      <w:r w:rsidRPr="00AB35B9">
        <w:rPr>
          <w:rFonts w:cs="Arial"/>
          <w:sz w:val="22"/>
          <w:szCs w:val="22"/>
        </w:rPr>
        <w:t>There is significantly higher representation of people from BME backgrounds in medical and dental roles, which is reflective of the profile of their professions.</w:t>
      </w:r>
    </w:p>
    <w:p w:rsidR="00806DC6" w:rsidRPr="00AB35B9" w:rsidRDefault="00806DC6" w:rsidP="008D0D96">
      <w:pPr>
        <w:spacing w:after="120"/>
        <w:ind w:left="705" w:right="260"/>
        <w:jc w:val="both"/>
        <w:rPr>
          <w:rFonts w:cs="Arial"/>
          <w:sz w:val="22"/>
          <w:szCs w:val="22"/>
        </w:rPr>
      </w:pPr>
      <w:r w:rsidRPr="006E33B9">
        <w:rPr>
          <w:rFonts w:cs="Arial"/>
          <w:sz w:val="22"/>
          <w:szCs w:val="22"/>
        </w:rPr>
        <w:t xml:space="preserve">Tables illustrating the workforce profile will follow, but the data can be viewed in the WRES Data Submission </w:t>
      </w:r>
      <w:r>
        <w:rPr>
          <w:rFonts w:cs="Arial"/>
          <w:sz w:val="22"/>
          <w:szCs w:val="22"/>
        </w:rPr>
        <w:t>circulated with this report.</w:t>
      </w:r>
    </w:p>
    <w:p w:rsidR="00806DC6" w:rsidRPr="0003557F" w:rsidRDefault="00806DC6" w:rsidP="008D0D96">
      <w:pPr>
        <w:ind w:right="260"/>
        <w:rPr>
          <w:rFonts w:cs="Arial"/>
          <w:sz w:val="22"/>
          <w:szCs w:val="22"/>
        </w:rPr>
      </w:pPr>
    </w:p>
    <w:p w:rsidR="00806DC6" w:rsidRPr="00A05E14" w:rsidRDefault="00806DC6" w:rsidP="008D0D96">
      <w:pPr>
        <w:numPr>
          <w:ilvl w:val="1"/>
          <w:numId w:val="25"/>
        </w:numPr>
        <w:spacing w:after="120"/>
        <w:ind w:right="260"/>
        <w:jc w:val="both"/>
        <w:rPr>
          <w:rFonts w:cs="Arial"/>
          <w:b/>
          <w:sz w:val="22"/>
          <w:szCs w:val="22"/>
        </w:rPr>
      </w:pPr>
      <w:r w:rsidRPr="00A05E14">
        <w:rPr>
          <w:rFonts w:cs="Arial"/>
          <w:b/>
          <w:sz w:val="22"/>
          <w:szCs w:val="22"/>
        </w:rPr>
        <w:t>Indicator 2</w:t>
      </w:r>
      <w:r w:rsidRPr="00A05E14">
        <w:rPr>
          <w:rFonts w:cs="Arial"/>
          <w:sz w:val="22"/>
          <w:szCs w:val="22"/>
        </w:rPr>
        <w:t xml:space="preserve"> - Relative likelihood of staff being appointed from shortlisting across all posts.</w:t>
      </w:r>
      <w:r w:rsidRPr="00A05E14">
        <w:rPr>
          <w:rFonts w:cs="Arial"/>
          <w:sz w:val="22"/>
          <w:szCs w:val="22"/>
        </w:rPr>
        <w:br/>
      </w:r>
      <w:r w:rsidRPr="00A05E14">
        <w:rPr>
          <w:rFonts w:cs="Arial"/>
          <w:b/>
          <w:sz w:val="22"/>
          <w:szCs w:val="22"/>
        </w:rPr>
        <w:t>Performance in 202</w:t>
      </w:r>
      <w:r>
        <w:rPr>
          <w:rFonts w:cs="Arial"/>
          <w:b/>
          <w:sz w:val="22"/>
          <w:szCs w:val="22"/>
        </w:rPr>
        <w:t>2</w:t>
      </w:r>
      <w:r w:rsidRPr="00A05E14">
        <w:rPr>
          <w:rFonts w:cs="Arial"/>
          <w:b/>
          <w:sz w:val="22"/>
          <w:szCs w:val="22"/>
        </w:rPr>
        <w:t xml:space="preserve">: </w:t>
      </w:r>
      <w:r>
        <w:rPr>
          <w:rFonts w:cs="Arial"/>
          <w:b/>
          <w:sz w:val="22"/>
          <w:szCs w:val="22"/>
        </w:rPr>
        <w:t>1.</w:t>
      </w:r>
      <w:r w:rsidR="003C33A5">
        <w:rPr>
          <w:rFonts w:cs="Arial"/>
          <w:b/>
          <w:sz w:val="22"/>
          <w:szCs w:val="22"/>
        </w:rPr>
        <w:t>67 (or lower*)</w:t>
      </w:r>
    </w:p>
    <w:p w:rsidR="00806DC6" w:rsidRDefault="00806DC6" w:rsidP="008D0D96">
      <w:pPr>
        <w:spacing w:after="120"/>
        <w:ind w:left="705" w:right="260"/>
        <w:jc w:val="both"/>
        <w:rPr>
          <w:rFonts w:cs="Arial"/>
          <w:sz w:val="22"/>
          <w:szCs w:val="22"/>
        </w:rPr>
      </w:pPr>
      <w:r w:rsidRPr="00A05E14">
        <w:rPr>
          <w:rFonts w:cs="Arial"/>
          <w:sz w:val="22"/>
          <w:szCs w:val="22"/>
        </w:rPr>
        <w:lastRenderedPageBreak/>
        <w:t>In 2015/16, White people shortlisted for interview were 2.58 times more likely than BME people to be appointed.  By 2020 this gap narrowed to 1.1 times</w:t>
      </w:r>
      <w:r>
        <w:rPr>
          <w:rFonts w:cs="Arial"/>
          <w:sz w:val="22"/>
          <w:szCs w:val="22"/>
        </w:rPr>
        <w:t>, and widened by 2022 to 1.52 times</w:t>
      </w:r>
      <w:r w:rsidRPr="00A05E14">
        <w:rPr>
          <w:rFonts w:cs="Arial"/>
          <w:sz w:val="22"/>
          <w:szCs w:val="22"/>
        </w:rPr>
        <w:t xml:space="preserve">. </w:t>
      </w:r>
      <w:r>
        <w:rPr>
          <w:rFonts w:cs="Arial"/>
          <w:sz w:val="22"/>
          <w:szCs w:val="22"/>
        </w:rPr>
        <w:t xml:space="preserve">The ratio for 2023 </w:t>
      </w:r>
      <w:r w:rsidR="003C33A5">
        <w:rPr>
          <w:rFonts w:cs="Arial"/>
          <w:sz w:val="22"/>
          <w:szCs w:val="22"/>
        </w:rPr>
        <w:t xml:space="preserve">appears to be </w:t>
      </w:r>
      <w:r w:rsidR="003C33A5" w:rsidRPr="003C33A5">
        <w:rPr>
          <w:rFonts w:cs="Arial"/>
          <w:b/>
          <w:sz w:val="22"/>
          <w:szCs w:val="22"/>
        </w:rPr>
        <w:t>1.67</w:t>
      </w:r>
      <w:r>
        <w:rPr>
          <w:rFonts w:cs="Arial"/>
          <w:sz w:val="22"/>
          <w:szCs w:val="22"/>
        </w:rPr>
        <w:t xml:space="preserve">, which </w:t>
      </w:r>
      <w:r w:rsidR="003C33A5">
        <w:rPr>
          <w:rFonts w:cs="Arial"/>
          <w:sz w:val="22"/>
          <w:szCs w:val="22"/>
        </w:rPr>
        <w:t>suggests</w:t>
      </w:r>
      <w:r>
        <w:rPr>
          <w:rFonts w:cs="Arial"/>
          <w:sz w:val="22"/>
          <w:szCs w:val="22"/>
        </w:rPr>
        <w:t xml:space="preserve"> that White </w:t>
      </w:r>
      <w:r w:rsidR="00123D22">
        <w:rPr>
          <w:rFonts w:cs="Arial"/>
          <w:sz w:val="22"/>
          <w:szCs w:val="22"/>
        </w:rPr>
        <w:t>people</w:t>
      </w:r>
      <w:r>
        <w:rPr>
          <w:rFonts w:cs="Arial"/>
          <w:sz w:val="22"/>
          <w:szCs w:val="22"/>
        </w:rPr>
        <w:t xml:space="preserve"> are </w:t>
      </w:r>
      <w:r w:rsidR="003C33A5">
        <w:rPr>
          <w:rFonts w:cs="Arial"/>
          <w:sz w:val="22"/>
          <w:szCs w:val="22"/>
        </w:rPr>
        <w:t>more than one and a half times</w:t>
      </w:r>
      <w:r>
        <w:rPr>
          <w:rFonts w:cs="Arial"/>
          <w:sz w:val="22"/>
          <w:szCs w:val="22"/>
        </w:rPr>
        <w:t xml:space="preserve"> as likely to be appointed from shortlist </w:t>
      </w:r>
      <w:r w:rsidR="00123D22">
        <w:rPr>
          <w:rFonts w:cs="Arial"/>
          <w:sz w:val="22"/>
          <w:szCs w:val="22"/>
        </w:rPr>
        <w:t>compared to Black, Asian, and Minority Ethnic/Global Majority people</w:t>
      </w:r>
      <w:r>
        <w:rPr>
          <w:rFonts w:cs="Arial"/>
          <w:sz w:val="22"/>
          <w:szCs w:val="22"/>
        </w:rPr>
        <w:t xml:space="preserve">.  </w:t>
      </w:r>
      <w:r w:rsidR="003C33A5">
        <w:rPr>
          <w:rFonts w:cs="Arial"/>
          <w:sz w:val="22"/>
          <w:szCs w:val="22"/>
        </w:rPr>
        <w:t xml:space="preserve">However, it appears that almost 50% of hires have ‘unknown’ as their ethnicity (not declared as unknown/declined, but unrecorded), on the electronic staff record (ESR), </w:t>
      </w:r>
      <w:r w:rsidR="001967D6">
        <w:rPr>
          <w:rFonts w:cs="Arial"/>
          <w:sz w:val="22"/>
          <w:szCs w:val="22"/>
        </w:rPr>
        <w:t>despite</w:t>
      </w:r>
      <w:r w:rsidR="003C33A5">
        <w:rPr>
          <w:rFonts w:cs="Arial"/>
          <w:sz w:val="22"/>
          <w:szCs w:val="22"/>
        </w:rPr>
        <w:t xml:space="preserve"> the recruitment platform, TRAC</w:t>
      </w:r>
      <w:r w:rsidR="001967D6">
        <w:rPr>
          <w:rFonts w:cs="Arial"/>
          <w:sz w:val="22"/>
          <w:szCs w:val="22"/>
        </w:rPr>
        <w:t>, having significantly low numbers of ‘unknown’ ethnicity at the shortlisting stage</w:t>
      </w:r>
      <w:r w:rsidR="003C33A5">
        <w:rPr>
          <w:rFonts w:cs="Arial"/>
          <w:sz w:val="22"/>
          <w:szCs w:val="22"/>
        </w:rPr>
        <w:t xml:space="preserve">.  A brief examination of the personal data on ESR suggests that a significant proportion of those </w:t>
      </w:r>
      <w:r w:rsidR="001967D6">
        <w:rPr>
          <w:rFonts w:cs="Arial"/>
          <w:sz w:val="22"/>
          <w:szCs w:val="22"/>
        </w:rPr>
        <w:t xml:space="preserve">identified on ESR as ‘unknown’ are </w:t>
      </w:r>
      <w:r w:rsidR="003C33A5">
        <w:rPr>
          <w:rFonts w:cs="Arial"/>
          <w:sz w:val="22"/>
          <w:szCs w:val="22"/>
        </w:rPr>
        <w:t>likely to be Black, Asian or Minority Ethnic/Global Majority.  An action is therefore req</w:t>
      </w:r>
      <w:r w:rsidR="001967D6">
        <w:rPr>
          <w:rFonts w:cs="Arial"/>
          <w:sz w:val="22"/>
          <w:szCs w:val="22"/>
        </w:rPr>
        <w:t>uired to encourage staff to update their personal data on ESR, and for the Resourcing Team to ensure that TRAC data is more accurately transferred to ESR.  The likelihood ratio of 1.67, is, therefore, the worst scenario in terms of this indicator.  At this stage, it is not possible to produce an accurate ratio, but a broad estimate, based on an examination of personal data, indicates that the ratio could be in the region of 1.2.</w:t>
      </w:r>
    </w:p>
    <w:p w:rsidR="00806DC6" w:rsidRDefault="00806DC6" w:rsidP="008D0D96">
      <w:pPr>
        <w:spacing w:after="120"/>
        <w:ind w:left="705" w:right="260"/>
        <w:jc w:val="both"/>
        <w:rPr>
          <w:rFonts w:cs="Arial"/>
          <w:sz w:val="22"/>
          <w:szCs w:val="22"/>
        </w:rPr>
      </w:pPr>
      <w:r>
        <w:rPr>
          <w:rFonts w:cs="Arial"/>
          <w:sz w:val="22"/>
          <w:szCs w:val="22"/>
        </w:rPr>
        <w:t xml:space="preserve">Indicator 2 needs to be read in conjunction with indicator 1, the workforce profile, which continues to identify pay and progression differentials for Black, Asian and </w:t>
      </w:r>
      <w:r w:rsidR="00123D22">
        <w:rPr>
          <w:rFonts w:cs="Arial"/>
          <w:sz w:val="22"/>
          <w:szCs w:val="22"/>
        </w:rPr>
        <w:t xml:space="preserve">Minority Ethnic staff, although there has been a shift in pay progression for Black, Asian and Minority Ethnic/Global Majority staff from Band 5 to Band 6, possibly as a result of career development at the Band 5/6 </w:t>
      </w:r>
      <w:r w:rsidR="00E7763E">
        <w:rPr>
          <w:rFonts w:cs="Arial"/>
          <w:sz w:val="22"/>
          <w:szCs w:val="22"/>
        </w:rPr>
        <w:t>threshold</w:t>
      </w:r>
      <w:r w:rsidR="00123D22">
        <w:rPr>
          <w:rFonts w:cs="Arial"/>
          <w:sz w:val="22"/>
          <w:szCs w:val="22"/>
        </w:rPr>
        <w:t>.</w:t>
      </w:r>
    </w:p>
    <w:p w:rsidR="00806DC6" w:rsidRPr="00A05E14" w:rsidRDefault="00806DC6" w:rsidP="008D0D96">
      <w:pPr>
        <w:spacing w:after="120"/>
        <w:ind w:left="705" w:right="260"/>
        <w:jc w:val="both"/>
        <w:rPr>
          <w:rFonts w:cs="Arial"/>
          <w:sz w:val="22"/>
          <w:szCs w:val="22"/>
        </w:rPr>
      </w:pPr>
      <w:r>
        <w:rPr>
          <w:rFonts w:cs="Arial"/>
          <w:sz w:val="22"/>
          <w:szCs w:val="22"/>
        </w:rPr>
        <w:t xml:space="preserve">For clarity, in accordance with the technical guidance this indicator </w:t>
      </w:r>
      <w:r w:rsidRPr="004F3ED7">
        <w:rPr>
          <w:rFonts w:cs="Arial"/>
          <w:i/>
          <w:sz w:val="22"/>
          <w:szCs w:val="22"/>
        </w:rPr>
        <w:t>does</w:t>
      </w:r>
      <w:r>
        <w:rPr>
          <w:rFonts w:cs="Arial"/>
          <w:sz w:val="22"/>
          <w:szCs w:val="22"/>
        </w:rPr>
        <w:t xml:space="preserve"> include international nurse recruitment (consistent with previous reports).</w:t>
      </w:r>
    </w:p>
    <w:p w:rsidR="00806DC6" w:rsidRPr="00A05E14" w:rsidRDefault="00806DC6" w:rsidP="008D0D96">
      <w:pPr>
        <w:numPr>
          <w:ilvl w:val="1"/>
          <w:numId w:val="25"/>
        </w:numPr>
        <w:spacing w:after="120"/>
        <w:ind w:right="260"/>
        <w:jc w:val="both"/>
        <w:rPr>
          <w:rFonts w:cs="Arial"/>
          <w:b/>
          <w:sz w:val="22"/>
          <w:szCs w:val="22"/>
        </w:rPr>
      </w:pPr>
      <w:r w:rsidRPr="00A05E14">
        <w:rPr>
          <w:rFonts w:cs="Arial"/>
          <w:b/>
          <w:sz w:val="22"/>
          <w:szCs w:val="22"/>
        </w:rPr>
        <w:t xml:space="preserve">Indicator 3 </w:t>
      </w:r>
      <w:r w:rsidRPr="00A05E14">
        <w:rPr>
          <w:rFonts w:cs="Arial"/>
          <w:sz w:val="22"/>
          <w:szCs w:val="22"/>
        </w:rPr>
        <w:t xml:space="preserve">- Relative likelihood of staff entering the formal disciplinary process, as measured by entry into a formal disciplinary investigation.  </w:t>
      </w:r>
      <w:r w:rsidRPr="00A05E14">
        <w:rPr>
          <w:rFonts w:cs="Arial"/>
          <w:b/>
          <w:sz w:val="22"/>
          <w:szCs w:val="22"/>
        </w:rPr>
        <w:t>Performance in 202</w:t>
      </w:r>
      <w:r>
        <w:rPr>
          <w:rFonts w:cs="Arial"/>
          <w:b/>
          <w:sz w:val="22"/>
          <w:szCs w:val="22"/>
        </w:rPr>
        <w:t>2</w:t>
      </w:r>
      <w:r w:rsidRPr="00A05E14">
        <w:rPr>
          <w:rFonts w:cs="Arial"/>
          <w:b/>
          <w:sz w:val="22"/>
          <w:szCs w:val="22"/>
        </w:rPr>
        <w:t>:</w:t>
      </w:r>
      <w:r>
        <w:rPr>
          <w:rFonts w:cs="Arial"/>
          <w:b/>
          <w:sz w:val="22"/>
          <w:szCs w:val="22"/>
        </w:rPr>
        <w:t>1.06</w:t>
      </w:r>
    </w:p>
    <w:p w:rsidR="00806DC6" w:rsidRDefault="00806DC6" w:rsidP="008D0D96">
      <w:pPr>
        <w:spacing w:after="120"/>
        <w:ind w:left="705" w:right="260"/>
        <w:jc w:val="both"/>
        <w:rPr>
          <w:rFonts w:cs="Arial"/>
          <w:sz w:val="22"/>
          <w:szCs w:val="22"/>
        </w:rPr>
      </w:pPr>
      <w:r>
        <w:rPr>
          <w:rFonts w:cs="Arial"/>
          <w:sz w:val="22"/>
          <w:szCs w:val="22"/>
        </w:rPr>
        <w:t xml:space="preserve">30 people have entered a formal disciplinary investigation in the 2022/23 (16 White, 10 BME, 4 unknown), giving a relative likelihood of </w:t>
      </w:r>
      <w:r>
        <w:rPr>
          <w:rFonts w:cs="Arial"/>
          <w:b/>
          <w:sz w:val="22"/>
          <w:szCs w:val="22"/>
        </w:rPr>
        <w:t>1.06</w:t>
      </w:r>
      <w:r>
        <w:rPr>
          <w:rFonts w:cs="Arial"/>
          <w:sz w:val="22"/>
          <w:szCs w:val="22"/>
        </w:rPr>
        <w:t>.  However, in reality 0.58% of White staff, and 0.62% of BME staff were in those procedures; giving a relative likelihood of 1.06, illustrates that BAME staff are marginally more likely to be in disciplinary measures that White staff, but that the difference has narrowed significantly too.</w:t>
      </w:r>
    </w:p>
    <w:p w:rsidR="00806DC6" w:rsidRDefault="00806DC6" w:rsidP="008D0D96">
      <w:pPr>
        <w:spacing w:after="120"/>
        <w:ind w:left="705" w:right="260"/>
        <w:jc w:val="both"/>
        <w:rPr>
          <w:rFonts w:cs="Arial"/>
          <w:sz w:val="22"/>
          <w:szCs w:val="22"/>
        </w:rPr>
      </w:pPr>
    </w:p>
    <w:p w:rsidR="00806DC6" w:rsidRDefault="00806DC6" w:rsidP="008D0D96">
      <w:pPr>
        <w:spacing w:after="240"/>
        <w:ind w:left="709" w:right="260" w:hanging="4"/>
        <w:jc w:val="both"/>
        <w:rPr>
          <w:rFonts w:cs="Arial"/>
          <w:b/>
          <w:sz w:val="22"/>
          <w:szCs w:val="22"/>
        </w:rPr>
      </w:pPr>
      <w:r>
        <w:rPr>
          <w:rFonts w:cs="Arial"/>
          <w:b/>
          <w:sz w:val="22"/>
          <w:szCs w:val="22"/>
        </w:rPr>
        <w:t>Table - Indicator 3 – FORMAL PROCEDURES</w:t>
      </w:r>
    </w:p>
    <w:p w:rsidR="008325C6" w:rsidRPr="005A05C5" w:rsidRDefault="008325C6" w:rsidP="008D0D96">
      <w:pPr>
        <w:spacing w:after="240"/>
        <w:ind w:left="709" w:right="260" w:hanging="4"/>
        <w:jc w:val="both"/>
        <w:rPr>
          <w:rFonts w:cs="Arial"/>
          <w:b/>
          <w:sz w:val="22"/>
          <w:szCs w:val="22"/>
        </w:rPr>
      </w:pPr>
      <w:r w:rsidRPr="008325C6">
        <w:rPr>
          <w:rFonts w:cs="Arial"/>
          <w:sz w:val="22"/>
          <w:szCs w:val="22"/>
        </w:rPr>
        <w:t>Likelihood of staff entering the formal disciplinary process, as measured by entry into a formal disciplinary investigation</w:t>
      </w:r>
    </w:p>
    <w:tbl>
      <w:tblPr>
        <w:tblStyle w:val="TableGrid"/>
        <w:tblW w:w="0" w:type="auto"/>
        <w:tblInd w:w="705" w:type="dxa"/>
        <w:tblLook w:val="04A0" w:firstRow="1" w:lastRow="0" w:firstColumn="1" w:lastColumn="0" w:noHBand="0" w:noVBand="1"/>
      </w:tblPr>
      <w:tblGrid>
        <w:gridCol w:w="2138"/>
        <w:gridCol w:w="2188"/>
        <w:gridCol w:w="2188"/>
        <w:gridCol w:w="2183"/>
      </w:tblGrid>
      <w:tr w:rsidR="00806DC6" w:rsidRPr="00D03C47" w:rsidTr="00CD3426">
        <w:tc>
          <w:tcPr>
            <w:tcW w:w="2138" w:type="dxa"/>
            <w:shd w:val="clear" w:color="auto" w:fill="D9D9D9" w:themeFill="background1" w:themeFillShade="D9"/>
          </w:tcPr>
          <w:p w:rsidR="00806DC6" w:rsidRPr="00D03C47" w:rsidRDefault="00806DC6" w:rsidP="008D0D96">
            <w:pPr>
              <w:spacing w:after="120"/>
              <w:ind w:right="260"/>
              <w:rPr>
                <w:rFonts w:cs="Arial"/>
                <w:sz w:val="22"/>
                <w:szCs w:val="22"/>
              </w:rPr>
            </w:pPr>
            <w:r w:rsidRPr="00D03C47">
              <w:rPr>
                <w:rFonts w:cs="Arial"/>
                <w:sz w:val="22"/>
                <w:szCs w:val="22"/>
              </w:rPr>
              <w:t>WRES year</w:t>
            </w:r>
            <w:r w:rsidRPr="00D03C47">
              <w:rPr>
                <w:rFonts w:cs="Arial"/>
                <w:sz w:val="22"/>
                <w:szCs w:val="22"/>
              </w:rPr>
              <w:br/>
            </w:r>
          </w:p>
        </w:tc>
        <w:tc>
          <w:tcPr>
            <w:tcW w:w="2188" w:type="dxa"/>
            <w:shd w:val="clear" w:color="auto" w:fill="D9D9D9" w:themeFill="background1" w:themeFillShade="D9"/>
          </w:tcPr>
          <w:p w:rsidR="00806DC6" w:rsidRPr="00D03C47" w:rsidRDefault="00806DC6" w:rsidP="008D0D96">
            <w:pPr>
              <w:spacing w:after="120"/>
              <w:ind w:right="260"/>
              <w:rPr>
                <w:rFonts w:cs="Arial"/>
                <w:sz w:val="22"/>
                <w:szCs w:val="22"/>
              </w:rPr>
            </w:pPr>
            <w:r w:rsidRPr="00D03C47">
              <w:rPr>
                <w:rFonts w:cs="Arial"/>
                <w:sz w:val="22"/>
                <w:szCs w:val="22"/>
              </w:rPr>
              <w:t>White employees</w:t>
            </w:r>
          </w:p>
        </w:tc>
        <w:tc>
          <w:tcPr>
            <w:tcW w:w="2188" w:type="dxa"/>
            <w:shd w:val="clear" w:color="auto" w:fill="D9D9D9" w:themeFill="background1" w:themeFillShade="D9"/>
          </w:tcPr>
          <w:p w:rsidR="00806DC6" w:rsidRPr="00D03C47" w:rsidRDefault="00806DC6" w:rsidP="008D0D96">
            <w:pPr>
              <w:spacing w:after="120"/>
              <w:ind w:right="260"/>
              <w:rPr>
                <w:rFonts w:cs="Arial"/>
                <w:sz w:val="22"/>
                <w:szCs w:val="22"/>
              </w:rPr>
            </w:pPr>
            <w:r w:rsidRPr="00D03C47">
              <w:rPr>
                <w:rFonts w:cs="Arial"/>
                <w:sz w:val="22"/>
                <w:szCs w:val="22"/>
              </w:rPr>
              <w:t>BME employees</w:t>
            </w:r>
          </w:p>
        </w:tc>
        <w:tc>
          <w:tcPr>
            <w:tcW w:w="2183" w:type="dxa"/>
            <w:shd w:val="clear" w:color="auto" w:fill="D9D9D9" w:themeFill="background1" w:themeFillShade="D9"/>
          </w:tcPr>
          <w:p w:rsidR="00806DC6" w:rsidRPr="00D03C47" w:rsidRDefault="00806DC6" w:rsidP="008D0D96">
            <w:pPr>
              <w:spacing w:after="120"/>
              <w:ind w:right="260"/>
              <w:rPr>
                <w:rFonts w:cs="Arial"/>
                <w:b/>
                <w:sz w:val="22"/>
                <w:szCs w:val="22"/>
              </w:rPr>
            </w:pPr>
            <w:r w:rsidRPr="00D03C47">
              <w:rPr>
                <w:rFonts w:cs="Arial"/>
                <w:b/>
                <w:sz w:val="22"/>
                <w:szCs w:val="22"/>
              </w:rPr>
              <w:t>Relative likelihood (ratio)</w:t>
            </w:r>
          </w:p>
          <w:p w:rsidR="00806DC6" w:rsidRPr="00D03C47" w:rsidRDefault="00806DC6" w:rsidP="008D0D96">
            <w:pPr>
              <w:spacing w:after="120"/>
              <w:ind w:right="260"/>
              <w:rPr>
                <w:rFonts w:cs="Arial"/>
                <w:sz w:val="22"/>
                <w:szCs w:val="22"/>
              </w:rPr>
            </w:pPr>
            <w:r w:rsidRPr="00D03C47">
              <w:rPr>
                <w:rFonts w:cs="Arial"/>
                <w:sz w:val="22"/>
                <w:szCs w:val="22"/>
              </w:rPr>
              <w:t>(1.00 = equality)</w:t>
            </w:r>
          </w:p>
        </w:tc>
      </w:tr>
      <w:tr w:rsidR="00806DC6" w:rsidRPr="00D03C47" w:rsidTr="00CD3426">
        <w:tc>
          <w:tcPr>
            <w:tcW w:w="2138" w:type="dxa"/>
          </w:tcPr>
          <w:p w:rsidR="00806DC6" w:rsidRDefault="00806DC6" w:rsidP="008D0D96">
            <w:pPr>
              <w:spacing w:after="120"/>
              <w:ind w:right="260"/>
              <w:rPr>
                <w:rFonts w:cs="Arial"/>
                <w:sz w:val="22"/>
                <w:szCs w:val="22"/>
              </w:rPr>
            </w:pPr>
            <w:r>
              <w:rPr>
                <w:rFonts w:cs="Arial"/>
                <w:sz w:val="22"/>
                <w:szCs w:val="22"/>
              </w:rPr>
              <w:t>2023</w:t>
            </w:r>
          </w:p>
        </w:tc>
        <w:tc>
          <w:tcPr>
            <w:tcW w:w="2188" w:type="dxa"/>
          </w:tcPr>
          <w:p w:rsidR="00806DC6" w:rsidRDefault="00806DC6" w:rsidP="008D0D96">
            <w:pPr>
              <w:spacing w:after="120" w:line="360" w:lineRule="auto"/>
              <w:ind w:right="260"/>
              <w:rPr>
                <w:rFonts w:cs="Arial"/>
                <w:sz w:val="22"/>
                <w:szCs w:val="22"/>
              </w:rPr>
            </w:pPr>
            <w:r>
              <w:rPr>
                <w:rFonts w:cs="Arial"/>
                <w:sz w:val="22"/>
                <w:szCs w:val="22"/>
              </w:rPr>
              <w:t>0.58%</w:t>
            </w:r>
          </w:p>
        </w:tc>
        <w:tc>
          <w:tcPr>
            <w:tcW w:w="2188" w:type="dxa"/>
          </w:tcPr>
          <w:p w:rsidR="00806DC6" w:rsidRDefault="00806DC6" w:rsidP="008D0D96">
            <w:pPr>
              <w:spacing w:after="120"/>
              <w:ind w:right="260"/>
              <w:rPr>
                <w:rFonts w:cs="Arial"/>
                <w:sz w:val="22"/>
                <w:szCs w:val="22"/>
              </w:rPr>
            </w:pPr>
            <w:r>
              <w:rPr>
                <w:rFonts w:cs="Arial"/>
                <w:sz w:val="22"/>
                <w:szCs w:val="22"/>
              </w:rPr>
              <w:t>0.62%</w:t>
            </w:r>
          </w:p>
        </w:tc>
        <w:tc>
          <w:tcPr>
            <w:tcW w:w="2183" w:type="dxa"/>
          </w:tcPr>
          <w:p w:rsidR="00806DC6" w:rsidRDefault="00806DC6" w:rsidP="008D0D96">
            <w:pPr>
              <w:spacing w:after="120"/>
              <w:ind w:right="260"/>
              <w:rPr>
                <w:rFonts w:cs="Arial"/>
                <w:sz w:val="22"/>
                <w:szCs w:val="22"/>
              </w:rPr>
            </w:pPr>
            <w:r>
              <w:rPr>
                <w:rFonts w:cs="Arial"/>
                <w:sz w:val="22"/>
                <w:szCs w:val="22"/>
              </w:rPr>
              <w:t>1.06</w:t>
            </w:r>
          </w:p>
        </w:tc>
      </w:tr>
      <w:tr w:rsidR="00806DC6" w:rsidRPr="00D03C47" w:rsidTr="00CD3426">
        <w:tc>
          <w:tcPr>
            <w:tcW w:w="2138" w:type="dxa"/>
          </w:tcPr>
          <w:p w:rsidR="00806DC6" w:rsidRDefault="00806DC6" w:rsidP="008D0D96">
            <w:pPr>
              <w:spacing w:after="120"/>
              <w:ind w:right="260"/>
              <w:rPr>
                <w:rFonts w:cs="Arial"/>
                <w:sz w:val="22"/>
                <w:szCs w:val="22"/>
              </w:rPr>
            </w:pPr>
            <w:r>
              <w:rPr>
                <w:rFonts w:cs="Arial"/>
                <w:sz w:val="22"/>
                <w:szCs w:val="22"/>
              </w:rPr>
              <w:t>2022</w:t>
            </w:r>
          </w:p>
        </w:tc>
        <w:tc>
          <w:tcPr>
            <w:tcW w:w="2188" w:type="dxa"/>
          </w:tcPr>
          <w:p w:rsidR="00806DC6" w:rsidRDefault="00806DC6" w:rsidP="008D0D96">
            <w:pPr>
              <w:spacing w:after="120"/>
              <w:ind w:right="260"/>
              <w:rPr>
                <w:rFonts w:cs="Arial"/>
                <w:sz w:val="22"/>
                <w:szCs w:val="22"/>
              </w:rPr>
            </w:pPr>
            <w:r>
              <w:rPr>
                <w:rFonts w:cs="Arial"/>
                <w:sz w:val="22"/>
                <w:szCs w:val="22"/>
              </w:rPr>
              <w:t>0.5%</w:t>
            </w:r>
          </w:p>
        </w:tc>
        <w:tc>
          <w:tcPr>
            <w:tcW w:w="2188" w:type="dxa"/>
          </w:tcPr>
          <w:p w:rsidR="00806DC6" w:rsidRDefault="00806DC6" w:rsidP="008D0D96">
            <w:pPr>
              <w:spacing w:after="120"/>
              <w:ind w:right="260"/>
              <w:rPr>
                <w:rFonts w:cs="Arial"/>
                <w:sz w:val="22"/>
                <w:szCs w:val="22"/>
              </w:rPr>
            </w:pPr>
            <w:r>
              <w:rPr>
                <w:rFonts w:cs="Arial"/>
                <w:sz w:val="22"/>
                <w:szCs w:val="22"/>
              </w:rPr>
              <w:t>0.4%</w:t>
            </w:r>
          </w:p>
        </w:tc>
        <w:tc>
          <w:tcPr>
            <w:tcW w:w="2183" w:type="dxa"/>
          </w:tcPr>
          <w:p w:rsidR="00806DC6" w:rsidRDefault="00806DC6" w:rsidP="008D0D96">
            <w:pPr>
              <w:spacing w:after="120"/>
              <w:ind w:right="260"/>
              <w:rPr>
                <w:rFonts w:cs="Arial"/>
                <w:sz w:val="22"/>
                <w:szCs w:val="22"/>
              </w:rPr>
            </w:pPr>
            <w:r>
              <w:rPr>
                <w:rFonts w:cs="Arial"/>
                <w:sz w:val="22"/>
                <w:szCs w:val="22"/>
              </w:rPr>
              <w:t>0.80</w:t>
            </w:r>
          </w:p>
        </w:tc>
      </w:tr>
      <w:tr w:rsidR="00806DC6" w:rsidRPr="00D03C47" w:rsidTr="00CD3426">
        <w:tc>
          <w:tcPr>
            <w:tcW w:w="2138" w:type="dxa"/>
          </w:tcPr>
          <w:p w:rsidR="00806DC6" w:rsidRPr="00D03C47" w:rsidRDefault="00806DC6" w:rsidP="008D0D96">
            <w:pPr>
              <w:spacing w:after="120"/>
              <w:ind w:right="260"/>
              <w:rPr>
                <w:rFonts w:cs="Arial"/>
                <w:sz w:val="22"/>
                <w:szCs w:val="22"/>
              </w:rPr>
            </w:pPr>
            <w:r>
              <w:rPr>
                <w:rFonts w:cs="Arial"/>
                <w:sz w:val="22"/>
                <w:szCs w:val="22"/>
              </w:rPr>
              <w:t>2021</w:t>
            </w:r>
          </w:p>
        </w:tc>
        <w:tc>
          <w:tcPr>
            <w:tcW w:w="2188" w:type="dxa"/>
          </w:tcPr>
          <w:p w:rsidR="00806DC6" w:rsidRPr="00D03C47" w:rsidRDefault="00806DC6" w:rsidP="008D0D96">
            <w:pPr>
              <w:spacing w:after="120"/>
              <w:ind w:right="260"/>
              <w:rPr>
                <w:rFonts w:cs="Arial"/>
                <w:sz w:val="22"/>
                <w:szCs w:val="22"/>
              </w:rPr>
            </w:pPr>
            <w:r>
              <w:rPr>
                <w:rFonts w:cs="Arial"/>
                <w:sz w:val="22"/>
                <w:szCs w:val="22"/>
              </w:rPr>
              <w:t>0.74%</w:t>
            </w:r>
          </w:p>
        </w:tc>
        <w:tc>
          <w:tcPr>
            <w:tcW w:w="2188" w:type="dxa"/>
          </w:tcPr>
          <w:p w:rsidR="00806DC6" w:rsidRPr="00D03C47" w:rsidRDefault="00806DC6" w:rsidP="008D0D96">
            <w:pPr>
              <w:spacing w:after="120"/>
              <w:ind w:right="260"/>
              <w:rPr>
                <w:rFonts w:cs="Arial"/>
                <w:sz w:val="22"/>
                <w:szCs w:val="22"/>
              </w:rPr>
            </w:pPr>
            <w:r>
              <w:rPr>
                <w:rFonts w:cs="Arial"/>
                <w:sz w:val="22"/>
                <w:szCs w:val="22"/>
              </w:rPr>
              <w:t>0.76%</w:t>
            </w:r>
          </w:p>
        </w:tc>
        <w:tc>
          <w:tcPr>
            <w:tcW w:w="2183" w:type="dxa"/>
          </w:tcPr>
          <w:p w:rsidR="00806DC6" w:rsidRPr="00D03C47" w:rsidRDefault="00806DC6" w:rsidP="008D0D96">
            <w:pPr>
              <w:spacing w:after="120"/>
              <w:ind w:right="260"/>
              <w:rPr>
                <w:rFonts w:cs="Arial"/>
                <w:sz w:val="22"/>
                <w:szCs w:val="22"/>
              </w:rPr>
            </w:pPr>
            <w:r>
              <w:rPr>
                <w:rFonts w:cs="Arial"/>
                <w:sz w:val="22"/>
                <w:szCs w:val="22"/>
              </w:rPr>
              <w:t>1.03</w:t>
            </w:r>
          </w:p>
        </w:tc>
      </w:tr>
      <w:tr w:rsidR="00806DC6" w:rsidRPr="00D03C47" w:rsidTr="00CD3426">
        <w:tc>
          <w:tcPr>
            <w:tcW w:w="2138" w:type="dxa"/>
          </w:tcPr>
          <w:p w:rsidR="00806DC6" w:rsidRPr="00D03C47" w:rsidRDefault="00806DC6" w:rsidP="008D0D96">
            <w:pPr>
              <w:spacing w:after="120"/>
              <w:ind w:right="260"/>
              <w:rPr>
                <w:rFonts w:cs="Arial"/>
                <w:sz w:val="22"/>
                <w:szCs w:val="22"/>
              </w:rPr>
            </w:pPr>
            <w:r w:rsidRPr="00D03C47">
              <w:rPr>
                <w:rFonts w:cs="Arial"/>
                <w:sz w:val="22"/>
                <w:szCs w:val="22"/>
              </w:rPr>
              <w:t>2020</w:t>
            </w:r>
          </w:p>
        </w:tc>
        <w:tc>
          <w:tcPr>
            <w:tcW w:w="2188" w:type="dxa"/>
          </w:tcPr>
          <w:p w:rsidR="00806DC6" w:rsidRPr="00D03C47" w:rsidRDefault="00806DC6" w:rsidP="008D0D96">
            <w:pPr>
              <w:spacing w:after="120"/>
              <w:ind w:right="260"/>
              <w:rPr>
                <w:rFonts w:cs="Arial"/>
                <w:sz w:val="22"/>
                <w:szCs w:val="22"/>
              </w:rPr>
            </w:pPr>
            <w:r w:rsidRPr="00D03C47">
              <w:rPr>
                <w:rFonts w:cs="Arial"/>
                <w:sz w:val="22"/>
                <w:szCs w:val="22"/>
              </w:rPr>
              <w:t>1.53%</w:t>
            </w:r>
          </w:p>
        </w:tc>
        <w:tc>
          <w:tcPr>
            <w:tcW w:w="2188" w:type="dxa"/>
          </w:tcPr>
          <w:p w:rsidR="00806DC6" w:rsidRPr="00D03C47" w:rsidRDefault="00806DC6" w:rsidP="008D0D96">
            <w:pPr>
              <w:spacing w:after="120"/>
              <w:ind w:right="260"/>
              <w:rPr>
                <w:rFonts w:cs="Arial"/>
                <w:sz w:val="22"/>
                <w:szCs w:val="22"/>
              </w:rPr>
            </w:pPr>
            <w:r w:rsidRPr="00D03C47">
              <w:rPr>
                <w:rFonts w:cs="Arial"/>
                <w:sz w:val="22"/>
                <w:szCs w:val="22"/>
              </w:rPr>
              <w:t>0.90%</w:t>
            </w:r>
          </w:p>
        </w:tc>
        <w:tc>
          <w:tcPr>
            <w:tcW w:w="2183" w:type="dxa"/>
          </w:tcPr>
          <w:p w:rsidR="00806DC6" w:rsidRPr="00D03C47" w:rsidRDefault="00806DC6" w:rsidP="008D0D96">
            <w:pPr>
              <w:spacing w:after="120"/>
              <w:ind w:right="260"/>
              <w:rPr>
                <w:rFonts w:cs="Arial"/>
                <w:sz w:val="22"/>
                <w:szCs w:val="22"/>
              </w:rPr>
            </w:pPr>
            <w:r w:rsidRPr="00D03C47">
              <w:rPr>
                <w:rFonts w:cs="Arial"/>
                <w:sz w:val="22"/>
                <w:szCs w:val="22"/>
              </w:rPr>
              <w:t>0.59</w:t>
            </w:r>
          </w:p>
        </w:tc>
      </w:tr>
      <w:tr w:rsidR="00806DC6" w:rsidRPr="00D03C47" w:rsidTr="00CD3426">
        <w:tc>
          <w:tcPr>
            <w:tcW w:w="2138" w:type="dxa"/>
          </w:tcPr>
          <w:p w:rsidR="00806DC6" w:rsidRPr="00D03C47" w:rsidRDefault="00806DC6" w:rsidP="008D0D96">
            <w:pPr>
              <w:spacing w:after="120"/>
              <w:ind w:right="260"/>
              <w:rPr>
                <w:rFonts w:cs="Arial"/>
                <w:sz w:val="22"/>
                <w:szCs w:val="22"/>
              </w:rPr>
            </w:pPr>
            <w:r w:rsidRPr="00D03C47">
              <w:rPr>
                <w:rFonts w:cs="Arial"/>
                <w:sz w:val="22"/>
                <w:szCs w:val="22"/>
              </w:rPr>
              <w:t>2019</w:t>
            </w:r>
          </w:p>
        </w:tc>
        <w:tc>
          <w:tcPr>
            <w:tcW w:w="2188" w:type="dxa"/>
          </w:tcPr>
          <w:p w:rsidR="00806DC6" w:rsidRPr="00D03C47" w:rsidRDefault="00806DC6" w:rsidP="008D0D96">
            <w:pPr>
              <w:spacing w:after="120"/>
              <w:ind w:right="260"/>
              <w:rPr>
                <w:rFonts w:cs="Arial"/>
                <w:sz w:val="22"/>
                <w:szCs w:val="22"/>
              </w:rPr>
            </w:pPr>
            <w:r w:rsidRPr="00D03C47">
              <w:rPr>
                <w:rFonts w:cs="Arial"/>
                <w:sz w:val="22"/>
                <w:szCs w:val="22"/>
              </w:rPr>
              <w:t>2.23%</w:t>
            </w:r>
          </w:p>
        </w:tc>
        <w:tc>
          <w:tcPr>
            <w:tcW w:w="2188" w:type="dxa"/>
          </w:tcPr>
          <w:p w:rsidR="00806DC6" w:rsidRPr="00D03C47" w:rsidRDefault="00806DC6" w:rsidP="008D0D96">
            <w:pPr>
              <w:spacing w:after="120"/>
              <w:ind w:right="260"/>
              <w:rPr>
                <w:rFonts w:cs="Arial"/>
                <w:sz w:val="22"/>
                <w:szCs w:val="22"/>
              </w:rPr>
            </w:pPr>
            <w:r w:rsidRPr="00D03C47">
              <w:rPr>
                <w:rFonts w:cs="Arial"/>
                <w:sz w:val="22"/>
                <w:szCs w:val="22"/>
              </w:rPr>
              <w:t>1.25%</w:t>
            </w:r>
          </w:p>
        </w:tc>
        <w:tc>
          <w:tcPr>
            <w:tcW w:w="2183" w:type="dxa"/>
          </w:tcPr>
          <w:p w:rsidR="00806DC6" w:rsidRPr="00D03C47" w:rsidRDefault="00806DC6" w:rsidP="008D0D96">
            <w:pPr>
              <w:spacing w:after="120"/>
              <w:ind w:right="260"/>
              <w:rPr>
                <w:rFonts w:cs="Arial"/>
                <w:sz w:val="22"/>
                <w:szCs w:val="22"/>
              </w:rPr>
            </w:pPr>
            <w:r w:rsidRPr="00D03C47">
              <w:rPr>
                <w:rFonts w:cs="Arial"/>
                <w:sz w:val="22"/>
                <w:szCs w:val="22"/>
              </w:rPr>
              <w:t>0.56</w:t>
            </w:r>
          </w:p>
        </w:tc>
      </w:tr>
    </w:tbl>
    <w:p w:rsidR="00806DC6" w:rsidRPr="00A05E14" w:rsidRDefault="00806DC6" w:rsidP="008D0D96">
      <w:pPr>
        <w:spacing w:after="120"/>
        <w:ind w:left="705" w:right="260"/>
        <w:jc w:val="both"/>
        <w:rPr>
          <w:rFonts w:cs="Arial"/>
          <w:sz w:val="22"/>
          <w:szCs w:val="22"/>
        </w:rPr>
      </w:pPr>
    </w:p>
    <w:p w:rsidR="00806DC6" w:rsidRPr="00A05E14" w:rsidRDefault="00806DC6" w:rsidP="008D0D96">
      <w:pPr>
        <w:ind w:left="720" w:right="260"/>
        <w:rPr>
          <w:rFonts w:cs="Arial"/>
          <w:sz w:val="22"/>
          <w:szCs w:val="22"/>
        </w:rPr>
      </w:pPr>
    </w:p>
    <w:p w:rsidR="00806DC6" w:rsidRDefault="00806DC6" w:rsidP="008D0D96">
      <w:pPr>
        <w:numPr>
          <w:ilvl w:val="1"/>
          <w:numId w:val="25"/>
        </w:numPr>
        <w:spacing w:after="120"/>
        <w:ind w:right="260"/>
        <w:rPr>
          <w:rFonts w:cs="Arial"/>
          <w:b/>
          <w:sz w:val="22"/>
          <w:szCs w:val="22"/>
        </w:rPr>
      </w:pPr>
      <w:r>
        <w:rPr>
          <w:rFonts w:cs="Arial"/>
          <w:b/>
          <w:sz w:val="22"/>
          <w:szCs w:val="22"/>
        </w:rPr>
        <w:br w:type="page"/>
      </w:r>
    </w:p>
    <w:p w:rsidR="00806DC6" w:rsidRPr="000E3428" w:rsidRDefault="00806DC6" w:rsidP="008D0D96">
      <w:pPr>
        <w:numPr>
          <w:ilvl w:val="1"/>
          <w:numId w:val="25"/>
        </w:numPr>
        <w:spacing w:after="120"/>
        <w:ind w:right="260"/>
        <w:rPr>
          <w:rFonts w:cs="Arial"/>
          <w:b/>
          <w:sz w:val="22"/>
          <w:szCs w:val="22"/>
        </w:rPr>
      </w:pPr>
      <w:r w:rsidRPr="000E3428">
        <w:rPr>
          <w:rFonts w:cs="Arial"/>
          <w:b/>
          <w:sz w:val="22"/>
          <w:szCs w:val="22"/>
        </w:rPr>
        <w:lastRenderedPageBreak/>
        <w:t>Indicator 4</w:t>
      </w:r>
      <w:r w:rsidRPr="000E3428">
        <w:rPr>
          <w:rFonts w:cs="Arial"/>
          <w:sz w:val="22"/>
          <w:szCs w:val="22"/>
        </w:rPr>
        <w:t xml:space="preserve"> - Relative likelihood of staff accessing non-mandatory training and CPD.</w:t>
      </w:r>
      <w:r w:rsidRPr="000E3428">
        <w:rPr>
          <w:rFonts w:cs="Arial"/>
          <w:sz w:val="22"/>
          <w:szCs w:val="22"/>
        </w:rPr>
        <w:br/>
      </w:r>
      <w:r w:rsidRPr="000E3428">
        <w:rPr>
          <w:rFonts w:cs="Arial"/>
          <w:b/>
          <w:sz w:val="22"/>
          <w:szCs w:val="22"/>
        </w:rPr>
        <w:t>Performance in 202</w:t>
      </w:r>
      <w:r>
        <w:rPr>
          <w:rFonts w:cs="Arial"/>
          <w:b/>
          <w:sz w:val="22"/>
          <w:szCs w:val="22"/>
        </w:rPr>
        <w:t>2</w:t>
      </w:r>
      <w:r w:rsidRPr="000E3428">
        <w:rPr>
          <w:rFonts w:cs="Arial"/>
          <w:b/>
          <w:sz w:val="22"/>
          <w:szCs w:val="22"/>
        </w:rPr>
        <w:t xml:space="preserve">: </w:t>
      </w:r>
      <w:r>
        <w:rPr>
          <w:rFonts w:cs="Arial"/>
          <w:b/>
          <w:sz w:val="22"/>
          <w:szCs w:val="22"/>
        </w:rPr>
        <w:t>1.00</w:t>
      </w:r>
    </w:p>
    <w:p w:rsidR="00806DC6" w:rsidRPr="000E3428" w:rsidRDefault="00806DC6" w:rsidP="008D0D96">
      <w:pPr>
        <w:spacing w:after="120"/>
        <w:ind w:left="705" w:right="260"/>
        <w:jc w:val="both"/>
        <w:rPr>
          <w:rFonts w:cs="Arial"/>
          <w:sz w:val="22"/>
          <w:szCs w:val="22"/>
        </w:rPr>
      </w:pPr>
      <w:r w:rsidRPr="000E3428">
        <w:rPr>
          <w:rFonts w:cs="Arial"/>
          <w:sz w:val="22"/>
          <w:szCs w:val="22"/>
        </w:rPr>
        <w:t>NHS organisations set and are expected to explain their definition of non-mandatory training.  The Trust defines access to non-mandatory training as being all training available via My ESR (the training platform that is part of the NHS Electronic Staff Record) with the exception of Statutory and Mandatory training courses under the Core Training Standards Framework, and courses regarded as essential training (including FIT testing).  Continued Professional Development (CPD) is defined as formal courses provided by Universities and other external providers.  In house professional development specific to individual clinical disciplines and medical education are not included.  The take up of either CPD or Non-mandatory training is c</w:t>
      </w:r>
      <w:r>
        <w:rPr>
          <w:rFonts w:cs="Arial"/>
          <w:sz w:val="22"/>
          <w:szCs w:val="22"/>
        </w:rPr>
        <w:t>ompared for White and BME staff, and the data taken from the Electronic Staff Record (ESR)</w:t>
      </w:r>
    </w:p>
    <w:p w:rsidR="00806DC6" w:rsidRDefault="00806DC6" w:rsidP="008D0D96">
      <w:pPr>
        <w:spacing w:after="120"/>
        <w:ind w:left="705" w:right="260"/>
        <w:jc w:val="both"/>
        <w:rPr>
          <w:rFonts w:cs="Arial"/>
          <w:sz w:val="22"/>
          <w:szCs w:val="22"/>
        </w:rPr>
      </w:pPr>
      <w:r w:rsidRPr="000E3428">
        <w:rPr>
          <w:rFonts w:cs="Arial"/>
          <w:sz w:val="22"/>
          <w:szCs w:val="22"/>
        </w:rPr>
        <w:t xml:space="preserve">The data for this indicator shows that the performance on this indicator shows that </w:t>
      </w:r>
      <w:r>
        <w:rPr>
          <w:rFonts w:cs="Arial"/>
          <w:sz w:val="22"/>
          <w:szCs w:val="22"/>
        </w:rPr>
        <w:t>97.46</w:t>
      </w:r>
      <w:r w:rsidRPr="000E3428">
        <w:rPr>
          <w:rFonts w:cs="Arial"/>
          <w:sz w:val="22"/>
          <w:szCs w:val="22"/>
        </w:rPr>
        <w:t xml:space="preserve">% of BME staff and </w:t>
      </w:r>
      <w:r>
        <w:rPr>
          <w:rFonts w:cs="Arial"/>
          <w:sz w:val="22"/>
          <w:szCs w:val="22"/>
        </w:rPr>
        <w:t>97.46</w:t>
      </w:r>
      <w:r w:rsidRPr="000E3428">
        <w:rPr>
          <w:rFonts w:cs="Arial"/>
          <w:sz w:val="22"/>
          <w:szCs w:val="22"/>
        </w:rPr>
        <w:t xml:space="preserve">% of White staff accessed non-mandatory training.  This creates a relative likelihood of uptake at </w:t>
      </w:r>
      <w:r>
        <w:rPr>
          <w:rFonts w:cs="Arial"/>
          <w:sz w:val="22"/>
          <w:szCs w:val="22"/>
        </w:rPr>
        <w:t>1.00.  This compares to 1.05 in 2022</w:t>
      </w:r>
      <w:r w:rsidRPr="000E3428">
        <w:rPr>
          <w:rFonts w:cs="Arial"/>
          <w:sz w:val="22"/>
          <w:szCs w:val="22"/>
        </w:rPr>
        <w:t>.</w:t>
      </w:r>
    </w:p>
    <w:p w:rsidR="00806DC6" w:rsidRDefault="00806DC6" w:rsidP="008D0D96">
      <w:pPr>
        <w:spacing w:after="120"/>
        <w:ind w:left="705" w:right="260"/>
        <w:jc w:val="both"/>
        <w:rPr>
          <w:rFonts w:cs="Arial"/>
          <w:sz w:val="22"/>
          <w:szCs w:val="22"/>
        </w:rPr>
      </w:pPr>
    </w:p>
    <w:p w:rsidR="00806DC6" w:rsidRDefault="00806DC6" w:rsidP="008D0D96">
      <w:pPr>
        <w:spacing w:after="240"/>
        <w:ind w:left="709" w:right="260" w:hanging="4"/>
        <w:jc w:val="both"/>
        <w:rPr>
          <w:rFonts w:cs="Arial"/>
          <w:b/>
          <w:sz w:val="22"/>
          <w:szCs w:val="22"/>
        </w:rPr>
      </w:pPr>
      <w:r>
        <w:rPr>
          <w:rFonts w:cs="Arial"/>
          <w:b/>
          <w:sz w:val="22"/>
          <w:szCs w:val="22"/>
        </w:rPr>
        <w:t xml:space="preserve">Table - </w:t>
      </w:r>
      <w:r w:rsidRPr="000E3428">
        <w:rPr>
          <w:rFonts w:cs="Arial"/>
          <w:b/>
          <w:sz w:val="22"/>
          <w:szCs w:val="22"/>
        </w:rPr>
        <w:t>Indicator 4 – NON-MANDATORY TRAINING</w:t>
      </w:r>
    </w:p>
    <w:p w:rsidR="008325C6" w:rsidRPr="000E3428" w:rsidRDefault="008325C6" w:rsidP="008D0D96">
      <w:pPr>
        <w:spacing w:after="240"/>
        <w:ind w:left="709" w:right="260" w:hanging="4"/>
        <w:jc w:val="both"/>
        <w:rPr>
          <w:rFonts w:cs="Arial"/>
          <w:b/>
          <w:sz w:val="22"/>
          <w:szCs w:val="22"/>
        </w:rPr>
      </w:pPr>
      <w:r w:rsidRPr="000E3428">
        <w:rPr>
          <w:rFonts w:cs="Arial"/>
          <w:sz w:val="22"/>
          <w:szCs w:val="22"/>
        </w:rPr>
        <w:t>Likelihood of staff accessing non-mandatory training and CPD</w:t>
      </w:r>
    </w:p>
    <w:tbl>
      <w:tblPr>
        <w:tblStyle w:val="TableGrid"/>
        <w:tblW w:w="0" w:type="auto"/>
        <w:tblInd w:w="705" w:type="dxa"/>
        <w:tblLook w:val="04A0" w:firstRow="1" w:lastRow="0" w:firstColumn="1" w:lastColumn="0" w:noHBand="0" w:noVBand="1"/>
      </w:tblPr>
      <w:tblGrid>
        <w:gridCol w:w="2125"/>
        <w:gridCol w:w="2192"/>
        <w:gridCol w:w="2192"/>
        <w:gridCol w:w="2188"/>
      </w:tblGrid>
      <w:tr w:rsidR="00806DC6" w:rsidRPr="000E3428" w:rsidTr="00CD3426">
        <w:tc>
          <w:tcPr>
            <w:tcW w:w="2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6DC6" w:rsidRPr="000E3428" w:rsidRDefault="008325C6" w:rsidP="008D0D96">
            <w:pPr>
              <w:spacing w:after="120"/>
              <w:ind w:right="260"/>
              <w:rPr>
                <w:rFonts w:cs="Arial"/>
                <w:sz w:val="22"/>
                <w:szCs w:val="22"/>
              </w:rPr>
            </w:pPr>
            <w:r>
              <w:rPr>
                <w:rFonts w:cs="Arial"/>
                <w:sz w:val="22"/>
                <w:szCs w:val="22"/>
              </w:rPr>
              <w:t>Year</w:t>
            </w:r>
          </w:p>
        </w:tc>
        <w:tc>
          <w:tcPr>
            <w:tcW w:w="2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6DC6" w:rsidRPr="000E3428" w:rsidRDefault="00806DC6" w:rsidP="008D0D96">
            <w:pPr>
              <w:spacing w:after="120"/>
              <w:ind w:right="260"/>
              <w:rPr>
                <w:rFonts w:cs="Arial"/>
                <w:sz w:val="22"/>
                <w:szCs w:val="22"/>
              </w:rPr>
            </w:pPr>
            <w:r w:rsidRPr="000E3428">
              <w:rPr>
                <w:rFonts w:cs="Arial"/>
                <w:sz w:val="22"/>
                <w:szCs w:val="22"/>
              </w:rPr>
              <w:t>White employees</w:t>
            </w:r>
          </w:p>
        </w:tc>
        <w:tc>
          <w:tcPr>
            <w:tcW w:w="2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6DC6" w:rsidRPr="000E3428" w:rsidRDefault="00806DC6" w:rsidP="008D0D96">
            <w:pPr>
              <w:spacing w:after="120"/>
              <w:ind w:right="260"/>
              <w:rPr>
                <w:rFonts w:cs="Arial"/>
                <w:sz w:val="22"/>
                <w:szCs w:val="22"/>
              </w:rPr>
            </w:pPr>
            <w:r w:rsidRPr="000E3428">
              <w:rPr>
                <w:rFonts w:cs="Arial"/>
                <w:sz w:val="22"/>
                <w:szCs w:val="22"/>
              </w:rPr>
              <w:t>BME employees</w:t>
            </w:r>
          </w:p>
        </w:tc>
        <w:tc>
          <w:tcPr>
            <w:tcW w:w="2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6DC6" w:rsidRPr="000E3428" w:rsidRDefault="00806DC6" w:rsidP="008D0D96">
            <w:pPr>
              <w:spacing w:after="120"/>
              <w:ind w:right="260"/>
              <w:rPr>
                <w:rFonts w:cs="Arial"/>
                <w:b/>
                <w:sz w:val="22"/>
                <w:szCs w:val="22"/>
              </w:rPr>
            </w:pPr>
            <w:r w:rsidRPr="000E3428">
              <w:rPr>
                <w:rFonts w:cs="Arial"/>
                <w:b/>
                <w:sz w:val="22"/>
                <w:szCs w:val="22"/>
              </w:rPr>
              <w:t>Relative likelihood</w:t>
            </w:r>
          </w:p>
          <w:p w:rsidR="00806DC6" w:rsidRPr="000E3428" w:rsidRDefault="00806DC6" w:rsidP="008D0D96">
            <w:pPr>
              <w:spacing w:after="120"/>
              <w:ind w:right="260"/>
              <w:rPr>
                <w:rFonts w:cs="Arial"/>
                <w:b/>
                <w:sz w:val="22"/>
                <w:szCs w:val="22"/>
              </w:rPr>
            </w:pPr>
            <w:r w:rsidRPr="000E3428">
              <w:rPr>
                <w:rFonts w:cs="Arial"/>
                <w:b/>
                <w:sz w:val="22"/>
                <w:szCs w:val="22"/>
              </w:rPr>
              <w:t>(ratio)</w:t>
            </w:r>
          </w:p>
          <w:p w:rsidR="00806DC6" w:rsidRPr="000E3428" w:rsidRDefault="00806DC6" w:rsidP="008D0D96">
            <w:pPr>
              <w:spacing w:after="120"/>
              <w:ind w:right="260"/>
              <w:rPr>
                <w:rFonts w:cs="Arial"/>
                <w:sz w:val="22"/>
                <w:szCs w:val="22"/>
              </w:rPr>
            </w:pPr>
            <w:r w:rsidRPr="000E3428">
              <w:rPr>
                <w:rFonts w:cs="Arial"/>
                <w:sz w:val="22"/>
                <w:szCs w:val="22"/>
              </w:rPr>
              <w:t>(1.00 = equality)</w:t>
            </w:r>
          </w:p>
        </w:tc>
      </w:tr>
      <w:tr w:rsidR="00806DC6" w:rsidRPr="000E3428" w:rsidTr="00CD3426">
        <w:tc>
          <w:tcPr>
            <w:tcW w:w="2125" w:type="dxa"/>
            <w:tcBorders>
              <w:top w:val="single" w:sz="4" w:space="0" w:color="auto"/>
              <w:left w:val="single" w:sz="4" w:space="0" w:color="auto"/>
              <w:bottom w:val="single" w:sz="4" w:space="0" w:color="auto"/>
              <w:right w:val="single" w:sz="4" w:space="0" w:color="auto"/>
            </w:tcBorders>
          </w:tcPr>
          <w:p w:rsidR="00806DC6" w:rsidRDefault="00806DC6" w:rsidP="008D0D96">
            <w:pPr>
              <w:spacing w:after="120"/>
              <w:ind w:right="260"/>
              <w:rPr>
                <w:rFonts w:cs="Arial"/>
                <w:sz w:val="22"/>
                <w:szCs w:val="22"/>
              </w:rPr>
            </w:pPr>
            <w:r>
              <w:rPr>
                <w:rFonts w:cs="Arial"/>
                <w:sz w:val="22"/>
                <w:szCs w:val="22"/>
              </w:rPr>
              <w:t>2023</w:t>
            </w:r>
          </w:p>
        </w:tc>
        <w:tc>
          <w:tcPr>
            <w:tcW w:w="2192" w:type="dxa"/>
            <w:tcBorders>
              <w:top w:val="single" w:sz="4" w:space="0" w:color="auto"/>
              <w:left w:val="single" w:sz="4" w:space="0" w:color="auto"/>
              <w:bottom w:val="single" w:sz="4" w:space="0" w:color="auto"/>
              <w:right w:val="single" w:sz="4" w:space="0" w:color="auto"/>
            </w:tcBorders>
          </w:tcPr>
          <w:p w:rsidR="00806DC6" w:rsidRDefault="00806DC6" w:rsidP="008D0D96">
            <w:pPr>
              <w:spacing w:after="120"/>
              <w:ind w:right="260"/>
              <w:rPr>
                <w:rFonts w:cs="Arial"/>
                <w:sz w:val="22"/>
                <w:szCs w:val="22"/>
              </w:rPr>
            </w:pPr>
            <w:r>
              <w:rPr>
                <w:rFonts w:cs="Arial"/>
                <w:sz w:val="22"/>
                <w:szCs w:val="22"/>
              </w:rPr>
              <w:t>97.48%</w:t>
            </w:r>
          </w:p>
        </w:tc>
        <w:tc>
          <w:tcPr>
            <w:tcW w:w="2192" w:type="dxa"/>
            <w:tcBorders>
              <w:top w:val="single" w:sz="4" w:space="0" w:color="auto"/>
              <w:left w:val="single" w:sz="4" w:space="0" w:color="auto"/>
              <w:bottom w:val="single" w:sz="4" w:space="0" w:color="auto"/>
              <w:right w:val="single" w:sz="4" w:space="0" w:color="auto"/>
            </w:tcBorders>
          </w:tcPr>
          <w:p w:rsidR="00806DC6" w:rsidRDefault="00806DC6" w:rsidP="008D0D96">
            <w:pPr>
              <w:spacing w:after="120"/>
              <w:ind w:right="260"/>
              <w:rPr>
                <w:rFonts w:cs="Arial"/>
                <w:sz w:val="22"/>
                <w:szCs w:val="22"/>
              </w:rPr>
            </w:pPr>
            <w:r>
              <w:rPr>
                <w:rFonts w:cs="Arial"/>
                <w:sz w:val="22"/>
                <w:szCs w:val="22"/>
              </w:rPr>
              <w:t>97.46%</w:t>
            </w:r>
          </w:p>
        </w:tc>
        <w:tc>
          <w:tcPr>
            <w:tcW w:w="2188" w:type="dxa"/>
            <w:tcBorders>
              <w:top w:val="single" w:sz="4" w:space="0" w:color="auto"/>
              <w:left w:val="single" w:sz="4" w:space="0" w:color="auto"/>
              <w:bottom w:val="single" w:sz="4" w:space="0" w:color="auto"/>
              <w:right w:val="single" w:sz="4" w:space="0" w:color="auto"/>
            </w:tcBorders>
          </w:tcPr>
          <w:p w:rsidR="00806DC6" w:rsidRDefault="00806DC6" w:rsidP="008D0D96">
            <w:pPr>
              <w:spacing w:after="120"/>
              <w:ind w:right="260"/>
              <w:rPr>
                <w:rFonts w:cs="Arial"/>
                <w:sz w:val="22"/>
                <w:szCs w:val="22"/>
              </w:rPr>
            </w:pPr>
            <w:r>
              <w:rPr>
                <w:rFonts w:cs="Arial"/>
                <w:sz w:val="22"/>
                <w:szCs w:val="22"/>
              </w:rPr>
              <w:t>1.00</w:t>
            </w:r>
          </w:p>
        </w:tc>
      </w:tr>
      <w:tr w:rsidR="00806DC6" w:rsidRPr="000E3428" w:rsidTr="00CD3426">
        <w:tc>
          <w:tcPr>
            <w:tcW w:w="2125" w:type="dxa"/>
            <w:tcBorders>
              <w:top w:val="single" w:sz="4" w:space="0" w:color="auto"/>
              <w:left w:val="single" w:sz="4" w:space="0" w:color="auto"/>
              <w:bottom w:val="single" w:sz="4" w:space="0" w:color="auto"/>
              <w:right w:val="single" w:sz="4" w:space="0" w:color="auto"/>
            </w:tcBorders>
          </w:tcPr>
          <w:p w:rsidR="00806DC6" w:rsidRPr="000E3428" w:rsidRDefault="00806DC6" w:rsidP="008D0D96">
            <w:pPr>
              <w:spacing w:after="120"/>
              <w:ind w:right="260"/>
              <w:rPr>
                <w:rFonts w:cs="Arial"/>
                <w:sz w:val="22"/>
                <w:szCs w:val="22"/>
              </w:rPr>
            </w:pPr>
            <w:r>
              <w:rPr>
                <w:rFonts w:cs="Arial"/>
                <w:sz w:val="22"/>
                <w:szCs w:val="22"/>
              </w:rPr>
              <w:t>2022</w:t>
            </w:r>
          </w:p>
        </w:tc>
        <w:tc>
          <w:tcPr>
            <w:tcW w:w="2192" w:type="dxa"/>
            <w:tcBorders>
              <w:top w:val="single" w:sz="4" w:space="0" w:color="auto"/>
              <w:left w:val="single" w:sz="4" w:space="0" w:color="auto"/>
              <w:bottom w:val="single" w:sz="4" w:space="0" w:color="auto"/>
              <w:right w:val="single" w:sz="4" w:space="0" w:color="auto"/>
            </w:tcBorders>
          </w:tcPr>
          <w:p w:rsidR="00806DC6" w:rsidRPr="000E3428" w:rsidRDefault="00806DC6" w:rsidP="008D0D96">
            <w:pPr>
              <w:spacing w:after="120"/>
              <w:ind w:right="260"/>
              <w:rPr>
                <w:rFonts w:cs="Arial"/>
                <w:sz w:val="22"/>
                <w:szCs w:val="22"/>
              </w:rPr>
            </w:pPr>
            <w:r>
              <w:rPr>
                <w:rFonts w:cs="Arial"/>
                <w:sz w:val="22"/>
                <w:szCs w:val="22"/>
              </w:rPr>
              <w:t>86%</w:t>
            </w:r>
          </w:p>
        </w:tc>
        <w:tc>
          <w:tcPr>
            <w:tcW w:w="2192" w:type="dxa"/>
            <w:tcBorders>
              <w:top w:val="single" w:sz="4" w:space="0" w:color="auto"/>
              <w:left w:val="single" w:sz="4" w:space="0" w:color="auto"/>
              <w:bottom w:val="single" w:sz="4" w:space="0" w:color="auto"/>
              <w:right w:val="single" w:sz="4" w:space="0" w:color="auto"/>
            </w:tcBorders>
          </w:tcPr>
          <w:p w:rsidR="00806DC6" w:rsidRPr="000E3428" w:rsidRDefault="00806DC6" w:rsidP="008D0D96">
            <w:pPr>
              <w:spacing w:after="120"/>
              <w:ind w:right="260"/>
              <w:rPr>
                <w:rFonts w:cs="Arial"/>
                <w:sz w:val="22"/>
                <w:szCs w:val="22"/>
              </w:rPr>
            </w:pPr>
            <w:r>
              <w:rPr>
                <w:rFonts w:cs="Arial"/>
                <w:sz w:val="22"/>
                <w:szCs w:val="22"/>
              </w:rPr>
              <w:t>82%</w:t>
            </w:r>
          </w:p>
        </w:tc>
        <w:tc>
          <w:tcPr>
            <w:tcW w:w="2188" w:type="dxa"/>
            <w:tcBorders>
              <w:top w:val="single" w:sz="4" w:space="0" w:color="auto"/>
              <w:left w:val="single" w:sz="4" w:space="0" w:color="auto"/>
              <w:bottom w:val="single" w:sz="4" w:space="0" w:color="auto"/>
              <w:right w:val="single" w:sz="4" w:space="0" w:color="auto"/>
            </w:tcBorders>
          </w:tcPr>
          <w:p w:rsidR="00806DC6" w:rsidRPr="000E3428" w:rsidRDefault="00806DC6" w:rsidP="008D0D96">
            <w:pPr>
              <w:spacing w:after="120"/>
              <w:ind w:right="260"/>
              <w:rPr>
                <w:rFonts w:cs="Arial"/>
                <w:sz w:val="22"/>
                <w:szCs w:val="22"/>
              </w:rPr>
            </w:pPr>
            <w:r>
              <w:rPr>
                <w:rFonts w:cs="Arial"/>
                <w:sz w:val="22"/>
                <w:szCs w:val="22"/>
              </w:rPr>
              <w:t>1.05</w:t>
            </w:r>
          </w:p>
        </w:tc>
      </w:tr>
      <w:tr w:rsidR="00806DC6" w:rsidRPr="000E3428" w:rsidTr="00CD3426">
        <w:tc>
          <w:tcPr>
            <w:tcW w:w="2125" w:type="dxa"/>
            <w:tcBorders>
              <w:top w:val="single" w:sz="4" w:space="0" w:color="auto"/>
              <w:left w:val="single" w:sz="4" w:space="0" w:color="auto"/>
              <w:bottom w:val="single" w:sz="4" w:space="0" w:color="auto"/>
              <w:right w:val="single" w:sz="4" w:space="0" w:color="auto"/>
            </w:tcBorders>
          </w:tcPr>
          <w:p w:rsidR="00806DC6" w:rsidRPr="000E3428" w:rsidRDefault="00806DC6" w:rsidP="008D0D96">
            <w:pPr>
              <w:spacing w:after="120"/>
              <w:ind w:right="260"/>
              <w:rPr>
                <w:rFonts w:cs="Arial"/>
                <w:sz w:val="22"/>
                <w:szCs w:val="22"/>
              </w:rPr>
            </w:pPr>
            <w:r w:rsidRPr="000E3428">
              <w:rPr>
                <w:rFonts w:cs="Arial"/>
                <w:sz w:val="22"/>
                <w:szCs w:val="22"/>
              </w:rPr>
              <w:t>2021*</w:t>
            </w:r>
          </w:p>
        </w:tc>
        <w:tc>
          <w:tcPr>
            <w:tcW w:w="2192" w:type="dxa"/>
            <w:tcBorders>
              <w:top w:val="single" w:sz="4" w:space="0" w:color="auto"/>
              <w:left w:val="single" w:sz="4" w:space="0" w:color="auto"/>
              <w:bottom w:val="single" w:sz="4" w:space="0" w:color="auto"/>
              <w:right w:val="single" w:sz="4" w:space="0" w:color="auto"/>
            </w:tcBorders>
          </w:tcPr>
          <w:p w:rsidR="00806DC6" w:rsidRPr="000E3428" w:rsidRDefault="00806DC6" w:rsidP="008D0D96">
            <w:pPr>
              <w:spacing w:after="120"/>
              <w:ind w:right="260"/>
              <w:rPr>
                <w:rFonts w:cs="Arial"/>
                <w:sz w:val="22"/>
                <w:szCs w:val="22"/>
              </w:rPr>
            </w:pPr>
            <w:r w:rsidRPr="000E3428">
              <w:rPr>
                <w:rFonts w:cs="Arial"/>
                <w:sz w:val="22"/>
                <w:szCs w:val="22"/>
              </w:rPr>
              <w:t>25.6%</w:t>
            </w:r>
          </w:p>
        </w:tc>
        <w:tc>
          <w:tcPr>
            <w:tcW w:w="2192" w:type="dxa"/>
            <w:tcBorders>
              <w:top w:val="single" w:sz="4" w:space="0" w:color="auto"/>
              <w:left w:val="single" w:sz="4" w:space="0" w:color="auto"/>
              <w:bottom w:val="single" w:sz="4" w:space="0" w:color="auto"/>
              <w:right w:val="single" w:sz="4" w:space="0" w:color="auto"/>
            </w:tcBorders>
          </w:tcPr>
          <w:p w:rsidR="00806DC6" w:rsidRPr="000E3428" w:rsidRDefault="00806DC6" w:rsidP="008D0D96">
            <w:pPr>
              <w:spacing w:after="120"/>
              <w:ind w:right="260"/>
              <w:rPr>
                <w:rFonts w:cs="Arial"/>
                <w:sz w:val="22"/>
                <w:szCs w:val="22"/>
              </w:rPr>
            </w:pPr>
            <w:r w:rsidRPr="000E3428">
              <w:rPr>
                <w:rFonts w:cs="Arial"/>
                <w:sz w:val="22"/>
                <w:szCs w:val="22"/>
              </w:rPr>
              <w:t>41%</w:t>
            </w:r>
          </w:p>
        </w:tc>
        <w:tc>
          <w:tcPr>
            <w:tcW w:w="2188" w:type="dxa"/>
            <w:tcBorders>
              <w:top w:val="single" w:sz="4" w:space="0" w:color="auto"/>
              <w:left w:val="single" w:sz="4" w:space="0" w:color="auto"/>
              <w:bottom w:val="single" w:sz="4" w:space="0" w:color="auto"/>
              <w:right w:val="single" w:sz="4" w:space="0" w:color="auto"/>
            </w:tcBorders>
          </w:tcPr>
          <w:p w:rsidR="00806DC6" w:rsidRPr="000E3428" w:rsidRDefault="00806DC6" w:rsidP="008D0D96">
            <w:pPr>
              <w:spacing w:after="120"/>
              <w:ind w:right="260"/>
              <w:rPr>
                <w:rFonts w:cs="Arial"/>
                <w:sz w:val="22"/>
                <w:szCs w:val="22"/>
              </w:rPr>
            </w:pPr>
            <w:r w:rsidRPr="000E3428">
              <w:rPr>
                <w:rFonts w:cs="Arial"/>
                <w:sz w:val="22"/>
                <w:szCs w:val="22"/>
              </w:rPr>
              <w:t>0.62</w:t>
            </w:r>
          </w:p>
        </w:tc>
      </w:tr>
      <w:tr w:rsidR="00806DC6" w:rsidRPr="000E3428" w:rsidTr="00CD3426">
        <w:tc>
          <w:tcPr>
            <w:tcW w:w="2125" w:type="dxa"/>
            <w:tcBorders>
              <w:top w:val="single" w:sz="4" w:space="0" w:color="auto"/>
              <w:left w:val="single" w:sz="4" w:space="0" w:color="auto"/>
              <w:bottom w:val="single" w:sz="4" w:space="0" w:color="auto"/>
              <w:right w:val="single" w:sz="4" w:space="0" w:color="auto"/>
            </w:tcBorders>
            <w:hideMark/>
          </w:tcPr>
          <w:p w:rsidR="00806DC6" w:rsidRPr="000E3428" w:rsidRDefault="00806DC6" w:rsidP="008D0D96">
            <w:pPr>
              <w:spacing w:after="120"/>
              <w:ind w:right="260"/>
              <w:rPr>
                <w:rFonts w:cs="Arial"/>
                <w:sz w:val="22"/>
                <w:szCs w:val="22"/>
              </w:rPr>
            </w:pPr>
            <w:r w:rsidRPr="000E3428">
              <w:rPr>
                <w:rFonts w:cs="Arial"/>
                <w:sz w:val="22"/>
                <w:szCs w:val="22"/>
              </w:rPr>
              <w:t>2020</w:t>
            </w:r>
          </w:p>
        </w:tc>
        <w:tc>
          <w:tcPr>
            <w:tcW w:w="2192" w:type="dxa"/>
            <w:tcBorders>
              <w:top w:val="single" w:sz="4" w:space="0" w:color="auto"/>
              <w:left w:val="single" w:sz="4" w:space="0" w:color="auto"/>
              <w:bottom w:val="single" w:sz="4" w:space="0" w:color="auto"/>
              <w:right w:val="single" w:sz="4" w:space="0" w:color="auto"/>
            </w:tcBorders>
            <w:hideMark/>
          </w:tcPr>
          <w:p w:rsidR="00806DC6" w:rsidRPr="000E3428" w:rsidRDefault="00806DC6" w:rsidP="008D0D96">
            <w:pPr>
              <w:spacing w:after="120"/>
              <w:ind w:right="260"/>
              <w:rPr>
                <w:rFonts w:cs="Arial"/>
                <w:sz w:val="22"/>
                <w:szCs w:val="22"/>
              </w:rPr>
            </w:pPr>
            <w:r w:rsidRPr="000E3428">
              <w:rPr>
                <w:rFonts w:cs="Arial"/>
                <w:sz w:val="22"/>
                <w:szCs w:val="22"/>
              </w:rPr>
              <w:t>96%</w:t>
            </w:r>
          </w:p>
        </w:tc>
        <w:tc>
          <w:tcPr>
            <w:tcW w:w="2192" w:type="dxa"/>
            <w:tcBorders>
              <w:top w:val="single" w:sz="4" w:space="0" w:color="auto"/>
              <w:left w:val="single" w:sz="4" w:space="0" w:color="auto"/>
              <w:bottom w:val="single" w:sz="4" w:space="0" w:color="auto"/>
              <w:right w:val="single" w:sz="4" w:space="0" w:color="auto"/>
            </w:tcBorders>
            <w:hideMark/>
          </w:tcPr>
          <w:p w:rsidR="00806DC6" w:rsidRPr="000E3428" w:rsidRDefault="00806DC6" w:rsidP="008D0D96">
            <w:pPr>
              <w:spacing w:after="120"/>
              <w:ind w:right="260"/>
              <w:rPr>
                <w:rFonts w:cs="Arial"/>
                <w:sz w:val="22"/>
                <w:szCs w:val="22"/>
              </w:rPr>
            </w:pPr>
            <w:r w:rsidRPr="000E3428">
              <w:rPr>
                <w:rFonts w:cs="Arial"/>
                <w:sz w:val="22"/>
                <w:szCs w:val="22"/>
              </w:rPr>
              <w:t>98%</w:t>
            </w:r>
          </w:p>
        </w:tc>
        <w:tc>
          <w:tcPr>
            <w:tcW w:w="2188" w:type="dxa"/>
            <w:tcBorders>
              <w:top w:val="single" w:sz="4" w:space="0" w:color="auto"/>
              <w:left w:val="single" w:sz="4" w:space="0" w:color="auto"/>
              <w:bottom w:val="single" w:sz="4" w:space="0" w:color="auto"/>
              <w:right w:val="single" w:sz="4" w:space="0" w:color="auto"/>
            </w:tcBorders>
            <w:hideMark/>
          </w:tcPr>
          <w:p w:rsidR="00806DC6" w:rsidRPr="000E3428" w:rsidRDefault="00806DC6" w:rsidP="008D0D96">
            <w:pPr>
              <w:spacing w:after="120"/>
              <w:ind w:right="260"/>
              <w:rPr>
                <w:rFonts w:cs="Arial"/>
                <w:sz w:val="22"/>
                <w:szCs w:val="22"/>
              </w:rPr>
            </w:pPr>
            <w:r w:rsidRPr="000E3428">
              <w:rPr>
                <w:rFonts w:cs="Arial"/>
                <w:sz w:val="22"/>
                <w:szCs w:val="22"/>
              </w:rPr>
              <w:t>0.98</w:t>
            </w:r>
          </w:p>
        </w:tc>
      </w:tr>
      <w:tr w:rsidR="00806DC6" w:rsidRPr="000E3428" w:rsidTr="00CD3426">
        <w:tc>
          <w:tcPr>
            <w:tcW w:w="2125" w:type="dxa"/>
            <w:tcBorders>
              <w:top w:val="single" w:sz="4" w:space="0" w:color="auto"/>
              <w:left w:val="single" w:sz="4" w:space="0" w:color="auto"/>
              <w:bottom w:val="single" w:sz="4" w:space="0" w:color="auto"/>
              <w:right w:val="single" w:sz="4" w:space="0" w:color="auto"/>
            </w:tcBorders>
            <w:hideMark/>
          </w:tcPr>
          <w:p w:rsidR="00806DC6" w:rsidRPr="000E3428" w:rsidRDefault="00806DC6" w:rsidP="008D0D96">
            <w:pPr>
              <w:spacing w:after="120"/>
              <w:ind w:right="260"/>
              <w:rPr>
                <w:rFonts w:cs="Arial"/>
                <w:sz w:val="22"/>
                <w:szCs w:val="22"/>
              </w:rPr>
            </w:pPr>
            <w:r w:rsidRPr="000E3428">
              <w:rPr>
                <w:rFonts w:cs="Arial"/>
                <w:sz w:val="22"/>
                <w:szCs w:val="22"/>
              </w:rPr>
              <w:t>2019</w:t>
            </w:r>
          </w:p>
        </w:tc>
        <w:tc>
          <w:tcPr>
            <w:tcW w:w="2192" w:type="dxa"/>
            <w:tcBorders>
              <w:top w:val="single" w:sz="4" w:space="0" w:color="auto"/>
              <w:left w:val="single" w:sz="4" w:space="0" w:color="auto"/>
              <w:bottom w:val="single" w:sz="4" w:space="0" w:color="auto"/>
              <w:right w:val="single" w:sz="4" w:space="0" w:color="auto"/>
            </w:tcBorders>
            <w:hideMark/>
          </w:tcPr>
          <w:p w:rsidR="00806DC6" w:rsidRPr="000E3428" w:rsidRDefault="00806DC6" w:rsidP="008D0D96">
            <w:pPr>
              <w:spacing w:after="120"/>
              <w:ind w:right="260"/>
              <w:rPr>
                <w:rFonts w:cs="Arial"/>
                <w:sz w:val="22"/>
                <w:szCs w:val="22"/>
              </w:rPr>
            </w:pPr>
            <w:r w:rsidRPr="000E3428">
              <w:rPr>
                <w:rFonts w:cs="Arial"/>
                <w:sz w:val="22"/>
                <w:szCs w:val="22"/>
              </w:rPr>
              <w:t>70.04%</w:t>
            </w:r>
          </w:p>
        </w:tc>
        <w:tc>
          <w:tcPr>
            <w:tcW w:w="2192" w:type="dxa"/>
            <w:tcBorders>
              <w:top w:val="single" w:sz="4" w:space="0" w:color="auto"/>
              <w:left w:val="single" w:sz="4" w:space="0" w:color="auto"/>
              <w:bottom w:val="single" w:sz="4" w:space="0" w:color="auto"/>
              <w:right w:val="single" w:sz="4" w:space="0" w:color="auto"/>
            </w:tcBorders>
            <w:hideMark/>
          </w:tcPr>
          <w:p w:rsidR="00806DC6" w:rsidRPr="000E3428" w:rsidRDefault="00806DC6" w:rsidP="008D0D96">
            <w:pPr>
              <w:spacing w:after="120"/>
              <w:ind w:right="260"/>
              <w:rPr>
                <w:rFonts w:cs="Arial"/>
                <w:sz w:val="22"/>
                <w:szCs w:val="22"/>
              </w:rPr>
            </w:pPr>
            <w:r w:rsidRPr="000E3428">
              <w:rPr>
                <w:rFonts w:cs="Arial"/>
                <w:sz w:val="22"/>
                <w:szCs w:val="22"/>
              </w:rPr>
              <w:t>82.45%</w:t>
            </w:r>
          </w:p>
        </w:tc>
        <w:tc>
          <w:tcPr>
            <w:tcW w:w="2188" w:type="dxa"/>
            <w:tcBorders>
              <w:top w:val="single" w:sz="4" w:space="0" w:color="auto"/>
              <w:left w:val="single" w:sz="4" w:space="0" w:color="auto"/>
              <w:bottom w:val="single" w:sz="4" w:space="0" w:color="auto"/>
              <w:right w:val="single" w:sz="4" w:space="0" w:color="auto"/>
            </w:tcBorders>
            <w:hideMark/>
          </w:tcPr>
          <w:p w:rsidR="00806DC6" w:rsidRPr="000E3428" w:rsidRDefault="00806DC6" w:rsidP="008D0D96">
            <w:pPr>
              <w:spacing w:after="120"/>
              <w:ind w:right="260"/>
              <w:rPr>
                <w:rFonts w:cs="Arial"/>
                <w:sz w:val="22"/>
                <w:szCs w:val="22"/>
              </w:rPr>
            </w:pPr>
            <w:r w:rsidRPr="000E3428">
              <w:rPr>
                <w:rFonts w:cs="Arial"/>
                <w:sz w:val="22"/>
                <w:szCs w:val="22"/>
              </w:rPr>
              <w:t>0.85</w:t>
            </w:r>
          </w:p>
        </w:tc>
      </w:tr>
    </w:tbl>
    <w:p w:rsidR="00806DC6" w:rsidRDefault="00806DC6" w:rsidP="008D0D96">
      <w:pPr>
        <w:spacing w:after="120"/>
        <w:ind w:left="705" w:right="260"/>
        <w:jc w:val="both"/>
        <w:rPr>
          <w:rFonts w:cs="Arial"/>
          <w:sz w:val="22"/>
          <w:szCs w:val="22"/>
        </w:rPr>
      </w:pPr>
    </w:p>
    <w:p w:rsidR="00806DC6" w:rsidRDefault="00806DC6" w:rsidP="008D0D96">
      <w:pPr>
        <w:spacing w:after="120"/>
        <w:ind w:left="705" w:right="260"/>
        <w:jc w:val="both"/>
        <w:rPr>
          <w:rFonts w:cs="Arial"/>
          <w:sz w:val="22"/>
          <w:szCs w:val="22"/>
        </w:rPr>
      </w:pPr>
      <w:r>
        <w:rPr>
          <w:rFonts w:cs="Arial"/>
          <w:sz w:val="22"/>
          <w:szCs w:val="22"/>
        </w:rPr>
        <w:t xml:space="preserve">Note: </w:t>
      </w:r>
      <w:r w:rsidRPr="005D6817">
        <w:rPr>
          <w:rFonts w:cs="Arial"/>
          <w:sz w:val="22"/>
          <w:szCs w:val="22"/>
        </w:rPr>
        <w:t>Up to 2020</w:t>
      </w:r>
      <w:r>
        <w:rPr>
          <w:rFonts w:cs="Arial"/>
          <w:sz w:val="22"/>
          <w:szCs w:val="22"/>
        </w:rPr>
        <w:t>, and in 2022</w:t>
      </w:r>
      <w:r w:rsidRPr="005D6817">
        <w:rPr>
          <w:rFonts w:cs="Arial"/>
          <w:sz w:val="22"/>
          <w:szCs w:val="22"/>
        </w:rPr>
        <w:t>, essential training was included in the definition of non-mandatory training.  However, the uptake of non-mandatory training in 2020 was artificially inflated by the inclusion of Covid-19 related training in January to March 2020.  Therefore, universal essential training was removed from the calculations in 2021</w:t>
      </w:r>
      <w:r>
        <w:rPr>
          <w:rFonts w:cs="Arial"/>
          <w:sz w:val="22"/>
          <w:szCs w:val="22"/>
        </w:rPr>
        <w:t xml:space="preserve"> only</w:t>
      </w:r>
    </w:p>
    <w:p w:rsidR="00806DC6" w:rsidRDefault="00806DC6" w:rsidP="008D0D96">
      <w:pPr>
        <w:spacing w:after="120"/>
        <w:ind w:left="705" w:right="260"/>
        <w:jc w:val="both"/>
        <w:rPr>
          <w:rFonts w:cs="Arial"/>
          <w:sz w:val="22"/>
          <w:szCs w:val="22"/>
        </w:rPr>
      </w:pPr>
    </w:p>
    <w:p w:rsidR="00123D22" w:rsidRDefault="00806DC6" w:rsidP="008D0D96">
      <w:pPr>
        <w:spacing w:after="120"/>
        <w:ind w:left="705" w:right="260"/>
        <w:rPr>
          <w:rFonts w:cs="Arial"/>
          <w:sz w:val="22"/>
          <w:szCs w:val="22"/>
        </w:rPr>
      </w:pPr>
      <w:r w:rsidRPr="006E33B9">
        <w:rPr>
          <w:rFonts w:cs="Arial"/>
          <w:b/>
          <w:sz w:val="22"/>
          <w:szCs w:val="22"/>
        </w:rPr>
        <w:t>Indicators 5-8</w:t>
      </w:r>
      <w:r w:rsidR="00123D22">
        <w:rPr>
          <w:rFonts w:cs="Arial"/>
          <w:sz w:val="22"/>
          <w:szCs w:val="22"/>
        </w:rPr>
        <w:t xml:space="preserve"> – Staff Perception indicators</w:t>
      </w:r>
    </w:p>
    <w:p w:rsidR="00806DC6" w:rsidRDefault="00806DC6" w:rsidP="008D0D96">
      <w:pPr>
        <w:spacing w:after="120"/>
        <w:ind w:left="705" w:right="260"/>
        <w:rPr>
          <w:rFonts w:cs="Arial"/>
          <w:sz w:val="22"/>
          <w:szCs w:val="22"/>
        </w:rPr>
      </w:pPr>
      <w:r>
        <w:rPr>
          <w:rFonts w:cs="Arial"/>
          <w:sz w:val="22"/>
          <w:szCs w:val="22"/>
        </w:rPr>
        <w:t xml:space="preserve">These were reported at the last meeting, </w:t>
      </w:r>
      <w:r w:rsidR="00E7763E">
        <w:rPr>
          <w:rFonts w:cs="Arial"/>
          <w:sz w:val="22"/>
          <w:szCs w:val="22"/>
        </w:rPr>
        <w:t>of the Committee</w:t>
      </w:r>
      <w:r w:rsidR="00123D22">
        <w:rPr>
          <w:rFonts w:cs="Arial"/>
          <w:sz w:val="22"/>
          <w:szCs w:val="22"/>
        </w:rPr>
        <w:t>, and do not need to be submitted by the Trust, as they are already published.</w:t>
      </w:r>
    </w:p>
    <w:p w:rsidR="00123D22" w:rsidRDefault="00123D22" w:rsidP="008D0D96">
      <w:pPr>
        <w:spacing w:after="120"/>
        <w:ind w:left="705" w:right="260"/>
        <w:rPr>
          <w:rFonts w:cs="Arial"/>
          <w:sz w:val="22"/>
          <w:szCs w:val="22"/>
        </w:rPr>
      </w:pPr>
    </w:p>
    <w:p w:rsidR="00123D22" w:rsidRDefault="00123D22" w:rsidP="008D0D96">
      <w:pPr>
        <w:spacing w:after="120"/>
        <w:ind w:left="705" w:right="260"/>
        <w:rPr>
          <w:rFonts w:cs="Arial"/>
          <w:sz w:val="22"/>
          <w:szCs w:val="22"/>
        </w:rPr>
      </w:pPr>
      <w:r w:rsidRPr="006E33B9">
        <w:rPr>
          <w:rFonts w:cs="Arial"/>
          <w:b/>
          <w:sz w:val="22"/>
          <w:szCs w:val="22"/>
        </w:rPr>
        <w:t xml:space="preserve">Indicators </w:t>
      </w:r>
      <w:r>
        <w:rPr>
          <w:rFonts w:cs="Arial"/>
          <w:b/>
          <w:sz w:val="22"/>
          <w:szCs w:val="22"/>
        </w:rPr>
        <w:t>9</w:t>
      </w:r>
      <w:r>
        <w:rPr>
          <w:rFonts w:cs="Arial"/>
          <w:sz w:val="22"/>
          <w:szCs w:val="22"/>
        </w:rPr>
        <w:t xml:space="preserve"> – Board Representation</w:t>
      </w:r>
    </w:p>
    <w:p w:rsidR="00123D22" w:rsidRPr="006E33B9" w:rsidRDefault="00123D22" w:rsidP="008D0D96">
      <w:pPr>
        <w:spacing w:after="120"/>
        <w:ind w:left="705" w:right="260"/>
        <w:rPr>
          <w:rFonts w:cs="Arial"/>
          <w:sz w:val="22"/>
          <w:szCs w:val="22"/>
        </w:rPr>
      </w:pPr>
      <w:r>
        <w:rPr>
          <w:rFonts w:cs="Arial"/>
          <w:sz w:val="22"/>
          <w:szCs w:val="22"/>
        </w:rPr>
        <w:t>This indicator compares the ethnic representation of the Board to the workforce as a whole.  It shows that White people are 27.2% ove</w:t>
      </w:r>
      <w:r w:rsidR="00E7763E">
        <w:rPr>
          <w:rFonts w:cs="Arial"/>
          <w:sz w:val="22"/>
          <w:szCs w:val="22"/>
        </w:rPr>
        <w:t xml:space="preserve">r-represented on the Board, and Black, Asian or Minority Ethnic/Global Majority people are 13.1% under-represented.  </w:t>
      </w:r>
    </w:p>
    <w:p w:rsidR="00806DC6" w:rsidRPr="008B7D00" w:rsidRDefault="00806DC6" w:rsidP="008D0D96">
      <w:pPr>
        <w:ind w:right="260"/>
        <w:rPr>
          <w:rFonts w:cs="Arial"/>
          <w:b/>
          <w:sz w:val="22"/>
          <w:szCs w:val="22"/>
          <w:highlight w:val="yellow"/>
        </w:rPr>
      </w:pPr>
      <w:r w:rsidRPr="008B7D00">
        <w:rPr>
          <w:rFonts w:cs="Arial"/>
          <w:b/>
          <w:sz w:val="22"/>
          <w:szCs w:val="22"/>
          <w:highlight w:val="yellow"/>
        </w:rPr>
        <w:br w:type="page"/>
      </w:r>
      <w:bookmarkStart w:id="1" w:name="_GoBack"/>
      <w:bookmarkEnd w:id="1"/>
    </w:p>
    <w:p w:rsidR="00806DC6" w:rsidRPr="00A05E14" w:rsidRDefault="00806DC6" w:rsidP="008D0D96">
      <w:pPr>
        <w:ind w:right="260"/>
        <w:rPr>
          <w:rFonts w:ascii="Arial Bold" w:hAnsi="Arial Bold" w:cs="Arial"/>
          <w:b/>
          <w:bCs/>
          <w:caps/>
          <w:color w:val="365F91" w:themeColor="accent1" w:themeShade="BF"/>
          <w:kern w:val="32"/>
          <w:sz w:val="32"/>
          <w:szCs w:val="32"/>
        </w:rPr>
      </w:pPr>
      <w:r w:rsidRPr="00A05E14">
        <w:rPr>
          <w:rFonts w:ascii="Arial Bold" w:hAnsi="Arial Bold" w:cs="Arial"/>
          <w:b/>
          <w:bCs/>
          <w:caps/>
          <w:color w:val="365F91" w:themeColor="accent1" w:themeShade="BF"/>
          <w:kern w:val="32"/>
          <w:sz w:val="32"/>
          <w:szCs w:val="32"/>
        </w:rPr>
        <w:lastRenderedPageBreak/>
        <w:t>Appendix 2 –WDES Data report</w:t>
      </w:r>
    </w:p>
    <w:p w:rsidR="00806DC6" w:rsidRPr="008B7D00" w:rsidRDefault="00806DC6" w:rsidP="008D0D96">
      <w:pPr>
        <w:ind w:right="260"/>
        <w:rPr>
          <w:highlight w:val="yellow"/>
        </w:rPr>
      </w:pPr>
    </w:p>
    <w:p w:rsidR="00806DC6" w:rsidRPr="00D05E92" w:rsidRDefault="00806DC6" w:rsidP="008D0D96">
      <w:pPr>
        <w:pStyle w:val="Heading1"/>
        <w:numPr>
          <w:ilvl w:val="0"/>
          <w:numId w:val="27"/>
        </w:numPr>
        <w:ind w:right="260"/>
        <w:rPr>
          <w:color w:val="365F91"/>
        </w:rPr>
      </w:pPr>
      <w:r w:rsidRPr="00D05E92">
        <w:rPr>
          <w:color w:val="365F91"/>
        </w:rPr>
        <w:t>Executive Overview</w:t>
      </w:r>
    </w:p>
    <w:p w:rsidR="00806DC6" w:rsidRPr="00D05E92" w:rsidRDefault="00806DC6" w:rsidP="008D0D96">
      <w:pPr>
        <w:ind w:right="260"/>
      </w:pPr>
    </w:p>
    <w:p w:rsidR="00806DC6" w:rsidRPr="00D05E92" w:rsidRDefault="00806DC6" w:rsidP="008D0D96">
      <w:pPr>
        <w:spacing w:after="240"/>
        <w:ind w:left="709" w:right="260" w:hanging="709"/>
        <w:jc w:val="both"/>
        <w:rPr>
          <w:rFonts w:cs="Arial"/>
          <w:sz w:val="22"/>
          <w:szCs w:val="22"/>
        </w:rPr>
      </w:pPr>
      <w:r w:rsidRPr="00D05E92">
        <w:rPr>
          <w:rFonts w:cs="Arial"/>
          <w:sz w:val="22"/>
          <w:szCs w:val="22"/>
        </w:rPr>
        <w:t>1.1</w:t>
      </w:r>
      <w:r w:rsidRPr="00D05E92">
        <w:rPr>
          <w:rFonts w:cs="Arial"/>
          <w:sz w:val="22"/>
          <w:szCs w:val="22"/>
        </w:rPr>
        <w:tab/>
        <w:t xml:space="preserve">The main purpose of the WDES is: </w:t>
      </w:r>
    </w:p>
    <w:p w:rsidR="00806DC6" w:rsidRPr="00D05E92" w:rsidRDefault="00806DC6" w:rsidP="008D0D96">
      <w:pPr>
        <w:numPr>
          <w:ilvl w:val="2"/>
          <w:numId w:val="26"/>
        </w:numPr>
        <w:spacing w:after="240"/>
        <w:ind w:right="260"/>
        <w:jc w:val="both"/>
        <w:rPr>
          <w:rFonts w:cs="Arial"/>
          <w:sz w:val="22"/>
          <w:szCs w:val="22"/>
        </w:rPr>
      </w:pPr>
      <w:r w:rsidRPr="00D05E92">
        <w:rPr>
          <w:rFonts w:cs="Arial"/>
          <w:sz w:val="22"/>
          <w:szCs w:val="22"/>
        </w:rPr>
        <w:t xml:space="preserve">to help local, and national, NHS organisations (and other organisations providing NHS services) to review their data against the ten WDES indicators, </w:t>
      </w:r>
    </w:p>
    <w:p w:rsidR="00806DC6" w:rsidRPr="00D05E92" w:rsidRDefault="00806DC6" w:rsidP="008D0D96">
      <w:pPr>
        <w:numPr>
          <w:ilvl w:val="2"/>
          <w:numId w:val="26"/>
        </w:numPr>
        <w:spacing w:after="240"/>
        <w:ind w:right="260"/>
        <w:jc w:val="both"/>
        <w:rPr>
          <w:rFonts w:cs="Arial"/>
          <w:sz w:val="22"/>
          <w:szCs w:val="22"/>
        </w:rPr>
      </w:pPr>
      <w:r w:rsidRPr="00D05E92">
        <w:rPr>
          <w:rFonts w:cs="Arial"/>
          <w:sz w:val="22"/>
          <w:szCs w:val="22"/>
        </w:rPr>
        <w:t xml:space="preserve">to produce action plans to close the gaps in workplace experience between disabled and non-disabled staff, and, </w:t>
      </w:r>
    </w:p>
    <w:p w:rsidR="00806DC6" w:rsidRPr="00D05E92" w:rsidRDefault="00806DC6" w:rsidP="008D0D96">
      <w:pPr>
        <w:numPr>
          <w:ilvl w:val="2"/>
          <w:numId w:val="26"/>
        </w:numPr>
        <w:spacing w:after="240"/>
        <w:ind w:right="260"/>
        <w:jc w:val="both"/>
        <w:rPr>
          <w:rFonts w:cs="Arial"/>
          <w:sz w:val="22"/>
          <w:szCs w:val="22"/>
        </w:rPr>
      </w:pPr>
      <w:r w:rsidRPr="00D05E92">
        <w:rPr>
          <w:rFonts w:cs="Arial"/>
          <w:sz w:val="22"/>
          <w:szCs w:val="22"/>
        </w:rPr>
        <w:t xml:space="preserve">to improve representation at the Board level of the organisation. </w:t>
      </w:r>
    </w:p>
    <w:p w:rsidR="00806DC6" w:rsidRPr="008D2AF1" w:rsidRDefault="00806DC6" w:rsidP="008D0D96">
      <w:pPr>
        <w:spacing w:after="240"/>
        <w:ind w:left="709" w:right="260" w:hanging="709"/>
        <w:jc w:val="both"/>
        <w:rPr>
          <w:rFonts w:cs="Arial"/>
          <w:sz w:val="22"/>
          <w:szCs w:val="22"/>
        </w:rPr>
      </w:pPr>
      <w:r w:rsidRPr="0006176E">
        <w:rPr>
          <w:rFonts w:cs="Arial"/>
          <w:sz w:val="22"/>
          <w:szCs w:val="22"/>
        </w:rPr>
        <w:t>1.2</w:t>
      </w:r>
      <w:r w:rsidRPr="0006176E">
        <w:rPr>
          <w:rFonts w:cs="Arial"/>
          <w:sz w:val="22"/>
          <w:szCs w:val="22"/>
        </w:rPr>
        <w:tab/>
      </w:r>
      <w:r w:rsidRPr="00E60BCF">
        <w:rPr>
          <w:rFonts w:cs="Arial"/>
          <w:sz w:val="22"/>
          <w:szCs w:val="22"/>
        </w:rPr>
        <w:t xml:space="preserve">The WDES assessment has been prepared following technical guidance first published by NHS England in 2019, and amended in 2021 and 2022.  Performance on two of the quantifiable indicators </w:t>
      </w:r>
      <w:r w:rsidR="00E7763E">
        <w:rPr>
          <w:rFonts w:cs="Arial"/>
          <w:sz w:val="22"/>
          <w:szCs w:val="22"/>
        </w:rPr>
        <w:t xml:space="preserve">(1 and 2) shows disabled people are under-represented in the workforce </w:t>
      </w:r>
      <w:r w:rsidRPr="00E60BCF">
        <w:rPr>
          <w:rFonts w:cs="Arial"/>
          <w:sz w:val="22"/>
          <w:szCs w:val="22"/>
        </w:rPr>
        <w:t xml:space="preserve">compared to non-disabled </w:t>
      </w:r>
      <w:r w:rsidR="00E7763E">
        <w:rPr>
          <w:rFonts w:cs="Arial"/>
          <w:sz w:val="22"/>
          <w:szCs w:val="22"/>
        </w:rPr>
        <w:t>people, but are more likely to be appointed from shortlist</w:t>
      </w:r>
      <w:r w:rsidRPr="008D2AF1">
        <w:rPr>
          <w:rFonts w:cs="Arial"/>
          <w:sz w:val="22"/>
          <w:szCs w:val="22"/>
        </w:rPr>
        <w:t xml:space="preserve">.  The staff perception indicators (4 to 9) </w:t>
      </w:r>
      <w:r w:rsidR="00E7763E">
        <w:rPr>
          <w:rFonts w:cs="Arial"/>
          <w:sz w:val="22"/>
          <w:szCs w:val="22"/>
        </w:rPr>
        <w:t>were reported to the Committee in March, and have not been repeated here.  They were</w:t>
      </w:r>
      <w:r w:rsidRPr="008D2AF1">
        <w:rPr>
          <w:rFonts w:cs="Arial"/>
          <w:sz w:val="22"/>
          <w:szCs w:val="22"/>
        </w:rPr>
        <w:t xml:space="preserve"> drawn from the staff survey and consistently indicate that disabled employees are less satisfied than their non-disabled colleagues, but the direction of travel has improved compared to the previous year.  Disabled people’s reporting of experiencing bullying and harassment by patients, community and colleagues is of particular concern.</w:t>
      </w:r>
    </w:p>
    <w:p w:rsidR="00806DC6" w:rsidRPr="008D2AF1" w:rsidRDefault="00806DC6" w:rsidP="008D0D96">
      <w:pPr>
        <w:spacing w:after="240"/>
        <w:ind w:left="709" w:right="260" w:hanging="709"/>
        <w:jc w:val="both"/>
        <w:rPr>
          <w:rFonts w:cs="Arial"/>
          <w:sz w:val="22"/>
          <w:szCs w:val="22"/>
        </w:rPr>
      </w:pPr>
      <w:r w:rsidRPr="008D2AF1">
        <w:rPr>
          <w:rFonts w:cs="Arial"/>
          <w:sz w:val="22"/>
          <w:szCs w:val="22"/>
        </w:rPr>
        <w:t>1.4</w:t>
      </w:r>
      <w:r w:rsidRPr="008D2AF1">
        <w:rPr>
          <w:rFonts w:cs="Arial"/>
          <w:sz w:val="22"/>
          <w:szCs w:val="22"/>
        </w:rPr>
        <w:tab/>
        <w:t>An action plan to address concerns and improve performance will be developed by the Trust’s Equality and Inclusion Steering Group, in consultation with disabled staff, by 30 October 202</w:t>
      </w:r>
      <w:r>
        <w:rPr>
          <w:rFonts w:cs="Arial"/>
          <w:sz w:val="22"/>
          <w:szCs w:val="22"/>
        </w:rPr>
        <w:t>2</w:t>
      </w:r>
      <w:r w:rsidRPr="008D2AF1">
        <w:rPr>
          <w:rFonts w:cs="Arial"/>
          <w:sz w:val="22"/>
          <w:szCs w:val="22"/>
        </w:rPr>
        <w:t>.</w:t>
      </w:r>
    </w:p>
    <w:p w:rsidR="00806DC6" w:rsidRPr="008D2AF1" w:rsidRDefault="008D0D96" w:rsidP="008D0D96">
      <w:pPr>
        <w:keepNext/>
        <w:numPr>
          <w:ilvl w:val="0"/>
          <w:numId w:val="25"/>
        </w:numPr>
        <w:shd w:val="clear" w:color="auto" w:fill="FFFFFF"/>
        <w:spacing w:before="240" w:after="60"/>
        <w:ind w:right="260"/>
        <w:outlineLvl w:val="0"/>
        <w:rPr>
          <w:rFonts w:ascii="Arial Bold" w:hAnsi="Arial Bold" w:cs="Arial"/>
          <w:b/>
          <w:bCs/>
          <w:caps/>
          <w:color w:val="365F91"/>
          <w:kern w:val="32"/>
          <w:sz w:val="32"/>
          <w:szCs w:val="32"/>
        </w:rPr>
      </w:pPr>
      <w:sdt>
        <w:sdtPr>
          <w:rPr>
            <w:rFonts w:ascii="Arial Bold" w:hAnsi="Arial Bold" w:cs="Arial"/>
            <w:b/>
            <w:bCs/>
            <w:caps/>
            <w:color w:val="365F91"/>
            <w:kern w:val="32"/>
            <w:sz w:val="32"/>
            <w:szCs w:val="32"/>
          </w:rPr>
          <w:id w:val="-1361504930"/>
        </w:sdtPr>
        <w:sdtEndPr/>
        <w:sdtContent>
          <w:r w:rsidR="00806DC6" w:rsidRPr="008D2AF1">
            <w:rPr>
              <w:rFonts w:ascii="Arial Bold" w:hAnsi="Arial Bold" w:cs="Arial"/>
              <w:b/>
              <w:bCs/>
              <w:color w:val="365F91"/>
              <w:kern w:val="32"/>
              <w:sz w:val="32"/>
              <w:szCs w:val="32"/>
            </w:rPr>
            <w:t>Key Findings</w:t>
          </w:r>
        </w:sdtContent>
      </w:sdt>
      <w:r w:rsidR="00806DC6" w:rsidRPr="008D2AF1">
        <w:rPr>
          <w:rFonts w:ascii="Arial Bold" w:hAnsi="Arial Bold" w:cs="Arial"/>
          <w:b/>
          <w:bCs/>
          <w:caps/>
          <w:color w:val="365F91"/>
          <w:kern w:val="32"/>
          <w:sz w:val="32"/>
          <w:szCs w:val="32"/>
        </w:rPr>
        <w:t xml:space="preserve"> </w:t>
      </w:r>
    </w:p>
    <w:p w:rsidR="00806DC6" w:rsidRPr="00B3203F" w:rsidRDefault="00806DC6" w:rsidP="008D0D96">
      <w:pPr>
        <w:ind w:right="260"/>
      </w:pPr>
    </w:p>
    <w:p w:rsidR="00806DC6" w:rsidRPr="00B3203F" w:rsidRDefault="00806DC6" w:rsidP="008D0D96">
      <w:pPr>
        <w:spacing w:after="240"/>
        <w:ind w:left="709" w:right="260" w:hanging="709"/>
        <w:jc w:val="both"/>
        <w:rPr>
          <w:rFonts w:cs="Arial"/>
          <w:sz w:val="22"/>
          <w:szCs w:val="22"/>
        </w:rPr>
      </w:pPr>
      <w:r w:rsidRPr="00B3203F">
        <w:rPr>
          <w:rFonts w:cs="Arial"/>
          <w:sz w:val="22"/>
          <w:szCs w:val="22"/>
        </w:rPr>
        <w:t>3.1</w:t>
      </w:r>
      <w:r w:rsidRPr="00B3203F">
        <w:rPr>
          <w:rFonts w:cs="Arial"/>
          <w:sz w:val="22"/>
          <w:szCs w:val="22"/>
        </w:rPr>
        <w:tab/>
      </w:r>
      <w:r w:rsidRPr="00B3203F">
        <w:rPr>
          <w:rFonts w:cs="Arial"/>
          <w:b/>
          <w:sz w:val="22"/>
          <w:szCs w:val="22"/>
        </w:rPr>
        <w:t>Indicators 1 and 10: Disabled representation across the workforce</w:t>
      </w:r>
    </w:p>
    <w:p w:rsidR="00806DC6" w:rsidRPr="0006176E" w:rsidRDefault="00806DC6" w:rsidP="008D0D96">
      <w:pPr>
        <w:spacing w:after="240"/>
        <w:ind w:left="709" w:right="260"/>
        <w:jc w:val="both"/>
        <w:rPr>
          <w:rFonts w:cs="Arial"/>
          <w:sz w:val="22"/>
          <w:szCs w:val="22"/>
        </w:rPr>
      </w:pPr>
      <w:r w:rsidRPr="00B3203F">
        <w:rPr>
          <w:rFonts w:cs="Arial"/>
          <w:sz w:val="22"/>
          <w:szCs w:val="22"/>
        </w:rPr>
        <w:t>The assessment indicates that 3.</w:t>
      </w:r>
      <w:r>
        <w:rPr>
          <w:rFonts w:cs="Arial"/>
          <w:sz w:val="22"/>
          <w:szCs w:val="22"/>
        </w:rPr>
        <w:t>63</w:t>
      </w:r>
      <w:r w:rsidRPr="00B3203F">
        <w:rPr>
          <w:rFonts w:cs="Arial"/>
          <w:sz w:val="22"/>
          <w:szCs w:val="22"/>
        </w:rPr>
        <w:t xml:space="preserve">% of employees have declared that they are disabled (a marginal </w:t>
      </w:r>
      <w:r>
        <w:rPr>
          <w:rFonts w:cs="Arial"/>
          <w:sz w:val="22"/>
          <w:szCs w:val="22"/>
        </w:rPr>
        <w:t>decrease from 3.9</w:t>
      </w:r>
      <w:r w:rsidRPr="00B3203F">
        <w:rPr>
          <w:rFonts w:cs="Arial"/>
          <w:sz w:val="22"/>
          <w:szCs w:val="22"/>
        </w:rPr>
        <w:t xml:space="preserve">% last year), </w:t>
      </w:r>
      <w:r>
        <w:rPr>
          <w:rFonts w:cs="Arial"/>
          <w:sz w:val="22"/>
          <w:szCs w:val="22"/>
        </w:rPr>
        <w:t>73.71</w:t>
      </w:r>
      <w:r w:rsidRPr="00B3203F">
        <w:rPr>
          <w:rFonts w:cs="Arial"/>
          <w:sz w:val="22"/>
          <w:szCs w:val="22"/>
        </w:rPr>
        <w:t>% have declared that they are not disabled</w:t>
      </w:r>
      <w:r>
        <w:rPr>
          <w:rFonts w:cs="Arial"/>
          <w:sz w:val="22"/>
          <w:szCs w:val="22"/>
        </w:rPr>
        <w:t xml:space="preserve"> (down from 77% last year)</w:t>
      </w:r>
      <w:r w:rsidRPr="00B3203F">
        <w:rPr>
          <w:rFonts w:cs="Arial"/>
          <w:sz w:val="22"/>
          <w:szCs w:val="22"/>
        </w:rPr>
        <w:t xml:space="preserve">.  Just </w:t>
      </w:r>
      <w:r>
        <w:rPr>
          <w:rFonts w:cs="Arial"/>
          <w:sz w:val="22"/>
          <w:szCs w:val="22"/>
        </w:rPr>
        <w:t>four</w:t>
      </w:r>
      <w:r w:rsidRPr="00B3203F">
        <w:rPr>
          <w:rFonts w:cs="Arial"/>
          <w:sz w:val="22"/>
          <w:szCs w:val="22"/>
        </w:rPr>
        <w:t xml:space="preserve"> employees on Agenda for Change band 8a or above</w:t>
      </w:r>
      <w:r>
        <w:rPr>
          <w:rFonts w:cs="Arial"/>
          <w:sz w:val="22"/>
          <w:szCs w:val="22"/>
        </w:rPr>
        <w:t xml:space="preserve"> (down from ten in 2022)</w:t>
      </w:r>
      <w:r w:rsidRPr="00B3203F">
        <w:rPr>
          <w:rFonts w:cs="Arial"/>
          <w:sz w:val="22"/>
          <w:szCs w:val="22"/>
        </w:rPr>
        <w:t xml:space="preserve">, and </w:t>
      </w:r>
      <w:r>
        <w:rPr>
          <w:rFonts w:cs="Arial"/>
          <w:sz w:val="22"/>
          <w:szCs w:val="22"/>
        </w:rPr>
        <w:t>three</w:t>
      </w:r>
      <w:r w:rsidRPr="00B3203F">
        <w:rPr>
          <w:rFonts w:cs="Arial"/>
          <w:sz w:val="22"/>
          <w:szCs w:val="22"/>
        </w:rPr>
        <w:t xml:space="preserve"> medical staff, have identified as disabled</w:t>
      </w:r>
      <w:r>
        <w:rPr>
          <w:rFonts w:cs="Arial"/>
          <w:sz w:val="22"/>
          <w:szCs w:val="22"/>
        </w:rPr>
        <w:t xml:space="preserve"> (no change from 2022)</w:t>
      </w:r>
      <w:r w:rsidRPr="0006176E">
        <w:rPr>
          <w:rFonts w:cs="Arial"/>
          <w:sz w:val="22"/>
          <w:szCs w:val="22"/>
        </w:rPr>
        <w:t>.</w:t>
      </w:r>
    </w:p>
    <w:p w:rsidR="00806DC6" w:rsidRPr="0006176E" w:rsidRDefault="00806DC6" w:rsidP="008D0D96">
      <w:pPr>
        <w:spacing w:after="240"/>
        <w:ind w:left="709" w:right="260" w:hanging="709"/>
        <w:rPr>
          <w:rFonts w:cs="Arial"/>
          <w:sz w:val="22"/>
          <w:szCs w:val="22"/>
        </w:rPr>
      </w:pPr>
      <w:r w:rsidRPr="0006176E">
        <w:rPr>
          <w:rFonts w:cs="Arial"/>
          <w:sz w:val="22"/>
          <w:szCs w:val="22"/>
        </w:rPr>
        <w:t>3.2</w:t>
      </w:r>
      <w:r w:rsidRPr="0006176E">
        <w:rPr>
          <w:rFonts w:cs="Arial"/>
          <w:sz w:val="22"/>
          <w:szCs w:val="22"/>
        </w:rPr>
        <w:tab/>
      </w:r>
      <w:r w:rsidRPr="0006176E">
        <w:rPr>
          <w:rFonts w:cs="Arial"/>
          <w:b/>
          <w:sz w:val="22"/>
          <w:szCs w:val="22"/>
        </w:rPr>
        <w:t xml:space="preserve">Indicator 2 (Relative likelihood of appointment from shortlisting) </w:t>
      </w:r>
      <w:r>
        <w:rPr>
          <w:rFonts w:cs="Arial"/>
          <w:b/>
          <w:sz w:val="22"/>
          <w:szCs w:val="22"/>
        </w:rPr>
        <w:br/>
        <w:t>Current performance 0.</w:t>
      </w:r>
      <w:r w:rsidR="00E7763E">
        <w:rPr>
          <w:rFonts w:cs="Arial"/>
          <w:b/>
          <w:sz w:val="22"/>
          <w:szCs w:val="22"/>
        </w:rPr>
        <w:t>61</w:t>
      </w:r>
    </w:p>
    <w:p w:rsidR="00806DC6" w:rsidRDefault="00806DC6" w:rsidP="008D0D96">
      <w:pPr>
        <w:spacing w:after="240"/>
        <w:ind w:left="709" w:right="260"/>
        <w:jc w:val="both"/>
        <w:rPr>
          <w:rFonts w:cs="Arial"/>
          <w:sz w:val="22"/>
          <w:szCs w:val="22"/>
        </w:rPr>
      </w:pPr>
      <w:r w:rsidRPr="0006176E">
        <w:rPr>
          <w:rFonts w:cs="Arial"/>
          <w:sz w:val="22"/>
          <w:szCs w:val="22"/>
        </w:rPr>
        <w:t>The statistics show that disabled people were</w:t>
      </w:r>
      <w:r>
        <w:rPr>
          <w:rFonts w:cs="Arial"/>
          <w:sz w:val="22"/>
          <w:szCs w:val="22"/>
        </w:rPr>
        <w:t xml:space="preserve"> </w:t>
      </w:r>
      <w:r w:rsidRPr="0006176E">
        <w:rPr>
          <w:rFonts w:cs="Arial"/>
          <w:sz w:val="22"/>
          <w:szCs w:val="22"/>
        </w:rPr>
        <w:t xml:space="preserve">more likely than </w:t>
      </w:r>
      <w:r>
        <w:rPr>
          <w:rFonts w:cs="Arial"/>
          <w:sz w:val="22"/>
          <w:szCs w:val="22"/>
        </w:rPr>
        <w:t>non-</w:t>
      </w:r>
      <w:r w:rsidRPr="0006176E">
        <w:rPr>
          <w:rFonts w:cs="Arial"/>
          <w:sz w:val="22"/>
          <w:szCs w:val="22"/>
        </w:rPr>
        <w:t xml:space="preserve">disabled staff to be appointed, </w:t>
      </w:r>
      <w:r w:rsidR="00E7763E">
        <w:rPr>
          <w:rFonts w:cs="Arial"/>
          <w:sz w:val="22"/>
          <w:szCs w:val="22"/>
        </w:rPr>
        <w:t>as was the case in 2022</w:t>
      </w:r>
      <w:r>
        <w:rPr>
          <w:rFonts w:cs="Arial"/>
          <w:sz w:val="22"/>
          <w:szCs w:val="22"/>
        </w:rPr>
        <w:t xml:space="preserve">. </w:t>
      </w:r>
      <w:r w:rsidRPr="0006176E">
        <w:rPr>
          <w:rFonts w:cs="Arial"/>
          <w:sz w:val="22"/>
          <w:szCs w:val="22"/>
        </w:rPr>
        <w:t xml:space="preserve"> </w:t>
      </w:r>
      <w:r w:rsidR="00E7763E">
        <w:rPr>
          <w:rFonts w:cs="Arial"/>
          <w:sz w:val="22"/>
          <w:szCs w:val="22"/>
        </w:rPr>
        <w:t xml:space="preserve">However, the low declaration rate of disability amongst applicants and staff </w:t>
      </w:r>
      <w:r w:rsidR="006B621D">
        <w:rPr>
          <w:rFonts w:cs="Arial"/>
          <w:sz w:val="22"/>
          <w:szCs w:val="22"/>
        </w:rPr>
        <w:t>could be a significant factor in this statistic.</w:t>
      </w:r>
    </w:p>
    <w:p w:rsidR="00806DC6" w:rsidRPr="0006176E" w:rsidRDefault="00806DC6" w:rsidP="008D0D96">
      <w:pPr>
        <w:spacing w:after="240"/>
        <w:ind w:left="709" w:right="260"/>
        <w:jc w:val="both"/>
        <w:rPr>
          <w:rFonts w:cs="Arial"/>
          <w:sz w:val="22"/>
          <w:szCs w:val="22"/>
        </w:rPr>
      </w:pPr>
    </w:p>
    <w:p w:rsidR="00806DC6" w:rsidRDefault="00806DC6" w:rsidP="008D0D96">
      <w:pPr>
        <w:ind w:right="260"/>
        <w:rPr>
          <w:rFonts w:cs="Arial"/>
          <w:sz w:val="22"/>
          <w:szCs w:val="22"/>
        </w:rPr>
      </w:pPr>
      <w:r>
        <w:rPr>
          <w:rFonts w:cs="Arial"/>
          <w:sz w:val="22"/>
          <w:szCs w:val="22"/>
        </w:rPr>
        <w:br w:type="page"/>
      </w:r>
    </w:p>
    <w:p w:rsidR="00806DC6" w:rsidRPr="002103CF" w:rsidRDefault="00806DC6" w:rsidP="008D0D96">
      <w:pPr>
        <w:spacing w:after="240"/>
        <w:ind w:left="709" w:right="260" w:hanging="709"/>
        <w:jc w:val="both"/>
        <w:rPr>
          <w:rFonts w:cs="Arial"/>
          <w:sz w:val="22"/>
          <w:szCs w:val="22"/>
        </w:rPr>
      </w:pPr>
      <w:r w:rsidRPr="002103CF">
        <w:rPr>
          <w:rFonts w:cs="Arial"/>
          <w:sz w:val="22"/>
          <w:szCs w:val="22"/>
        </w:rPr>
        <w:lastRenderedPageBreak/>
        <w:t>3.3</w:t>
      </w:r>
      <w:r w:rsidRPr="002103CF">
        <w:rPr>
          <w:rFonts w:cs="Arial"/>
          <w:sz w:val="22"/>
          <w:szCs w:val="22"/>
        </w:rPr>
        <w:tab/>
      </w:r>
      <w:r w:rsidRPr="002103CF">
        <w:rPr>
          <w:rFonts w:cs="Arial"/>
          <w:b/>
          <w:sz w:val="22"/>
          <w:szCs w:val="22"/>
        </w:rPr>
        <w:t>Indicator 3 (Relative likelihood of being in capability procedures, other than sickness absence</w:t>
      </w:r>
      <w:r>
        <w:rPr>
          <w:rFonts w:cs="Arial"/>
          <w:b/>
          <w:sz w:val="22"/>
          <w:szCs w:val="22"/>
        </w:rPr>
        <w:t>, in the past two years</w:t>
      </w:r>
      <w:r w:rsidRPr="002103CF">
        <w:rPr>
          <w:rFonts w:cs="Arial"/>
          <w:b/>
          <w:sz w:val="22"/>
          <w:szCs w:val="22"/>
        </w:rPr>
        <w:t>)</w:t>
      </w:r>
      <w:r>
        <w:rPr>
          <w:rFonts w:cs="Arial"/>
          <w:b/>
          <w:sz w:val="22"/>
          <w:szCs w:val="22"/>
        </w:rPr>
        <w:t>: 1.94</w:t>
      </w:r>
    </w:p>
    <w:p w:rsidR="00806DC6" w:rsidRDefault="00806DC6" w:rsidP="008D0D96">
      <w:pPr>
        <w:spacing w:after="240"/>
        <w:ind w:left="709" w:right="260"/>
        <w:jc w:val="both"/>
        <w:rPr>
          <w:rFonts w:cs="Arial"/>
          <w:sz w:val="22"/>
          <w:szCs w:val="22"/>
        </w:rPr>
      </w:pPr>
      <w:r>
        <w:rPr>
          <w:rFonts w:cs="Arial"/>
          <w:sz w:val="22"/>
          <w:szCs w:val="22"/>
        </w:rPr>
        <w:t>27</w:t>
      </w:r>
      <w:r w:rsidRPr="002103CF">
        <w:rPr>
          <w:rFonts w:cs="Arial"/>
          <w:sz w:val="22"/>
          <w:szCs w:val="22"/>
        </w:rPr>
        <w:t xml:space="preserve"> disabled </w:t>
      </w:r>
      <w:r>
        <w:rPr>
          <w:rFonts w:cs="Arial"/>
          <w:sz w:val="22"/>
          <w:szCs w:val="22"/>
        </w:rPr>
        <w:t xml:space="preserve">people were in these procedures, compared to 210 non-disabled people, over the past two years.  The relative likelihood (when compared to the number of staff in the workforce) is 1.94, which is a deterioration from the previous year (1.54) </w:t>
      </w:r>
    </w:p>
    <w:p w:rsidR="006B621D" w:rsidRDefault="00806DC6" w:rsidP="008D0D96">
      <w:pPr>
        <w:spacing w:after="120"/>
        <w:ind w:left="705" w:right="260" w:hanging="705"/>
        <w:rPr>
          <w:rFonts w:cs="Arial"/>
          <w:sz w:val="22"/>
          <w:szCs w:val="22"/>
        </w:rPr>
      </w:pPr>
      <w:r w:rsidRPr="003E6576">
        <w:rPr>
          <w:rFonts w:cs="Arial"/>
          <w:sz w:val="22"/>
          <w:szCs w:val="22"/>
        </w:rPr>
        <w:t>3.4</w:t>
      </w:r>
      <w:r w:rsidRPr="003E6576">
        <w:rPr>
          <w:rFonts w:cs="Arial"/>
          <w:sz w:val="22"/>
          <w:szCs w:val="22"/>
        </w:rPr>
        <w:tab/>
      </w:r>
      <w:r w:rsidRPr="003E6576">
        <w:rPr>
          <w:rFonts w:cs="Arial"/>
          <w:b/>
          <w:sz w:val="22"/>
          <w:szCs w:val="22"/>
        </w:rPr>
        <w:t>Performance on the staff perception indicators.</w:t>
      </w:r>
    </w:p>
    <w:p w:rsidR="006B621D" w:rsidRDefault="006B621D" w:rsidP="008D0D96">
      <w:pPr>
        <w:spacing w:after="120"/>
        <w:ind w:left="705" w:right="260"/>
        <w:rPr>
          <w:rFonts w:cs="Arial"/>
          <w:sz w:val="22"/>
          <w:szCs w:val="22"/>
        </w:rPr>
      </w:pPr>
      <w:r>
        <w:rPr>
          <w:rFonts w:cs="Arial"/>
          <w:sz w:val="22"/>
          <w:szCs w:val="22"/>
        </w:rPr>
        <w:t>These were reported at the last meeting, of the Committee, and do not need to be submitted by the Trust, as they are already published.</w:t>
      </w:r>
    </w:p>
    <w:p w:rsidR="006B621D" w:rsidRDefault="006B621D" w:rsidP="008D0D96">
      <w:pPr>
        <w:spacing w:after="120"/>
        <w:ind w:left="705" w:right="260" w:hanging="705"/>
        <w:rPr>
          <w:rFonts w:cs="Arial"/>
          <w:sz w:val="22"/>
          <w:szCs w:val="22"/>
        </w:rPr>
      </w:pPr>
      <w:r w:rsidRPr="003E6576">
        <w:rPr>
          <w:rFonts w:cs="Arial"/>
          <w:sz w:val="22"/>
          <w:szCs w:val="22"/>
        </w:rPr>
        <w:t>3.</w:t>
      </w:r>
      <w:r>
        <w:rPr>
          <w:rFonts w:cs="Arial"/>
          <w:sz w:val="22"/>
          <w:szCs w:val="22"/>
        </w:rPr>
        <w:t>5</w:t>
      </w:r>
      <w:r w:rsidRPr="003E6576">
        <w:rPr>
          <w:rFonts w:cs="Arial"/>
          <w:sz w:val="22"/>
          <w:szCs w:val="22"/>
        </w:rPr>
        <w:tab/>
      </w:r>
      <w:r>
        <w:rPr>
          <w:rFonts w:cs="Arial"/>
          <w:b/>
          <w:sz w:val="22"/>
          <w:szCs w:val="22"/>
        </w:rPr>
        <w:t>Board Representation</w:t>
      </w:r>
    </w:p>
    <w:p w:rsidR="00806DC6" w:rsidRDefault="006B621D" w:rsidP="008D0D96">
      <w:pPr>
        <w:spacing w:after="120"/>
        <w:ind w:left="705" w:right="260"/>
        <w:rPr>
          <w:rFonts w:cs="Arial"/>
          <w:sz w:val="22"/>
          <w:szCs w:val="22"/>
          <w:lang w:eastAsia="en-GB"/>
        </w:rPr>
      </w:pPr>
      <w:r>
        <w:rPr>
          <w:rFonts w:cs="Arial"/>
          <w:sz w:val="22"/>
          <w:szCs w:val="22"/>
        </w:rPr>
        <w:t>This indicator compares the disabled/non-disabled representation of the Board to the workforce as a whole.  It shows that non-disabled people are 26% over-represented on the Board and disabled people are 4% under-represented.</w:t>
      </w:r>
      <w:r w:rsidR="00D0600C">
        <w:rPr>
          <w:rFonts w:cs="Arial"/>
          <w:sz w:val="22"/>
          <w:szCs w:val="22"/>
          <w:lang w:eastAsia="en-GB"/>
        </w:rPr>
        <w:t xml:space="preserve"> </w:t>
      </w:r>
    </w:p>
    <w:p w:rsidR="00806DC6" w:rsidRDefault="00806DC6" w:rsidP="008D0D96">
      <w:pPr>
        <w:pStyle w:val="Title"/>
        <w:ind w:right="260"/>
        <w:jc w:val="left"/>
        <w:rPr>
          <w:noProof/>
          <w:sz w:val="32"/>
          <w:szCs w:val="32"/>
          <w:lang w:eastAsia="en-GB"/>
        </w:rPr>
      </w:pPr>
    </w:p>
    <w:sectPr w:rsidR="00806DC6" w:rsidSect="00B6209C">
      <w:headerReference w:type="default" r:id="rId12"/>
      <w:headerReference w:type="first" r:id="rId13"/>
      <w:pgSz w:w="11906" w:h="16838" w:code="9"/>
      <w:pgMar w:top="720" w:right="720" w:bottom="1135" w:left="720"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F33" w:rsidRDefault="003C6F33">
      <w:r>
        <w:separator/>
      </w:r>
    </w:p>
  </w:endnote>
  <w:endnote w:type="continuationSeparator" w:id="0">
    <w:p w:rsidR="003C6F33" w:rsidRDefault="003C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F33" w:rsidRDefault="003C6F33">
      <w:r>
        <w:separator/>
      </w:r>
    </w:p>
  </w:footnote>
  <w:footnote w:type="continuationSeparator" w:id="0">
    <w:p w:rsidR="003C6F33" w:rsidRDefault="003C6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FA4" w:rsidRDefault="002E4FA4" w:rsidP="00422783">
    <w:pPr>
      <w:jc w:val="right"/>
    </w:pPr>
  </w:p>
  <w:p w:rsidR="002E4FA4" w:rsidRPr="00476E07" w:rsidRDefault="002E4FA4" w:rsidP="00476E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FA4" w:rsidRDefault="002E4FA4" w:rsidP="00D0600C">
    <w:pPr>
      <w:pStyle w:val="Title"/>
      <w:tabs>
        <w:tab w:val="left" w:pos="6345"/>
      </w:tabs>
      <w:ind w:right="118"/>
      <w:jc w:val="left"/>
      <w:rPr>
        <w:noProof/>
        <w:sz w:val="52"/>
        <w:szCs w:val="52"/>
        <w:lang w:eastAsia="en-GB"/>
      </w:rPr>
    </w:pPr>
    <w:r>
      <w:rPr>
        <w:noProof/>
        <w:lang w:eastAsia="en-GB"/>
      </w:rPr>
      <w:drawing>
        <wp:anchor distT="0" distB="0" distL="114300" distR="114300" simplePos="0" relativeHeight="251661312" behindDoc="0" locked="0" layoutInCell="1" allowOverlap="1" wp14:anchorId="15E3B1CE" wp14:editId="5B28E6F4">
          <wp:simplePos x="0" y="0"/>
          <wp:positionH relativeFrom="column">
            <wp:posOffset>5506085</wp:posOffset>
          </wp:positionH>
          <wp:positionV relativeFrom="paragraph">
            <wp:posOffset>-560705</wp:posOffset>
          </wp:positionV>
          <wp:extent cx="1637665" cy="964565"/>
          <wp:effectExtent l="0" t="0" r="635" b="698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way LOGO 2017.jpg"/>
                  <pic:cNvPicPr/>
                </pic:nvPicPr>
                <pic:blipFill>
                  <a:blip r:embed="rId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14:sizeRelH relativeFrom="margin">
            <wp14:pctWidth>0</wp14:pctWidth>
          </wp14:sizeRelH>
          <wp14:sizeRelV relativeFrom="margin">
            <wp14:pctHeight>0</wp14:pctHeight>
          </wp14:sizeRelV>
        </wp:anchor>
      </w:drawing>
    </w:r>
    <w:r w:rsidR="00D71F45">
      <w:rPr>
        <w:noProof/>
        <w:sz w:val="52"/>
        <w:szCs w:val="52"/>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2BC"/>
    <w:multiLevelType w:val="hybridMultilevel"/>
    <w:tmpl w:val="4B5C83C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524F7"/>
    <w:multiLevelType w:val="multilevel"/>
    <w:tmpl w:val="BC488F8A"/>
    <w:styleLink w:val="StyleStyleOutlinenumberedOutlinenumbered"/>
    <w:lvl w:ilvl="0">
      <w:start w:val="1"/>
      <w:numFmt w:val="decimal"/>
      <w:lvlText w:val="%1"/>
      <w:lvlJc w:val="left"/>
      <w:pPr>
        <w:tabs>
          <w:tab w:val="num" w:pos="705"/>
        </w:tabs>
        <w:ind w:left="705" w:hanging="705"/>
      </w:pPr>
      <w:rPr>
        <w:rFonts w:hint="default"/>
        <w:b/>
        <w:sz w:val="22"/>
        <w:szCs w:val="22"/>
      </w:rPr>
    </w:lvl>
    <w:lvl w:ilvl="1">
      <w:start w:val="2"/>
      <w:numFmt w:val="decimal"/>
      <w:lvlText w:val="%1.%2"/>
      <w:lvlJc w:val="left"/>
      <w:pPr>
        <w:tabs>
          <w:tab w:val="num" w:pos="705"/>
        </w:tabs>
        <w:ind w:left="705" w:hanging="705"/>
      </w:pPr>
      <w:rPr>
        <w:rFonts w:ascii="Arial" w:hAnsi="Arial" w:hint="default"/>
        <w:b/>
        <w:bCs/>
        <w:sz w:val="22"/>
      </w:rPr>
    </w:lvl>
    <w:lvl w:ilvl="2">
      <w:start w:val="3"/>
      <w:numFmt w:val="decimal"/>
      <w:lvlText w:val="%1.%2.%3"/>
      <w:lvlJc w:val="left"/>
      <w:pPr>
        <w:tabs>
          <w:tab w:val="num" w:pos="1571"/>
        </w:tabs>
        <w:ind w:left="1571" w:hanging="777"/>
      </w:pPr>
      <w:rPr>
        <w:rFonts w:hint="default"/>
        <w:b w:val="0"/>
      </w:rPr>
    </w:lvl>
    <w:lvl w:ilvl="3">
      <w:start w:val="4"/>
      <w:numFmt w:val="decimal"/>
      <w:lvlText w:val="%1.%2.%3.%4"/>
      <w:lvlJc w:val="left"/>
      <w:pPr>
        <w:tabs>
          <w:tab w:val="num" w:pos="720"/>
        </w:tabs>
        <w:ind w:left="720" w:hanging="720"/>
      </w:pPr>
      <w:rPr>
        <w:rFonts w:hint="default"/>
      </w:rPr>
    </w:lvl>
    <w:lvl w:ilvl="4">
      <w:start w:val="5"/>
      <w:numFmt w:val="decimal"/>
      <w:lvlText w:val="%1.%2.%3.%4.%5"/>
      <w:lvlJc w:val="left"/>
      <w:pPr>
        <w:tabs>
          <w:tab w:val="num" w:pos="1080"/>
        </w:tabs>
        <w:ind w:left="1080" w:hanging="1080"/>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4C67A8"/>
    <w:multiLevelType w:val="hybridMultilevel"/>
    <w:tmpl w:val="B98C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D5EE8"/>
    <w:multiLevelType w:val="hybridMultilevel"/>
    <w:tmpl w:val="5032E3BE"/>
    <w:lvl w:ilvl="0" w:tplc="7F3A3628">
      <w:start w:val="1"/>
      <w:numFmt w:val="bullet"/>
      <w:lvlText w:val=""/>
      <w:lvlJc w:val="left"/>
      <w:pPr>
        <w:tabs>
          <w:tab w:val="num" w:pos="794"/>
        </w:tabs>
        <w:ind w:left="794" w:hanging="454"/>
      </w:pPr>
      <w:rPr>
        <w:rFonts w:ascii="Symbol" w:hAnsi="Symbol" w:hint="default"/>
        <w:b w:val="0"/>
        <w:bCs w:val="0"/>
        <w:i w:val="0"/>
        <w:iCs w:val="0"/>
        <w:color w:val="A04C97"/>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67A2F"/>
    <w:multiLevelType w:val="multilevel"/>
    <w:tmpl w:val="47F27370"/>
    <w:styleLink w:val="StyleOutlinenumbered"/>
    <w:lvl w:ilvl="0">
      <w:start w:val="2"/>
      <w:numFmt w:val="decimal"/>
      <w:lvlText w:val="%1"/>
      <w:lvlJc w:val="left"/>
      <w:pPr>
        <w:tabs>
          <w:tab w:val="num" w:pos="624"/>
        </w:tabs>
        <w:ind w:left="624" w:hanging="624"/>
      </w:pPr>
      <w:rPr>
        <w:rFonts w:ascii="Arial" w:hAnsi="Arial" w:hint="default"/>
        <w:b/>
        <w:sz w:val="22"/>
        <w:szCs w:val="22"/>
      </w:rPr>
    </w:lvl>
    <w:lvl w:ilvl="1">
      <w:start w:val="1"/>
      <w:numFmt w:val="decimal"/>
      <w:lvlText w:val="%1.%2"/>
      <w:lvlJc w:val="left"/>
      <w:pPr>
        <w:tabs>
          <w:tab w:val="num" w:pos="737"/>
        </w:tabs>
        <w:ind w:left="737" w:hanging="737"/>
      </w:pPr>
      <w:rPr>
        <w:rFonts w:ascii="Arial" w:hAnsi="Arial" w:hint="default"/>
        <w:sz w:val="22"/>
      </w:rPr>
    </w:lvl>
    <w:lvl w:ilvl="2">
      <w:start w:val="1"/>
      <w:numFmt w:val="decimal"/>
      <w:lvlText w:val="%1.%2.%3"/>
      <w:lvlJc w:val="left"/>
      <w:pPr>
        <w:tabs>
          <w:tab w:val="num" w:pos="1701"/>
        </w:tabs>
        <w:ind w:left="1701" w:hanging="850"/>
      </w:pPr>
      <w:rPr>
        <w:rFonts w:hint="default"/>
        <w:b w:val="0"/>
      </w:rPr>
    </w:lvl>
    <w:lvl w:ilvl="3">
      <w:start w:val="1"/>
      <w:numFmt w:val="decimal"/>
      <w:lvlText w:val="%1.%2.%3.%4"/>
      <w:lvlJc w:val="left"/>
      <w:pPr>
        <w:tabs>
          <w:tab w:val="num" w:pos="2835"/>
        </w:tabs>
        <w:ind w:left="2835" w:hanging="1134"/>
      </w:pPr>
      <w:rPr>
        <w:rFonts w:hint="default"/>
      </w:rPr>
    </w:lvl>
    <w:lvl w:ilvl="4">
      <w:start w:val="5"/>
      <w:numFmt w:val="decimal"/>
      <w:lvlText w:val="%1.%2.%3.%4.%5"/>
      <w:lvlJc w:val="left"/>
      <w:pPr>
        <w:tabs>
          <w:tab w:val="num" w:pos="4139"/>
        </w:tabs>
        <w:ind w:left="4139" w:hanging="1304"/>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B0A02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F902B8"/>
    <w:multiLevelType w:val="multilevel"/>
    <w:tmpl w:val="47F27370"/>
    <w:numStyleLink w:val="StyleOutlinenumbered"/>
  </w:abstractNum>
  <w:abstractNum w:abstractNumId="7" w15:restartNumberingAfterBreak="0">
    <w:nsid w:val="5EFD4817"/>
    <w:multiLevelType w:val="multilevel"/>
    <w:tmpl w:val="CB865B7E"/>
    <w:lvl w:ilvl="0">
      <w:start w:val="1"/>
      <w:numFmt w:val="decimal"/>
      <w:lvlText w:val="%1"/>
      <w:lvlJc w:val="left"/>
      <w:pPr>
        <w:tabs>
          <w:tab w:val="num" w:pos="705"/>
        </w:tabs>
        <w:ind w:left="705" w:hanging="705"/>
      </w:pPr>
      <w:rPr>
        <w:rFonts w:ascii="Arial" w:hAnsi="Arial" w:hint="default"/>
        <w:b/>
        <w:sz w:val="22"/>
        <w:szCs w:val="22"/>
      </w:rPr>
    </w:lvl>
    <w:lvl w:ilvl="1">
      <w:start w:val="1"/>
      <w:numFmt w:val="decimal"/>
      <w:lvlText w:val="%1.%2"/>
      <w:lvlJc w:val="left"/>
      <w:pPr>
        <w:tabs>
          <w:tab w:val="num" w:pos="705"/>
        </w:tabs>
        <w:ind w:left="705" w:hanging="705"/>
      </w:pPr>
      <w:rPr>
        <w:rFonts w:ascii="Arial" w:hAnsi="Arial" w:hint="default"/>
        <w:sz w:val="22"/>
      </w:rPr>
    </w:lvl>
    <w:lvl w:ilvl="2">
      <w:start w:val="1"/>
      <w:numFmt w:val="decimal"/>
      <w:lvlText w:val="%1.%2.%3"/>
      <w:lvlJc w:val="left"/>
      <w:pPr>
        <w:tabs>
          <w:tab w:val="num" w:pos="1571"/>
        </w:tabs>
        <w:ind w:left="1571" w:hanging="720"/>
      </w:pPr>
      <w:rPr>
        <w:rFonts w:hint="default"/>
        <w:b w:val="0"/>
      </w:rPr>
    </w:lvl>
    <w:lvl w:ilvl="3">
      <w:start w:val="1"/>
      <w:numFmt w:val="bullet"/>
      <w:pStyle w:val="Char"/>
      <w:lvlText w:val=""/>
      <w:lvlJc w:val="left"/>
      <w:pPr>
        <w:tabs>
          <w:tab w:val="num" w:pos="1871"/>
        </w:tabs>
        <w:ind w:left="2438" w:hanging="850"/>
      </w:pPr>
      <w:rPr>
        <w:rFonts w:ascii="Symbol" w:hAnsi="Symbol" w:hint="default"/>
      </w:rPr>
    </w:lvl>
    <w:lvl w:ilvl="4">
      <w:start w:val="5"/>
      <w:numFmt w:val="decimal"/>
      <w:lvlText w:val="%1.%2.%3.%4.%5"/>
      <w:lvlJc w:val="left"/>
      <w:pPr>
        <w:tabs>
          <w:tab w:val="num" w:pos="1080"/>
        </w:tabs>
        <w:ind w:left="1080" w:hanging="1080"/>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B0E2BAB"/>
    <w:multiLevelType w:val="multilevel"/>
    <w:tmpl w:val="4014A550"/>
    <w:lvl w:ilvl="0">
      <w:start w:val="1"/>
      <w:numFmt w:val="decimal"/>
      <w:pStyle w:val="Heading1"/>
      <w:lvlText w:val="%1"/>
      <w:lvlJc w:val="left"/>
      <w:pPr>
        <w:tabs>
          <w:tab w:val="num" w:pos="705"/>
        </w:tabs>
        <w:ind w:left="705" w:hanging="70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5"/>
        </w:tabs>
        <w:ind w:left="705" w:hanging="705"/>
      </w:pPr>
      <w:rPr>
        <w:rFonts w:ascii="Arial" w:hAnsi="Arial" w:hint="default"/>
        <w:b w:val="0"/>
        <w:sz w:val="22"/>
        <w:szCs w:val="22"/>
      </w:rPr>
    </w:lvl>
    <w:lvl w:ilvl="2">
      <w:start w:val="1"/>
      <w:numFmt w:val="decimal"/>
      <w:lvlText w:val="%1.%2.%3"/>
      <w:lvlJc w:val="left"/>
      <w:pPr>
        <w:tabs>
          <w:tab w:val="num" w:pos="1571"/>
        </w:tabs>
        <w:ind w:left="1571" w:hanging="720"/>
      </w:pPr>
      <w:rPr>
        <w:rFonts w:hint="default"/>
        <w:b w:val="0"/>
      </w:rPr>
    </w:lvl>
    <w:lvl w:ilvl="3">
      <w:start w:val="1"/>
      <w:numFmt w:val="bullet"/>
      <w:lvlText w:val=""/>
      <w:lvlJc w:val="left"/>
      <w:pPr>
        <w:tabs>
          <w:tab w:val="num" w:pos="2835"/>
        </w:tabs>
        <w:ind w:left="2835" w:hanging="510"/>
      </w:pPr>
      <w:rPr>
        <w:rFonts w:ascii="Symbol" w:hAnsi="Symbol" w:hint="default"/>
        <w:b w:val="0"/>
      </w:rPr>
    </w:lvl>
    <w:lvl w:ilvl="4">
      <w:start w:val="5"/>
      <w:numFmt w:val="decimal"/>
      <w:lvlText w:val="%1.%2.%3.%4.%5"/>
      <w:lvlJc w:val="left"/>
      <w:pPr>
        <w:tabs>
          <w:tab w:val="num" w:pos="3232"/>
        </w:tabs>
        <w:ind w:left="3856" w:hanging="1021"/>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4"/>
  </w:num>
  <w:num w:numId="3">
    <w:abstractNumId w:val="1"/>
  </w:num>
  <w:num w:numId="4">
    <w:abstractNumId w:val="6"/>
    <w:lvlOverride w:ilvl="0">
      <w:lvl w:ilvl="0">
        <w:start w:val="2"/>
        <w:numFmt w:val="decimal"/>
        <w:lvlText w:val="%1"/>
        <w:lvlJc w:val="left"/>
        <w:pPr>
          <w:tabs>
            <w:tab w:val="num" w:pos="624"/>
          </w:tabs>
          <w:ind w:left="624" w:hanging="624"/>
        </w:pPr>
        <w:rPr>
          <w:rFonts w:ascii="Arial" w:hAnsi="Arial" w:hint="default"/>
          <w:b/>
          <w:sz w:val="22"/>
          <w:szCs w:val="22"/>
        </w:rPr>
      </w:lvl>
    </w:lvlOverride>
    <w:lvlOverride w:ilvl="1">
      <w:lvl w:ilvl="1">
        <w:start w:val="1"/>
        <w:numFmt w:val="decimal"/>
        <w:lvlText w:val="%1.%2"/>
        <w:lvlJc w:val="left"/>
        <w:pPr>
          <w:tabs>
            <w:tab w:val="num" w:pos="737"/>
          </w:tabs>
          <w:ind w:left="737" w:hanging="737"/>
        </w:pPr>
        <w:rPr>
          <w:rFonts w:ascii="Arial" w:hAnsi="Arial" w:hint="default"/>
          <w:sz w:val="24"/>
          <w:szCs w:val="24"/>
        </w:rPr>
      </w:lvl>
    </w:lvlOverride>
    <w:lvlOverride w:ilvl="2">
      <w:lvl w:ilvl="2">
        <w:start w:val="1"/>
        <w:numFmt w:val="decimal"/>
        <w:lvlText w:val="%1.%2.%3"/>
        <w:lvlJc w:val="left"/>
        <w:pPr>
          <w:tabs>
            <w:tab w:val="num" w:pos="1701"/>
          </w:tabs>
          <w:ind w:left="1701" w:hanging="850"/>
        </w:pPr>
        <w:rPr>
          <w:rFonts w:hint="default"/>
          <w:b w:val="0"/>
        </w:rPr>
      </w:lvl>
    </w:lvlOverride>
    <w:lvlOverride w:ilvl="3">
      <w:lvl w:ilvl="3">
        <w:start w:val="1"/>
        <w:numFmt w:val="decimal"/>
        <w:lvlText w:val="%1.%2.%3.%4"/>
        <w:lvlJc w:val="left"/>
        <w:pPr>
          <w:tabs>
            <w:tab w:val="num" w:pos="2835"/>
          </w:tabs>
          <w:ind w:left="2835" w:hanging="1134"/>
        </w:pPr>
        <w:rPr>
          <w:rFonts w:hint="default"/>
        </w:rPr>
      </w:lvl>
    </w:lvlOverride>
    <w:lvlOverride w:ilvl="4">
      <w:lvl w:ilvl="4">
        <w:start w:val="5"/>
        <w:numFmt w:val="decimal"/>
        <w:lvlText w:val="%1.%2.%3.%4.%5"/>
        <w:lvlJc w:val="left"/>
        <w:pPr>
          <w:tabs>
            <w:tab w:val="num" w:pos="4139"/>
          </w:tabs>
          <w:ind w:left="4139" w:hanging="1304"/>
        </w:pPr>
        <w:rPr>
          <w:rFont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
    <w:abstractNumId w:val="0"/>
  </w:num>
  <w:num w:numId="6">
    <w:abstractNumId w:val="7"/>
  </w:num>
  <w:num w:numId="7">
    <w:abstractNumId w:val="6"/>
    <w:lvlOverride w:ilvl="0">
      <w:lvl w:ilvl="0">
        <w:start w:val="1"/>
        <w:numFmt w:val="decimal"/>
        <w:lvlText w:val="%1"/>
        <w:lvlJc w:val="left"/>
        <w:pPr>
          <w:tabs>
            <w:tab w:val="num" w:pos="705"/>
          </w:tabs>
          <w:ind w:left="705" w:hanging="705"/>
        </w:pPr>
        <w:rPr>
          <w:rFonts w:ascii="Arial" w:hAnsi="Arial" w:hint="default"/>
          <w:b/>
          <w:sz w:val="22"/>
          <w:szCs w:val="22"/>
        </w:rPr>
      </w:lvl>
    </w:lvlOverride>
    <w:lvlOverride w:ilvl="1">
      <w:lvl w:ilvl="1">
        <w:start w:val="1"/>
        <w:numFmt w:val="bullet"/>
        <w:lvlText w:val=""/>
        <w:lvlJc w:val="left"/>
        <w:pPr>
          <w:tabs>
            <w:tab w:val="num" w:pos="705"/>
          </w:tabs>
          <w:ind w:left="705" w:hanging="705"/>
        </w:pPr>
        <w:rPr>
          <w:rFonts w:ascii="Symbol" w:hAnsi="Symbol" w:hint="default"/>
          <w:sz w:val="22"/>
        </w:rPr>
      </w:lvl>
    </w:lvlOverride>
    <w:lvlOverride w:ilvl="2">
      <w:lvl w:ilvl="2">
        <w:start w:val="1"/>
        <w:numFmt w:val="bullet"/>
        <w:lvlText w:val=""/>
        <w:lvlJc w:val="left"/>
        <w:pPr>
          <w:tabs>
            <w:tab w:val="num" w:pos="1571"/>
          </w:tabs>
          <w:ind w:left="1571" w:hanging="720"/>
        </w:pPr>
        <w:rPr>
          <w:rFonts w:ascii="Symbol" w:hAnsi="Symbol" w:hint="default"/>
          <w:b w:val="0"/>
        </w:rPr>
      </w:lvl>
    </w:lvlOverride>
    <w:lvlOverride w:ilvl="3">
      <w:lvl w:ilvl="3">
        <w:start w:val="1"/>
        <w:numFmt w:val="decimal"/>
        <w:lvlText w:val="%1.%2.%3.%4"/>
        <w:lvlJc w:val="left"/>
        <w:pPr>
          <w:tabs>
            <w:tab w:val="num" w:pos="1871"/>
          </w:tabs>
          <w:ind w:left="2438" w:hanging="850"/>
        </w:pPr>
        <w:rPr>
          <w:rFonts w:hint="default"/>
        </w:rPr>
      </w:lvl>
    </w:lvlOverride>
    <w:lvlOverride w:ilvl="4">
      <w:lvl w:ilvl="4">
        <w:start w:val="5"/>
        <w:numFmt w:val="decimal"/>
        <w:lvlText w:val="%1.%2.%3.%4.%5"/>
        <w:lvlJc w:val="left"/>
        <w:pPr>
          <w:tabs>
            <w:tab w:val="num" w:pos="1080"/>
          </w:tabs>
          <w:ind w:left="1080" w:hanging="1080"/>
        </w:pPr>
        <w:rPr>
          <w:rFont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
    <w:abstractNumId w:val="6"/>
    <w:lvlOverride w:ilvl="0">
      <w:lvl w:ilvl="0">
        <w:start w:val="2"/>
        <w:numFmt w:val="decimal"/>
        <w:lvlText w:val="%1"/>
        <w:lvlJc w:val="left"/>
        <w:pPr>
          <w:tabs>
            <w:tab w:val="num" w:pos="624"/>
          </w:tabs>
          <w:ind w:left="624" w:hanging="624"/>
        </w:pPr>
        <w:rPr>
          <w:rFonts w:ascii="Arial" w:hAnsi="Arial" w:hint="default"/>
          <w:b/>
          <w:sz w:val="22"/>
          <w:szCs w:val="22"/>
        </w:rPr>
      </w:lvl>
    </w:lvlOverride>
    <w:lvlOverride w:ilvl="1">
      <w:lvl w:ilvl="1">
        <w:start w:val="1"/>
        <w:numFmt w:val="decimal"/>
        <w:lvlText w:val="%1.%2"/>
        <w:lvlJc w:val="left"/>
        <w:pPr>
          <w:tabs>
            <w:tab w:val="num" w:pos="737"/>
          </w:tabs>
          <w:ind w:left="737" w:hanging="737"/>
        </w:pPr>
        <w:rPr>
          <w:rFonts w:ascii="Arial" w:hAnsi="Arial" w:hint="default"/>
          <w:sz w:val="22"/>
        </w:rPr>
      </w:lvl>
    </w:lvlOverride>
    <w:lvlOverride w:ilvl="2">
      <w:lvl w:ilvl="2">
        <w:start w:val="1"/>
        <w:numFmt w:val="decimal"/>
        <w:lvlText w:val="%1.%2.%3"/>
        <w:lvlJc w:val="left"/>
        <w:pPr>
          <w:tabs>
            <w:tab w:val="num" w:pos="1701"/>
          </w:tabs>
          <w:ind w:left="1701" w:hanging="850"/>
        </w:pPr>
        <w:rPr>
          <w:rFonts w:hint="default"/>
          <w:b w:val="0"/>
        </w:rPr>
      </w:lvl>
    </w:lvlOverride>
    <w:lvlOverride w:ilvl="3">
      <w:lvl w:ilvl="3">
        <w:start w:val="1"/>
        <w:numFmt w:val="decimal"/>
        <w:lvlText w:val="%1.%2.%3.%4"/>
        <w:lvlJc w:val="left"/>
        <w:pPr>
          <w:tabs>
            <w:tab w:val="num" w:pos="2835"/>
          </w:tabs>
          <w:ind w:left="2835" w:hanging="1134"/>
        </w:pPr>
        <w:rPr>
          <w:rFonts w:hint="default"/>
        </w:rPr>
      </w:lvl>
    </w:lvlOverride>
    <w:lvlOverride w:ilvl="4">
      <w:lvl w:ilvl="4">
        <w:start w:val="5"/>
        <w:numFmt w:val="decimal"/>
        <w:lvlText w:val="%1.%2.%3.%4.%5"/>
        <w:lvlJc w:val="left"/>
        <w:pPr>
          <w:tabs>
            <w:tab w:val="num" w:pos="4139"/>
          </w:tabs>
          <w:ind w:left="4139" w:hanging="1304"/>
        </w:pPr>
        <w:rPr>
          <w:rFont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2"/>
  </w:num>
  <w:num w:numId="19">
    <w:abstractNumId w:val="6"/>
    <w:lvlOverride w:ilvl="0">
      <w:lvl w:ilvl="0">
        <w:start w:val="1"/>
        <w:numFmt w:val="decimal"/>
        <w:lvlText w:val="%1"/>
        <w:lvlJc w:val="left"/>
        <w:pPr>
          <w:tabs>
            <w:tab w:val="num" w:pos="624"/>
          </w:tabs>
          <w:ind w:left="624" w:hanging="624"/>
        </w:pPr>
        <w:rPr>
          <w:rFonts w:ascii="Arial" w:hAnsi="Arial" w:hint="default"/>
          <w:b/>
          <w:sz w:val="22"/>
          <w:szCs w:val="22"/>
        </w:rPr>
      </w:lvl>
    </w:lvlOverride>
    <w:lvlOverride w:ilvl="1">
      <w:lvl w:ilvl="1">
        <w:start w:val="1"/>
        <w:numFmt w:val="decimal"/>
        <w:lvlText w:val="%1.%2"/>
        <w:lvlJc w:val="left"/>
        <w:pPr>
          <w:tabs>
            <w:tab w:val="num" w:pos="737"/>
          </w:tabs>
          <w:ind w:left="737" w:hanging="737"/>
        </w:pPr>
        <w:rPr>
          <w:rFonts w:ascii="Arial" w:hAnsi="Arial" w:hint="default"/>
          <w:b w:val="0"/>
          <w:sz w:val="24"/>
          <w:szCs w:val="24"/>
        </w:rPr>
      </w:lvl>
    </w:lvlOverride>
    <w:lvlOverride w:ilvl="2">
      <w:lvl w:ilvl="2">
        <w:start w:val="1"/>
        <w:numFmt w:val="decimal"/>
        <w:lvlText w:val="%1.%2.%3"/>
        <w:lvlJc w:val="left"/>
        <w:pPr>
          <w:tabs>
            <w:tab w:val="num" w:pos="1701"/>
          </w:tabs>
          <w:ind w:left="1701" w:hanging="850"/>
        </w:pPr>
        <w:rPr>
          <w:rFonts w:hint="default"/>
          <w:b w:val="0"/>
        </w:rPr>
      </w:lvl>
    </w:lvlOverride>
    <w:lvlOverride w:ilvl="3">
      <w:lvl w:ilvl="3">
        <w:start w:val="1"/>
        <w:numFmt w:val="bullet"/>
        <w:lvlText w:val=""/>
        <w:lvlJc w:val="left"/>
        <w:pPr>
          <w:tabs>
            <w:tab w:val="num" w:pos="2325"/>
          </w:tabs>
          <w:ind w:left="2552" w:hanging="284"/>
        </w:pPr>
        <w:rPr>
          <w:rFonts w:ascii="Symbol" w:hAnsi="Symbol" w:hint="default"/>
          <w:color w:val="auto"/>
        </w:rPr>
      </w:lvl>
    </w:lvlOverride>
    <w:lvlOverride w:ilvl="4">
      <w:lvl w:ilvl="4">
        <w:start w:val="5"/>
        <w:numFmt w:val="bullet"/>
        <w:lvlText w:val=""/>
        <w:lvlJc w:val="left"/>
        <w:pPr>
          <w:ind w:left="2835" w:hanging="567"/>
        </w:pPr>
        <w:rPr>
          <w:rFonts w:ascii="Wingdings" w:hAnsi="Wingding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0">
    <w:abstractNumId w:val="8"/>
  </w:num>
  <w:num w:numId="21">
    <w:abstractNumId w:val="8"/>
  </w:num>
  <w:num w:numId="22">
    <w:abstractNumId w:val="8"/>
  </w:num>
  <w:num w:numId="23">
    <w:abstractNumId w:val="8"/>
  </w:num>
  <w:num w:numId="24">
    <w:abstractNumId w:val="3"/>
  </w:num>
  <w:num w:numId="25">
    <w:abstractNumId w:val="8"/>
    <w:lvlOverride w:ilvl="0">
      <w:startOverride w:val="1"/>
    </w:lvlOverride>
    <w:lvlOverride w:ilvl="1">
      <w:startOverride w:val="1"/>
    </w:lvlOverride>
    <w:lvlOverride w:ilvl="2">
      <w:startOverride w:val="1"/>
    </w:lvlOverride>
    <w:lvlOverride w:ilvl="3"/>
    <w:lvlOverride w:ilvl="4">
      <w:startOverride w:val="5"/>
    </w:lvlOverride>
    <w:lvlOverride w:ilvl="5">
      <w:startOverride w:val="6"/>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5"/>
    </w:lvlOverride>
    <w:lvlOverride w:ilvl="5">
      <w:startOverride w:val="6"/>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016"/>
    <w:rsid w:val="0000099C"/>
    <w:rsid w:val="00000D93"/>
    <w:rsid w:val="00003B57"/>
    <w:rsid w:val="00007229"/>
    <w:rsid w:val="00010F20"/>
    <w:rsid w:val="00012312"/>
    <w:rsid w:val="00012604"/>
    <w:rsid w:val="00013C07"/>
    <w:rsid w:val="00014F2F"/>
    <w:rsid w:val="0001576A"/>
    <w:rsid w:val="000161B6"/>
    <w:rsid w:val="00016A35"/>
    <w:rsid w:val="00020E98"/>
    <w:rsid w:val="000217C6"/>
    <w:rsid w:val="000225D0"/>
    <w:rsid w:val="00022B8A"/>
    <w:rsid w:val="00023368"/>
    <w:rsid w:val="000237DA"/>
    <w:rsid w:val="000241D7"/>
    <w:rsid w:val="0002455E"/>
    <w:rsid w:val="00025071"/>
    <w:rsid w:val="00026087"/>
    <w:rsid w:val="0002616C"/>
    <w:rsid w:val="0002687C"/>
    <w:rsid w:val="00027AA8"/>
    <w:rsid w:val="00027C15"/>
    <w:rsid w:val="00030FE8"/>
    <w:rsid w:val="00031BF5"/>
    <w:rsid w:val="00032B14"/>
    <w:rsid w:val="00033926"/>
    <w:rsid w:val="00034D46"/>
    <w:rsid w:val="00034D5B"/>
    <w:rsid w:val="00035A3F"/>
    <w:rsid w:val="00036CA3"/>
    <w:rsid w:val="000373A3"/>
    <w:rsid w:val="00042113"/>
    <w:rsid w:val="00043038"/>
    <w:rsid w:val="000436F0"/>
    <w:rsid w:val="00043848"/>
    <w:rsid w:val="000441C8"/>
    <w:rsid w:val="0004422D"/>
    <w:rsid w:val="000443BA"/>
    <w:rsid w:val="00046B61"/>
    <w:rsid w:val="0005011B"/>
    <w:rsid w:val="00050925"/>
    <w:rsid w:val="00053ABD"/>
    <w:rsid w:val="00054ED9"/>
    <w:rsid w:val="00055E7B"/>
    <w:rsid w:val="000564C1"/>
    <w:rsid w:val="00060CE6"/>
    <w:rsid w:val="00061630"/>
    <w:rsid w:val="00061BCC"/>
    <w:rsid w:val="000623E5"/>
    <w:rsid w:val="00064738"/>
    <w:rsid w:val="00065474"/>
    <w:rsid w:val="000658BB"/>
    <w:rsid w:val="00066EE4"/>
    <w:rsid w:val="0006760B"/>
    <w:rsid w:val="0007089B"/>
    <w:rsid w:val="00070C2E"/>
    <w:rsid w:val="00071711"/>
    <w:rsid w:val="000724AB"/>
    <w:rsid w:val="00072CE0"/>
    <w:rsid w:val="0007343E"/>
    <w:rsid w:val="00074806"/>
    <w:rsid w:val="00074A53"/>
    <w:rsid w:val="000751B8"/>
    <w:rsid w:val="00075F3B"/>
    <w:rsid w:val="00076D49"/>
    <w:rsid w:val="000779EC"/>
    <w:rsid w:val="000801CF"/>
    <w:rsid w:val="00080272"/>
    <w:rsid w:val="00081F33"/>
    <w:rsid w:val="0008434D"/>
    <w:rsid w:val="00084559"/>
    <w:rsid w:val="00084879"/>
    <w:rsid w:val="00084CA1"/>
    <w:rsid w:val="000850E8"/>
    <w:rsid w:val="000855CC"/>
    <w:rsid w:val="00086CA7"/>
    <w:rsid w:val="000877E2"/>
    <w:rsid w:val="00090A28"/>
    <w:rsid w:val="00090ED9"/>
    <w:rsid w:val="000910BB"/>
    <w:rsid w:val="000918FD"/>
    <w:rsid w:val="00093113"/>
    <w:rsid w:val="0009370B"/>
    <w:rsid w:val="00093CDC"/>
    <w:rsid w:val="00094FEE"/>
    <w:rsid w:val="00095135"/>
    <w:rsid w:val="000959FF"/>
    <w:rsid w:val="000965D8"/>
    <w:rsid w:val="000969DF"/>
    <w:rsid w:val="00097053"/>
    <w:rsid w:val="00097A9C"/>
    <w:rsid w:val="000A01DB"/>
    <w:rsid w:val="000A1A82"/>
    <w:rsid w:val="000A2B9D"/>
    <w:rsid w:val="000A3343"/>
    <w:rsid w:val="000A58C1"/>
    <w:rsid w:val="000A5FB5"/>
    <w:rsid w:val="000A674F"/>
    <w:rsid w:val="000A6857"/>
    <w:rsid w:val="000A7A0B"/>
    <w:rsid w:val="000B0473"/>
    <w:rsid w:val="000B07A7"/>
    <w:rsid w:val="000B2620"/>
    <w:rsid w:val="000B27B6"/>
    <w:rsid w:val="000B2EC1"/>
    <w:rsid w:val="000B3FAE"/>
    <w:rsid w:val="000B76A7"/>
    <w:rsid w:val="000B7B47"/>
    <w:rsid w:val="000C4F94"/>
    <w:rsid w:val="000C67A1"/>
    <w:rsid w:val="000C6FCD"/>
    <w:rsid w:val="000C7001"/>
    <w:rsid w:val="000D1326"/>
    <w:rsid w:val="000D2CA7"/>
    <w:rsid w:val="000D5D86"/>
    <w:rsid w:val="000D6A1F"/>
    <w:rsid w:val="000D6C5B"/>
    <w:rsid w:val="000E00B6"/>
    <w:rsid w:val="000E0F10"/>
    <w:rsid w:val="000E1F8D"/>
    <w:rsid w:val="000E29EE"/>
    <w:rsid w:val="000E2F0E"/>
    <w:rsid w:val="000E328C"/>
    <w:rsid w:val="000E5130"/>
    <w:rsid w:val="000E5571"/>
    <w:rsid w:val="000E5695"/>
    <w:rsid w:val="000E74A8"/>
    <w:rsid w:val="000E7B3B"/>
    <w:rsid w:val="000F0292"/>
    <w:rsid w:val="000F06DD"/>
    <w:rsid w:val="000F0DDD"/>
    <w:rsid w:val="000F2ED7"/>
    <w:rsid w:val="000F4718"/>
    <w:rsid w:val="000F513B"/>
    <w:rsid w:val="000F5C0F"/>
    <w:rsid w:val="000F74EE"/>
    <w:rsid w:val="000F75EB"/>
    <w:rsid w:val="000F7D94"/>
    <w:rsid w:val="0010083B"/>
    <w:rsid w:val="00100923"/>
    <w:rsid w:val="001024C2"/>
    <w:rsid w:val="00102B35"/>
    <w:rsid w:val="00103AFE"/>
    <w:rsid w:val="00104DFA"/>
    <w:rsid w:val="00105819"/>
    <w:rsid w:val="00107048"/>
    <w:rsid w:val="001077EB"/>
    <w:rsid w:val="00107E5A"/>
    <w:rsid w:val="00110326"/>
    <w:rsid w:val="00112C5E"/>
    <w:rsid w:val="00113037"/>
    <w:rsid w:val="00113ADF"/>
    <w:rsid w:val="00113B1A"/>
    <w:rsid w:val="00115DAC"/>
    <w:rsid w:val="001179C2"/>
    <w:rsid w:val="00121064"/>
    <w:rsid w:val="00121D35"/>
    <w:rsid w:val="0012305F"/>
    <w:rsid w:val="00123C8F"/>
    <w:rsid w:val="00123D22"/>
    <w:rsid w:val="00124111"/>
    <w:rsid w:val="00126C82"/>
    <w:rsid w:val="00127E94"/>
    <w:rsid w:val="001321F1"/>
    <w:rsid w:val="001323B8"/>
    <w:rsid w:val="0013386C"/>
    <w:rsid w:val="00134660"/>
    <w:rsid w:val="00134CB3"/>
    <w:rsid w:val="0013575E"/>
    <w:rsid w:val="00135763"/>
    <w:rsid w:val="00136213"/>
    <w:rsid w:val="00136955"/>
    <w:rsid w:val="001377DA"/>
    <w:rsid w:val="001400A3"/>
    <w:rsid w:val="0014090B"/>
    <w:rsid w:val="00141BF6"/>
    <w:rsid w:val="00141EA4"/>
    <w:rsid w:val="001421C0"/>
    <w:rsid w:val="001426FE"/>
    <w:rsid w:val="00144026"/>
    <w:rsid w:val="00146553"/>
    <w:rsid w:val="00146881"/>
    <w:rsid w:val="00147D8A"/>
    <w:rsid w:val="00150425"/>
    <w:rsid w:val="001511B7"/>
    <w:rsid w:val="001538E9"/>
    <w:rsid w:val="001543E5"/>
    <w:rsid w:val="001553EF"/>
    <w:rsid w:val="00155EA3"/>
    <w:rsid w:val="0015727B"/>
    <w:rsid w:val="001600C3"/>
    <w:rsid w:val="00160B31"/>
    <w:rsid w:val="00160E13"/>
    <w:rsid w:val="001617FD"/>
    <w:rsid w:val="0016219F"/>
    <w:rsid w:val="00162720"/>
    <w:rsid w:val="00162777"/>
    <w:rsid w:val="00162809"/>
    <w:rsid w:val="00164A4A"/>
    <w:rsid w:val="00165AEE"/>
    <w:rsid w:val="00166F1C"/>
    <w:rsid w:val="00167CFF"/>
    <w:rsid w:val="00171514"/>
    <w:rsid w:val="00171F2E"/>
    <w:rsid w:val="0017218B"/>
    <w:rsid w:val="0017289F"/>
    <w:rsid w:val="00173001"/>
    <w:rsid w:val="00173784"/>
    <w:rsid w:val="00173DBE"/>
    <w:rsid w:val="00175070"/>
    <w:rsid w:val="00175B09"/>
    <w:rsid w:val="0017730A"/>
    <w:rsid w:val="0017745F"/>
    <w:rsid w:val="00181804"/>
    <w:rsid w:val="00181CCA"/>
    <w:rsid w:val="00181F2D"/>
    <w:rsid w:val="0018335C"/>
    <w:rsid w:val="00183499"/>
    <w:rsid w:val="0018523B"/>
    <w:rsid w:val="00185D04"/>
    <w:rsid w:val="00186286"/>
    <w:rsid w:val="001863F9"/>
    <w:rsid w:val="00187CCF"/>
    <w:rsid w:val="001901E7"/>
    <w:rsid w:val="00190527"/>
    <w:rsid w:val="00191EC3"/>
    <w:rsid w:val="001934C8"/>
    <w:rsid w:val="001953E0"/>
    <w:rsid w:val="00195C45"/>
    <w:rsid w:val="001967D6"/>
    <w:rsid w:val="001A03EC"/>
    <w:rsid w:val="001A1F5B"/>
    <w:rsid w:val="001A2562"/>
    <w:rsid w:val="001A2DD4"/>
    <w:rsid w:val="001A2EE7"/>
    <w:rsid w:val="001A2F01"/>
    <w:rsid w:val="001A2FB1"/>
    <w:rsid w:val="001A3169"/>
    <w:rsid w:val="001A667C"/>
    <w:rsid w:val="001A6DCB"/>
    <w:rsid w:val="001A79CD"/>
    <w:rsid w:val="001B0A17"/>
    <w:rsid w:val="001B0C3F"/>
    <w:rsid w:val="001B46F3"/>
    <w:rsid w:val="001B5B82"/>
    <w:rsid w:val="001B7657"/>
    <w:rsid w:val="001B7B33"/>
    <w:rsid w:val="001C20F1"/>
    <w:rsid w:val="001C3CCF"/>
    <w:rsid w:val="001C3FA4"/>
    <w:rsid w:val="001C5E9E"/>
    <w:rsid w:val="001C5F43"/>
    <w:rsid w:val="001C7AF8"/>
    <w:rsid w:val="001C7E44"/>
    <w:rsid w:val="001C7ED8"/>
    <w:rsid w:val="001D13E3"/>
    <w:rsid w:val="001D14CE"/>
    <w:rsid w:val="001D1CF4"/>
    <w:rsid w:val="001D5121"/>
    <w:rsid w:val="001D5991"/>
    <w:rsid w:val="001D6B43"/>
    <w:rsid w:val="001D71FD"/>
    <w:rsid w:val="001D7317"/>
    <w:rsid w:val="001E1FBE"/>
    <w:rsid w:val="001E2880"/>
    <w:rsid w:val="001E57C8"/>
    <w:rsid w:val="001E6EA5"/>
    <w:rsid w:val="001E7442"/>
    <w:rsid w:val="001E7B89"/>
    <w:rsid w:val="001E7D5D"/>
    <w:rsid w:val="001F109F"/>
    <w:rsid w:val="001F4D5B"/>
    <w:rsid w:val="001F7360"/>
    <w:rsid w:val="002004D6"/>
    <w:rsid w:val="002018A0"/>
    <w:rsid w:val="00202083"/>
    <w:rsid w:val="002022B8"/>
    <w:rsid w:val="002028B7"/>
    <w:rsid w:val="0020411D"/>
    <w:rsid w:val="00204790"/>
    <w:rsid w:val="00204823"/>
    <w:rsid w:val="00206E82"/>
    <w:rsid w:val="002100D2"/>
    <w:rsid w:val="0021086C"/>
    <w:rsid w:val="002115BA"/>
    <w:rsid w:val="00212075"/>
    <w:rsid w:val="00212CDD"/>
    <w:rsid w:val="00212DEC"/>
    <w:rsid w:val="00212F4D"/>
    <w:rsid w:val="00214F3E"/>
    <w:rsid w:val="00215E52"/>
    <w:rsid w:val="0021682A"/>
    <w:rsid w:val="00216E97"/>
    <w:rsid w:val="00216F8E"/>
    <w:rsid w:val="0021722C"/>
    <w:rsid w:val="00217610"/>
    <w:rsid w:val="00217673"/>
    <w:rsid w:val="002178E0"/>
    <w:rsid w:val="00217DF5"/>
    <w:rsid w:val="00217FD8"/>
    <w:rsid w:val="00220A34"/>
    <w:rsid w:val="00220E32"/>
    <w:rsid w:val="00221A7D"/>
    <w:rsid w:val="0022228E"/>
    <w:rsid w:val="002227B9"/>
    <w:rsid w:val="00222964"/>
    <w:rsid w:val="0022318E"/>
    <w:rsid w:val="002231F8"/>
    <w:rsid w:val="00223561"/>
    <w:rsid w:val="0022409D"/>
    <w:rsid w:val="002251B7"/>
    <w:rsid w:val="0022541D"/>
    <w:rsid w:val="00225ECB"/>
    <w:rsid w:val="002262D4"/>
    <w:rsid w:val="00226B85"/>
    <w:rsid w:val="00227335"/>
    <w:rsid w:val="00227CBB"/>
    <w:rsid w:val="0023012D"/>
    <w:rsid w:val="00231092"/>
    <w:rsid w:val="00234068"/>
    <w:rsid w:val="00234151"/>
    <w:rsid w:val="002352E8"/>
    <w:rsid w:val="0023664F"/>
    <w:rsid w:val="00237FC3"/>
    <w:rsid w:val="002407EB"/>
    <w:rsid w:val="0024095A"/>
    <w:rsid w:val="0024110B"/>
    <w:rsid w:val="0024111A"/>
    <w:rsid w:val="0024249F"/>
    <w:rsid w:val="00242E74"/>
    <w:rsid w:val="002430F5"/>
    <w:rsid w:val="00243AAA"/>
    <w:rsid w:val="00244987"/>
    <w:rsid w:val="00244A20"/>
    <w:rsid w:val="00245B18"/>
    <w:rsid w:val="00245B8E"/>
    <w:rsid w:val="002476C4"/>
    <w:rsid w:val="002516BB"/>
    <w:rsid w:val="00251CFA"/>
    <w:rsid w:val="0025660F"/>
    <w:rsid w:val="00256879"/>
    <w:rsid w:val="00257510"/>
    <w:rsid w:val="00260494"/>
    <w:rsid w:val="0026098E"/>
    <w:rsid w:val="00260FF3"/>
    <w:rsid w:val="00261C01"/>
    <w:rsid w:val="00262619"/>
    <w:rsid w:val="0026311E"/>
    <w:rsid w:val="0026540F"/>
    <w:rsid w:val="0026573B"/>
    <w:rsid w:val="002658C7"/>
    <w:rsid w:val="00266D42"/>
    <w:rsid w:val="002671B0"/>
    <w:rsid w:val="00270F39"/>
    <w:rsid w:val="00271A79"/>
    <w:rsid w:val="00272CB4"/>
    <w:rsid w:val="00273901"/>
    <w:rsid w:val="00273EB7"/>
    <w:rsid w:val="002747D4"/>
    <w:rsid w:val="00274DD3"/>
    <w:rsid w:val="002755CF"/>
    <w:rsid w:val="00276842"/>
    <w:rsid w:val="00276E42"/>
    <w:rsid w:val="00276F29"/>
    <w:rsid w:val="0028078B"/>
    <w:rsid w:val="00280947"/>
    <w:rsid w:val="00281441"/>
    <w:rsid w:val="00281E60"/>
    <w:rsid w:val="00281FDA"/>
    <w:rsid w:val="0028489E"/>
    <w:rsid w:val="002868C1"/>
    <w:rsid w:val="0028690A"/>
    <w:rsid w:val="00286934"/>
    <w:rsid w:val="00287161"/>
    <w:rsid w:val="00287F04"/>
    <w:rsid w:val="002926C5"/>
    <w:rsid w:val="00296880"/>
    <w:rsid w:val="00296C36"/>
    <w:rsid w:val="00296F1C"/>
    <w:rsid w:val="00297C1B"/>
    <w:rsid w:val="002A0AAC"/>
    <w:rsid w:val="002A0F98"/>
    <w:rsid w:val="002A2B5A"/>
    <w:rsid w:val="002A3C1A"/>
    <w:rsid w:val="002A49F1"/>
    <w:rsid w:val="002A6D00"/>
    <w:rsid w:val="002A7019"/>
    <w:rsid w:val="002A78A5"/>
    <w:rsid w:val="002B0117"/>
    <w:rsid w:val="002B01D2"/>
    <w:rsid w:val="002B087C"/>
    <w:rsid w:val="002B20DA"/>
    <w:rsid w:val="002B2900"/>
    <w:rsid w:val="002B4277"/>
    <w:rsid w:val="002B4B81"/>
    <w:rsid w:val="002B64E9"/>
    <w:rsid w:val="002B698F"/>
    <w:rsid w:val="002B70F7"/>
    <w:rsid w:val="002B736E"/>
    <w:rsid w:val="002B7968"/>
    <w:rsid w:val="002B7B87"/>
    <w:rsid w:val="002C077B"/>
    <w:rsid w:val="002C1142"/>
    <w:rsid w:val="002C21A9"/>
    <w:rsid w:val="002C38C9"/>
    <w:rsid w:val="002C47E6"/>
    <w:rsid w:val="002D045F"/>
    <w:rsid w:val="002D0802"/>
    <w:rsid w:val="002D2BAA"/>
    <w:rsid w:val="002D33E2"/>
    <w:rsid w:val="002D3804"/>
    <w:rsid w:val="002D3D79"/>
    <w:rsid w:val="002D507A"/>
    <w:rsid w:val="002D5F45"/>
    <w:rsid w:val="002D6468"/>
    <w:rsid w:val="002E08BE"/>
    <w:rsid w:val="002E1946"/>
    <w:rsid w:val="002E2212"/>
    <w:rsid w:val="002E408D"/>
    <w:rsid w:val="002E4FA4"/>
    <w:rsid w:val="002E565E"/>
    <w:rsid w:val="002E5E35"/>
    <w:rsid w:val="002E7466"/>
    <w:rsid w:val="002E7604"/>
    <w:rsid w:val="002F05C1"/>
    <w:rsid w:val="002F1450"/>
    <w:rsid w:val="002F3085"/>
    <w:rsid w:val="002F31AA"/>
    <w:rsid w:val="002F5028"/>
    <w:rsid w:val="002F5FED"/>
    <w:rsid w:val="002F6B92"/>
    <w:rsid w:val="002F6F75"/>
    <w:rsid w:val="003006FC"/>
    <w:rsid w:val="00302B4E"/>
    <w:rsid w:val="003033E9"/>
    <w:rsid w:val="0030380F"/>
    <w:rsid w:val="0030422D"/>
    <w:rsid w:val="00304C4A"/>
    <w:rsid w:val="00304EE1"/>
    <w:rsid w:val="00305AB7"/>
    <w:rsid w:val="0030710A"/>
    <w:rsid w:val="0031057F"/>
    <w:rsid w:val="003123F1"/>
    <w:rsid w:val="00314EDB"/>
    <w:rsid w:val="0031789B"/>
    <w:rsid w:val="00320D4E"/>
    <w:rsid w:val="0032131C"/>
    <w:rsid w:val="00321C36"/>
    <w:rsid w:val="00321D41"/>
    <w:rsid w:val="0032299A"/>
    <w:rsid w:val="00323E47"/>
    <w:rsid w:val="00324D26"/>
    <w:rsid w:val="0032546B"/>
    <w:rsid w:val="003260C9"/>
    <w:rsid w:val="0032666E"/>
    <w:rsid w:val="00326703"/>
    <w:rsid w:val="00327523"/>
    <w:rsid w:val="00327BBE"/>
    <w:rsid w:val="00330EE6"/>
    <w:rsid w:val="003325D8"/>
    <w:rsid w:val="003340EC"/>
    <w:rsid w:val="0033799E"/>
    <w:rsid w:val="00337DBD"/>
    <w:rsid w:val="0034180A"/>
    <w:rsid w:val="00342E78"/>
    <w:rsid w:val="00343B8D"/>
    <w:rsid w:val="00345089"/>
    <w:rsid w:val="003456D7"/>
    <w:rsid w:val="0034670A"/>
    <w:rsid w:val="00346F4E"/>
    <w:rsid w:val="0034707C"/>
    <w:rsid w:val="003473A9"/>
    <w:rsid w:val="00347671"/>
    <w:rsid w:val="0034793E"/>
    <w:rsid w:val="00347D78"/>
    <w:rsid w:val="003508E3"/>
    <w:rsid w:val="0035152D"/>
    <w:rsid w:val="00351FA3"/>
    <w:rsid w:val="00352256"/>
    <w:rsid w:val="00353E3F"/>
    <w:rsid w:val="00354EE0"/>
    <w:rsid w:val="003550A1"/>
    <w:rsid w:val="00355478"/>
    <w:rsid w:val="00355A4C"/>
    <w:rsid w:val="003566AC"/>
    <w:rsid w:val="003569F8"/>
    <w:rsid w:val="00357838"/>
    <w:rsid w:val="00361CAC"/>
    <w:rsid w:val="00362EA7"/>
    <w:rsid w:val="00363217"/>
    <w:rsid w:val="00364FA3"/>
    <w:rsid w:val="003654F0"/>
    <w:rsid w:val="00366621"/>
    <w:rsid w:val="003667A5"/>
    <w:rsid w:val="0036702A"/>
    <w:rsid w:val="003701A4"/>
    <w:rsid w:val="003706B2"/>
    <w:rsid w:val="003732B8"/>
    <w:rsid w:val="00374203"/>
    <w:rsid w:val="00374945"/>
    <w:rsid w:val="00374F49"/>
    <w:rsid w:val="00375315"/>
    <w:rsid w:val="00376386"/>
    <w:rsid w:val="003807C0"/>
    <w:rsid w:val="00380FD3"/>
    <w:rsid w:val="0038194A"/>
    <w:rsid w:val="00383752"/>
    <w:rsid w:val="00384603"/>
    <w:rsid w:val="0038470D"/>
    <w:rsid w:val="00384952"/>
    <w:rsid w:val="00384C91"/>
    <w:rsid w:val="0038773C"/>
    <w:rsid w:val="00387E32"/>
    <w:rsid w:val="003905F7"/>
    <w:rsid w:val="003916F5"/>
    <w:rsid w:val="0039247F"/>
    <w:rsid w:val="003932C8"/>
    <w:rsid w:val="0039400F"/>
    <w:rsid w:val="0039408B"/>
    <w:rsid w:val="003950DB"/>
    <w:rsid w:val="003954AC"/>
    <w:rsid w:val="00395645"/>
    <w:rsid w:val="0039668D"/>
    <w:rsid w:val="003A08AF"/>
    <w:rsid w:val="003A16AA"/>
    <w:rsid w:val="003A4116"/>
    <w:rsid w:val="003A49A0"/>
    <w:rsid w:val="003A4E16"/>
    <w:rsid w:val="003A5E21"/>
    <w:rsid w:val="003A7A3B"/>
    <w:rsid w:val="003B0484"/>
    <w:rsid w:val="003B1633"/>
    <w:rsid w:val="003B1964"/>
    <w:rsid w:val="003B26EE"/>
    <w:rsid w:val="003B5290"/>
    <w:rsid w:val="003B5A22"/>
    <w:rsid w:val="003B5F44"/>
    <w:rsid w:val="003B630C"/>
    <w:rsid w:val="003B7164"/>
    <w:rsid w:val="003B77FE"/>
    <w:rsid w:val="003C0038"/>
    <w:rsid w:val="003C093B"/>
    <w:rsid w:val="003C1759"/>
    <w:rsid w:val="003C2A3C"/>
    <w:rsid w:val="003C2ABA"/>
    <w:rsid w:val="003C30FF"/>
    <w:rsid w:val="003C33A5"/>
    <w:rsid w:val="003C37B8"/>
    <w:rsid w:val="003C3B71"/>
    <w:rsid w:val="003C3DB0"/>
    <w:rsid w:val="003C3F12"/>
    <w:rsid w:val="003C4237"/>
    <w:rsid w:val="003C44CF"/>
    <w:rsid w:val="003C49BA"/>
    <w:rsid w:val="003C675A"/>
    <w:rsid w:val="003C6F33"/>
    <w:rsid w:val="003D0D04"/>
    <w:rsid w:val="003D1035"/>
    <w:rsid w:val="003D151E"/>
    <w:rsid w:val="003D25F0"/>
    <w:rsid w:val="003D38DD"/>
    <w:rsid w:val="003D3FB2"/>
    <w:rsid w:val="003D4185"/>
    <w:rsid w:val="003D598F"/>
    <w:rsid w:val="003D74E4"/>
    <w:rsid w:val="003D77A2"/>
    <w:rsid w:val="003E154B"/>
    <w:rsid w:val="003E1B5A"/>
    <w:rsid w:val="003E2115"/>
    <w:rsid w:val="003E5027"/>
    <w:rsid w:val="003E528A"/>
    <w:rsid w:val="003E6956"/>
    <w:rsid w:val="003E6BB8"/>
    <w:rsid w:val="003F0F86"/>
    <w:rsid w:val="003F1111"/>
    <w:rsid w:val="003F21B7"/>
    <w:rsid w:val="003F21C2"/>
    <w:rsid w:val="003F23FC"/>
    <w:rsid w:val="003F4104"/>
    <w:rsid w:val="003F4E6E"/>
    <w:rsid w:val="003F5A25"/>
    <w:rsid w:val="003F69E5"/>
    <w:rsid w:val="003F7A0E"/>
    <w:rsid w:val="00401210"/>
    <w:rsid w:val="00401791"/>
    <w:rsid w:val="00401C4C"/>
    <w:rsid w:val="00403129"/>
    <w:rsid w:val="00403782"/>
    <w:rsid w:val="004044F6"/>
    <w:rsid w:val="00404B91"/>
    <w:rsid w:val="0040528F"/>
    <w:rsid w:val="00406A7B"/>
    <w:rsid w:val="00407131"/>
    <w:rsid w:val="00407134"/>
    <w:rsid w:val="004072D9"/>
    <w:rsid w:val="00407E4E"/>
    <w:rsid w:val="00410FAE"/>
    <w:rsid w:val="00412498"/>
    <w:rsid w:val="0041272A"/>
    <w:rsid w:val="00413789"/>
    <w:rsid w:val="004143D4"/>
    <w:rsid w:val="004144AB"/>
    <w:rsid w:val="0041450E"/>
    <w:rsid w:val="00416623"/>
    <w:rsid w:val="00420554"/>
    <w:rsid w:val="00422783"/>
    <w:rsid w:val="00424899"/>
    <w:rsid w:val="00424956"/>
    <w:rsid w:val="00424982"/>
    <w:rsid w:val="00424B00"/>
    <w:rsid w:val="00425D05"/>
    <w:rsid w:val="00427012"/>
    <w:rsid w:val="004271D7"/>
    <w:rsid w:val="00427310"/>
    <w:rsid w:val="004320FD"/>
    <w:rsid w:val="00432BCA"/>
    <w:rsid w:val="00433E2B"/>
    <w:rsid w:val="00437680"/>
    <w:rsid w:val="004447AB"/>
    <w:rsid w:val="004456B8"/>
    <w:rsid w:val="004457E5"/>
    <w:rsid w:val="004462FB"/>
    <w:rsid w:val="00447542"/>
    <w:rsid w:val="00447543"/>
    <w:rsid w:val="00450C50"/>
    <w:rsid w:val="00451821"/>
    <w:rsid w:val="00452B18"/>
    <w:rsid w:val="00452EE1"/>
    <w:rsid w:val="0045307F"/>
    <w:rsid w:val="00454529"/>
    <w:rsid w:val="00454FD8"/>
    <w:rsid w:val="00455740"/>
    <w:rsid w:val="00456074"/>
    <w:rsid w:val="00456827"/>
    <w:rsid w:val="00456F42"/>
    <w:rsid w:val="00457AF7"/>
    <w:rsid w:val="004611EF"/>
    <w:rsid w:val="00461AD7"/>
    <w:rsid w:val="00463827"/>
    <w:rsid w:val="00463A07"/>
    <w:rsid w:val="004649A3"/>
    <w:rsid w:val="00471196"/>
    <w:rsid w:val="0047134F"/>
    <w:rsid w:val="0047177C"/>
    <w:rsid w:val="00471B9F"/>
    <w:rsid w:val="00472BEC"/>
    <w:rsid w:val="00473651"/>
    <w:rsid w:val="00473CE8"/>
    <w:rsid w:val="00474AA9"/>
    <w:rsid w:val="00474FE4"/>
    <w:rsid w:val="00475286"/>
    <w:rsid w:val="00475BB7"/>
    <w:rsid w:val="00476E07"/>
    <w:rsid w:val="0047708A"/>
    <w:rsid w:val="00481A97"/>
    <w:rsid w:val="00482695"/>
    <w:rsid w:val="00484033"/>
    <w:rsid w:val="00484080"/>
    <w:rsid w:val="00485279"/>
    <w:rsid w:val="0048551B"/>
    <w:rsid w:val="00487CBF"/>
    <w:rsid w:val="00490AE5"/>
    <w:rsid w:val="004911BA"/>
    <w:rsid w:val="004923C8"/>
    <w:rsid w:val="00492CFB"/>
    <w:rsid w:val="004933BC"/>
    <w:rsid w:val="0049479C"/>
    <w:rsid w:val="004950FD"/>
    <w:rsid w:val="00495923"/>
    <w:rsid w:val="00495965"/>
    <w:rsid w:val="00496D42"/>
    <w:rsid w:val="00496DF0"/>
    <w:rsid w:val="00497003"/>
    <w:rsid w:val="0049784F"/>
    <w:rsid w:val="004A0510"/>
    <w:rsid w:val="004A056C"/>
    <w:rsid w:val="004A1358"/>
    <w:rsid w:val="004A16CC"/>
    <w:rsid w:val="004A2460"/>
    <w:rsid w:val="004A2597"/>
    <w:rsid w:val="004A2C7F"/>
    <w:rsid w:val="004A308C"/>
    <w:rsid w:val="004A4F7A"/>
    <w:rsid w:val="004A540B"/>
    <w:rsid w:val="004A559C"/>
    <w:rsid w:val="004A5D42"/>
    <w:rsid w:val="004A61B7"/>
    <w:rsid w:val="004A63A7"/>
    <w:rsid w:val="004A643E"/>
    <w:rsid w:val="004A6EDF"/>
    <w:rsid w:val="004A71D8"/>
    <w:rsid w:val="004A7266"/>
    <w:rsid w:val="004B25DF"/>
    <w:rsid w:val="004B3FE3"/>
    <w:rsid w:val="004B5330"/>
    <w:rsid w:val="004B5BE3"/>
    <w:rsid w:val="004B5F72"/>
    <w:rsid w:val="004B68B5"/>
    <w:rsid w:val="004B72CC"/>
    <w:rsid w:val="004C0889"/>
    <w:rsid w:val="004C2C9C"/>
    <w:rsid w:val="004C2F15"/>
    <w:rsid w:val="004C30E3"/>
    <w:rsid w:val="004C3516"/>
    <w:rsid w:val="004C3703"/>
    <w:rsid w:val="004C3E0B"/>
    <w:rsid w:val="004C428D"/>
    <w:rsid w:val="004C5B7B"/>
    <w:rsid w:val="004C6AB5"/>
    <w:rsid w:val="004C6FAD"/>
    <w:rsid w:val="004C776B"/>
    <w:rsid w:val="004D01E9"/>
    <w:rsid w:val="004D1334"/>
    <w:rsid w:val="004D1395"/>
    <w:rsid w:val="004D192A"/>
    <w:rsid w:val="004D2DD3"/>
    <w:rsid w:val="004D39F8"/>
    <w:rsid w:val="004D3BAB"/>
    <w:rsid w:val="004D4DA2"/>
    <w:rsid w:val="004D504F"/>
    <w:rsid w:val="004D5EC3"/>
    <w:rsid w:val="004D6005"/>
    <w:rsid w:val="004D62E0"/>
    <w:rsid w:val="004D7093"/>
    <w:rsid w:val="004D7CB5"/>
    <w:rsid w:val="004D7F04"/>
    <w:rsid w:val="004E03BA"/>
    <w:rsid w:val="004E0B16"/>
    <w:rsid w:val="004E2A26"/>
    <w:rsid w:val="004E2D3D"/>
    <w:rsid w:val="004E3910"/>
    <w:rsid w:val="004E3AA3"/>
    <w:rsid w:val="004E6186"/>
    <w:rsid w:val="004E6D95"/>
    <w:rsid w:val="004E7131"/>
    <w:rsid w:val="004F0B2F"/>
    <w:rsid w:val="004F0BCA"/>
    <w:rsid w:val="004F14D3"/>
    <w:rsid w:val="004F14DF"/>
    <w:rsid w:val="004F181D"/>
    <w:rsid w:val="004F1A05"/>
    <w:rsid w:val="004F2837"/>
    <w:rsid w:val="004F2863"/>
    <w:rsid w:val="004F2E09"/>
    <w:rsid w:val="004F3618"/>
    <w:rsid w:val="004F4934"/>
    <w:rsid w:val="004F595B"/>
    <w:rsid w:val="004F698F"/>
    <w:rsid w:val="005001E6"/>
    <w:rsid w:val="0050161D"/>
    <w:rsid w:val="00503837"/>
    <w:rsid w:val="0050582F"/>
    <w:rsid w:val="005104F8"/>
    <w:rsid w:val="005113C5"/>
    <w:rsid w:val="0051146D"/>
    <w:rsid w:val="005129CB"/>
    <w:rsid w:val="00516BEC"/>
    <w:rsid w:val="00517A7A"/>
    <w:rsid w:val="00517AA4"/>
    <w:rsid w:val="00517C12"/>
    <w:rsid w:val="00520F9E"/>
    <w:rsid w:val="00521961"/>
    <w:rsid w:val="005227FE"/>
    <w:rsid w:val="005238FC"/>
    <w:rsid w:val="00523955"/>
    <w:rsid w:val="005257A9"/>
    <w:rsid w:val="00525FF7"/>
    <w:rsid w:val="0053002D"/>
    <w:rsid w:val="00530C72"/>
    <w:rsid w:val="00531F50"/>
    <w:rsid w:val="005322C6"/>
    <w:rsid w:val="00532F03"/>
    <w:rsid w:val="005347A9"/>
    <w:rsid w:val="00534854"/>
    <w:rsid w:val="00534D06"/>
    <w:rsid w:val="00535BB5"/>
    <w:rsid w:val="00536F21"/>
    <w:rsid w:val="005401AC"/>
    <w:rsid w:val="00546343"/>
    <w:rsid w:val="005467E7"/>
    <w:rsid w:val="00547D1B"/>
    <w:rsid w:val="00551867"/>
    <w:rsid w:val="00551AD3"/>
    <w:rsid w:val="00551AFB"/>
    <w:rsid w:val="005534DB"/>
    <w:rsid w:val="005537C1"/>
    <w:rsid w:val="005538ED"/>
    <w:rsid w:val="00553BEB"/>
    <w:rsid w:val="0055453D"/>
    <w:rsid w:val="005603A2"/>
    <w:rsid w:val="00560F5A"/>
    <w:rsid w:val="00561AFA"/>
    <w:rsid w:val="00562365"/>
    <w:rsid w:val="00563271"/>
    <w:rsid w:val="005712F8"/>
    <w:rsid w:val="0057237E"/>
    <w:rsid w:val="00572B8E"/>
    <w:rsid w:val="00575FB5"/>
    <w:rsid w:val="0057687F"/>
    <w:rsid w:val="00577659"/>
    <w:rsid w:val="0058112A"/>
    <w:rsid w:val="00581D65"/>
    <w:rsid w:val="00581E94"/>
    <w:rsid w:val="00581FEB"/>
    <w:rsid w:val="00583011"/>
    <w:rsid w:val="005839C5"/>
    <w:rsid w:val="00583FB4"/>
    <w:rsid w:val="00584E68"/>
    <w:rsid w:val="00585561"/>
    <w:rsid w:val="0058598E"/>
    <w:rsid w:val="00586088"/>
    <w:rsid w:val="00587A94"/>
    <w:rsid w:val="0059078E"/>
    <w:rsid w:val="00591433"/>
    <w:rsid w:val="00591E95"/>
    <w:rsid w:val="00595F40"/>
    <w:rsid w:val="00596A97"/>
    <w:rsid w:val="005A0831"/>
    <w:rsid w:val="005A15DE"/>
    <w:rsid w:val="005A359B"/>
    <w:rsid w:val="005A54C6"/>
    <w:rsid w:val="005A571E"/>
    <w:rsid w:val="005A5A1B"/>
    <w:rsid w:val="005B0147"/>
    <w:rsid w:val="005B07C1"/>
    <w:rsid w:val="005B1597"/>
    <w:rsid w:val="005B1A9A"/>
    <w:rsid w:val="005B2B93"/>
    <w:rsid w:val="005B46E2"/>
    <w:rsid w:val="005B549C"/>
    <w:rsid w:val="005B6D73"/>
    <w:rsid w:val="005C0ED4"/>
    <w:rsid w:val="005C3317"/>
    <w:rsid w:val="005C33BC"/>
    <w:rsid w:val="005C3AF9"/>
    <w:rsid w:val="005C3C56"/>
    <w:rsid w:val="005C3CA1"/>
    <w:rsid w:val="005C54E4"/>
    <w:rsid w:val="005C6555"/>
    <w:rsid w:val="005C6C7A"/>
    <w:rsid w:val="005C6CCA"/>
    <w:rsid w:val="005C6FE4"/>
    <w:rsid w:val="005D0B2C"/>
    <w:rsid w:val="005D190F"/>
    <w:rsid w:val="005D1B4D"/>
    <w:rsid w:val="005D2A2A"/>
    <w:rsid w:val="005D7228"/>
    <w:rsid w:val="005D7491"/>
    <w:rsid w:val="005D78E2"/>
    <w:rsid w:val="005D7A66"/>
    <w:rsid w:val="005E0C2F"/>
    <w:rsid w:val="005E100A"/>
    <w:rsid w:val="005E1B80"/>
    <w:rsid w:val="005E2DAF"/>
    <w:rsid w:val="005E4D0E"/>
    <w:rsid w:val="005E4DD4"/>
    <w:rsid w:val="005E56E3"/>
    <w:rsid w:val="005E5E7D"/>
    <w:rsid w:val="005E6630"/>
    <w:rsid w:val="0060005E"/>
    <w:rsid w:val="0060290D"/>
    <w:rsid w:val="00604BA8"/>
    <w:rsid w:val="00604D57"/>
    <w:rsid w:val="00604E7A"/>
    <w:rsid w:val="00605D27"/>
    <w:rsid w:val="00607C3E"/>
    <w:rsid w:val="00607E8A"/>
    <w:rsid w:val="0061075A"/>
    <w:rsid w:val="00610FF5"/>
    <w:rsid w:val="00611244"/>
    <w:rsid w:val="00612142"/>
    <w:rsid w:val="00612DF5"/>
    <w:rsid w:val="00613D70"/>
    <w:rsid w:val="006148C3"/>
    <w:rsid w:val="006153A9"/>
    <w:rsid w:val="006158E7"/>
    <w:rsid w:val="006159CB"/>
    <w:rsid w:val="00615F93"/>
    <w:rsid w:val="006164E2"/>
    <w:rsid w:val="00616EE6"/>
    <w:rsid w:val="00620B90"/>
    <w:rsid w:val="0062177F"/>
    <w:rsid w:val="00621BBD"/>
    <w:rsid w:val="00624B21"/>
    <w:rsid w:val="0063021C"/>
    <w:rsid w:val="00630FEC"/>
    <w:rsid w:val="006322A8"/>
    <w:rsid w:val="00633775"/>
    <w:rsid w:val="0063429C"/>
    <w:rsid w:val="0063530A"/>
    <w:rsid w:val="00635954"/>
    <w:rsid w:val="00635CC7"/>
    <w:rsid w:val="00635E38"/>
    <w:rsid w:val="00635E8C"/>
    <w:rsid w:val="00640EF3"/>
    <w:rsid w:val="00641B28"/>
    <w:rsid w:val="00641BC2"/>
    <w:rsid w:val="00643352"/>
    <w:rsid w:val="00643769"/>
    <w:rsid w:val="00644232"/>
    <w:rsid w:val="0064429E"/>
    <w:rsid w:val="006446FF"/>
    <w:rsid w:val="00645534"/>
    <w:rsid w:val="00646918"/>
    <w:rsid w:val="00646D05"/>
    <w:rsid w:val="0064775C"/>
    <w:rsid w:val="0064792D"/>
    <w:rsid w:val="00650A75"/>
    <w:rsid w:val="006519A0"/>
    <w:rsid w:val="00653B51"/>
    <w:rsid w:val="00653B6D"/>
    <w:rsid w:val="00653DC8"/>
    <w:rsid w:val="0065432D"/>
    <w:rsid w:val="006570C4"/>
    <w:rsid w:val="00657639"/>
    <w:rsid w:val="0065799C"/>
    <w:rsid w:val="00657A39"/>
    <w:rsid w:val="0066261A"/>
    <w:rsid w:val="00662DCA"/>
    <w:rsid w:val="00663EDC"/>
    <w:rsid w:val="00665F3D"/>
    <w:rsid w:val="00666938"/>
    <w:rsid w:val="006678BC"/>
    <w:rsid w:val="00670C2E"/>
    <w:rsid w:val="006730C6"/>
    <w:rsid w:val="00673CE4"/>
    <w:rsid w:val="00674036"/>
    <w:rsid w:val="0067437A"/>
    <w:rsid w:val="006747EF"/>
    <w:rsid w:val="00674FA3"/>
    <w:rsid w:val="0067515A"/>
    <w:rsid w:val="0067678B"/>
    <w:rsid w:val="00676D47"/>
    <w:rsid w:val="00677453"/>
    <w:rsid w:val="00677746"/>
    <w:rsid w:val="00677C23"/>
    <w:rsid w:val="00680060"/>
    <w:rsid w:val="00681501"/>
    <w:rsid w:val="00681ED2"/>
    <w:rsid w:val="00682086"/>
    <w:rsid w:val="00682253"/>
    <w:rsid w:val="00682276"/>
    <w:rsid w:val="00682639"/>
    <w:rsid w:val="00682D33"/>
    <w:rsid w:val="00682E02"/>
    <w:rsid w:val="00683E82"/>
    <w:rsid w:val="006843A1"/>
    <w:rsid w:val="006846F4"/>
    <w:rsid w:val="006848C6"/>
    <w:rsid w:val="00685274"/>
    <w:rsid w:val="00687373"/>
    <w:rsid w:val="00691CE2"/>
    <w:rsid w:val="006922A7"/>
    <w:rsid w:val="006958B6"/>
    <w:rsid w:val="006968DA"/>
    <w:rsid w:val="006A3E77"/>
    <w:rsid w:val="006A7645"/>
    <w:rsid w:val="006B0CEB"/>
    <w:rsid w:val="006B0DE5"/>
    <w:rsid w:val="006B259E"/>
    <w:rsid w:val="006B28D0"/>
    <w:rsid w:val="006B4898"/>
    <w:rsid w:val="006B559C"/>
    <w:rsid w:val="006B5ABD"/>
    <w:rsid w:val="006B621D"/>
    <w:rsid w:val="006B6A2D"/>
    <w:rsid w:val="006B7651"/>
    <w:rsid w:val="006C29D6"/>
    <w:rsid w:val="006C374F"/>
    <w:rsid w:val="006C4A1B"/>
    <w:rsid w:val="006C554A"/>
    <w:rsid w:val="006C63E3"/>
    <w:rsid w:val="006C786B"/>
    <w:rsid w:val="006C7944"/>
    <w:rsid w:val="006C7D05"/>
    <w:rsid w:val="006D0AF7"/>
    <w:rsid w:val="006D13EE"/>
    <w:rsid w:val="006D1908"/>
    <w:rsid w:val="006D1AEB"/>
    <w:rsid w:val="006D1E5F"/>
    <w:rsid w:val="006D336C"/>
    <w:rsid w:val="006D40EF"/>
    <w:rsid w:val="006D441A"/>
    <w:rsid w:val="006D5BB1"/>
    <w:rsid w:val="006D6A94"/>
    <w:rsid w:val="006D728D"/>
    <w:rsid w:val="006D7CC9"/>
    <w:rsid w:val="006E08EC"/>
    <w:rsid w:val="006E2B25"/>
    <w:rsid w:val="006E2CFE"/>
    <w:rsid w:val="006E3877"/>
    <w:rsid w:val="006E4AA0"/>
    <w:rsid w:val="006E5BB5"/>
    <w:rsid w:val="006E5E09"/>
    <w:rsid w:val="006F017E"/>
    <w:rsid w:val="006F0C12"/>
    <w:rsid w:val="006F1084"/>
    <w:rsid w:val="006F1EBB"/>
    <w:rsid w:val="006F2D5C"/>
    <w:rsid w:val="006F3233"/>
    <w:rsid w:val="006F4054"/>
    <w:rsid w:val="006F411E"/>
    <w:rsid w:val="006F468A"/>
    <w:rsid w:val="006F4B14"/>
    <w:rsid w:val="006F530F"/>
    <w:rsid w:val="006F53B3"/>
    <w:rsid w:val="006F5DB5"/>
    <w:rsid w:val="006F767A"/>
    <w:rsid w:val="006F7867"/>
    <w:rsid w:val="007002A5"/>
    <w:rsid w:val="00700A36"/>
    <w:rsid w:val="00700EF1"/>
    <w:rsid w:val="00702331"/>
    <w:rsid w:val="0070242A"/>
    <w:rsid w:val="007024D8"/>
    <w:rsid w:val="00702F12"/>
    <w:rsid w:val="00702FA6"/>
    <w:rsid w:val="00703E9A"/>
    <w:rsid w:val="00704162"/>
    <w:rsid w:val="007041A4"/>
    <w:rsid w:val="00704969"/>
    <w:rsid w:val="007056DF"/>
    <w:rsid w:val="007077E5"/>
    <w:rsid w:val="00710A09"/>
    <w:rsid w:val="00711C3B"/>
    <w:rsid w:val="0071345D"/>
    <w:rsid w:val="0071473B"/>
    <w:rsid w:val="0071538E"/>
    <w:rsid w:val="007154DF"/>
    <w:rsid w:val="007157EB"/>
    <w:rsid w:val="00716DC5"/>
    <w:rsid w:val="00717374"/>
    <w:rsid w:val="00717CC5"/>
    <w:rsid w:val="00717CE1"/>
    <w:rsid w:val="007202FC"/>
    <w:rsid w:val="00720BEB"/>
    <w:rsid w:val="00721822"/>
    <w:rsid w:val="00722494"/>
    <w:rsid w:val="00722AE8"/>
    <w:rsid w:val="007254EF"/>
    <w:rsid w:val="00726CBD"/>
    <w:rsid w:val="0073011A"/>
    <w:rsid w:val="00731B8A"/>
    <w:rsid w:val="007339CE"/>
    <w:rsid w:val="00734F7B"/>
    <w:rsid w:val="0073661A"/>
    <w:rsid w:val="007374E0"/>
    <w:rsid w:val="00740452"/>
    <w:rsid w:val="007404D1"/>
    <w:rsid w:val="00740793"/>
    <w:rsid w:val="00740B0A"/>
    <w:rsid w:val="00741C83"/>
    <w:rsid w:val="00742452"/>
    <w:rsid w:val="00742516"/>
    <w:rsid w:val="007453BD"/>
    <w:rsid w:val="007454AF"/>
    <w:rsid w:val="0074550D"/>
    <w:rsid w:val="00745AD3"/>
    <w:rsid w:val="00746061"/>
    <w:rsid w:val="007461F6"/>
    <w:rsid w:val="00746D8E"/>
    <w:rsid w:val="00751FE9"/>
    <w:rsid w:val="007533A9"/>
    <w:rsid w:val="00754466"/>
    <w:rsid w:val="00754C00"/>
    <w:rsid w:val="00755AAB"/>
    <w:rsid w:val="0075609E"/>
    <w:rsid w:val="00760E8A"/>
    <w:rsid w:val="00761A8C"/>
    <w:rsid w:val="00762107"/>
    <w:rsid w:val="00762AF0"/>
    <w:rsid w:val="00762E98"/>
    <w:rsid w:val="00762EFC"/>
    <w:rsid w:val="0076390A"/>
    <w:rsid w:val="00763910"/>
    <w:rsid w:val="00763FB2"/>
    <w:rsid w:val="00765AD5"/>
    <w:rsid w:val="00765CAE"/>
    <w:rsid w:val="00766671"/>
    <w:rsid w:val="0076703E"/>
    <w:rsid w:val="00767C19"/>
    <w:rsid w:val="00767E1A"/>
    <w:rsid w:val="00772225"/>
    <w:rsid w:val="007723DB"/>
    <w:rsid w:val="00773D3D"/>
    <w:rsid w:val="00773F11"/>
    <w:rsid w:val="0077518D"/>
    <w:rsid w:val="0077565F"/>
    <w:rsid w:val="00775FCB"/>
    <w:rsid w:val="007765A5"/>
    <w:rsid w:val="00776931"/>
    <w:rsid w:val="00781F8A"/>
    <w:rsid w:val="0078384F"/>
    <w:rsid w:val="0078462A"/>
    <w:rsid w:val="00784ABE"/>
    <w:rsid w:val="0078645D"/>
    <w:rsid w:val="0078684F"/>
    <w:rsid w:val="007907B7"/>
    <w:rsid w:val="00790E9C"/>
    <w:rsid w:val="00790EBE"/>
    <w:rsid w:val="007913A2"/>
    <w:rsid w:val="007931B1"/>
    <w:rsid w:val="0079322E"/>
    <w:rsid w:val="00794409"/>
    <w:rsid w:val="00795E6C"/>
    <w:rsid w:val="00795F5F"/>
    <w:rsid w:val="00797AAD"/>
    <w:rsid w:val="007A0AA7"/>
    <w:rsid w:val="007A0C28"/>
    <w:rsid w:val="007A0ED8"/>
    <w:rsid w:val="007A0F10"/>
    <w:rsid w:val="007A147A"/>
    <w:rsid w:val="007A20AA"/>
    <w:rsid w:val="007A51E9"/>
    <w:rsid w:val="007A657E"/>
    <w:rsid w:val="007A687B"/>
    <w:rsid w:val="007A6BD2"/>
    <w:rsid w:val="007A786C"/>
    <w:rsid w:val="007A7A5C"/>
    <w:rsid w:val="007B0828"/>
    <w:rsid w:val="007B0AA6"/>
    <w:rsid w:val="007B1252"/>
    <w:rsid w:val="007B17FE"/>
    <w:rsid w:val="007B1A8C"/>
    <w:rsid w:val="007B1BE5"/>
    <w:rsid w:val="007B38B4"/>
    <w:rsid w:val="007B51F3"/>
    <w:rsid w:val="007B56D2"/>
    <w:rsid w:val="007B7540"/>
    <w:rsid w:val="007B7C65"/>
    <w:rsid w:val="007C1C42"/>
    <w:rsid w:val="007C1D75"/>
    <w:rsid w:val="007C40BE"/>
    <w:rsid w:val="007C4712"/>
    <w:rsid w:val="007C487C"/>
    <w:rsid w:val="007C49EB"/>
    <w:rsid w:val="007C5230"/>
    <w:rsid w:val="007C5B2B"/>
    <w:rsid w:val="007C6BDF"/>
    <w:rsid w:val="007D1582"/>
    <w:rsid w:val="007D2FA6"/>
    <w:rsid w:val="007D3558"/>
    <w:rsid w:val="007D3ABF"/>
    <w:rsid w:val="007D4D04"/>
    <w:rsid w:val="007D4D9A"/>
    <w:rsid w:val="007D5470"/>
    <w:rsid w:val="007D5F7C"/>
    <w:rsid w:val="007D7A76"/>
    <w:rsid w:val="007E025C"/>
    <w:rsid w:val="007E0442"/>
    <w:rsid w:val="007E1E9B"/>
    <w:rsid w:val="007E214E"/>
    <w:rsid w:val="007E2CE0"/>
    <w:rsid w:val="007E377B"/>
    <w:rsid w:val="007E4943"/>
    <w:rsid w:val="007E4BFF"/>
    <w:rsid w:val="007E5052"/>
    <w:rsid w:val="007E5325"/>
    <w:rsid w:val="007E6A78"/>
    <w:rsid w:val="007E777D"/>
    <w:rsid w:val="007F05E0"/>
    <w:rsid w:val="007F09B7"/>
    <w:rsid w:val="007F10F3"/>
    <w:rsid w:val="007F25F6"/>
    <w:rsid w:val="007F26D1"/>
    <w:rsid w:val="007F28B9"/>
    <w:rsid w:val="007F3071"/>
    <w:rsid w:val="007F3186"/>
    <w:rsid w:val="007F3E6D"/>
    <w:rsid w:val="007F4660"/>
    <w:rsid w:val="007F47AB"/>
    <w:rsid w:val="007F52D7"/>
    <w:rsid w:val="007F58C1"/>
    <w:rsid w:val="007F70FA"/>
    <w:rsid w:val="007F7461"/>
    <w:rsid w:val="00800929"/>
    <w:rsid w:val="00802016"/>
    <w:rsid w:val="008038BB"/>
    <w:rsid w:val="00804DEC"/>
    <w:rsid w:val="00804EFB"/>
    <w:rsid w:val="008055CD"/>
    <w:rsid w:val="00806DC6"/>
    <w:rsid w:val="00806E17"/>
    <w:rsid w:val="00813202"/>
    <w:rsid w:val="00813466"/>
    <w:rsid w:val="00813957"/>
    <w:rsid w:val="00814615"/>
    <w:rsid w:val="00815522"/>
    <w:rsid w:val="00816668"/>
    <w:rsid w:val="00820105"/>
    <w:rsid w:val="00820706"/>
    <w:rsid w:val="0082227A"/>
    <w:rsid w:val="008224D0"/>
    <w:rsid w:val="00822923"/>
    <w:rsid w:val="008232CF"/>
    <w:rsid w:val="00824C12"/>
    <w:rsid w:val="008252AB"/>
    <w:rsid w:val="008252FE"/>
    <w:rsid w:val="008261A1"/>
    <w:rsid w:val="008262AC"/>
    <w:rsid w:val="00826682"/>
    <w:rsid w:val="0083021E"/>
    <w:rsid w:val="00830225"/>
    <w:rsid w:val="008325C6"/>
    <w:rsid w:val="008329FA"/>
    <w:rsid w:val="00832A9C"/>
    <w:rsid w:val="008332FA"/>
    <w:rsid w:val="00834FAE"/>
    <w:rsid w:val="0083573F"/>
    <w:rsid w:val="0083579A"/>
    <w:rsid w:val="00836801"/>
    <w:rsid w:val="00836C4E"/>
    <w:rsid w:val="00837227"/>
    <w:rsid w:val="008407A6"/>
    <w:rsid w:val="00840AC3"/>
    <w:rsid w:val="0084463C"/>
    <w:rsid w:val="00845214"/>
    <w:rsid w:val="008459C8"/>
    <w:rsid w:val="00845A99"/>
    <w:rsid w:val="00846D78"/>
    <w:rsid w:val="008563AB"/>
    <w:rsid w:val="00857D0B"/>
    <w:rsid w:val="00860AB1"/>
    <w:rsid w:val="00860BA8"/>
    <w:rsid w:val="00860E6F"/>
    <w:rsid w:val="00861EAB"/>
    <w:rsid w:val="008637A4"/>
    <w:rsid w:val="00863BD5"/>
    <w:rsid w:val="0086471D"/>
    <w:rsid w:val="00864977"/>
    <w:rsid w:val="00864BBD"/>
    <w:rsid w:val="00867BC3"/>
    <w:rsid w:val="008706B5"/>
    <w:rsid w:val="008738DF"/>
    <w:rsid w:val="00873DBD"/>
    <w:rsid w:val="00874C8C"/>
    <w:rsid w:val="00875079"/>
    <w:rsid w:val="00875147"/>
    <w:rsid w:val="00877393"/>
    <w:rsid w:val="00877D3F"/>
    <w:rsid w:val="00883245"/>
    <w:rsid w:val="00884369"/>
    <w:rsid w:val="00884EAD"/>
    <w:rsid w:val="00885627"/>
    <w:rsid w:val="00885ACA"/>
    <w:rsid w:val="00886ECC"/>
    <w:rsid w:val="008900BA"/>
    <w:rsid w:val="00891A9E"/>
    <w:rsid w:val="00891D10"/>
    <w:rsid w:val="00893CF2"/>
    <w:rsid w:val="00894A0D"/>
    <w:rsid w:val="00894F70"/>
    <w:rsid w:val="00895111"/>
    <w:rsid w:val="00895548"/>
    <w:rsid w:val="008957AE"/>
    <w:rsid w:val="00896198"/>
    <w:rsid w:val="00896359"/>
    <w:rsid w:val="0089691E"/>
    <w:rsid w:val="008975FE"/>
    <w:rsid w:val="008978C5"/>
    <w:rsid w:val="00897CB8"/>
    <w:rsid w:val="008A0485"/>
    <w:rsid w:val="008A07AB"/>
    <w:rsid w:val="008A0A07"/>
    <w:rsid w:val="008A114B"/>
    <w:rsid w:val="008A181D"/>
    <w:rsid w:val="008A1EC2"/>
    <w:rsid w:val="008A24A9"/>
    <w:rsid w:val="008A55C5"/>
    <w:rsid w:val="008A6814"/>
    <w:rsid w:val="008A6A0D"/>
    <w:rsid w:val="008B0871"/>
    <w:rsid w:val="008B0C17"/>
    <w:rsid w:val="008B197B"/>
    <w:rsid w:val="008B21A6"/>
    <w:rsid w:val="008B3A21"/>
    <w:rsid w:val="008B3B50"/>
    <w:rsid w:val="008B494F"/>
    <w:rsid w:val="008B574C"/>
    <w:rsid w:val="008B5E9C"/>
    <w:rsid w:val="008B60F6"/>
    <w:rsid w:val="008B6771"/>
    <w:rsid w:val="008B75D4"/>
    <w:rsid w:val="008B7EE8"/>
    <w:rsid w:val="008B7FE5"/>
    <w:rsid w:val="008C007A"/>
    <w:rsid w:val="008C1FA7"/>
    <w:rsid w:val="008C2ACE"/>
    <w:rsid w:val="008C3C16"/>
    <w:rsid w:val="008C41F2"/>
    <w:rsid w:val="008C42E1"/>
    <w:rsid w:val="008C47C5"/>
    <w:rsid w:val="008C68B9"/>
    <w:rsid w:val="008C6A04"/>
    <w:rsid w:val="008C74D2"/>
    <w:rsid w:val="008D0D96"/>
    <w:rsid w:val="008D0EFA"/>
    <w:rsid w:val="008D1B49"/>
    <w:rsid w:val="008D299B"/>
    <w:rsid w:val="008D2D40"/>
    <w:rsid w:val="008D3239"/>
    <w:rsid w:val="008D5E4E"/>
    <w:rsid w:val="008D66BB"/>
    <w:rsid w:val="008D74D5"/>
    <w:rsid w:val="008E0E3B"/>
    <w:rsid w:val="008E1A04"/>
    <w:rsid w:val="008E2123"/>
    <w:rsid w:val="008E22F0"/>
    <w:rsid w:val="008E23E4"/>
    <w:rsid w:val="008E275B"/>
    <w:rsid w:val="008E3DC0"/>
    <w:rsid w:val="008E61A4"/>
    <w:rsid w:val="008E6743"/>
    <w:rsid w:val="008E6A7B"/>
    <w:rsid w:val="008E70B1"/>
    <w:rsid w:val="008E7829"/>
    <w:rsid w:val="008F2836"/>
    <w:rsid w:val="008F3898"/>
    <w:rsid w:val="008F3A43"/>
    <w:rsid w:val="008F5B19"/>
    <w:rsid w:val="008F72DC"/>
    <w:rsid w:val="008F7767"/>
    <w:rsid w:val="0090010C"/>
    <w:rsid w:val="0090054D"/>
    <w:rsid w:val="00900D4B"/>
    <w:rsid w:val="0090261A"/>
    <w:rsid w:val="009037C1"/>
    <w:rsid w:val="009048E0"/>
    <w:rsid w:val="00904B04"/>
    <w:rsid w:val="00904B1D"/>
    <w:rsid w:val="00904B91"/>
    <w:rsid w:val="00905693"/>
    <w:rsid w:val="0090633C"/>
    <w:rsid w:val="0090731D"/>
    <w:rsid w:val="009077A8"/>
    <w:rsid w:val="00907CC2"/>
    <w:rsid w:val="009105BF"/>
    <w:rsid w:val="0091210E"/>
    <w:rsid w:val="00912C0E"/>
    <w:rsid w:val="00912C2B"/>
    <w:rsid w:val="00912D2C"/>
    <w:rsid w:val="00912D6B"/>
    <w:rsid w:val="009136F1"/>
    <w:rsid w:val="00914DF8"/>
    <w:rsid w:val="009155F8"/>
    <w:rsid w:val="00917B43"/>
    <w:rsid w:val="00920092"/>
    <w:rsid w:val="00920338"/>
    <w:rsid w:val="00920968"/>
    <w:rsid w:val="00920D38"/>
    <w:rsid w:val="0092290B"/>
    <w:rsid w:val="00923BD3"/>
    <w:rsid w:val="00924FB8"/>
    <w:rsid w:val="00925E2D"/>
    <w:rsid w:val="0092619A"/>
    <w:rsid w:val="009266E2"/>
    <w:rsid w:val="00926E28"/>
    <w:rsid w:val="00927B6F"/>
    <w:rsid w:val="009302B0"/>
    <w:rsid w:val="00930C36"/>
    <w:rsid w:val="00930CE2"/>
    <w:rsid w:val="00931C13"/>
    <w:rsid w:val="0093303E"/>
    <w:rsid w:val="0093358E"/>
    <w:rsid w:val="009354FE"/>
    <w:rsid w:val="00935771"/>
    <w:rsid w:val="00936FE4"/>
    <w:rsid w:val="00937F94"/>
    <w:rsid w:val="009419C5"/>
    <w:rsid w:val="00943642"/>
    <w:rsid w:val="00943B91"/>
    <w:rsid w:val="00943DE2"/>
    <w:rsid w:val="009442F7"/>
    <w:rsid w:val="00945725"/>
    <w:rsid w:val="0094582F"/>
    <w:rsid w:val="009459ED"/>
    <w:rsid w:val="00945F85"/>
    <w:rsid w:val="009513B9"/>
    <w:rsid w:val="0095315E"/>
    <w:rsid w:val="00954FC9"/>
    <w:rsid w:val="00955C23"/>
    <w:rsid w:val="00955C85"/>
    <w:rsid w:val="00956145"/>
    <w:rsid w:val="00956CE6"/>
    <w:rsid w:val="009605C9"/>
    <w:rsid w:val="00963E16"/>
    <w:rsid w:val="0096602B"/>
    <w:rsid w:val="00966486"/>
    <w:rsid w:val="009668AB"/>
    <w:rsid w:val="009668E9"/>
    <w:rsid w:val="00966EEF"/>
    <w:rsid w:val="00967B87"/>
    <w:rsid w:val="00967D41"/>
    <w:rsid w:val="00967F68"/>
    <w:rsid w:val="009714B5"/>
    <w:rsid w:val="009719D6"/>
    <w:rsid w:val="00971B4D"/>
    <w:rsid w:val="009724AD"/>
    <w:rsid w:val="009732BC"/>
    <w:rsid w:val="00974FC2"/>
    <w:rsid w:val="00975499"/>
    <w:rsid w:val="00977049"/>
    <w:rsid w:val="009818C0"/>
    <w:rsid w:val="00981A5B"/>
    <w:rsid w:val="009821CC"/>
    <w:rsid w:val="00983894"/>
    <w:rsid w:val="0098405B"/>
    <w:rsid w:val="00984081"/>
    <w:rsid w:val="00984C52"/>
    <w:rsid w:val="00985D8A"/>
    <w:rsid w:val="0098729F"/>
    <w:rsid w:val="00990101"/>
    <w:rsid w:val="00993C7A"/>
    <w:rsid w:val="009946AC"/>
    <w:rsid w:val="00995121"/>
    <w:rsid w:val="0099515F"/>
    <w:rsid w:val="009A1FC8"/>
    <w:rsid w:val="009A4959"/>
    <w:rsid w:val="009A4B43"/>
    <w:rsid w:val="009A50F0"/>
    <w:rsid w:val="009A57C4"/>
    <w:rsid w:val="009A59E6"/>
    <w:rsid w:val="009A5CEB"/>
    <w:rsid w:val="009A6D50"/>
    <w:rsid w:val="009A79E2"/>
    <w:rsid w:val="009A7DBB"/>
    <w:rsid w:val="009B1996"/>
    <w:rsid w:val="009B1EEB"/>
    <w:rsid w:val="009B202C"/>
    <w:rsid w:val="009B2B87"/>
    <w:rsid w:val="009B6263"/>
    <w:rsid w:val="009B71F8"/>
    <w:rsid w:val="009B731F"/>
    <w:rsid w:val="009B7865"/>
    <w:rsid w:val="009B79EF"/>
    <w:rsid w:val="009B7EAD"/>
    <w:rsid w:val="009C02D8"/>
    <w:rsid w:val="009C115F"/>
    <w:rsid w:val="009C3D25"/>
    <w:rsid w:val="009C3D95"/>
    <w:rsid w:val="009C68C7"/>
    <w:rsid w:val="009C6B0D"/>
    <w:rsid w:val="009C7C96"/>
    <w:rsid w:val="009D08E9"/>
    <w:rsid w:val="009D0C33"/>
    <w:rsid w:val="009D10B7"/>
    <w:rsid w:val="009D1705"/>
    <w:rsid w:val="009D22D7"/>
    <w:rsid w:val="009D273E"/>
    <w:rsid w:val="009D3221"/>
    <w:rsid w:val="009D3574"/>
    <w:rsid w:val="009D3597"/>
    <w:rsid w:val="009D410F"/>
    <w:rsid w:val="009D47C3"/>
    <w:rsid w:val="009D4C39"/>
    <w:rsid w:val="009D5404"/>
    <w:rsid w:val="009D7506"/>
    <w:rsid w:val="009D7883"/>
    <w:rsid w:val="009E1A88"/>
    <w:rsid w:val="009E28EF"/>
    <w:rsid w:val="009E2F71"/>
    <w:rsid w:val="009E497B"/>
    <w:rsid w:val="009E5BB1"/>
    <w:rsid w:val="009E6D63"/>
    <w:rsid w:val="009E7B26"/>
    <w:rsid w:val="009F0949"/>
    <w:rsid w:val="009F1EF0"/>
    <w:rsid w:val="009F2392"/>
    <w:rsid w:val="009F25E2"/>
    <w:rsid w:val="009F3814"/>
    <w:rsid w:val="009F3A5C"/>
    <w:rsid w:val="009F66D2"/>
    <w:rsid w:val="009F7767"/>
    <w:rsid w:val="00A00624"/>
    <w:rsid w:val="00A00991"/>
    <w:rsid w:val="00A01A3D"/>
    <w:rsid w:val="00A02450"/>
    <w:rsid w:val="00A02B89"/>
    <w:rsid w:val="00A02DE9"/>
    <w:rsid w:val="00A038D6"/>
    <w:rsid w:val="00A04DCF"/>
    <w:rsid w:val="00A056AE"/>
    <w:rsid w:val="00A06062"/>
    <w:rsid w:val="00A07DFE"/>
    <w:rsid w:val="00A11FDD"/>
    <w:rsid w:val="00A129B5"/>
    <w:rsid w:val="00A13071"/>
    <w:rsid w:val="00A1312A"/>
    <w:rsid w:val="00A14D41"/>
    <w:rsid w:val="00A161B1"/>
    <w:rsid w:val="00A1697F"/>
    <w:rsid w:val="00A174EE"/>
    <w:rsid w:val="00A17E83"/>
    <w:rsid w:val="00A20D25"/>
    <w:rsid w:val="00A222BE"/>
    <w:rsid w:val="00A22BA0"/>
    <w:rsid w:val="00A2363F"/>
    <w:rsid w:val="00A23BA3"/>
    <w:rsid w:val="00A2465A"/>
    <w:rsid w:val="00A25536"/>
    <w:rsid w:val="00A26331"/>
    <w:rsid w:val="00A2644E"/>
    <w:rsid w:val="00A269D2"/>
    <w:rsid w:val="00A27502"/>
    <w:rsid w:val="00A31C57"/>
    <w:rsid w:val="00A31CC3"/>
    <w:rsid w:val="00A328D3"/>
    <w:rsid w:val="00A334A9"/>
    <w:rsid w:val="00A33768"/>
    <w:rsid w:val="00A33B49"/>
    <w:rsid w:val="00A343F8"/>
    <w:rsid w:val="00A34A7D"/>
    <w:rsid w:val="00A37C6F"/>
    <w:rsid w:val="00A41B3C"/>
    <w:rsid w:val="00A41F5D"/>
    <w:rsid w:val="00A42405"/>
    <w:rsid w:val="00A4317D"/>
    <w:rsid w:val="00A439FD"/>
    <w:rsid w:val="00A43E5B"/>
    <w:rsid w:val="00A45C55"/>
    <w:rsid w:val="00A4694D"/>
    <w:rsid w:val="00A46BF9"/>
    <w:rsid w:val="00A4784F"/>
    <w:rsid w:val="00A50D35"/>
    <w:rsid w:val="00A51190"/>
    <w:rsid w:val="00A51272"/>
    <w:rsid w:val="00A51FCB"/>
    <w:rsid w:val="00A52DB5"/>
    <w:rsid w:val="00A53EFB"/>
    <w:rsid w:val="00A55CD3"/>
    <w:rsid w:val="00A56069"/>
    <w:rsid w:val="00A56349"/>
    <w:rsid w:val="00A56CC2"/>
    <w:rsid w:val="00A60C90"/>
    <w:rsid w:val="00A61012"/>
    <w:rsid w:val="00A613F8"/>
    <w:rsid w:val="00A61441"/>
    <w:rsid w:val="00A61442"/>
    <w:rsid w:val="00A61613"/>
    <w:rsid w:val="00A619F4"/>
    <w:rsid w:val="00A61C05"/>
    <w:rsid w:val="00A62833"/>
    <w:rsid w:val="00A62F37"/>
    <w:rsid w:val="00A64115"/>
    <w:rsid w:val="00A64478"/>
    <w:rsid w:val="00A64BEC"/>
    <w:rsid w:val="00A64E80"/>
    <w:rsid w:val="00A65677"/>
    <w:rsid w:val="00A65702"/>
    <w:rsid w:val="00A65F60"/>
    <w:rsid w:val="00A66051"/>
    <w:rsid w:val="00A66E71"/>
    <w:rsid w:val="00A67B06"/>
    <w:rsid w:val="00A67C6B"/>
    <w:rsid w:val="00A704FF"/>
    <w:rsid w:val="00A71487"/>
    <w:rsid w:val="00A71E30"/>
    <w:rsid w:val="00A72C9E"/>
    <w:rsid w:val="00A74291"/>
    <w:rsid w:val="00A75C35"/>
    <w:rsid w:val="00A76567"/>
    <w:rsid w:val="00A76C7E"/>
    <w:rsid w:val="00A76E40"/>
    <w:rsid w:val="00A80CC1"/>
    <w:rsid w:val="00A8344C"/>
    <w:rsid w:val="00A864BE"/>
    <w:rsid w:val="00A8684A"/>
    <w:rsid w:val="00A8788E"/>
    <w:rsid w:val="00A90C34"/>
    <w:rsid w:val="00A92337"/>
    <w:rsid w:val="00A92AD5"/>
    <w:rsid w:val="00A9484A"/>
    <w:rsid w:val="00A949AC"/>
    <w:rsid w:val="00A95A6B"/>
    <w:rsid w:val="00A9614B"/>
    <w:rsid w:val="00A9749C"/>
    <w:rsid w:val="00A975AF"/>
    <w:rsid w:val="00A977BD"/>
    <w:rsid w:val="00A97CC5"/>
    <w:rsid w:val="00AA060A"/>
    <w:rsid w:val="00AA0E20"/>
    <w:rsid w:val="00AA1B73"/>
    <w:rsid w:val="00AA1FC2"/>
    <w:rsid w:val="00AA5DD5"/>
    <w:rsid w:val="00AA6819"/>
    <w:rsid w:val="00AA6BFD"/>
    <w:rsid w:val="00AA6C34"/>
    <w:rsid w:val="00AB020E"/>
    <w:rsid w:val="00AB198C"/>
    <w:rsid w:val="00AB1A76"/>
    <w:rsid w:val="00AB1BD2"/>
    <w:rsid w:val="00AB249F"/>
    <w:rsid w:val="00AB370F"/>
    <w:rsid w:val="00AB4087"/>
    <w:rsid w:val="00AB4636"/>
    <w:rsid w:val="00AB4715"/>
    <w:rsid w:val="00AB4AAB"/>
    <w:rsid w:val="00AB4FE7"/>
    <w:rsid w:val="00AB51C1"/>
    <w:rsid w:val="00AB5867"/>
    <w:rsid w:val="00AB64D9"/>
    <w:rsid w:val="00AB7008"/>
    <w:rsid w:val="00AB7572"/>
    <w:rsid w:val="00AC12B4"/>
    <w:rsid w:val="00AC367E"/>
    <w:rsid w:val="00AC38D9"/>
    <w:rsid w:val="00AC6219"/>
    <w:rsid w:val="00AD0E96"/>
    <w:rsid w:val="00AD17D3"/>
    <w:rsid w:val="00AD1F3B"/>
    <w:rsid w:val="00AD2EC2"/>
    <w:rsid w:val="00AD3DF6"/>
    <w:rsid w:val="00AD4844"/>
    <w:rsid w:val="00AD4B35"/>
    <w:rsid w:val="00AD6854"/>
    <w:rsid w:val="00AD7446"/>
    <w:rsid w:val="00AE0CC3"/>
    <w:rsid w:val="00AE22A2"/>
    <w:rsid w:val="00AE2CAE"/>
    <w:rsid w:val="00AE3132"/>
    <w:rsid w:val="00AE4749"/>
    <w:rsid w:val="00AE515E"/>
    <w:rsid w:val="00AE6142"/>
    <w:rsid w:val="00AE67C2"/>
    <w:rsid w:val="00AE6A72"/>
    <w:rsid w:val="00AE6C3E"/>
    <w:rsid w:val="00AE777D"/>
    <w:rsid w:val="00AF2820"/>
    <w:rsid w:val="00AF316E"/>
    <w:rsid w:val="00AF3AF7"/>
    <w:rsid w:val="00AF3E2E"/>
    <w:rsid w:val="00AF7B1C"/>
    <w:rsid w:val="00B00C51"/>
    <w:rsid w:val="00B00EB5"/>
    <w:rsid w:val="00B03BEE"/>
    <w:rsid w:val="00B06624"/>
    <w:rsid w:val="00B0679E"/>
    <w:rsid w:val="00B10631"/>
    <w:rsid w:val="00B10729"/>
    <w:rsid w:val="00B10D43"/>
    <w:rsid w:val="00B13965"/>
    <w:rsid w:val="00B143F9"/>
    <w:rsid w:val="00B150CC"/>
    <w:rsid w:val="00B15615"/>
    <w:rsid w:val="00B21821"/>
    <w:rsid w:val="00B22E51"/>
    <w:rsid w:val="00B237C2"/>
    <w:rsid w:val="00B23DDD"/>
    <w:rsid w:val="00B23EDF"/>
    <w:rsid w:val="00B2524C"/>
    <w:rsid w:val="00B254CE"/>
    <w:rsid w:val="00B26713"/>
    <w:rsid w:val="00B27694"/>
    <w:rsid w:val="00B27A27"/>
    <w:rsid w:val="00B27D24"/>
    <w:rsid w:val="00B27EDB"/>
    <w:rsid w:val="00B300B3"/>
    <w:rsid w:val="00B30599"/>
    <w:rsid w:val="00B317F0"/>
    <w:rsid w:val="00B31FDA"/>
    <w:rsid w:val="00B32A02"/>
    <w:rsid w:val="00B35249"/>
    <w:rsid w:val="00B36068"/>
    <w:rsid w:val="00B37311"/>
    <w:rsid w:val="00B37850"/>
    <w:rsid w:val="00B40273"/>
    <w:rsid w:val="00B407F9"/>
    <w:rsid w:val="00B408EE"/>
    <w:rsid w:val="00B41BDE"/>
    <w:rsid w:val="00B424B8"/>
    <w:rsid w:val="00B424BE"/>
    <w:rsid w:val="00B42633"/>
    <w:rsid w:val="00B44896"/>
    <w:rsid w:val="00B455CF"/>
    <w:rsid w:val="00B45608"/>
    <w:rsid w:val="00B47324"/>
    <w:rsid w:val="00B47917"/>
    <w:rsid w:val="00B50215"/>
    <w:rsid w:val="00B51019"/>
    <w:rsid w:val="00B51996"/>
    <w:rsid w:val="00B51C33"/>
    <w:rsid w:val="00B53288"/>
    <w:rsid w:val="00B54191"/>
    <w:rsid w:val="00B549EE"/>
    <w:rsid w:val="00B557DF"/>
    <w:rsid w:val="00B55D8F"/>
    <w:rsid w:val="00B57CC0"/>
    <w:rsid w:val="00B57D8F"/>
    <w:rsid w:val="00B60715"/>
    <w:rsid w:val="00B60F71"/>
    <w:rsid w:val="00B6209C"/>
    <w:rsid w:val="00B6245E"/>
    <w:rsid w:val="00B64EFE"/>
    <w:rsid w:val="00B65499"/>
    <w:rsid w:val="00B7036D"/>
    <w:rsid w:val="00B70F40"/>
    <w:rsid w:val="00B71675"/>
    <w:rsid w:val="00B7226E"/>
    <w:rsid w:val="00B7278B"/>
    <w:rsid w:val="00B72B9F"/>
    <w:rsid w:val="00B732A1"/>
    <w:rsid w:val="00B74E5E"/>
    <w:rsid w:val="00B75E42"/>
    <w:rsid w:val="00B7601A"/>
    <w:rsid w:val="00B76424"/>
    <w:rsid w:val="00B76FEF"/>
    <w:rsid w:val="00B77129"/>
    <w:rsid w:val="00B7789B"/>
    <w:rsid w:val="00B80A06"/>
    <w:rsid w:val="00B80D36"/>
    <w:rsid w:val="00B81E60"/>
    <w:rsid w:val="00B828D9"/>
    <w:rsid w:val="00B82AB1"/>
    <w:rsid w:val="00B8367E"/>
    <w:rsid w:val="00B836DF"/>
    <w:rsid w:val="00B8614C"/>
    <w:rsid w:val="00B90720"/>
    <w:rsid w:val="00B91E68"/>
    <w:rsid w:val="00B930A7"/>
    <w:rsid w:val="00B931AD"/>
    <w:rsid w:val="00B93494"/>
    <w:rsid w:val="00B9435D"/>
    <w:rsid w:val="00B95575"/>
    <w:rsid w:val="00B95780"/>
    <w:rsid w:val="00B96137"/>
    <w:rsid w:val="00B96499"/>
    <w:rsid w:val="00B97C97"/>
    <w:rsid w:val="00B97DD9"/>
    <w:rsid w:val="00BA018F"/>
    <w:rsid w:val="00BA0CE8"/>
    <w:rsid w:val="00BA1031"/>
    <w:rsid w:val="00BA151A"/>
    <w:rsid w:val="00BA3B0A"/>
    <w:rsid w:val="00BA3BEB"/>
    <w:rsid w:val="00BA4853"/>
    <w:rsid w:val="00BA4E52"/>
    <w:rsid w:val="00BA5730"/>
    <w:rsid w:val="00BA5F0F"/>
    <w:rsid w:val="00BA62FA"/>
    <w:rsid w:val="00BA68CA"/>
    <w:rsid w:val="00BA68E8"/>
    <w:rsid w:val="00BA6E06"/>
    <w:rsid w:val="00BA7418"/>
    <w:rsid w:val="00BB13C8"/>
    <w:rsid w:val="00BB19F3"/>
    <w:rsid w:val="00BB2833"/>
    <w:rsid w:val="00BB3599"/>
    <w:rsid w:val="00BB35E8"/>
    <w:rsid w:val="00BB4A39"/>
    <w:rsid w:val="00BB4CB0"/>
    <w:rsid w:val="00BB4ED1"/>
    <w:rsid w:val="00BB6724"/>
    <w:rsid w:val="00BB6A86"/>
    <w:rsid w:val="00BB7522"/>
    <w:rsid w:val="00BC245C"/>
    <w:rsid w:val="00BC2891"/>
    <w:rsid w:val="00BC3E63"/>
    <w:rsid w:val="00BC6E79"/>
    <w:rsid w:val="00BC752D"/>
    <w:rsid w:val="00BD1722"/>
    <w:rsid w:val="00BD1958"/>
    <w:rsid w:val="00BD6B16"/>
    <w:rsid w:val="00BD6BB9"/>
    <w:rsid w:val="00BE12D3"/>
    <w:rsid w:val="00BE1B2F"/>
    <w:rsid w:val="00BE1B69"/>
    <w:rsid w:val="00BE1CC6"/>
    <w:rsid w:val="00BE430D"/>
    <w:rsid w:val="00BE6D20"/>
    <w:rsid w:val="00BF33C6"/>
    <w:rsid w:val="00BF6C8F"/>
    <w:rsid w:val="00BF6E5E"/>
    <w:rsid w:val="00BF71DF"/>
    <w:rsid w:val="00C02352"/>
    <w:rsid w:val="00C0266A"/>
    <w:rsid w:val="00C02FBA"/>
    <w:rsid w:val="00C051DB"/>
    <w:rsid w:val="00C0688F"/>
    <w:rsid w:val="00C070E0"/>
    <w:rsid w:val="00C0744A"/>
    <w:rsid w:val="00C07467"/>
    <w:rsid w:val="00C10AA1"/>
    <w:rsid w:val="00C1181D"/>
    <w:rsid w:val="00C124D8"/>
    <w:rsid w:val="00C15670"/>
    <w:rsid w:val="00C176B7"/>
    <w:rsid w:val="00C20C00"/>
    <w:rsid w:val="00C218ED"/>
    <w:rsid w:val="00C21DF2"/>
    <w:rsid w:val="00C22213"/>
    <w:rsid w:val="00C23648"/>
    <w:rsid w:val="00C241E8"/>
    <w:rsid w:val="00C276D9"/>
    <w:rsid w:val="00C27812"/>
    <w:rsid w:val="00C27F37"/>
    <w:rsid w:val="00C304DF"/>
    <w:rsid w:val="00C30E37"/>
    <w:rsid w:val="00C31085"/>
    <w:rsid w:val="00C31A05"/>
    <w:rsid w:val="00C325B6"/>
    <w:rsid w:val="00C32E49"/>
    <w:rsid w:val="00C33684"/>
    <w:rsid w:val="00C341E1"/>
    <w:rsid w:val="00C400F4"/>
    <w:rsid w:val="00C410B9"/>
    <w:rsid w:val="00C41B0C"/>
    <w:rsid w:val="00C42277"/>
    <w:rsid w:val="00C427C2"/>
    <w:rsid w:val="00C42D6E"/>
    <w:rsid w:val="00C42D7C"/>
    <w:rsid w:val="00C45CAD"/>
    <w:rsid w:val="00C476F7"/>
    <w:rsid w:val="00C47FDB"/>
    <w:rsid w:val="00C5087A"/>
    <w:rsid w:val="00C50DF2"/>
    <w:rsid w:val="00C52234"/>
    <w:rsid w:val="00C53886"/>
    <w:rsid w:val="00C54385"/>
    <w:rsid w:val="00C5493B"/>
    <w:rsid w:val="00C56D74"/>
    <w:rsid w:val="00C56EF9"/>
    <w:rsid w:val="00C57069"/>
    <w:rsid w:val="00C571A6"/>
    <w:rsid w:val="00C578FC"/>
    <w:rsid w:val="00C605A5"/>
    <w:rsid w:val="00C62494"/>
    <w:rsid w:val="00C6330B"/>
    <w:rsid w:val="00C64014"/>
    <w:rsid w:val="00C64D74"/>
    <w:rsid w:val="00C65605"/>
    <w:rsid w:val="00C663B1"/>
    <w:rsid w:val="00C66B66"/>
    <w:rsid w:val="00C67718"/>
    <w:rsid w:val="00C67A7D"/>
    <w:rsid w:val="00C67CF1"/>
    <w:rsid w:val="00C7086B"/>
    <w:rsid w:val="00C725FA"/>
    <w:rsid w:val="00C726F8"/>
    <w:rsid w:val="00C727A0"/>
    <w:rsid w:val="00C72A29"/>
    <w:rsid w:val="00C75074"/>
    <w:rsid w:val="00C758E2"/>
    <w:rsid w:val="00C772DB"/>
    <w:rsid w:val="00C772F5"/>
    <w:rsid w:val="00C8037F"/>
    <w:rsid w:val="00C808B9"/>
    <w:rsid w:val="00C81433"/>
    <w:rsid w:val="00C81DB4"/>
    <w:rsid w:val="00C82263"/>
    <w:rsid w:val="00C82664"/>
    <w:rsid w:val="00C837C0"/>
    <w:rsid w:val="00C84703"/>
    <w:rsid w:val="00C850D5"/>
    <w:rsid w:val="00C8583E"/>
    <w:rsid w:val="00C85841"/>
    <w:rsid w:val="00C8607A"/>
    <w:rsid w:val="00C872A6"/>
    <w:rsid w:val="00C87755"/>
    <w:rsid w:val="00C921F8"/>
    <w:rsid w:val="00C9259D"/>
    <w:rsid w:val="00C92DA8"/>
    <w:rsid w:val="00C95BCC"/>
    <w:rsid w:val="00C95E3D"/>
    <w:rsid w:val="00C974AD"/>
    <w:rsid w:val="00CA00DB"/>
    <w:rsid w:val="00CA053E"/>
    <w:rsid w:val="00CA381B"/>
    <w:rsid w:val="00CA3E4D"/>
    <w:rsid w:val="00CA4B3E"/>
    <w:rsid w:val="00CB1838"/>
    <w:rsid w:val="00CB2B64"/>
    <w:rsid w:val="00CB36B7"/>
    <w:rsid w:val="00CB4484"/>
    <w:rsid w:val="00CC0F29"/>
    <w:rsid w:val="00CC3966"/>
    <w:rsid w:val="00CC4960"/>
    <w:rsid w:val="00CC6093"/>
    <w:rsid w:val="00CC6802"/>
    <w:rsid w:val="00CC6C51"/>
    <w:rsid w:val="00CC6CA0"/>
    <w:rsid w:val="00CC78CB"/>
    <w:rsid w:val="00CD0D62"/>
    <w:rsid w:val="00CD122E"/>
    <w:rsid w:val="00CD1AA7"/>
    <w:rsid w:val="00CD200B"/>
    <w:rsid w:val="00CD4249"/>
    <w:rsid w:val="00CD4339"/>
    <w:rsid w:val="00CD4F09"/>
    <w:rsid w:val="00CD570A"/>
    <w:rsid w:val="00CD7991"/>
    <w:rsid w:val="00CD7BA2"/>
    <w:rsid w:val="00CE0097"/>
    <w:rsid w:val="00CE24BF"/>
    <w:rsid w:val="00CE26F2"/>
    <w:rsid w:val="00CE2D47"/>
    <w:rsid w:val="00CE3FA6"/>
    <w:rsid w:val="00CE5242"/>
    <w:rsid w:val="00CE77AF"/>
    <w:rsid w:val="00CE7991"/>
    <w:rsid w:val="00CF002D"/>
    <w:rsid w:val="00CF04E6"/>
    <w:rsid w:val="00CF147B"/>
    <w:rsid w:val="00CF2D14"/>
    <w:rsid w:val="00CF71C4"/>
    <w:rsid w:val="00CF7211"/>
    <w:rsid w:val="00CF7CDD"/>
    <w:rsid w:val="00D00093"/>
    <w:rsid w:val="00D00BC4"/>
    <w:rsid w:val="00D028B5"/>
    <w:rsid w:val="00D032A5"/>
    <w:rsid w:val="00D034FC"/>
    <w:rsid w:val="00D05262"/>
    <w:rsid w:val="00D053A8"/>
    <w:rsid w:val="00D0600C"/>
    <w:rsid w:val="00D0681F"/>
    <w:rsid w:val="00D079FC"/>
    <w:rsid w:val="00D100AC"/>
    <w:rsid w:val="00D100E7"/>
    <w:rsid w:val="00D12D0F"/>
    <w:rsid w:val="00D15134"/>
    <w:rsid w:val="00D15289"/>
    <w:rsid w:val="00D15FB3"/>
    <w:rsid w:val="00D161EF"/>
    <w:rsid w:val="00D17475"/>
    <w:rsid w:val="00D17F45"/>
    <w:rsid w:val="00D217D8"/>
    <w:rsid w:val="00D21F3E"/>
    <w:rsid w:val="00D26275"/>
    <w:rsid w:val="00D270B5"/>
    <w:rsid w:val="00D30138"/>
    <w:rsid w:val="00D30A50"/>
    <w:rsid w:val="00D31066"/>
    <w:rsid w:val="00D31E90"/>
    <w:rsid w:val="00D32AA5"/>
    <w:rsid w:val="00D32C4E"/>
    <w:rsid w:val="00D3499C"/>
    <w:rsid w:val="00D34E60"/>
    <w:rsid w:val="00D35304"/>
    <w:rsid w:val="00D35426"/>
    <w:rsid w:val="00D35845"/>
    <w:rsid w:val="00D360A8"/>
    <w:rsid w:val="00D37C96"/>
    <w:rsid w:val="00D428E6"/>
    <w:rsid w:val="00D429C8"/>
    <w:rsid w:val="00D430EB"/>
    <w:rsid w:val="00D438B3"/>
    <w:rsid w:val="00D4457F"/>
    <w:rsid w:val="00D476F6"/>
    <w:rsid w:val="00D50F6A"/>
    <w:rsid w:val="00D51A1D"/>
    <w:rsid w:val="00D535CB"/>
    <w:rsid w:val="00D53A64"/>
    <w:rsid w:val="00D53E62"/>
    <w:rsid w:val="00D545F2"/>
    <w:rsid w:val="00D54957"/>
    <w:rsid w:val="00D57577"/>
    <w:rsid w:val="00D60BAD"/>
    <w:rsid w:val="00D60E02"/>
    <w:rsid w:val="00D61671"/>
    <w:rsid w:val="00D62605"/>
    <w:rsid w:val="00D63101"/>
    <w:rsid w:val="00D63182"/>
    <w:rsid w:val="00D63506"/>
    <w:rsid w:val="00D63784"/>
    <w:rsid w:val="00D649C8"/>
    <w:rsid w:val="00D65319"/>
    <w:rsid w:val="00D65A24"/>
    <w:rsid w:val="00D65EE0"/>
    <w:rsid w:val="00D66A58"/>
    <w:rsid w:val="00D66FAB"/>
    <w:rsid w:val="00D6701D"/>
    <w:rsid w:val="00D6767F"/>
    <w:rsid w:val="00D677C0"/>
    <w:rsid w:val="00D67E94"/>
    <w:rsid w:val="00D70FCB"/>
    <w:rsid w:val="00D71B11"/>
    <w:rsid w:val="00D71F45"/>
    <w:rsid w:val="00D7292E"/>
    <w:rsid w:val="00D72C97"/>
    <w:rsid w:val="00D75022"/>
    <w:rsid w:val="00D753E2"/>
    <w:rsid w:val="00D75650"/>
    <w:rsid w:val="00D76755"/>
    <w:rsid w:val="00D77279"/>
    <w:rsid w:val="00D81FDE"/>
    <w:rsid w:val="00D82CCE"/>
    <w:rsid w:val="00D82EAB"/>
    <w:rsid w:val="00D83DF9"/>
    <w:rsid w:val="00D8465C"/>
    <w:rsid w:val="00D8496F"/>
    <w:rsid w:val="00D85678"/>
    <w:rsid w:val="00D870D8"/>
    <w:rsid w:val="00D87759"/>
    <w:rsid w:val="00D90940"/>
    <w:rsid w:val="00D918BA"/>
    <w:rsid w:val="00D92A5B"/>
    <w:rsid w:val="00D92EA7"/>
    <w:rsid w:val="00D958F6"/>
    <w:rsid w:val="00D95C03"/>
    <w:rsid w:val="00D95CC8"/>
    <w:rsid w:val="00D9797D"/>
    <w:rsid w:val="00D97AB9"/>
    <w:rsid w:val="00D97B76"/>
    <w:rsid w:val="00D97F88"/>
    <w:rsid w:val="00DA0725"/>
    <w:rsid w:val="00DA24E4"/>
    <w:rsid w:val="00DA2B47"/>
    <w:rsid w:val="00DA42A2"/>
    <w:rsid w:val="00DA558B"/>
    <w:rsid w:val="00DA56CE"/>
    <w:rsid w:val="00DA58D6"/>
    <w:rsid w:val="00DA5D9F"/>
    <w:rsid w:val="00DA681B"/>
    <w:rsid w:val="00DA7A86"/>
    <w:rsid w:val="00DA7B8A"/>
    <w:rsid w:val="00DA7DF1"/>
    <w:rsid w:val="00DB0072"/>
    <w:rsid w:val="00DB0654"/>
    <w:rsid w:val="00DB0AA8"/>
    <w:rsid w:val="00DB1460"/>
    <w:rsid w:val="00DB1F69"/>
    <w:rsid w:val="00DB2171"/>
    <w:rsid w:val="00DB2384"/>
    <w:rsid w:val="00DB293F"/>
    <w:rsid w:val="00DB328B"/>
    <w:rsid w:val="00DB3C3D"/>
    <w:rsid w:val="00DB4463"/>
    <w:rsid w:val="00DB618E"/>
    <w:rsid w:val="00DB6E52"/>
    <w:rsid w:val="00DC00A0"/>
    <w:rsid w:val="00DC1BF2"/>
    <w:rsid w:val="00DC5B95"/>
    <w:rsid w:val="00DC6F26"/>
    <w:rsid w:val="00DD282A"/>
    <w:rsid w:val="00DD3292"/>
    <w:rsid w:val="00DD3E52"/>
    <w:rsid w:val="00DD63F5"/>
    <w:rsid w:val="00DD6B2F"/>
    <w:rsid w:val="00DE358C"/>
    <w:rsid w:val="00DE370D"/>
    <w:rsid w:val="00DE4E70"/>
    <w:rsid w:val="00DE55ED"/>
    <w:rsid w:val="00DE577C"/>
    <w:rsid w:val="00DE5979"/>
    <w:rsid w:val="00DE6656"/>
    <w:rsid w:val="00DE7C9D"/>
    <w:rsid w:val="00DF0346"/>
    <w:rsid w:val="00DF061D"/>
    <w:rsid w:val="00DF2599"/>
    <w:rsid w:val="00DF28D6"/>
    <w:rsid w:val="00DF2C6A"/>
    <w:rsid w:val="00DF2CAA"/>
    <w:rsid w:val="00DF3251"/>
    <w:rsid w:val="00DF3D9D"/>
    <w:rsid w:val="00DF4E69"/>
    <w:rsid w:val="00DF5044"/>
    <w:rsid w:val="00DF5CA0"/>
    <w:rsid w:val="00DF7BFE"/>
    <w:rsid w:val="00DF7D30"/>
    <w:rsid w:val="00E02653"/>
    <w:rsid w:val="00E03384"/>
    <w:rsid w:val="00E03BE2"/>
    <w:rsid w:val="00E05115"/>
    <w:rsid w:val="00E05963"/>
    <w:rsid w:val="00E077FD"/>
    <w:rsid w:val="00E1136E"/>
    <w:rsid w:val="00E118BB"/>
    <w:rsid w:val="00E12BF5"/>
    <w:rsid w:val="00E13CD5"/>
    <w:rsid w:val="00E14E28"/>
    <w:rsid w:val="00E15463"/>
    <w:rsid w:val="00E1567E"/>
    <w:rsid w:val="00E16821"/>
    <w:rsid w:val="00E178F9"/>
    <w:rsid w:val="00E2026C"/>
    <w:rsid w:val="00E219E6"/>
    <w:rsid w:val="00E221E9"/>
    <w:rsid w:val="00E224E5"/>
    <w:rsid w:val="00E235E4"/>
    <w:rsid w:val="00E259D0"/>
    <w:rsid w:val="00E259E5"/>
    <w:rsid w:val="00E26347"/>
    <w:rsid w:val="00E26CAE"/>
    <w:rsid w:val="00E27CAC"/>
    <w:rsid w:val="00E31039"/>
    <w:rsid w:val="00E31E02"/>
    <w:rsid w:val="00E32062"/>
    <w:rsid w:val="00E33A38"/>
    <w:rsid w:val="00E412BC"/>
    <w:rsid w:val="00E4294C"/>
    <w:rsid w:val="00E43476"/>
    <w:rsid w:val="00E43878"/>
    <w:rsid w:val="00E43BC3"/>
    <w:rsid w:val="00E44E85"/>
    <w:rsid w:val="00E459FA"/>
    <w:rsid w:val="00E473DD"/>
    <w:rsid w:val="00E51533"/>
    <w:rsid w:val="00E51C2C"/>
    <w:rsid w:val="00E52A0A"/>
    <w:rsid w:val="00E562F8"/>
    <w:rsid w:val="00E57A24"/>
    <w:rsid w:val="00E60A3D"/>
    <w:rsid w:val="00E61037"/>
    <w:rsid w:val="00E63CEC"/>
    <w:rsid w:val="00E653D2"/>
    <w:rsid w:val="00E65D5C"/>
    <w:rsid w:val="00E65F2E"/>
    <w:rsid w:val="00E66EA2"/>
    <w:rsid w:val="00E66F7E"/>
    <w:rsid w:val="00E70A5E"/>
    <w:rsid w:val="00E71AA4"/>
    <w:rsid w:val="00E72353"/>
    <w:rsid w:val="00E725FE"/>
    <w:rsid w:val="00E729AD"/>
    <w:rsid w:val="00E72AFB"/>
    <w:rsid w:val="00E731DB"/>
    <w:rsid w:val="00E75152"/>
    <w:rsid w:val="00E752F1"/>
    <w:rsid w:val="00E75462"/>
    <w:rsid w:val="00E757BC"/>
    <w:rsid w:val="00E76A95"/>
    <w:rsid w:val="00E76EB6"/>
    <w:rsid w:val="00E7763E"/>
    <w:rsid w:val="00E82A15"/>
    <w:rsid w:val="00E86087"/>
    <w:rsid w:val="00E86E91"/>
    <w:rsid w:val="00E903DD"/>
    <w:rsid w:val="00E911C7"/>
    <w:rsid w:val="00E91457"/>
    <w:rsid w:val="00E926D0"/>
    <w:rsid w:val="00E93418"/>
    <w:rsid w:val="00E93C08"/>
    <w:rsid w:val="00E94BA9"/>
    <w:rsid w:val="00E95892"/>
    <w:rsid w:val="00E95D3D"/>
    <w:rsid w:val="00E95E39"/>
    <w:rsid w:val="00E96AE9"/>
    <w:rsid w:val="00E96CF8"/>
    <w:rsid w:val="00EA1CFD"/>
    <w:rsid w:val="00EA1DA0"/>
    <w:rsid w:val="00EA5CD5"/>
    <w:rsid w:val="00EA6F76"/>
    <w:rsid w:val="00EA6FED"/>
    <w:rsid w:val="00EA75F5"/>
    <w:rsid w:val="00EA7BC0"/>
    <w:rsid w:val="00EB0070"/>
    <w:rsid w:val="00EB105E"/>
    <w:rsid w:val="00EB1EF4"/>
    <w:rsid w:val="00EB20BF"/>
    <w:rsid w:val="00EB32D4"/>
    <w:rsid w:val="00EB4095"/>
    <w:rsid w:val="00EB537C"/>
    <w:rsid w:val="00EB5AD7"/>
    <w:rsid w:val="00EB76AC"/>
    <w:rsid w:val="00EC0D93"/>
    <w:rsid w:val="00EC0FAA"/>
    <w:rsid w:val="00EC1FEB"/>
    <w:rsid w:val="00EC28D7"/>
    <w:rsid w:val="00EC41C6"/>
    <w:rsid w:val="00EC5A38"/>
    <w:rsid w:val="00EC67B1"/>
    <w:rsid w:val="00EC69A1"/>
    <w:rsid w:val="00EC7CA1"/>
    <w:rsid w:val="00EC7F24"/>
    <w:rsid w:val="00ED082E"/>
    <w:rsid w:val="00ED1772"/>
    <w:rsid w:val="00ED177E"/>
    <w:rsid w:val="00ED1A4D"/>
    <w:rsid w:val="00ED30C2"/>
    <w:rsid w:val="00ED3B2E"/>
    <w:rsid w:val="00ED5FC2"/>
    <w:rsid w:val="00ED6CA8"/>
    <w:rsid w:val="00ED6E65"/>
    <w:rsid w:val="00ED6ECE"/>
    <w:rsid w:val="00EE0705"/>
    <w:rsid w:val="00EE15BF"/>
    <w:rsid w:val="00EE1AD3"/>
    <w:rsid w:val="00EE24CF"/>
    <w:rsid w:val="00EE4636"/>
    <w:rsid w:val="00EE72ED"/>
    <w:rsid w:val="00EF10E8"/>
    <w:rsid w:val="00EF2048"/>
    <w:rsid w:val="00EF286B"/>
    <w:rsid w:val="00EF2EB0"/>
    <w:rsid w:val="00EF3625"/>
    <w:rsid w:val="00EF3A4F"/>
    <w:rsid w:val="00EF3F5E"/>
    <w:rsid w:val="00EF594D"/>
    <w:rsid w:val="00EF65E4"/>
    <w:rsid w:val="00EF666B"/>
    <w:rsid w:val="00EF6A85"/>
    <w:rsid w:val="00EF6C40"/>
    <w:rsid w:val="00EF731C"/>
    <w:rsid w:val="00F0005A"/>
    <w:rsid w:val="00F017FF"/>
    <w:rsid w:val="00F0192B"/>
    <w:rsid w:val="00F02A6C"/>
    <w:rsid w:val="00F05FFF"/>
    <w:rsid w:val="00F06B76"/>
    <w:rsid w:val="00F10A67"/>
    <w:rsid w:val="00F10EBB"/>
    <w:rsid w:val="00F111FD"/>
    <w:rsid w:val="00F114F4"/>
    <w:rsid w:val="00F13080"/>
    <w:rsid w:val="00F1338A"/>
    <w:rsid w:val="00F13729"/>
    <w:rsid w:val="00F1432D"/>
    <w:rsid w:val="00F14583"/>
    <w:rsid w:val="00F149FF"/>
    <w:rsid w:val="00F14B60"/>
    <w:rsid w:val="00F15521"/>
    <w:rsid w:val="00F155D0"/>
    <w:rsid w:val="00F156C2"/>
    <w:rsid w:val="00F164FE"/>
    <w:rsid w:val="00F16572"/>
    <w:rsid w:val="00F169C5"/>
    <w:rsid w:val="00F16DC9"/>
    <w:rsid w:val="00F16E94"/>
    <w:rsid w:val="00F17B9A"/>
    <w:rsid w:val="00F206F2"/>
    <w:rsid w:val="00F2197E"/>
    <w:rsid w:val="00F22675"/>
    <w:rsid w:val="00F24B17"/>
    <w:rsid w:val="00F24D28"/>
    <w:rsid w:val="00F25A5A"/>
    <w:rsid w:val="00F26684"/>
    <w:rsid w:val="00F3016A"/>
    <w:rsid w:val="00F30887"/>
    <w:rsid w:val="00F30A68"/>
    <w:rsid w:val="00F318AE"/>
    <w:rsid w:val="00F31EF4"/>
    <w:rsid w:val="00F322E1"/>
    <w:rsid w:val="00F3282B"/>
    <w:rsid w:val="00F32E59"/>
    <w:rsid w:val="00F33865"/>
    <w:rsid w:val="00F350E6"/>
    <w:rsid w:val="00F359DF"/>
    <w:rsid w:val="00F35CE5"/>
    <w:rsid w:val="00F3656A"/>
    <w:rsid w:val="00F365D0"/>
    <w:rsid w:val="00F36A9D"/>
    <w:rsid w:val="00F42176"/>
    <w:rsid w:val="00F43814"/>
    <w:rsid w:val="00F43AFD"/>
    <w:rsid w:val="00F46846"/>
    <w:rsid w:val="00F51271"/>
    <w:rsid w:val="00F519F3"/>
    <w:rsid w:val="00F52DFB"/>
    <w:rsid w:val="00F5589E"/>
    <w:rsid w:val="00F56DB5"/>
    <w:rsid w:val="00F56E56"/>
    <w:rsid w:val="00F601E5"/>
    <w:rsid w:val="00F60C78"/>
    <w:rsid w:val="00F617E6"/>
    <w:rsid w:val="00F62771"/>
    <w:rsid w:val="00F62B5E"/>
    <w:rsid w:val="00F64402"/>
    <w:rsid w:val="00F6651D"/>
    <w:rsid w:val="00F66744"/>
    <w:rsid w:val="00F673CD"/>
    <w:rsid w:val="00F701B5"/>
    <w:rsid w:val="00F71C2A"/>
    <w:rsid w:val="00F72097"/>
    <w:rsid w:val="00F732D6"/>
    <w:rsid w:val="00F7426E"/>
    <w:rsid w:val="00F744BD"/>
    <w:rsid w:val="00F7575A"/>
    <w:rsid w:val="00F7584E"/>
    <w:rsid w:val="00F75D71"/>
    <w:rsid w:val="00F76BB6"/>
    <w:rsid w:val="00F76D78"/>
    <w:rsid w:val="00F809D1"/>
    <w:rsid w:val="00F842F2"/>
    <w:rsid w:val="00F843DF"/>
    <w:rsid w:val="00F85DC4"/>
    <w:rsid w:val="00F8733F"/>
    <w:rsid w:val="00F87718"/>
    <w:rsid w:val="00F90321"/>
    <w:rsid w:val="00F90BD5"/>
    <w:rsid w:val="00F91AC5"/>
    <w:rsid w:val="00F93B5C"/>
    <w:rsid w:val="00F942DB"/>
    <w:rsid w:val="00F950D2"/>
    <w:rsid w:val="00F95C83"/>
    <w:rsid w:val="00F967D0"/>
    <w:rsid w:val="00F96929"/>
    <w:rsid w:val="00F96985"/>
    <w:rsid w:val="00F97741"/>
    <w:rsid w:val="00F97DA4"/>
    <w:rsid w:val="00FA1293"/>
    <w:rsid w:val="00FA32FC"/>
    <w:rsid w:val="00FA3C15"/>
    <w:rsid w:val="00FA5C01"/>
    <w:rsid w:val="00FA5CE4"/>
    <w:rsid w:val="00FA7872"/>
    <w:rsid w:val="00FB02F4"/>
    <w:rsid w:val="00FB0E83"/>
    <w:rsid w:val="00FB151B"/>
    <w:rsid w:val="00FB2E04"/>
    <w:rsid w:val="00FB52C7"/>
    <w:rsid w:val="00FB52F9"/>
    <w:rsid w:val="00FB56B7"/>
    <w:rsid w:val="00FC1369"/>
    <w:rsid w:val="00FC2471"/>
    <w:rsid w:val="00FC26A0"/>
    <w:rsid w:val="00FC3CC5"/>
    <w:rsid w:val="00FC47A9"/>
    <w:rsid w:val="00FC6631"/>
    <w:rsid w:val="00FC71E9"/>
    <w:rsid w:val="00FC7673"/>
    <w:rsid w:val="00FC7C41"/>
    <w:rsid w:val="00FD08C9"/>
    <w:rsid w:val="00FD0B67"/>
    <w:rsid w:val="00FD110A"/>
    <w:rsid w:val="00FD2D48"/>
    <w:rsid w:val="00FD3467"/>
    <w:rsid w:val="00FD34E6"/>
    <w:rsid w:val="00FD3799"/>
    <w:rsid w:val="00FD3C0D"/>
    <w:rsid w:val="00FD45EA"/>
    <w:rsid w:val="00FD7DC7"/>
    <w:rsid w:val="00FE14A9"/>
    <w:rsid w:val="00FE1BE6"/>
    <w:rsid w:val="00FE3348"/>
    <w:rsid w:val="00FE3F7C"/>
    <w:rsid w:val="00FE46F5"/>
    <w:rsid w:val="00FE486E"/>
    <w:rsid w:val="00FE6080"/>
    <w:rsid w:val="00FE6E3B"/>
    <w:rsid w:val="00FF003D"/>
    <w:rsid w:val="00FF0321"/>
    <w:rsid w:val="00FF0A63"/>
    <w:rsid w:val="00FF1252"/>
    <w:rsid w:val="00FF16EB"/>
    <w:rsid w:val="00FF1F5D"/>
    <w:rsid w:val="00FF2039"/>
    <w:rsid w:val="00FF218E"/>
    <w:rsid w:val="00FF2CFC"/>
    <w:rsid w:val="00FF340B"/>
    <w:rsid w:val="00FF38E1"/>
    <w:rsid w:val="00FF3DB7"/>
    <w:rsid w:val="00FF4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CE601E3"/>
  <w15:docId w15:val="{DFA26BED-1E1B-4362-A642-C16C8114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5FB5"/>
    <w:rPr>
      <w:rFonts w:ascii="Arial" w:hAnsi="Arial"/>
      <w:sz w:val="24"/>
      <w:lang w:eastAsia="en-US"/>
    </w:rPr>
  </w:style>
  <w:style w:type="paragraph" w:styleId="Heading1">
    <w:name w:val="heading 1"/>
    <w:basedOn w:val="Normal"/>
    <w:next w:val="Normal"/>
    <w:link w:val="Heading1Char"/>
    <w:qFormat/>
    <w:rsid w:val="00967B87"/>
    <w:pPr>
      <w:keepNext/>
      <w:numPr>
        <w:numId w:val="1"/>
      </w:numPr>
      <w:shd w:val="clear" w:color="auto" w:fill="FFFFFF" w:themeFill="background1"/>
      <w:spacing w:before="240" w:after="60"/>
      <w:outlineLvl w:val="0"/>
    </w:pPr>
    <w:rPr>
      <w:rFonts w:ascii="Arial Bold" w:hAnsi="Arial Bold" w:cs="Arial"/>
      <w:b/>
      <w:bCs/>
      <w:color w:val="365F91" w:themeColor="accent1" w:themeShade="BF"/>
      <w:kern w:val="32"/>
      <w:sz w:val="32"/>
      <w:szCs w:val="32"/>
    </w:rPr>
  </w:style>
  <w:style w:type="paragraph" w:styleId="Heading2">
    <w:name w:val="heading 2"/>
    <w:basedOn w:val="Normal"/>
    <w:next w:val="Normal"/>
    <w:link w:val="Heading2Char"/>
    <w:qFormat/>
    <w:rsid w:val="00D76755"/>
    <w:pPr>
      <w:keepNext/>
      <w:shd w:val="clear" w:color="auto" w:fill="B3B3B3"/>
      <w:spacing w:before="240" w:after="60"/>
      <w:outlineLvl w:val="1"/>
    </w:pPr>
    <w:rPr>
      <w:rFonts w:cs="Arial"/>
      <w:b/>
      <w:bCs/>
      <w:iCs/>
      <w:sz w:val="28"/>
      <w:szCs w:val="28"/>
    </w:rPr>
  </w:style>
  <w:style w:type="paragraph" w:styleId="Heading3">
    <w:name w:val="heading 3"/>
    <w:basedOn w:val="Normal"/>
    <w:next w:val="Normal"/>
    <w:qFormat/>
    <w:rsid w:val="00A64115"/>
    <w:pPr>
      <w:keepNext/>
      <w:tabs>
        <w:tab w:val="num" w:pos="720"/>
      </w:tabs>
      <w:ind w:left="720" w:hanging="432"/>
      <w:jc w:val="center"/>
      <w:outlineLvl w:val="2"/>
    </w:pPr>
    <w:rPr>
      <w:b/>
      <w:color w:val="0000FF"/>
    </w:rPr>
  </w:style>
  <w:style w:type="paragraph" w:styleId="Heading4">
    <w:name w:val="heading 4"/>
    <w:basedOn w:val="Normal"/>
    <w:next w:val="Normal"/>
    <w:qFormat/>
    <w:rsid w:val="00A64115"/>
    <w:pPr>
      <w:keepNext/>
      <w:tabs>
        <w:tab w:val="num" w:pos="864"/>
      </w:tabs>
      <w:ind w:left="864" w:hanging="144"/>
      <w:jc w:val="center"/>
      <w:outlineLvl w:val="3"/>
    </w:pPr>
    <w:rPr>
      <w:b/>
    </w:rPr>
  </w:style>
  <w:style w:type="paragraph" w:styleId="Heading5">
    <w:name w:val="heading 5"/>
    <w:basedOn w:val="Normal"/>
    <w:next w:val="Normal"/>
    <w:qFormat/>
    <w:rsid w:val="00A64115"/>
    <w:pPr>
      <w:keepNext/>
      <w:tabs>
        <w:tab w:val="num" w:pos="1008"/>
      </w:tabs>
      <w:ind w:left="1008" w:hanging="432"/>
      <w:jc w:val="center"/>
      <w:outlineLvl w:val="4"/>
    </w:pPr>
    <w:rPr>
      <w:b/>
    </w:rPr>
  </w:style>
  <w:style w:type="paragraph" w:styleId="Heading6">
    <w:name w:val="heading 6"/>
    <w:basedOn w:val="Normal"/>
    <w:next w:val="Normal"/>
    <w:qFormat/>
    <w:rsid w:val="00A64115"/>
    <w:pPr>
      <w:keepNext/>
      <w:tabs>
        <w:tab w:val="num" w:pos="1152"/>
      </w:tabs>
      <w:ind w:left="1152" w:hanging="432"/>
      <w:jc w:val="center"/>
      <w:outlineLvl w:val="5"/>
    </w:pPr>
    <w:rPr>
      <w:color w:val="FFFFFF"/>
    </w:rPr>
  </w:style>
  <w:style w:type="paragraph" w:styleId="Heading7">
    <w:name w:val="heading 7"/>
    <w:basedOn w:val="Normal"/>
    <w:next w:val="Normal"/>
    <w:qFormat/>
    <w:rsid w:val="00A64115"/>
    <w:pPr>
      <w:keepNext/>
      <w:tabs>
        <w:tab w:val="num" w:pos="1296"/>
      </w:tabs>
      <w:ind w:left="1296" w:hanging="288"/>
      <w:jc w:val="center"/>
      <w:outlineLvl w:val="6"/>
    </w:pPr>
    <w:rPr>
      <w:b/>
      <w:color w:val="FFFFFF"/>
    </w:rPr>
  </w:style>
  <w:style w:type="paragraph" w:styleId="Heading8">
    <w:name w:val="heading 8"/>
    <w:basedOn w:val="Normal"/>
    <w:next w:val="Normal"/>
    <w:qFormat/>
    <w:rsid w:val="00A64115"/>
    <w:pPr>
      <w:keepNext/>
      <w:tabs>
        <w:tab w:val="num" w:pos="1440"/>
      </w:tabs>
      <w:ind w:left="1440" w:hanging="432"/>
      <w:outlineLvl w:val="7"/>
    </w:pPr>
    <w:rPr>
      <w:lang w:val="en-US"/>
    </w:rPr>
  </w:style>
  <w:style w:type="paragraph" w:styleId="Heading9">
    <w:name w:val="heading 9"/>
    <w:basedOn w:val="Normal"/>
    <w:next w:val="Normal"/>
    <w:qFormat/>
    <w:rsid w:val="00A64115"/>
    <w:pPr>
      <w:keepNext/>
      <w:tabs>
        <w:tab w:val="num" w:pos="1584"/>
      </w:tabs>
      <w:ind w:left="1584" w:hanging="144"/>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D3804"/>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1D1CF4"/>
    <w:pPr>
      <w:tabs>
        <w:tab w:val="center" w:pos="4320"/>
        <w:tab w:val="right" w:pos="8640"/>
      </w:tabs>
    </w:pPr>
  </w:style>
  <w:style w:type="paragraph" w:styleId="Footer">
    <w:name w:val="footer"/>
    <w:basedOn w:val="Normal"/>
    <w:link w:val="FooterChar"/>
    <w:rsid w:val="001D1CF4"/>
    <w:pPr>
      <w:tabs>
        <w:tab w:val="center" w:pos="4320"/>
        <w:tab w:val="right" w:pos="8640"/>
      </w:tabs>
    </w:pPr>
  </w:style>
  <w:style w:type="paragraph" w:customStyle="1" w:styleId="Char">
    <w:name w:val="Char"/>
    <w:basedOn w:val="Normal"/>
    <w:rsid w:val="006C29D6"/>
    <w:pPr>
      <w:numPr>
        <w:ilvl w:val="3"/>
        <w:numId w:val="6"/>
      </w:numPr>
      <w:spacing w:after="160" w:line="240" w:lineRule="exact"/>
    </w:pPr>
    <w:rPr>
      <w:lang w:val="en-US"/>
    </w:rPr>
  </w:style>
  <w:style w:type="table" w:styleId="TableGrid">
    <w:name w:val="Table Grid"/>
    <w:basedOn w:val="TableNormal"/>
    <w:uiPriority w:val="59"/>
    <w:rsid w:val="001D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PatternClear">
    <w:name w:val="Style Heading 1 + Pattern: Clear"/>
    <w:basedOn w:val="Heading1"/>
    <w:rsid w:val="001D1CF4"/>
    <w:pPr>
      <w:shd w:val="clear" w:color="auto" w:fill="auto"/>
    </w:pPr>
    <w:rPr>
      <w:rFonts w:cs="Times New Roman"/>
      <w:sz w:val="22"/>
      <w:szCs w:val="20"/>
    </w:rPr>
  </w:style>
  <w:style w:type="paragraph" w:styleId="TOC2">
    <w:name w:val="toc 2"/>
    <w:basedOn w:val="Normal"/>
    <w:next w:val="Normal"/>
    <w:autoRedefine/>
    <w:semiHidden/>
    <w:rsid w:val="00F96985"/>
    <w:pPr>
      <w:spacing w:before="240"/>
    </w:pPr>
    <w:rPr>
      <w:rFonts w:ascii="Times New Roman" w:hAnsi="Times New Roman"/>
      <w:b/>
      <w:bCs/>
      <w:sz w:val="20"/>
    </w:rPr>
  </w:style>
  <w:style w:type="paragraph" w:styleId="TOC1">
    <w:name w:val="toc 1"/>
    <w:basedOn w:val="Normal"/>
    <w:next w:val="Normal"/>
    <w:autoRedefine/>
    <w:uiPriority w:val="39"/>
    <w:rsid w:val="00F96985"/>
    <w:pPr>
      <w:spacing w:before="360"/>
    </w:pPr>
    <w:rPr>
      <w:rFonts w:cs="Arial"/>
      <w:b/>
      <w:bCs/>
      <w:caps/>
      <w:szCs w:val="24"/>
    </w:rPr>
  </w:style>
  <w:style w:type="character" w:styleId="Hyperlink">
    <w:name w:val="Hyperlink"/>
    <w:uiPriority w:val="99"/>
    <w:rsid w:val="00F96985"/>
    <w:rPr>
      <w:rFonts w:ascii="Arial" w:hAnsi="Arial"/>
      <w:color w:val="0000FF"/>
      <w:sz w:val="22"/>
      <w:u w:val="single"/>
      <w:lang w:val="en-US" w:eastAsia="en-US" w:bidi="ar-SA"/>
    </w:rPr>
  </w:style>
  <w:style w:type="paragraph" w:styleId="TOC3">
    <w:name w:val="toc 3"/>
    <w:basedOn w:val="Normal"/>
    <w:next w:val="Normal"/>
    <w:autoRedefine/>
    <w:semiHidden/>
    <w:rsid w:val="00F96985"/>
    <w:pPr>
      <w:ind w:left="220"/>
    </w:pPr>
    <w:rPr>
      <w:rFonts w:ascii="Times New Roman" w:hAnsi="Times New Roman"/>
      <w:sz w:val="20"/>
    </w:rPr>
  </w:style>
  <w:style w:type="paragraph" w:styleId="TOC4">
    <w:name w:val="toc 4"/>
    <w:basedOn w:val="Normal"/>
    <w:next w:val="Normal"/>
    <w:autoRedefine/>
    <w:semiHidden/>
    <w:rsid w:val="00F96985"/>
    <w:pPr>
      <w:ind w:left="440"/>
    </w:pPr>
    <w:rPr>
      <w:rFonts w:ascii="Times New Roman" w:hAnsi="Times New Roman"/>
      <w:sz w:val="20"/>
    </w:rPr>
  </w:style>
  <w:style w:type="paragraph" w:styleId="TOC5">
    <w:name w:val="toc 5"/>
    <w:basedOn w:val="Normal"/>
    <w:next w:val="Normal"/>
    <w:autoRedefine/>
    <w:semiHidden/>
    <w:rsid w:val="00F96985"/>
    <w:pPr>
      <w:ind w:left="660"/>
    </w:pPr>
    <w:rPr>
      <w:rFonts w:ascii="Times New Roman" w:hAnsi="Times New Roman"/>
      <w:sz w:val="20"/>
    </w:rPr>
  </w:style>
  <w:style w:type="paragraph" w:styleId="TOC6">
    <w:name w:val="toc 6"/>
    <w:basedOn w:val="Normal"/>
    <w:next w:val="Normal"/>
    <w:autoRedefine/>
    <w:semiHidden/>
    <w:rsid w:val="00F96985"/>
    <w:pPr>
      <w:ind w:left="880"/>
    </w:pPr>
    <w:rPr>
      <w:rFonts w:ascii="Times New Roman" w:hAnsi="Times New Roman"/>
      <w:sz w:val="20"/>
    </w:rPr>
  </w:style>
  <w:style w:type="paragraph" w:styleId="TOC7">
    <w:name w:val="toc 7"/>
    <w:basedOn w:val="Normal"/>
    <w:next w:val="Normal"/>
    <w:autoRedefine/>
    <w:semiHidden/>
    <w:rsid w:val="00F96985"/>
    <w:pPr>
      <w:ind w:left="1100"/>
    </w:pPr>
    <w:rPr>
      <w:rFonts w:ascii="Times New Roman" w:hAnsi="Times New Roman"/>
      <w:sz w:val="20"/>
    </w:rPr>
  </w:style>
  <w:style w:type="paragraph" w:styleId="TOC8">
    <w:name w:val="toc 8"/>
    <w:basedOn w:val="Normal"/>
    <w:next w:val="Normal"/>
    <w:autoRedefine/>
    <w:semiHidden/>
    <w:rsid w:val="00F96985"/>
    <w:pPr>
      <w:ind w:left="1320"/>
    </w:pPr>
    <w:rPr>
      <w:rFonts w:ascii="Times New Roman" w:hAnsi="Times New Roman"/>
      <w:sz w:val="20"/>
    </w:rPr>
  </w:style>
  <w:style w:type="paragraph" w:styleId="TOC9">
    <w:name w:val="toc 9"/>
    <w:basedOn w:val="Normal"/>
    <w:next w:val="Normal"/>
    <w:autoRedefine/>
    <w:semiHidden/>
    <w:rsid w:val="00F96985"/>
    <w:pPr>
      <w:ind w:left="1540"/>
    </w:pPr>
    <w:rPr>
      <w:rFonts w:ascii="Times New Roman" w:hAnsi="Times New Roman"/>
      <w:sz w:val="20"/>
    </w:rPr>
  </w:style>
  <w:style w:type="numbering" w:customStyle="1" w:styleId="StyleOutlinenumbered">
    <w:name w:val="Style Outline numbered"/>
    <w:basedOn w:val="NoList"/>
    <w:rsid w:val="00EC69A1"/>
    <w:pPr>
      <w:numPr>
        <w:numId w:val="2"/>
      </w:numPr>
    </w:pPr>
  </w:style>
  <w:style w:type="paragraph" w:customStyle="1" w:styleId="Char1">
    <w:name w:val="Char1"/>
    <w:basedOn w:val="Normal"/>
    <w:rsid w:val="006C29D6"/>
    <w:pPr>
      <w:spacing w:after="160" w:line="240" w:lineRule="exact"/>
    </w:pPr>
    <w:rPr>
      <w:rFonts w:ascii="Verdana" w:hAnsi="Verdana"/>
      <w:sz w:val="20"/>
      <w:lang w:val="en-US"/>
    </w:rPr>
  </w:style>
  <w:style w:type="paragraph" w:customStyle="1" w:styleId="Default">
    <w:name w:val="Default"/>
    <w:rsid w:val="006C29D6"/>
    <w:pPr>
      <w:widowControl w:val="0"/>
      <w:autoSpaceDE w:val="0"/>
      <w:autoSpaceDN w:val="0"/>
      <w:adjustRightInd w:val="0"/>
    </w:pPr>
    <w:rPr>
      <w:rFonts w:ascii="Arial" w:hAnsi="Arial" w:cs="Arial"/>
      <w:color w:val="000000"/>
      <w:sz w:val="24"/>
      <w:szCs w:val="24"/>
      <w:lang w:val="en-US" w:eastAsia="en-US"/>
    </w:rPr>
  </w:style>
  <w:style w:type="character" w:styleId="PageNumber">
    <w:name w:val="page number"/>
    <w:basedOn w:val="DefaultParagraphFont"/>
    <w:rsid w:val="00A64115"/>
    <w:rPr>
      <w:rFonts w:ascii="Arial" w:hAnsi="Arial"/>
      <w:sz w:val="22"/>
      <w:lang w:val="en-US" w:eastAsia="en-US" w:bidi="ar-SA"/>
    </w:rPr>
  </w:style>
  <w:style w:type="paragraph" w:styleId="BodyText">
    <w:name w:val="Body Text"/>
    <w:basedOn w:val="Normal"/>
    <w:rsid w:val="00A64115"/>
  </w:style>
  <w:style w:type="paragraph" w:styleId="BodyTextIndent">
    <w:name w:val="Body Text Indent"/>
    <w:basedOn w:val="Normal"/>
    <w:rsid w:val="00A64115"/>
    <w:pPr>
      <w:ind w:left="720" w:hanging="720"/>
    </w:pPr>
    <w:rPr>
      <w:rFonts w:cs="Arial"/>
    </w:rPr>
  </w:style>
  <w:style w:type="paragraph" w:styleId="BodyTextIndent2">
    <w:name w:val="Body Text Indent 2"/>
    <w:basedOn w:val="Normal"/>
    <w:rsid w:val="00A64115"/>
    <w:pPr>
      <w:ind w:left="720"/>
    </w:pPr>
    <w:rPr>
      <w:rFonts w:cs="Arial"/>
    </w:rPr>
  </w:style>
  <w:style w:type="paragraph" w:styleId="BodyTextIndent3">
    <w:name w:val="Body Text Indent 3"/>
    <w:basedOn w:val="Normal"/>
    <w:rsid w:val="00A64115"/>
    <w:pPr>
      <w:ind w:left="720"/>
    </w:pPr>
    <w:rPr>
      <w:rFonts w:cs="Arial"/>
      <w:b/>
    </w:rPr>
  </w:style>
  <w:style w:type="paragraph" w:styleId="BodyText2">
    <w:name w:val="Body Text 2"/>
    <w:basedOn w:val="Normal"/>
    <w:rsid w:val="00A64115"/>
    <w:pPr>
      <w:shd w:val="solid" w:color="auto" w:fill="auto"/>
      <w:jc w:val="center"/>
    </w:pPr>
    <w:rPr>
      <w:b/>
      <w:sz w:val="36"/>
    </w:rPr>
  </w:style>
  <w:style w:type="paragraph" w:styleId="Title">
    <w:name w:val="Title"/>
    <w:basedOn w:val="Normal"/>
    <w:link w:val="TitleChar"/>
    <w:qFormat/>
    <w:rsid w:val="00A64115"/>
    <w:pPr>
      <w:jc w:val="center"/>
    </w:pPr>
    <w:rPr>
      <w:b/>
    </w:rPr>
  </w:style>
  <w:style w:type="paragraph" w:styleId="DocumentMap">
    <w:name w:val="Document Map"/>
    <w:basedOn w:val="Normal"/>
    <w:semiHidden/>
    <w:rsid w:val="00A64115"/>
    <w:pPr>
      <w:shd w:val="clear" w:color="auto" w:fill="000080"/>
    </w:pPr>
    <w:rPr>
      <w:rFonts w:ascii="Tahoma" w:hAnsi="Tahoma"/>
    </w:rPr>
  </w:style>
  <w:style w:type="paragraph" w:styleId="BodyText3">
    <w:name w:val="Body Text 3"/>
    <w:basedOn w:val="Normal"/>
    <w:rsid w:val="00A64115"/>
    <w:rPr>
      <w:b/>
      <w:color w:val="FFFFFF"/>
    </w:rPr>
  </w:style>
  <w:style w:type="paragraph" w:styleId="NormalWeb">
    <w:name w:val="Normal (Web)"/>
    <w:basedOn w:val="Normal"/>
    <w:rsid w:val="00A64115"/>
    <w:pPr>
      <w:spacing w:before="100" w:beforeAutospacing="1" w:after="100" w:afterAutospacing="1"/>
    </w:pPr>
    <w:rPr>
      <w:rFonts w:cs="Arial"/>
      <w:color w:val="000000"/>
      <w:sz w:val="18"/>
      <w:szCs w:val="18"/>
    </w:rPr>
  </w:style>
  <w:style w:type="paragraph" w:styleId="FootnoteText">
    <w:name w:val="footnote text"/>
    <w:basedOn w:val="Normal"/>
    <w:semiHidden/>
    <w:rsid w:val="00A64115"/>
  </w:style>
  <w:style w:type="character" w:styleId="FootnoteReference">
    <w:name w:val="footnote reference"/>
    <w:semiHidden/>
    <w:rsid w:val="00A64115"/>
    <w:rPr>
      <w:rFonts w:ascii="Arial" w:hAnsi="Arial"/>
      <w:sz w:val="22"/>
      <w:vertAlign w:val="superscript"/>
      <w:lang w:val="en-US" w:eastAsia="en-US" w:bidi="ar-SA"/>
    </w:rPr>
  </w:style>
  <w:style w:type="character" w:styleId="FollowedHyperlink">
    <w:name w:val="FollowedHyperlink"/>
    <w:rsid w:val="00A64115"/>
    <w:rPr>
      <w:rFonts w:ascii="Arial" w:hAnsi="Arial"/>
      <w:color w:val="800080"/>
      <w:sz w:val="22"/>
      <w:u w:val="single"/>
      <w:lang w:val="en-US" w:eastAsia="en-US" w:bidi="ar-SA"/>
    </w:rPr>
  </w:style>
  <w:style w:type="paragraph" w:styleId="BlockText">
    <w:name w:val="Block Text"/>
    <w:basedOn w:val="Normal"/>
    <w:rsid w:val="00A64115"/>
    <w:pPr>
      <w:ind w:left="360" w:right="44" w:hanging="300"/>
    </w:pPr>
  </w:style>
  <w:style w:type="paragraph" w:styleId="BalloonText">
    <w:name w:val="Balloon Text"/>
    <w:basedOn w:val="Normal"/>
    <w:semiHidden/>
    <w:rsid w:val="00A64115"/>
    <w:rPr>
      <w:rFonts w:ascii="Tahoma" w:hAnsi="Tahoma" w:cs="Tahoma"/>
      <w:sz w:val="16"/>
      <w:szCs w:val="16"/>
    </w:rPr>
  </w:style>
  <w:style w:type="numbering" w:customStyle="1" w:styleId="StyleStyleOutlinenumberedOutlinenumbered">
    <w:name w:val="Style Style Outline numbered + Outline numbered"/>
    <w:basedOn w:val="NoList"/>
    <w:rsid w:val="00A64115"/>
    <w:pPr>
      <w:numPr>
        <w:numId w:val="3"/>
      </w:numPr>
    </w:pPr>
  </w:style>
  <w:style w:type="character" w:styleId="CommentReference">
    <w:name w:val="annotation reference"/>
    <w:semiHidden/>
    <w:rsid w:val="00A64115"/>
    <w:rPr>
      <w:rFonts w:ascii="Arial" w:hAnsi="Arial"/>
      <w:sz w:val="16"/>
      <w:szCs w:val="16"/>
      <w:lang w:val="en-US" w:eastAsia="en-US" w:bidi="ar-SA"/>
    </w:rPr>
  </w:style>
  <w:style w:type="paragraph" w:styleId="CommentText">
    <w:name w:val="annotation text"/>
    <w:basedOn w:val="Normal"/>
    <w:semiHidden/>
    <w:rsid w:val="00A64115"/>
    <w:rPr>
      <w:sz w:val="20"/>
    </w:rPr>
  </w:style>
  <w:style w:type="paragraph" w:styleId="CommentSubject">
    <w:name w:val="annotation subject"/>
    <w:basedOn w:val="CommentText"/>
    <w:next w:val="CommentText"/>
    <w:semiHidden/>
    <w:rsid w:val="00A64115"/>
    <w:rPr>
      <w:b/>
      <w:bCs/>
    </w:rPr>
  </w:style>
  <w:style w:type="paragraph" w:customStyle="1" w:styleId="DefaultParagraphFontParaCharCharCharCharCharCharCharCharCharCharCharCharCharCharChar1CharCharCharCharCharCharCharCharChar1CharCharCharCharCharCharCharCharCharChar">
    <w:name w:val="Default Paragraph Font Para Char Char Char Char Char Char Char Char Char Char Char Char Char Char Char1 Char Char Char Char Char Char Char Char Char1 Char Char Char Char Char Char Char Char Char Char"/>
    <w:basedOn w:val="Normal"/>
    <w:rsid w:val="00A64115"/>
    <w:pPr>
      <w:spacing w:after="160" w:line="240" w:lineRule="exact"/>
    </w:pPr>
    <w:rPr>
      <w:rFonts w:ascii="Verdana" w:hAnsi="Verdana"/>
      <w:sz w:val="20"/>
      <w:lang w:val="en-US"/>
    </w:rPr>
  </w:style>
  <w:style w:type="table" w:styleId="TableWeb2">
    <w:name w:val="Table Web 2"/>
    <w:basedOn w:val="TableNormal"/>
    <w:rsid w:val="00A64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TimesNewRomanItalicCenteredLinespacingDouble">
    <w:name w:val="Style Times New Roman Italic Centered Line spacing:  Double"/>
    <w:basedOn w:val="Normal"/>
    <w:rsid w:val="00A64115"/>
    <w:pPr>
      <w:jc w:val="center"/>
    </w:pPr>
    <w:rPr>
      <w:rFonts w:ascii="Times New Roman" w:hAnsi="Times New Roman"/>
      <w:i/>
      <w:iCs/>
    </w:rPr>
  </w:style>
  <w:style w:type="character" w:customStyle="1" w:styleId="Heading1Char">
    <w:name w:val="Heading 1 Char"/>
    <w:link w:val="Heading1"/>
    <w:rsid w:val="00967B87"/>
    <w:rPr>
      <w:rFonts w:ascii="Arial Bold" w:hAnsi="Arial Bold" w:cs="Arial"/>
      <w:b/>
      <w:bCs/>
      <w:color w:val="365F91" w:themeColor="accent1" w:themeShade="BF"/>
      <w:kern w:val="32"/>
      <w:sz w:val="32"/>
      <w:szCs w:val="32"/>
      <w:shd w:val="clear" w:color="auto" w:fill="FFFFFF" w:themeFill="background1"/>
      <w:lang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9E5BB1"/>
    <w:pPr>
      <w:ind w:left="720"/>
    </w:pPr>
  </w:style>
  <w:style w:type="character" w:customStyle="1" w:styleId="Heading2Char">
    <w:name w:val="Heading 2 Char"/>
    <w:link w:val="Heading2"/>
    <w:rsid w:val="008E70B1"/>
    <w:rPr>
      <w:rFonts w:ascii="Arial" w:hAnsi="Arial" w:cs="Arial"/>
      <w:b/>
      <w:bCs/>
      <w:iCs/>
      <w:sz w:val="28"/>
      <w:szCs w:val="28"/>
      <w:shd w:val="clear" w:color="auto" w:fill="B3B3B3"/>
      <w:lang w:eastAsia="en-US"/>
    </w:rPr>
  </w:style>
  <w:style w:type="character" w:customStyle="1" w:styleId="HeaderChar">
    <w:name w:val="Header Char"/>
    <w:link w:val="Header"/>
    <w:uiPriority w:val="99"/>
    <w:rsid w:val="008E70B1"/>
    <w:rPr>
      <w:rFonts w:ascii="Arial" w:hAnsi="Arial"/>
      <w:sz w:val="24"/>
      <w:lang w:eastAsia="en-US"/>
    </w:rPr>
  </w:style>
  <w:style w:type="character" w:styleId="Strong">
    <w:name w:val="Strong"/>
    <w:aliases w:val="Table text"/>
    <w:qFormat/>
    <w:rsid w:val="00281441"/>
    <w:rPr>
      <w:rFonts w:ascii="Arial" w:hAnsi="Arial"/>
      <w:b w:val="0"/>
      <w:bCs/>
      <w:i w:val="0"/>
      <w:sz w:val="20"/>
      <w:lang w:val="en-US" w:eastAsia="en-US" w:bidi="ar-SA"/>
    </w:rPr>
  </w:style>
  <w:style w:type="character" w:customStyle="1" w:styleId="FooterChar">
    <w:name w:val="Footer Char"/>
    <w:link w:val="Footer"/>
    <w:rsid w:val="00A41F5D"/>
    <w:rPr>
      <w:rFonts w:ascii="Arial" w:hAnsi="Arial"/>
      <w:sz w:val="24"/>
      <w:lang w:eastAsia="en-US"/>
    </w:rPr>
  </w:style>
  <w:style w:type="character" w:styleId="PlaceholderText">
    <w:name w:val="Placeholder Text"/>
    <w:basedOn w:val="DefaultParagraphFont"/>
    <w:uiPriority w:val="99"/>
    <w:semiHidden/>
    <w:rsid w:val="0060005E"/>
    <w:rPr>
      <w:rFonts w:ascii="Arial" w:hAnsi="Arial"/>
      <w:color w:val="808080"/>
      <w:sz w:val="22"/>
      <w:lang w:val="en-US" w:eastAsia="en-US" w:bidi="ar-SA"/>
    </w:rPr>
  </w:style>
  <w:style w:type="table" w:styleId="LightList-Accent5">
    <w:name w:val="Light List Accent 5"/>
    <w:basedOn w:val="TableNormal"/>
    <w:uiPriority w:val="61"/>
    <w:rsid w:val="0042278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TitleChar">
    <w:name w:val="Title Char"/>
    <w:basedOn w:val="DefaultParagraphFont"/>
    <w:link w:val="Title"/>
    <w:rsid w:val="00422783"/>
    <w:rPr>
      <w:rFonts w:ascii="Arial" w:hAnsi="Arial"/>
      <w:b/>
      <w:sz w:val="24"/>
      <w:lang w:eastAsia="en-US"/>
    </w:rPr>
  </w:style>
  <w:style w:type="character" w:customStyle="1" w:styleId="Style1">
    <w:name w:val="Style1"/>
    <w:basedOn w:val="DefaultParagraphFont"/>
    <w:uiPriority w:val="1"/>
    <w:rsid w:val="00242E74"/>
    <w:rPr>
      <w:rFonts w:ascii="Arial" w:hAnsi="Arial"/>
      <w:b/>
      <w:sz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38495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5972">
      <w:bodyDiv w:val="1"/>
      <w:marLeft w:val="0"/>
      <w:marRight w:val="0"/>
      <w:marTop w:val="0"/>
      <w:marBottom w:val="0"/>
      <w:divBdr>
        <w:top w:val="none" w:sz="0" w:space="0" w:color="auto"/>
        <w:left w:val="none" w:sz="0" w:space="0" w:color="auto"/>
        <w:bottom w:val="none" w:sz="0" w:space="0" w:color="auto"/>
        <w:right w:val="none" w:sz="0" w:space="0" w:color="auto"/>
      </w:divBdr>
    </w:div>
    <w:div w:id="1500266643">
      <w:bodyDiv w:val="1"/>
      <w:marLeft w:val="0"/>
      <w:marRight w:val="0"/>
      <w:marTop w:val="0"/>
      <w:marBottom w:val="0"/>
      <w:divBdr>
        <w:top w:val="none" w:sz="0" w:space="0" w:color="auto"/>
        <w:left w:val="none" w:sz="0" w:space="0" w:color="auto"/>
        <w:bottom w:val="none" w:sz="0" w:space="0" w:color="auto"/>
        <w:right w:val="none" w:sz="0" w:space="0" w:color="auto"/>
      </w:divBdr>
    </w:div>
    <w:div w:id="203707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045444EE4E48FDA0242752427E9419"/>
        <w:category>
          <w:name w:val="General"/>
          <w:gallery w:val="placeholder"/>
        </w:category>
        <w:types>
          <w:type w:val="bbPlcHdr"/>
        </w:types>
        <w:behaviors>
          <w:behavior w:val="content"/>
        </w:behaviors>
        <w:guid w:val="{07292156-4888-47FF-8E27-3525B2C59068}"/>
      </w:docPartPr>
      <w:docPartBody>
        <w:p w:rsidR="00B84357" w:rsidRDefault="00EA4A62" w:rsidP="00EA4A62">
          <w:pPr>
            <w:pStyle w:val="AC045444EE4E48FDA0242752427E9419"/>
          </w:pPr>
          <w:r w:rsidRPr="00C0744A">
            <w:rPr>
              <w:rStyle w:val="PlaceholderText"/>
              <w:sz w:val="32"/>
              <w:szCs w:val="32"/>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62"/>
    <w:rsid w:val="001644BE"/>
    <w:rsid w:val="003951A2"/>
    <w:rsid w:val="004570AB"/>
    <w:rsid w:val="00B84357"/>
    <w:rsid w:val="00EA4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A62"/>
    <w:rPr>
      <w:rFonts w:ascii="Arial" w:hAnsi="Arial"/>
      <w:color w:val="808080"/>
      <w:sz w:val="22"/>
      <w:lang w:val="en-US" w:eastAsia="en-US" w:bidi="ar-SA"/>
    </w:rPr>
  </w:style>
  <w:style w:type="paragraph" w:customStyle="1" w:styleId="AC045444EE4E48FDA0242752427E9419">
    <w:name w:val="AC045444EE4E48FDA0242752427E9419"/>
    <w:rsid w:val="00EA4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46649761FE549B3791524423E52FC" ma:contentTypeVersion="0" ma:contentTypeDescription="Create a new document." ma:contentTypeScope="" ma:versionID="0d8273c1915cc74c18213e8952bf1c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573CD-162B-4367-980E-1A0251220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39F984-CDC2-412D-9B44-8E4928E6CA2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47477C8-4E21-4B08-88E9-85494467C87D}">
  <ds:schemaRefs>
    <ds:schemaRef ds:uri="http://schemas.microsoft.com/sharepoint/v3/contenttype/forms"/>
  </ds:schemaRefs>
</ds:datastoreItem>
</file>

<file path=customXml/itemProps4.xml><?xml version="1.0" encoding="utf-8"?>
<ds:datastoreItem xmlns:ds="http://schemas.openxmlformats.org/officeDocument/2006/customXml" ds:itemID="{736D4340-2577-4536-9FE5-5725BD2D1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2159</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Edition No:</vt:lpstr>
    </vt:vector>
  </TitlesOfParts>
  <Company>Kent &amp; Medway HIS</Company>
  <LinksUpToDate>false</LinksUpToDate>
  <CharactersWithSpaces>14438</CharactersWithSpaces>
  <SharedDoc>false</SharedDoc>
  <HLinks>
    <vt:vector size="78" baseType="variant">
      <vt:variant>
        <vt:i4>7209021</vt:i4>
      </vt:variant>
      <vt:variant>
        <vt:i4>66</vt:i4>
      </vt:variant>
      <vt:variant>
        <vt:i4>0</vt:i4>
      </vt:variant>
      <vt:variant>
        <vt:i4>5</vt:i4>
      </vt:variant>
      <vt:variant>
        <vt:lpwstr>http://www.medway.nhs.uk/our-foundation-trust/publications/equality-and-diversity/equality-impact-assessments/</vt:lpwstr>
      </vt:variant>
      <vt:variant>
        <vt:lpwstr/>
      </vt:variant>
      <vt:variant>
        <vt:i4>1966133</vt:i4>
      </vt:variant>
      <vt:variant>
        <vt:i4>59</vt:i4>
      </vt:variant>
      <vt:variant>
        <vt:i4>0</vt:i4>
      </vt:variant>
      <vt:variant>
        <vt:i4>5</vt:i4>
      </vt:variant>
      <vt:variant>
        <vt:lpwstr/>
      </vt:variant>
      <vt:variant>
        <vt:lpwstr>_Toc450729326</vt:lpwstr>
      </vt:variant>
      <vt:variant>
        <vt:i4>1966133</vt:i4>
      </vt:variant>
      <vt:variant>
        <vt:i4>53</vt:i4>
      </vt:variant>
      <vt:variant>
        <vt:i4>0</vt:i4>
      </vt:variant>
      <vt:variant>
        <vt:i4>5</vt:i4>
      </vt:variant>
      <vt:variant>
        <vt:lpwstr/>
      </vt:variant>
      <vt:variant>
        <vt:lpwstr>_Toc450729325</vt:lpwstr>
      </vt:variant>
      <vt:variant>
        <vt:i4>1966133</vt:i4>
      </vt:variant>
      <vt:variant>
        <vt:i4>47</vt:i4>
      </vt:variant>
      <vt:variant>
        <vt:i4>0</vt:i4>
      </vt:variant>
      <vt:variant>
        <vt:i4>5</vt:i4>
      </vt:variant>
      <vt:variant>
        <vt:lpwstr/>
      </vt:variant>
      <vt:variant>
        <vt:lpwstr>_Toc450729324</vt:lpwstr>
      </vt:variant>
      <vt:variant>
        <vt:i4>1966133</vt:i4>
      </vt:variant>
      <vt:variant>
        <vt:i4>41</vt:i4>
      </vt:variant>
      <vt:variant>
        <vt:i4>0</vt:i4>
      </vt:variant>
      <vt:variant>
        <vt:i4>5</vt:i4>
      </vt:variant>
      <vt:variant>
        <vt:lpwstr/>
      </vt:variant>
      <vt:variant>
        <vt:lpwstr>_Toc450729323</vt:lpwstr>
      </vt:variant>
      <vt:variant>
        <vt:i4>1966133</vt:i4>
      </vt:variant>
      <vt:variant>
        <vt:i4>35</vt:i4>
      </vt:variant>
      <vt:variant>
        <vt:i4>0</vt:i4>
      </vt:variant>
      <vt:variant>
        <vt:i4>5</vt:i4>
      </vt:variant>
      <vt:variant>
        <vt:lpwstr/>
      </vt:variant>
      <vt:variant>
        <vt:lpwstr>_Toc450729322</vt:lpwstr>
      </vt:variant>
      <vt:variant>
        <vt:i4>1966133</vt:i4>
      </vt:variant>
      <vt:variant>
        <vt:i4>29</vt:i4>
      </vt:variant>
      <vt:variant>
        <vt:i4>0</vt:i4>
      </vt:variant>
      <vt:variant>
        <vt:i4>5</vt:i4>
      </vt:variant>
      <vt:variant>
        <vt:lpwstr/>
      </vt:variant>
      <vt:variant>
        <vt:lpwstr>_Toc450729321</vt:lpwstr>
      </vt:variant>
      <vt:variant>
        <vt:i4>1966133</vt:i4>
      </vt:variant>
      <vt:variant>
        <vt:i4>23</vt:i4>
      </vt:variant>
      <vt:variant>
        <vt:i4>0</vt:i4>
      </vt:variant>
      <vt:variant>
        <vt:i4>5</vt:i4>
      </vt:variant>
      <vt:variant>
        <vt:lpwstr/>
      </vt:variant>
      <vt:variant>
        <vt:lpwstr>_Toc450729320</vt:lpwstr>
      </vt:variant>
      <vt:variant>
        <vt:i4>1900597</vt:i4>
      </vt:variant>
      <vt:variant>
        <vt:i4>17</vt:i4>
      </vt:variant>
      <vt:variant>
        <vt:i4>0</vt:i4>
      </vt:variant>
      <vt:variant>
        <vt:i4>5</vt:i4>
      </vt:variant>
      <vt:variant>
        <vt:lpwstr/>
      </vt:variant>
      <vt:variant>
        <vt:lpwstr>_Toc450729319</vt:lpwstr>
      </vt:variant>
      <vt:variant>
        <vt:i4>1900597</vt:i4>
      </vt:variant>
      <vt:variant>
        <vt:i4>11</vt:i4>
      </vt:variant>
      <vt:variant>
        <vt:i4>0</vt:i4>
      </vt:variant>
      <vt:variant>
        <vt:i4>5</vt:i4>
      </vt:variant>
      <vt:variant>
        <vt:lpwstr/>
      </vt:variant>
      <vt:variant>
        <vt:lpwstr>_Toc450729318</vt:lpwstr>
      </vt:variant>
      <vt:variant>
        <vt:i4>1900597</vt:i4>
      </vt:variant>
      <vt:variant>
        <vt:i4>5</vt:i4>
      </vt:variant>
      <vt:variant>
        <vt:i4>0</vt:i4>
      </vt:variant>
      <vt:variant>
        <vt:i4>5</vt:i4>
      </vt:variant>
      <vt:variant>
        <vt:lpwstr/>
      </vt:variant>
      <vt:variant>
        <vt:lpwstr>_Toc450729317</vt:lpwstr>
      </vt:variant>
      <vt:variant>
        <vt:i4>6946902</vt:i4>
      </vt:variant>
      <vt:variant>
        <vt:i4>2278</vt:i4>
      </vt:variant>
      <vt:variant>
        <vt:i4>1025</vt:i4>
      </vt:variant>
      <vt:variant>
        <vt:i4>1</vt:i4>
      </vt:variant>
      <vt:variant>
        <vt:lpwstr>cid:image009.png@01D1A146.572D8A40</vt:lpwstr>
      </vt:variant>
      <vt:variant>
        <vt:lpwstr/>
      </vt:variant>
      <vt:variant>
        <vt:i4>6946902</vt:i4>
      </vt:variant>
      <vt:variant>
        <vt:i4>-1</vt:i4>
      </vt:variant>
      <vt:variant>
        <vt:i4>2056</vt:i4>
      </vt:variant>
      <vt:variant>
        <vt:i4>1</vt:i4>
      </vt:variant>
      <vt:variant>
        <vt:lpwstr>cid:image009.png@01D1A146.572D8A40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Edition No:</dc:title>
  <dc:creator>Alana Almond</dc:creator>
  <cp:lastModifiedBy>Abby King</cp:lastModifiedBy>
  <cp:revision>2</cp:revision>
  <cp:lastPrinted>2007-07-05T10:17:00Z</cp:lastPrinted>
  <dcterms:created xsi:type="dcterms:W3CDTF">2024-03-15T16:21:00Z</dcterms:created>
  <dcterms:modified xsi:type="dcterms:W3CDTF">2024-03-15T16:21:00Z</dcterms:modified>
</cp:coreProperties>
</file>