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173E6B" w14:textId="77777777" w:rsidR="005101A9" w:rsidRPr="005101A9" w:rsidRDefault="005101A9" w:rsidP="005101A9">
      <w:pPr>
        <w:widowControl/>
        <w:spacing w:before="100" w:beforeAutospacing="1" w:after="100" w:afterAutospacing="1"/>
        <w:rPr>
          <w:rFonts w:ascii="Times New Roman" w:eastAsia="Times New Roman" w:hAnsi="Times New Roman" w:cs="Times New Roman"/>
          <w:sz w:val="24"/>
          <w:szCs w:val="24"/>
          <w:lang w:val="en-GB" w:eastAsia="en-GB"/>
        </w:rPr>
      </w:pPr>
      <w:r w:rsidRPr="005101A9">
        <w:rPr>
          <w:rFonts w:ascii="Times New Roman" w:eastAsia="Times New Roman" w:hAnsi="Times New Roman" w:cs="Times New Roman"/>
          <w:noProof/>
          <w:sz w:val="24"/>
          <w:szCs w:val="24"/>
          <w:lang w:val="en-GB" w:eastAsia="en-GB"/>
        </w:rPr>
        <w:drawing>
          <wp:anchor distT="0" distB="0" distL="114300" distR="114300" simplePos="0" relativeHeight="251819008" behindDoc="0" locked="0" layoutInCell="1" allowOverlap="1" wp14:anchorId="7364879F" wp14:editId="72B3D572">
            <wp:simplePos x="0" y="0"/>
            <wp:positionH relativeFrom="column">
              <wp:posOffset>-881769</wp:posOffset>
            </wp:positionH>
            <wp:positionV relativeFrom="page">
              <wp:posOffset>-82550</wp:posOffset>
            </wp:positionV>
            <wp:extent cx="7520305" cy="10634345"/>
            <wp:effectExtent l="0" t="0" r="4445" b="0"/>
            <wp:wrapNone/>
            <wp:docPr id="21" name="Picture 21" descr="Front page image for the MFT Annual Report 2024-25 - this is an image of a patient in a MRI machine, a clinical member of staff is stood by the machine and patient and is smi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na.Almond\Downloads\Annual Report cover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20305" cy="10634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C2753A" w14:textId="77777777" w:rsidR="00C8342C" w:rsidRDefault="00C8342C" w:rsidP="00E06452">
      <w:pPr>
        <w:spacing w:before="180" w:line="302" w:lineRule="auto"/>
        <w:ind w:left="-1418" w:right="465" w:hanging="4"/>
        <w:jc w:val="center"/>
        <w:rPr>
          <w:rFonts w:ascii="Arial" w:hAnsi="Arial" w:cs="Arial"/>
          <w:b/>
          <w:noProof/>
          <w:sz w:val="20"/>
          <w:szCs w:val="20"/>
          <w:highlight w:val="yellow"/>
          <w:lang w:val="en-GB" w:eastAsia="en-GB"/>
        </w:rPr>
      </w:pPr>
    </w:p>
    <w:p w14:paraId="3017EA31" w14:textId="77777777" w:rsidR="003E4311" w:rsidRDefault="003E4311">
      <w:pPr>
        <w:widowControl/>
        <w:spacing w:after="160" w:line="259" w:lineRule="auto"/>
        <w:rPr>
          <w:rFonts w:ascii="Arial" w:hAnsi="Arial" w:cs="Arial"/>
          <w:b/>
          <w:noProof/>
          <w:sz w:val="20"/>
          <w:szCs w:val="20"/>
          <w:highlight w:val="yellow"/>
          <w:lang w:val="en-GB" w:eastAsia="en-GB"/>
        </w:rPr>
      </w:pPr>
    </w:p>
    <w:p w14:paraId="20803584" w14:textId="77777777" w:rsidR="003E4311" w:rsidRDefault="003E4311">
      <w:pPr>
        <w:widowControl/>
        <w:spacing w:after="160" w:line="259" w:lineRule="auto"/>
        <w:rPr>
          <w:rFonts w:ascii="Arial" w:hAnsi="Arial" w:cs="Arial"/>
          <w:b/>
          <w:noProof/>
          <w:sz w:val="20"/>
          <w:szCs w:val="20"/>
          <w:highlight w:val="yellow"/>
          <w:lang w:val="en-GB" w:eastAsia="en-GB"/>
        </w:rPr>
      </w:pPr>
      <w:r>
        <w:rPr>
          <w:rFonts w:ascii="Arial" w:hAnsi="Arial" w:cs="Arial"/>
          <w:b/>
          <w:noProof/>
          <w:sz w:val="20"/>
          <w:szCs w:val="20"/>
          <w:highlight w:val="yellow"/>
          <w:lang w:val="en-GB" w:eastAsia="en-GB"/>
        </w:rPr>
        <w:br w:type="page"/>
      </w:r>
    </w:p>
    <w:p w14:paraId="7191C904" w14:textId="77777777" w:rsidR="00C8342C" w:rsidRDefault="00C8342C">
      <w:pPr>
        <w:widowControl/>
        <w:spacing w:after="160" w:line="259" w:lineRule="auto"/>
        <w:rPr>
          <w:rFonts w:ascii="Arial" w:hAnsi="Arial" w:cs="Arial"/>
          <w:b/>
          <w:noProof/>
          <w:sz w:val="20"/>
          <w:szCs w:val="20"/>
          <w:highlight w:val="yellow"/>
          <w:lang w:val="en-GB" w:eastAsia="en-GB"/>
        </w:rPr>
      </w:pPr>
      <w:r>
        <w:rPr>
          <w:rFonts w:ascii="Arial" w:hAnsi="Arial" w:cs="Arial"/>
          <w:b/>
          <w:noProof/>
          <w:sz w:val="20"/>
          <w:szCs w:val="20"/>
          <w:highlight w:val="yellow"/>
          <w:lang w:val="en-GB" w:eastAsia="en-GB"/>
        </w:rPr>
        <w:lastRenderedPageBreak/>
        <w:br w:type="page"/>
      </w:r>
    </w:p>
    <w:p w14:paraId="00D983E9" w14:textId="77777777" w:rsidR="00B60071" w:rsidRDefault="00B60071" w:rsidP="00E06452">
      <w:pPr>
        <w:spacing w:before="180" w:line="302" w:lineRule="auto"/>
        <w:ind w:left="-1418" w:right="465" w:hanging="4"/>
        <w:jc w:val="center"/>
        <w:rPr>
          <w:rFonts w:ascii="Arial" w:hAnsi="Arial" w:cs="Arial"/>
          <w:b/>
          <w:sz w:val="20"/>
          <w:szCs w:val="20"/>
          <w:lang w:val="en-GB"/>
        </w:rPr>
      </w:pPr>
    </w:p>
    <w:p w14:paraId="33A63306" w14:textId="77777777" w:rsidR="00B60071" w:rsidRDefault="00B60071" w:rsidP="00E06452">
      <w:pPr>
        <w:spacing w:before="180" w:line="302" w:lineRule="auto"/>
        <w:ind w:left="-1418" w:right="465" w:hanging="4"/>
        <w:jc w:val="center"/>
        <w:rPr>
          <w:rFonts w:ascii="Arial" w:hAnsi="Arial" w:cs="Arial"/>
          <w:b/>
          <w:sz w:val="20"/>
          <w:szCs w:val="20"/>
          <w:lang w:val="en-GB"/>
        </w:rPr>
      </w:pPr>
    </w:p>
    <w:p w14:paraId="0A003B8F" w14:textId="77777777" w:rsidR="00E06452" w:rsidRPr="00024E37" w:rsidRDefault="00331D7F" w:rsidP="00E06452">
      <w:pPr>
        <w:spacing w:before="180" w:line="302" w:lineRule="auto"/>
        <w:ind w:left="-1418" w:right="465" w:hanging="4"/>
        <w:jc w:val="center"/>
        <w:rPr>
          <w:rFonts w:ascii="Arial" w:hAnsi="Arial" w:cs="Arial"/>
          <w:b/>
          <w:sz w:val="20"/>
          <w:szCs w:val="20"/>
          <w:lang w:val="en-GB"/>
        </w:rPr>
      </w:pPr>
      <w:r w:rsidRPr="00331D7F">
        <w:rPr>
          <w:rFonts w:ascii="Arial" w:hAnsi="Arial" w:cs="Arial"/>
          <w:b/>
          <w:sz w:val="20"/>
          <w:szCs w:val="20"/>
          <w:lang w:val="en-GB"/>
        </w:rPr>
        <w:t xml:space="preserve"> </w:t>
      </w:r>
    </w:p>
    <w:p w14:paraId="45F99BC7" w14:textId="77777777" w:rsidR="000D7EA5" w:rsidRDefault="000D7EA5" w:rsidP="00E06452">
      <w:pPr>
        <w:widowControl/>
        <w:spacing w:after="160" w:line="259" w:lineRule="auto"/>
        <w:jc w:val="center"/>
        <w:rPr>
          <w:rFonts w:ascii="Arial" w:hAnsi="Arial" w:cs="Arial"/>
          <w:b/>
          <w:sz w:val="36"/>
          <w:szCs w:val="36"/>
          <w:lang w:val="en-GB"/>
        </w:rPr>
      </w:pPr>
    </w:p>
    <w:p w14:paraId="13D9F3AE" w14:textId="77777777" w:rsidR="000D7EA5" w:rsidRDefault="000D7EA5" w:rsidP="00E06452">
      <w:pPr>
        <w:widowControl/>
        <w:spacing w:after="160" w:line="259" w:lineRule="auto"/>
        <w:jc w:val="center"/>
        <w:rPr>
          <w:rFonts w:ascii="Arial" w:hAnsi="Arial" w:cs="Arial"/>
          <w:b/>
          <w:sz w:val="36"/>
          <w:szCs w:val="36"/>
          <w:lang w:val="en-GB"/>
        </w:rPr>
      </w:pPr>
    </w:p>
    <w:p w14:paraId="2B6615DB" w14:textId="77777777" w:rsidR="000D7EA5" w:rsidRDefault="000D7EA5" w:rsidP="00E06452">
      <w:pPr>
        <w:widowControl/>
        <w:spacing w:after="160" w:line="259" w:lineRule="auto"/>
        <w:jc w:val="center"/>
        <w:rPr>
          <w:rFonts w:ascii="Arial" w:hAnsi="Arial" w:cs="Arial"/>
          <w:b/>
          <w:sz w:val="36"/>
          <w:szCs w:val="36"/>
          <w:lang w:val="en-GB"/>
        </w:rPr>
      </w:pPr>
    </w:p>
    <w:p w14:paraId="06613C84" w14:textId="77777777" w:rsidR="00970F7D" w:rsidRDefault="00970F7D" w:rsidP="00970F7D">
      <w:pPr>
        <w:spacing w:before="310" w:line="329" w:lineRule="auto"/>
        <w:ind w:right="104"/>
        <w:rPr>
          <w:rFonts w:ascii="Arial" w:hAnsi="Arial" w:cs="Arial"/>
          <w:b/>
          <w:sz w:val="36"/>
          <w:szCs w:val="36"/>
          <w:lang w:val="en-GB"/>
        </w:rPr>
      </w:pPr>
    </w:p>
    <w:p w14:paraId="5B5B5224" w14:textId="77777777" w:rsidR="00970F7D" w:rsidRPr="00970F7D" w:rsidRDefault="00970F7D" w:rsidP="00970F7D">
      <w:pPr>
        <w:spacing w:before="310" w:line="329" w:lineRule="auto"/>
        <w:ind w:right="104"/>
        <w:jc w:val="center"/>
        <w:rPr>
          <w:rFonts w:ascii="Arial" w:hAnsi="Arial" w:cs="Arial"/>
          <w:b/>
          <w:spacing w:val="-1"/>
          <w:sz w:val="36"/>
          <w:szCs w:val="36"/>
          <w:lang w:val="en-GB"/>
        </w:rPr>
      </w:pPr>
      <w:r w:rsidRPr="00970F7D">
        <w:rPr>
          <w:rFonts w:ascii="Arial" w:hAnsi="Arial" w:cs="Arial"/>
          <w:b/>
          <w:spacing w:val="-1"/>
          <w:sz w:val="36"/>
          <w:szCs w:val="36"/>
          <w:lang w:val="en-GB"/>
        </w:rPr>
        <w:t>Medway NHS Foundation Trust</w:t>
      </w:r>
    </w:p>
    <w:p w14:paraId="596B2623" w14:textId="77777777" w:rsidR="00970F7D" w:rsidRPr="00970F7D" w:rsidRDefault="00970F7D" w:rsidP="00970F7D">
      <w:pPr>
        <w:spacing w:before="310" w:line="329" w:lineRule="auto"/>
        <w:ind w:right="104" w:hanging="3"/>
        <w:jc w:val="center"/>
        <w:rPr>
          <w:rFonts w:ascii="Arial" w:hAnsi="Arial" w:cs="Arial"/>
          <w:b/>
          <w:spacing w:val="-1"/>
          <w:sz w:val="36"/>
          <w:szCs w:val="36"/>
          <w:lang w:val="en-GB"/>
        </w:rPr>
      </w:pPr>
      <w:r w:rsidRPr="00970F7D">
        <w:rPr>
          <w:rFonts w:ascii="Arial" w:hAnsi="Arial" w:cs="Arial"/>
          <w:b/>
          <w:spacing w:val="-1"/>
          <w:sz w:val="36"/>
          <w:szCs w:val="36"/>
          <w:lang w:val="en-GB"/>
        </w:rPr>
        <w:t>Annual Report and Accounts</w:t>
      </w:r>
    </w:p>
    <w:p w14:paraId="7EA2FE9A" w14:textId="77777777" w:rsidR="00970F7D" w:rsidRDefault="00970F7D" w:rsidP="00970F7D">
      <w:pPr>
        <w:spacing w:before="310" w:line="329" w:lineRule="auto"/>
        <w:ind w:right="104" w:hanging="3"/>
        <w:jc w:val="center"/>
        <w:rPr>
          <w:rFonts w:ascii="Arial" w:hAnsi="Arial" w:cs="Arial"/>
          <w:b/>
          <w:spacing w:val="-1"/>
          <w:sz w:val="36"/>
          <w:szCs w:val="36"/>
          <w:lang w:val="en-GB"/>
        </w:rPr>
      </w:pPr>
      <w:r w:rsidRPr="00970F7D">
        <w:rPr>
          <w:rFonts w:ascii="Arial" w:hAnsi="Arial" w:cs="Arial"/>
          <w:b/>
          <w:spacing w:val="-1"/>
          <w:sz w:val="36"/>
          <w:szCs w:val="36"/>
          <w:lang w:val="en-GB"/>
        </w:rPr>
        <w:t>April 2024 to March 2025</w:t>
      </w:r>
    </w:p>
    <w:p w14:paraId="4E0E5DBE" w14:textId="77777777" w:rsidR="00970F7D" w:rsidRPr="00970F7D" w:rsidRDefault="00970F7D" w:rsidP="00970F7D">
      <w:pPr>
        <w:spacing w:before="310" w:line="329" w:lineRule="auto"/>
        <w:ind w:right="104" w:hanging="3"/>
        <w:jc w:val="center"/>
        <w:rPr>
          <w:rFonts w:ascii="Arial" w:hAnsi="Arial" w:cs="Arial"/>
          <w:b/>
          <w:spacing w:val="-1"/>
          <w:sz w:val="36"/>
          <w:szCs w:val="36"/>
          <w:lang w:val="en-GB"/>
        </w:rPr>
      </w:pPr>
    </w:p>
    <w:p w14:paraId="182F2F59" w14:textId="77777777" w:rsidR="00C8342C" w:rsidRPr="004474C1" w:rsidRDefault="003E4311" w:rsidP="00970F7D">
      <w:pPr>
        <w:spacing w:before="310" w:line="329" w:lineRule="auto"/>
        <w:ind w:left="-3" w:right="104"/>
        <w:jc w:val="center"/>
        <w:rPr>
          <w:rFonts w:ascii="Arial" w:hAnsi="Arial" w:cs="Arial"/>
          <w:b/>
          <w:spacing w:val="-1"/>
          <w:sz w:val="32"/>
          <w:szCs w:val="32"/>
          <w:lang w:val="en-GB"/>
        </w:rPr>
      </w:pPr>
      <w:r>
        <w:rPr>
          <w:rFonts w:ascii="Arial" w:hAnsi="Arial" w:cs="Arial"/>
          <w:b/>
          <w:spacing w:val="-1"/>
          <w:sz w:val="32"/>
          <w:szCs w:val="32"/>
          <w:lang w:val="en-GB"/>
        </w:rPr>
        <w:t>P</w:t>
      </w:r>
      <w:r w:rsidR="004474C1" w:rsidRPr="004474C1">
        <w:rPr>
          <w:rFonts w:ascii="Arial" w:hAnsi="Arial" w:cs="Arial"/>
          <w:b/>
          <w:spacing w:val="-1"/>
          <w:sz w:val="32"/>
          <w:szCs w:val="32"/>
          <w:lang w:val="en-GB"/>
        </w:rPr>
        <w:t xml:space="preserve">resented to Parliament pursuant to Schedule 7, paragraph 25 (4) </w:t>
      </w:r>
      <w:r w:rsidR="009837F5" w:rsidRPr="004474C1">
        <w:rPr>
          <w:rFonts w:ascii="Arial" w:hAnsi="Arial" w:cs="Arial"/>
          <w:b/>
          <w:spacing w:val="-2"/>
          <w:sz w:val="32"/>
          <w:szCs w:val="32"/>
          <w:lang w:val="en-GB"/>
        </w:rPr>
        <w:t>(</w:t>
      </w:r>
      <w:r w:rsidR="008655C4" w:rsidRPr="004474C1">
        <w:rPr>
          <w:rFonts w:ascii="Arial" w:hAnsi="Arial" w:cs="Arial"/>
          <w:b/>
          <w:spacing w:val="-2"/>
          <w:sz w:val="32"/>
          <w:szCs w:val="32"/>
          <w:lang w:val="en-GB"/>
        </w:rPr>
        <w:t>a)</w:t>
      </w:r>
      <w:r w:rsidR="008655C4" w:rsidRPr="004474C1">
        <w:rPr>
          <w:rFonts w:ascii="Arial" w:hAnsi="Arial" w:cs="Arial"/>
          <w:b/>
          <w:spacing w:val="2"/>
          <w:sz w:val="32"/>
          <w:szCs w:val="32"/>
          <w:lang w:val="en-GB"/>
        </w:rPr>
        <w:t xml:space="preserve"> </w:t>
      </w:r>
      <w:r w:rsidR="008655C4" w:rsidRPr="004474C1">
        <w:rPr>
          <w:rFonts w:ascii="Arial" w:hAnsi="Arial" w:cs="Arial"/>
          <w:b/>
          <w:spacing w:val="-1"/>
          <w:sz w:val="32"/>
          <w:szCs w:val="32"/>
          <w:lang w:val="en-GB"/>
        </w:rPr>
        <w:t>of</w:t>
      </w:r>
      <w:r w:rsidR="008655C4" w:rsidRPr="004474C1">
        <w:rPr>
          <w:rFonts w:ascii="Arial" w:hAnsi="Arial" w:cs="Arial"/>
          <w:b/>
          <w:sz w:val="32"/>
          <w:szCs w:val="32"/>
          <w:lang w:val="en-GB"/>
        </w:rPr>
        <w:t xml:space="preserve"> </w:t>
      </w:r>
      <w:r w:rsidR="008655C4" w:rsidRPr="004474C1">
        <w:rPr>
          <w:rFonts w:ascii="Arial" w:hAnsi="Arial" w:cs="Arial"/>
          <w:b/>
          <w:spacing w:val="-1"/>
          <w:sz w:val="32"/>
          <w:szCs w:val="32"/>
          <w:lang w:val="en-GB"/>
        </w:rPr>
        <w:t>the</w:t>
      </w:r>
      <w:r w:rsidR="008655C4" w:rsidRPr="004474C1">
        <w:rPr>
          <w:rFonts w:ascii="Arial" w:hAnsi="Arial" w:cs="Arial"/>
          <w:b/>
          <w:spacing w:val="-2"/>
          <w:sz w:val="32"/>
          <w:szCs w:val="32"/>
          <w:lang w:val="en-GB"/>
        </w:rPr>
        <w:t xml:space="preserve"> National</w:t>
      </w:r>
      <w:r w:rsidR="008655C4" w:rsidRPr="004474C1">
        <w:rPr>
          <w:rFonts w:ascii="Arial" w:hAnsi="Arial" w:cs="Arial"/>
          <w:b/>
          <w:spacing w:val="-1"/>
          <w:sz w:val="32"/>
          <w:szCs w:val="32"/>
          <w:lang w:val="en-GB"/>
        </w:rPr>
        <w:t xml:space="preserve"> Health</w:t>
      </w:r>
      <w:r w:rsidR="008655C4" w:rsidRPr="004474C1">
        <w:rPr>
          <w:rFonts w:ascii="Arial" w:hAnsi="Arial" w:cs="Arial"/>
          <w:b/>
          <w:sz w:val="32"/>
          <w:szCs w:val="32"/>
          <w:lang w:val="en-GB"/>
        </w:rPr>
        <w:t xml:space="preserve"> </w:t>
      </w:r>
      <w:r w:rsidR="008655C4" w:rsidRPr="004474C1">
        <w:rPr>
          <w:rFonts w:ascii="Arial" w:hAnsi="Arial" w:cs="Arial"/>
          <w:b/>
          <w:spacing w:val="-2"/>
          <w:sz w:val="32"/>
          <w:szCs w:val="32"/>
          <w:lang w:val="en-GB"/>
        </w:rPr>
        <w:t>Service</w:t>
      </w:r>
      <w:r w:rsidR="008655C4" w:rsidRPr="004474C1">
        <w:rPr>
          <w:rFonts w:ascii="Arial" w:hAnsi="Arial" w:cs="Arial"/>
          <w:b/>
          <w:spacing w:val="4"/>
          <w:sz w:val="32"/>
          <w:szCs w:val="32"/>
          <w:lang w:val="en-GB"/>
        </w:rPr>
        <w:t xml:space="preserve"> </w:t>
      </w:r>
      <w:r w:rsidR="008655C4" w:rsidRPr="004474C1">
        <w:rPr>
          <w:rFonts w:ascii="Arial" w:hAnsi="Arial" w:cs="Arial"/>
          <w:b/>
          <w:spacing w:val="-3"/>
          <w:sz w:val="32"/>
          <w:szCs w:val="32"/>
          <w:lang w:val="en-GB"/>
        </w:rPr>
        <w:t>Act</w:t>
      </w:r>
      <w:r w:rsidR="008655C4" w:rsidRPr="004474C1">
        <w:rPr>
          <w:rFonts w:ascii="Arial" w:hAnsi="Arial" w:cs="Arial"/>
          <w:b/>
          <w:sz w:val="32"/>
          <w:szCs w:val="32"/>
          <w:lang w:val="en-GB"/>
        </w:rPr>
        <w:t xml:space="preserve"> </w:t>
      </w:r>
      <w:r w:rsidR="008655C4" w:rsidRPr="004474C1">
        <w:rPr>
          <w:rFonts w:ascii="Arial" w:hAnsi="Arial" w:cs="Arial"/>
          <w:b/>
          <w:spacing w:val="-1"/>
          <w:sz w:val="32"/>
          <w:szCs w:val="32"/>
          <w:lang w:val="en-GB"/>
        </w:rPr>
        <w:t>2006</w:t>
      </w:r>
    </w:p>
    <w:p w14:paraId="65381D55" w14:textId="77777777" w:rsidR="003E4311" w:rsidRDefault="00C8342C" w:rsidP="00970F7D">
      <w:pPr>
        <w:widowControl/>
        <w:spacing w:after="160" w:line="259" w:lineRule="auto"/>
        <w:jc w:val="center"/>
        <w:rPr>
          <w:rFonts w:ascii="Arial" w:hAnsi="Arial" w:cs="Arial"/>
          <w:b/>
          <w:spacing w:val="-1"/>
          <w:sz w:val="36"/>
          <w:szCs w:val="36"/>
          <w:lang w:val="en-GB"/>
        </w:rPr>
      </w:pPr>
      <w:r>
        <w:rPr>
          <w:rFonts w:ascii="Arial" w:hAnsi="Arial" w:cs="Arial"/>
          <w:b/>
          <w:spacing w:val="-1"/>
          <w:sz w:val="36"/>
          <w:szCs w:val="36"/>
          <w:lang w:val="en-GB"/>
        </w:rPr>
        <w:br w:type="page"/>
      </w:r>
    </w:p>
    <w:p w14:paraId="34CA21F7" w14:textId="77777777" w:rsidR="003E4311" w:rsidRDefault="003E4311">
      <w:pPr>
        <w:widowControl/>
        <w:spacing w:after="160" w:line="259" w:lineRule="auto"/>
        <w:rPr>
          <w:rFonts w:ascii="Arial" w:hAnsi="Arial" w:cs="Arial"/>
          <w:b/>
          <w:spacing w:val="-1"/>
          <w:sz w:val="36"/>
          <w:szCs w:val="36"/>
          <w:lang w:val="en-GB"/>
        </w:rPr>
      </w:pPr>
      <w:r w:rsidRPr="003E4311">
        <w:rPr>
          <w:rFonts w:ascii="Arial" w:hAnsi="Arial" w:cs="Arial"/>
          <w:b/>
          <w:noProof/>
          <w:spacing w:val="-1"/>
          <w:sz w:val="36"/>
          <w:szCs w:val="36"/>
          <w:lang w:val="en-GB"/>
        </w:rPr>
        <w:lastRenderedPageBreak/>
        <mc:AlternateContent>
          <mc:Choice Requires="wps">
            <w:drawing>
              <wp:anchor distT="45720" distB="45720" distL="114300" distR="114300" simplePos="0" relativeHeight="251776000" behindDoc="0" locked="0" layoutInCell="1" allowOverlap="1" wp14:anchorId="78106BD3" wp14:editId="29056FC5">
                <wp:simplePos x="0" y="0"/>
                <wp:positionH relativeFrom="column">
                  <wp:posOffset>-755650</wp:posOffset>
                </wp:positionH>
                <wp:positionV relativeFrom="paragraph">
                  <wp:posOffset>8734425</wp:posOffset>
                </wp:positionV>
                <wp:extent cx="4495800" cy="140462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1404620"/>
                        </a:xfrm>
                        <a:prstGeom prst="rect">
                          <a:avLst/>
                        </a:prstGeom>
                        <a:solidFill>
                          <a:srgbClr val="FFFFFF"/>
                        </a:solidFill>
                        <a:ln w="9525">
                          <a:noFill/>
                          <a:miter lim="800000"/>
                          <a:headEnd/>
                          <a:tailEnd/>
                        </a:ln>
                      </wps:spPr>
                      <wps:txbx>
                        <w:txbxContent>
                          <w:p w14:paraId="7ED55661" w14:textId="77777777" w:rsidR="001A0073" w:rsidRPr="003E4311" w:rsidRDefault="001A0073" w:rsidP="00970F7D">
                            <w:pPr>
                              <w:ind w:firstLine="720"/>
                              <w:rPr>
                                <w:rFonts w:ascii="Arial" w:hAnsi="Arial" w:cs="Arial"/>
                                <w:sz w:val="20"/>
                                <w:szCs w:val="20"/>
                              </w:rPr>
                            </w:pPr>
                            <w:r w:rsidRPr="003E4311">
                              <w:rPr>
                                <w:rFonts w:ascii="Arial" w:hAnsi="Arial" w:cs="Arial"/>
                                <w:sz w:val="20"/>
                                <w:szCs w:val="20"/>
                              </w:rPr>
                              <w:t>©</w:t>
                            </w:r>
                            <w:r>
                              <w:rPr>
                                <w:rFonts w:ascii="Arial" w:hAnsi="Arial" w:cs="Arial"/>
                                <w:sz w:val="20"/>
                                <w:szCs w:val="20"/>
                              </w:rPr>
                              <w:t xml:space="preserve"> </w:t>
                            </w:r>
                            <w:r w:rsidRPr="003E4311">
                              <w:rPr>
                                <w:rFonts w:ascii="Arial" w:hAnsi="Arial" w:cs="Arial"/>
                                <w:sz w:val="20"/>
                                <w:szCs w:val="20"/>
                              </w:rPr>
                              <w:t>202</w:t>
                            </w:r>
                            <w:r>
                              <w:rPr>
                                <w:rFonts w:ascii="Arial" w:hAnsi="Arial" w:cs="Arial"/>
                                <w:sz w:val="20"/>
                                <w:szCs w:val="20"/>
                              </w:rPr>
                              <w:t>4</w:t>
                            </w:r>
                            <w:r w:rsidRPr="003E4311">
                              <w:rPr>
                                <w:rFonts w:ascii="Arial" w:hAnsi="Arial" w:cs="Arial"/>
                                <w:sz w:val="20"/>
                                <w:szCs w:val="20"/>
                              </w:rPr>
                              <w:t>/2</w:t>
                            </w:r>
                            <w:r>
                              <w:rPr>
                                <w:rFonts w:ascii="Arial" w:hAnsi="Arial" w:cs="Arial"/>
                                <w:sz w:val="20"/>
                                <w:szCs w:val="20"/>
                              </w:rPr>
                              <w:t>5</w:t>
                            </w:r>
                            <w:r w:rsidRPr="003E4311">
                              <w:rPr>
                                <w:rFonts w:ascii="Arial" w:hAnsi="Arial" w:cs="Arial"/>
                                <w:sz w:val="20"/>
                                <w:szCs w:val="20"/>
                              </w:rPr>
                              <w:t xml:space="preserve"> Medway NHS Foundation Trust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8106BD3" id="_x0000_t202" coordsize="21600,21600" o:spt="202" path="m,l,21600r21600,l21600,xe">
                <v:stroke joinstyle="miter"/>
                <v:path gradientshapeok="t" o:connecttype="rect"/>
              </v:shapetype>
              <v:shape id="Text Box 2" o:spid="_x0000_s1026" type="#_x0000_t202" style="position:absolute;margin-left:-59.5pt;margin-top:687.75pt;width:354pt;height:110.6pt;z-index:2517760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" stroked="f">
                <v:textbox style="mso-fit-shape-to-text:t">
                  <w:txbxContent>
                    <w:p w14:paraId="7ED55661" w14:textId="77777777" w:rsidR="001A0073" w:rsidRPr="003E4311" w:rsidRDefault="001A0073" w:rsidP="00970F7D">
                      <w:pPr>
                        <w:ind w:firstLine="720"/>
                        <w:rPr>
                          <w:rFonts w:ascii="Arial" w:hAnsi="Arial" w:cs="Arial"/>
                          <w:sz w:val="20"/>
                          <w:szCs w:val="20"/>
                        </w:rPr>
                      </w:pPr>
                      <w:r w:rsidRPr="003E4311">
                        <w:rPr>
                          <w:rFonts w:ascii="Arial" w:hAnsi="Arial" w:cs="Arial"/>
                          <w:sz w:val="20"/>
                          <w:szCs w:val="20"/>
                        </w:rPr>
                        <w:t>©</w:t>
                      </w:r>
                      <w:r>
                        <w:rPr>
                          <w:rFonts w:ascii="Arial" w:hAnsi="Arial" w:cs="Arial"/>
                          <w:sz w:val="20"/>
                          <w:szCs w:val="20"/>
                        </w:rPr>
                        <w:t xml:space="preserve"> </w:t>
                      </w:r>
                      <w:r w:rsidRPr="003E4311">
                        <w:rPr>
                          <w:rFonts w:ascii="Arial" w:hAnsi="Arial" w:cs="Arial"/>
                          <w:sz w:val="20"/>
                          <w:szCs w:val="20"/>
                        </w:rPr>
                        <w:t>202</w:t>
                      </w:r>
                      <w:r>
                        <w:rPr>
                          <w:rFonts w:ascii="Arial" w:hAnsi="Arial" w:cs="Arial"/>
                          <w:sz w:val="20"/>
                          <w:szCs w:val="20"/>
                        </w:rPr>
                        <w:t>4</w:t>
                      </w:r>
                      <w:r w:rsidRPr="003E4311">
                        <w:rPr>
                          <w:rFonts w:ascii="Arial" w:hAnsi="Arial" w:cs="Arial"/>
                          <w:sz w:val="20"/>
                          <w:szCs w:val="20"/>
                        </w:rPr>
                        <w:t>/2</w:t>
                      </w:r>
                      <w:r>
                        <w:rPr>
                          <w:rFonts w:ascii="Arial" w:hAnsi="Arial" w:cs="Arial"/>
                          <w:sz w:val="20"/>
                          <w:szCs w:val="20"/>
                        </w:rPr>
                        <w:t>5</w:t>
                      </w:r>
                      <w:r w:rsidRPr="003E4311">
                        <w:rPr>
                          <w:rFonts w:ascii="Arial" w:hAnsi="Arial" w:cs="Arial"/>
                          <w:sz w:val="20"/>
                          <w:szCs w:val="20"/>
                        </w:rPr>
                        <w:t xml:space="preserve"> Medway NHS Foundation Trust</w:t>
                      </w:r>
                    </w:p>
                  </w:txbxContent>
                </v:textbox>
                <w10:wrap type="square"/>
              </v:shape>
            </w:pict>
          </mc:Fallback>
        </mc:AlternateContent>
      </w:r>
      <w:r>
        <w:rPr>
          <w:rFonts w:ascii="Arial" w:hAnsi="Arial" w:cs="Arial"/>
          <w:b/>
          <w:spacing w:val="-1"/>
          <w:sz w:val="36"/>
          <w:szCs w:val="36"/>
          <w:lang w:val="en-GB"/>
        </w:rPr>
        <w:br w:type="page"/>
      </w:r>
    </w:p>
    <w:p w14:paraId="4985E3A3" w14:textId="7798FB30" w:rsidR="003E4311" w:rsidRPr="00212FB4" w:rsidRDefault="003E4311">
      <w:pPr>
        <w:widowControl/>
        <w:spacing w:after="160" w:line="259" w:lineRule="auto"/>
        <w:rPr>
          <w:rFonts w:ascii="Arial" w:hAnsi="Arial" w:cs="Arial"/>
          <w:b/>
          <w:spacing w:val="-1"/>
          <w:lang w:val="en-GB"/>
        </w:rPr>
      </w:pPr>
      <w:bookmarkStart w:id="0" w:name="_Hlk201568196"/>
      <w:bookmarkStart w:id="1" w:name="_Hlk175235506"/>
      <w:r w:rsidRPr="00212FB4">
        <w:rPr>
          <w:rFonts w:ascii="Arial" w:hAnsi="Arial" w:cs="Arial"/>
          <w:b/>
          <w:spacing w:val="-1"/>
          <w:lang w:val="en-GB"/>
        </w:rPr>
        <w:lastRenderedPageBreak/>
        <w:t xml:space="preserve">Contents </w:t>
      </w:r>
    </w:p>
    <w:p w14:paraId="307AB510" w14:textId="78BEE156" w:rsidR="005648A9" w:rsidRPr="00212FB4" w:rsidRDefault="006B74D7" w:rsidP="00E00F90">
      <w:pPr>
        <w:pStyle w:val="ListParagraph"/>
        <w:widowControl/>
        <w:numPr>
          <w:ilvl w:val="0"/>
          <w:numId w:val="56"/>
        </w:numPr>
        <w:spacing w:line="259" w:lineRule="auto"/>
        <w:rPr>
          <w:rFonts w:ascii="Arial" w:hAnsi="Arial" w:cs="Arial"/>
          <w:noProof/>
          <w:lang w:val="en-GB"/>
        </w:rPr>
      </w:pPr>
      <w:r w:rsidRPr="00212FB4">
        <w:rPr>
          <w:rFonts w:ascii="Arial" w:hAnsi="Arial" w:cs="Arial"/>
          <w:noProof/>
          <w:lang w:val="en-GB"/>
        </w:rPr>
        <w:t xml:space="preserve">Foreword from the </w:t>
      </w:r>
      <w:r w:rsidR="00015C9E" w:rsidRPr="00212FB4">
        <w:rPr>
          <w:rFonts w:ascii="Arial" w:hAnsi="Arial" w:cs="Arial"/>
          <w:noProof/>
          <w:lang w:val="en-GB"/>
        </w:rPr>
        <w:t xml:space="preserve">Chief Executive and </w:t>
      </w:r>
      <w:r w:rsidRPr="00212FB4">
        <w:rPr>
          <w:rFonts w:ascii="Arial" w:hAnsi="Arial" w:cs="Arial"/>
          <w:noProof/>
          <w:lang w:val="en-GB"/>
        </w:rPr>
        <w:t>Chair</w:t>
      </w:r>
      <w:r w:rsidRPr="00212FB4">
        <w:rPr>
          <w:rFonts w:ascii="Arial" w:hAnsi="Arial" w:cs="Arial"/>
          <w:noProof/>
          <w:lang w:val="en-GB"/>
        </w:rPr>
        <w:tab/>
      </w:r>
      <w:r w:rsidRPr="00212FB4">
        <w:rPr>
          <w:rFonts w:ascii="Arial" w:hAnsi="Arial" w:cs="Arial"/>
          <w:noProof/>
          <w:lang w:val="en-GB"/>
        </w:rPr>
        <w:tab/>
      </w:r>
      <w:r w:rsidR="005648A9" w:rsidRPr="00212FB4">
        <w:rPr>
          <w:rFonts w:ascii="Arial" w:hAnsi="Arial" w:cs="Arial"/>
          <w:noProof/>
          <w:lang w:val="en-GB"/>
        </w:rPr>
        <w:tab/>
      </w:r>
      <w:r w:rsidR="00D50222" w:rsidRPr="00212FB4">
        <w:rPr>
          <w:rFonts w:ascii="Arial" w:hAnsi="Arial" w:cs="Arial"/>
          <w:noProof/>
          <w:lang w:val="en-GB"/>
        </w:rPr>
        <w:tab/>
      </w:r>
      <w:r w:rsidR="001C13BE" w:rsidRPr="00212FB4">
        <w:rPr>
          <w:rFonts w:ascii="Arial" w:hAnsi="Arial" w:cs="Arial"/>
          <w:noProof/>
          <w:lang w:val="en-GB"/>
        </w:rPr>
        <w:tab/>
      </w:r>
      <w:r w:rsidR="00212FB4" w:rsidRPr="00212FB4">
        <w:rPr>
          <w:rFonts w:ascii="Arial" w:hAnsi="Arial" w:cs="Arial"/>
          <w:noProof/>
          <w:lang w:val="en-GB"/>
        </w:rPr>
        <w:t>6</w:t>
      </w:r>
    </w:p>
    <w:p w14:paraId="6E810046" w14:textId="77777777" w:rsidR="005648A9" w:rsidRPr="00212FB4" w:rsidRDefault="005648A9" w:rsidP="005648A9">
      <w:pPr>
        <w:pStyle w:val="ListParagraph"/>
        <w:widowControl/>
        <w:spacing w:line="259" w:lineRule="auto"/>
        <w:ind w:left="360"/>
        <w:rPr>
          <w:rFonts w:ascii="Arial" w:hAnsi="Arial" w:cs="Arial"/>
          <w:noProof/>
          <w:lang w:val="en-GB"/>
        </w:rPr>
      </w:pPr>
    </w:p>
    <w:p w14:paraId="65F478FC" w14:textId="5B6AEBB6" w:rsidR="005648A9" w:rsidRPr="00212FB4" w:rsidRDefault="006B74D7" w:rsidP="00E00F90">
      <w:pPr>
        <w:pStyle w:val="ListParagraph"/>
        <w:widowControl/>
        <w:numPr>
          <w:ilvl w:val="0"/>
          <w:numId w:val="26"/>
        </w:numPr>
        <w:spacing w:line="259" w:lineRule="auto"/>
        <w:ind w:left="360"/>
        <w:rPr>
          <w:rFonts w:ascii="Arial" w:hAnsi="Arial" w:cs="Arial"/>
          <w:noProof/>
          <w:lang w:val="en-GB"/>
        </w:rPr>
      </w:pPr>
      <w:r w:rsidRPr="00212FB4">
        <w:rPr>
          <w:rFonts w:ascii="Arial" w:hAnsi="Arial" w:cs="Arial"/>
          <w:noProof/>
          <w:lang w:val="en-GB"/>
        </w:rPr>
        <w:t xml:space="preserve">Performance Report </w:t>
      </w:r>
      <w:r w:rsidRPr="00212FB4">
        <w:rPr>
          <w:rFonts w:ascii="Arial" w:hAnsi="Arial" w:cs="Arial"/>
          <w:noProof/>
          <w:lang w:val="en-GB"/>
        </w:rPr>
        <w:tab/>
      </w:r>
      <w:r w:rsidRPr="00212FB4">
        <w:rPr>
          <w:rFonts w:ascii="Arial" w:hAnsi="Arial" w:cs="Arial"/>
          <w:noProof/>
          <w:lang w:val="en-GB"/>
        </w:rPr>
        <w:tab/>
      </w:r>
      <w:r w:rsidRPr="00212FB4">
        <w:rPr>
          <w:rFonts w:ascii="Arial" w:hAnsi="Arial" w:cs="Arial"/>
          <w:noProof/>
          <w:lang w:val="en-GB"/>
        </w:rPr>
        <w:tab/>
      </w:r>
      <w:r w:rsidRPr="00212FB4">
        <w:rPr>
          <w:rFonts w:ascii="Arial" w:hAnsi="Arial" w:cs="Arial"/>
          <w:noProof/>
          <w:lang w:val="en-GB"/>
        </w:rPr>
        <w:tab/>
      </w:r>
      <w:r w:rsidRPr="00212FB4">
        <w:rPr>
          <w:rFonts w:ascii="Arial" w:hAnsi="Arial" w:cs="Arial"/>
          <w:noProof/>
          <w:lang w:val="en-GB"/>
        </w:rPr>
        <w:tab/>
      </w:r>
      <w:r w:rsidRPr="00212FB4">
        <w:rPr>
          <w:rFonts w:ascii="Arial" w:hAnsi="Arial" w:cs="Arial"/>
          <w:noProof/>
          <w:lang w:val="en-GB"/>
        </w:rPr>
        <w:tab/>
      </w:r>
      <w:r w:rsidR="005648A9" w:rsidRPr="00212FB4">
        <w:rPr>
          <w:rFonts w:ascii="Arial" w:hAnsi="Arial" w:cs="Arial"/>
          <w:noProof/>
          <w:lang w:val="en-GB"/>
        </w:rPr>
        <w:tab/>
      </w:r>
      <w:r w:rsidR="001C13BE" w:rsidRPr="00212FB4">
        <w:rPr>
          <w:rFonts w:ascii="Arial" w:hAnsi="Arial" w:cs="Arial"/>
          <w:noProof/>
          <w:lang w:val="en-GB"/>
        </w:rPr>
        <w:tab/>
      </w:r>
      <w:r w:rsidR="00212FB4" w:rsidRPr="00212FB4">
        <w:rPr>
          <w:rFonts w:ascii="Arial" w:hAnsi="Arial" w:cs="Arial"/>
          <w:noProof/>
          <w:lang w:val="en-GB"/>
        </w:rPr>
        <w:t>10</w:t>
      </w:r>
    </w:p>
    <w:p w14:paraId="6ED2499D" w14:textId="77777777" w:rsidR="005648A9" w:rsidRPr="00212FB4" w:rsidRDefault="005648A9" w:rsidP="005648A9">
      <w:pPr>
        <w:widowControl/>
        <w:spacing w:line="259" w:lineRule="auto"/>
        <w:ind w:left="360"/>
        <w:rPr>
          <w:rFonts w:ascii="Arial" w:hAnsi="Arial" w:cs="Arial"/>
          <w:noProof/>
          <w:lang w:val="en-GB"/>
        </w:rPr>
      </w:pPr>
    </w:p>
    <w:p w14:paraId="145F05B9" w14:textId="09BDC86E" w:rsidR="006B74D7" w:rsidRPr="00212FB4" w:rsidRDefault="006B74D7" w:rsidP="00E00F90">
      <w:pPr>
        <w:pStyle w:val="ListParagraph"/>
        <w:widowControl/>
        <w:numPr>
          <w:ilvl w:val="0"/>
          <w:numId w:val="26"/>
        </w:numPr>
        <w:spacing w:line="259" w:lineRule="auto"/>
        <w:ind w:left="360"/>
        <w:rPr>
          <w:rFonts w:ascii="Arial" w:hAnsi="Arial" w:cs="Arial"/>
          <w:noProof/>
          <w:lang w:val="en-GB"/>
        </w:rPr>
      </w:pPr>
      <w:r w:rsidRPr="00212FB4">
        <w:rPr>
          <w:rFonts w:ascii="Arial" w:hAnsi="Arial" w:cs="Arial"/>
          <w:noProof/>
          <w:lang w:val="en-GB"/>
        </w:rPr>
        <w:t xml:space="preserve">Sustainability Report </w:t>
      </w:r>
      <w:r w:rsidRPr="00212FB4">
        <w:rPr>
          <w:rFonts w:ascii="Arial" w:hAnsi="Arial" w:cs="Arial"/>
          <w:noProof/>
          <w:lang w:val="en-GB"/>
        </w:rPr>
        <w:tab/>
      </w:r>
      <w:r w:rsidRPr="00212FB4">
        <w:rPr>
          <w:rFonts w:ascii="Arial" w:hAnsi="Arial" w:cs="Arial"/>
          <w:noProof/>
          <w:lang w:val="en-GB"/>
        </w:rPr>
        <w:tab/>
      </w:r>
      <w:r w:rsidRPr="00212FB4">
        <w:rPr>
          <w:rFonts w:ascii="Arial" w:hAnsi="Arial" w:cs="Arial"/>
          <w:noProof/>
          <w:lang w:val="en-GB"/>
        </w:rPr>
        <w:tab/>
      </w:r>
      <w:r w:rsidRPr="00212FB4">
        <w:rPr>
          <w:rFonts w:ascii="Arial" w:hAnsi="Arial" w:cs="Arial"/>
          <w:noProof/>
          <w:lang w:val="en-GB"/>
        </w:rPr>
        <w:tab/>
      </w:r>
      <w:r w:rsidRPr="00212FB4">
        <w:rPr>
          <w:rFonts w:ascii="Arial" w:hAnsi="Arial" w:cs="Arial"/>
          <w:noProof/>
          <w:lang w:val="en-GB"/>
        </w:rPr>
        <w:tab/>
      </w:r>
      <w:r w:rsidRPr="00212FB4">
        <w:rPr>
          <w:rFonts w:ascii="Arial" w:hAnsi="Arial" w:cs="Arial"/>
          <w:noProof/>
          <w:lang w:val="en-GB"/>
        </w:rPr>
        <w:tab/>
      </w:r>
      <w:r w:rsidR="005648A9" w:rsidRPr="00212FB4">
        <w:rPr>
          <w:rFonts w:ascii="Arial" w:hAnsi="Arial" w:cs="Arial"/>
          <w:noProof/>
          <w:lang w:val="en-GB"/>
        </w:rPr>
        <w:tab/>
      </w:r>
      <w:r w:rsidR="001C13BE" w:rsidRPr="00212FB4">
        <w:rPr>
          <w:rFonts w:ascii="Arial" w:hAnsi="Arial" w:cs="Arial"/>
          <w:noProof/>
          <w:lang w:val="en-GB"/>
        </w:rPr>
        <w:tab/>
      </w:r>
      <w:r w:rsidRPr="00212FB4">
        <w:rPr>
          <w:rFonts w:ascii="Arial" w:hAnsi="Arial" w:cs="Arial"/>
          <w:noProof/>
          <w:lang w:val="en-GB"/>
        </w:rPr>
        <w:t>1</w:t>
      </w:r>
      <w:r w:rsidR="00B50159">
        <w:rPr>
          <w:rFonts w:ascii="Arial" w:hAnsi="Arial" w:cs="Arial"/>
          <w:noProof/>
          <w:lang w:val="en-GB"/>
        </w:rPr>
        <w:t>3</w:t>
      </w:r>
    </w:p>
    <w:p w14:paraId="1C6B3D16" w14:textId="77777777" w:rsidR="005648A9" w:rsidRPr="00212FB4" w:rsidRDefault="005648A9" w:rsidP="005648A9">
      <w:pPr>
        <w:widowControl/>
        <w:spacing w:line="259" w:lineRule="auto"/>
        <w:ind w:left="360"/>
        <w:rPr>
          <w:rFonts w:ascii="Arial" w:hAnsi="Arial" w:cs="Arial"/>
          <w:noProof/>
          <w:lang w:val="en-GB"/>
        </w:rPr>
      </w:pPr>
    </w:p>
    <w:p w14:paraId="59133548" w14:textId="7F6A1CDF" w:rsidR="006B74D7" w:rsidRPr="00212FB4" w:rsidRDefault="006B74D7" w:rsidP="00E00F90">
      <w:pPr>
        <w:pStyle w:val="ListParagraph"/>
        <w:widowControl/>
        <w:numPr>
          <w:ilvl w:val="0"/>
          <w:numId w:val="26"/>
        </w:numPr>
        <w:spacing w:line="259" w:lineRule="auto"/>
        <w:ind w:left="360"/>
        <w:rPr>
          <w:rFonts w:ascii="Arial" w:hAnsi="Arial" w:cs="Arial"/>
          <w:noProof/>
          <w:lang w:val="en-GB"/>
        </w:rPr>
      </w:pPr>
      <w:r w:rsidRPr="00212FB4">
        <w:rPr>
          <w:rFonts w:ascii="Arial" w:hAnsi="Arial" w:cs="Arial"/>
          <w:noProof/>
          <w:lang w:val="en-GB"/>
        </w:rPr>
        <w:t>Community Engagement, Human Rights and Anti Bribery</w:t>
      </w:r>
      <w:r w:rsidRPr="00212FB4">
        <w:rPr>
          <w:rFonts w:ascii="Arial" w:hAnsi="Arial" w:cs="Arial"/>
          <w:noProof/>
          <w:lang w:val="en-GB"/>
        </w:rPr>
        <w:tab/>
      </w:r>
      <w:r w:rsidR="005648A9" w:rsidRPr="00212FB4">
        <w:rPr>
          <w:rFonts w:ascii="Arial" w:hAnsi="Arial" w:cs="Arial"/>
          <w:noProof/>
          <w:lang w:val="en-GB"/>
        </w:rPr>
        <w:tab/>
      </w:r>
      <w:r w:rsidR="001C13BE" w:rsidRPr="00212FB4">
        <w:rPr>
          <w:rFonts w:ascii="Arial" w:hAnsi="Arial" w:cs="Arial"/>
          <w:noProof/>
          <w:lang w:val="en-GB"/>
        </w:rPr>
        <w:tab/>
      </w:r>
      <w:r w:rsidRPr="00212FB4">
        <w:rPr>
          <w:rFonts w:ascii="Arial" w:hAnsi="Arial" w:cs="Arial"/>
          <w:noProof/>
          <w:lang w:val="en-GB"/>
        </w:rPr>
        <w:t>1</w:t>
      </w:r>
      <w:r w:rsidR="00212FB4" w:rsidRPr="00212FB4">
        <w:rPr>
          <w:rFonts w:ascii="Arial" w:hAnsi="Arial" w:cs="Arial"/>
          <w:noProof/>
          <w:lang w:val="en-GB"/>
        </w:rPr>
        <w:t>6</w:t>
      </w:r>
    </w:p>
    <w:p w14:paraId="50EFDF26" w14:textId="77777777" w:rsidR="005648A9" w:rsidRPr="00212FB4" w:rsidRDefault="005648A9" w:rsidP="005648A9">
      <w:pPr>
        <w:widowControl/>
        <w:spacing w:line="259" w:lineRule="auto"/>
        <w:ind w:left="360"/>
        <w:rPr>
          <w:rFonts w:ascii="Arial" w:hAnsi="Arial" w:cs="Arial"/>
          <w:noProof/>
          <w:lang w:val="en-GB"/>
        </w:rPr>
      </w:pPr>
    </w:p>
    <w:p w14:paraId="1D50A666" w14:textId="241207D4" w:rsidR="006B74D7" w:rsidRPr="00212FB4" w:rsidRDefault="006B74D7" w:rsidP="00E00F90">
      <w:pPr>
        <w:pStyle w:val="ListParagraph"/>
        <w:widowControl/>
        <w:numPr>
          <w:ilvl w:val="0"/>
          <w:numId w:val="26"/>
        </w:numPr>
        <w:spacing w:line="259" w:lineRule="auto"/>
        <w:ind w:left="360"/>
        <w:rPr>
          <w:rFonts w:ascii="Arial" w:hAnsi="Arial" w:cs="Arial"/>
          <w:noProof/>
          <w:lang w:val="en-GB"/>
        </w:rPr>
      </w:pPr>
      <w:r w:rsidRPr="00212FB4">
        <w:rPr>
          <w:rFonts w:ascii="Arial" w:hAnsi="Arial" w:cs="Arial"/>
          <w:noProof/>
          <w:lang w:val="en-GB"/>
        </w:rPr>
        <w:t xml:space="preserve">Overview of Financial Performance </w:t>
      </w:r>
      <w:r w:rsidRPr="00212FB4">
        <w:rPr>
          <w:rFonts w:ascii="Arial" w:hAnsi="Arial" w:cs="Arial"/>
          <w:noProof/>
          <w:lang w:val="en-GB"/>
        </w:rPr>
        <w:tab/>
      </w:r>
      <w:r w:rsidRPr="00212FB4">
        <w:rPr>
          <w:rFonts w:ascii="Arial" w:hAnsi="Arial" w:cs="Arial"/>
          <w:noProof/>
          <w:lang w:val="en-GB"/>
        </w:rPr>
        <w:tab/>
      </w:r>
      <w:r w:rsidRPr="00212FB4">
        <w:rPr>
          <w:rFonts w:ascii="Arial" w:hAnsi="Arial" w:cs="Arial"/>
          <w:noProof/>
          <w:lang w:val="en-GB"/>
        </w:rPr>
        <w:tab/>
      </w:r>
      <w:r w:rsidRPr="00212FB4">
        <w:rPr>
          <w:rFonts w:ascii="Arial" w:hAnsi="Arial" w:cs="Arial"/>
          <w:noProof/>
          <w:lang w:val="en-GB"/>
        </w:rPr>
        <w:tab/>
      </w:r>
      <w:r w:rsidR="005648A9" w:rsidRPr="00212FB4">
        <w:rPr>
          <w:rFonts w:ascii="Arial" w:hAnsi="Arial" w:cs="Arial"/>
          <w:noProof/>
          <w:lang w:val="en-GB"/>
        </w:rPr>
        <w:tab/>
      </w:r>
      <w:r w:rsidR="001C13BE" w:rsidRPr="00212FB4">
        <w:rPr>
          <w:rFonts w:ascii="Arial" w:hAnsi="Arial" w:cs="Arial"/>
          <w:noProof/>
          <w:lang w:val="en-GB"/>
        </w:rPr>
        <w:tab/>
      </w:r>
      <w:r w:rsidRPr="00212FB4">
        <w:rPr>
          <w:rFonts w:ascii="Arial" w:hAnsi="Arial" w:cs="Arial"/>
          <w:noProof/>
          <w:lang w:val="en-GB"/>
        </w:rPr>
        <w:t>1</w:t>
      </w:r>
      <w:r w:rsidR="00212FB4" w:rsidRPr="00212FB4">
        <w:rPr>
          <w:rFonts w:ascii="Arial" w:hAnsi="Arial" w:cs="Arial"/>
          <w:noProof/>
          <w:lang w:val="en-GB"/>
        </w:rPr>
        <w:t>9</w:t>
      </w:r>
    </w:p>
    <w:p w14:paraId="3A0C589E" w14:textId="77777777" w:rsidR="005648A9" w:rsidRPr="00212FB4" w:rsidRDefault="005648A9" w:rsidP="005648A9">
      <w:pPr>
        <w:widowControl/>
        <w:spacing w:line="259" w:lineRule="auto"/>
        <w:ind w:left="360"/>
        <w:rPr>
          <w:rFonts w:ascii="Arial" w:hAnsi="Arial" w:cs="Arial"/>
          <w:noProof/>
          <w:lang w:val="en-GB"/>
        </w:rPr>
      </w:pPr>
    </w:p>
    <w:p w14:paraId="06B07CC5" w14:textId="737A301E" w:rsidR="006B74D7" w:rsidRPr="00212FB4" w:rsidRDefault="006B74D7" w:rsidP="00E00F90">
      <w:pPr>
        <w:pStyle w:val="ListParagraph"/>
        <w:widowControl/>
        <w:numPr>
          <w:ilvl w:val="0"/>
          <w:numId w:val="26"/>
        </w:numPr>
        <w:spacing w:line="259" w:lineRule="auto"/>
        <w:ind w:left="360"/>
        <w:rPr>
          <w:rFonts w:ascii="Arial" w:hAnsi="Arial" w:cs="Arial"/>
          <w:noProof/>
          <w:lang w:val="en-GB"/>
        </w:rPr>
      </w:pPr>
      <w:r w:rsidRPr="00212FB4">
        <w:rPr>
          <w:rFonts w:ascii="Arial" w:hAnsi="Arial" w:cs="Arial"/>
          <w:noProof/>
          <w:lang w:val="en-GB"/>
        </w:rPr>
        <w:t xml:space="preserve">Accountability Report </w:t>
      </w:r>
      <w:r w:rsidRPr="00212FB4">
        <w:rPr>
          <w:rFonts w:ascii="Arial" w:hAnsi="Arial" w:cs="Arial"/>
          <w:noProof/>
          <w:lang w:val="en-GB"/>
        </w:rPr>
        <w:tab/>
      </w:r>
      <w:r w:rsidRPr="00212FB4">
        <w:rPr>
          <w:rFonts w:ascii="Arial" w:hAnsi="Arial" w:cs="Arial"/>
          <w:noProof/>
          <w:lang w:val="en-GB"/>
        </w:rPr>
        <w:tab/>
      </w:r>
      <w:r w:rsidRPr="00212FB4">
        <w:rPr>
          <w:rFonts w:ascii="Arial" w:hAnsi="Arial" w:cs="Arial"/>
          <w:noProof/>
          <w:lang w:val="en-GB"/>
        </w:rPr>
        <w:tab/>
      </w:r>
      <w:r w:rsidRPr="00212FB4">
        <w:rPr>
          <w:rFonts w:ascii="Arial" w:hAnsi="Arial" w:cs="Arial"/>
          <w:noProof/>
          <w:lang w:val="en-GB"/>
        </w:rPr>
        <w:tab/>
      </w:r>
      <w:r w:rsidRPr="00212FB4">
        <w:rPr>
          <w:rFonts w:ascii="Arial" w:hAnsi="Arial" w:cs="Arial"/>
          <w:noProof/>
          <w:lang w:val="en-GB"/>
        </w:rPr>
        <w:tab/>
      </w:r>
      <w:r w:rsidRPr="00212FB4">
        <w:rPr>
          <w:rFonts w:ascii="Arial" w:hAnsi="Arial" w:cs="Arial"/>
          <w:noProof/>
          <w:lang w:val="en-GB"/>
        </w:rPr>
        <w:tab/>
      </w:r>
      <w:r w:rsidR="005648A9" w:rsidRPr="00212FB4">
        <w:rPr>
          <w:rFonts w:ascii="Arial" w:hAnsi="Arial" w:cs="Arial"/>
          <w:noProof/>
          <w:lang w:val="en-GB"/>
        </w:rPr>
        <w:tab/>
      </w:r>
      <w:r w:rsidR="001C13BE" w:rsidRPr="00212FB4">
        <w:rPr>
          <w:rFonts w:ascii="Arial" w:hAnsi="Arial" w:cs="Arial"/>
          <w:noProof/>
          <w:lang w:val="en-GB"/>
        </w:rPr>
        <w:tab/>
      </w:r>
      <w:r w:rsidRPr="00212FB4">
        <w:rPr>
          <w:rFonts w:ascii="Arial" w:hAnsi="Arial" w:cs="Arial"/>
          <w:noProof/>
          <w:lang w:val="en-GB"/>
        </w:rPr>
        <w:t>2</w:t>
      </w:r>
      <w:r w:rsidR="00212FB4" w:rsidRPr="00212FB4">
        <w:rPr>
          <w:rFonts w:ascii="Arial" w:hAnsi="Arial" w:cs="Arial"/>
          <w:noProof/>
          <w:lang w:val="en-GB"/>
        </w:rPr>
        <w:t>3</w:t>
      </w:r>
    </w:p>
    <w:p w14:paraId="3BAF3D1A" w14:textId="77777777" w:rsidR="005648A9" w:rsidRPr="00212FB4" w:rsidRDefault="005648A9" w:rsidP="005648A9">
      <w:pPr>
        <w:widowControl/>
        <w:spacing w:line="259" w:lineRule="auto"/>
        <w:ind w:left="360"/>
        <w:rPr>
          <w:rFonts w:ascii="Arial" w:hAnsi="Arial" w:cs="Arial"/>
          <w:noProof/>
          <w:lang w:val="en-GB"/>
        </w:rPr>
      </w:pPr>
    </w:p>
    <w:p w14:paraId="4CC7D660" w14:textId="37020882" w:rsidR="006B74D7" w:rsidRPr="00212FB4" w:rsidRDefault="006B74D7" w:rsidP="00E00F90">
      <w:pPr>
        <w:pStyle w:val="ListParagraph"/>
        <w:widowControl/>
        <w:numPr>
          <w:ilvl w:val="0"/>
          <w:numId w:val="26"/>
        </w:numPr>
        <w:spacing w:line="259" w:lineRule="auto"/>
        <w:ind w:left="360"/>
        <w:rPr>
          <w:rFonts w:ascii="Arial" w:hAnsi="Arial" w:cs="Arial"/>
          <w:noProof/>
          <w:lang w:val="en-GB"/>
        </w:rPr>
      </w:pPr>
      <w:r w:rsidRPr="00212FB4">
        <w:rPr>
          <w:rFonts w:ascii="Arial" w:hAnsi="Arial" w:cs="Arial"/>
          <w:noProof/>
          <w:lang w:val="en-GB"/>
        </w:rPr>
        <w:t xml:space="preserve">Directors’ Report </w:t>
      </w:r>
      <w:r w:rsidRPr="00212FB4">
        <w:rPr>
          <w:rFonts w:ascii="Arial" w:hAnsi="Arial" w:cs="Arial"/>
          <w:noProof/>
          <w:lang w:val="en-GB"/>
        </w:rPr>
        <w:tab/>
      </w:r>
      <w:r w:rsidRPr="00212FB4">
        <w:rPr>
          <w:rFonts w:ascii="Arial" w:hAnsi="Arial" w:cs="Arial"/>
          <w:noProof/>
          <w:lang w:val="en-GB"/>
        </w:rPr>
        <w:tab/>
      </w:r>
      <w:r w:rsidRPr="00212FB4">
        <w:rPr>
          <w:rFonts w:ascii="Arial" w:hAnsi="Arial" w:cs="Arial"/>
          <w:noProof/>
          <w:lang w:val="en-GB"/>
        </w:rPr>
        <w:tab/>
      </w:r>
      <w:r w:rsidRPr="00212FB4">
        <w:rPr>
          <w:rFonts w:ascii="Arial" w:hAnsi="Arial" w:cs="Arial"/>
          <w:noProof/>
          <w:lang w:val="en-GB"/>
        </w:rPr>
        <w:tab/>
      </w:r>
      <w:r w:rsidRPr="00212FB4">
        <w:rPr>
          <w:rFonts w:ascii="Arial" w:hAnsi="Arial" w:cs="Arial"/>
          <w:noProof/>
          <w:lang w:val="en-GB"/>
        </w:rPr>
        <w:tab/>
      </w:r>
      <w:r w:rsidRPr="00212FB4">
        <w:rPr>
          <w:rFonts w:ascii="Arial" w:hAnsi="Arial" w:cs="Arial"/>
          <w:noProof/>
          <w:lang w:val="en-GB"/>
        </w:rPr>
        <w:tab/>
      </w:r>
      <w:r w:rsidR="005648A9" w:rsidRPr="00212FB4">
        <w:rPr>
          <w:rFonts w:ascii="Arial" w:hAnsi="Arial" w:cs="Arial"/>
          <w:noProof/>
          <w:lang w:val="en-GB"/>
        </w:rPr>
        <w:tab/>
      </w:r>
      <w:r w:rsidR="001C13BE" w:rsidRPr="00212FB4">
        <w:rPr>
          <w:rFonts w:ascii="Arial" w:hAnsi="Arial" w:cs="Arial"/>
          <w:noProof/>
          <w:lang w:val="en-GB"/>
        </w:rPr>
        <w:tab/>
      </w:r>
      <w:r w:rsidR="001C13BE" w:rsidRPr="00212FB4">
        <w:rPr>
          <w:rFonts w:ascii="Arial" w:hAnsi="Arial" w:cs="Arial"/>
          <w:noProof/>
          <w:lang w:val="en-GB"/>
        </w:rPr>
        <w:tab/>
      </w:r>
      <w:r w:rsidRPr="00212FB4">
        <w:rPr>
          <w:rFonts w:ascii="Arial" w:hAnsi="Arial" w:cs="Arial"/>
          <w:noProof/>
          <w:lang w:val="en-GB"/>
        </w:rPr>
        <w:t>2</w:t>
      </w:r>
      <w:r w:rsidR="00212FB4" w:rsidRPr="00212FB4">
        <w:rPr>
          <w:rFonts w:ascii="Arial" w:hAnsi="Arial" w:cs="Arial"/>
          <w:noProof/>
          <w:lang w:val="en-GB"/>
        </w:rPr>
        <w:t>4</w:t>
      </w:r>
    </w:p>
    <w:p w14:paraId="2978091A" w14:textId="77777777" w:rsidR="005648A9" w:rsidRPr="00212FB4" w:rsidRDefault="005648A9" w:rsidP="005648A9">
      <w:pPr>
        <w:widowControl/>
        <w:spacing w:line="259" w:lineRule="auto"/>
        <w:ind w:left="360"/>
        <w:rPr>
          <w:rFonts w:ascii="Arial" w:hAnsi="Arial" w:cs="Arial"/>
          <w:noProof/>
          <w:lang w:val="en-GB"/>
        </w:rPr>
      </w:pPr>
    </w:p>
    <w:p w14:paraId="7D01F751" w14:textId="4BA0FD10" w:rsidR="006B74D7" w:rsidRPr="00212FB4" w:rsidRDefault="006B74D7" w:rsidP="00E00F90">
      <w:pPr>
        <w:pStyle w:val="ListParagraph"/>
        <w:widowControl/>
        <w:numPr>
          <w:ilvl w:val="0"/>
          <w:numId w:val="26"/>
        </w:numPr>
        <w:spacing w:line="259" w:lineRule="auto"/>
        <w:ind w:left="360"/>
        <w:rPr>
          <w:rFonts w:ascii="Arial" w:hAnsi="Arial" w:cs="Arial"/>
          <w:noProof/>
          <w:lang w:val="en-GB"/>
        </w:rPr>
      </w:pPr>
      <w:r w:rsidRPr="00212FB4">
        <w:rPr>
          <w:rFonts w:ascii="Arial" w:hAnsi="Arial" w:cs="Arial"/>
          <w:noProof/>
          <w:lang w:val="en-GB"/>
        </w:rPr>
        <w:t xml:space="preserve">Trust Board Meetings </w:t>
      </w:r>
      <w:r w:rsidRPr="00212FB4">
        <w:rPr>
          <w:rFonts w:ascii="Arial" w:hAnsi="Arial" w:cs="Arial"/>
          <w:noProof/>
          <w:lang w:val="en-GB"/>
        </w:rPr>
        <w:tab/>
      </w:r>
      <w:r w:rsidRPr="00212FB4">
        <w:rPr>
          <w:rFonts w:ascii="Arial" w:hAnsi="Arial" w:cs="Arial"/>
          <w:noProof/>
          <w:lang w:val="en-GB"/>
        </w:rPr>
        <w:tab/>
      </w:r>
      <w:r w:rsidRPr="00212FB4">
        <w:rPr>
          <w:rFonts w:ascii="Arial" w:hAnsi="Arial" w:cs="Arial"/>
          <w:noProof/>
          <w:lang w:val="en-GB"/>
        </w:rPr>
        <w:tab/>
      </w:r>
      <w:r w:rsidRPr="00212FB4">
        <w:rPr>
          <w:rFonts w:ascii="Arial" w:hAnsi="Arial" w:cs="Arial"/>
          <w:noProof/>
          <w:lang w:val="en-GB"/>
        </w:rPr>
        <w:tab/>
      </w:r>
      <w:r w:rsidRPr="00212FB4">
        <w:rPr>
          <w:rFonts w:ascii="Arial" w:hAnsi="Arial" w:cs="Arial"/>
          <w:noProof/>
          <w:lang w:val="en-GB"/>
        </w:rPr>
        <w:tab/>
      </w:r>
      <w:r w:rsidRPr="00212FB4">
        <w:rPr>
          <w:rFonts w:ascii="Arial" w:hAnsi="Arial" w:cs="Arial"/>
          <w:noProof/>
          <w:lang w:val="en-GB"/>
        </w:rPr>
        <w:tab/>
      </w:r>
      <w:r w:rsidR="005648A9" w:rsidRPr="00212FB4">
        <w:rPr>
          <w:rFonts w:ascii="Arial" w:hAnsi="Arial" w:cs="Arial"/>
          <w:noProof/>
          <w:lang w:val="en-GB"/>
        </w:rPr>
        <w:tab/>
      </w:r>
      <w:r w:rsidR="001C13BE" w:rsidRPr="00212FB4">
        <w:rPr>
          <w:rFonts w:ascii="Arial" w:hAnsi="Arial" w:cs="Arial"/>
          <w:noProof/>
          <w:lang w:val="en-GB"/>
        </w:rPr>
        <w:tab/>
      </w:r>
      <w:r w:rsidR="00212FB4" w:rsidRPr="00212FB4">
        <w:rPr>
          <w:rFonts w:ascii="Arial" w:hAnsi="Arial" w:cs="Arial"/>
          <w:noProof/>
          <w:lang w:val="en-GB"/>
        </w:rPr>
        <w:t>32</w:t>
      </w:r>
    </w:p>
    <w:p w14:paraId="4F79EC90" w14:textId="77777777" w:rsidR="005648A9" w:rsidRPr="00212FB4" w:rsidRDefault="005648A9" w:rsidP="005648A9">
      <w:pPr>
        <w:widowControl/>
        <w:spacing w:line="259" w:lineRule="auto"/>
        <w:ind w:left="360"/>
        <w:rPr>
          <w:rFonts w:ascii="Arial" w:hAnsi="Arial" w:cs="Arial"/>
          <w:noProof/>
          <w:lang w:val="en-GB"/>
        </w:rPr>
      </w:pPr>
    </w:p>
    <w:p w14:paraId="1375402F" w14:textId="308D139C" w:rsidR="006B74D7" w:rsidRPr="00212FB4" w:rsidRDefault="006B74D7" w:rsidP="00E00F90">
      <w:pPr>
        <w:pStyle w:val="ListParagraph"/>
        <w:widowControl/>
        <w:numPr>
          <w:ilvl w:val="0"/>
          <w:numId w:val="26"/>
        </w:numPr>
        <w:spacing w:line="259" w:lineRule="auto"/>
        <w:ind w:left="360"/>
        <w:rPr>
          <w:rFonts w:ascii="Arial" w:hAnsi="Arial" w:cs="Arial"/>
          <w:noProof/>
          <w:lang w:val="en-GB"/>
        </w:rPr>
      </w:pPr>
      <w:r w:rsidRPr="00212FB4">
        <w:rPr>
          <w:rFonts w:ascii="Arial" w:hAnsi="Arial" w:cs="Arial"/>
          <w:noProof/>
          <w:lang w:val="en-GB"/>
        </w:rPr>
        <w:t xml:space="preserve">Medway NHS Foundation Trust Volunteer Services </w:t>
      </w:r>
      <w:r w:rsidRPr="00212FB4">
        <w:rPr>
          <w:rFonts w:ascii="Arial" w:hAnsi="Arial" w:cs="Arial"/>
          <w:noProof/>
          <w:lang w:val="en-GB"/>
        </w:rPr>
        <w:tab/>
      </w:r>
      <w:r w:rsidRPr="00212FB4">
        <w:rPr>
          <w:rFonts w:ascii="Arial" w:hAnsi="Arial" w:cs="Arial"/>
          <w:noProof/>
          <w:lang w:val="en-GB"/>
        </w:rPr>
        <w:tab/>
      </w:r>
      <w:r w:rsidR="001C13BE" w:rsidRPr="00212FB4">
        <w:rPr>
          <w:rFonts w:ascii="Arial" w:hAnsi="Arial" w:cs="Arial"/>
          <w:noProof/>
          <w:lang w:val="en-GB"/>
        </w:rPr>
        <w:tab/>
      </w:r>
      <w:r w:rsidR="001C13BE" w:rsidRPr="00212FB4">
        <w:rPr>
          <w:rFonts w:ascii="Arial" w:hAnsi="Arial" w:cs="Arial"/>
          <w:noProof/>
          <w:lang w:val="en-GB"/>
        </w:rPr>
        <w:tab/>
      </w:r>
      <w:r w:rsidRPr="00212FB4">
        <w:rPr>
          <w:rFonts w:ascii="Arial" w:hAnsi="Arial" w:cs="Arial"/>
          <w:noProof/>
          <w:lang w:val="en-GB"/>
        </w:rPr>
        <w:t>3</w:t>
      </w:r>
      <w:r w:rsidR="00212FB4" w:rsidRPr="00212FB4">
        <w:rPr>
          <w:rFonts w:ascii="Arial" w:hAnsi="Arial" w:cs="Arial"/>
          <w:noProof/>
          <w:lang w:val="en-GB"/>
        </w:rPr>
        <w:t>9</w:t>
      </w:r>
    </w:p>
    <w:p w14:paraId="142C05D2" w14:textId="77777777" w:rsidR="005648A9" w:rsidRPr="00212FB4" w:rsidRDefault="005648A9" w:rsidP="005648A9">
      <w:pPr>
        <w:widowControl/>
        <w:spacing w:line="259" w:lineRule="auto"/>
        <w:ind w:left="360"/>
        <w:rPr>
          <w:rFonts w:ascii="Arial" w:hAnsi="Arial" w:cs="Arial"/>
          <w:noProof/>
          <w:lang w:val="en-GB"/>
        </w:rPr>
      </w:pPr>
    </w:p>
    <w:p w14:paraId="77E80C59" w14:textId="48CA9AC1" w:rsidR="006B74D7" w:rsidRPr="00212FB4" w:rsidRDefault="006B74D7" w:rsidP="00E00F90">
      <w:pPr>
        <w:pStyle w:val="ListParagraph"/>
        <w:widowControl/>
        <w:numPr>
          <w:ilvl w:val="0"/>
          <w:numId w:val="26"/>
        </w:numPr>
        <w:spacing w:line="259" w:lineRule="auto"/>
        <w:ind w:left="360"/>
        <w:rPr>
          <w:rFonts w:ascii="Arial" w:hAnsi="Arial" w:cs="Arial"/>
          <w:noProof/>
          <w:lang w:val="en-GB"/>
        </w:rPr>
      </w:pPr>
      <w:r w:rsidRPr="00212FB4">
        <w:rPr>
          <w:rFonts w:ascii="Arial" w:hAnsi="Arial" w:cs="Arial"/>
          <w:noProof/>
          <w:lang w:val="en-GB"/>
        </w:rPr>
        <w:t xml:space="preserve">Governors’ Report </w:t>
      </w:r>
      <w:r w:rsidRPr="00212FB4">
        <w:rPr>
          <w:rFonts w:ascii="Arial" w:hAnsi="Arial" w:cs="Arial"/>
          <w:noProof/>
          <w:lang w:val="en-GB"/>
        </w:rPr>
        <w:tab/>
      </w:r>
      <w:r w:rsidRPr="00212FB4">
        <w:rPr>
          <w:rFonts w:ascii="Arial" w:hAnsi="Arial" w:cs="Arial"/>
          <w:noProof/>
          <w:lang w:val="en-GB"/>
        </w:rPr>
        <w:tab/>
      </w:r>
      <w:r w:rsidRPr="00212FB4">
        <w:rPr>
          <w:rFonts w:ascii="Arial" w:hAnsi="Arial" w:cs="Arial"/>
          <w:noProof/>
          <w:lang w:val="en-GB"/>
        </w:rPr>
        <w:tab/>
      </w:r>
      <w:r w:rsidRPr="00212FB4">
        <w:rPr>
          <w:rFonts w:ascii="Arial" w:hAnsi="Arial" w:cs="Arial"/>
          <w:noProof/>
          <w:lang w:val="en-GB"/>
        </w:rPr>
        <w:tab/>
      </w:r>
      <w:r w:rsidRPr="00212FB4">
        <w:rPr>
          <w:rFonts w:ascii="Arial" w:hAnsi="Arial" w:cs="Arial"/>
          <w:noProof/>
          <w:lang w:val="en-GB"/>
        </w:rPr>
        <w:tab/>
      </w:r>
      <w:r w:rsidRPr="00212FB4">
        <w:rPr>
          <w:rFonts w:ascii="Arial" w:hAnsi="Arial" w:cs="Arial"/>
          <w:noProof/>
          <w:lang w:val="en-GB"/>
        </w:rPr>
        <w:tab/>
      </w:r>
      <w:r w:rsidR="005648A9" w:rsidRPr="00212FB4">
        <w:rPr>
          <w:rFonts w:ascii="Arial" w:hAnsi="Arial" w:cs="Arial"/>
          <w:noProof/>
          <w:lang w:val="en-GB"/>
        </w:rPr>
        <w:tab/>
      </w:r>
      <w:r w:rsidR="001C13BE" w:rsidRPr="00212FB4">
        <w:rPr>
          <w:rFonts w:ascii="Arial" w:hAnsi="Arial" w:cs="Arial"/>
          <w:noProof/>
          <w:lang w:val="en-GB"/>
        </w:rPr>
        <w:tab/>
      </w:r>
      <w:r w:rsidR="00212FB4" w:rsidRPr="00212FB4">
        <w:rPr>
          <w:rFonts w:ascii="Arial" w:hAnsi="Arial" w:cs="Arial"/>
          <w:noProof/>
          <w:lang w:val="en-GB"/>
        </w:rPr>
        <w:t>41</w:t>
      </w:r>
    </w:p>
    <w:p w14:paraId="1C2EA1FA" w14:textId="77777777" w:rsidR="005648A9" w:rsidRPr="00212FB4" w:rsidRDefault="005648A9" w:rsidP="005648A9">
      <w:pPr>
        <w:widowControl/>
        <w:spacing w:line="259" w:lineRule="auto"/>
        <w:ind w:left="360"/>
        <w:rPr>
          <w:rFonts w:ascii="Arial" w:hAnsi="Arial" w:cs="Arial"/>
          <w:noProof/>
          <w:lang w:val="en-GB"/>
        </w:rPr>
      </w:pPr>
    </w:p>
    <w:p w14:paraId="4408C02C" w14:textId="1419004F" w:rsidR="006B74D7" w:rsidRPr="00212FB4" w:rsidRDefault="006B74D7" w:rsidP="00E00F90">
      <w:pPr>
        <w:pStyle w:val="ListParagraph"/>
        <w:widowControl/>
        <w:numPr>
          <w:ilvl w:val="0"/>
          <w:numId w:val="26"/>
        </w:numPr>
        <w:spacing w:line="259" w:lineRule="auto"/>
        <w:ind w:left="360"/>
        <w:rPr>
          <w:rFonts w:ascii="Arial" w:hAnsi="Arial" w:cs="Arial"/>
          <w:noProof/>
          <w:lang w:val="en-GB"/>
        </w:rPr>
      </w:pPr>
      <w:r w:rsidRPr="00212FB4">
        <w:rPr>
          <w:rFonts w:ascii="Arial" w:hAnsi="Arial" w:cs="Arial"/>
          <w:noProof/>
          <w:lang w:val="en-GB"/>
        </w:rPr>
        <w:t xml:space="preserve">Remuneration Report </w:t>
      </w:r>
      <w:r w:rsidRPr="00212FB4">
        <w:rPr>
          <w:rFonts w:ascii="Arial" w:hAnsi="Arial" w:cs="Arial"/>
          <w:noProof/>
          <w:lang w:val="en-GB"/>
        </w:rPr>
        <w:tab/>
      </w:r>
      <w:r w:rsidRPr="00212FB4">
        <w:rPr>
          <w:rFonts w:ascii="Arial" w:hAnsi="Arial" w:cs="Arial"/>
          <w:noProof/>
          <w:lang w:val="en-GB"/>
        </w:rPr>
        <w:tab/>
      </w:r>
      <w:r w:rsidRPr="00212FB4">
        <w:rPr>
          <w:rFonts w:ascii="Arial" w:hAnsi="Arial" w:cs="Arial"/>
          <w:noProof/>
          <w:lang w:val="en-GB"/>
        </w:rPr>
        <w:tab/>
      </w:r>
      <w:r w:rsidRPr="00212FB4">
        <w:rPr>
          <w:rFonts w:ascii="Arial" w:hAnsi="Arial" w:cs="Arial"/>
          <w:noProof/>
          <w:lang w:val="en-GB"/>
        </w:rPr>
        <w:tab/>
      </w:r>
      <w:r w:rsidRPr="00212FB4">
        <w:rPr>
          <w:rFonts w:ascii="Arial" w:hAnsi="Arial" w:cs="Arial"/>
          <w:noProof/>
          <w:lang w:val="en-GB"/>
        </w:rPr>
        <w:tab/>
      </w:r>
      <w:r w:rsidRPr="00212FB4">
        <w:rPr>
          <w:rFonts w:ascii="Arial" w:hAnsi="Arial" w:cs="Arial"/>
          <w:noProof/>
          <w:lang w:val="en-GB"/>
        </w:rPr>
        <w:tab/>
      </w:r>
      <w:r w:rsidR="005648A9" w:rsidRPr="00212FB4">
        <w:rPr>
          <w:rFonts w:ascii="Arial" w:hAnsi="Arial" w:cs="Arial"/>
          <w:noProof/>
          <w:lang w:val="en-GB"/>
        </w:rPr>
        <w:tab/>
      </w:r>
      <w:r w:rsidR="001C13BE" w:rsidRPr="00212FB4">
        <w:rPr>
          <w:rFonts w:ascii="Arial" w:hAnsi="Arial" w:cs="Arial"/>
          <w:noProof/>
          <w:lang w:val="en-GB"/>
        </w:rPr>
        <w:tab/>
      </w:r>
      <w:r w:rsidR="00212FB4" w:rsidRPr="00212FB4">
        <w:rPr>
          <w:rFonts w:ascii="Arial" w:hAnsi="Arial" w:cs="Arial"/>
          <w:noProof/>
          <w:lang w:val="en-GB"/>
        </w:rPr>
        <w:t>52</w:t>
      </w:r>
    </w:p>
    <w:p w14:paraId="1EC13559" w14:textId="77777777" w:rsidR="005648A9" w:rsidRPr="00212FB4" w:rsidRDefault="005648A9" w:rsidP="005648A9">
      <w:pPr>
        <w:widowControl/>
        <w:spacing w:line="259" w:lineRule="auto"/>
        <w:ind w:left="360"/>
        <w:rPr>
          <w:rFonts w:ascii="Arial" w:hAnsi="Arial" w:cs="Arial"/>
          <w:noProof/>
          <w:lang w:val="en-GB"/>
        </w:rPr>
      </w:pPr>
    </w:p>
    <w:p w14:paraId="7528573E" w14:textId="3A0D11A7" w:rsidR="006B74D7" w:rsidRPr="00212FB4" w:rsidRDefault="006B74D7" w:rsidP="00E00F90">
      <w:pPr>
        <w:pStyle w:val="ListParagraph"/>
        <w:widowControl/>
        <w:numPr>
          <w:ilvl w:val="0"/>
          <w:numId w:val="26"/>
        </w:numPr>
        <w:spacing w:line="259" w:lineRule="auto"/>
        <w:ind w:left="360"/>
        <w:rPr>
          <w:rFonts w:ascii="Arial" w:hAnsi="Arial" w:cs="Arial"/>
          <w:noProof/>
          <w:lang w:val="en-GB"/>
        </w:rPr>
      </w:pPr>
      <w:r w:rsidRPr="00212FB4">
        <w:rPr>
          <w:rFonts w:ascii="Arial" w:hAnsi="Arial" w:cs="Arial"/>
          <w:noProof/>
          <w:lang w:val="en-GB"/>
        </w:rPr>
        <w:t xml:space="preserve">Staff Report </w:t>
      </w:r>
      <w:r w:rsidRPr="00212FB4">
        <w:rPr>
          <w:rFonts w:ascii="Arial" w:hAnsi="Arial" w:cs="Arial"/>
          <w:noProof/>
          <w:lang w:val="en-GB"/>
        </w:rPr>
        <w:tab/>
      </w:r>
      <w:r w:rsidRPr="00212FB4">
        <w:rPr>
          <w:rFonts w:ascii="Arial" w:hAnsi="Arial" w:cs="Arial"/>
          <w:noProof/>
          <w:lang w:val="en-GB"/>
        </w:rPr>
        <w:tab/>
      </w:r>
      <w:r w:rsidRPr="00212FB4">
        <w:rPr>
          <w:rFonts w:ascii="Arial" w:hAnsi="Arial" w:cs="Arial"/>
          <w:noProof/>
          <w:lang w:val="en-GB"/>
        </w:rPr>
        <w:tab/>
      </w:r>
      <w:r w:rsidRPr="00212FB4">
        <w:rPr>
          <w:rFonts w:ascii="Arial" w:hAnsi="Arial" w:cs="Arial"/>
          <w:noProof/>
          <w:lang w:val="en-GB"/>
        </w:rPr>
        <w:tab/>
      </w:r>
      <w:r w:rsidRPr="00212FB4">
        <w:rPr>
          <w:rFonts w:ascii="Arial" w:hAnsi="Arial" w:cs="Arial"/>
          <w:noProof/>
          <w:lang w:val="en-GB"/>
        </w:rPr>
        <w:tab/>
      </w:r>
      <w:r w:rsidRPr="00212FB4">
        <w:rPr>
          <w:rFonts w:ascii="Arial" w:hAnsi="Arial" w:cs="Arial"/>
          <w:noProof/>
          <w:lang w:val="en-GB"/>
        </w:rPr>
        <w:tab/>
      </w:r>
      <w:r w:rsidRPr="00212FB4">
        <w:rPr>
          <w:rFonts w:ascii="Arial" w:hAnsi="Arial" w:cs="Arial"/>
          <w:noProof/>
          <w:lang w:val="en-GB"/>
        </w:rPr>
        <w:tab/>
      </w:r>
      <w:r w:rsidR="005648A9" w:rsidRPr="00212FB4">
        <w:rPr>
          <w:rFonts w:ascii="Arial" w:hAnsi="Arial" w:cs="Arial"/>
          <w:noProof/>
          <w:lang w:val="en-GB"/>
        </w:rPr>
        <w:tab/>
      </w:r>
      <w:r w:rsidR="001C13BE" w:rsidRPr="00212FB4">
        <w:rPr>
          <w:rFonts w:ascii="Arial" w:hAnsi="Arial" w:cs="Arial"/>
          <w:noProof/>
          <w:lang w:val="en-GB"/>
        </w:rPr>
        <w:tab/>
      </w:r>
      <w:r w:rsidR="00212FB4" w:rsidRPr="00212FB4">
        <w:rPr>
          <w:rFonts w:ascii="Arial" w:hAnsi="Arial" w:cs="Arial"/>
          <w:noProof/>
          <w:lang w:val="en-GB"/>
        </w:rPr>
        <w:t>57</w:t>
      </w:r>
    </w:p>
    <w:p w14:paraId="27A7E368" w14:textId="77777777" w:rsidR="005648A9" w:rsidRPr="00212FB4" w:rsidRDefault="005648A9" w:rsidP="005648A9">
      <w:pPr>
        <w:widowControl/>
        <w:spacing w:line="259" w:lineRule="auto"/>
        <w:ind w:left="360"/>
        <w:rPr>
          <w:rFonts w:ascii="Arial" w:hAnsi="Arial" w:cs="Arial"/>
          <w:noProof/>
          <w:lang w:val="en-GB"/>
        </w:rPr>
      </w:pPr>
    </w:p>
    <w:p w14:paraId="6ECBC640" w14:textId="7704E9DD" w:rsidR="006B74D7" w:rsidRPr="00212FB4" w:rsidRDefault="006B74D7" w:rsidP="00E00F90">
      <w:pPr>
        <w:pStyle w:val="ListParagraph"/>
        <w:widowControl/>
        <w:numPr>
          <w:ilvl w:val="0"/>
          <w:numId w:val="26"/>
        </w:numPr>
        <w:spacing w:line="259" w:lineRule="auto"/>
        <w:ind w:left="360"/>
        <w:rPr>
          <w:rFonts w:ascii="Arial" w:hAnsi="Arial" w:cs="Arial"/>
          <w:noProof/>
          <w:lang w:val="en-GB"/>
        </w:rPr>
      </w:pPr>
      <w:r w:rsidRPr="00212FB4">
        <w:rPr>
          <w:rFonts w:ascii="Arial" w:hAnsi="Arial" w:cs="Arial"/>
          <w:noProof/>
          <w:lang w:val="en-GB"/>
        </w:rPr>
        <w:t>Code of Governance for NHS Provider Trusts</w:t>
      </w:r>
      <w:r w:rsidRPr="00212FB4">
        <w:rPr>
          <w:rFonts w:ascii="Arial" w:hAnsi="Arial" w:cs="Arial"/>
          <w:noProof/>
          <w:lang w:val="en-GB"/>
        </w:rPr>
        <w:tab/>
      </w:r>
      <w:r w:rsidRPr="00212FB4">
        <w:rPr>
          <w:rFonts w:ascii="Arial" w:hAnsi="Arial" w:cs="Arial"/>
          <w:noProof/>
          <w:lang w:val="en-GB"/>
        </w:rPr>
        <w:tab/>
      </w:r>
      <w:r w:rsidRPr="00212FB4">
        <w:rPr>
          <w:rFonts w:ascii="Arial" w:hAnsi="Arial" w:cs="Arial"/>
          <w:noProof/>
          <w:lang w:val="en-GB"/>
        </w:rPr>
        <w:tab/>
      </w:r>
      <w:r w:rsidR="001C13BE" w:rsidRPr="00212FB4">
        <w:rPr>
          <w:rFonts w:ascii="Arial" w:hAnsi="Arial" w:cs="Arial"/>
          <w:noProof/>
          <w:lang w:val="en-GB"/>
        </w:rPr>
        <w:tab/>
      </w:r>
      <w:r w:rsidR="001C13BE" w:rsidRPr="00212FB4">
        <w:rPr>
          <w:rFonts w:ascii="Arial" w:hAnsi="Arial" w:cs="Arial"/>
          <w:noProof/>
          <w:lang w:val="en-GB"/>
        </w:rPr>
        <w:tab/>
      </w:r>
      <w:r w:rsidR="00212FB4" w:rsidRPr="00212FB4">
        <w:rPr>
          <w:rFonts w:ascii="Arial" w:hAnsi="Arial" w:cs="Arial"/>
          <w:noProof/>
          <w:lang w:val="en-GB"/>
        </w:rPr>
        <w:t>65</w:t>
      </w:r>
    </w:p>
    <w:p w14:paraId="1A816B4E" w14:textId="77777777" w:rsidR="005648A9" w:rsidRPr="00212FB4" w:rsidRDefault="005648A9" w:rsidP="005648A9">
      <w:pPr>
        <w:widowControl/>
        <w:spacing w:line="259" w:lineRule="auto"/>
        <w:ind w:left="360"/>
        <w:rPr>
          <w:rFonts w:ascii="Arial" w:hAnsi="Arial" w:cs="Arial"/>
          <w:noProof/>
          <w:lang w:val="en-GB"/>
        </w:rPr>
      </w:pPr>
    </w:p>
    <w:p w14:paraId="71FE5218" w14:textId="65200E84" w:rsidR="006B74D7" w:rsidRPr="00212FB4" w:rsidRDefault="006B74D7" w:rsidP="00E00F90">
      <w:pPr>
        <w:pStyle w:val="ListParagraph"/>
        <w:widowControl/>
        <w:numPr>
          <w:ilvl w:val="0"/>
          <w:numId w:val="26"/>
        </w:numPr>
        <w:spacing w:line="259" w:lineRule="auto"/>
        <w:ind w:left="360"/>
        <w:rPr>
          <w:rFonts w:ascii="Arial" w:hAnsi="Arial" w:cs="Arial"/>
          <w:noProof/>
          <w:lang w:val="en-GB"/>
        </w:rPr>
      </w:pPr>
      <w:r w:rsidRPr="00212FB4">
        <w:rPr>
          <w:rFonts w:ascii="Arial" w:hAnsi="Arial" w:cs="Arial"/>
          <w:noProof/>
          <w:lang w:val="en-GB"/>
        </w:rPr>
        <w:t>NHS System Oversight Framework</w:t>
      </w:r>
      <w:r w:rsidRPr="00212FB4">
        <w:rPr>
          <w:rFonts w:ascii="Arial" w:hAnsi="Arial" w:cs="Arial"/>
          <w:noProof/>
          <w:lang w:val="en-GB"/>
        </w:rPr>
        <w:tab/>
      </w:r>
      <w:r w:rsidRPr="00212FB4">
        <w:rPr>
          <w:rFonts w:ascii="Arial" w:hAnsi="Arial" w:cs="Arial"/>
          <w:noProof/>
          <w:lang w:val="en-GB"/>
        </w:rPr>
        <w:tab/>
      </w:r>
      <w:r w:rsidRPr="00212FB4">
        <w:rPr>
          <w:rFonts w:ascii="Arial" w:hAnsi="Arial" w:cs="Arial"/>
          <w:noProof/>
          <w:lang w:val="en-GB"/>
        </w:rPr>
        <w:tab/>
      </w:r>
      <w:r w:rsidRPr="00212FB4">
        <w:rPr>
          <w:rFonts w:ascii="Arial" w:hAnsi="Arial" w:cs="Arial"/>
          <w:noProof/>
          <w:lang w:val="en-GB"/>
        </w:rPr>
        <w:tab/>
      </w:r>
      <w:r w:rsidR="005648A9" w:rsidRPr="00212FB4">
        <w:rPr>
          <w:rFonts w:ascii="Arial" w:hAnsi="Arial" w:cs="Arial"/>
          <w:noProof/>
          <w:lang w:val="en-GB"/>
        </w:rPr>
        <w:tab/>
      </w:r>
      <w:r w:rsidR="001C13BE" w:rsidRPr="00212FB4">
        <w:rPr>
          <w:rFonts w:ascii="Arial" w:hAnsi="Arial" w:cs="Arial"/>
          <w:noProof/>
          <w:lang w:val="en-GB"/>
        </w:rPr>
        <w:tab/>
      </w:r>
      <w:r w:rsidR="00212FB4" w:rsidRPr="00212FB4">
        <w:rPr>
          <w:rFonts w:ascii="Arial" w:hAnsi="Arial" w:cs="Arial"/>
          <w:noProof/>
          <w:lang w:val="en-GB"/>
        </w:rPr>
        <w:t>80</w:t>
      </w:r>
    </w:p>
    <w:p w14:paraId="44A05CDA" w14:textId="77777777" w:rsidR="005648A9" w:rsidRPr="00212FB4" w:rsidRDefault="005648A9" w:rsidP="005648A9">
      <w:pPr>
        <w:pStyle w:val="ListParagraph"/>
        <w:widowControl/>
        <w:spacing w:line="259" w:lineRule="auto"/>
        <w:ind w:left="360"/>
        <w:rPr>
          <w:rFonts w:ascii="Arial" w:hAnsi="Arial" w:cs="Arial"/>
          <w:noProof/>
          <w:lang w:val="en-GB"/>
        </w:rPr>
      </w:pPr>
    </w:p>
    <w:p w14:paraId="5716F408" w14:textId="77777777" w:rsidR="005648A9" w:rsidRPr="00212FB4" w:rsidRDefault="006B74D7" w:rsidP="00E00F90">
      <w:pPr>
        <w:pStyle w:val="ListParagraph"/>
        <w:widowControl/>
        <w:numPr>
          <w:ilvl w:val="0"/>
          <w:numId w:val="26"/>
        </w:numPr>
        <w:spacing w:line="259" w:lineRule="auto"/>
        <w:ind w:left="360"/>
        <w:rPr>
          <w:rFonts w:ascii="Arial" w:hAnsi="Arial" w:cs="Arial"/>
          <w:noProof/>
          <w:lang w:val="en-GB"/>
        </w:rPr>
      </w:pPr>
      <w:r w:rsidRPr="00212FB4">
        <w:rPr>
          <w:rFonts w:ascii="Arial" w:hAnsi="Arial" w:cs="Arial"/>
          <w:noProof/>
          <w:lang w:val="en-GB"/>
        </w:rPr>
        <w:t>Statement of the Chief Executive's responsibilities as the</w:t>
      </w:r>
    </w:p>
    <w:p w14:paraId="269CB2C5" w14:textId="690690BD" w:rsidR="006B74D7" w:rsidRPr="00212FB4" w:rsidRDefault="006B74D7" w:rsidP="005648A9">
      <w:pPr>
        <w:pStyle w:val="ListParagraph"/>
        <w:widowControl/>
        <w:spacing w:line="259" w:lineRule="auto"/>
        <w:ind w:left="360"/>
        <w:rPr>
          <w:rFonts w:ascii="Arial" w:hAnsi="Arial" w:cs="Arial"/>
          <w:noProof/>
          <w:lang w:val="en-GB"/>
        </w:rPr>
      </w:pPr>
      <w:r w:rsidRPr="00212FB4">
        <w:rPr>
          <w:rFonts w:ascii="Arial" w:hAnsi="Arial" w:cs="Arial"/>
          <w:noProof/>
          <w:lang w:val="en-GB"/>
        </w:rPr>
        <w:t>Accounting Officer of Medway NHS Foundation Trust</w:t>
      </w:r>
      <w:r w:rsidRPr="00212FB4">
        <w:rPr>
          <w:rFonts w:ascii="Arial" w:hAnsi="Arial" w:cs="Arial"/>
          <w:noProof/>
          <w:lang w:val="en-GB"/>
        </w:rPr>
        <w:tab/>
      </w:r>
      <w:r w:rsidR="005648A9" w:rsidRPr="00212FB4">
        <w:rPr>
          <w:rFonts w:ascii="Arial" w:hAnsi="Arial" w:cs="Arial"/>
          <w:noProof/>
          <w:lang w:val="en-GB"/>
        </w:rPr>
        <w:tab/>
      </w:r>
      <w:r w:rsidR="001C13BE" w:rsidRPr="00212FB4">
        <w:rPr>
          <w:rFonts w:ascii="Arial" w:hAnsi="Arial" w:cs="Arial"/>
          <w:noProof/>
          <w:lang w:val="en-GB"/>
        </w:rPr>
        <w:tab/>
      </w:r>
      <w:r w:rsidR="001C13BE" w:rsidRPr="00212FB4">
        <w:rPr>
          <w:rFonts w:ascii="Arial" w:hAnsi="Arial" w:cs="Arial"/>
          <w:noProof/>
          <w:lang w:val="en-GB"/>
        </w:rPr>
        <w:tab/>
      </w:r>
      <w:r w:rsidR="00212FB4" w:rsidRPr="00212FB4">
        <w:rPr>
          <w:rFonts w:ascii="Arial" w:hAnsi="Arial" w:cs="Arial"/>
          <w:noProof/>
          <w:lang w:val="en-GB"/>
        </w:rPr>
        <w:t>81</w:t>
      </w:r>
    </w:p>
    <w:p w14:paraId="6482FD91" w14:textId="77777777" w:rsidR="005648A9" w:rsidRPr="00212FB4" w:rsidRDefault="005648A9" w:rsidP="005648A9">
      <w:pPr>
        <w:pStyle w:val="ListParagraph"/>
        <w:widowControl/>
        <w:spacing w:line="259" w:lineRule="auto"/>
        <w:ind w:left="360"/>
        <w:rPr>
          <w:rFonts w:ascii="Arial" w:hAnsi="Arial" w:cs="Arial"/>
          <w:noProof/>
          <w:lang w:val="en-GB"/>
        </w:rPr>
      </w:pPr>
    </w:p>
    <w:p w14:paraId="104680E4" w14:textId="2E09FA61" w:rsidR="005648A9" w:rsidRPr="00212FB4" w:rsidRDefault="006B74D7" w:rsidP="00E00F90">
      <w:pPr>
        <w:pStyle w:val="ListParagraph"/>
        <w:widowControl/>
        <w:numPr>
          <w:ilvl w:val="0"/>
          <w:numId w:val="26"/>
        </w:numPr>
        <w:spacing w:line="259" w:lineRule="auto"/>
        <w:ind w:left="360"/>
        <w:rPr>
          <w:rFonts w:ascii="Arial" w:hAnsi="Arial" w:cs="Arial"/>
          <w:noProof/>
          <w:lang w:val="en-GB"/>
        </w:rPr>
      </w:pPr>
      <w:r w:rsidRPr="00212FB4">
        <w:rPr>
          <w:rFonts w:ascii="Arial" w:hAnsi="Arial" w:cs="Arial"/>
          <w:noProof/>
          <w:lang w:val="en-GB"/>
        </w:rPr>
        <w:t>Annual Governance Statement 202</w:t>
      </w:r>
      <w:r w:rsidR="009B78CC" w:rsidRPr="00212FB4">
        <w:rPr>
          <w:rFonts w:ascii="Arial" w:hAnsi="Arial" w:cs="Arial"/>
          <w:noProof/>
          <w:lang w:val="en-GB"/>
        </w:rPr>
        <w:t>4</w:t>
      </w:r>
      <w:r w:rsidRPr="00212FB4">
        <w:rPr>
          <w:rFonts w:ascii="Arial" w:hAnsi="Arial" w:cs="Arial"/>
          <w:noProof/>
          <w:lang w:val="en-GB"/>
        </w:rPr>
        <w:t>-202</w:t>
      </w:r>
      <w:r w:rsidR="009B78CC" w:rsidRPr="00212FB4">
        <w:rPr>
          <w:rFonts w:ascii="Arial" w:hAnsi="Arial" w:cs="Arial"/>
          <w:noProof/>
          <w:lang w:val="en-GB"/>
        </w:rPr>
        <w:t>5</w:t>
      </w:r>
      <w:r w:rsidRPr="00212FB4">
        <w:rPr>
          <w:rFonts w:ascii="Arial" w:hAnsi="Arial" w:cs="Arial"/>
          <w:noProof/>
          <w:lang w:val="en-GB"/>
        </w:rPr>
        <w:tab/>
      </w:r>
      <w:r w:rsidRPr="00212FB4">
        <w:rPr>
          <w:rFonts w:ascii="Arial" w:hAnsi="Arial" w:cs="Arial"/>
          <w:noProof/>
          <w:lang w:val="en-GB"/>
        </w:rPr>
        <w:tab/>
      </w:r>
      <w:r w:rsidRPr="00212FB4">
        <w:rPr>
          <w:rFonts w:ascii="Arial" w:hAnsi="Arial" w:cs="Arial"/>
          <w:noProof/>
          <w:lang w:val="en-GB"/>
        </w:rPr>
        <w:tab/>
      </w:r>
      <w:r w:rsidR="005648A9" w:rsidRPr="00212FB4">
        <w:rPr>
          <w:rFonts w:ascii="Arial" w:hAnsi="Arial" w:cs="Arial"/>
          <w:noProof/>
          <w:lang w:val="en-GB"/>
        </w:rPr>
        <w:tab/>
      </w:r>
      <w:r w:rsidR="001C13BE" w:rsidRPr="00212FB4">
        <w:rPr>
          <w:rFonts w:ascii="Arial" w:hAnsi="Arial" w:cs="Arial"/>
          <w:noProof/>
          <w:lang w:val="en-GB"/>
        </w:rPr>
        <w:tab/>
      </w:r>
      <w:r w:rsidR="00212FB4" w:rsidRPr="00212FB4">
        <w:rPr>
          <w:rFonts w:ascii="Arial" w:hAnsi="Arial" w:cs="Arial"/>
          <w:noProof/>
          <w:lang w:val="en-GB"/>
        </w:rPr>
        <w:t>82</w:t>
      </w:r>
    </w:p>
    <w:p w14:paraId="7BCB5CCD" w14:textId="77777777" w:rsidR="005648A9" w:rsidRPr="00212FB4" w:rsidRDefault="005648A9" w:rsidP="005648A9">
      <w:pPr>
        <w:pStyle w:val="ListParagraph"/>
        <w:widowControl/>
        <w:spacing w:line="259" w:lineRule="auto"/>
        <w:ind w:left="360"/>
        <w:rPr>
          <w:rFonts w:ascii="Arial" w:hAnsi="Arial" w:cs="Arial"/>
          <w:noProof/>
          <w:lang w:val="en-GB"/>
        </w:rPr>
      </w:pPr>
    </w:p>
    <w:p w14:paraId="43B42A98" w14:textId="77777777" w:rsidR="005648A9" w:rsidRPr="00212FB4" w:rsidRDefault="006B74D7" w:rsidP="00E00F90">
      <w:pPr>
        <w:pStyle w:val="ListParagraph"/>
        <w:widowControl/>
        <w:numPr>
          <w:ilvl w:val="0"/>
          <w:numId w:val="26"/>
        </w:numPr>
        <w:spacing w:line="259" w:lineRule="auto"/>
        <w:ind w:left="360"/>
        <w:rPr>
          <w:rFonts w:ascii="Arial" w:hAnsi="Arial" w:cs="Arial"/>
          <w:noProof/>
          <w:lang w:val="en-GB"/>
        </w:rPr>
      </w:pPr>
      <w:r w:rsidRPr="00212FB4">
        <w:rPr>
          <w:rFonts w:ascii="Arial" w:hAnsi="Arial" w:cs="Arial"/>
          <w:noProof/>
          <w:lang w:val="en-GB"/>
        </w:rPr>
        <w:t xml:space="preserve">Independent auditor's report to the Council of Governors </w:t>
      </w:r>
    </w:p>
    <w:p w14:paraId="71D2E873" w14:textId="22160488" w:rsidR="006B74D7" w:rsidRPr="00212FB4" w:rsidRDefault="006B74D7" w:rsidP="005648A9">
      <w:pPr>
        <w:pStyle w:val="ListParagraph"/>
        <w:widowControl/>
        <w:spacing w:line="259" w:lineRule="auto"/>
        <w:ind w:left="360"/>
        <w:rPr>
          <w:rFonts w:ascii="Arial" w:hAnsi="Arial" w:cs="Arial"/>
          <w:noProof/>
          <w:lang w:val="en-GB"/>
        </w:rPr>
      </w:pPr>
      <w:r w:rsidRPr="00212FB4">
        <w:rPr>
          <w:rFonts w:ascii="Arial" w:hAnsi="Arial" w:cs="Arial"/>
          <w:noProof/>
          <w:lang w:val="en-GB"/>
        </w:rPr>
        <w:t>of Medway NHS Foundation Trust</w:t>
      </w:r>
      <w:r w:rsidRPr="00212FB4">
        <w:rPr>
          <w:rFonts w:ascii="Arial" w:hAnsi="Arial" w:cs="Arial"/>
          <w:noProof/>
          <w:lang w:val="en-GB"/>
        </w:rPr>
        <w:tab/>
      </w:r>
      <w:r w:rsidRPr="00212FB4">
        <w:rPr>
          <w:rFonts w:ascii="Arial" w:hAnsi="Arial" w:cs="Arial"/>
          <w:noProof/>
          <w:lang w:val="en-GB"/>
        </w:rPr>
        <w:tab/>
      </w:r>
      <w:r w:rsidRPr="00212FB4">
        <w:rPr>
          <w:rFonts w:ascii="Arial" w:hAnsi="Arial" w:cs="Arial"/>
          <w:noProof/>
          <w:lang w:val="en-GB"/>
        </w:rPr>
        <w:tab/>
      </w:r>
      <w:r w:rsidRPr="00212FB4">
        <w:rPr>
          <w:rFonts w:ascii="Arial" w:hAnsi="Arial" w:cs="Arial"/>
          <w:noProof/>
          <w:lang w:val="en-GB"/>
        </w:rPr>
        <w:tab/>
      </w:r>
      <w:r w:rsidR="005648A9" w:rsidRPr="00212FB4">
        <w:rPr>
          <w:rFonts w:ascii="Arial" w:hAnsi="Arial" w:cs="Arial"/>
          <w:noProof/>
          <w:lang w:val="en-GB"/>
        </w:rPr>
        <w:tab/>
      </w:r>
      <w:r w:rsidR="001C13BE" w:rsidRPr="00212FB4">
        <w:rPr>
          <w:rFonts w:ascii="Arial" w:hAnsi="Arial" w:cs="Arial"/>
          <w:noProof/>
          <w:lang w:val="en-GB"/>
        </w:rPr>
        <w:tab/>
      </w:r>
      <w:r w:rsidR="00212FB4" w:rsidRPr="00212FB4">
        <w:rPr>
          <w:rFonts w:ascii="Arial" w:hAnsi="Arial" w:cs="Arial"/>
          <w:noProof/>
          <w:lang w:val="en-GB"/>
        </w:rPr>
        <w:t>91</w:t>
      </w:r>
    </w:p>
    <w:p w14:paraId="432C7ECF" w14:textId="77777777" w:rsidR="005648A9" w:rsidRPr="00212FB4" w:rsidRDefault="005648A9" w:rsidP="005648A9">
      <w:pPr>
        <w:pStyle w:val="ListParagraph"/>
        <w:widowControl/>
        <w:spacing w:line="259" w:lineRule="auto"/>
        <w:ind w:left="360"/>
        <w:rPr>
          <w:rFonts w:ascii="Arial" w:hAnsi="Arial" w:cs="Arial"/>
          <w:noProof/>
          <w:lang w:val="en-GB"/>
        </w:rPr>
      </w:pPr>
    </w:p>
    <w:p w14:paraId="1D09AEEE" w14:textId="426D4B9B" w:rsidR="005648A9" w:rsidRPr="00212FB4" w:rsidRDefault="006B74D7" w:rsidP="00E00F90">
      <w:pPr>
        <w:pStyle w:val="ListParagraph"/>
        <w:widowControl/>
        <w:numPr>
          <w:ilvl w:val="0"/>
          <w:numId w:val="26"/>
        </w:numPr>
        <w:spacing w:line="259" w:lineRule="auto"/>
        <w:ind w:left="360"/>
        <w:rPr>
          <w:rFonts w:ascii="Arial" w:hAnsi="Arial" w:cs="Arial"/>
          <w:noProof/>
          <w:lang w:val="en-GB"/>
        </w:rPr>
      </w:pPr>
      <w:r w:rsidRPr="00212FB4">
        <w:rPr>
          <w:rFonts w:ascii="Arial" w:hAnsi="Arial" w:cs="Arial"/>
          <w:noProof/>
          <w:lang w:val="en-GB"/>
        </w:rPr>
        <w:t xml:space="preserve">Annual Accounts </w:t>
      </w:r>
      <w:r w:rsidRPr="00212FB4">
        <w:rPr>
          <w:rFonts w:ascii="Arial" w:hAnsi="Arial" w:cs="Arial"/>
          <w:noProof/>
          <w:lang w:val="en-GB"/>
        </w:rPr>
        <w:tab/>
      </w:r>
      <w:r w:rsidRPr="00212FB4">
        <w:rPr>
          <w:rFonts w:ascii="Arial" w:hAnsi="Arial" w:cs="Arial"/>
          <w:noProof/>
          <w:lang w:val="en-GB"/>
        </w:rPr>
        <w:tab/>
      </w:r>
      <w:r w:rsidRPr="00212FB4">
        <w:rPr>
          <w:rFonts w:ascii="Arial" w:hAnsi="Arial" w:cs="Arial"/>
          <w:noProof/>
          <w:lang w:val="en-GB"/>
        </w:rPr>
        <w:tab/>
      </w:r>
      <w:r w:rsidRPr="00212FB4">
        <w:rPr>
          <w:rFonts w:ascii="Arial" w:hAnsi="Arial" w:cs="Arial"/>
          <w:noProof/>
          <w:lang w:val="en-GB"/>
        </w:rPr>
        <w:tab/>
      </w:r>
      <w:r w:rsidRPr="00212FB4">
        <w:rPr>
          <w:rFonts w:ascii="Arial" w:hAnsi="Arial" w:cs="Arial"/>
          <w:noProof/>
          <w:lang w:val="en-GB"/>
        </w:rPr>
        <w:tab/>
      </w:r>
      <w:r w:rsidRPr="00212FB4">
        <w:rPr>
          <w:rFonts w:ascii="Arial" w:hAnsi="Arial" w:cs="Arial"/>
          <w:noProof/>
          <w:lang w:val="en-GB"/>
        </w:rPr>
        <w:tab/>
      </w:r>
      <w:r w:rsidR="005648A9" w:rsidRPr="00212FB4">
        <w:rPr>
          <w:rFonts w:ascii="Arial" w:hAnsi="Arial" w:cs="Arial"/>
          <w:noProof/>
          <w:lang w:val="en-GB"/>
        </w:rPr>
        <w:tab/>
      </w:r>
      <w:r w:rsidR="001C13BE" w:rsidRPr="00212FB4">
        <w:rPr>
          <w:rFonts w:ascii="Arial" w:hAnsi="Arial" w:cs="Arial"/>
          <w:noProof/>
          <w:lang w:val="en-GB"/>
        </w:rPr>
        <w:tab/>
      </w:r>
      <w:r w:rsidR="001C13BE" w:rsidRPr="00212FB4">
        <w:rPr>
          <w:rFonts w:ascii="Arial" w:hAnsi="Arial" w:cs="Arial"/>
          <w:noProof/>
          <w:lang w:val="en-GB"/>
        </w:rPr>
        <w:tab/>
      </w:r>
      <w:r w:rsidR="00212FB4" w:rsidRPr="00212FB4">
        <w:rPr>
          <w:rFonts w:ascii="Arial" w:hAnsi="Arial" w:cs="Arial"/>
          <w:noProof/>
          <w:lang w:val="en-GB"/>
        </w:rPr>
        <w:t>9</w:t>
      </w:r>
      <w:r w:rsidR="00B50159">
        <w:rPr>
          <w:rFonts w:ascii="Arial" w:hAnsi="Arial" w:cs="Arial"/>
          <w:noProof/>
          <w:lang w:val="en-GB"/>
        </w:rPr>
        <w:t>6</w:t>
      </w:r>
    </w:p>
    <w:bookmarkEnd w:id="0"/>
    <w:p w14:paraId="1788B13D" w14:textId="77777777" w:rsidR="005648A9" w:rsidRPr="00D50222" w:rsidRDefault="005648A9" w:rsidP="005648A9">
      <w:pPr>
        <w:widowControl/>
        <w:spacing w:line="259" w:lineRule="auto"/>
        <w:ind w:left="360"/>
        <w:rPr>
          <w:rFonts w:ascii="Arial" w:hAnsi="Arial" w:cs="Arial"/>
          <w:noProof/>
          <w:lang w:val="en-GB"/>
        </w:rPr>
      </w:pPr>
    </w:p>
    <w:bookmarkEnd w:id="1"/>
    <w:p w14:paraId="72041D4A" w14:textId="77777777" w:rsidR="005648A9" w:rsidRPr="00D50222" w:rsidRDefault="005648A9" w:rsidP="005648A9">
      <w:pPr>
        <w:widowControl/>
        <w:spacing w:line="259" w:lineRule="auto"/>
        <w:rPr>
          <w:rFonts w:ascii="Arial" w:hAnsi="Arial" w:cs="Arial"/>
          <w:noProof/>
          <w:lang w:val="en-GB"/>
        </w:rPr>
      </w:pPr>
    </w:p>
    <w:p w14:paraId="22E49F90" w14:textId="77777777" w:rsidR="003E4311" w:rsidRPr="003E4311" w:rsidRDefault="006B74D7" w:rsidP="006B74D7">
      <w:pPr>
        <w:widowControl/>
        <w:spacing w:after="160" w:line="259" w:lineRule="auto"/>
        <w:rPr>
          <w:rFonts w:ascii="Arial" w:hAnsi="Arial" w:cs="Arial"/>
          <w:noProof/>
          <w:sz w:val="20"/>
          <w:szCs w:val="20"/>
          <w:lang w:val="en-GB"/>
        </w:rPr>
      </w:pPr>
      <w:r w:rsidRPr="006B74D7">
        <w:rPr>
          <w:rFonts w:ascii="Arial" w:hAnsi="Arial" w:cs="Arial"/>
          <w:noProof/>
          <w:sz w:val="20"/>
          <w:szCs w:val="20"/>
          <w:lang w:val="en-GB"/>
        </w:rPr>
        <w:tab/>
      </w:r>
      <w:r w:rsidRPr="006B74D7">
        <w:rPr>
          <w:rFonts w:ascii="Arial" w:hAnsi="Arial" w:cs="Arial"/>
          <w:noProof/>
          <w:sz w:val="20"/>
          <w:szCs w:val="20"/>
          <w:lang w:val="en-GB"/>
        </w:rPr>
        <w:tab/>
      </w:r>
      <w:r w:rsidRPr="006B74D7">
        <w:rPr>
          <w:rFonts w:ascii="Arial" w:hAnsi="Arial" w:cs="Arial"/>
          <w:noProof/>
          <w:sz w:val="20"/>
          <w:szCs w:val="20"/>
          <w:lang w:val="en-GB"/>
        </w:rPr>
        <w:tab/>
      </w:r>
      <w:r w:rsidRPr="006B74D7">
        <w:rPr>
          <w:rFonts w:ascii="Arial" w:hAnsi="Arial" w:cs="Arial"/>
          <w:noProof/>
          <w:sz w:val="20"/>
          <w:szCs w:val="20"/>
          <w:lang w:val="en-GB"/>
        </w:rPr>
        <w:tab/>
      </w:r>
      <w:r w:rsidRPr="006B74D7">
        <w:rPr>
          <w:rFonts w:ascii="Arial" w:hAnsi="Arial" w:cs="Arial"/>
          <w:noProof/>
          <w:sz w:val="20"/>
          <w:szCs w:val="20"/>
          <w:lang w:val="en-GB"/>
        </w:rPr>
        <w:tab/>
      </w:r>
      <w:r w:rsidRPr="006B74D7">
        <w:rPr>
          <w:rFonts w:ascii="Arial" w:hAnsi="Arial" w:cs="Arial"/>
          <w:noProof/>
          <w:sz w:val="20"/>
          <w:szCs w:val="20"/>
          <w:lang w:val="en-GB"/>
        </w:rPr>
        <w:tab/>
      </w:r>
    </w:p>
    <w:p w14:paraId="37CA1E92" w14:textId="77777777" w:rsidR="00301B12" w:rsidRDefault="00301B12" w:rsidP="004440BF">
      <w:pPr>
        <w:rPr>
          <w:rFonts w:ascii="Arial" w:hAnsi="Arial" w:cs="Arial"/>
          <w:b/>
          <w:sz w:val="20"/>
          <w:szCs w:val="20"/>
          <w:lang w:val="en-GB"/>
        </w:rPr>
      </w:pPr>
    </w:p>
    <w:p w14:paraId="600396E9" w14:textId="77777777" w:rsidR="006F293D" w:rsidRDefault="006F293D" w:rsidP="004440BF">
      <w:pPr>
        <w:rPr>
          <w:rFonts w:ascii="Arial" w:hAnsi="Arial" w:cs="Arial"/>
          <w:sz w:val="20"/>
          <w:szCs w:val="20"/>
          <w:lang w:val="en-GB"/>
        </w:rPr>
      </w:pPr>
    </w:p>
    <w:p w14:paraId="04C15A9D" w14:textId="77777777" w:rsidR="006F293D" w:rsidRDefault="006F293D" w:rsidP="004440BF">
      <w:pPr>
        <w:rPr>
          <w:rFonts w:ascii="Arial" w:hAnsi="Arial" w:cs="Arial"/>
          <w:sz w:val="20"/>
          <w:szCs w:val="20"/>
          <w:lang w:val="en-GB"/>
        </w:rPr>
      </w:pPr>
    </w:p>
    <w:p w14:paraId="08BDF714" w14:textId="77777777" w:rsidR="006F293D" w:rsidRDefault="006F293D" w:rsidP="004440BF">
      <w:pPr>
        <w:rPr>
          <w:rFonts w:ascii="Arial" w:hAnsi="Arial" w:cs="Arial"/>
          <w:sz w:val="20"/>
          <w:szCs w:val="20"/>
          <w:lang w:val="en-GB"/>
        </w:rPr>
      </w:pPr>
    </w:p>
    <w:p w14:paraId="7ABC7D06" w14:textId="77777777" w:rsidR="006F293D" w:rsidRDefault="006F293D" w:rsidP="004440BF">
      <w:pPr>
        <w:rPr>
          <w:rFonts w:ascii="Arial" w:hAnsi="Arial" w:cs="Arial"/>
          <w:sz w:val="20"/>
          <w:szCs w:val="20"/>
          <w:lang w:val="en-GB"/>
        </w:rPr>
      </w:pPr>
    </w:p>
    <w:p w14:paraId="2C154950" w14:textId="77777777" w:rsidR="006F293D" w:rsidRDefault="006F293D" w:rsidP="004440BF">
      <w:pPr>
        <w:rPr>
          <w:rFonts w:ascii="Arial" w:hAnsi="Arial" w:cs="Arial"/>
          <w:sz w:val="20"/>
          <w:szCs w:val="20"/>
          <w:lang w:val="en-GB"/>
        </w:rPr>
      </w:pPr>
    </w:p>
    <w:p w14:paraId="47AA5EE6" w14:textId="77777777" w:rsidR="006F293D" w:rsidRDefault="006F293D" w:rsidP="004440BF">
      <w:pPr>
        <w:rPr>
          <w:rFonts w:ascii="Arial" w:hAnsi="Arial" w:cs="Arial"/>
          <w:sz w:val="20"/>
          <w:szCs w:val="20"/>
          <w:lang w:val="en-GB"/>
        </w:rPr>
      </w:pPr>
    </w:p>
    <w:p w14:paraId="6E07796A" w14:textId="77777777" w:rsidR="0001752B" w:rsidRDefault="0001752B" w:rsidP="004440BF">
      <w:pPr>
        <w:rPr>
          <w:rFonts w:ascii="Arial" w:hAnsi="Arial" w:cs="Arial"/>
          <w:sz w:val="20"/>
          <w:szCs w:val="20"/>
          <w:lang w:val="en-GB"/>
        </w:rPr>
      </w:pPr>
    </w:p>
    <w:p w14:paraId="2FC9CBDF" w14:textId="77777777" w:rsidR="0001752B" w:rsidRDefault="0001752B" w:rsidP="004440BF">
      <w:pPr>
        <w:rPr>
          <w:rFonts w:ascii="Arial" w:hAnsi="Arial" w:cs="Arial"/>
          <w:sz w:val="20"/>
          <w:szCs w:val="20"/>
          <w:lang w:val="en-GB"/>
        </w:rPr>
      </w:pPr>
    </w:p>
    <w:p w14:paraId="6B9F074C" w14:textId="77777777" w:rsidR="0001752B" w:rsidRDefault="0001752B" w:rsidP="004440BF">
      <w:pPr>
        <w:rPr>
          <w:rFonts w:ascii="Arial" w:hAnsi="Arial" w:cs="Arial"/>
          <w:sz w:val="20"/>
          <w:szCs w:val="20"/>
          <w:lang w:val="en-GB"/>
        </w:rPr>
      </w:pPr>
    </w:p>
    <w:p w14:paraId="4EE7CDEB" w14:textId="77777777" w:rsidR="006F293D" w:rsidRPr="00D50222" w:rsidRDefault="006F293D" w:rsidP="006F293D">
      <w:pPr>
        <w:pStyle w:val="NormalWeb"/>
        <w:rPr>
          <w:sz w:val="20"/>
          <w:szCs w:val="20"/>
        </w:rPr>
      </w:pPr>
      <w:r w:rsidRPr="00D50222">
        <w:rPr>
          <w:rFonts w:ascii="Arial" w:hAnsi="Arial" w:cs="Arial"/>
          <w:b/>
          <w:bCs/>
          <w:sz w:val="20"/>
          <w:szCs w:val="20"/>
        </w:rPr>
        <w:lastRenderedPageBreak/>
        <w:t>Foreword from the Chief Executive</w:t>
      </w:r>
      <w:r w:rsidR="00D50222">
        <w:rPr>
          <w:rFonts w:ascii="Arial" w:hAnsi="Arial" w:cs="Arial"/>
          <w:b/>
          <w:bCs/>
          <w:sz w:val="20"/>
          <w:szCs w:val="20"/>
        </w:rPr>
        <w:t xml:space="preserve"> and Chair</w:t>
      </w:r>
      <w:r w:rsidRPr="00D50222">
        <w:rPr>
          <w:noProof/>
          <w:sz w:val="20"/>
          <w:szCs w:val="20"/>
        </w:rPr>
        <w:t xml:space="preserve"> </w:t>
      </w:r>
    </w:p>
    <w:p w14:paraId="2DD38C03" w14:textId="77777777" w:rsidR="006F293D" w:rsidRPr="00D50222" w:rsidRDefault="006F293D" w:rsidP="006F293D">
      <w:pPr>
        <w:jc w:val="both"/>
        <w:rPr>
          <w:rFonts w:ascii="Arial" w:hAnsi="Arial" w:cs="Arial"/>
          <w:b/>
          <w:bCs/>
          <w:sz w:val="20"/>
          <w:szCs w:val="20"/>
        </w:rPr>
      </w:pPr>
    </w:p>
    <w:p w14:paraId="27AF0830" w14:textId="77777777" w:rsidR="006F293D" w:rsidRPr="00D50222" w:rsidRDefault="006F293D" w:rsidP="006F293D">
      <w:pPr>
        <w:jc w:val="both"/>
        <w:rPr>
          <w:rFonts w:ascii="Arial" w:hAnsi="Arial" w:cs="Arial"/>
          <w:b/>
          <w:bCs/>
          <w:sz w:val="20"/>
          <w:szCs w:val="20"/>
        </w:rPr>
      </w:pPr>
      <w:r w:rsidRPr="00D50222">
        <w:rPr>
          <w:noProof/>
          <w:sz w:val="20"/>
          <w:szCs w:val="20"/>
        </w:rPr>
        <w:drawing>
          <wp:anchor distT="0" distB="0" distL="114300" distR="114300" simplePos="0" relativeHeight="251799552" behindDoc="0" locked="0" layoutInCell="1" allowOverlap="1" wp14:anchorId="509DA49E" wp14:editId="4AC12940">
            <wp:simplePos x="0" y="0"/>
            <wp:positionH relativeFrom="column">
              <wp:posOffset>3193464</wp:posOffset>
            </wp:positionH>
            <wp:positionV relativeFrom="paragraph">
              <wp:posOffset>17096</wp:posOffset>
            </wp:positionV>
            <wp:extent cx="2717800" cy="1656715"/>
            <wp:effectExtent l="0" t="0" r="6350" b="635"/>
            <wp:wrapSquare wrapText="bothSides"/>
            <wp:docPr id="20" name="Picture 20" descr="Head shot of Jayne Bla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na.Almond\AppData\Local\Temp\63fa23b8-c853-4277-8d13-2b8cf26e460b_NEDs and EXECS website photos (002).zip.60b\Jayne Black.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7800" cy="1656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0222">
        <w:rPr>
          <w:rFonts w:ascii="Arial" w:hAnsi="Arial" w:cs="Arial"/>
          <w:b/>
          <w:bCs/>
          <w:sz w:val="20"/>
          <w:szCs w:val="20"/>
        </w:rPr>
        <w:t xml:space="preserve">Chief Executive’s </w:t>
      </w:r>
      <w:r w:rsidR="00970F7D" w:rsidRPr="00D50222">
        <w:rPr>
          <w:rFonts w:ascii="Arial" w:hAnsi="Arial" w:cs="Arial"/>
          <w:b/>
          <w:bCs/>
          <w:sz w:val="20"/>
          <w:szCs w:val="20"/>
        </w:rPr>
        <w:t>O</w:t>
      </w:r>
      <w:r w:rsidRPr="00D50222">
        <w:rPr>
          <w:rFonts w:ascii="Arial" w:hAnsi="Arial" w:cs="Arial"/>
          <w:b/>
          <w:bCs/>
          <w:sz w:val="20"/>
          <w:szCs w:val="20"/>
        </w:rPr>
        <w:t>verview</w:t>
      </w:r>
    </w:p>
    <w:p w14:paraId="00D9DCA7" w14:textId="77777777" w:rsidR="006F293D" w:rsidRPr="00D50222" w:rsidRDefault="006F293D" w:rsidP="00970F7D">
      <w:pPr>
        <w:jc w:val="both"/>
        <w:rPr>
          <w:rFonts w:ascii="Arial" w:hAnsi="Arial" w:cs="Arial"/>
          <w:sz w:val="20"/>
          <w:szCs w:val="20"/>
        </w:rPr>
      </w:pPr>
      <w:r w:rsidRPr="00D50222">
        <w:rPr>
          <w:rFonts w:ascii="Arial" w:hAnsi="Arial" w:cs="Arial"/>
          <w:sz w:val="20"/>
          <w:szCs w:val="20"/>
        </w:rPr>
        <w:t>It is with great pride and fondness that I look back over the year 2024/25, my last year as Chief Executive at Medway before handing over to Jon Wade on 01 April 2025.</w:t>
      </w:r>
    </w:p>
    <w:p w14:paraId="40F2A386" w14:textId="77777777" w:rsidR="006F293D" w:rsidRPr="00D50222" w:rsidRDefault="006F293D" w:rsidP="006F293D">
      <w:pPr>
        <w:jc w:val="both"/>
        <w:rPr>
          <w:rFonts w:ascii="Arial" w:hAnsi="Arial" w:cs="Arial"/>
          <w:sz w:val="20"/>
          <w:szCs w:val="20"/>
        </w:rPr>
      </w:pPr>
      <w:r w:rsidRPr="00D50222">
        <w:rPr>
          <w:rFonts w:ascii="Arial" w:hAnsi="Arial" w:cs="Arial"/>
          <w:sz w:val="20"/>
          <w:szCs w:val="20"/>
        </w:rPr>
        <w:t>It was a year of great reward and achievement and also of progress in so many areas as we continued to strengthen our improvement programme, Patient First.</w:t>
      </w:r>
      <w:r w:rsidR="00D50222" w:rsidRPr="00D50222">
        <w:rPr>
          <w:rFonts w:ascii="Arial" w:hAnsi="Arial" w:cs="Arial"/>
          <w:sz w:val="20"/>
          <w:szCs w:val="20"/>
        </w:rPr>
        <w:t xml:space="preserve">  </w:t>
      </w:r>
      <w:r w:rsidRPr="00D50222">
        <w:rPr>
          <w:rFonts w:ascii="Arial" w:hAnsi="Arial" w:cs="Arial"/>
          <w:sz w:val="20"/>
          <w:szCs w:val="20"/>
        </w:rPr>
        <w:t>But like so many other Trusts and NHS organisations across the country, it was also a year of challenges, and I remain proud of the way in which we tackled the lows that came along with the highs.</w:t>
      </w:r>
    </w:p>
    <w:p w14:paraId="37780FA4" w14:textId="77777777" w:rsidR="006F293D" w:rsidRPr="00D50222" w:rsidRDefault="006F293D" w:rsidP="006F293D">
      <w:pPr>
        <w:jc w:val="both"/>
        <w:rPr>
          <w:rFonts w:ascii="Arial" w:hAnsi="Arial" w:cs="Arial"/>
          <w:sz w:val="20"/>
          <w:szCs w:val="20"/>
        </w:rPr>
      </w:pPr>
    </w:p>
    <w:p w14:paraId="13FCE238" w14:textId="77777777" w:rsidR="006F293D" w:rsidRPr="00D50222" w:rsidRDefault="006F293D" w:rsidP="006F293D">
      <w:pPr>
        <w:jc w:val="both"/>
        <w:rPr>
          <w:rFonts w:ascii="Arial" w:hAnsi="Arial" w:cs="Arial"/>
          <w:b/>
          <w:sz w:val="20"/>
          <w:szCs w:val="20"/>
        </w:rPr>
      </w:pPr>
      <w:r w:rsidRPr="00D50222">
        <w:rPr>
          <w:rFonts w:ascii="Arial" w:hAnsi="Arial" w:cs="Arial"/>
          <w:b/>
          <w:sz w:val="20"/>
          <w:szCs w:val="20"/>
        </w:rPr>
        <w:t>Patient First</w:t>
      </w:r>
    </w:p>
    <w:p w14:paraId="677F3770" w14:textId="77777777" w:rsidR="006F293D" w:rsidRPr="00D50222" w:rsidRDefault="006F293D" w:rsidP="006F293D">
      <w:pPr>
        <w:pStyle w:val="NormalWeb"/>
        <w:spacing w:before="0" w:beforeAutospacing="0" w:after="0" w:afterAutospacing="0"/>
        <w:jc w:val="both"/>
        <w:rPr>
          <w:rFonts w:ascii="Arial" w:hAnsi="Arial" w:cs="Arial"/>
          <w:sz w:val="20"/>
          <w:szCs w:val="20"/>
        </w:rPr>
      </w:pPr>
      <w:r w:rsidRPr="00D50222">
        <w:rPr>
          <w:rFonts w:ascii="Arial" w:hAnsi="Arial" w:cs="Arial"/>
          <w:sz w:val="20"/>
          <w:szCs w:val="20"/>
        </w:rPr>
        <w:t>Our improvement is shaped and guided by the Patient First improvement system which we have been using in the Trust for the past three years.  Every day, more than 60 improvement huddles take place across the hospital, where everyone involved in patient care meets to focus on actions needed to drive improvement in their area.  I was pleased to have seen many of them in action over the course of the year.  This number continues to grow as we see the real value that this dedicated time brings in driving change.</w:t>
      </w:r>
    </w:p>
    <w:p w14:paraId="167EAD44" w14:textId="77777777" w:rsidR="006F293D" w:rsidRPr="00D50222" w:rsidRDefault="006F293D" w:rsidP="006F293D">
      <w:pPr>
        <w:pStyle w:val="NormalWeb"/>
        <w:spacing w:before="0" w:beforeAutospacing="0" w:after="0" w:afterAutospacing="0"/>
        <w:jc w:val="both"/>
        <w:rPr>
          <w:rFonts w:ascii="Arial" w:hAnsi="Arial" w:cs="Arial"/>
          <w:sz w:val="20"/>
          <w:szCs w:val="20"/>
        </w:rPr>
      </w:pPr>
    </w:p>
    <w:p w14:paraId="14C9BA8F" w14:textId="77777777" w:rsidR="006F293D" w:rsidRPr="00D50222" w:rsidRDefault="006F293D" w:rsidP="006F293D">
      <w:pPr>
        <w:jc w:val="both"/>
        <w:rPr>
          <w:rFonts w:ascii="Arial" w:hAnsi="Arial" w:cs="Arial"/>
          <w:b/>
          <w:sz w:val="20"/>
          <w:szCs w:val="20"/>
        </w:rPr>
      </w:pPr>
      <w:r w:rsidRPr="00D50222">
        <w:rPr>
          <w:rFonts w:ascii="Arial" w:hAnsi="Arial" w:cs="Arial"/>
          <w:b/>
          <w:sz w:val="20"/>
          <w:szCs w:val="20"/>
        </w:rPr>
        <w:t xml:space="preserve">Emergency </w:t>
      </w:r>
      <w:r w:rsidR="00970F7D" w:rsidRPr="00D50222">
        <w:rPr>
          <w:rFonts w:ascii="Arial" w:hAnsi="Arial" w:cs="Arial"/>
          <w:b/>
          <w:sz w:val="20"/>
          <w:szCs w:val="20"/>
        </w:rPr>
        <w:t>C</w:t>
      </w:r>
      <w:r w:rsidRPr="00D50222">
        <w:rPr>
          <w:rFonts w:ascii="Arial" w:hAnsi="Arial" w:cs="Arial"/>
          <w:b/>
          <w:sz w:val="20"/>
          <w:szCs w:val="20"/>
        </w:rPr>
        <w:t>are</w:t>
      </w:r>
    </w:p>
    <w:p w14:paraId="1A06C3E9" w14:textId="77777777" w:rsidR="006F293D" w:rsidRPr="00D50222" w:rsidRDefault="006F293D" w:rsidP="006F293D">
      <w:pPr>
        <w:jc w:val="both"/>
        <w:rPr>
          <w:rFonts w:ascii="Arial" w:hAnsi="Arial" w:cs="Arial"/>
          <w:color w:val="231F20"/>
          <w:sz w:val="20"/>
          <w:szCs w:val="20"/>
          <w:shd w:val="clear" w:color="auto" w:fill="FFFFFF"/>
        </w:rPr>
      </w:pPr>
      <w:r w:rsidRPr="00D50222">
        <w:rPr>
          <w:rFonts w:ascii="Arial" w:hAnsi="Arial" w:cs="Arial"/>
          <w:color w:val="231F20"/>
          <w:sz w:val="20"/>
          <w:szCs w:val="20"/>
          <w:shd w:val="clear" w:color="auto" w:fill="FFFFFF"/>
        </w:rPr>
        <w:t>Patient First placed great focus for improvement on our urgent and emergency care services.  The Care Quality Commission published a report in March 2025 following an inspection of these services in February 2024, which did not recognise the significant improvements that had been carried out in the intervening 13 months.</w:t>
      </w:r>
    </w:p>
    <w:p w14:paraId="109691D2" w14:textId="77777777" w:rsidR="006F293D" w:rsidRPr="00D50222" w:rsidRDefault="006F293D" w:rsidP="006F293D">
      <w:pPr>
        <w:jc w:val="both"/>
        <w:rPr>
          <w:rFonts w:ascii="Arial" w:hAnsi="Arial" w:cs="Arial"/>
          <w:color w:val="231F20"/>
          <w:sz w:val="20"/>
          <w:szCs w:val="20"/>
          <w:shd w:val="clear" w:color="auto" w:fill="FFFFFF"/>
        </w:rPr>
      </w:pPr>
      <w:r w:rsidRPr="00D50222">
        <w:rPr>
          <w:rFonts w:ascii="Arial" w:hAnsi="Arial" w:cs="Arial"/>
          <w:color w:val="231F20"/>
          <w:sz w:val="20"/>
          <w:szCs w:val="20"/>
          <w:shd w:val="clear" w:color="auto" w:fill="FFFFFF"/>
        </w:rPr>
        <w:t>While we acknowledged that care fell below the required standards at the time of the inspection, staff throughout the hospital continued to work tirelessly, together with our ambulance, community and social care partners, to reduce delays and improve care for patients attending our Emergency Department.</w:t>
      </w:r>
    </w:p>
    <w:p w14:paraId="7B64E666" w14:textId="77777777" w:rsidR="006F293D" w:rsidRPr="00D50222" w:rsidRDefault="006F293D" w:rsidP="006F293D">
      <w:pPr>
        <w:jc w:val="both"/>
        <w:rPr>
          <w:rFonts w:ascii="Arial" w:hAnsi="Arial" w:cs="Arial"/>
          <w:color w:val="231F20"/>
          <w:sz w:val="20"/>
          <w:szCs w:val="20"/>
          <w:shd w:val="clear" w:color="auto" w:fill="FFFFFF"/>
        </w:rPr>
      </w:pPr>
      <w:r w:rsidRPr="00D50222">
        <w:rPr>
          <w:rFonts w:ascii="Arial" w:hAnsi="Arial" w:cs="Arial"/>
          <w:color w:val="231F20"/>
          <w:sz w:val="20"/>
          <w:szCs w:val="20"/>
          <w:shd w:val="clear" w:color="auto" w:fill="FFFFFF"/>
        </w:rPr>
        <w:t>And our efforts were fruitful.  We exceeded the national target to see, treat, discharge or admit patients within four hours of attending the Emergency Department (78%) throughout most of last year (another key objective under our Patient First programme), and we were consistently among the highest performing trusts against this important care standard in the south of England.</w:t>
      </w:r>
    </w:p>
    <w:p w14:paraId="68E7D156" w14:textId="77777777" w:rsidR="006F293D" w:rsidRPr="00D50222" w:rsidRDefault="006F293D" w:rsidP="006F293D">
      <w:pPr>
        <w:jc w:val="both"/>
        <w:rPr>
          <w:rFonts w:ascii="Arial" w:hAnsi="Arial" w:cs="Arial"/>
          <w:color w:val="231F20"/>
          <w:sz w:val="20"/>
          <w:szCs w:val="20"/>
          <w:shd w:val="clear" w:color="auto" w:fill="FFFFFF"/>
        </w:rPr>
      </w:pPr>
      <w:r w:rsidRPr="00D50222">
        <w:rPr>
          <w:rFonts w:ascii="Arial" w:hAnsi="Arial" w:cs="Arial"/>
          <w:color w:val="231F20"/>
          <w:sz w:val="20"/>
          <w:szCs w:val="20"/>
          <w:shd w:val="clear" w:color="auto" w:fill="FFFFFF"/>
        </w:rPr>
        <w:t xml:space="preserve">Ambulance handovers also improved to become consistently among the best in the country and well below the national average.  Patient feedback received through the Friends and Family Test also improved, with patients having a positive experience of care – up from 65% in January 2024 to 74% in March 2025. </w:t>
      </w:r>
    </w:p>
    <w:p w14:paraId="2056BADE" w14:textId="77777777" w:rsidR="006F293D" w:rsidRPr="00D50222" w:rsidRDefault="006F293D" w:rsidP="006F293D">
      <w:pPr>
        <w:jc w:val="both"/>
        <w:rPr>
          <w:rFonts w:ascii="Arial" w:hAnsi="Arial" w:cs="Arial"/>
          <w:color w:val="231F20"/>
          <w:sz w:val="20"/>
          <w:szCs w:val="20"/>
          <w:shd w:val="clear" w:color="auto" w:fill="FFFFFF"/>
        </w:rPr>
      </w:pPr>
      <w:r w:rsidRPr="00D50222">
        <w:rPr>
          <w:rFonts w:ascii="Arial" w:hAnsi="Arial" w:cs="Arial"/>
          <w:color w:val="231F20"/>
          <w:sz w:val="20"/>
          <w:szCs w:val="20"/>
          <w:shd w:val="clear" w:color="auto" w:fill="FFFFFF"/>
        </w:rPr>
        <w:t>This was possible only because of the determined work by our Emergency Department colleagues and those who supported them to bring about real change.  I know that urgent and emergency care remains a priority for 2025 to 2026 and I am confident that further improvements will be delivered.</w:t>
      </w:r>
    </w:p>
    <w:p w14:paraId="3A4B9C55" w14:textId="77777777" w:rsidR="006F293D" w:rsidRPr="00D50222" w:rsidRDefault="006F293D" w:rsidP="006F293D">
      <w:pPr>
        <w:jc w:val="both"/>
        <w:rPr>
          <w:rFonts w:ascii="Arial" w:hAnsi="Arial" w:cs="Arial"/>
          <w:color w:val="231F20"/>
          <w:sz w:val="20"/>
          <w:szCs w:val="20"/>
          <w:shd w:val="clear" w:color="auto" w:fill="FFFFFF"/>
        </w:rPr>
      </w:pPr>
    </w:p>
    <w:p w14:paraId="01B93FE0" w14:textId="77777777" w:rsidR="006F293D" w:rsidRPr="00D50222" w:rsidRDefault="006F293D" w:rsidP="006F293D">
      <w:pPr>
        <w:jc w:val="both"/>
        <w:rPr>
          <w:rFonts w:ascii="Arial" w:eastAsia="Times New Roman" w:hAnsi="Arial" w:cs="Arial"/>
          <w:b/>
          <w:sz w:val="20"/>
          <w:szCs w:val="20"/>
          <w:lang w:eastAsia="en-GB"/>
        </w:rPr>
      </w:pPr>
      <w:r w:rsidRPr="00D50222">
        <w:rPr>
          <w:rFonts w:ascii="Arial" w:eastAsia="Times New Roman" w:hAnsi="Arial" w:cs="Arial"/>
          <w:b/>
          <w:sz w:val="20"/>
          <w:szCs w:val="20"/>
          <w:lang w:eastAsia="en-GB"/>
        </w:rPr>
        <w:t xml:space="preserve">Patient </w:t>
      </w:r>
      <w:r w:rsidR="00970F7D" w:rsidRPr="00D50222">
        <w:rPr>
          <w:rFonts w:ascii="Arial" w:eastAsia="Times New Roman" w:hAnsi="Arial" w:cs="Arial"/>
          <w:b/>
          <w:sz w:val="20"/>
          <w:szCs w:val="20"/>
          <w:lang w:eastAsia="en-GB"/>
        </w:rPr>
        <w:t>F</w:t>
      </w:r>
      <w:r w:rsidRPr="00D50222">
        <w:rPr>
          <w:rFonts w:ascii="Arial" w:eastAsia="Times New Roman" w:hAnsi="Arial" w:cs="Arial"/>
          <w:b/>
          <w:sz w:val="20"/>
          <w:szCs w:val="20"/>
          <w:lang w:eastAsia="en-GB"/>
        </w:rPr>
        <w:t>eedback</w:t>
      </w:r>
    </w:p>
    <w:p w14:paraId="3AD4236E" w14:textId="77777777" w:rsidR="006F293D" w:rsidRPr="00D50222" w:rsidRDefault="006F293D" w:rsidP="006F293D">
      <w:pPr>
        <w:jc w:val="both"/>
        <w:rPr>
          <w:rFonts w:ascii="Arial" w:eastAsia="Times New Roman" w:hAnsi="Arial" w:cs="Arial"/>
          <w:sz w:val="20"/>
          <w:szCs w:val="20"/>
          <w:lang w:eastAsia="en-GB"/>
        </w:rPr>
      </w:pPr>
      <w:r w:rsidRPr="00D50222">
        <w:rPr>
          <w:rFonts w:ascii="Arial" w:eastAsia="Times New Roman" w:hAnsi="Arial" w:cs="Arial"/>
          <w:sz w:val="20"/>
          <w:szCs w:val="20"/>
          <w:lang w:eastAsia="en-GB"/>
        </w:rPr>
        <w:t>Patient feedback improved throughout the year; we know this as we paid close attention to responses from the Friends and Family Test.  Around 90% of patients now report that they have had a good experience of care with us and we reached a high of just over 93</w:t>
      </w:r>
      <w:r w:rsidR="00D44FDD" w:rsidRPr="00D50222">
        <w:rPr>
          <w:rFonts w:ascii="Arial" w:eastAsia="Times New Roman" w:hAnsi="Arial" w:cs="Arial"/>
          <w:sz w:val="20"/>
          <w:szCs w:val="20"/>
          <w:lang w:eastAsia="en-GB"/>
        </w:rPr>
        <w:t>%</w:t>
      </w:r>
      <w:r w:rsidRPr="00D50222">
        <w:rPr>
          <w:rFonts w:ascii="Arial" w:eastAsia="Times New Roman" w:hAnsi="Arial" w:cs="Arial"/>
          <w:sz w:val="20"/>
          <w:szCs w:val="20"/>
          <w:lang w:eastAsia="en-GB"/>
        </w:rPr>
        <w:t xml:space="preserve"> in August 2024.</w:t>
      </w:r>
    </w:p>
    <w:p w14:paraId="77600F7F" w14:textId="77777777" w:rsidR="006F293D" w:rsidRPr="00D50222" w:rsidRDefault="006F293D" w:rsidP="006F293D">
      <w:pPr>
        <w:jc w:val="both"/>
        <w:rPr>
          <w:rFonts w:ascii="Arial" w:eastAsia="Times New Roman" w:hAnsi="Arial" w:cs="Arial"/>
          <w:sz w:val="20"/>
          <w:szCs w:val="20"/>
          <w:lang w:eastAsia="en-GB"/>
        </w:rPr>
      </w:pPr>
      <w:r w:rsidRPr="00D50222">
        <w:rPr>
          <w:rFonts w:ascii="Arial" w:eastAsia="Times New Roman" w:hAnsi="Arial" w:cs="Arial"/>
          <w:sz w:val="20"/>
          <w:szCs w:val="20"/>
          <w:lang w:eastAsia="en-GB"/>
        </w:rPr>
        <w:t>Our target for 2025/26 is 95</w:t>
      </w:r>
      <w:r w:rsidR="00D44FDD" w:rsidRPr="00D50222">
        <w:rPr>
          <w:rFonts w:ascii="Arial" w:eastAsia="Times New Roman" w:hAnsi="Arial" w:cs="Arial"/>
          <w:sz w:val="20"/>
          <w:szCs w:val="20"/>
          <w:lang w:eastAsia="en-GB"/>
        </w:rPr>
        <w:t>%</w:t>
      </w:r>
      <w:r w:rsidRPr="00D50222">
        <w:rPr>
          <w:rFonts w:ascii="Arial" w:eastAsia="Times New Roman" w:hAnsi="Arial" w:cs="Arial"/>
          <w:sz w:val="20"/>
          <w:szCs w:val="20"/>
          <w:lang w:eastAsia="en-GB"/>
        </w:rPr>
        <w:t xml:space="preserve"> which sets a high bar but which can be achieved by continuing to review feedback to put the patient first in everything we do.</w:t>
      </w:r>
    </w:p>
    <w:p w14:paraId="3B3F787E" w14:textId="77777777" w:rsidR="00D50222" w:rsidRPr="00D50222" w:rsidRDefault="00D50222" w:rsidP="006F293D">
      <w:pPr>
        <w:jc w:val="both"/>
        <w:rPr>
          <w:rFonts w:ascii="Arial" w:eastAsia="Times New Roman" w:hAnsi="Arial" w:cs="Arial"/>
          <w:sz w:val="20"/>
          <w:szCs w:val="20"/>
          <w:lang w:eastAsia="en-GB"/>
        </w:rPr>
      </w:pPr>
    </w:p>
    <w:p w14:paraId="0CFE4F45" w14:textId="77777777" w:rsidR="006F293D" w:rsidRPr="00D50222" w:rsidRDefault="006F293D" w:rsidP="006F293D">
      <w:pPr>
        <w:jc w:val="both"/>
        <w:rPr>
          <w:rFonts w:ascii="Arial" w:eastAsia="Times New Roman" w:hAnsi="Arial" w:cs="Arial"/>
          <w:b/>
          <w:color w:val="231F20"/>
          <w:sz w:val="20"/>
          <w:szCs w:val="20"/>
          <w:lang w:eastAsia="en-GB"/>
        </w:rPr>
      </w:pPr>
      <w:r w:rsidRPr="00D50222">
        <w:rPr>
          <w:rFonts w:ascii="Arial" w:eastAsia="Times New Roman" w:hAnsi="Arial" w:cs="Arial"/>
          <w:b/>
          <w:color w:val="231F20"/>
          <w:sz w:val="20"/>
          <w:szCs w:val="20"/>
          <w:lang w:eastAsia="en-GB"/>
        </w:rPr>
        <w:t>Improved services, reduced waiting times</w:t>
      </w:r>
    </w:p>
    <w:p w14:paraId="1333C736" w14:textId="77777777" w:rsidR="006F293D" w:rsidRPr="00D50222" w:rsidRDefault="006F293D" w:rsidP="006F293D">
      <w:pPr>
        <w:jc w:val="both"/>
        <w:rPr>
          <w:rFonts w:ascii="Arial" w:eastAsia="Times New Roman" w:hAnsi="Arial" w:cs="Arial"/>
          <w:color w:val="231F20"/>
          <w:sz w:val="20"/>
          <w:szCs w:val="20"/>
          <w:lang w:eastAsia="en-GB"/>
        </w:rPr>
      </w:pPr>
      <w:r w:rsidRPr="00D50222">
        <w:rPr>
          <w:rFonts w:ascii="Arial" w:eastAsia="Times New Roman" w:hAnsi="Arial" w:cs="Arial"/>
          <w:color w:val="231F20"/>
          <w:sz w:val="20"/>
          <w:szCs w:val="20"/>
          <w:lang w:eastAsia="en-GB"/>
        </w:rPr>
        <w:t xml:space="preserve">We worked hard to improve services and reduce the time patients wait for their treatment. </w:t>
      </w:r>
      <w:r w:rsidR="00D44FDD" w:rsidRPr="00D50222">
        <w:rPr>
          <w:rFonts w:ascii="Arial" w:eastAsia="Times New Roman" w:hAnsi="Arial" w:cs="Arial"/>
          <w:color w:val="231F20"/>
          <w:sz w:val="20"/>
          <w:szCs w:val="20"/>
          <w:lang w:eastAsia="en-GB"/>
        </w:rPr>
        <w:t xml:space="preserve"> </w:t>
      </w:r>
      <w:r w:rsidRPr="00D50222">
        <w:rPr>
          <w:rFonts w:ascii="Arial" w:eastAsia="Times New Roman" w:hAnsi="Arial" w:cs="Arial"/>
          <w:color w:val="231F20"/>
          <w:sz w:val="20"/>
          <w:szCs w:val="20"/>
          <w:lang w:eastAsia="en-GB"/>
        </w:rPr>
        <w:t>A new multimillion-pound ward with more than 30 beds for patients with serious breathing or heart conditions opened in April 2024, providing a greatly improved environment for patients and staff and supporting the flow of patients through the hospital.</w:t>
      </w:r>
    </w:p>
    <w:p w14:paraId="446E1E7C" w14:textId="77777777" w:rsidR="006F293D" w:rsidRPr="00D50222" w:rsidRDefault="006F293D" w:rsidP="006F293D">
      <w:pPr>
        <w:jc w:val="both"/>
        <w:rPr>
          <w:rFonts w:ascii="Arial" w:eastAsia="Times New Roman" w:hAnsi="Arial" w:cs="Arial"/>
          <w:color w:val="231F20"/>
          <w:sz w:val="20"/>
          <w:szCs w:val="20"/>
          <w:lang w:eastAsia="en-GB"/>
        </w:rPr>
      </w:pPr>
      <w:r w:rsidRPr="00D50222">
        <w:rPr>
          <w:rFonts w:ascii="Arial" w:eastAsia="Times New Roman" w:hAnsi="Arial" w:cs="Arial"/>
          <w:color w:val="231F20"/>
          <w:sz w:val="20"/>
          <w:szCs w:val="20"/>
          <w:lang w:eastAsia="en-GB"/>
        </w:rPr>
        <w:t xml:space="preserve">We also opened an additional </w:t>
      </w:r>
      <w:r w:rsidR="00D44FDD" w:rsidRPr="00D50222">
        <w:rPr>
          <w:rFonts w:ascii="Arial" w:eastAsia="Times New Roman" w:hAnsi="Arial" w:cs="Arial"/>
          <w:color w:val="231F20"/>
          <w:sz w:val="20"/>
          <w:szCs w:val="20"/>
          <w:lang w:eastAsia="en-GB"/>
        </w:rPr>
        <w:t>E</w:t>
      </w:r>
      <w:r w:rsidRPr="00D50222">
        <w:rPr>
          <w:rFonts w:ascii="Arial" w:eastAsia="Times New Roman" w:hAnsi="Arial" w:cs="Arial"/>
          <w:color w:val="231F20"/>
          <w:sz w:val="20"/>
          <w:szCs w:val="20"/>
          <w:lang w:eastAsia="en-GB"/>
        </w:rPr>
        <w:t>ndoscopy unit in September so that we could provide this vital diagnostic test to more patients more quickly.</w:t>
      </w:r>
    </w:p>
    <w:p w14:paraId="4F9459E8" w14:textId="77777777" w:rsidR="006F293D" w:rsidRPr="00D50222" w:rsidRDefault="006F293D" w:rsidP="006F293D">
      <w:pPr>
        <w:jc w:val="both"/>
        <w:rPr>
          <w:rFonts w:ascii="Arial" w:eastAsia="Times New Roman" w:hAnsi="Arial" w:cs="Arial"/>
          <w:color w:val="231F20"/>
          <w:sz w:val="20"/>
          <w:szCs w:val="20"/>
          <w:lang w:eastAsia="en-GB"/>
        </w:rPr>
      </w:pPr>
      <w:r w:rsidRPr="00D50222">
        <w:rPr>
          <w:rFonts w:ascii="Arial" w:eastAsia="Times New Roman" w:hAnsi="Arial" w:cs="Arial"/>
          <w:color w:val="231F20"/>
          <w:sz w:val="20"/>
          <w:szCs w:val="20"/>
          <w:lang w:eastAsia="en-GB"/>
        </w:rPr>
        <w:t>I</w:t>
      </w:r>
      <w:r w:rsidR="00D44FDD" w:rsidRPr="00D50222">
        <w:rPr>
          <w:rFonts w:ascii="Arial" w:eastAsia="Times New Roman" w:hAnsi="Arial" w:cs="Arial"/>
          <w:color w:val="231F20"/>
          <w:sz w:val="20"/>
          <w:szCs w:val="20"/>
          <w:lang w:eastAsia="en-GB"/>
        </w:rPr>
        <w:t xml:space="preserve"> a</w:t>
      </w:r>
      <w:r w:rsidRPr="00D50222">
        <w:rPr>
          <w:rFonts w:ascii="Arial" w:eastAsia="Times New Roman" w:hAnsi="Arial" w:cs="Arial"/>
          <w:color w:val="231F20"/>
          <w:sz w:val="20"/>
          <w:szCs w:val="20"/>
          <w:lang w:eastAsia="en-GB"/>
        </w:rPr>
        <w:t xml:space="preserve">m particularly proud that our Community Diagnostic Centres staffed by Trust colleagues significantly enhanced diagnostic capabilities closer to home for patients in Rochester and Sheppey. </w:t>
      </w:r>
      <w:r w:rsidR="00D44FDD" w:rsidRPr="00D50222">
        <w:rPr>
          <w:rFonts w:ascii="Arial" w:eastAsia="Times New Roman" w:hAnsi="Arial" w:cs="Arial"/>
          <w:color w:val="231F20"/>
          <w:sz w:val="20"/>
          <w:szCs w:val="20"/>
          <w:lang w:eastAsia="en-GB"/>
        </w:rPr>
        <w:t xml:space="preserve"> </w:t>
      </w:r>
      <w:r w:rsidRPr="00D50222">
        <w:rPr>
          <w:rFonts w:ascii="Arial" w:eastAsia="Times New Roman" w:hAnsi="Arial" w:cs="Arial"/>
          <w:color w:val="231F20"/>
          <w:sz w:val="20"/>
          <w:szCs w:val="20"/>
          <w:lang w:eastAsia="en-GB"/>
        </w:rPr>
        <w:t xml:space="preserve">Since opening, </w:t>
      </w:r>
      <w:r w:rsidRPr="00D50222">
        <w:rPr>
          <w:rFonts w:ascii="Arial" w:eastAsia="Times New Roman" w:hAnsi="Arial" w:cs="Arial"/>
          <w:color w:val="231F20"/>
          <w:sz w:val="20"/>
          <w:szCs w:val="20"/>
          <w:lang w:eastAsia="en-GB"/>
        </w:rPr>
        <w:lastRenderedPageBreak/>
        <w:t>the centres have delivered thousands of diagnostic tests, including CT scans, ultrasound scans, as well respiratory and cardiology services.</w:t>
      </w:r>
    </w:p>
    <w:p w14:paraId="0949F17A" w14:textId="77777777" w:rsidR="006F293D" w:rsidRPr="00D50222" w:rsidRDefault="006F293D" w:rsidP="006F293D">
      <w:pPr>
        <w:jc w:val="both"/>
        <w:rPr>
          <w:rFonts w:ascii="Arial" w:hAnsi="Arial" w:cs="Arial"/>
          <w:color w:val="231F20"/>
          <w:sz w:val="20"/>
          <w:szCs w:val="20"/>
          <w:shd w:val="clear" w:color="auto" w:fill="FFFFFF"/>
        </w:rPr>
      </w:pPr>
      <w:r w:rsidRPr="00D50222">
        <w:rPr>
          <w:rFonts w:ascii="Arial" w:eastAsia="Times New Roman" w:hAnsi="Arial" w:cs="Arial"/>
          <w:color w:val="231F20"/>
          <w:sz w:val="20"/>
          <w:szCs w:val="20"/>
          <w:lang w:eastAsia="en-GB"/>
        </w:rPr>
        <w:t xml:space="preserve">Work continues to develop the centres over the next year, with the aim of providing services up to seven days a week, and 12 hours a day, according to demand. </w:t>
      </w:r>
      <w:r w:rsidR="00D44FDD" w:rsidRPr="00D50222">
        <w:rPr>
          <w:rFonts w:ascii="Arial" w:eastAsia="Times New Roman" w:hAnsi="Arial" w:cs="Arial"/>
          <w:color w:val="231F20"/>
          <w:sz w:val="20"/>
          <w:szCs w:val="20"/>
          <w:lang w:eastAsia="en-GB"/>
        </w:rPr>
        <w:t xml:space="preserve"> </w:t>
      </w:r>
      <w:r w:rsidRPr="00D50222">
        <w:rPr>
          <w:rFonts w:ascii="Arial" w:hAnsi="Arial" w:cs="Arial"/>
          <w:color w:val="231F20"/>
          <w:sz w:val="20"/>
          <w:szCs w:val="20"/>
          <w:shd w:val="clear" w:color="auto" w:fill="FFFFFF"/>
        </w:rPr>
        <w:t>I am confident they will have a big impact in months and years to come.</w:t>
      </w:r>
    </w:p>
    <w:p w14:paraId="74C180C7" w14:textId="77777777" w:rsidR="006F293D" w:rsidRPr="00D50222" w:rsidRDefault="006F293D" w:rsidP="006F293D">
      <w:pPr>
        <w:jc w:val="both"/>
        <w:rPr>
          <w:rFonts w:ascii="Arial" w:hAnsi="Arial" w:cs="Arial"/>
          <w:color w:val="231F20"/>
          <w:sz w:val="20"/>
          <w:szCs w:val="20"/>
          <w:shd w:val="clear" w:color="auto" w:fill="FFFFFF"/>
        </w:rPr>
      </w:pPr>
    </w:p>
    <w:p w14:paraId="3E76399F" w14:textId="77777777" w:rsidR="006F293D" w:rsidRPr="00D50222" w:rsidRDefault="006F293D" w:rsidP="006F293D">
      <w:pPr>
        <w:pStyle w:val="NormalWeb"/>
        <w:spacing w:before="0" w:beforeAutospacing="0" w:after="0" w:afterAutospacing="0"/>
        <w:jc w:val="both"/>
        <w:rPr>
          <w:rFonts w:ascii="Arial" w:hAnsi="Arial" w:cs="Arial"/>
          <w:b/>
          <w:sz w:val="20"/>
          <w:szCs w:val="20"/>
        </w:rPr>
      </w:pPr>
      <w:r w:rsidRPr="00D50222">
        <w:rPr>
          <w:rFonts w:ascii="Arial" w:hAnsi="Arial" w:cs="Arial"/>
          <w:b/>
          <w:sz w:val="20"/>
          <w:szCs w:val="20"/>
        </w:rPr>
        <w:t xml:space="preserve">Our </w:t>
      </w:r>
      <w:r w:rsidR="00970F7D" w:rsidRPr="00D50222">
        <w:rPr>
          <w:rFonts w:ascii="Arial" w:hAnsi="Arial" w:cs="Arial"/>
          <w:b/>
          <w:sz w:val="20"/>
          <w:szCs w:val="20"/>
        </w:rPr>
        <w:t>P</w:t>
      </w:r>
      <w:r w:rsidRPr="00D50222">
        <w:rPr>
          <w:rFonts w:ascii="Arial" w:hAnsi="Arial" w:cs="Arial"/>
          <w:b/>
          <w:sz w:val="20"/>
          <w:szCs w:val="20"/>
        </w:rPr>
        <w:t>eople</w:t>
      </w:r>
    </w:p>
    <w:p w14:paraId="588D4ED2" w14:textId="77777777" w:rsidR="006F293D" w:rsidRPr="00D50222" w:rsidRDefault="006F293D" w:rsidP="006F293D">
      <w:pPr>
        <w:jc w:val="both"/>
        <w:rPr>
          <w:rFonts w:ascii="Arial" w:hAnsi="Arial" w:cs="Arial"/>
          <w:sz w:val="20"/>
          <w:szCs w:val="20"/>
        </w:rPr>
      </w:pPr>
      <w:r w:rsidRPr="00D50222">
        <w:rPr>
          <w:rFonts w:ascii="Arial" w:hAnsi="Arial" w:cs="Arial"/>
          <w:sz w:val="20"/>
          <w:szCs w:val="20"/>
        </w:rPr>
        <w:t>The Trust’s greatest asset is the people who come to work here every day, who are resolute and committed to providing the best of care to all patients every time, sometimes in very difficult circumstances.</w:t>
      </w:r>
    </w:p>
    <w:p w14:paraId="4015A1C2" w14:textId="77777777" w:rsidR="006F293D" w:rsidRPr="00D50222" w:rsidRDefault="006F293D" w:rsidP="006F293D">
      <w:pPr>
        <w:jc w:val="both"/>
        <w:rPr>
          <w:rFonts w:ascii="Arial" w:hAnsi="Arial" w:cs="Arial"/>
          <w:sz w:val="20"/>
          <w:szCs w:val="20"/>
        </w:rPr>
      </w:pPr>
      <w:r w:rsidRPr="00D50222">
        <w:rPr>
          <w:rFonts w:ascii="Arial" w:hAnsi="Arial" w:cs="Arial"/>
          <w:sz w:val="20"/>
          <w:szCs w:val="20"/>
        </w:rPr>
        <w:t>It is this dedicated and diverse workforce who have delivered the improvements we are so proud of, and who I know continue to work hard to keep up the steady progress in our journey of ongoing improvement.</w:t>
      </w:r>
    </w:p>
    <w:p w14:paraId="18EB76A8" w14:textId="77777777" w:rsidR="006F293D" w:rsidRPr="00D50222" w:rsidRDefault="006F293D" w:rsidP="006F293D">
      <w:pPr>
        <w:pStyle w:val="NormalWeb"/>
        <w:spacing w:before="0" w:beforeAutospacing="0" w:after="0" w:afterAutospacing="0"/>
        <w:jc w:val="both"/>
        <w:rPr>
          <w:rFonts w:ascii="Arial" w:hAnsi="Arial" w:cs="Arial"/>
          <w:sz w:val="20"/>
          <w:szCs w:val="20"/>
        </w:rPr>
      </w:pPr>
      <w:r w:rsidRPr="00D50222">
        <w:rPr>
          <w:rFonts w:ascii="Arial" w:hAnsi="Arial" w:cs="Arial"/>
          <w:sz w:val="20"/>
          <w:szCs w:val="20"/>
        </w:rPr>
        <w:t xml:space="preserve">During 2024 to 2025, we were successful in significantly reducing the number of staff leaving the Trust within two years of starting for work for us, which impacts on patient care. </w:t>
      </w:r>
    </w:p>
    <w:p w14:paraId="1C33C315" w14:textId="77777777" w:rsidR="006F293D" w:rsidRPr="00D50222" w:rsidRDefault="006F293D" w:rsidP="006F293D">
      <w:pPr>
        <w:pStyle w:val="NormalWeb"/>
        <w:spacing w:before="0" w:beforeAutospacing="0" w:after="0" w:afterAutospacing="0"/>
        <w:jc w:val="both"/>
        <w:rPr>
          <w:rFonts w:ascii="Arial" w:hAnsi="Arial" w:cs="Arial"/>
          <w:sz w:val="20"/>
          <w:szCs w:val="20"/>
        </w:rPr>
      </w:pPr>
      <w:r w:rsidRPr="00D50222">
        <w:rPr>
          <w:rFonts w:ascii="Arial" w:hAnsi="Arial" w:cs="Arial"/>
          <w:sz w:val="20"/>
          <w:szCs w:val="20"/>
        </w:rPr>
        <w:t>Following this, we launched a programme of cultural transformation, to focus on equality, diversity and inclusion, and address violence and aggression against staff.</w:t>
      </w:r>
      <w:r w:rsidR="00D44FDD" w:rsidRPr="00D50222">
        <w:rPr>
          <w:rFonts w:ascii="Arial" w:hAnsi="Arial" w:cs="Arial"/>
          <w:sz w:val="20"/>
          <w:szCs w:val="20"/>
        </w:rPr>
        <w:t xml:space="preserve">  </w:t>
      </w:r>
      <w:r w:rsidRPr="00D50222">
        <w:rPr>
          <w:rFonts w:ascii="Arial" w:hAnsi="Arial" w:cs="Arial"/>
          <w:sz w:val="20"/>
          <w:szCs w:val="20"/>
        </w:rPr>
        <w:t xml:space="preserve">This work is essential if we are to make Medway a more compassionate and inclusive place to work. </w:t>
      </w:r>
      <w:r w:rsidR="00D44FDD" w:rsidRPr="00D50222">
        <w:rPr>
          <w:rFonts w:ascii="Arial" w:hAnsi="Arial" w:cs="Arial"/>
          <w:sz w:val="20"/>
          <w:szCs w:val="20"/>
        </w:rPr>
        <w:t xml:space="preserve"> </w:t>
      </w:r>
      <w:r w:rsidRPr="00D50222">
        <w:rPr>
          <w:rFonts w:ascii="Arial" w:hAnsi="Arial" w:cs="Arial"/>
          <w:sz w:val="20"/>
          <w:szCs w:val="20"/>
        </w:rPr>
        <w:t>I am confident this will gain further momentum in the coming year under the Patient First banner.</w:t>
      </w:r>
    </w:p>
    <w:p w14:paraId="08CFAB03" w14:textId="77777777" w:rsidR="006F293D" w:rsidRPr="00D50222" w:rsidRDefault="006F293D" w:rsidP="006F293D">
      <w:pPr>
        <w:pStyle w:val="NormalWeb"/>
        <w:spacing w:before="0" w:beforeAutospacing="0" w:after="0" w:afterAutospacing="0"/>
        <w:jc w:val="both"/>
        <w:rPr>
          <w:rFonts w:ascii="Arial" w:hAnsi="Arial" w:cs="Arial"/>
          <w:color w:val="383A42"/>
          <w:sz w:val="20"/>
          <w:szCs w:val="20"/>
        </w:rPr>
      </w:pPr>
      <w:r w:rsidRPr="00D50222">
        <w:rPr>
          <w:rFonts w:ascii="Arial" w:hAnsi="Arial" w:cs="Arial"/>
          <w:sz w:val="20"/>
          <w:szCs w:val="20"/>
        </w:rPr>
        <w:t xml:space="preserve">I was reassured further by our Staff Survey results for 2024 which showed we had improved in six of the seven ‘People Promise’ themes, with the biggest improvement being that </w:t>
      </w:r>
      <w:r w:rsidRPr="00D50222">
        <w:rPr>
          <w:rFonts w:ascii="Arial" w:hAnsi="Arial" w:cs="Arial"/>
          <w:color w:val="383A42"/>
          <w:sz w:val="20"/>
          <w:szCs w:val="20"/>
        </w:rPr>
        <w:t>that 56.2</w:t>
      </w:r>
      <w:r w:rsidR="00D44FDD" w:rsidRPr="00D50222">
        <w:rPr>
          <w:rFonts w:ascii="Arial" w:hAnsi="Arial" w:cs="Arial"/>
          <w:color w:val="383A42"/>
          <w:sz w:val="20"/>
          <w:szCs w:val="20"/>
        </w:rPr>
        <w:t>%</w:t>
      </w:r>
      <w:r w:rsidRPr="00D50222">
        <w:rPr>
          <w:rFonts w:ascii="Arial" w:hAnsi="Arial" w:cs="Arial"/>
          <w:color w:val="383A42"/>
          <w:sz w:val="20"/>
          <w:szCs w:val="20"/>
        </w:rPr>
        <w:t xml:space="preserve"> (up 2.6</w:t>
      </w:r>
      <w:r w:rsidR="00D44FDD" w:rsidRPr="00D50222">
        <w:rPr>
          <w:rFonts w:ascii="Arial" w:hAnsi="Arial" w:cs="Arial"/>
          <w:color w:val="383A42"/>
          <w:sz w:val="20"/>
          <w:szCs w:val="20"/>
        </w:rPr>
        <w:t>%</w:t>
      </w:r>
      <w:r w:rsidRPr="00D50222">
        <w:rPr>
          <w:rFonts w:ascii="Arial" w:hAnsi="Arial" w:cs="Arial"/>
          <w:color w:val="383A42"/>
          <w:sz w:val="20"/>
          <w:szCs w:val="20"/>
        </w:rPr>
        <w:t>) of staff would recommend the Trust as a place to work.</w:t>
      </w:r>
    </w:p>
    <w:p w14:paraId="21E05647" w14:textId="77777777" w:rsidR="006F293D" w:rsidRPr="00D50222" w:rsidRDefault="006F293D" w:rsidP="006F293D">
      <w:pPr>
        <w:shd w:val="clear" w:color="auto" w:fill="FFFFFF"/>
        <w:jc w:val="both"/>
        <w:rPr>
          <w:rFonts w:ascii="Arial" w:hAnsi="Arial" w:cs="Arial"/>
          <w:sz w:val="20"/>
          <w:szCs w:val="20"/>
        </w:rPr>
      </w:pPr>
      <w:r w:rsidRPr="00D50222">
        <w:rPr>
          <w:rFonts w:ascii="Arial" w:hAnsi="Arial" w:cs="Arial"/>
          <w:sz w:val="20"/>
          <w:szCs w:val="20"/>
        </w:rPr>
        <w:t>Of course, there</w:t>
      </w:r>
      <w:r w:rsidR="00D44FDD" w:rsidRPr="00D50222">
        <w:rPr>
          <w:rFonts w:ascii="Arial" w:hAnsi="Arial" w:cs="Arial"/>
          <w:sz w:val="20"/>
          <w:szCs w:val="20"/>
        </w:rPr>
        <w:t xml:space="preserve"> i</w:t>
      </w:r>
      <w:r w:rsidRPr="00D50222">
        <w:rPr>
          <w:rFonts w:ascii="Arial" w:hAnsi="Arial" w:cs="Arial"/>
          <w:sz w:val="20"/>
          <w:szCs w:val="20"/>
        </w:rPr>
        <w:t>s always more we can do, but this was an encouraging sign that we are heading in the right direction to become an employer of choice.</w:t>
      </w:r>
    </w:p>
    <w:p w14:paraId="365AA082" w14:textId="77777777" w:rsidR="006F293D" w:rsidRPr="00D50222" w:rsidRDefault="006F293D" w:rsidP="006F293D">
      <w:pPr>
        <w:shd w:val="clear" w:color="auto" w:fill="FFFFFF"/>
        <w:jc w:val="both"/>
        <w:rPr>
          <w:rFonts w:ascii="Arial" w:hAnsi="Arial" w:cs="Arial"/>
          <w:sz w:val="20"/>
          <w:szCs w:val="20"/>
        </w:rPr>
      </w:pPr>
    </w:p>
    <w:p w14:paraId="4DCC7657" w14:textId="77777777" w:rsidR="006F293D" w:rsidRPr="00D50222" w:rsidRDefault="006F293D" w:rsidP="006F293D">
      <w:pPr>
        <w:shd w:val="clear" w:color="auto" w:fill="FFFFFF"/>
        <w:jc w:val="both"/>
        <w:rPr>
          <w:rFonts w:ascii="Arial" w:eastAsia="Times New Roman" w:hAnsi="Arial" w:cs="Arial"/>
          <w:b/>
          <w:color w:val="383A42"/>
          <w:sz w:val="20"/>
          <w:szCs w:val="20"/>
          <w:lang w:eastAsia="en-GB"/>
        </w:rPr>
      </w:pPr>
      <w:r w:rsidRPr="00D50222">
        <w:rPr>
          <w:rFonts w:ascii="Arial" w:eastAsia="Times New Roman" w:hAnsi="Arial" w:cs="Arial"/>
          <w:b/>
          <w:color w:val="383A42"/>
          <w:sz w:val="20"/>
          <w:szCs w:val="20"/>
          <w:lang w:eastAsia="en-GB"/>
        </w:rPr>
        <w:t xml:space="preserve">Financial </w:t>
      </w:r>
      <w:r w:rsidR="00970F7D" w:rsidRPr="00D50222">
        <w:rPr>
          <w:rFonts w:ascii="Arial" w:eastAsia="Times New Roman" w:hAnsi="Arial" w:cs="Arial"/>
          <w:b/>
          <w:color w:val="383A42"/>
          <w:sz w:val="20"/>
          <w:szCs w:val="20"/>
          <w:lang w:eastAsia="en-GB"/>
        </w:rPr>
        <w:t>P</w:t>
      </w:r>
      <w:r w:rsidRPr="00D50222">
        <w:rPr>
          <w:rFonts w:ascii="Arial" w:eastAsia="Times New Roman" w:hAnsi="Arial" w:cs="Arial"/>
          <w:b/>
          <w:color w:val="383A42"/>
          <w:sz w:val="20"/>
          <w:szCs w:val="20"/>
          <w:lang w:eastAsia="en-GB"/>
        </w:rPr>
        <w:t>osition</w:t>
      </w:r>
    </w:p>
    <w:p w14:paraId="37E4BCA6" w14:textId="77777777" w:rsidR="006F293D" w:rsidRPr="00D50222" w:rsidRDefault="006F293D" w:rsidP="006F293D">
      <w:pPr>
        <w:jc w:val="both"/>
        <w:rPr>
          <w:rFonts w:ascii="Arial" w:hAnsi="Arial" w:cs="Arial"/>
          <w:sz w:val="20"/>
          <w:szCs w:val="20"/>
        </w:rPr>
      </w:pPr>
      <w:r w:rsidRPr="00D50222">
        <w:rPr>
          <w:rFonts w:ascii="Arial" w:hAnsi="Arial" w:cs="Arial"/>
          <w:sz w:val="20"/>
          <w:szCs w:val="20"/>
        </w:rPr>
        <w:t>Over the past 12 months the Trust has faced considerable financial challenges, and during this period we have remained in segment four of NHS England’s Single Oversight Framework, meaning we are part of the national Recovery Support Programme.</w:t>
      </w:r>
      <w:r w:rsidR="00D44FDD" w:rsidRPr="00D50222">
        <w:rPr>
          <w:rFonts w:ascii="Arial" w:hAnsi="Arial" w:cs="Arial"/>
          <w:sz w:val="20"/>
          <w:szCs w:val="20"/>
        </w:rPr>
        <w:t xml:space="preserve"> </w:t>
      </w:r>
      <w:r w:rsidRPr="00D50222">
        <w:rPr>
          <w:rFonts w:ascii="Arial" w:hAnsi="Arial" w:cs="Arial"/>
          <w:sz w:val="20"/>
          <w:szCs w:val="20"/>
        </w:rPr>
        <w:t xml:space="preserve"> Through our Financial Recovery Plan, we have actions in place to reduce our deficit while maintaining the quality of care for our patients. </w:t>
      </w:r>
      <w:r w:rsidR="00D44FDD" w:rsidRPr="00D50222">
        <w:rPr>
          <w:rFonts w:ascii="Arial" w:hAnsi="Arial" w:cs="Arial"/>
          <w:sz w:val="20"/>
          <w:szCs w:val="20"/>
        </w:rPr>
        <w:t xml:space="preserve"> </w:t>
      </w:r>
      <w:r w:rsidRPr="00D50222">
        <w:rPr>
          <w:rFonts w:ascii="Arial" w:hAnsi="Arial" w:cs="Arial"/>
          <w:sz w:val="20"/>
          <w:szCs w:val="20"/>
        </w:rPr>
        <w:t xml:space="preserve">We know that 2025/26 will be even more challenging, and are working with colleagues across the wider healthcare system in Kent and Medway to meet the targets set. </w:t>
      </w:r>
    </w:p>
    <w:p w14:paraId="5D260C5C" w14:textId="77777777" w:rsidR="006F293D" w:rsidRPr="00D50222" w:rsidRDefault="006F293D" w:rsidP="006F293D">
      <w:pPr>
        <w:jc w:val="both"/>
        <w:rPr>
          <w:rFonts w:ascii="Arial" w:hAnsi="Arial" w:cs="Arial"/>
          <w:sz w:val="20"/>
          <w:szCs w:val="20"/>
        </w:rPr>
      </w:pPr>
    </w:p>
    <w:p w14:paraId="17B52062" w14:textId="77777777" w:rsidR="006F293D" w:rsidRPr="00D50222" w:rsidRDefault="006F293D" w:rsidP="006F293D">
      <w:pPr>
        <w:jc w:val="both"/>
        <w:rPr>
          <w:rFonts w:ascii="Arial" w:eastAsia="Times New Roman" w:hAnsi="Arial" w:cs="Arial"/>
          <w:b/>
          <w:color w:val="231F20"/>
          <w:sz w:val="20"/>
          <w:szCs w:val="20"/>
          <w:lang w:eastAsia="en-GB"/>
        </w:rPr>
      </w:pPr>
      <w:r w:rsidRPr="00D50222">
        <w:rPr>
          <w:rFonts w:ascii="Arial" w:eastAsia="Times New Roman" w:hAnsi="Arial" w:cs="Arial"/>
          <w:b/>
          <w:color w:val="231F20"/>
          <w:sz w:val="20"/>
          <w:szCs w:val="20"/>
          <w:lang w:eastAsia="en-GB"/>
        </w:rPr>
        <w:t xml:space="preserve">Thank </w:t>
      </w:r>
      <w:r w:rsidR="00970F7D" w:rsidRPr="00D50222">
        <w:rPr>
          <w:rFonts w:ascii="Arial" w:eastAsia="Times New Roman" w:hAnsi="Arial" w:cs="Arial"/>
          <w:b/>
          <w:color w:val="231F20"/>
          <w:sz w:val="20"/>
          <w:szCs w:val="20"/>
          <w:lang w:eastAsia="en-GB"/>
        </w:rPr>
        <w:t>Y</w:t>
      </w:r>
      <w:r w:rsidRPr="00D50222">
        <w:rPr>
          <w:rFonts w:ascii="Arial" w:eastAsia="Times New Roman" w:hAnsi="Arial" w:cs="Arial"/>
          <w:b/>
          <w:color w:val="231F20"/>
          <w:sz w:val="20"/>
          <w:szCs w:val="20"/>
          <w:lang w:eastAsia="en-GB"/>
        </w:rPr>
        <w:t>ou</w:t>
      </w:r>
    </w:p>
    <w:p w14:paraId="1AA805DA" w14:textId="77777777" w:rsidR="006F293D" w:rsidRPr="00D50222" w:rsidRDefault="006F293D" w:rsidP="006F293D">
      <w:pPr>
        <w:pStyle w:val="NormalWeb"/>
        <w:spacing w:before="0" w:beforeAutospacing="0" w:after="0" w:afterAutospacing="0"/>
        <w:jc w:val="both"/>
        <w:rPr>
          <w:rFonts w:ascii="Arial" w:hAnsi="Arial" w:cs="Arial"/>
          <w:sz w:val="20"/>
          <w:szCs w:val="20"/>
        </w:rPr>
      </w:pPr>
      <w:r w:rsidRPr="00D50222">
        <w:rPr>
          <w:rFonts w:ascii="Arial" w:hAnsi="Arial" w:cs="Arial"/>
          <w:color w:val="231F20"/>
          <w:sz w:val="20"/>
          <w:szCs w:val="20"/>
        </w:rPr>
        <w:t>There were also many personal successes, award wins and accolades – too many to mention individually – but all testament to the hard work and pride that is Medway.</w:t>
      </w:r>
      <w:r w:rsidR="00D44FDD" w:rsidRPr="00D50222">
        <w:rPr>
          <w:rFonts w:ascii="Arial" w:hAnsi="Arial" w:cs="Arial"/>
          <w:color w:val="231F20"/>
          <w:sz w:val="20"/>
          <w:szCs w:val="20"/>
        </w:rPr>
        <w:t xml:space="preserve"> </w:t>
      </w:r>
      <w:r w:rsidRPr="00D50222">
        <w:rPr>
          <w:rFonts w:ascii="Arial" w:hAnsi="Arial" w:cs="Arial"/>
          <w:color w:val="231F20"/>
          <w:sz w:val="20"/>
          <w:szCs w:val="20"/>
        </w:rPr>
        <w:t xml:space="preserve"> I would like to give a final thanks to all valued colleagues, </w:t>
      </w:r>
      <w:r w:rsidRPr="00D50222">
        <w:rPr>
          <w:rFonts w:ascii="Arial" w:hAnsi="Arial" w:cs="Arial"/>
          <w:sz w:val="20"/>
          <w:szCs w:val="20"/>
        </w:rPr>
        <w:t>volunteers, governors, charity partners, health and care partners and the local community for making 2024 to 2025 a memorable year for so many reasons.</w:t>
      </w:r>
      <w:r w:rsidR="00D50222" w:rsidRPr="00D50222">
        <w:rPr>
          <w:rFonts w:ascii="Arial" w:hAnsi="Arial" w:cs="Arial"/>
          <w:sz w:val="20"/>
          <w:szCs w:val="20"/>
        </w:rPr>
        <w:t xml:space="preserve">  </w:t>
      </w:r>
      <w:r w:rsidRPr="00D50222">
        <w:rPr>
          <w:rFonts w:ascii="Arial" w:hAnsi="Arial" w:cs="Arial"/>
          <w:sz w:val="20"/>
          <w:szCs w:val="20"/>
        </w:rPr>
        <w:t xml:space="preserve">I am confident that the next year will be a good year for Medway under Jon’s leadership and I will be watching progress with interest. </w:t>
      </w:r>
      <w:r w:rsidR="00D44FDD" w:rsidRPr="00D50222">
        <w:rPr>
          <w:rFonts w:ascii="Arial" w:hAnsi="Arial" w:cs="Arial"/>
          <w:sz w:val="20"/>
          <w:szCs w:val="20"/>
        </w:rPr>
        <w:t xml:space="preserve"> </w:t>
      </w:r>
      <w:r w:rsidRPr="00D50222">
        <w:rPr>
          <w:rFonts w:ascii="Arial" w:hAnsi="Arial" w:cs="Arial"/>
          <w:sz w:val="20"/>
          <w:szCs w:val="20"/>
        </w:rPr>
        <w:t>I wish you all the best for 2025/26.</w:t>
      </w:r>
    </w:p>
    <w:p w14:paraId="3AF54327" w14:textId="77777777" w:rsidR="00D50222" w:rsidRPr="00D50222" w:rsidRDefault="00D50222" w:rsidP="00D50222">
      <w:pPr>
        <w:pStyle w:val="NormalWeb"/>
        <w:spacing w:before="0" w:beforeAutospacing="0" w:after="0" w:afterAutospacing="0"/>
        <w:jc w:val="both"/>
        <w:rPr>
          <w:rFonts w:ascii="Arial" w:hAnsi="Arial" w:cs="Arial"/>
          <w:sz w:val="20"/>
          <w:szCs w:val="20"/>
        </w:rPr>
      </w:pPr>
    </w:p>
    <w:p w14:paraId="6E1E0987" w14:textId="77777777" w:rsidR="00D50222" w:rsidRPr="00D50222" w:rsidRDefault="006F293D" w:rsidP="00D50222">
      <w:pPr>
        <w:pStyle w:val="NormalWeb"/>
        <w:spacing w:before="0" w:beforeAutospacing="0" w:after="0" w:afterAutospacing="0"/>
        <w:jc w:val="both"/>
        <w:rPr>
          <w:rFonts w:ascii="Arial" w:hAnsi="Arial" w:cs="Arial"/>
          <w:sz w:val="20"/>
          <w:szCs w:val="20"/>
        </w:rPr>
      </w:pPr>
      <w:r w:rsidRPr="00D50222">
        <w:rPr>
          <w:rFonts w:ascii="Arial" w:hAnsi="Arial" w:cs="Arial"/>
          <w:sz w:val="20"/>
          <w:szCs w:val="20"/>
        </w:rPr>
        <w:t>[</w:t>
      </w:r>
      <w:r w:rsidRPr="00D50222">
        <w:rPr>
          <w:rFonts w:ascii="Arial" w:hAnsi="Arial" w:cs="Arial"/>
          <w:i/>
          <w:sz w:val="20"/>
          <w:szCs w:val="20"/>
        </w:rPr>
        <w:t>Jonathan Wade took over as Chief Executive of Medway NHS Foundation Trust on 01 April 2025</w:t>
      </w:r>
      <w:r w:rsidRPr="00D50222">
        <w:rPr>
          <w:rFonts w:ascii="Arial" w:hAnsi="Arial" w:cs="Arial"/>
          <w:sz w:val="20"/>
          <w:szCs w:val="20"/>
        </w:rPr>
        <w:t>]</w:t>
      </w:r>
    </w:p>
    <w:p w14:paraId="1160827F" w14:textId="77777777" w:rsidR="00D50222" w:rsidRPr="00D50222" w:rsidRDefault="00D50222" w:rsidP="00D50222">
      <w:pPr>
        <w:pStyle w:val="NormalWeb"/>
        <w:spacing w:before="0" w:beforeAutospacing="0" w:after="0" w:afterAutospacing="0"/>
        <w:jc w:val="both"/>
        <w:rPr>
          <w:rFonts w:ascii="Arial" w:hAnsi="Arial" w:cs="Arial"/>
          <w:sz w:val="20"/>
          <w:szCs w:val="20"/>
        </w:rPr>
      </w:pPr>
    </w:p>
    <w:p w14:paraId="3E7AFEC1" w14:textId="77777777" w:rsidR="00301B12" w:rsidRPr="00D50222" w:rsidRDefault="00D30693" w:rsidP="00D50222">
      <w:pPr>
        <w:pStyle w:val="NormalWeb"/>
        <w:spacing w:before="0" w:beforeAutospacing="0" w:after="0" w:afterAutospacing="0"/>
        <w:jc w:val="both"/>
        <w:rPr>
          <w:rFonts w:ascii="Arial" w:hAnsi="Arial" w:cs="Arial"/>
          <w:b/>
          <w:noProof/>
          <w:sz w:val="20"/>
          <w:szCs w:val="20"/>
          <w:highlight w:val="green"/>
        </w:rPr>
      </w:pPr>
      <w:r w:rsidRPr="00D50222">
        <w:rPr>
          <w:noProof/>
          <w:sz w:val="20"/>
          <w:szCs w:val="20"/>
        </w:rPr>
        <w:drawing>
          <wp:inline distT="0" distB="0" distL="0" distR="0" wp14:anchorId="6F584CA5" wp14:editId="29815253">
            <wp:extent cx="1682052" cy="638203"/>
            <wp:effectExtent l="0" t="0" r="0" b="0"/>
            <wp:docPr id="6" name="Picture 6" descr="This is an image of Jayne Black's signature.  Jayne Black is Chief Executive of the Tru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71152" cy="672009"/>
                    </a:xfrm>
                    <a:prstGeom prst="rect">
                      <a:avLst/>
                    </a:prstGeom>
                    <a:noFill/>
                    <a:ln>
                      <a:noFill/>
                    </a:ln>
                  </pic:spPr>
                </pic:pic>
              </a:graphicData>
            </a:graphic>
          </wp:inline>
        </w:drawing>
      </w:r>
    </w:p>
    <w:p w14:paraId="0F8C09EF" w14:textId="77777777" w:rsidR="00250A99" w:rsidRPr="00D50222" w:rsidRDefault="00250A99" w:rsidP="006F293D">
      <w:pPr>
        <w:rPr>
          <w:rFonts w:ascii="Arial" w:hAnsi="Arial" w:cs="Arial"/>
          <w:sz w:val="20"/>
          <w:szCs w:val="20"/>
          <w:lang w:val="en-GB"/>
        </w:rPr>
      </w:pPr>
      <w:r w:rsidRPr="00D50222">
        <w:rPr>
          <w:rFonts w:ascii="Arial" w:hAnsi="Arial" w:cs="Arial"/>
          <w:sz w:val="20"/>
          <w:szCs w:val="20"/>
          <w:lang w:val="en-GB"/>
        </w:rPr>
        <w:t>………………………………..</w:t>
      </w:r>
    </w:p>
    <w:p w14:paraId="0A65C4CF" w14:textId="77777777" w:rsidR="00FB6AA9" w:rsidRPr="00D50222" w:rsidRDefault="004440BF" w:rsidP="006F293D">
      <w:pPr>
        <w:rPr>
          <w:rFonts w:ascii="Arial" w:hAnsi="Arial" w:cs="Arial"/>
          <w:b/>
          <w:sz w:val="20"/>
          <w:szCs w:val="20"/>
          <w:lang w:val="en-GB"/>
        </w:rPr>
      </w:pPr>
      <w:r w:rsidRPr="00D50222">
        <w:rPr>
          <w:rFonts w:ascii="Arial" w:hAnsi="Arial" w:cs="Arial"/>
          <w:b/>
          <w:sz w:val="20"/>
          <w:szCs w:val="20"/>
          <w:lang w:val="en-GB"/>
        </w:rPr>
        <w:t>Jayne Bl</w:t>
      </w:r>
      <w:r w:rsidR="00FB6AA9" w:rsidRPr="00D50222">
        <w:rPr>
          <w:rFonts w:ascii="Arial" w:hAnsi="Arial" w:cs="Arial"/>
          <w:b/>
          <w:sz w:val="20"/>
          <w:szCs w:val="20"/>
          <w:lang w:val="en-GB"/>
        </w:rPr>
        <w:t>ack</w:t>
      </w:r>
    </w:p>
    <w:p w14:paraId="7D3BE867" w14:textId="77777777" w:rsidR="004440BF" w:rsidRPr="00D50222" w:rsidRDefault="004057DC" w:rsidP="006F293D">
      <w:pPr>
        <w:rPr>
          <w:rFonts w:ascii="Arial" w:hAnsi="Arial" w:cs="Arial"/>
          <w:b/>
          <w:sz w:val="20"/>
          <w:szCs w:val="20"/>
          <w:lang w:val="en-GB"/>
        </w:rPr>
      </w:pPr>
      <w:r w:rsidRPr="00D50222">
        <w:rPr>
          <w:rFonts w:ascii="Arial" w:hAnsi="Arial" w:cs="Arial"/>
          <w:b/>
          <w:sz w:val="20"/>
          <w:szCs w:val="20"/>
          <w:lang w:val="en-GB"/>
        </w:rPr>
        <w:t>Chief Executive</w:t>
      </w:r>
    </w:p>
    <w:p w14:paraId="7E4FA1E3" w14:textId="77777777" w:rsidR="004057DC" w:rsidRPr="00D50222" w:rsidRDefault="004057DC" w:rsidP="006F293D">
      <w:pPr>
        <w:rPr>
          <w:rFonts w:ascii="Arial" w:hAnsi="Arial" w:cs="Arial"/>
          <w:b/>
          <w:sz w:val="20"/>
          <w:szCs w:val="20"/>
          <w:lang w:val="en-GB"/>
        </w:rPr>
      </w:pPr>
    </w:p>
    <w:p w14:paraId="50028603" w14:textId="0622015C" w:rsidR="00BA7324" w:rsidRDefault="00BA7324" w:rsidP="006F293D">
      <w:pPr>
        <w:rPr>
          <w:rFonts w:ascii="Arial" w:hAnsi="Arial" w:cs="Arial"/>
          <w:b/>
          <w:sz w:val="20"/>
          <w:szCs w:val="20"/>
          <w:lang w:val="en-GB"/>
        </w:rPr>
      </w:pPr>
    </w:p>
    <w:p w14:paraId="619ACCC9" w14:textId="77777777" w:rsidR="00BA7324" w:rsidRDefault="00BA7324">
      <w:pPr>
        <w:widowControl/>
        <w:spacing w:after="160" w:line="259" w:lineRule="auto"/>
        <w:rPr>
          <w:rFonts w:ascii="Arial" w:hAnsi="Arial" w:cs="Arial"/>
          <w:b/>
          <w:sz w:val="20"/>
          <w:szCs w:val="20"/>
          <w:lang w:val="en-GB"/>
        </w:rPr>
      </w:pPr>
      <w:r>
        <w:rPr>
          <w:rFonts w:ascii="Arial" w:hAnsi="Arial" w:cs="Arial"/>
          <w:b/>
          <w:sz w:val="20"/>
          <w:szCs w:val="20"/>
          <w:lang w:val="en-GB"/>
        </w:rPr>
        <w:br w:type="page"/>
      </w:r>
    </w:p>
    <w:p w14:paraId="1AFCF119" w14:textId="1CE4CB96" w:rsidR="00BA7324" w:rsidRDefault="001A0073" w:rsidP="001A0073">
      <w:pPr>
        <w:pStyle w:val="NormalWeb"/>
        <w:rPr>
          <w:rFonts w:ascii="Arial" w:hAnsi="Arial" w:cs="Arial"/>
          <w:sz w:val="20"/>
          <w:szCs w:val="20"/>
        </w:rPr>
      </w:pPr>
      <w:r>
        <w:rPr>
          <w:rFonts w:ascii="Arial" w:hAnsi="Arial" w:cs="Arial"/>
          <w:noProof/>
          <w:sz w:val="20"/>
          <w:szCs w:val="20"/>
        </w:rPr>
        <w:lastRenderedPageBreak/>
        <w:drawing>
          <wp:anchor distT="0" distB="0" distL="114300" distR="114300" simplePos="0" relativeHeight="251831296" behindDoc="0" locked="0" layoutInCell="1" allowOverlap="1" wp14:anchorId="6FB239B1" wp14:editId="5D08F5F8">
            <wp:simplePos x="0" y="0"/>
            <wp:positionH relativeFrom="column">
              <wp:posOffset>2790825</wp:posOffset>
            </wp:positionH>
            <wp:positionV relativeFrom="paragraph">
              <wp:posOffset>0</wp:posOffset>
            </wp:positionV>
            <wp:extent cx="2718000" cy="1656000"/>
            <wp:effectExtent l="0" t="0" r="6350" b="1905"/>
            <wp:wrapSquare wrapText="bothSides"/>
            <wp:docPr id="9" name="Picture 9" descr="Jonathan Wade, Interim Chief Executive Off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Jonathan Wade, Interim Chief Executive Offic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18000" cy="16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A7324" w:rsidRPr="00BA7324">
        <w:rPr>
          <w:rFonts w:ascii="Arial" w:hAnsi="Arial" w:cs="Arial"/>
          <w:sz w:val="20"/>
          <w:szCs w:val="20"/>
        </w:rPr>
        <w:t>I joined the Trust as Chief Executive</w:t>
      </w:r>
      <w:r w:rsidR="008859C1">
        <w:rPr>
          <w:rFonts w:ascii="Arial" w:hAnsi="Arial" w:cs="Arial"/>
          <w:sz w:val="20"/>
          <w:szCs w:val="20"/>
        </w:rPr>
        <w:t xml:space="preserve"> Officer (Interim)</w:t>
      </w:r>
      <w:r w:rsidR="00BA7324" w:rsidRPr="00BA7324">
        <w:rPr>
          <w:rFonts w:ascii="Arial" w:hAnsi="Arial" w:cs="Arial"/>
          <w:sz w:val="20"/>
          <w:szCs w:val="20"/>
        </w:rPr>
        <w:t xml:space="preserve"> on </w:t>
      </w:r>
      <w:r w:rsidR="00BA7324">
        <w:rPr>
          <w:rFonts w:ascii="Arial" w:hAnsi="Arial" w:cs="Arial"/>
          <w:sz w:val="20"/>
          <w:szCs w:val="20"/>
        </w:rPr>
        <w:t>0</w:t>
      </w:r>
      <w:r w:rsidR="00BA7324" w:rsidRPr="00BA7324">
        <w:rPr>
          <w:rFonts w:ascii="Arial" w:hAnsi="Arial" w:cs="Arial"/>
          <w:sz w:val="20"/>
          <w:szCs w:val="20"/>
        </w:rPr>
        <w:t xml:space="preserve">1 April 2025, alongside my role as Chief Executive of Dartford and Gravesham NHS Trust. The shared Chief Executive appointment represents a step towards closer collaboration between the two trusts, and recognises the pathways followed by patients from across north Kent, and the close working of the two organisations. </w:t>
      </w:r>
    </w:p>
    <w:p w14:paraId="216DC184" w14:textId="4842776F" w:rsidR="00BA7324" w:rsidRDefault="00BA7324" w:rsidP="006F293D">
      <w:pPr>
        <w:rPr>
          <w:rFonts w:ascii="Arial" w:hAnsi="Arial" w:cs="Arial"/>
          <w:sz w:val="20"/>
          <w:szCs w:val="20"/>
          <w:lang w:val="en-GB"/>
        </w:rPr>
      </w:pPr>
      <w:r w:rsidRPr="00BA7324">
        <w:rPr>
          <w:rFonts w:ascii="Arial" w:hAnsi="Arial" w:cs="Arial"/>
          <w:sz w:val="20"/>
          <w:szCs w:val="20"/>
          <w:lang w:val="en-GB"/>
        </w:rPr>
        <w:t xml:space="preserve">It follows similar models across the country where trusts are increasingly sharing Chief Executives and other senior roles – we already share a Chair, John Goulston, with Kent Community Health NHS Foundation Trust. </w:t>
      </w:r>
    </w:p>
    <w:p w14:paraId="10A9E50C" w14:textId="01B8CAB6" w:rsidR="00BA7324" w:rsidRDefault="00BA7324" w:rsidP="006F293D">
      <w:pPr>
        <w:rPr>
          <w:rFonts w:ascii="Arial" w:hAnsi="Arial" w:cs="Arial"/>
          <w:sz w:val="20"/>
          <w:szCs w:val="20"/>
          <w:lang w:val="en-GB"/>
        </w:rPr>
      </w:pPr>
    </w:p>
    <w:p w14:paraId="348FA7B8" w14:textId="4F5F0337" w:rsidR="00BA7324" w:rsidRPr="00BA7324" w:rsidRDefault="00BA7324" w:rsidP="006F293D">
      <w:pPr>
        <w:rPr>
          <w:rFonts w:ascii="Arial" w:hAnsi="Arial" w:cs="Arial"/>
          <w:sz w:val="20"/>
          <w:szCs w:val="20"/>
          <w:lang w:val="en-GB"/>
        </w:rPr>
      </w:pPr>
      <w:r w:rsidRPr="00BA7324">
        <w:rPr>
          <w:rFonts w:ascii="Arial" w:hAnsi="Arial" w:cs="Arial"/>
          <w:sz w:val="20"/>
          <w:szCs w:val="20"/>
          <w:lang w:val="en-GB"/>
        </w:rPr>
        <w:t>There is a real opportunity for both organisations to learn from each other and make the best use of our collective expertise. By working together more effectively, we can improve resilience, drive innovation and deliver even better care for our communities.</w:t>
      </w:r>
    </w:p>
    <w:p w14:paraId="24C5D9A8" w14:textId="5FC8083E" w:rsidR="00BA7324" w:rsidRDefault="00BA7324" w:rsidP="00BA7324">
      <w:pPr>
        <w:rPr>
          <w:rFonts w:ascii="Arial" w:hAnsi="Arial" w:cs="Arial"/>
          <w:sz w:val="20"/>
          <w:szCs w:val="20"/>
          <w:highlight w:val="yellow"/>
          <w:lang w:val="en-GB"/>
        </w:rPr>
      </w:pPr>
    </w:p>
    <w:p w14:paraId="071A040A" w14:textId="22E6DCBF" w:rsidR="00BA7324" w:rsidRDefault="00983279" w:rsidP="00BA7324">
      <w:pPr>
        <w:rPr>
          <w:rFonts w:ascii="Arial" w:hAnsi="Arial" w:cs="Arial"/>
          <w:sz w:val="20"/>
          <w:szCs w:val="20"/>
          <w:highlight w:val="yellow"/>
          <w:lang w:val="en-GB"/>
        </w:rPr>
      </w:pPr>
      <w:r>
        <w:rPr>
          <w:rFonts w:ascii="Times New Roman" w:eastAsia="Times New Roman" w:hAnsi="Times New Roman" w:cs="Times New Roman"/>
          <w:noProof/>
          <w:sz w:val="24"/>
          <w:szCs w:val="24"/>
          <w:lang w:val="en-GB" w:eastAsia="en-GB"/>
        </w:rPr>
        <w:drawing>
          <wp:inline distT="0" distB="0" distL="0" distR="0" wp14:anchorId="00D695AC" wp14:editId="329F4777">
            <wp:extent cx="2324100" cy="1511300"/>
            <wp:effectExtent l="0" t="0" r="0" b="0"/>
            <wp:docPr id="11" name="Picture 11" descr="Signature of Jonathan W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ignature of Jonathan Wad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24100" cy="1511300"/>
                    </a:xfrm>
                    <a:prstGeom prst="rect">
                      <a:avLst/>
                    </a:prstGeom>
                    <a:noFill/>
                    <a:ln>
                      <a:noFill/>
                    </a:ln>
                  </pic:spPr>
                </pic:pic>
              </a:graphicData>
            </a:graphic>
          </wp:inline>
        </w:drawing>
      </w:r>
    </w:p>
    <w:p w14:paraId="0C19B14D" w14:textId="15C90B40" w:rsidR="00BA7324" w:rsidRPr="00983279" w:rsidRDefault="00BA7324" w:rsidP="00BA7324">
      <w:pPr>
        <w:rPr>
          <w:rFonts w:ascii="Arial" w:hAnsi="Arial" w:cs="Arial"/>
          <w:sz w:val="20"/>
          <w:szCs w:val="20"/>
          <w:lang w:val="en-GB"/>
        </w:rPr>
      </w:pPr>
    </w:p>
    <w:p w14:paraId="50B39D41" w14:textId="2BF7B09B" w:rsidR="00BA7324" w:rsidRPr="00983279" w:rsidRDefault="00BA7324" w:rsidP="00BA7324">
      <w:pPr>
        <w:rPr>
          <w:rFonts w:ascii="Arial" w:hAnsi="Arial" w:cs="Arial"/>
          <w:b/>
          <w:noProof/>
          <w:sz w:val="20"/>
          <w:szCs w:val="20"/>
          <w:lang w:val="en-GB" w:eastAsia="en-GB"/>
        </w:rPr>
      </w:pPr>
    </w:p>
    <w:p w14:paraId="15A4AEFE" w14:textId="77777777" w:rsidR="00BA7324" w:rsidRPr="00983279" w:rsidRDefault="00BA7324" w:rsidP="00BA7324">
      <w:pPr>
        <w:rPr>
          <w:rFonts w:ascii="Arial" w:hAnsi="Arial" w:cs="Arial"/>
          <w:sz w:val="20"/>
          <w:szCs w:val="20"/>
          <w:lang w:val="en-GB"/>
        </w:rPr>
      </w:pPr>
      <w:r w:rsidRPr="00983279">
        <w:rPr>
          <w:rFonts w:ascii="Arial" w:hAnsi="Arial" w:cs="Arial"/>
          <w:sz w:val="20"/>
          <w:szCs w:val="20"/>
          <w:lang w:val="en-GB"/>
        </w:rPr>
        <w:t>………………………………..</w:t>
      </w:r>
    </w:p>
    <w:p w14:paraId="69D9FAB9" w14:textId="77777777" w:rsidR="00BA7324" w:rsidRPr="00983279" w:rsidRDefault="00BA7324" w:rsidP="00BA7324">
      <w:pPr>
        <w:rPr>
          <w:rFonts w:ascii="Arial" w:hAnsi="Arial" w:cs="Arial"/>
          <w:b/>
          <w:sz w:val="20"/>
          <w:szCs w:val="20"/>
          <w:lang w:val="en-GB"/>
        </w:rPr>
      </w:pPr>
      <w:r w:rsidRPr="00983279">
        <w:rPr>
          <w:rFonts w:ascii="Arial" w:hAnsi="Arial" w:cs="Arial"/>
          <w:b/>
          <w:sz w:val="20"/>
          <w:szCs w:val="20"/>
          <w:lang w:val="en-GB"/>
        </w:rPr>
        <w:t>Jon Wade</w:t>
      </w:r>
    </w:p>
    <w:p w14:paraId="6A746ABD" w14:textId="77777777" w:rsidR="00BA7324" w:rsidRPr="00983279" w:rsidRDefault="00BA7324" w:rsidP="00BA7324">
      <w:pPr>
        <w:rPr>
          <w:rFonts w:ascii="Arial" w:hAnsi="Arial" w:cs="Arial"/>
          <w:b/>
          <w:sz w:val="20"/>
          <w:szCs w:val="20"/>
          <w:lang w:val="en-GB"/>
        </w:rPr>
      </w:pPr>
      <w:r w:rsidRPr="00983279">
        <w:rPr>
          <w:rFonts w:ascii="Arial" w:hAnsi="Arial" w:cs="Arial"/>
          <w:b/>
          <w:sz w:val="20"/>
          <w:szCs w:val="20"/>
          <w:lang w:val="en-GB"/>
        </w:rPr>
        <w:t>Chief Executive Officer</w:t>
      </w:r>
    </w:p>
    <w:p w14:paraId="36AD2EFD" w14:textId="77777777" w:rsidR="00BA7324" w:rsidRPr="00885B57" w:rsidRDefault="00BA7324" w:rsidP="00BA7324">
      <w:pPr>
        <w:rPr>
          <w:rFonts w:ascii="Arial" w:hAnsi="Arial" w:cs="Arial"/>
          <w:sz w:val="20"/>
          <w:szCs w:val="20"/>
          <w:lang w:val="en-GB"/>
        </w:rPr>
      </w:pPr>
    </w:p>
    <w:p w14:paraId="553883F9" w14:textId="2C653F06" w:rsidR="00BA7324" w:rsidRPr="00BA7324" w:rsidRDefault="00BA7324">
      <w:pPr>
        <w:widowControl/>
        <w:spacing w:after="160" w:line="259" w:lineRule="auto"/>
        <w:rPr>
          <w:rFonts w:ascii="Arial" w:hAnsi="Arial" w:cs="Arial"/>
          <w:sz w:val="20"/>
          <w:szCs w:val="20"/>
          <w:lang w:val="en-GB"/>
        </w:rPr>
      </w:pPr>
      <w:r w:rsidRPr="00BA7324">
        <w:rPr>
          <w:rFonts w:ascii="Arial" w:hAnsi="Arial" w:cs="Arial"/>
          <w:sz w:val="20"/>
          <w:szCs w:val="20"/>
          <w:lang w:val="en-GB"/>
        </w:rPr>
        <w:br w:type="page"/>
      </w:r>
    </w:p>
    <w:p w14:paraId="0BDC075F" w14:textId="77777777" w:rsidR="004057DC" w:rsidRPr="00D50222" w:rsidRDefault="002F4377" w:rsidP="002F4377">
      <w:pPr>
        <w:pStyle w:val="NormalWeb"/>
        <w:rPr>
          <w:sz w:val="20"/>
          <w:szCs w:val="20"/>
        </w:rPr>
      </w:pPr>
      <w:r w:rsidRPr="00D50222">
        <w:rPr>
          <w:noProof/>
          <w:sz w:val="20"/>
          <w:szCs w:val="20"/>
        </w:rPr>
        <w:lastRenderedPageBreak/>
        <w:drawing>
          <wp:anchor distT="0" distB="0" distL="114300" distR="114300" simplePos="0" relativeHeight="251820032" behindDoc="0" locked="0" layoutInCell="1" allowOverlap="1" wp14:anchorId="614001B5" wp14:editId="6F8E6880">
            <wp:simplePos x="0" y="0"/>
            <wp:positionH relativeFrom="column">
              <wp:posOffset>3176374</wp:posOffset>
            </wp:positionH>
            <wp:positionV relativeFrom="paragraph">
              <wp:posOffset>454</wp:posOffset>
            </wp:positionV>
            <wp:extent cx="2879725" cy="1756410"/>
            <wp:effectExtent l="0" t="0" r="0" b="0"/>
            <wp:wrapSquare wrapText="bothSides"/>
            <wp:docPr id="3" name="Picture 3" descr="Head shot of John Gouls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ompany Secretariat\Board Meetings\Pictures of Board Members\John Goulsto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9725" cy="1756410"/>
                    </a:xfrm>
                    <a:prstGeom prst="rect">
                      <a:avLst/>
                    </a:prstGeom>
                    <a:noFill/>
                    <a:ln>
                      <a:noFill/>
                    </a:ln>
                  </pic:spPr>
                </pic:pic>
              </a:graphicData>
            </a:graphic>
            <wp14:sizeRelH relativeFrom="page">
              <wp14:pctWidth>0</wp14:pctWidth>
            </wp14:sizeRelH>
            <wp14:sizeRelV relativeFrom="page">
              <wp14:pctHeight>0</wp14:pctHeight>
            </wp14:sizeRelV>
          </wp:anchor>
        </w:drawing>
      </w:r>
      <w:r w:rsidR="00F52143" w:rsidRPr="00D50222">
        <w:rPr>
          <w:noProof/>
          <w:sz w:val="20"/>
          <w:szCs w:val="20"/>
        </w:rPr>
        <w:drawing>
          <wp:anchor distT="0" distB="0" distL="114300" distR="114300" simplePos="0" relativeHeight="251744256" behindDoc="0" locked="0" layoutInCell="1" allowOverlap="1" wp14:anchorId="454BD7FB" wp14:editId="09A99E2A">
            <wp:simplePos x="0" y="0"/>
            <wp:positionH relativeFrom="column">
              <wp:posOffset>-882650</wp:posOffset>
            </wp:positionH>
            <wp:positionV relativeFrom="paragraph">
              <wp:posOffset>12468860</wp:posOffset>
            </wp:positionV>
            <wp:extent cx="7484745" cy="10620375"/>
            <wp:effectExtent l="0" t="0" r="1905" b="9525"/>
            <wp:wrapNone/>
            <wp:docPr id="18" name="Picture 18" descr="Title: Performance report. Photo: A clinician stands at the foot of a hospital bed smi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ompany Secretariat\Annual Report and Accounts\Annual Report 23-24\Comms Pics\2.0-cover annual report final_Performance report.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84745" cy="10620375"/>
                    </a:xfrm>
                    <a:prstGeom prst="rect">
                      <a:avLst/>
                    </a:prstGeom>
                    <a:noFill/>
                    <a:ln>
                      <a:noFill/>
                    </a:ln>
                  </pic:spPr>
                </pic:pic>
              </a:graphicData>
            </a:graphic>
            <wp14:sizeRelH relativeFrom="page">
              <wp14:pctWidth>0</wp14:pctWidth>
            </wp14:sizeRelH>
            <wp14:sizeRelV relativeFrom="page">
              <wp14:pctHeight>0</wp14:pctHeight>
            </wp14:sizeRelV>
          </wp:anchor>
        </w:drawing>
      </w:r>
      <w:r w:rsidR="004440BF" w:rsidRPr="00D50222">
        <w:rPr>
          <w:rFonts w:ascii="Arial" w:hAnsi="Arial" w:cs="Arial"/>
          <w:b/>
          <w:sz w:val="20"/>
          <w:szCs w:val="20"/>
        </w:rPr>
        <w:t>Foreword from the Chair</w:t>
      </w:r>
      <w:r w:rsidR="00BB47FA" w:rsidRPr="00D50222">
        <w:rPr>
          <w:rFonts w:ascii="Arial" w:hAnsi="Arial" w:cs="Arial"/>
          <w:b/>
          <w:color w:val="FF0000"/>
          <w:sz w:val="20"/>
          <w:szCs w:val="20"/>
        </w:rPr>
        <w:t xml:space="preserve"> </w:t>
      </w:r>
    </w:p>
    <w:p w14:paraId="131378AB" w14:textId="77777777" w:rsidR="002F4377" w:rsidRPr="00D50222" w:rsidRDefault="002F4377" w:rsidP="002F4377">
      <w:pPr>
        <w:widowControl/>
        <w:jc w:val="both"/>
        <w:textAlignment w:val="baseline"/>
        <w:rPr>
          <w:rFonts w:ascii="Arial" w:eastAsia="Times New Roman" w:hAnsi="Arial" w:cs="Arial"/>
          <w:sz w:val="20"/>
          <w:szCs w:val="20"/>
          <w:lang w:val="en-GB" w:eastAsia="en-GB"/>
        </w:rPr>
      </w:pPr>
      <w:r w:rsidRPr="00D50222">
        <w:rPr>
          <w:rFonts w:ascii="Arial" w:eastAsia="Times New Roman" w:hAnsi="Arial" w:cs="Arial"/>
          <w:sz w:val="20"/>
          <w:szCs w:val="20"/>
          <w:lang w:val="en-GB" w:eastAsia="en-GB"/>
        </w:rPr>
        <w:t>On behalf of the Board and as Chair of the Council of Governors, I would like to sincerely thank our staff for their outstanding efforts this year and their ongoing commitment to improve services for our patients.  </w:t>
      </w:r>
    </w:p>
    <w:p w14:paraId="6D08F197" w14:textId="77777777" w:rsidR="002F4377" w:rsidRPr="00D50222" w:rsidRDefault="002F4377" w:rsidP="002F4377">
      <w:pPr>
        <w:widowControl/>
        <w:jc w:val="both"/>
        <w:textAlignment w:val="baseline"/>
        <w:rPr>
          <w:rFonts w:ascii="Segoe UI" w:eastAsia="Times New Roman" w:hAnsi="Segoe UI" w:cs="Segoe UI"/>
          <w:sz w:val="20"/>
          <w:szCs w:val="20"/>
          <w:lang w:val="en-GB" w:eastAsia="en-GB"/>
        </w:rPr>
      </w:pPr>
    </w:p>
    <w:p w14:paraId="0B2913E9" w14:textId="77777777" w:rsidR="002F4377" w:rsidRPr="00D50222" w:rsidRDefault="002F4377" w:rsidP="002F4377">
      <w:pPr>
        <w:widowControl/>
        <w:jc w:val="both"/>
        <w:textAlignment w:val="baseline"/>
        <w:rPr>
          <w:rFonts w:ascii="Arial" w:eastAsia="Times New Roman" w:hAnsi="Arial" w:cs="Arial"/>
          <w:sz w:val="20"/>
          <w:szCs w:val="20"/>
          <w:lang w:val="en-GB" w:eastAsia="en-GB"/>
        </w:rPr>
      </w:pPr>
      <w:r w:rsidRPr="00D50222">
        <w:rPr>
          <w:rFonts w:ascii="Arial" w:eastAsia="Times New Roman" w:hAnsi="Arial" w:cs="Arial"/>
          <w:sz w:val="20"/>
          <w:szCs w:val="20"/>
          <w:lang w:val="en-GB" w:eastAsia="en-GB"/>
        </w:rPr>
        <w:t>While it has undoubtedly been another very challenging year for the NHS, it is testament to colleagues’ hard work that we have seen the momentum of improvement continue, guided by our Patient First improvement programme.  Patient First empowers staff to</w:t>
      </w:r>
      <w:r w:rsidRPr="00D50222">
        <w:rPr>
          <w:rFonts w:ascii="Calibri" w:eastAsia="Times New Roman" w:hAnsi="Calibri" w:cs="Calibri"/>
          <w:sz w:val="20"/>
          <w:szCs w:val="20"/>
          <w:lang w:val="en-GB" w:eastAsia="en-GB"/>
        </w:rPr>
        <w:t xml:space="preserve"> </w:t>
      </w:r>
      <w:r w:rsidRPr="00D50222">
        <w:rPr>
          <w:rFonts w:ascii="Arial" w:eastAsia="Times New Roman" w:hAnsi="Arial" w:cs="Arial"/>
          <w:sz w:val="20"/>
          <w:szCs w:val="20"/>
          <w:lang w:val="en-GB" w:eastAsia="en-GB"/>
        </w:rPr>
        <w:t>identify the changes that benefit patients most and helps us focus on the steps that will deliver the most impact.  </w:t>
      </w:r>
    </w:p>
    <w:p w14:paraId="41ED9468" w14:textId="77777777" w:rsidR="002F4377" w:rsidRPr="00D50222" w:rsidRDefault="002F4377" w:rsidP="002F4377">
      <w:pPr>
        <w:widowControl/>
        <w:jc w:val="both"/>
        <w:textAlignment w:val="baseline"/>
        <w:rPr>
          <w:rFonts w:ascii="Segoe UI" w:eastAsia="Times New Roman" w:hAnsi="Segoe UI" w:cs="Segoe UI"/>
          <w:sz w:val="20"/>
          <w:szCs w:val="20"/>
          <w:lang w:val="en-GB" w:eastAsia="en-GB"/>
        </w:rPr>
      </w:pPr>
    </w:p>
    <w:p w14:paraId="52632D8D" w14:textId="77777777" w:rsidR="002F4377" w:rsidRPr="00D50222" w:rsidRDefault="002F4377" w:rsidP="002F4377">
      <w:pPr>
        <w:widowControl/>
        <w:jc w:val="both"/>
        <w:textAlignment w:val="baseline"/>
        <w:rPr>
          <w:rFonts w:ascii="Arial" w:eastAsia="Times New Roman" w:hAnsi="Arial" w:cs="Arial"/>
          <w:sz w:val="20"/>
          <w:szCs w:val="20"/>
          <w:lang w:val="en-GB" w:eastAsia="en-GB"/>
        </w:rPr>
      </w:pPr>
      <w:r w:rsidRPr="00D50222">
        <w:rPr>
          <w:rFonts w:ascii="Arial" w:eastAsia="Times New Roman" w:hAnsi="Arial" w:cs="Arial"/>
          <w:sz w:val="20"/>
          <w:szCs w:val="20"/>
          <w:lang w:val="en-GB" w:eastAsia="en-GB"/>
        </w:rPr>
        <w:t>As a result, I am proud to say that more patients are having a positive experience of care, more staff are staying with us beyond two years, patients are being seen and treated more quickly in our Emergency Department, and we have seen a sustained reduction in avoidable cardiac arrest calls.    </w:t>
      </w:r>
    </w:p>
    <w:p w14:paraId="41D756E9" w14:textId="77777777" w:rsidR="002F4377" w:rsidRPr="00D50222" w:rsidRDefault="002F4377" w:rsidP="002F4377">
      <w:pPr>
        <w:widowControl/>
        <w:jc w:val="both"/>
        <w:textAlignment w:val="baseline"/>
        <w:rPr>
          <w:rFonts w:ascii="Segoe UI" w:eastAsia="Times New Roman" w:hAnsi="Segoe UI" w:cs="Segoe UI"/>
          <w:sz w:val="20"/>
          <w:szCs w:val="20"/>
          <w:lang w:val="en-GB" w:eastAsia="en-GB"/>
        </w:rPr>
      </w:pPr>
    </w:p>
    <w:p w14:paraId="7D2DF691" w14:textId="77777777" w:rsidR="002F4377" w:rsidRPr="00D50222" w:rsidRDefault="002F4377" w:rsidP="002F4377">
      <w:pPr>
        <w:widowControl/>
        <w:jc w:val="both"/>
        <w:textAlignment w:val="baseline"/>
        <w:rPr>
          <w:rFonts w:ascii="Arial" w:eastAsia="Times New Roman" w:hAnsi="Arial" w:cs="Arial"/>
          <w:sz w:val="20"/>
          <w:szCs w:val="20"/>
          <w:lang w:val="en-GB" w:eastAsia="en-GB"/>
        </w:rPr>
      </w:pPr>
      <w:r w:rsidRPr="00D50222">
        <w:rPr>
          <w:rFonts w:ascii="Arial" w:eastAsia="Times New Roman" w:hAnsi="Arial" w:cs="Arial"/>
          <w:sz w:val="20"/>
          <w:szCs w:val="20"/>
          <w:lang w:val="en-GB" w:eastAsia="en-GB"/>
        </w:rPr>
        <w:t>There is more to do to improve care for our patients by further developing and improving our services, so that we can treat patients sooner, with the consistently high standard of care that we aspire to provide everyone in our care.  </w:t>
      </w:r>
    </w:p>
    <w:p w14:paraId="67591548" w14:textId="77777777" w:rsidR="002F4377" w:rsidRPr="00D50222" w:rsidRDefault="002F4377" w:rsidP="002F4377">
      <w:pPr>
        <w:widowControl/>
        <w:jc w:val="both"/>
        <w:textAlignment w:val="baseline"/>
        <w:rPr>
          <w:rFonts w:ascii="Segoe UI" w:eastAsia="Times New Roman" w:hAnsi="Segoe UI" w:cs="Segoe UI"/>
          <w:sz w:val="20"/>
          <w:szCs w:val="20"/>
          <w:lang w:val="en-GB" w:eastAsia="en-GB"/>
        </w:rPr>
      </w:pPr>
    </w:p>
    <w:p w14:paraId="5F9247B1" w14:textId="77777777" w:rsidR="002F4377" w:rsidRPr="00D50222" w:rsidRDefault="002F4377" w:rsidP="002F4377">
      <w:pPr>
        <w:widowControl/>
        <w:jc w:val="both"/>
        <w:textAlignment w:val="baseline"/>
        <w:rPr>
          <w:rFonts w:ascii="Arial" w:eastAsia="Times New Roman" w:hAnsi="Arial" w:cs="Arial"/>
          <w:sz w:val="20"/>
          <w:szCs w:val="20"/>
          <w:lang w:val="en-GB" w:eastAsia="en-GB"/>
        </w:rPr>
      </w:pPr>
      <w:r w:rsidRPr="00D50222">
        <w:rPr>
          <w:rFonts w:ascii="Arial" w:eastAsia="Times New Roman" w:hAnsi="Arial" w:cs="Arial"/>
          <w:sz w:val="20"/>
          <w:szCs w:val="20"/>
          <w:lang w:val="en-GB" w:eastAsia="en-GB"/>
        </w:rPr>
        <w:t>With more patients than ever in need NHS care, as people live longer with more complex conditions, we are committed to continuing to innovate and work with local health and care partners so that patients have the right care, in the right place, at the right time.  </w:t>
      </w:r>
    </w:p>
    <w:p w14:paraId="09D537A8" w14:textId="77777777" w:rsidR="002F4377" w:rsidRPr="00D50222" w:rsidRDefault="002F4377" w:rsidP="002F4377">
      <w:pPr>
        <w:widowControl/>
        <w:jc w:val="both"/>
        <w:textAlignment w:val="baseline"/>
        <w:rPr>
          <w:rFonts w:ascii="Segoe UI" w:eastAsia="Times New Roman" w:hAnsi="Segoe UI" w:cs="Segoe UI"/>
          <w:sz w:val="20"/>
          <w:szCs w:val="20"/>
          <w:lang w:val="en-GB" w:eastAsia="en-GB"/>
        </w:rPr>
      </w:pPr>
    </w:p>
    <w:p w14:paraId="53C4E027" w14:textId="77777777" w:rsidR="002F4377" w:rsidRPr="00D50222" w:rsidRDefault="002F4377" w:rsidP="002F4377">
      <w:pPr>
        <w:widowControl/>
        <w:jc w:val="both"/>
        <w:textAlignment w:val="baseline"/>
        <w:rPr>
          <w:rFonts w:ascii="Arial" w:eastAsia="Times New Roman" w:hAnsi="Arial" w:cs="Arial"/>
          <w:sz w:val="20"/>
          <w:szCs w:val="20"/>
          <w:lang w:val="en-GB" w:eastAsia="en-GB"/>
        </w:rPr>
      </w:pPr>
      <w:r w:rsidRPr="00D50222">
        <w:rPr>
          <w:rFonts w:ascii="Arial" w:eastAsia="Times New Roman" w:hAnsi="Arial" w:cs="Arial"/>
          <w:sz w:val="20"/>
          <w:szCs w:val="20"/>
          <w:lang w:val="en-GB" w:eastAsia="en-GB"/>
        </w:rPr>
        <w:t>I would like to thank members of the Board for their commitment. Some Non-Executive colleagues came to the end of term this year – my thanks to Chris Burton and Annyes Laheurte. We also welcomed Jane Perry, who joined us during the year.  </w:t>
      </w:r>
    </w:p>
    <w:p w14:paraId="42D813E1" w14:textId="77777777" w:rsidR="002F4377" w:rsidRPr="00D50222" w:rsidRDefault="002F4377" w:rsidP="002F4377">
      <w:pPr>
        <w:widowControl/>
        <w:jc w:val="both"/>
        <w:textAlignment w:val="baseline"/>
        <w:rPr>
          <w:rFonts w:ascii="Segoe UI" w:eastAsia="Times New Roman" w:hAnsi="Segoe UI" w:cs="Segoe UI"/>
          <w:sz w:val="20"/>
          <w:szCs w:val="20"/>
          <w:lang w:val="en-GB" w:eastAsia="en-GB"/>
        </w:rPr>
      </w:pPr>
    </w:p>
    <w:p w14:paraId="767F852A" w14:textId="77777777" w:rsidR="002F4377" w:rsidRPr="00D50222" w:rsidRDefault="002F4377" w:rsidP="002F4377">
      <w:pPr>
        <w:widowControl/>
        <w:jc w:val="both"/>
        <w:textAlignment w:val="baseline"/>
        <w:rPr>
          <w:rFonts w:ascii="Arial" w:eastAsia="Times New Roman" w:hAnsi="Arial" w:cs="Arial"/>
          <w:sz w:val="20"/>
          <w:szCs w:val="20"/>
          <w:lang w:val="en-GB" w:eastAsia="en-GB"/>
        </w:rPr>
      </w:pPr>
      <w:r w:rsidRPr="00D50222">
        <w:rPr>
          <w:rFonts w:ascii="Arial" w:eastAsia="Times New Roman" w:hAnsi="Arial" w:cs="Arial"/>
          <w:sz w:val="20"/>
          <w:szCs w:val="20"/>
          <w:lang w:val="en-GB" w:eastAsia="en-GB"/>
        </w:rPr>
        <w:t>I would like to thank the Council of Governors. who represent the communities of Medway and Swale, staff, and partner organisations, for their valuable oversight of our efforts to provide the best possible care for the communities we serve. Particular thanks to Councillor David Brake, Lead Governor, who will complete his term of office this year.   </w:t>
      </w:r>
    </w:p>
    <w:p w14:paraId="152481B7" w14:textId="77777777" w:rsidR="002F4377" w:rsidRPr="00D50222" w:rsidRDefault="002F4377" w:rsidP="002F4377">
      <w:pPr>
        <w:widowControl/>
        <w:jc w:val="both"/>
        <w:textAlignment w:val="baseline"/>
        <w:rPr>
          <w:rFonts w:ascii="Segoe UI" w:eastAsia="Times New Roman" w:hAnsi="Segoe UI" w:cs="Segoe UI"/>
          <w:sz w:val="20"/>
          <w:szCs w:val="20"/>
          <w:lang w:val="en-GB" w:eastAsia="en-GB"/>
        </w:rPr>
      </w:pPr>
    </w:p>
    <w:p w14:paraId="3490FADC" w14:textId="77777777" w:rsidR="002F4377" w:rsidRPr="00D50222" w:rsidRDefault="002F4377" w:rsidP="002F4377">
      <w:pPr>
        <w:widowControl/>
        <w:jc w:val="both"/>
        <w:textAlignment w:val="baseline"/>
        <w:rPr>
          <w:rFonts w:ascii="Segoe UI" w:eastAsia="Times New Roman" w:hAnsi="Segoe UI" w:cs="Segoe UI"/>
          <w:sz w:val="20"/>
          <w:szCs w:val="20"/>
          <w:lang w:val="en-GB" w:eastAsia="en-GB"/>
        </w:rPr>
      </w:pPr>
      <w:r w:rsidRPr="00D50222">
        <w:rPr>
          <w:rFonts w:ascii="Arial" w:eastAsia="Times New Roman" w:hAnsi="Arial" w:cs="Arial"/>
          <w:sz w:val="20"/>
          <w:szCs w:val="20"/>
          <w:lang w:val="en-GB" w:eastAsia="en-GB"/>
        </w:rPr>
        <w:t>Our wonderful volunteers are integral to how we care for our patients and visitors, so too are The Medway Hospital Charity and Medway League of Friends, who raise much-needed funds that benefit patients and staff.   </w:t>
      </w:r>
    </w:p>
    <w:p w14:paraId="38F4984C" w14:textId="77777777" w:rsidR="002F4377" w:rsidRPr="00D50222" w:rsidRDefault="002F4377" w:rsidP="002F4377">
      <w:pPr>
        <w:widowControl/>
        <w:jc w:val="both"/>
        <w:textAlignment w:val="baseline"/>
        <w:rPr>
          <w:rFonts w:ascii="Segoe UI" w:eastAsia="Times New Roman" w:hAnsi="Segoe UI" w:cs="Segoe UI"/>
          <w:sz w:val="20"/>
          <w:szCs w:val="20"/>
          <w:lang w:val="en-GB" w:eastAsia="en-GB"/>
        </w:rPr>
      </w:pPr>
      <w:r w:rsidRPr="00D50222">
        <w:rPr>
          <w:rFonts w:ascii="Arial" w:eastAsia="Times New Roman" w:hAnsi="Arial" w:cs="Arial"/>
          <w:sz w:val="20"/>
          <w:szCs w:val="20"/>
          <w:lang w:val="en-GB" w:eastAsia="en-GB"/>
        </w:rPr>
        <w:t> </w:t>
      </w:r>
    </w:p>
    <w:p w14:paraId="1A83754D" w14:textId="77777777" w:rsidR="002F4377" w:rsidRPr="00D50222" w:rsidRDefault="002F4377" w:rsidP="002F4377">
      <w:pPr>
        <w:widowControl/>
        <w:jc w:val="both"/>
        <w:textAlignment w:val="baseline"/>
        <w:rPr>
          <w:rFonts w:ascii="Segoe UI" w:eastAsia="Times New Roman" w:hAnsi="Segoe UI" w:cs="Segoe UI"/>
          <w:sz w:val="20"/>
          <w:szCs w:val="20"/>
          <w:lang w:val="en-GB" w:eastAsia="en-GB"/>
        </w:rPr>
      </w:pPr>
      <w:r w:rsidRPr="00D50222">
        <w:rPr>
          <w:rFonts w:ascii="Arial" w:eastAsia="Times New Roman" w:hAnsi="Arial" w:cs="Arial"/>
          <w:sz w:val="20"/>
          <w:szCs w:val="20"/>
          <w:lang w:val="en-GB" w:eastAsia="en-GB"/>
        </w:rPr>
        <w:t>Finally, I would like to take this opportunity to thank Jayne Black who left in April to take up the Chief Executive role at her local trust in east Sussex. As Chief Executive her compassionate leadership has been invaluable over the past three years, during which time we have worked hard to recover from the effects of the Covid pandemic, such as long waits for treatment.  </w:t>
      </w:r>
    </w:p>
    <w:p w14:paraId="4037CEB5" w14:textId="77777777" w:rsidR="002F4377" w:rsidRPr="00D50222" w:rsidRDefault="002F4377" w:rsidP="002F4377">
      <w:pPr>
        <w:widowControl/>
        <w:jc w:val="both"/>
        <w:textAlignment w:val="baseline"/>
        <w:rPr>
          <w:rFonts w:ascii="Segoe UI" w:eastAsia="Times New Roman" w:hAnsi="Segoe UI" w:cs="Segoe UI"/>
          <w:sz w:val="20"/>
          <w:szCs w:val="20"/>
          <w:lang w:val="en-GB" w:eastAsia="en-GB"/>
        </w:rPr>
      </w:pPr>
      <w:r w:rsidRPr="00D50222">
        <w:rPr>
          <w:rFonts w:ascii="Arial" w:eastAsia="Times New Roman" w:hAnsi="Arial" w:cs="Arial"/>
          <w:sz w:val="20"/>
          <w:szCs w:val="20"/>
          <w:lang w:val="en-GB" w:eastAsia="en-GB"/>
        </w:rPr>
        <w:t> </w:t>
      </w:r>
    </w:p>
    <w:p w14:paraId="3801D763" w14:textId="77777777" w:rsidR="002F4377" w:rsidRPr="00D50222" w:rsidRDefault="002F4377" w:rsidP="002F4377">
      <w:pPr>
        <w:widowControl/>
        <w:jc w:val="both"/>
        <w:textAlignment w:val="baseline"/>
        <w:rPr>
          <w:rFonts w:ascii="Segoe UI" w:eastAsia="Times New Roman" w:hAnsi="Segoe UI" w:cs="Segoe UI"/>
          <w:sz w:val="20"/>
          <w:szCs w:val="20"/>
          <w:lang w:val="en-GB" w:eastAsia="en-GB"/>
        </w:rPr>
      </w:pPr>
      <w:r w:rsidRPr="00D50222">
        <w:rPr>
          <w:rFonts w:ascii="Arial" w:eastAsia="Times New Roman" w:hAnsi="Arial" w:cs="Arial"/>
          <w:sz w:val="20"/>
          <w:szCs w:val="20"/>
          <w:lang w:val="en-GB" w:eastAsia="en-GB"/>
        </w:rPr>
        <w:t>Jayne has driven improvements through Patient First, and we will continue to implement and develop the strategy that she has championed under Jonathan Wade’s leadership.  </w:t>
      </w:r>
    </w:p>
    <w:p w14:paraId="39B0BE71" w14:textId="77777777" w:rsidR="00250A99" w:rsidRPr="00D50222" w:rsidRDefault="002F4377" w:rsidP="00D50222">
      <w:pPr>
        <w:widowControl/>
        <w:textAlignment w:val="baseline"/>
        <w:rPr>
          <w:rFonts w:ascii="Arial" w:hAnsi="Arial" w:cs="Arial"/>
          <w:b/>
          <w:noProof/>
          <w:sz w:val="20"/>
          <w:szCs w:val="20"/>
          <w:lang w:val="en-GB" w:eastAsia="en-GB"/>
        </w:rPr>
      </w:pPr>
      <w:r w:rsidRPr="00D50222">
        <w:rPr>
          <w:rFonts w:ascii="Arial" w:eastAsia="Times New Roman" w:hAnsi="Arial" w:cs="Arial"/>
          <w:sz w:val="20"/>
          <w:szCs w:val="20"/>
          <w:lang w:val="en-GB" w:eastAsia="en-GB"/>
        </w:rPr>
        <w:t>  </w:t>
      </w:r>
      <w:r w:rsidR="00AB1092" w:rsidRPr="00D50222">
        <w:rPr>
          <w:rFonts w:ascii="Arial" w:hAnsi="Arial" w:cs="Arial"/>
          <w:b/>
          <w:noProof/>
          <w:sz w:val="20"/>
          <w:szCs w:val="20"/>
          <w:lang w:val="en-GB" w:eastAsia="en-GB"/>
        </w:rPr>
        <w:drawing>
          <wp:inline distT="0" distB="0" distL="0" distR="0" wp14:anchorId="4B256CE6" wp14:editId="0731BFD1">
            <wp:extent cx="1330037" cy="691539"/>
            <wp:effectExtent l="0" t="0" r="3810" b="0"/>
            <wp:docPr id="1556758562" name="Picture 1556758562" descr="Signature of Chair, John Gouls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758562" name="Picture 1556758562" descr="Signature of Chair, John Goulst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58924" cy="706558"/>
                    </a:xfrm>
                    <a:prstGeom prst="rect">
                      <a:avLst/>
                    </a:prstGeom>
                    <a:noFill/>
                    <a:ln>
                      <a:noFill/>
                    </a:ln>
                  </pic:spPr>
                </pic:pic>
              </a:graphicData>
            </a:graphic>
          </wp:inline>
        </w:drawing>
      </w:r>
    </w:p>
    <w:p w14:paraId="4C86C7D9" w14:textId="77777777" w:rsidR="00250A99" w:rsidRPr="00D50222" w:rsidRDefault="00250A99" w:rsidP="004440BF">
      <w:pPr>
        <w:rPr>
          <w:rFonts w:ascii="Arial" w:hAnsi="Arial" w:cs="Arial"/>
          <w:sz w:val="20"/>
          <w:szCs w:val="20"/>
          <w:lang w:val="en-GB"/>
        </w:rPr>
      </w:pPr>
      <w:r w:rsidRPr="00D50222">
        <w:rPr>
          <w:rFonts w:ascii="Arial" w:hAnsi="Arial" w:cs="Arial"/>
          <w:sz w:val="20"/>
          <w:szCs w:val="20"/>
          <w:lang w:val="en-GB"/>
        </w:rPr>
        <w:t>…………………….</w:t>
      </w:r>
    </w:p>
    <w:p w14:paraId="69AD9EA8" w14:textId="77777777" w:rsidR="004440BF" w:rsidRPr="00D50222" w:rsidRDefault="00AB1092" w:rsidP="004440BF">
      <w:pPr>
        <w:rPr>
          <w:rFonts w:ascii="Arial" w:hAnsi="Arial" w:cs="Arial"/>
          <w:b/>
          <w:sz w:val="20"/>
          <w:szCs w:val="20"/>
          <w:lang w:val="en-GB"/>
        </w:rPr>
      </w:pPr>
      <w:r w:rsidRPr="00D50222">
        <w:rPr>
          <w:rFonts w:ascii="Arial" w:hAnsi="Arial" w:cs="Arial"/>
          <w:b/>
          <w:sz w:val="20"/>
          <w:szCs w:val="20"/>
          <w:lang w:val="en-GB"/>
        </w:rPr>
        <w:t>John Goulston</w:t>
      </w:r>
    </w:p>
    <w:p w14:paraId="44AC702B" w14:textId="77777777" w:rsidR="002F4377" w:rsidRPr="00D50222" w:rsidRDefault="004440BF" w:rsidP="002F4377">
      <w:pPr>
        <w:rPr>
          <w:rFonts w:ascii="Arial" w:hAnsi="Arial" w:cs="Arial"/>
          <w:b/>
          <w:sz w:val="20"/>
          <w:szCs w:val="20"/>
          <w:lang w:val="en-GB"/>
        </w:rPr>
      </w:pPr>
      <w:r w:rsidRPr="00D50222">
        <w:rPr>
          <w:rFonts w:ascii="Arial" w:hAnsi="Arial" w:cs="Arial"/>
          <w:b/>
          <w:sz w:val="20"/>
          <w:szCs w:val="20"/>
          <w:lang w:val="en-GB"/>
        </w:rPr>
        <w:t>Chair</w:t>
      </w:r>
    </w:p>
    <w:p w14:paraId="2657F2FF" w14:textId="77777777" w:rsidR="00D50222" w:rsidRDefault="00D50222" w:rsidP="002F4377">
      <w:pPr>
        <w:rPr>
          <w:rFonts w:ascii="Arial" w:hAnsi="Arial" w:cs="Arial"/>
          <w:b/>
          <w:sz w:val="21"/>
          <w:szCs w:val="21"/>
          <w:lang w:val="en-GB"/>
        </w:rPr>
      </w:pPr>
    </w:p>
    <w:p w14:paraId="1711DE28" w14:textId="77777777" w:rsidR="00D50222" w:rsidRDefault="00D50222" w:rsidP="002F4377">
      <w:pPr>
        <w:rPr>
          <w:rFonts w:ascii="Arial" w:hAnsi="Arial" w:cs="Arial"/>
          <w:b/>
          <w:sz w:val="21"/>
          <w:szCs w:val="21"/>
          <w:lang w:val="en-GB"/>
        </w:rPr>
      </w:pPr>
    </w:p>
    <w:p w14:paraId="23845CE1" w14:textId="77777777" w:rsidR="00D50222" w:rsidRDefault="00D50222" w:rsidP="002F4377">
      <w:pPr>
        <w:rPr>
          <w:rFonts w:ascii="Arial" w:hAnsi="Arial" w:cs="Arial"/>
          <w:b/>
          <w:sz w:val="21"/>
          <w:szCs w:val="21"/>
          <w:lang w:val="en-GB"/>
        </w:rPr>
      </w:pPr>
    </w:p>
    <w:p w14:paraId="27EBEDFE" w14:textId="77777777" w:rsidR="00D50222" w:rsidRDefault="00D50222" w:rsidP="002F4377">
      <w:pPr>
        <w:rPr>
          <w:rFonts w:ascii="Arial" w:hAnsi="Arial" w:cs="Arial"/>
          <w:b/>
          <w:sz w:val="21"/>
          <w:szCs w:val="21"/>
          <w:lang w:val="en-GB"/>
        </w:rPr>
      </w:pPr>
    </w:p>
    <w:p w14:paraId="21160357" w14:textId="77777777" w:rsidR="00D50222" w:rsidRDefault="00D50222" w:rsidP="002F4377">
      <w:pPr>
        <w:rPr>
          <w:rFonts w:ascii="Arial" w:hAnsi="Arial" w:cs="Arial"/>
          <w:b/>
          <w:sz w:val="21"/>
          <w:szCs w:val="21"/>
          <w:lang w:val="en-GB"/>
        </w:rPr>
      </w:pPr>
    </w:p>
    <w:p w14:paraId="648AE0D1" w14:textId="77777777" w:rsidR="00D50222" w:rsidRDefault="00436984" w:rsidP="002F4377">
      <w:pPr>
        <w:rPr>
          <w:rFonts w:ascii="Arial" w:hAnsi="Arial" w:cs="Arial"/>
          <w:b/>
          <w:sz w:val="21"/>
          <w:szCs w:val="21"/>
          <w:lang w:val="en-GB"/>
        </w:rPr>
      </w:pPr>
      <w:r w:rsidRPr="002F4377">
        <w:rPr>
          <w:rFonts w:ascii="Times New Roman" w:eastAsia="Times New Roman" w:hAnsi="Times New Roman" w:cs="Times New Roman"/>
          <w:noProof/>
          <w:sz w:val="24"/>
          <w:szCs w:val="24"/>
          <w:lang w:val="en-GB" w:eastAsia="en-GB"/>
        </w:rPr>
        <w:lastRenderedPageBreak/>
        <w:drawing>
          <wp:anchor distT="0" distB="0" distL="114300" distR="114300" simplePos="0" relativeHeight="251824128" behindDoc="0" locked="0" layoutInCell="1" allowOverlap="1" wp14:anchorId="39CE8691" wp14:editId="430D3986">
            <wp:simplePos x="0" y="0"/>
            <wp:positionH relativeFrom="column">
              <wp:posOffset>-915035</wp:posOffset>
            </wp:positionH>
            <wp:positionV relativeFrom="page">
              <wp:posOffset>3088</wp:posOffset>
            </wp:positionV>
            <wp:extent cx="7554595" cy="10683240"/>
            <wp:effectExtent l="0" t="0" r="8255" b="3810"/>
            <wp:wrapNone/>
            <wp:docPr id="22" name="Picture 22" descr="This is an image for the Performance Report - image of two surgeons in blue scrubs, hair nets and masks - one is fastening the scrubs of the other.  One surgeon is standing in front of the o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na.Almond\Downloads\Performance Report.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54595" cy="10683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DFA551" w14:textId="77777777" w:rsidR="00D50222" w:rsidRDefault="00D50222" w:rsidP="002F4377">
      <w:pPr>
        <w:rPr>
          <w:rFonts w:ascii="Arial" w:hAnsi="Arial" w:cs="Arial"/>
          <w:b/>
          <w:sz w:val="21"/>
          <w:szCs w:val="21"/>
          <w:lang w:val="en-GB"/>
        </w:rPr>
      </w:pPr>
    </w:p>
    <w:p w14:paraId="24D5E3C7" w14:textId="77777777" w:rsidR="00D50222" w:rsidRDefault="00D50222" w:rsidP="002F4377">
      <w:pPr>
        <w:rPr>
          <w:rFonts w:ascii="Arial" w:hAnsi="Arial" w:cs="Arial"/>
          <w:b/>
          <w:sz w:val="21"/>
          <w:szCs w:val="21"/>
          <w:lang w:val="en-GB"/>
        </w:rPr>
      </w:pPr>
    </w:p>
    <w:p w14:paraId="3C900A7B" w14:textId="77777777" w:rsidR="00D50222" w:rsidRDefault="00D50222" w:rsidP="002F4377">
      <w:pPr>
        <w:rPr>
          <w:rFonts w:ascii="Arial" w:hAnsi="Arial" w:cs="Arial"/>
          <w:b/>
          <w:sz w:val="21"/>
          <w:szCs w:val="21"/>
          <w:lang w:val="en-GB"/>
        </w:rPr>
      </w:pPr>
    </w:p>
    <w:p w14:paraId="7CEEEB91" w14:textId="77777777" w:rsidR="00D50222" w:rsidRPr="00D50222" w:rsidRDefault="00D50222" w:rsidP="002F4377">
      <w:pPr>
        <w:rPr>
          <w:rFonts w:ascii="Arial" w:hAnsi="Arial" w:cs="Arial"/>
          <w:b/>
          <w:sz w:val="21"/>
          <w:szCs w:val="21"/>
          <w:lang w:val="en-GB"/>
        </w:rPr>
      </w:pPr>
    </w:p>
    <w:p w14:paraId="74D0268A" w14:textId="77777777" w:rsidR="002F4377" w:rsidRPr="002F4377" w:rsidRDefault="002F4377" w:rsidP="002F4377">
      <w:pPr>
        <w:widowControl/>
        <w:spacing w:before="100" w:beforeAutospacing="1" w:after="100" w:afterAutospacing="1"/>
        <w:rPr>
          <w:rFonts w:ascii="Times New Roman" w:eastAsia="Times New Roman" w:hAnsi="Times New Roman" w:cs="Times New Roman"/>
          <w:sz w:val="24"/>
          <w:szCs w:val="24"/>
          <w:lang w:val="en-GB" w:eastAsia="en-GB"/>
        </w:rPr>
      </w:pPr>
    </w:p>
    <w:p w14:paraId="7063688D" w14:textId="77777777" w:rsidR="002F4377" w:rsidRDefault="002F4377" w:rsidP="002F4377"/>
    <w:p w14:paraId="30AEE322" w14:textId="77777777" w:rsidR="002F4377" w:rsidRDefault="002F4377" w:rsidP="002F4377"/>
    <w:p w14:paraId="404C5735" w14:textId="77777777" w:rsidR="00F9677B" w:rsidRDefault="00F9677B" w:rsidP="008E4FBB">
      <w:pPr>
        <w:pStyle w:val="NormalWeb"/>
      </w:pPr>
    </w:p>
    <w:p w14:paraId="4BBA6D83" w14:textId="77777777" w:rsidR="00F9677B" w:rsidRDefault="00F9677B" w:rsidP="008E4FBB">
      <w:pPr>
        <w:pStyle w:val="NormalWeb"/>
      </w:pPr>
    </w:p>
    <w:p w14:paraId="4A080B96" w14:textId="77777777" w:rsidR="00F9677B" w:rsidRDefault="00F9677B" w:rsidP="008E4FBB">
      <w:pPr>
        <w:pStyle w:val="NormalWeb"/>
      </w:pPr>
    </w:p>
    <w:p w14:paraId="31B160E5" w14:textId="77777777" w:rsidR="00F9677B" w:rsidRDefault="00F9677B" w:rsidP="008E4FBB">
      <w:pPr>
        <w:pStyle w:val="NormalWeb"/>
      </w:pPr>
    </w:p>
    <w:p w14:paraId="7CDEFE24" w14:textId="77777777" w:rsidR="00F9677B" w:rsidRDefault="00F9677B" w:rsidP="008E4FBB">
      <w:pPr>
        <w:pStyle w:val="NormalWeb"/>
      </w:pPr>
    </w:p>
    <w:p w14:paraId="11C899D3" w14:textId="77777777" w:rsidR="00F9677B" w:rsidRDefault="00F9677B" w:rsidP="008E4FBB">
      <w:pPr>
        <w:pStyle w:val="NormalWeb"/>
      </w:pPr>
    </w:p>
    <w:p w14:paraId="57C1F91C" w14:textId="77777777" w:rsidR="00F9677B" w:rsidRDefault="00F9677B" w:rsidP="008E4FBB">
      <w:pPr>
        <w:pStyle w:val="NormalWeb"/>
      </w:pPr>
    </w:p>
    <w:p w14:paraId="477E8F9F" w14:textId="77777777" w:rsidR="00F9677B" w:rsidRDefault="00F9677B" w:rsidP="008E4FBB">
      <w:pPr>
        <w:pStyle w:val="NormalWeb"/>
      </w:pPr>
    </w:p>
    <w:p w14:paraId="5D58A88B" w14:textId="77777777" w:rsidR="00F9677B" w:rsidRDefault="00F9677B" w:rsidP="008E4FBB">
      <w:pPr>
        <w:pStyle w:val="NormalWeb"/>
      </w:pPr>
    </w:p>
    <w:p w14:paraId="2D46B7E9" w14:textId="77777777" w:rsidR="00F9677B" w:rsidRDefault="00F9677B" w:rsidP="008E4FBB">
      <w:pPr>
        <w:pStyle w:val="NormalWeb"/>
      </w:pPr>
    </w:p>
    <w:p w14:paraId="0D0A3034" w14:textId="77777777" w:rsidR="00F9677B" w:rsidRDefault="00F9677B" w:rsidP="008E4FBB">
      <w:pPr>
        <w:pStyle w:val="NormalWeb"/>
      </w:pPr>
    </w:p>
    <w:p w14:paraId="5AE7E41A" w14:textId="77777777" w:rsidR="00F9677B" w:rsidRDefault="00F9677B" w:rsidP="008E4FBB">
      <w:pPr>
        <w:pStyle w:val="NormalWeb"/>
      </w:pPr>
    </w:p>
    <w:p w14:paraId="0D268F8B" w14:textId="77777777" w:rsidR="00F9677B" w:rsidRDefault="00F9677B" w:rsidP="008E4FBB">
      <w:pPr>
        <w:pStyle w:val="NormalWeb"/>
      </w:pPr>
    </w:p>
    <w:p w14:paraId="1B5D6FA9" w14:textId="77777777" w:rsidR="00F9677B" w:rsidRDefault="00F9677B" w:rsidP="008E4FBB">
      <w:pPr>
        <w:pStyle w:val="NormalWeb"/>
      </w:pPr>
    </w:p>
    <w:p w14:paraId="6A9167A8" w14:textId="77777777" w:rsidR="00F9677B" w:rsidRDefault="00F9677B" w:rsidP="008E4FBB">
      <w:pPr>
        <w:pStyle w:val="NormalWeb"/>
      </w:pPr>
    </w:p>
    <w:p w14:paraId="674279E3" w14:textId="77777777" w:rsidR="00F9677B" w:rsidRDefault="00F9677B" w:rsidP="008E4FBB">
      <w:pPr>
        <w:pStyle w:val="NormalWeb"/>
      </w:pPr>
    </w:p>
    <w:p w14:paraId="7C4ADBD8" w14:textId="77777777" w:rsidR="00F9677B" w:rsidRDefault="00F9677B" w:rsidP="008E4FBB">
      <w:pPr>
        <w:pStyle w:val="NormalWeb"/>
      </w:pPr>
    </w:p>
    <w:p w14:paraId="5EE0DA43" w14:textId="77777777" w:rsidR="00F9677B" w:rsidRDefault="00F9677B" w:rsidP="008E4FBB">
      <w:pPr>
        <w:pStyle w:val="NormalWeb"/>
      </w:pPr>
    </w:p>
    <w:p w14:paraId="732232A6" w14:textId="77777777" w:rsidR="00436984" w:rsidRDefault="00436984" w:rsidP="008E4FBB">
      <w:pPr>
        <w:pStyle w:val="NormalWeb"/>
      </w:pPr>
    </w:p>
    <w:p w14:paraId="08CF1B99" w14:textId="77777777" w:rsidR="00933BC0" w:rsidRPr="009B78CC" w:rsidRDefault="00933BC0" w:rsidP="002F4377">
      <w:pPr>
        <w:jc w:val="both"/>
        <w:rPr>
          <w:rFonts w:ascii="Arial" w:hAnsi="Arial" w:cs="Arial"/>
          <w:b/>
          <w:sz w:val="20"/>
          <w:szCs w:val="20"/>
          <w:lang w:val="en-GB"/>
        </w:rPr>
      </w:pPr>
      <w:r w:rsidRPr="009B78CC">
        <w:rPr>
          <w:rFonts w:ascii="Arial" w:hAnsi="Arial" w:cs="Arial"/>
          <w:b/>
          <w:sz w:val="20"/>
          <w:szCs w:val="20"/>
          <w:lang w:val="en-GB"/>
        </w:rPr>
        <w:t xml:space="preserve">Overview </w:t>
      </w:r>
    </w:p>
    <w:p w14:paraId="0C62674C" w14:textId="77777777" w:rsidR="002F4377" w:rsidRPr="009B78CC" w:rsidRDefault="002F4377" w:rsidP="002F4377">
      <w:pPr>
        <w:jc w:val="both"/>
        <w:rPr>
          <w:rFonts w:ascii="Arial" w:hAnsi="Arial" w:cs="Arial"/>
          <w:b/>
          <w:sz w:val="20"/>
          <w:szCs w:val="20"/>
          <w:lang w:val="en-GB"/>
        </w:rPr>
      </w:pPr>
    </w:p>
    <w:p w14:paraId="3621873F" w14:textId="77777777" w:rsidR="00D50222" w:rsidRPr="009B78CC" w:rsidRDefault="00D50222" w:rsidP="00D50222">
      <w:pPr>
        <w:widowControl/>
        <w:jc w:val="both"/>
        <w:textAlignment w:val="baseline"/>
        <w:rPr>
          <w:rFonts w:ascii="Arial" w:eastAsia="Times New Roman" w:hAnsi="Arial" w:cs="Arial"/>
          <w:b/>
          <w:bCs/>
          <w:sz w:val="20"/>
          <w:szCs w:val="20"/>
          <w:lang w:val="en-GB" w:eastAsia="en-GB"/>
        </w:rPr>
      </w:pPr>
      <w:r w:rsidRPr="009B78CC">
        <w:rPr>
          <w:rFonts w:ascii="Arial" w:eastAsia="Times New Roman" w:hAnsi="Arial" w:cs="Arial"/>
          <w:b/>
          <w:bCs/>
          <w:sz w:val="20"/>
          <w:szCs w:val="20"/>
          <w:lang w:val="en-GB" w:eastAsia="en-GB"/>
        </w:rPr>
        <w:lastRenderedPageBreak/>
        <w:t xml:space="preserve">Purpose and Activities </w:t>
      </w:r>
    </w:p>
    <w:p w14:paraId="3F4E52C2" w14:textId="49B26FEC" w:rsidR="00D50222" w:rsidRPr="009B78CC" w:rsidRDefault="00D50222" w:rsidP="0064152F">
      <w:pPr>
        <w:rPr>
          <w:rFonts w:ascii="Arial" w:hAnsi="Arial" w:cs="Arial"/>
          <w:sz w:val="20"/>
          <w:szCs w:val="20"/>
          <w:lang w:val="en-GB" w:eastAsia="en-GB"/>
        </w:rPr>
      </w:pPr>
      <w:r w:rsidRPr="009B78CC">
        <w:rPr>
          <w:rFonts w:ascii="Arial" w:hAnsi="Arial" w:cs="Arial"/>
          <w:sz w:val="20"/>
          <w:szCs w:val="20"/>
          <w:lang w:val="en-GB" w:eastAsia="en-GB"/>
        </w:rPr>
        <w:t>Medway NHS Foundation Trust is a hospital Trust based in Gillingham, Kent serving more than 427,000 people across Medway and Swale.</w:t>
      </w:r>
      <w:r w:rsidR="00B86342" w:rsidRPr="009B78CC">
        <w:rPr>
          <w:rFonts w:ascii="Arial" w:hAnsi="Arial" w:cs="Arial"/>
          <w:sz w:val="20"/>
          <w:szCs w:val="20"/>
          <w:lang w:val="en-GB" w:eastAsia="en-GB"/>
        </w:rPr>
        <w:t xml:space="preserve">  </w:t>
      </w:r>
      <w:r w:rsidRPr="009B78CC">
        <w:rPr>
          <w:rFonts w:ascii="Arial" w:hAnsi="Arial" w:cs="Arial"/>
          <w:sz w:val="20"/>
          <w:szCs w:val="20"/>
          <w:lang w:val="en-GB" w:eastAsia="en-GB"/>
        </w:rPr>
        <w:t xml:space="preserve">It provides clinical services to half a million patients a year, including approximately 185,000 attendances to the Emergency Department, 85,000 admissions, 445,000 outpatients’ appointments and 4,400 babies born last year.  </w:t>
      </w:r>
    </w:p>
    <w:p w14:paraId="3AC9AB60" w14:textId="77777777" w:rsidR="00D50222" w:rsidRPr="009B78CC" w:rsidRDefault="00D50222" w:rsidP="0064152F">
      <w:pPr>
        <w:rPr>
          <w:rFonts w:ascii="Arial" w:hAnsi="Arial" w:cs="Arial"/>
          <w:sz w:val="20"/>
          <w:szCs w:val="20"/>
          <w:lang w:val="en-GB" w:eastAsia="en-GB"/>
        </w:rPr>
      </w:pPr>
      <w:r w:rsidRPr="009B78CC">
        <w:rPr>
          <w:rFonts w:ascii="Arial" w:hAnsi="Arial" w:cs="Arial"/>
          <w:sz w:val="20"/>
          <w:szCs w:val="20"/>
          <w:lang w:val="en-GB" w:eastAsia="en-GB"/>
        </w:rPr>
        <w:t xml:space="preserve">  </w:t>
      </w:r>
    </w:p>
    <w:p w14:paraId="65C065FA" w14:textId="77777777" w:rsidR="00D50222" w:rsidRPr="009B78CC" w:rsidRDefault="00D50222" w:rsidP="0064152F">
      <w:pPr>
        <w:rPr>
          <w:rFonts w:ascii="Arial" w:hAnsi="Arial" w:cs="Arial"/>
          <w:sz w:val="20"/>
          <w:szCs w:val="20"/>
          <w:lang w:val="en-GB" w:eastAsia="en-GB"/>
        </w:rPr>
      </w:pPr>
      <w:r w:rsidRPr="009B78CC">
        <w:rPr>
          <w:rFonts w:ascii="Arial" w:hAnsi="Arial" w:cs="Arial"/>
          <w:sz w:val="20"/>
          <w:szCs w:val="20"/>
          <w:lang w:val="en-GB" w:eastAsia="en-GB"/>
        </w:rPr>
        <w:t xml:space="preserve">As an NHS Foundation Trust, there are 26 seats on the Council of Governors and more than 6,000 public members.  It employs more than 5,200 staff, making it one of Medway’s largest employers. In addition, over 300 volunteers provide invaluable support across the Medway League of Friends, Hospital Radio and the Voluntary Services Department.      </w:t>
      </w:r>
    </w:p>
    <w:p w14:paraId="21151B70" w14:textId="77777777" w:rsidR="00D50222" w:rsidRPr="009B78CC" w:rsidRDefault="00D50222" w:rsidP="0064152F">
      <w:pPr>
        <w:rPr>
          <w:rFonts w:ascii="Arial" w:hAnsi="Arial" w:cs="Arial"/>
          <w:sz w:val="20"/>
          <w:szCs w:val="20"/>
          <w:lang w:val="en-GB" w:eastAsia="en-GB"/>
        </w:rPr>
      </w:pPr>
      <w:r w:rsidRPr="009B78CC">
        <w:rPr>
          <w:rFonts w:ascii="Arial" w:hAnsi="Arial" w:cs="Arial"/>
          <w:sz w:val="20"/>
          <w:szCs w:val="20"/>
          <w:lang w:val="en-GB" w:eastAsia="en-GB"/>
        </w:rPr>
        <w:t xml:space="preserve"> </w:t>
      </w:r>
    </w:p>
    <w:p w14:paraId="41CA5594" w14:textId="77777777" w:rsidR="00D50222" w:rsidRPr="009B78CC" w:rsidRDefault="00D50222" w:rsidP="0064152F">
      <w:pPr>
        <w:rPr>
          <w:rFonts w:ascii="Arial" w:hAnsi="Arial" w:cs="Arial"/>
          <w:sz w:val="20"/>
          <w:szCs w:val="20"/>
          <w:lang w:val="en-GB" w:eastAsia="en-GB"/>
        </w:rPr>
      </w:pPr>
      <w:r w:rsidRPr="009B78CC">
        <w:rPr>
          <w:rFonts w:ascii="Arial" w:hAnsi="Arial" w:cs="Arial"/>
          <w:sz w:val="20"/>
          <w:szCs w:val="20"/>
          <w:lang w:val="en-GB" w:eastAsia="en-GB"/>
        </w:rPr>
        <w:t xml:space="preserve">The Trust has five divisions – Cancer and Core Clinical Services, Central Operations, Medicine and Emergency Care, Surgery and Anaesthetics, and Women, Children and Young People.   </w:t>
      </w:r>
    </w:p>
    <w:p w14:paraId="0A41E9F5" w14:textId="77777777" w:rsidR="00D50222" w:rsidRPr="009B78CC" w:rsidRDefault="00D50222" w:rsidP="0064152F">
      <w:pPr>
        <w:rPr>
          <w:rFonts w:ascii="Arial" w:hAnsi="Arial" w:cs="Arial"/>
          <w:sz w:val="20"/>
          <w:szCs w:val="20"/>
          <w:lang w:val="en-GB" w:eastAsia="en-GB"/>
        </w:rPr>
      </w:pPr>
      <w:r w:rsidRPr="009B78CC">
        <w:rPr>
          <w:rFonts w:ascii="Arial" w:hAnsi="Arial" w:cs="Arial"/>
          <w:sz w:val="20"/>
          <w:szCs w:val="20"/>
          <w:lang w:val="en-GB" w:eastAsia="en-GB"/>
        </w:rPr>
        <w:t xml:space="preserve"> </w:t>
      </w:r>
    </w:p>
    <w:p w14:paraId="1DB911A8" w14:textId="77777777" w:rsidR="00D50222" w:rsidRPr="009B78CC" w:rsidRDefault="00D50222" w:rsidP="0064152F">
      <w:pPr>
        <w:rPr>
          <w:rFonts w:ascii="Arial" w:hAnsi="Arial" w:cs="Arial"/>
          <w:sz w:val="20"/>
          <w:szCs w:val="20"/>
          <w:lang w:val="en-GB" w:eastAsia="en-GB"/>
        </w:rPr>
      </w:pPr>
      <w:r w:rsidRPr="009B78CC">
        <w:rPr>
          <w:rFonts w:ascii="Arial" w:hAnsi="Arial" w:cs="Arial"/>
          <w:sz w:val="20"/>
          <w:szCs w:val="20"/>
          <w:lang w:val="en-GB" w:eastAsia="en-GB"/>
        </w:rPr>
        <w:t>The Board of Directors, led by Trust Chair</w:t>
      </w:r>
      <w:r w:rsidR="00B86342" w:rsidRPr="009B78CC">
        <w:rPr>
          <w:rFonts w:ascii="Arial" w:hAnsi="Arial" w:cs="Arial"/>
          <w:sz w:val="20"/>
          <w:szCs w:val="20"/>
          <w:lang w:val="en-GB" w:eastAsia="en-GB"/>
        </w:rPr>
        <w:t xml:space="preserve">, </w:t>
      </w:r>
      <w:r w:rsidRPr="009B78CC">
        <w:rPr>
          <w:rFonts w:ascii="Arial" w:hAnsi="Arial" w:cs="Arial"/>
          <w:sz w:val="20"/>
          <w:szCs w:val="20"/>
          <w:lang w:val="en-GB" w:eastAsia="en-GB"/>
        </w:rPr>
        <w:t xml:space="preserve">John Goulston, comprises seven Executive Directors including Jayne Black, Chief Executive, and seven Non-Executive Directors including the Chair.     </w:t>
      </w:r>
    </w:p>
    <w:p w14:paraId="3E4E8247" w14:textId="77777777" w:rsidR="00B86342" w:rsidRPr="009B78CC" w:rsidRDefault="00B86342" w:rsidP="002F4377">
      <w:pPr>
        <w:widowControl/>
        <w:jc w:val="both"/>
        <w:textAlignment w:val="baseline"/>
        <w:rPr>
          <w:rFonts w:ascii="Arial" w:eastAsia="Times New Roman" w:hAnsi="Arial" w:cs="Arial"/>
          <w:sz w:val="20"/>
          <w:szCs w:val="20"/>
          <w:lang w:val="en-GB" w:eastAsia="en-GB"/>
        </w:rPr>
      </w:pPr>
    </w:p>
    <w:p w14:paraId="64E8B6E1" w14:textId="77777777" w:rsidR="002F4377" w:rsidRPr="009B78CC" w:rsidRDefault="002F4377" w:rsidP="002F4377">
      <w:pPr>
        <w:widowControl/>
        <w:jc w:val="both"/>
        <w:textAlignment w:val="baseline"/>
        <w:rPr>
          <w:rFonts w:ascii="Arial" w:eastAsia="Times New Roman" w:hAnsi="Arial" w:cs="Arial"/>
          <w:sz w:val="20"/>
          <w:szCs w:val="20"/>
          <w:lang w:val="en-GB" w:eastAsia="en-GB"/>
        </w:rPr>
      </w:pPr>
      <w:r w:rsidRPr="009B78CC">
        <w:rPr>
          <w:rFonts w:ascii="Arial" w:eastAsia="Times New Roman" w:hAnsi="Arial" w:cs="Arial"/>
          <w:b/>
          <w:bCs/>
          <w:sz w:val="20"/>
          <w:szCs w:val="20"/>
          <w:lang w:val="en-GB" w:eastAsia="en-GB"/>
        </w:rPr>
        <w:t>Brief History </w:t>
      </w:r>
    </w:p>
    <w:p w14:paraId="4EBCD4D1" w14:textId="77777777" w:rsidR="002F4377" w:rsidRPr="00436984" w:rsidRDefault="002F4377" w:rsidP="002F4377">
      <w:pPr>
        <w:widowControl/>
        <w:jc w:val="both"/>
        <w:textAlignment w:val="baseline"/>
        <w:rPr>
          <w:rFonts w:ascii="Segoe UI" w:eastAsia="Times New Roman" w:hAnsi="Segoe UI" w:cs="Segoe UI"/>
          <w:sz w:val="20"/>
          <w:szCs w:val="20"/>
          <w:lang w:val="en-GB" w:eastAsia="en-GB"/>
        </w:rPr>
      </w:pPr>
      <w:r w:rsidRPr="009B78CC">
        <w:rPr>
          <w:rFonts w:ascii="Arial" w:eastAsia="Times New Roman" w:hAnsi="Arial" w:cs="Arial"/>
          <w:sz w:val="20"/>
          <w:szCs w:val="20"/>
          <w:lang w:val="en-GB" w:eastAsia="en-GB"/>
        </w:rPr>
        <w:t>Medway Maritime Hospital was originally a Royal Naval Hospital, opened by King Edward VII in 1905.</w:t>
      </w:r>
      <w:r w:rsidR="00B86342" w:rsidRPr="009B78CC">
        <w:rPr>
          <w:rFonts w:ascii="Arial" w:eastAsia="Times New Roman" w:hAnsi="Arial" w:cs="Arial"/>
          <w:sz w:val="20"/>
          <w:szCs w:val="20"/>
          <w:lang w:val="en-GB" w:eastAsia="en-GB"/>
        </w:rPr>
        <w:t xml:space="preserve">  </w:t>
      </w:r>
      <w:r w:rsidRPr="009B78CC">
        <w:rPr>
          <w:rFonts w:ascii="Arial" w:eastAsia="Times New Roman" w:hAnsi="Arial" w:cs="Arial"/>
          <w:sz w:val="20"/>
          <w:szCs w:val="20"/>
          <w:lang w:val="en-GB" w:eastAsia="en-GB"/>
        </w:rPr>
        <w:t>In 1961, the NHS a</w:t>
      </w:r>
      <w:r w:rsidRPr="00436984">
        <w:rPr>
          <w:rFonts w:ascii="Arial" w:eastAsia="Times New Roman" w:hAnsi="Arial" w:cs="Arial"/>
          <w:sz w:val="20"/>
          <w:szCs w:val="20"/>
          <w:lang w:val="en-GB" w:eastAsia="en-GB"/>
        </w:rPr>
        <w:t>cquired the hospital from the Royal Navy.  Buildings and facilities were updated as part of a £1.5million modernisation scheme and the hospital reopened again as Medway Hospital in 1965. The hospital changed its name in 1999 to mark the start of a new era.  The new name 'Medway Maritime Hospital' reflects the hospital's proud naval origins.   </w:t>
      </w:r>
    </w:p>
    <w:p w14:paraId="6FBA3FBC" w14:textId="187B1555" w:rsidR="003B173E" w:rsidRPr="00436984" w:rsidRDefault="002F4377" w:rsidP="002F4377">
      <w:pPr>
        <w:widowControl/>
        <w:jc w:val="both"/>
        <w:textAlignment w:val="baseline"/>
        <w:rPr>
          <w:rFonts w:ascii="Segoe UI" w:eastAsia="Times New Roman" w:hAnsi="Segoe UI" w:cs="Segoe UI"/>
          <w:sz w:val="20"/>
          <w:szCs w:val="20"/>
          <w:lang w:val="en-GB" w:eastAsia="en-GB"/>
        </w:rPr>
      </w:pPr>
      <w:r w:rsidRPr="00436984">
        <w:rPr>
          <w:rFonts w:ascii="Arial" w:eastAsia="Times New Roman" w:hAnsi="Arial" w:cs="Arial"/>
          <w:sz w:val="20"/>
          <w:szCs w:val="20"/>
          <w:lang w:val="en-GB" w:eastAsia="en-GB"/>
        </w:rPr>
        <w:t>  </w:t>
      </w:r>
    </w:p>
    <w:p w14:paraId="572BFE44" w14:textId="77777777" w:rsidR="004B00FD" w:rsidRPr="00B86342" w:rsidRDefault="008655C4" w:rsidP="002F4377">
      <w:pPr>
        <w:jc w:val="both"/>
        <w:rPr>
          <w:rFonts w:ascii="Arial" w:hAnsi="Arial" w:cs="Arial"/>
          <w:b/>
          <w:sz w:val="20"/>
          <w:szCs w:val="20"/>
          <w:lang w:val="en-GB"/>
        </w:rPr>
      </w:pPr>
      <w:r w:rsidRPr="00436984">
        <w:rPr>
          <w:rFonts w:ascii="Arial" w:hAnsi="Arial" w:cs="Arial"/>
          <w:b/>
          <w:sz w:val="20"/>
          <w:szCs w:val="20"/>
          <w:lang w:val="en-GB"/>
        </w:rPr>
        <w:t>Key Issues and Risks</w:t>
      </w:r>
      <w:r w:rsidR="00BB47FA" w:rsidRPr="00436984">
        <w:rPr>
          <w:rFonts w:ascii="Arial" w:hAnsi="Arial" w:cs="Arial"/>
          <w:b/>
          <w:sz w:val="20"/>
          <w:szCs w:val="20"/>
          <w:lang w:val="en-GB"/>
        </w:rPr>
        <w:t xml:space="preserve"> </w:t>
      </w:r>
      <w:r w:rsidR="00756168" w:rsidRPr="00436984">
        <w:rPr>
          <w:rFonts w:ascii="Arial" w:hAnsi="Arial" w:cs="Arial"/>
          <w:b/>
          <w:sz w:val="20"/>
          <w:szCs w:val="20"/>
          <w:lang w:val="en-GB"/>
        </w:rPr>
        <w:t xml:space="preserve">      </w:t>
      </w:r>
    </w:p>
    <w:p w14:paraId="4DC650FE" w14:textId="77777777" w:rsidR="008655C4" w:rsidRPr="00436984" w:rsidRDefault="008655C4" w:rsidP="002F4377">
      <w:pPr>
        <w:jc w:val="both"/>
        <w:rPr>
          <w:rFonts w:ascii="Arial" w:hAnsi="Arial" w:cs="Arial"/>
          <w:sz w:val="20"/>
          <w:szCs w:val="20"/>
          <w:lang w:val="en-GB"/>
        </w:rPr>
      </w:pPr>
      <w:r w:rsidRPr="00436984">
        <w:rPr>
          <w:rFonts w:ascii="Arial" w:hAnsi="Arial" w:cs="Arial"/>
          <w:sz w:val="20"/>
          <w:szCs w:val="20"/>
          <w:lang w:val="en-GB"/>
        </w:rPr>
        <w:t>The principal risks</w:t>
      </w:r>
      <w:r w:rsidR="001C7D7A" w:rsidRPr="00436984">
        <w:rPr>
          <w:rFonts w:ascii="Arial" w:hAnsi="Arial" w:cs="Arial"/>
          <w:sz w:val="20"/>
          <w:szCs w:val="20"/>
          <w:lang w:val="en-GB"/>
        </w:rPr>
        <w:t xml:space="preserve"> in</w:t>
      </w:r>
      <w:r w:rsidRPr="00436984">
        <w:rPr>
          <w:rFonts w:ascii="Arial" w:hAnsi="Arial" w:cs="Arial"/>
          <w:sz w:val="20"/>
          <w:szCs w:val="20"/>
          <w:lang w:val="en-GB"/>
        </w:rPr>
        <w:t xml:space="preserve"> delivering the Trust’s Strategic Objectives are recorded in detail in the Board Assurance Framework and the key operational risks are described in the </w:t>
      </w:r>
      <w:r w:rsidR="00BA2F85" w:rsidRPr="00436984">
        <w:rPr>
          <w:rFonts w:ascii="Arial" w:hAnsi="Arial" w:cs="Arial"/>
          <w:sz w:val="20"/>
          <w:szCs w:val="20"/>
          <w:lang w:val="en-GB"/>
        </w:rPr>
        <w:t>C</w:t>
      </w:r>
      <w:r w:rsidRPr="00436984">
        <w:rPr>
          <w:rFonts w:ascii="Arial" w:hAnsi="Arial" w:cs="Arial"/>
          <w:sz w:val="20"/>
          <w:szCs w:val="20"/>
          <w:lang w:val="en-GB"/>
        </w:rPr>
        <w:t xml:space="preserve">orporate </w:t>
      </w:r>
      <w:r w:rsidR="00BA2F85" w:rsidRPr="00436984">
        <w:rPr>
          <w:rFonts w:ascii="Arial" w:hAnsi="Arial" w:cs="Arial"/>
          <w:sz w:val="20"/>
          <w:szCs w:val="20"/>
          <w:lang w:val="en-GB"/>
        </w:rPr>
        <w:t>R</w:t>
      </w:r>
      <w:r w:rsidRPr="00436984">
        <w:rPr>
          <w:rFonts w:ascii="Arial" w:hAnsi="Arial" w:cs="Arial"/>
          <w:sz w:val="20"/>
          <w:szCs w:val="20"/>
          <w:lang w:val="en-GB"/>
        </w:rPr>
        <w:t xml:space="preserve">isk </w:t>
      </w:r>
      <w:r w:rsidR="00BA2F85" w:rsidRPr="00436984">
        <w:rPr>
          <w:rFonts w:ascii="Arial" w:hAnsi="Arial" w:cs="Arial"/>
          <w:sz w:val="20"/>
          <w:szCs w:val="20"/>
          <w:lang w:val="en-GB"/>
        </w:rPr>
        <w:t>R</w:t>
      </w:r>
      <w:r w:rsidRPr="00436984">
        <w:rPr>
          <w:rFonts w:ascii="Arial" w:hAnsi="Arial" w:cs="Arial"/>
          <w:sz w:val="20"/>
          <w:szCs w:val="20"/>
          <w:lang w:val="en-GB"/>
        </w:rPr>
        <w:t xml:space="preserve">egister, which are monitored </w:t>
      </w:r>
      <w:r w:rsidR="004B00FD" w:rsidRPr="00436984">
        <w:rPr>
          <w:rFonts w:ascii="Arial" w:hAnsi="Arial" w:cs="Arial"/>
          <w:sz w:val="20"/>
          <w:szCs w:val="20"/>
          <w:lang w:val="en-GB"/>
        </w:rPr>
        <w:t>by</w:t>
      </w:r>
      <w:r w:rsidRPr="00436984">
        <w:rPr>
          <w:rFonts w:ascii="Arial" w:hAnsi="Arial" w:cs="Arial"/>
          <w:sz w:val="20"/>
          <w:szCs w:val="20"/>
          <w:lang w:val="en-GB"/>
        </w:rPr>
        <w:t xml:space="preserve"> directorates</w:t>
      </w:r>
      <w:r w:rsidR="00BA2F85" w:rsidRPr="00436984">
        <w:rPr>
          <w:rFonts w:ascii="Arial" w:hAnsi="Arial" w:cs="Arial"/>
          <w:sz w:val="20"/>
          <w:szCs w:val="20"/>
          <w:lang w:val="en-GB"/>
        </w:rPr>
        <w:t xml:space="preserve">, </w:t>
      </w:r>
      <w:r w:rsidRPr="00436984">
        <w:rPr>
          <w:rFonts w:ascii="Arial" w:hAnsi="Arial" w:cs="Arial"/>
          <w:sz w:val="20"/>
          <w:szCs w:val="20"/>
          <w:lang w:val="en-GB"/>
        </w:rPr>
        <w:t>the Executive Group</w:t>
      </w:r>
      <w:r w:rsidR="00BA2F85" w:rsidRPr="00436984">
        <w:rPr>
          <w:rFonts w:ascii="Arial" w:hAnsi="Arial" w:cs="Arial"/>
          <w:sz w:val="20"/>
          <w:szCs w:val="20"/>
          <w:lang w:val="en-GB"/>
        </w:rPr>
        <w:t>, Committees and the Board</w:t>
      </w:r>
      <w:r w:rsidRPr="00436984">
        <w:rPr>
          <w:rFonts w:ascii="Arial" w:hAnsi="Arial" w:cs="Arial"/>
          <w:sz w:val="20"/>
          <w:szCs w:val="20"/>
          <w:lang w:val="en-GB"/>
        </w:rPr>
        <w:t>.</w:t>
      </w:r>
      <w:r w:rsidR="00B86342">
        <w:rPr>
          <w:rFonts w:ascii="Arial" w:hAnsi="Arial" w:cs="Arial"/>
          <w:sz w:val="20"/>
          <w:szCs w:val="20"/>
          <w:lang w:val="en-GB"/>
        </w:rPr>
        <w:t xml:space="preserve">  </w:t>
      </w:r>
      <w:r w:rsidRPr="00436984">
        <w:rPr>
          <w:rFonts w:ascii="Arial" w:hAnsi="Arial" w:cs="Arial"/>
          <w:sz w:val="20"/>
          <w:szCs w:val="20"/>
          <w:lang w:val="en-GB"/>
        </w:rPr>
        <w:t>A summary of significant risks within the Board Assurance Framework is included within the Annual Governance Statement.</w:t>
      </w:r>
      <w:r w:rsidR="003753F6" w:rsidRPr="00436984">
        <w:rPr>
          <w:rFonts w:ascii="Arial" w:hAnsi="Arial" w:cs="Arial"/>
          <w:sz w:val="20"/>
          <w:szCs w:val="20"/>
          <w:lang w:val="en-GB"/>
        </w:rPr>
        <w:t xml:space="preserve">  </w:t>
      </w:r>
      <w:r w:rsidR="00E867E5" w:rsidRPr="00436984">
        <w:rPr>
          <w:rFonts w:ascii="Arial" w:hAnsi="Arial" w:cs="Arial"/>
          <w:sz w:val="20"/>
          <w:szCs w:val="20"/>
          <w:lang w:val="en-GB"/>
        </w:rPr>
        <w:t xml:space="preserve">     </w:t>
      </w:r>
      <w:r w:rsidR="00F12076" w:rsidRPr="00436984">
        <w:rPr>
          <w:rFonts w:ascii="Arial" w:hAnsi="Arial" w:cs="Arial"/>
          <w:sz w:val="20"/>
          <w:szCs w:val="20"/>
          <w:lang w:val="en-GB"/>
        </w:rPr>
        <w:t xml:space="preserve">   </w:t>
      </w:r>
    </w:p>
    <w:p w14:paraId="345BE45B" w14:textId="77777777" w:rsidR="00196767" w:rsidRPr="00436984" w:rsidRDefault="00C7764D" w:rsidP="002F4377">
      <w:pPr>
        <w:jc w:val="both"/>
        <w:rPr>
          <w:rFonts w:ascii="Arial" w:hAnsi="Arial" w:cs="Arial"/>
          <w:sz w:val="20"/>
          <w:szCs w:val="20"/>
          <w:highlight w:val="yellow"/>
          <w:lang w:val="en-GB"/>
        </w:rPr>
      </w:pPr>
      <w:r w:rsidRPr="00436984">
        <w:rPr>
          <w:rFonts w:ascii="Arial" w:hAnsi="Arial" w:cs="Arial"/>
          <w:sz w:val="20"/>
          <w:szCs w:val="20"/>
          <w:highlight w:val="yellow"/>
          <w:lang w:val="en-GB"/>
        </w:rPr>
        <w:t xml:space="preserve">      </w:t>
      </w:r>
    </w:p>
    <w:p w14:paraId="44544788" w14:textId="77777777" w:rsidR="00F46C10" w:rsidRPr="00B86342" w:rsidRDefault="00F46C10" w:rsidP="002F4377">
      <w:pPr>
        <w:jc w:val="both"/>
        <w:rPr>
          <w:rFonts w:ascii="Arial" w:hAnsi="Arial" w:cs="Arial"/>
          <w:b/>
          <w:sz w:val="20"/>
          <w:szCs w:val="20"/>
          <w:lang w:val="en-GB"/>
        </w:rPr>
      </w:pPr>
      <w:r w:rsidRPr="00436984">
        <w:rPr>
          <w:rFonts w:ascii="Arial" w:hAnsi="Arial" w:cs="Arial"/>
          <w:b/>
          <w:sz w:val="20"/>
          <w:szCs w:val="20"/>
          <w:lang w:val="en-GB"/>
        </w:rPr>
        <w:t>Going Concern</w:t>
      </w:r>
    </w:p>
    <w:p w14:paraId="70490964" w14:textId="77777777" w:rsidR="00F46C10" w:rsidRPr="00436984" w:rsidRDefault="00F46C10" w:rsidP="002F4377">
      <w:pPr>
        <w:jc w:val="both"/>
        <w:rPr>
          <w:rFonts w:ascii="Arial" w:hAnsi="Arial" w:cs="Arial"/>
          <w:sz w:val="20"/>
          <w:szCs w:val="20"/>
          <w:lang w:val="en-GB"/>
        </w:rPr>
      </w:pPr>
      <w:r w:rsidRPr="00436984">
        <w:rPr>
          <w:rFonts w:ascii="Arial" w:hAnsi="Arial" w:cs="Arial"/>
          <w:sz w:val="20"/>
          <w:szCs w:val="20"/>
          <w:lang w:val="en-GB"/>
        </w:rPr>
        <w:t xml:space="preserve">After making enquiries, the directors have a reasonable expectation that the </w:t>
      </w:r>
      <w:r w:rsidR="00E925F8" w:rsidRPr="00436984">
        <w:rPr>
          <w:rFonts w:ascii="Arial" w:hAnsi="Arial" w:cs="Arial"/>
          <w:sz w:val="20"/>
          <w:szCs w:val="20"/>
          <w:lang w:val="en-GB"/>
        </w:rPr>
        <w:t xml:space="preserve">services provided by Medway </w:t>
      </w:r>
      <w:r w:rsidRPr="00436984">
        <w:rPr>
          <w:rFonts w:ascii="Arial" w:hAnsi="Arial" w:cs="Arial"/>
          <w:sz w:val="20"/>
          <w:szCs w:val="20"/>
          <w:lang w:val="en-GB"/>
        </w:rPr>
        <w:t xml:space="preserve">NHS Foundation Trust </w:t>
      </w:r>
      <w:r w:rsidR="00E925F8" w:rsidRPr="00436984">
        <w:rPr>
          <w:rFonts w:ascii="Arial" w:hAnsi="Arial" w:cs="Arial"/>
          <w:sz w:val="20"/>
          <w:szCs w:val="20"/>
          <w:lang w:val="en-GB"/>
        </w:rPr>
        <w:t xml:space="preserve">will continue to be provided by the public sector for the foreseeable future.  For this reason, the directors have adopted the </w:t>
      </w:r>
      <w:r w:rsidRPr="00436984">
        <w:rPr>
          <w:rFonts w:ascii="Arial" w:hAnsi="Arial" w:cs="Arial"/>
          <w:sz w:val="20"/>
          <w:szCs w:val="20"/>
          <w:lang w:val="en-GB"/>
        </w:rPr>
        <w:t>going concern basis in preparing the accounts</w:t>
      </w:r>
      <w:r w:rsidR="00E925F8" w:rsidRPr="00436984">
        <w:rPr>
          <w:rFonts w:ascii="Arial" w:hAnsi="Arial" w:cs="Arial"/>
          <w:sz w:val="20"/>
          <w:szCs w:val="20"/>
          <w:lang w:val="en-GB"/>
        </w:rPr>
        <w:t>, following the definition of going concern in the public sector adopted by HM Treasury’s Financial Reporting Manual</w:t>
      </w:r>
      <w:r w:rsidRPr="00436984">
        <w:rPr>
          <w:rFonts w:ascii="Arial" w:hAnsi="Arial" w:cs="Arial"/>
          <w:sz w:val="20"/>
          <w:szCs w:val="20"/>
          <w:lang w:val="en-GB"/>
        </w:rPr>
        <w:t>.</w:t>
      </w:r>
    </w:p>
    <w:p w14:paraId="3CFA2B21" w14:textId="77777777" w:rsidR="00F46C10" w:rsidRPr="00436984" w:rsidRDefault="00F46C10" w:rsidP="002F4377">
      <w:pPr>
        <w:jc w:val="both"/>
        <w:rPr>
          <w:rFonts w:ascii="Arial" w:hAnsi="Arial" w:cs="Arial"/>
          <w:sz w:val="20"/>
          <w:szCs w:val="20"/>
          <w:lang w:val="en-GB"/>
        </w:rPr>
      </w:pPr>
    </w:p>
    <w:p w14:paraId="645556BF" w14:textId="77777777" w:rsidR="00F46C10" w:rsidRPr="00436984" w:rsidRDefault="00F46C10" w:rsidP="002F4377">
      <w:pPr>
        <w:jc w:val="both"/>
        <w:rPr>
          <w:rFonts w:ascii="Arial" w:hAnsi="Arial" w:cs="Arial"/>
          <w:sz w:val="20"/>
          <w:szCs w:val="20"/>
          <w:lang w:val="en-GB"/>
        </w:rPr>
      </w:pPr>
      <w:r w:rsidRPr="00436984">
        <w:rPr>
          <w:rFonts w:ascii="Arial" w:hAnsi="Arial" w:cs="Arial"/>
          <w:sz w:val="20"/>
          <w:szCs w:val="20"/>
          <w:lang w:val="en-GB"/>
        </w:rPr>
        <w:t xml:space="preserve">The accounts have been prepared on a going concern basis as </w:t>
      </w:r>
      <w:r w:rsidR="00487176" w:rsidRPr="00436984">
        <w:rPr>
          <w:rFonts w:ascii="Arial" w:hAnsi="Arial" w:cs="Arial"/>
          <w:sz w:val="20"/>
          <w:szCs w:val="20"/>
          <w:lang w:val="en-GB"/>
        </w:rPr>
        <w:t xml:space="preserve">the Trust does </w:t>
      </w:r>
      <w:r w:rsidRPr="00436984">
        <w:rPr>
          <w:rFonts w:ascii="Arial" w:hAnsi="Arial" w:cs="Arial"/>
          <w:sz w:val="20"/>
          <w:szCs w:val="20"/>
          <w:lang w:val="en-GB"/>
        </w:rPr>
        <w:t>not intend, nor consider that it will be necessary, to apply to the Secretary of State for the dissolution of the Trust with the transfer of the services to another entity in the foreseeable future.</w:t>
      </w:r>
    </w:p>
    <w:p w14:paraId="38EDBB59" w14:textId="77777777" w:rsidR="00F46C10" w:rsidRPr="00436984" w:rsidRDefault="00F46C10" w:rsidP="002F4377">
      <w:pPr>
        <w:jc w:val="both"/>
        <w:rPr>
          <w:rFonts w:ascii="Arial" w:hAnsi="Arial" w:cs="Arial"/>
          <w:sz w:val="20"/>
          <w:szCs w:val="20"/>
          <w:lang w:val="en-GB"/>
        </w:rPr>
      </w:pPr>
    </w:p>
    <w:p w14:paraId="133916A2" w14:textId="77777777" w:rsidR="00196767" w:rsidRPr="00436984" w:rsidRDefault="00487176" w:rsidP="00ED7971">
      <w:pPr>
        <w:jc w:val="both"/>
        <w:rPr>
          <w:rFonts w:ascii="Arial" w:hAnsi="Arial" w:cs="Arial"/>
          <w:sz w:val="20"/>
          <w:szCs w:val="20"/>
          <w:lang w:val="en-GB"/>
        </w:rPr>
      </w:pPr>
      <w:r w:rsidRPr="00436984">
        <w:rPr>
          <w:rFonts w:ascii="Arial" w:hAnsi="Arial" w:cs="Arial"/>
          <w:sz w:val="20"/>
          <w:szCs w:val="20"/>
          <w:lang w:val="en-GB"/>
        </w:rPr>
        <w:t>The Trust</w:t>
      </w:r>
      <w:r w:rsidR="00F46C10" w:rsidRPr="00436984">
        <w:rPr>
          <w:rFonts w:ascii="Arial" w:hAnsi="Arial" w:cs="Arial"/>
          <w:sz w:val="20"/>
          <w:szCs w:val="20"/>
          <w:lang w:val="en-GB"/>
        </w:rPr>
        <w:t xml:space="preserve"> consider</w:t>
      </w:r>
      <w:r w:rsidRPr="00436984">
        <w:rPr>
          <w:rFonts w:ascii="Arial" w:hAnsi="Arial" w:cs="Arial"/>
          <w:sz w:val="20"/>
          <w:szCs w:val="20"/>
          <w:lang w:val="en-GB"/>
        </w:rPr>
        <w:t>s</w:t>
      </w:r>
      <w:r w:rsidR="00F46C10" w:rsidRPr="00436984">
        <w:rPr>
          <w:rFonts w:ascii="Arial" w:hAnsi="Arial" w:cs="Arial"/>
          <w:sz w:val="20"/>
          <w:szCs w:val="20"/>
          <w:lang w:val="en-GB"/>
        </w:rPr>
        <w:t xml:space="preserve"> the future financial performance and traditional going concern risks in the ‘Overview of Financial Performance’ section of this report.</w:t>
      </w:r>
    </w:p>
    <w:p w14:paraId="1C2A5AE3" w14:textId="77777777" w:rsidR="00B86342" w:rsidRPr="00436984" w:rsidRDefault="00B86342" w:rsidP="00ED7971">
      <w:pPr>
        <w:jc w:val="both"/>
        <w:rPr>
          <w:rFonts w:ascii="Arial" w:hAnsi="Arial" w:cs="Arial"/>
          <w:sz w:val="20"/>
          <w:szCs w:val="20"/>
          <w:lang w:val="en-GB"/>
        </w:rPr>
      </w:pPr>
    </w:p>
    <w:p w14:paraId="1FED8059" w14:textId="77777777" w:rsidR="00A14BD7" w:rsidRDefault="00A14BD7" w:rsidP="00A14BD7">
      <w:pPr>
        <w:jc w:val="both"/>
        <w:rPr>
          <w:rFonts w:ascii="Arial" w:hAnsi="Arial" w:cs="Arial"/>
          <w:b/>
          <w:sz w:val="20"/>
          <w:szCs w:val="20"/>
          <w:lang w:val="en-GB"/>
        </w:rPr>
      </w:pPr>
      <w:bookmarkStart w:id="2" w:name="_Hlk197068672"/>
      <w:r w:rsidRPr="00A14BD7">
        <w:rPr>
          <w:rFonts w:ascii="Arial" w:hAnsi="Arial" w:cs="Arial"/>
          <w:b/>
          <w:sz w:val="20"/>
          <w:szCs w:val="20"/>
          <w:lang w:val="en-GB"/>
        </w:rPr>
        <w:t xml:space="preserve">Summary of Performance </w:t>
      </w:r>
    </w:p>
    <w:p w14:paraId="75618D8D" w14:textId="77777777" w:rsidR="00A14BD7" w:rsidRPr="00A14BD7" w:rsidRDefault="00A14BD7" w:rsidP="00A14BD7">
      <w:pPr>
        <w:jc w:val="both"/>
        <w:rPr>
          <w:rFonts w:ascii="Arial" w:hAnsi="Arial" w:cs="Arial"/>
          <w:sz w:val="20"/>
          <w:szCs w:val="20"/>
          <w:lang w:val="en-GB"/>
        </w:rPr>
      </w:pPr>
      <w:r w:rsidRPr="00A14BD7">
        <w:rPr>
          <w:rFonts w:ascii="Arial" w:hAnsi="Arial" w:cs="Arial"/>
          <w:sz w:val="20"/>
          <w:szCs w:val="20"/>
          <w:lang w:val="en-GB"/>
        </w:rPr>
        <w:t xml:space="preserve">The Trust overperformed against the national standard for the four-hour performance target in 2024/25, finishing the year on 77.4% (submitted all types) against the target of 77%, improved and reduced patients waiting &gt;12hrs LOS in ED by 2% in March 2025 compared to March 2024 and significantly improved diagnostics waiting times hitting 91% for the first time in over </w:t>
      </w:r>
      <w:r>
        <w:rPr>
          <w:rFonts w:ascii="Arial" w:hAnsi="Arial" w:cs="Arial"/>
          <w:sz w:val="20"/>
          <w:szCs w:val="20"/>
          <w:lang w:val="en-GB"/>
        </w:rPr>
        <w:t>five</w:t>
      </w:r>
      <w:r w:rsidRPr="00A14BD7">
        <w:rPr>
          <w:rFonts w:ascii="Arial" w:hAnsi="Arial" w:cs="Arial"/>
          <w:sz w:val="20"/>
          <w:szCs w:val="20"/>
          <w:lang w:val="en-GB"/>
        </w:rPr>
        <w:t xml:space="preserve"> years.</w:t>
      </w:r>
    </w:p>
    <w:p w14:paraId="744818D8" w14:textId="77777777" w:rsidR="00BA7324" w:rsidRPr="00A14BD7" w:rsidRDefault="00BA7324" w:rsidP="00A14BD7">
      <w:pPr>
        <w:jc w:val="both"/>
        <w:rPr>
          <w:rFonts w:ascii="Arial" w:hAnsi="Arial" w:cs="Arial"/>
          <w:b/>
          <w:sz w:val="20"/>
          <w:szCs w:val="20"/>
          <w:lang w:val="en-GB"/>
        </w:rPr>
      </w:pPr>
    </w:p>
    <w:p w14:paraId="685941EF" w14:textId="77777777" w:rsidR="00A14BD7" w:rsidRPr="00A14BD7" w:rsidRDefault="00A14BD7" w:rsidP="00A14BD7">
      <w:pPr>
        <w:jc w:val="both"/>
        <w:rPr>
          <w:rFonts w:ascii="Arial" w:hAnsi="Arial" w:cs="Arial"/>
          <w:b/>
          <w:sz w:val="20"/>
          <w:szCs w:val="20"/>
          <w:lang w:val="en-GB"/>
        </w:rPr>
      </w:pPr>
      <w:r w:rsidRPr="00A14BD7">
        <w:rPr>
          <w:rFonts w:ascii="Arial" w:hAnsi="Arial" w:cs="Arial"/>
          <w:b/>
          <w:sz w:val="20"/>
          <w:szCs w:val="20"/>
          <w:lang w:val="en-GB"/>
        </w:rPr>
        <w:t xml:space="preserve">Key Performance Measures </w:t>
      </w:r>
    </w:p>
    <w:p w14:paraId="43434EC8" w14:textId="77777777" w:rsidR="00A14BD7" w:rsidRPr="00A14BD7" w:rsidRDefault="00A14BD7" w:rsidP="00A14BD7">
      <w:pPr>
        <w:jc w:val="both"/>
        <w:rPr>
          <w:rFonts w:ascii="Arial" w:hAnsi="Arial" w:cs="Arial"/>
          <w:sz w:val="20"/>
          <w:szCs w:val="20"/>
          <w:lang w:val="en-GB"/>
        </w:rPr>
      </w:pPr>
      <w:r w:rsidRPr="00A14BD7">
        <w:rPr>
          <w:rFonts w:ascii="Arial" w:hAnsi="Arial" w:cs="Arial"/>
          <w:sz w:val="20"/>
          <w:szCs w:val="20"/>
          <w:lang w:val="en-GB"/>
        </w:rPr>
        <w:t>The Trust formally agreed trajectories for the constitutional targets: Emergency Department, Referral to Treatment (RTT), Cancer and Diagnostic (known as DM01).</w:t>
      </w:r>
      <w:r>
        <w:rPr>
          <w:rFonts w:ascii="Arial" w:hAnsi="Arial" w:cs="Arial"/>
          <w:sz w:val="20"/>
          <w:szCs w:val="20"/>
          <w:lang w:val="en-GB"/>
        </w:rPr>
        <w:t xml:space="preserve">  </w:t>
      </w:r>
      <w:r w:rsidRPr="00A14BD7">
        <w:rPr>
          <w:rFonts w:ascii="Arial" w:hAnsi="Arial" w:cs="Arial"/>
          <w:sz w:val="20"/>
          <w:szCs w:val="20"/>
          <w:lang w:val="en-GB"/>
        </w:rPr>
        <w:t xml:space="preserve">These trajectories were based on demand and capacity work completed for all of the services using the NHS Improvement Tool. </w:t>
      </w:r>
      <w:r>
        <w:rPr>
          <w:rFonts w:ascii="Arial" w:hAnsi="Arial" w:cs="Arial"/>
          <w:sz w:val="20"/>
          <w:szCs w:val="20"/>
          <w:lang w:val="en-GB"/>
        </w:rPr>
        <w:t xml:space="preserve"> </w:t>
      </w:r>
      <w:r w:rsidRPr="00A14BD7">
        <w:rPr>
          <w:rFonts w:ascii="Arial" w:hAnsi="Arial" w:cs="Arial"/>
          <w:sz w:val="20"/>
          <w:szCs w:val="20"/>
          <w:lang w:val="en-GB"/>
        </w:rPr>
        <w:t>However</w:t>
      </w:r>
      <w:r>
        <w:rPr>
          <w:rFonts w:ascii="Arial" w:hAnsi="Arial" w:cs="Arial"/>
          <w:sz w:val="20"/>
          <w:szCs w:val="20"/>
          <w:lang w:val="en-GB"/>
        </w:rPr>
        <w:t>,</w:t>
      </w:r>
      <w:r w:rsidRPr="00A14BD7">
        <w:rPr>
          <w:rFonts w:ascii="Arial" w:hAnsi="Arial" w:cs="Arial"/>
          <w:sz w:val="20"/>
          <w:szCs w:val="20"/>
          <w:lang w:val="en-GB"/>
        </w:rPr>
        <w:t xml:space="preserve"> the </w:t>
      </w:r>
      <w:r>
        <w:rPr>
          <w:rFonts w:ascii="Arial" w:hAnsi="Arial" w:cs="Arial"/>
          <w:sz w:val="20"/>
          <w:szCs w:val="20"/>
          <w:lang w:val="en-GB"/>
        </w:rPr>
        <w:t>T</w:t>
      </w:r>
      <w:r w:rsidRPr="00A14BD7">
        <w:rPr>
          <w:rFonts w:ascii="Arial" w:hAnsi="Arial" w:cs="Arial"/>
          <w:sz w:val="20"/>
          <w:szCs w:val="20"/>
          <w:lang w:val="en-GB"/>
        </w:rPr>
        <w:t xml:space="preserve">rust </w:t>
      </w:r>
      <w:r>
        <w:rPr>
          <w:rFonts w:ascii="Arial" w:hAnsi="Arial" w:cs="Arial"/>
          <w:sz w:val="20"/>
          <w:szCs w:val="20"/>
          <w:lang w:val="en-GB"/>
        </w:rPr>
        <w:t>was</w:t>
      </w:r>
      <w:r w:rsidRPr="00A14BD7">
        <w:rPr>
          <w:rFonts w:ascii="Arial" w:hAnsi="Arial" w:cs="Arial"/>
          <w:sz w:val="20"/>
          <w:szCs w:val="20"/>
          <w:lang w:val="en-GB"/>
        </w:rPr>
        <w:t xml:space="preserve"> asked by the NHSE </w:t>
      </w:r>
      <w:r>
        <w:rPr>
          <w:rFonts w:ascii="Arial" w:hAnsi="Arial" w:cs="Arial"/>
          <w:sz w:val="20"/>
          <w:szCs w:val="20"/>
          <w:lang w:val="en-GB"/>
        </w:rPr>
        <w:t>R</w:t>
      </w:r>
      <w:r w:rsidRPr="00A14BD7">
        <w:rPr>
          <w:rFonts w:ascii="Arial" w:hAnsi="Arial" w:cs="Arial"/>
          <w:sz w:val="20"/>
          <w:szCs w:val="20"/>
          <w:lang w:val="en-GB"/>
        </w:rPr>
        <w:t xml:space="preserve">egional </w:t>
      </w:r>
      <w:r>
        <w:rPr>
          <w:rFonts w:ascii="Arial" w:hAnsi="Arial" w:cs="Arial"/>
          <w:sz w:val="20"/>
          <w:szCs w:val="20"/>
          <w:lang w:val="en-GB"/>
        </w:rPr>
        <w:t>T</w:t>
      </w:r>
      <w:r w:rsidRPr="00A14BD7">
        <w:rPr>
          <w:rFonts w:ascii="Arial" w:hAnsi="Arial" w:cs="Arial"/>
          <w:sz w:val="20"/>
          <w:szCs w:val="20"/>
          <w:lang w:val="en-GB"/>
        </w:rPr>
        <w:t>eam to revise trajectory for RTT to 60% and this was mandated.</w:t>
      </w:r>
    </w:p>
    <w:p w14:paraId="08322A26" w14:textId="77777777" w:rsidR="00A14BD7" w:rsidRPr="00A14BD7" w:rsidRDefault="00A14BD7" w:rsidP="00A14BD7">
      <w:pPr>
        <w:jc w:val="both"/>
        <w:rPr>
          <w:rFonts w:ascii="Arial" w:hAnsi="Arial" w:cs="Arial"/>
          <w:sz w:val="20"/>
          <w:szCs w:val="20"/>
          <w:lang w:val="en-GB"/>
        </w:rPr>
      </w:pPr>
    </w:p>
    <w:p w14:paraId="4C07228B" w14:textId="484C8380" w:rsidR="00A14BD7" w:rsidRPr="00616288" w:rsidRDefault="00A14BD7" w:rsidP="00A14BD7">
      <w:pPr>
        <w:jc w:val="both"/>
        <w:rPr>
          <w:rFonts w:ascii="Arial" w:hAnsi="Arial" w:cs="Arial"/>
          <w:sz w:val="20"/>
          <w:szCs w:val="20"/>
          <w:lang w:val="en-GB"/>
        </w:rPr>
      </w:pPr>
      <w:r w:rsidRPr="00A14BD7">
        <w:rPr>
          <w:rFonts w:ascii="Arial" w:hAnsi="Arial" w:cs="Arial"/>
          <w:sz w:val="20"/>
          <w:szCs w:val="20"/>
          <w:lang w:val="en-GB"/>
        </w:rPr>
        <w:t>The performance of these areas is monitored at all times and reported on a monthly basis in various different meetings internally and externally to the Trust.</w:t>
      </w:r>
    </w:p>
    <w:p w14:paraId="48C4F9A6" w14:textId="77777777" w:rsidR="00A14BD7" w:rsidRPr="00A14BD7" w:rsidRDefault="00A14BD7" w:rsidP="00A14BD7">
      <w:pPr>
        <w:jc w:val="both"/>
        <w:rPr>
          <w:rFonts w:ascii="Arial" w:hAnsi="Arial" w:cs="Arial"/>
          <w:b/>
          <w:sz w:val="20"/>
          <w:szCs w:val="20"/>
          <w:lang w:val="en-GB"/>
        </w:rPr>
      </w:pPr>
      <w:r w:rsidRPr="00A14BD7">
        <w:rPr>
          <w:rFonts w:ascii="Arial" w:hAnsi="Arial" w:cs="Arial"/>
          <w:b/>
          <w:sz w:val="20"/>
          <w:szCs w:val="20"/>
          <w:lang w:val="en-GB"/>
        </w:rPr>
        <w:lastRenderedPageBreak/>
        <w:t xml:space="preserve">Referral to Treatment (RTT) </w:t>
      </w:r>
    </w:p>
    <w:p w14:paraId="47AA3643" w14:textId="77777777" w:rsidR="00A14BD7" w:rsidRPr="00A14BD7" w:rsidRDefault="00A14BD7" w:rsidP="00A14BD7">
      <w:pPr>
        <w:jc w:val="both"/>
        <w:rPr>
          <w:rFonts w:ascii="Arial" w:hAnsi="Arial" w:cs="Arial"/>
          <w:sz w:val="20"/>
          <w:szCs w:val="20"/>
          <w:lang w:val="en-GB"/>
        </w:rPr>
      </w:pPr>
      <w:r w:rsidRPr="00A14BD7">
        <w:rPr>
          <w:rFonts w:ascii="Arial" w:hAnsi="Arial" w:cs="Arial"/>
          <w:sz w:val="20"/>
          <w:szCs w:val="20"/>
          <w:lang w:val="en-GB"/>
        </w:rPr>
        <w:t>The Trust did not meet the Referral to Treatment standard of 92%.</w:t>
      </w:r>
      <w:r>
        <w:rPr>
          <w:rFonts w:ascii="Arial" w:hAnsi="Arial" w:cs="Arial"/>
          <w:sz w:val="20"/>
          <w:szCs w:val="20"/>
          <w:lang w:val="en-GB"/>
        </w:rPr>
        <w:t xml:space="preserve">  </w:t>
      </w:r>
      <w:r w:rsidRPr="00A14BD7">
        <w:rPr>
          <w:rFonts w:ascii="Arial" w:hAnsi="Arial" w:cs="Arial"/>
          <w:sz w:val="20"/>
          <w:szCs w:val="20"/>
          <w:lang w:val="en-GB"/>
        </w:rPr>
        <w:t xml:space="preserve">It reported a year end position of 53% which was a 3% improvement on </w:t>
      </w:r>
      <w:r>
        <w:rPr>
          <w:rFonts w:ascii="Arial" w:hAnsi="Arial" w:cs="Arial"/>
          <w:sz w:val="20"/>
          <w:szCs w:val="20"/>
          <w:lang w:val="en-GB"/>
        </w:rPr>
        <w:t>20</w:t>
      </w:r>
      <w:r w:rsidRPr="00A14BD7">
        <w:rPr>
          <w:rFonts w:ascii="Arial" w:hAnsi="Arial" w:cs="Arial"/>
          <w:sz w:val="20"/>
          <w:szCs w:val="20"/>
          <w:lang w:val="en-GB"/>
        </w:rPr>
        <w:t>23/24.  The total waiting list size has steadily reduced over the reporting period ending on 39,949 patients compared to 44,129 at the start of the year, however this remains above levels seen pre</w:t>
      </w:r>
      <w:r>
        <w:rPr>
          <w:rFonts w:ascii="Arial" w:hAnsi="Arial" w:cs="Arial"/>
          <w:sz w:val="20"/>
          <w:szCs w:val="20"/>
          <w:lang w:val="en-GB"/>
        </w:rPr>
        <w:t>-</w:t>
      </w:r>
      <w:r w:rsidRPr="00A14BD7">
        <w:rPr>
          <w:rFonts w:ascii="Arial" w:hAnsi="Arial" w:cs="Arial"/>
          <w:sz w:val="20"/>
          <w:szCs w:val="20"/>
          <w:lang w:val="en-GB"/>
        </w:rPr>
        <w:t>2023/24</w:t>
      </w:r>
      <w:r>
        <w:rPr>
          <w:rFonts w:ascii="Arial" w:hAnsi="Arial" w:cs="Arial"/>
          <w:sz w:val="20"/>
          <w:szCs w:val="20"/>
          <w:lang w:val="en-GB"/>
        </w:rPr>
        <w:t xml:space="preserve">.  </w:t>
      </w:r>
      <w:r w:rsidRPr="00A14BD7">
        <w:rPr>
          <w:rFonts w:ascii="Arial" w:hAnsi="Arial" w:cs="Arial"/>
          <w:sz w:val="20"/>
          <w:szCs w:val="20"/>
          <w:lang w:val="en-GB"/>
        </w:rPr>
        <w:t>The number of patients waiting more than 52 weeks for treatment has reduced by 650 from the start of the year and ended at 1</w:t>
      </w:r>
      <w:r>
        <w:rPr>
          <w:rFonts w:ascii="Arial" w:hAnsi="Arial" w:cs="Arial"/>
          <w:sz w:val="20"/>
          <w:szCs w:val="20"/>
          <w:lang w:val="en-GB"/>
        </w:rPr>
        <w:t>,</w:t>
      </w:r>
      <w:r w:rsidRPr="00A14BD7">
        <w:rPr>
          <w:rFonts w:ascii="Arial" w:hAnsi="Arial" w:cs="Arial"/>
          <w:sz w:val="20"/>
          <w:szCs w:val="20"/>
          <w:lang w:val="en-GB"/>
        </w:rPr>
        <w:t xml:space="preserve">695 this is the first year in over </w:t>
      </w:r>
      <w:r>
        <w:rPr>
          <w:rFonts w:ascii="Arial" w:hAnsi="Arial" w:cs="Arial"/>
          <w:sz w:val="20"/>
          <w:szCs w:val="20"/>
          <w:lang w:val="en-GB"/>
        </w:rPr>
        <w:t xml:space="preserve">three </w:t>
      </w:r>
      <w:r w:rsidRPr="00A14BD7">
        <w:rPr>
          <w:rFonts w:ascii="Arial" w:hAnsi="Arial" w:cs="Arial"/>
          <w:sz w:val="20"/>
          <w:szCs w:val="20"/>
          <w:lang w:val="en-GB"/>
        </w:rPr>
        <w:t>years to see a reducing backlog.</w:t>
      </w:r>
      <w:r>
        <w:rPr>
          <w:rFonts w:ascii="Arial" w:hAnsi="Arial" w:cs="Arial"/>
          <w:sz w:val="20"/>
          <w:szCs w:val="20"/>
          <w:lang w:val="en-GB"/>
        </w:rPr>
        <w:t xml:space="preserve">  </w:t>
      </w:r>
      <w:r w:rsidRPr="00A14BD7">
        <w:rPr>
          <w:rFonts w:ascii="Arial" w:hAnsi="Arial" w:cs="Arial"/>
          <w:sz w:val="20"/>
          <w:szCs w:val="20"/>
          <w:lang w:val="en-GB"/>
        </w:rPr>
        <w:t>The National standard was to achieve no patients waiting over 65 weeks</w:t>
      </w:r>
      <w:r>
        <w:rPr>
          <w:rFonts w:ascii="Arial" w:hAnsi="Arial" w:cs="Arial"/>
          <w:sz w:val="20"/>
          <w:szCs w:val="20"/>
          <w:lang w:val="en-GB"/>
        </w:rPr>
        <w:t>,</w:t>
      </w:r>
      <w:r w:rsidRPr="00A14BD7">
        <w:rPr>
          <w:rFonts w:ascii="Arial" w:hAnsi="Arial" w:cs="Arial"/>
          <w:sz w:val="20"/>
          <w:szCs w:val="20"/>
          <w:lang w:val="en-GB"/>
        </w:rPr>
        <w:t xml:space="preserve"> which was achieved in most areas however due to specific staffing issues this was not wholly achieved with 79 remaining at the end of March down from 629.</w:t>
      </w:r>
    </w:p>
    <w:p w14:paraId="67F083D3" w14:textId="77777777" w:rsidR="00A14BD7" w:rsidRPr="00A14BD7" w:rsidRDefault="00A14BD7" w:rsidP="00A14BD7">
      <w:pPr>
        <w:jc w:val="both"/>
        <w:rPr>
          <w:rFonts w:ascii="Arial" w:hAnsi="Arial" w:cs="Arial"/>
          <w:sz w:val="20"/>
          <w:szCs w:val="20"/>
          <w:lang w:val="en-GB"/>
        </w:rPr>
      </w:pPr>
      <w:r w:rsidRPr="00A14BD7">
        <w:rPr>
          <w:rFonts w:ascii="Arial" w:hAnsi="Arial" w:cs="Arial"/>
          <w:sz w:val="20"/>
          <w:szCs w:val="20"/>
          <w:lang w:val="en-GB"/>
        </w:rPr>
        <w:t xml:space="preserve"> </w:t>
      </w:r>
    </w:p>
    <w:p w14:paraId="10FE2D8A" w14:textId="77777777" w:rsidR="00A14BD7" w:rsidRPr="00A14BD7" w:rsidRDefault="00A14BD7" w:rsidP="00A14BD7">
      <w:pPr>
        <w:jc w:val="both"/>
        <w:rPr>
          <w:rFonts w:ascii="Arial" w:hAnsi="Arial" w:cs="Arial"/>
          <w:sz w:val="20"/>
          <w:szCs w:val="20"/>
          <w:lang w:val="en-GB"/>
        </w:rPr>
      </w:pPr>
      <w:r w:rsidRPr="00A14BD7">
        <w:rPr>
          <w:rFonts w:ascii="Arial" w:hAnsi="Arial" w:cs="Arial"/>
          <w:sz w:val="20"/>
          <w:szCs w:val="20"/>
          <w:lang w:val="en-GB"/>
        </w:rPr>
        <w:t>The Trust has identified a number of actions to address this underperformance, including:</w:t>
      </w:r>
    </w:p>
    <w:p w14:paraId="0225D297" w14:textId="77777777" w:rsidR="00A14BD7" w:rsidRPr="00A14BD7" w:rsidRDefault="00A14BD7" w:rsidP="00E00F90">
      <w:pPr>
        <w:pStyle w:val="ListParagraph"/>
        <w:numPr>
          <w:ilvl w:val="0"/>
          <w:numId w:val="57"/>
        </w:numPr>
        <w:jc w:val="both"/>
        <w:rPr>
          <w:rFonts w:ascii="Arial" w:hAnsi="Arial" w:cs="Arial"/>
          <w:sz w:val="20"/>
          <w:szCs w:val="20"/>
          <w:lang w:val="en-GB"/>
        </w:rPr>
      </w:pPr>
      <w:r w:rsidRPr="00A14BD7">
        <w:rPr>
          <w:rFonts w:ascii="Arial" w:hAnsi="Arial" w:cs="Arial"/>
          <w:sz w:val="20"/>
          <w:szCs w:val="20"/>
          <w:lang w:val="en-GB"/>
        </w:rPr>
        <w:t>Addressing staffing issues in clinical areas with the largest waiting times and running additional clinics.</w:t>
      </w:r>
    </w:p>
    <w:p w14:paraId="000C9AF7" w14:textId="77777777" w:rsidR="00A14BD7" w:rsidRPr="00A14BD7" w:rsidRDefault="00A14BD7" w:rsidP="00E00F90">
      <w:pPr>
        <w:pStyle w:val="ListParagraph"/>
        <w:numPr>
          <w:ilvl w:val="0"/>
          <w:numId w:val="57"/>
        </w:numPr>
        <w:jc w:val="both"/>
        <w:rPr>
          <w:rFonts w:ascii="Arial" w:hAnsi="Arial" w:cs="Arial"/>
          <w:sz w:val="20"/>
          <w:szCs w:val="20"/>
          <w:lang w:val="en-GB"/>
        </w:rPr>
      </w:pPr>
      <w:r w:rsidRPr="00A14BD7">
        <w:rPr>
          <w:rFonts w:ascii="Arial" w:hAnsi="Arial" w:cs="Arial"/>
          <w:sz w:val="20"/>
          <w:szCs w:val="20"/>
          <w:lang w:val="en-GB"/>
        </w:rPr>
        <w:t>Collaborating with system delivery partners to increase capacity.</w:t>
      </w:r>
    </w:p>
    <w:p w14:paraId="7EA19A5F" w14:textId="77777777" w:rsidR="00A14BD7" w:rsidRPr="00A14BD7" w:rsidRDefault="00A14BD7" w:rsidP="00E00F90">
      <w:pPr>
        <w:pStyle w:val="ListParagraph"/>
        <w:numPr>
          <w:ilvl w:val="0"/>
          <w:numId w:val="57"/>
        </w:numPr>
        <w:jc w:val="both"/>
        <w:rPr>
          <w:rFonts w:ascii="Arial" w:hAnsi="Arial" w:cs="Arial"/>
          <w:sz w:val="20"/>
          <w:szCs w:val="20"/>
          <w:lang w:val="en-GB"/>
        </w:rPr>
      </w:pPr>
      <w:r w:rsidRPr="00A14BD7">
        <w:rPr>
          <w:rFonts w:ascii="Arial" w:hAnsi="Arial" w:cs="Arial"/>
          <w:sz w:val="20"/>
          <w:szCs w:val="20"/>
          <w:lang w:val="en-GB"/>
        </w:rPr>
        <w:t>Launching the patient-initiated follow-up approach.</w:t>
      </w:r>
    </w:p>
    <w:p w14:paraId="18AC1888" w14:textId="77777777" w:rsidR="00A14BD7" w:rsidRPr="00A14BD7" w:rsidRDefault="00A14BD7" w:rsidP="00A14BD7">
      <w:pPr>
        <w:jc w:val="both"/>
        <w:rPr>
          <w:rFonts w:ascii="Arial" w:hAnsi="Arial" w:cs="Arial"/>
          <w:b/>
          <w:sz w:val="20"/>
          <w:szCs w:val="20"/>
          <w:lang w:val="en-GB"/>
        </w:rPr>
      </w:pPr>
      <w:r w:rsidRPr="00A14BD7">
        <w:rPr>
          <w:rFonts w:ascii="Arial" w:hAnsi="Arial" w:cs="Arial"/>
          <w:b/>
          <w:sz w:val="20"/>
          <w:szCs w:val="20"/>
          <w:lang w:val="en-GB"/>
        </w:rPr>
        <w:t xml:space="preserve"> </w:t>
      </w:r>
    </w:p>
    <w:p w14:paraId="1D35E337" w14:textId="77777777" w:rsidR="00A14BD7" w:rsidRPr="00A14BD7" w:rsidRDefault="00A14BD7" w:rsidP="00A14BD7">
      <w:pPr>
        <w:jc w:val="both"/>
        <w:rPr>
          <w:rFonts w:ascii="Arial" w:hAnsi="Arial" w:cs="Arial"/>
          <w:b/>
          <w:sz w:val="20"/>
          <w:szCs w:val="20"/>
          <w:lang w:val="en-GB"/>
        </w:rPr>
      </w:pPr>
      <w:r w:rsidRPr="00A14BD7">
        <w:rPr>
          <w:rFonts w:ascii="Arial" w:hAnsi="Arial" w:cs="Arial"/>
          <w:b/>
          <w:sz w:val="20"/>
          <w:szCs w:val="20"/>
          <w:lang w:val="en-GB"/>
        </w:rPr>
        <w:t xml:space="preserve"> </w:t>
      </w:r>
    </w:p>
    <w:p w14:paraId="375A653C" w14:textId="77777777" w:rsidR="00A14BD7" w:rsidRPr="00A14BD7" w:rsidRDefault="00A14BD7" w:rsidP="00A14BD7">
      <w:pPr>
        <w:jc w:val="both"/>
        <w:rPr>
          <w:rFonts w:ascii="Arial" w:hAnsi="Arial" w:cs="Arial"/>
          <w:b/>
          <w:sz w:val="20"/>
          <w:szCs w:val="20"/>
          <w:lang w:val="en-GB"/>
        </w:rPr>
      </w:pPr>
      <w:r w:rsidRPr="00A14BD7">
        <w:rPr>
          <w:rFonts w:ascii="Arial" w:hAnsi="Arial" w:cs="Arial"/>
          <w:b/>
          <w:sz w:val="20"/>
          <w:szCs w:val="20"/>
          <w:lang w:val="en-GB"/>
        </w:rPr>
        <w:t>DM01</w:t>
      </w:r>
    </w:p>
    <w:p w14:paraId="21EA87BD" w14:textId="77777777" w:rsidR="00A14BD7" w:rsidRPr="00A14BD7" w:rsidRDefault="00A14BD7" w:rsidP="00A14BD7">
      <w:pPr>
        <w:jc w:val="both"/>
        <w:rPr>
          <w:rFonts w:ascii="Arial" w:hAnsi="Arial" w:cs="Arial"/>
          <w:sz w:val="20"/>
          <w:szCs w:val="20"/>
          <w:lang w:val="en-GB"/>
        </w:rPr>
      </w:pPr>
      <w:r w:rsidRPr="00A14BD7">
        <w:rPr>
          <w:rFonts w:ascii="Arial" w:hAnsi="Arial" w:cs="Arial"/>
          <w:sz w:val="20"/>
          <w:szCs w:val="20"/>
          <w:lang w:val="en-GB"/>
        </w:rPr>
        <w:t>The Trusts performance against the Diagnostic Waiting Times and Activity standard (DM01) improved significantly and ended the year at 91.1% this is a 30% improvement from the M1 position.</w:t>
      </w:r>
      <w:r>
        <w:rPr>
          <w:rFonts w:ascii="Arial" w:hAnsi="Arial" w:cs="Arial"/>
          <w:sz w:val="20"/>
          <w:szCs w:val="20"/>
          <w:lang w:val="en-GB"/>
        </w:rPr>
        <w:t xml:space="preserve">  </w:t>
      </w:r>
      <w:r w:rsidRPr="00A14BD7">
        <w:rPr>
          <w:rFonts w:ascii="Arial" w:hAnsi="Arial" w:cs="Arial"/>
          <w:sz w:val="20"/>
          <w:szCs w:val="20"/>
          <w:lang w:val="en-GB"/>
        </w:rPr>
        <w:t>Although factors such as poor capacity within Endoscopy and overall capacity versus demand has impacted negatively on the DMO1</w:t>
      </w:r>
      <w:r>
        <w:rPr>
          <w:rFonts w:ascii="Arial" w:hAnsi="Arial" w:cs="Arial"/>
          <w:sz w:val="20"/>
          <w:szCs w:val="20"/>
          <w:lang w:val="en-GB"/>
        </w:rPr>
        <w:t>.  T</w:t>
      </w:r>
      <w:r w:rsidRPr="00A14BD7">
        <w:rPr>
          <w:rFonts w:ascii="Arial" w:hAnsi="Arial" w:cs="Arial"/>
          <w:sz w:val="20"/>
          <w:szCs w:val="20"/>
          <w:lang w:val="en-GB"/>
        </w:rPr>
        <w:t>he principal reason is a significant increase in demand for diagnostic modalities including Echocardiography, Endoscopy and MRI.  The Trust continues to utilise support from the independent sector and mutual aid from other NHS Trusts to support the improvement plans for DM01.</w:t>
      </w:r>
    </w:p>
    <w:p w14:paraId="3D662870" w14:textId="77777777" w:rsidR="00A14BD7" w:rsidRPr="00A14BD7" w:rsidRDefault="00A14BD7" w:rsidP="00A14BD7">
      <w:pPr>
        <w:jc w:val="both"/>
        <w:rPr>
          <w:rFonts w:ascii="Arial" w:hAnsi="Arial" w:cs="Arial"/>
          <w:sz w:val="20"/>
          <w:szCs w:val="20"/>
          <w:lang w:val="en-GB"/>
        </w:rPr>
      </w:pPr>
      <w:r w:rsidRPr="00A14BD7">
        <w:rPr>
          <w:rFonts w:ascii="Arial" w:hAnsi="Arial" w:cs="Arial"/>
          <w:sz w:val="20"/>
          <w:szCs w:val="20"/>
          <w:lang w:val="en-GB"/>
        </w:rPr>
        <w:t xml:space="preserve"> </w:t>
      </w:r>
    </w:p>
    <w:p w14:paraId="132A352B" w14:textId="77777777" w:rsidR="00A14BD7" w:rsidRPr="00A14BD7" w:rsidRDefault="00A14BD7" w:rsidP="00A14BD7">
      <w:pPr>
        <w:jc w:val="both"/>
        <w:rPr>
          <w:rFonts w:ascii="Arial" w:hAnsi="Arial" w:cs="Arial"/>
          <w:b/>
          <w:sz w:val="20"/>
          <w:szCs w:val="20"/>
          <w:lang w:val="en-GB"/>
        </w:rPr>
      </w:pPr>
      <w:r w:rsidRPr="00A14BD7">
        <w:rPr>
          <w:rFonts w:ascii="Arial" w:hAnsi="Arial" w:cs="Arial"/>
          <w:b/>
          <w:sz w:val="20"/>
          <w:szCs w:val="20"/>
          <w:lang w:val="en-GB"/>
        </w:rPr>
        <w:t xml:space="preserve">Cancer </w:t>
      </w:r>
    </w:p>
    <w:p w14:paraId="55467C59" w14:textId="77777777" w:rsidR="00A14BD7" w:rsidRPr="00A14BD7" w:rsidRDefault="00A14BD7" w:rsidP="00A14BD7">
      <w:pPr>
        <w:jc w:val="both"/>
        <w:rPr>
          <w:rFonts w:ascii="Arial" w:hAnsi="Arial" w:cs="Arial"/>
          <w:sz w:val="20"/>
          <w:szCs w:val="20"/>
          <w:u w:val="single"/>
          <w:lang w:val="en-GB"/>
        </w:rPr>
      </w:pPr>
      <w:r w:rsidRPr="00A14BD7">
        <w:rPr>
          <w:rFonts w:ascii="Arial" w:hAnsi="Arial" w:cs="Arial"/>
          <w:sz w:val="20"/>
          <w:szCs w:val="20"/>
          <w:u w:val="single"/>
          <w:lang w:val="en-GB"/>
        </w:rPr>
        <w:t>2024/25 Cancer Waiting Times Performance</w:t>
      </w:r>
    </w:p>
    <w:p w14:paraId="0C1D5859" w14:textId="77777777" w:rsidR="00A14BD7" w:rsidRDefault="00A14BD7" w:rsidP="00A14BD7">
      <w:pPr>
        <w:jc w:val="both"/>
        <w:rPr>
          <w:rFonts w:ascii="Arial" w:hAnsi="Arial" w:cs="Arial"/>
          <w:sz w:val="20"/>
          <w:szCs w:val="20"/>
          <w:lang w:val="en-GB"/>
        </w:rPr>
      </w:pPr>
      <w:r w:rsidRPr="00A14BD7">
        <w:rPr>
          <w:rFonts w:ascii="Arial" w:hAnsi="Arial" w:cs="Arial"/>
          <w:sz w:val="20"/>
          <w:szCs w:val="20"/>
          <w:lang w:val="en-GB"/>
        </w:rPr>
        <w:t>The Trust</w:t>
      </w:r>
      <w:r>
        <w:rPr>
          <w:rFonts w:ascii="Arial" w:hAnsi="Arial" w:cs="Arial"/>
          <w:sz w:val="20"/>
          <w:szCs w:val="20"/>
          <w:lang w:val="en-GB"/>
        </w:rPr>
        <w:t>s</w:t>
      </w:r>
      <w:r w:rsidRPr="00A14BD7">
        <w:rPr>
          <w:rFonts w:ascii="Arial" w:hAnsi="Arial" w:cs="Arial"/>
          <w:sz w:val="20"/>
          <w:szCs w:val="20"/>
          <w:lang w:val="en-GB"/>
        </w:rPr>
        <w:t xml:space="preserve"> performance against the 28-day standard ended the year below the standard for 75% ending the year at 68.5% which is a slight improvement against the March 2023/24 position.</w:t>
      </w:r>
      <w:r>
        <w:rPr>
          <w:rFonts w:ascii="Arial" w:hAnsi="Arial" w:cs="Arial"/>
          <w:sz w:val="20"/>
          <w:szCs w:val="20"/>
          <w:lang w:val="en-GB"/>
        </w:rPr>
        <w:t xml:space="preserve">  </w:t>
      </w:r>
      <w:r w:rsidRPr="00A14BD7">
        <w:rPr>
          <w:rFonts w:ascii="Arial" w:hAnsi="Arial" w:cs="Arial"/>
          <w:sz w:val="20"/>
          <w:szCs w:val="20"/>
          <w:lang w:val="en-GB"/>
        </w:rPr>
        <w:t>The top contributing factor was low capacity within Endoscopy which resulted in lower performance within both upper and lower gastrointestinal (GI) tumour sites and capacity within Breast services.</w:t>
      </w:r>
      <w:r>
        <w:rPr>
          <w:rFonts w:ascii="Arial" w:hAnsi="Arial" w:cs="Arial"/>
          <w:sz w:val="20"/>
          <w:szCs w:val="20"/>
          <w:lang w:val="en-GB"/>
        </w:rPr>
        <w:t xml:space="preserve">  </w:t>
      </w:r>
      <w:r w:rsidRPr="00A14BD7">
        <w:rPr>
          <w:rFonts w:ascii="Arial" w:hAnsi="Arial" w:cs="Arial"/>
          <w:sz w:val="20"/>
          <w:szCs w:val="20"/>
          <w:lang w:val="en-GB"/>
        </w:rPr>
        <w:t xml:space="preserve">The Trust continues to develop and increase cancer nursing support for the initial 28 days of the pathway to decrease waiting times for initial appointment and diagnostic requests. </w:t>
      </w:r>
    </w:p>
    <w:p w14:paraId="5CD30507" w14:textId="77777777" w:rsidR="00A14BD7" w:rsidRPr="00A14BD7" w:rsidRDefault="00A14BD7" w:rsidP="00A14BD7">
      <w:pPr>
        <w:jc w:val="both"/>
        <w:rPr>
          <w:rFonts w:ascii="Arial" w:hAnsi="Arial" w:cs="Arial"/>
          <w:sz w:val="20"/>
          <w:szCs w:val="20"/>
          <w:lang w:val="en-GB"/>
        </w:rPr>
      </w:pPr>
    </w:p>
    <w:p w14:paraId="2674CE50" w14:textId="77777777" w:rsidR="00A14BD7" w:rsidRDefault="00A14BD7" w:rsidP="00A14BD7">
      <w:pPr>
        <w:jc w:val="both"/>
        <w:rPr>
          <w:rFonts w:ascii="Arial" w:hAnsi="Arial" w:cs="Arial"/>
          <w:sz w:val="20"/>
          <w:szCs w:val="20"/>
          <w:lang w:val="en-GB"/>
        </w:rPr>
      </w:pPr>
      <w:r w:rsidRPr="00A14BD7">
        <w:rPr>
          <w:rFonts w:ascii="Arial" w:hAnsi="Arial" w:cs="Arial"/>
          <w:sz w:val="20"/>
          <w:szCs w:val="20"/>
          <w:lang w:val="en-GB"/>
        </w:rPr>
        <w:t>The Trust has consistently met the 96% operational standard for 31-day for the full 12 months.</w:t>
      </w:r>
      <w:r>
        <w:rPr>
          <w:rFonts w:ascii="Arial" w:hAnsi="Arial" w:cs="Arial"/>
          <w:sz w:val="20"/>
          <w:szCs w:val="20"/>
          <w:lang w:val="en-GB"/>
        </w:rPr>
        <w:t xml:space="preserve">  </w:t>
      </w:r>
      <w:r w:rsidRPr="00A14BD7">
        <w:rPr>
          <w:rFonts w:ascii="Arial" w:hAnsi="Arial" w:cs="Arial"/>
          <w:sz w:val="20"/>
          <w:szCs w:val="20"/>
          <w:lang w:val="en-GB"/>
        </w:rPr>
        <w:t>Patients with a confirmed diagnosis of cancer are treated with the urgency required to ensure the Trust remains compliant against this Key Performance Indicator (KPI).</w:t>
      </w:r>
    </w:p>
    <w:p w14:paraId="6A1B94B3" w14:textId="77777777" w:rsidR="00A14BD7" w:rsidRPr="00A14BD7" w:rsidRDefault="00A14BD7" w:rsidP="00A14BD7">
      <w:pPr>
        <w:jc w:val="both"/>
        <w:rPr>
          <w:rFonts w:ascii="Arial" w:hAnsi="Arial" w:cs="Arial"/>
          <w:sz w:val="20"/>
          <w:szCs w:val="20"/>
          <w:lang w:val="en-GB"/>
        </w:rPr>
      </w:pPr>
    </w:p>
    <w:p w14:paraId="3F24755D" w14:textId="77777777" w:rsidR="00A14BD7" w:rsidRDefault="00A14BD7" w:rsidP="00A14BD7">
      <w:pPr>
        <w:jc w:val="both"/>
        <w:rPr>
          <w:rFonts w:ascii="Arial" w:hAnsi="Arial" w:cs="Arial"/>
          <w:sz w:val="20"/>
          <w:szCs w:val="20"/>
          <w:lang w:val="en-GB"/>
        </w:rPr>
      </w:pPr>
      <w:r w:rsidRPr="00A14BD7">
        <w:rPr>
          <w:rFonts w:ascii="Arial" w:hAnsi="Arial" w:cs="Arial"/>
          <w:sz w:val="20"/>
          <w:szCs w:val="20"/>
          <w:lang w:val="en-GB"/>
        </w:rPr>
        <w:t xml:space="preserve">The Trust was non-compliant in </w:t>
      </w:r>
      <w:r>
        <w:rPr>
          <w:rFonts w:ascii="Arial" w:hAnsi="Arial" w:cs="Arial"/>
          <w:sz w:val="20"/>
          <w:szCs w:val="20"/>
          <w:lang w:val="en-GB"/>
        </w:rPr>
        <w:t>one</w:t>
      </w:r>
      <w:r w:rsidRPr="00A14BD7">
        <w:rPr>
          <w:rFonts w:ascii="Arial" w:hAnsi="Arial" w:cs="Arial"/>
          <w:sz w:val="20"/>
          <w:szCs w:val="20"/>
          <w:lang w:val="en-GB"/>
        </w:rPr>
        <w:t xml:space="preserve"> of the twelve months with the 94% operational standard for 31-day subsequent treatment (surgery) and ended the year at 100% compared to only being compliant 5/12 in </w:t>
      </w:r>
      <w:r>
        <w:rPr>
          <w:rFonts w:ascii="Arial" w:hAnsi="Arial" w:cs="Arial"/>
          <w:sz w:val="20"/>
          <w:szCs w:val="20"/>
          <w:lang w:val="en-GB"/>
        </w:rPr>
        <w:t>20</w:t>
      </w:r>
      <w:r w:rsidRPr="00A14BD7">
        <w:rPr>
          <w:rFonts w:ascii="Arial" w:hAnsi="Arial" w:cs="Arial"/>
          <w:sz w:val="20"/>
          <w:szCs w:val="20"/>
          <w:lang w:val="en-GB"/>
        </w:rPr>
        <w:t>23/24.</w:t>
      </w:r>
      <w:r>
        <w:rPr>
          <w:rFonts w:ascii="Arial" w:hAnsi="Arial" w:cs="Arial"/>
          <w:sz w:val="20"/>
          <w:szCs w:val="20"/>
          <w:lang w:val="en-GB"/>
        </w:rPr>
        <w:t xml:space="preserve">  </w:t>
      </w:r>
      <w:r w:rsidRPr="00A14BD7">
        <w:rPr>
          <w:rFonts w:ascii="Arial" w:hAnsi="Arial" w:cs="Arial"/>
          <w:sz w:val="20"/>
          <w:szCs w:val="20"/>
          <w:lang w:val="en-GB"/>
        </w:rPr>
        <w:t xml:space="preserve">This was achieved by continuing to work closely with the theatre and surgery teams to ensure that there was adequate capacity to prioritise treatments for patients with cancer.  </w:t>
      </w:r>
    </w:p>
    <w:p w14:paraId="74B73E8F" w14:textId="77777777" w:rsidR="00A14BD7" w:rsidRPr="00A14BD7" w:rsidRDefault="00A14BD7" w:rsidP="00A14BD7">
      <w:pPr>
        <w:jc w:val="both"/>
        <w:rPr>
          <w:rFonts w:ascii="Arial" w:hAnsi="Arial" w:cs="Arial"/>
          <w:sz w:val="20"/>
          <w:szCs w:val="20"/>
          <w:lang w:val="en-GB"/>
        </w:rPr>
      </w:pPr>
    </w:p>
    <w:p w14:paraId="34E7E29F" w14:textId="77777777" w:rsidR="00A14BD7" w:rsidRDefault="00A14BD7" w:rsidP="00A14BD7">
      <w:pPr>
        <w:jc w:val="both"/>
        <w:rPr>
          <w:rFonts w:ascii="Arial" w:hAnsi="Arial" w:cs="Arial"/>
          <w:sz w:val="20"/>
          <w:szCs w:val="20"/>
          <w:lang w:val="en-GB"/>
        </w:rPr>
      </w:pPr>
      <w:r w:rsidRPr="00A14BD7">
        <w:rPr>
          <w:rFonts w:ascii="Arial" w:hAnsi="Arial" w:cs="Arial"/>
          <w:sz w:val="20"/>
          <w:szCs w:val="20"/>
          <w:lang w:val="en-GB"/>
        </w:rPr>
        <w:t>The Trust was compliant with the 98% operational standard 31-day waits for subsequent treatment (drug treatment) in nine out of 12 months.</w:t>
      </w:r>
      <w:r>
        <w:rPr>
          <w:rFonts w:ascii="Arial" w:hAnsi="Arial" w:cs="Arial"/>
          <w:sz w:val="20"/>
          <w:szCs w:val="20"/>
          <w:lang w:val="en-GB"/>
        </w:rPr>
        <w:t xml:space="preserve">  </w:t>
      </w:r>
      <w:r w:rsidRPr="00A14BD7">
        <w:rPr>
          <w:rFonts w:ascii="Arial" w:hAnsi="Arial" w:cs="Arial"/>
          <w:sz w:val="20"/>
          <w:szCs w:val="20"/>
          <w:lang w:val="en-GB"/>
        </w:rPr>
        <w:t xml:space="preserve">This represents a huge improvement in performance from the previous year.   </w:t>
      </w:r>
    </w:p>
    <w:p w14:paraId="3EEDAC2D" w14:textId="77777777" w:rsidR="00A14BD7" w:rsidRPr="00A14BD7" w:rsidRDefault="00A14BD7" w:rsidP="00A14BD7">
      <w:pPr>
        <w:jc w:val="both"/>
        <w:rPr>
          <w:rFonts w:ascii="Arial" w:hAnsi="Arial" w:cs="Arial"/>
          <w:sz w:val="20"/>
          <w:szCs w:val="20"/>
          <w:lang w:val="en-GB"/>
        </w:rPr>
      </w:pPr>
    </w:p>
    <w:p w14:paraId="3EF31FF3" w14:textId="0CEE037E" w:rsidR="00A14BD7" w:rsidRDefault="00A14BD7" w:rsidP="00A14BD7">
      <w:pPr>
        <w:jc w:val="both"/>
        <w:rPr>
          <w:rFonts w:ascii="Arial" w:hAnsi="Arial" w:cs="Arial"/>
          <w:sz w:val="20"/>
          <w:szCs w:val="20"/>
          <w:lang w:val="en-GB"/>
        </w:rPr>
      </w:pPr>
      <w:r w:rsidRPr="00A14BD7">
        <w:rPr>
          <w:rFonts w:ascii="Arial" w:hAnsi="Arial" w:cs="Arial"/>
          <w:sz w:val="20"/>
          <w:szCs w:val="20"/>
          <w:lang w:val="en-GB"/>
        </w:rPr>
        <w:t xml:space="preserve">The Trust ended the year with a performance of 68.4% against a target of 85% for 62 day waits from urgent GP referrals.  This performance was largely driven by the challenges faced within the Breast, Upper GI and Lower GI tumour sites to achieve the 28-day performance which lead to delays in the pathway.  </w:t>
      </w:r>
    </w:p>
    <w:p w14:paraId="2208B757" w14:textId="77777777" w:rsidR="00BA7324" w:rsidRPr="00A14BD7" w:rsidRDefault="00BA7324" w:rsidP="00A14BD7">
      <w:pPr>
        <w:jc w:val="both"/>
        <w:rPr>
          <w:rFonts w:ascii="Arial" w:hAnsi="Arial" w:cs="Arial"/>
          <w:sz w:val="20"/>
          <w:szCs w:val="20"/>
          <w:lang w:val="en-GB"/>
        </w:rPr>
      </w:pPr>
    </w:p>
    <w:p w14:paraId="101D92CF" w14:textId="77777777" w:rsidR="00A14BD7" w:rsidRPr="00A14BD7" w:rsidRDefault="00A14BD7" w:rsidP="00A14BD7">
      <w:pPr>
        <w:jc w:val="both"/>
        <w:rPr>
          <w:rFonts w:ascii="Arial" w:hAnsi="Arial" w:cs="Arial"/>
          <w:b/>
          <w:sz w:val="20"/>
          <w:szCs w:val="20"/>
          <w:lang w:val="en-GB"/>
        </w:rPr>
      </w:pPr>
      <w:r w:rsidRPr="00A14BD7">
        <w:rPr>
          <w:rFonts w:ascii="Arial" w:hAnsi="Arial" w:cs="Arial"/>
          <w:b/>
          <w:sz w:val="20"/>
          <w:szCs w:val="20"/>
          <w:lang w:val="en-GB"/>
        </w:rPr>
        <w:t xml:space="preserve">Emergency Care Standard </w:t>
      </w:r>
    </w:p>
    <w:p w14:paraId="5995C765" w14:textId="77777777" w:rsidR="00A14BD7" w:rsidRPr="00A14BD7" w:rsidRDefault="00A14BD7" w:rsidP="00A14BD7">
      <w:pPr>
        <w:jc w:val="both"/>
        <w:rPr>
          <w:rFonts w:ascii="Arial" w:hAnsi="Arial" w:cs="Arial"/>
          <w:sz w:val="20"/>
          <w:szCs w:val="20"/>
          <w:lang w:val="en-GB"/>
        </w:rPr>
      </w:pPr>
      <w:r w:rsidRPr="00A14BD7">
        <w:rPr>
          <w:rFonts w:ascii="Arial" w:hAnsi="Arial" w:cs="Arial"/>
          <w:sz w:val="20"/>
          <w:szCs w:val="20"/>
          <w:lang w:val="en-GB"/>
        </w:rPr>
        <w:t>The year 2024/25 saw levels of attendance remain high, with a difficult and challenging winter season, of high attendances.</w:t>
      </w:r>
      <w:r>
        <w:rPr>
          <w:rFonts w:ascii="Arial" w:hAnsi="Arial" w:cs="Arial"/>
          <w:sz w:val="20"/>
          <w:szCs w:val="20"/>
          <w:lang w:val="en-GB"/>
        </w:rPr>
        <w:t xml:space="preserve">  </w:t>
      </w:r>
      <w:r w:rsidRPr="00A14BD7">
        <w:rPr>
          <w:rFonts w:ascii="Arial" w:hAnsi="Arial" w:cs="Arial"/>
          <w:sz w:val="20"/>
          <w:szCs w:val="20"/>
          <w:lang w:val="en-GB"/>
        </w:rPr>
        <w:t>The Emergency Department (ED) team has continued to drive forward with improvements to patient care, safety and delivering gold standard.</w:t>
      </w:r>
      <w:r>
        <w:rPr>
          <w:rFonts w:ascii="Arial" w:hAnsi="Arial" w:cs="Arial"/>
          <w:sz w:val="20"/>
          <w:szCs w:val="20"/>
          <w:lang w:val="en-GB"/>
        </w:rPr>
        <w:t xml:space="preserve">  </w:t>
      </w:r>
      <w:r w:rsidRPr="00A14BD7">
        <w:rPr>
          <w:rFonts w:ascii="Arial" w:hAnsi="Arial" w:cs="Arial"/>
          <w:sz w:val="20"/>
          <w:szCs w:val="20"/>
          <w:lang w:val="en-GB"/>
        </w:rPr>
        <w:t>There have been fantastic achievements within ED, these include:</w:t>
      </w:r>
    </w:p>
    <w:p w14:paraId="620F505F" w14:textId="77777777" w:rsidR="00A14BD7" w:rsidRPr="00A14BD7" w:rsidRDefault="00A14BD7" w:rsidP="00A14BD7">
      <w:pPr>
        <w:jc w:val="both"/>
        <w:rPr>
          <w:rFonts w:ascii="Arial" w:hAnsi="Arial" w:cs="Arial"/>
          <w:sz w:val="20"/>
          <w:szCs w:val="20"/>
          <w:lang w:val="en-GB"/>
        </w:rPr>
      </w:pPr>
      <w:r w:rsidRPr="00A14BD7">
        <w:rPr>
          <w:rFonts w:ascii="Arial" w:hAnsi="Arial" w:cs="Arial"/>
          <w:sz w:val="20"/>
          <w:szCs w:val="20"/>
          <w:lang w:val="en-GB"/>
        </w:rPr>
        <w:t xml:space="preserve"> </w:t>
      </w:r>
    </w:p>
    <w:p w14:paraId="008B2ED2" w14:textId="77777777" w:rsidR="00A14BD7" w:rsidRPr="00A14BD7" w:rsidRDefault="00A14BD7" w:rsidP="00E00F90">
      <w:pPr>
        <w:pStyle w:val="ListParagraph"/>
        <w:numPr>
          <w:ilvl w:val="0"/>
          <w:numId w:val="58"/>
        </w:numPr>
        <w:jc w:val="both"/>
        <w:rPr>
          <w:rFonts w:ascii="Arial" w:hAnsi="Arial" w:cs="Arial"/>
          <w:sz w:val="20"/>
          <w:szCs w:val="20"/>
          <w:lang w:val="en-GB"/>
        </w:rPr>
      </w:pPr>
      <w:r w:rsidRPr="00A14BD7">
        <w:rPr>
          <w:rFonts w:ascii="Arial" w:hAnsi="Arial" w:cs="Arial"/>
          <w:sz w:val="20"/>
          <w:szCs w:val="20"/>
          <w:lang w:val="en-GB"/>
        </w:rPr>
        <w:t xml:space="preserve">Increased utilisation of Same Day Emergency Care (SDEC) and launch of the Acute </w:t>
      </w:r>
      <w:r w:rsidRPr="00A14BD7">
        <w:rPr>
          <w:rFonts w:ascii="Arial" w:hAnsi="Arial" w:cs="Arial"/>
          <w:sz w:val="20"/>
          <w:szCs w:val="20"/>
          <w:lang w:val="en-GB"/>
        </w:rPr>
        <w:lastRenderedPageBreak/>
        <w:t xml:space="preserve">Assessment Model, which has reduced length of stay within ED and decreased admissions into the Trust.  </w:t>
      </w:r>
    </w:p>
    <w:p w14:paraId="768FEDC0" w14:textId="77777777" w:rsidR="00A14BD7" w:rsidRPr="00A14BD7" w:rsidRDefault="00A14BD7" w:rsidP="00E00F90">
      <w:pPr>
        <w:pStyle w:val="ListParagraph"/>
        <w:numPr>
          <w:ilvl w:val="0"/>
          <w:numId w:val="58"/>
        </w:numPr>
        <w:jc w:val="both"/>
        <w:rPr>
          <w:rFonts w:ascii="Arial" w:hAnsi="Arial" w:cs="Arial"/>
          <w:sz w:val="20"/>
          <w:szCs w:val="20"/>
          <w:lang w:val="en-GB"/>
        </w:rPr>
      </w:pPr>
      <w:r w:rsidRPr="00A14BD7">
        <w:rPr>
          <w:rFonts w:ascii="Arial" w:hAnsi="Arial" w:cs="Arial"/>
          <w:sz w:val="20"/>
          <w:szCs w:val="20"/>
          <w:lang w:val="en-GB"/>
        </w:rPr>
        <w:t>Increase in the number of patients who access the right pathways from ED, for example; Surgical and Maternity.</w:t>
      </w:r>
    </w:p>
    <w:p w14:paraId="0AA0D930" w14:textId="77777777" w:rsidR="00A14BD7" w:rsidRPr="00A14BD7" w:rsidRDefault="00A14BD7" w:rsidP="00E00F90">
      <w:pPr>
        <w:pStyle w:val="ListParagraph"/>
        <w:numPr>
          <w:ilvl w:val="0"/>
          <w:numId w:val="58"/>
        </w:numPr>
        <w:jc w:val="both"/>
        <w:rPr>
          <w:rFonts w:ascii="Arial" w:hAnsi="Arial" w:cs="Arial"/>
          <w:sz w:val="20"/>
          <w:szCs w:val="20"/>
          <w:lang w:val="en-GB"/>
        </w:rPr>
      </w:pPr>
      <w:r w:rsidRPr="00A14BD7">
        <w:rPr>
          <w:rFonts w:ascii="Arial" w:hAnsi="Arial" w:cs="Arial"/>
          <w:sz w:val="20"/>
          <w:szCs w:val="20"/>
          <w:lang w:val="en-GB"/>
        </w:rPr>
        <w:t>Achieving the national performance in March 2025</w:t>
      </w:r>
    </w:p>
    <w:p w14:paraId="57B8BDCF" w14:textId="77777777" w:rsidR="00A14BD7" w:rsidRPr="00A14BD7" w:rsidRDefault="00A14BD7" w:rsidP="00E00F90">
      <w:pPr>
        <w:pStyle w:val="ListParagraph"/>
        <w:numPr>
          <w:ilvl w:val="0"/>
          <w:numId w:val="58"/>
        </w:numPr>
        <w:jc w:val="both"/>
        <w:rPr>
          <w:rFonts w:ascii="Arial" w:hAnsi="Arial" w:cs="Arial"/>
          <w:sz w:val="20"/>
          <w:szCs w:val="20"/>
          <w:lang w:val="en-GB"/>
        </w:rPr>
      </w:pPr>
      <w:r w:rsidRPr="00A14BD7">
        <w:rPr>
          <w:rFonts w:ascii="Arial" w:hAnsi="Arial" w:cs="Arial"/>
          <w:sz w:val="20"/>
          <w:szCs w:val="20"/>
          <w:lang w:val="en-GB"/>
        </w:rPr>
        <w:t>Maintained ambulance handover performance as a leading Trust in the country.</w:t>
      </w:r>
    </w:p>
    <w:p w14:paraId="655690F4" w14:textId="77777777" w:rsidR="00A14BD7" w:rsidRPr="00A14BD7" w:rsidRDefault="00A14BD7" w:rsidP="00E00F90">
      <w:pPr>
        <w:pStyle w:val="ListParagraph"/>
        <w:numPr>
          <w:ilvl w:val="0"/>
          <w:numId w:val="58"/>
        </w:numPr>
        <w:jc w:val="both"/>
        <w:rPr>
          <w:rFonts w:ascii="Arial" w:hAnsi="Arial" w:cs="Arial"/>
          <w:sz w:val="20"/>
          <w:szCs w:val="20"/>
          <w:lang w:val="en-GB"/>
        </w:rPr>
      </w:pPr>
      <w:r w:rsidRPr="00A14BD7">
        <w:rPr>
          <w:rFonts w:ascii="Arial" w:hAnsi="Arial" w:cs="Arial"/>
          <w:sz w:val="20"/>
          <w:szCs w:val="20"/>
          <w:lang w:val="en-GB"/>
        </w:rPr>
        <w:t xml:space="preserve">Reduction of length of stay in many specialties to support Emergency Care patient flow.  </w:t>
      </w:r>
    </w:p>
    <w:p w14:paraId="4503C9EA" w14:textId="77777777" w:rsidR="00A14BD7" w:rsidRPr="00A14BD7" w:rsidRDefault="00A14BD7" w:rsidP="00E00F90">
      <w:pPr>
        <w:pStyle w:val="ListParagraph"/>
        <w:numPr>
          <w:ilvl w:val="0"/>
          <w:numId w:val="58"/>
        </w:numPr>
        <w:jc w:val="both"/>
        <w:rPr>
          <w:rFonts w:ascii="Arial" w:hAnsi="Arial" w:cs="Arial"/>
          <w:sz w:val="20"/>
          <w:szCs w:val="20"/>
          <w:lang w:val="en-GB"/>
        </w:rPr>
      </w:pPr>
      <w:r w:rsidRPr="00A14BD7">
        <w:rPr>
          <w:rFonts w:ascii="Arial" w:hAnsi="Arial" w:cs="Arial"/>
          <w:sz w:val="20"/>
          <w:szCs w:val="20"/>
          <w:lang w:val="en-GB"/>
        </w:rPr>
        <w:t xml:space="preserve">Reduced the time an inpatient bed is empty between patients by half, improving access to beds for patients in the ED.  </w:t>
      </w:r>
    </w:p>
    <w:p w14:paraId="3D65F7B7" w14:textId="77777777" w:rsidR="00A14BD7" w:rsidRPr="00A14BD7" w:rsidRDefault="00A14BD7" w:rsidP="00E00F90">
      <w:pPr>
        <w:pStyle w:val="ListParagraph"/>
        <w:numPr>
          <w:ilvl w:val="0"/>
          <w:numId w:val="58"/>
        </w:numPr>
        <w:jc w:val="both"/>
        <w:rPr>
          <w:rFonts w:ascii="Arial" w:hAnsi="Arial" w:cs="Arial"/>
          <w:sz w:val="20"/>
          <w:szCs w:val="20"/>
          <w:lang w:val="en-GB"/>
        </w:rPr>
      </w:pPr>
      <w:r w:rsidRPr="00A14BD7">
        <w:rPr>
          <w:rFonts w:ascii="Arial" w:hAnsi="Arial" w:cs="Arial"/>
          <w:sz w:val="20"/>
          <w:szCs w:val="20"/>
          <w:lang w:val="en-GB"/>
        </w:rPr>
        <w:t>Reduced ED presentations by people awaiting elective care</w:t>
      </w:r>
    </w:p>
    <w:p w14:paraId="0BDCFBEE" w14:textId="77777777" w:rsidR="00A14BD7" w:rsidRPr="00A14BD7" w:rsidRDefault="00A14BD7" w:rsidP="00E00F90">
      <w:pPr>
        <w:pStyle w:val="ListParagraph"/>
        <w:numPr>
          <w:ilvl w:val="0"/>
          <w:numId w:val="58"/>
        </w:numPr>
        <w:jc w:val="both"/>
        <w:rPr>
          <w:rFonts w:ascii="Arial" w:hAnsi="Arial" w:cs="Arial"/>
          <w:sz w:val="20"/>
          <w:szCs w:val="20"/>
          <w:lang w:val="en-GB"/>
        </w:rPr>
      </w:pPr>
      <w:r w:rsidRPr="00A14BD7">
        <w:rPr>
          <w:rFonts w:ascii="Arial" w:hAnsi="Arial" w:cs="Arial"/>
          <w:sz w:val="20"/>
          <w:szCs w:val="20"/>
          <w:lang w:val="en-GB"/>
        </w:rPr>
        <w:t xml:space="preserve">Reduced the percentage of patients waiting &gt;12hrs LOS in ED 13.2% to 11.2% in March 2025 </w:t>
      </w:r>
    </w:p>
    <w:p w14:paraId="37B981C6" w14:textId="77777777" w:rsidR="00A14BD7" w:rsidRPr="00A14BD7" w:rsidRDefault="00A14BD7" w:rsidP="00A14BD7">
      <w:pPr>
        <w:jc w:val="both"/>
        <w:rPr>
          <w:rFonts w:ascii="Arial" w:hAnsi="Arial" w:cs="Arial"/>
          <w:sz w:val="20"/>
          <w:szCs w:val="20"/>
          <w:lang w:val="en-GB"/>
        </w:rPr>
      </w:pPr>
    </w:p>
    <w:p w14:paraId="62B45821" w14:textId="77777777" w:rsidR="00A14BD7" w:rsidRPr="00A14BD7" w:rsidRDefault="00A14BD7" w:rsidP="00A14BD7">
      <w:pPr>
        <w:jc w:val="both"/>
        <w:rPr>
          <w:rFonts w:ascii="Arial" w:hAnsi="Arial" w:cs="Arial"/>
          <w:sz w:val="20"/>
          <w:szCs w:val="20"/>
          <w:lang w:val="en-GB"/>
        </w:rPr>
      </w:pPr>
      <w:r w:rsidRPr="00A14BD7">
        <w:rPr>
          <w:rFonts w:ascii="Arial" w:hAnsi="Arial" w:cs="Arial"/>
          <w:sz w:val="20"/>
          <w:szCs w:val="20"/>
          <w:lang w:val="en-GB"/>
        </w:rPr>
        <w:t xml:space="preserve">The Trusts dedicated, clinically-led Patient First programme gives the tools and the confidence that the Trust will deliver the required improvements in quality, performance and patient and staff experience. </w:t>
      </w:r>
    </w:p>
    <w:p w14:paraId="3BA5C39A" w14:textId="77777777" w:rsidR="00BF0A36" w:rsidRPr="00436984" w:rsidRDefault="00BF0A36" w:rsidP="004F2DCD">
      <w:pPr>
        <w:jc w:val="both"/>
        <w:rPr>
          <w:rFonts w:ascii="Arial" w:hAnsi="Arial" w:cs="Arial"/>
          <w:sz w:val="20"/>
          <w:szCs w:val="20"/>
          <w:lang w:val="en-GB"/>
        </w:rPr>
      </w:pPr>
    </w:p>
    <w:p w14:paraId="614DCE13" w14:textId="77777777" w:rsidR="004A729A" w:rsidRPr="00436984" w:rsidRDefault="004A729A" w:rsidP="004F2DCD">
      <w:pPr>
        <w:jc w:val="both"/>
        <w:rPr>
          <w:rFonts w:ascii="Arial" w:hAnsi="Arial" w:cs="Arial"/>
          <w:sz w:val="20"/>
          <w:szCs w:val="20"/>
          <w:lang w:val="en-GB"/>
        </w:rPr>
      </w:pPr>
    </w:p>
    <w:p w14:paraId="00E794A9" w14:textId="77777777" w:rsidR="004A729A" w:rsidRDefault="004A729A" w:rsidP="004F2DCD">
      <w:pPr>
        <w:jc w:val="both"/>
        <w:rPr>
          <w:rFonts w:ascii="Arial" w:hAnsi="Arial" w:cs="Arial"/>
          <w:sz w:val="20"/>
          <w:szCs w:val="20"/>
          <w:lang w:val="en-GB"/>
        </w:rPr>
      </w:pPr>
    </w:p>
    <w:p w14:paraId="4F3EBE22" w14:textId="77777777" w:rsidR="004A729A" w:rsidRDefault="004A729A" w:rsidP="00010A15">
      <w:pPr>
        <w:rPr>
          <w:rFonts w:ascii="Arial" w:hAnsi="Arial" w:cs="Arial"/>
          <w:sz w:val="20"/>
          <w:szCs w:val="20"/>
          <w:lang w:val="en-GB"/>
        </w:rPr>
      </w:pPr>
    </w:p>
    <w:p w14:paraId="3510F4AC" w14:textId="77777777" w:rsidR="004A729A" w:rsidRDefault="004A729A" w:rsidP="00010A15">
      <w:pPr>
        <w:rPr>
          <w:rFonts w:ascii="Arial" w:hAnsi="Arial" w:cs="Arial"/>
          <w:sz w:val="20"/>
          <w:szCs w:val="20"/>
          <w:lang w:val="en-GB"/>
        </w:rPr>
      </w:pPr>
    </w:p>
    <w:bookmarkEnd w:id="2"/>
    <w:p w14:paraId="66873303" w14:textId="77777777" w:rsidR="004A729A" w:rsidRDefault="004A729A" w:rsidP="00010A15">
      <w:pPr>
        <w:rPr>
          <w:rFonts w:ascii="Arial" w:hAnsi="Arial" w:cs="Arial"/>
          <w:sz w:val="20"/>
          <w:szCs w:val="20"/>
          <w:lang w:val="en-GB"/>
        </w:rPr>
      </w:pPr>
    </w:p>
    <w:p w14:paraId="6BBCF3B2" w14:textId="77777777" w:rsidR="004A729A" w:rsidRDefault="004A729A" w:rsidP="00010A15">
      <w:pPr>
        <w:rPr>
          <w:rFonts w:ascii="Arial" w:hAnsi="Arial" w:cs="Arial"/>
          <w:sz w:val="20"/>
          <w:szCs w:val="20"/>
          <w:lang w:val="en-GB"/>
        </w:rPr>
      </w:pPr>
    </w:p>
    <w:p w14:paraId="4ADDEC4C" w14:textId="77777777" w:rsidR="004A729A" w:rsidRDefault="004A729A" w:rsidP="00010A15">
      <w:pPr>
        <w:rPr>
          <w:rFonts w:ascii="Arial" w:hAnsi="Arial" w:cs="Arial"/>
          <w:sz w:val="20"/>
          <w:szCs w:val="20"/>
          <w:lang w:val="en-GB"/>
        </w:rPr>
      </w:pPr>
    </w:p>
    <w:p w14:paraId="3EBF0A88" w14:textId="77777777" w:rsidR="004A729A" w:rsidRDefault="004A729A" w:rsidP="00010A15">
      <w:pPr>
        <w:rPr>
          <w:rFonts w:ascii="Arial" w:hAnsi="Arial" w:cs="Arial"/>
          <w:sz w:val="20"/>
          <w:szCs w:val="20"/>
          <w:lang w:val="en-GB"/>
        </w:rPr>
      </w:pPr>
    </w:p>
    <w:p w14:paraId="4203E4F7" w14:textId="77777777" w:rsidR="004A729A" w:rsidRDefault="004A729A" w:rsidP="00010A15">
      <w:pPr>
        <w:rPr>
          <w:rFonts w:ascii="Arial" w:hAnsi="Arial" w:cs="Arial"/>
          <w:sz w:val="20"/>
          <w:szCs w:val="20"/>
          <w:lang w:val="en-GB"/>
        </w:rPr>
      </w:pPr>
    </w:p>
    <w:p w14:paraId="2A739E3D" w14:textId="77777777" w:rsidR="004F2DCD" w:rsidRDefault="004F2DCD" w:rsidP="00010A15">
      <w:pPr>
        <w:rPr>
          <w:rFonts w:ascii="Arial" w:hAnsi="Arial" w:cs="Arial"/>
          <w:sz w:val="20"/>
          <w:szCs w:val="20"/>
          <w:lang w:val="en-GB"/>
        </w:rPr>
      </w:pPr>
    </w:p>
    <w:p w14:paraId="308A6114" w14:textId="77777777" w:rsidR="004F2DCD" w:rsidRDefault="004F2DCD" w:rsidP="00010A15">
      <w:pPr>
        <w:rPr>
          <w:rFonts w:ascii="Arial" w:hAnsi="Arial" w:cs="Arial"/>
          <w:sz w:val="20"/>
          <w:szCs w:val="20"/>
          <w:lang w:val="en-GB"/>
        </w:rPr>
      </w:pPr>
    </w:p>
    <w:p w14:paraId="47BB0AB7" w14:textId="77777777" w:rsidR="004F2DCD" w:rsidRDefault="004F2DCD" w:rsidP="00010A15">
      <w:pPr>
        <w:rPr>
          <w:rFonts w:ascii="Arial" w:hAnsi="Arial" w:cs="Arial"/>
          <w:sz w:val="20"/>
          <w:szCs w:val="20"/>
          <w:lang w:val="en-GB"/>
        </w:rPr>
      </w:pPr>
    </w:p>
    <w:p w14:paraId="6D96EF23" w14:textId="77777777" w:rsidR="004F2DCD" w:rsidRDefault="004F2DCD" w:rsidP="00010A15">
      <w:pPr>
        <w:rPr>
          <w:rFonts w:ascii="Arial" w:hAnsi="Arial" w:cs="Arial"/>
          <w:sz w:val="20"/>
          <w:szCs w:val="20"/>
          <w:lang w:val="en-GB"/>
        </w:rPr>
      </w:pPr>
    </w:p>
    <w:p w14:paraId="5260F7B1" w14:textId="77777777" w:rsidR="004F2DCD" w:rsidRDefault="004F2DCD" w:rsidP="00010A15">
      <w:pPr>
        <w:rPr>
          <w:rFonts w:ascii="Arial" w:hAnsi="Arial" w:cs="Arial"/>
          <w:sz w:val="20"/>
          <w:szCs w:val="20"/>
          <w:lang w:val="en-GB"/>
        </w:rPr>
      </w:pPr>
    </w:p>
    <w:p w14:paraId="6D0B2361" w14:textId="77777777" w:rsidR="004F2DCD" w:rsidRDefault="004F2DCD" w:rsidP="00010A15">
      <w:pPr>
        <w:rPr>
          <w:rFonts w:ascii="Arial" w:hAnsi="Arial" w:cs="Arial"/>
          <w:sz w:val="20"/>
          <w:szCs w:val="20"/>
          <w:lang w:val="en-GB"/>
        </w:rPr>
      </w:pPr>
    </w:p>
    <w:p w14:paraId="5F593786" w14:textId="77777777" w:rsidR="004F2DCD" w:rsidRDefault="004F2DCD" w:rsidP="00010A15">
      <w:pPr>
        <w:rPr>
          <w:rFonts w:ascii="Arial" w:hAnsi="Arial" w:cs="Arial"/>
          <w:sz w:val="20"/>
          <w:szCs w:val="20"/>
          <w:lang w:val="en-GB"/>
        </w:rPr>
      </w:pPr>
    </w:p>
    <w:p w14:paraId="7CB3F01C" w14:textId="77777777" w:rsidR="004F2DCD" w:rsidRDefault="004F2DCD" w:rsidP="00010A15">
      <w:pPr>
        <w:rPr>
          <w:rFonts w:ascii="Arial" w:hAnsi="Arial" w:cs="Arial"/>
          <w:sz w:val="20"/>
          <w:szCs w:val="20"/>
          <w:lang w:val="en-GB"/>
        </w:rPr>
      </w:pPr>
    </w:p>
    <w:p w14:paraId="1E0F599C" w14:textId="77777777" w:rsidR="004F2DCD" w:rsidRDefault="004F2DCD" w:rsidP="00010A15">
      <w:pPr>
        <w:rPr>
          <w:rFonts w:ascii="Arial" w:hAnsi="Arial" w:cs="Arial"/>
          <w:sz w:val="20"/>
          <w:szCs w:val="20"/>
          <w:lang w:val="en-GB"/>
        </w:rPr>
      </w:pPr>
    </w:p>
    <w:p w14:paraId="4DED7DD4" w14:textId="77777777" w:rsidR="004F2DCD" w:rsidRDefault="004F2DCD" w:rsidP="00010A15">
      <w:pPr>
        <w:rPr>
          <w:rFonts w:ascii="Arial" w:hAnsi="Arial" w:cs="Arial"/>
          <w:sz w:val="20"/>
          <w:szCs w:val="20"/>
          <w:lang w:val="en-GB"/>
        </w:rPr>
      </w:pPr>
    </w:p>
    <w:p w14:paraId="2B0104C9" w14:textId="77777777" w:rsidR="004F2DCD" w:rsidRDefault="004F2DCD" w:rsidP="00010A15">
      <w:pPr>
        <w:rPr>
          <w:rFonts w:ascii="Arial" w:hAnsi="Arial" w:cs="Arial"/>
          <w:sz w:val="20"/>
          <w:szCs w:val="20"/>
          <w:lang w:val="en-GB"/>
        </w:rPr>
      </w:pPr>
    </w:p>
    <w:p w14:paraId="61215388" w14:textId="77777777" w:rsidR="004F2DCD" w:rsidRDefault="004F2DCD" w:rsidP="00010A15">
      <w:pPr>
        <w:rPr>
          <w:rFonts w:ascii="Arial" w:hAnsi="Arial" w:cs="Arial"/>
          <w:sz w:val="20"/>
          <w:szCs w:val="20"/>
          <w:lang w:val="en-GB"/>
        </w:rPr>
      </w:pPr>
    </w:p>
    <w:p w14:paraId="568E714E" w14:textId="77777777" w:rsidR="004F2DCD" w:rsidRDefault="004F2DCD" w:rsidP="00010A15">
      <w:pPr>
        <w:rPr>
          <w:rFonts w:ascii="Arial" w:hAnsi="Arial" w:cs="Arial"/>
          <w:sz w:val="20"/>
          <w:szCs w:val="20"/>
          <w:lang w:val="en-GB"/>
        </w:rPr>
      </w:pPr>
    </w:p>
    <w:p w14:paraId="319DA291" w14:textId="77777777" w:rsidR="004F2DCD" w:rsidRDefault="004F2DCD" w:rsidP="00010A15">
      <w:pPr>
        <w:rPr>
          <w:rFonts w:ascii="Arial" w:hAnsi="Arial" w:cs="Arial"/>
          <w:sz w:val="20"/>
          <w:szCs w:val="20"/>
          <w:lang w:val="en-GB"/>
        </w:rPr>
      </w:pPr>
    </w:p>
    <w:p w14:paraId="0772575E" w14:textId="77777777" w:rsidR="004F2DCD" w:rsidRDefault="004F2DCD" w:rsidP="00010A15">
      <w:pPr>
        <w:rPr>
          <w:rFonts w:ascii="Arial" w:hAnsi="Arial" w:cs="Arial"/>
          <w:sz w:val="20"/>
          <w:szCs w:val="20"/>
          <w:lang w:val="en-GB"/>
        </w:rPr>
      </w:pPr>
    </w:p>
    <w:p w14:paraId="488E5796" w14:textId="77777777" w:rsidR="004F2DCD" w:rsidRDefault="004F2DCD" w:rsidP="00010A15">
      <w:pPr>
        <w:rPr>
          <w:rFonts w:ascii="Arial" w:hAnsi="Arial" w:cs="Arial"/>
          <w:sz w:val="20"/>
          <w:szCs w:val="20"/>
          <w:lang w:val="en-GB"/>
        </w:rPr>
      </w:pPr>
    </w:p>
    <w:p w14:paraId="17C2F64D" w14:textId="77777777" w:rsidR="004F2DCD" w:rsidRDefault="004F2DCD" w:rsidP="00010A15">
      <w:pPr>
        <w:rPr>
          <w:rFonts w:ascii="Arial" w:hAnsi="Arial" w:cs="Arial"/>
          <w:sz w:val="20"/>
          <w:szCs w:val="20"/>
          <w:lang w:val="en-GB"/>
        </w:rPr>
      </w:pPr>
    </w:p>
    <w:p w14:paraId="2D6FB586" w14:textId="77777777" w:rsidR="004F2DCD" w:rsidRDefault="004F2DCD" w:rsidP="00010A15">
      <w:pPr>
        <w:rPr>
          <w:rFonts w:ascii="Arial" w:hAnsi="Arial" w:cs="Arial"/>
          <w:sz w:val="20"/>
          <w:szCs w:val="20"/>
          <w:lang w:val="en-GB"/>
        </w:rPr>
      </w:pPr>
    </w:p>
    <w:p w14:paraId="3193AF72" w14:textId="77777777" w:rsidR="004F2DCD" w:rsidRDefault="004F2DCD" w:rsidP="00010A15">
      <w:pPr>
        <w:rPr>
          <w:rFonts w:ascii="Arial" w:hAnsi="Arial" w:cs="Arial"/>
          <w:sz w:val="20"/>
          <w:szCs w:val="20"/>
          <w:lang w:val="en-GB"/>
        </w:rPr>
      </w:pPr>
    </w:p>
    <w:p w14:paraId="09BE731F" w14:textId="77777777" w:rsidR="004F2DCD" w:rsidRDefault="004F2DCD" w:rsidP="00010A15">
      <w:pPr>
        <w:rPr>
          <w:rFonts w:ascii="Arial" w:hAnsi="Arial" w:cs="Arial"/>
          <w:sz w:val="20"/>
          <w:szCs w:val="20"/>
          <w:lang w:val="en-GB"/>
        </w:rPr>
      </w:pPr>
    </w:p>
    <w:p w14:paraId="6A532368" w14:textId="77777777" w:rsidR="004F2DCD" w:rsidRDefault="004F2DCD" w:rsidP="00010A15">
      <w:pPr>
        <w:rPr>
          <w:rFonts w:ascii="Arial" w:hAnsi="Arial" w:cs="Arial"/>
          <w:sz w:val="20"/>
          <w:szCs w:val="20"/>
          <w:lang w:val="en-GB"/>
        </w:rPr>
      </w:pPr>
    </w:p>
    <w:p w14:paraId="12824100" w14:textId="77777777" w:rsidR="004F2DCD" w:rsidRDefault="004F2DCD" w:rsidP="00010A15">
      <w:pPr>
        <w:rPr>
          <w:rFonts w:ascii="Arial" w:hAnsi="Arial" w:cs="Arial"/>
          <w:sz w:val="20"/>
          <w:szCs w:val="20"/>
          <w:lang w:val="en-GB"/>
        </w:rPr>
      </w:pPr>
    </w:p>
    <w:p w14:paraId="2A0445EA" w14:textId="4A1D6582" w:rsidR="004F2DCD" w:rsidRDefault="004F2DCD" w:rsidP="00010A15">
      <w:pPr>
        <w:rPr>
          <w:rFonts w:ascii="Arial" w:hAnsi="Arial" w:cs="Arial"/>
          <w:sz w:val="20"/>
          <w:szCs w:val="20"/>
          <w:lang w:val="en-GB"/>
        </w:rPr>
      </w:pPr>
    </w:p>
    <w:p w14:paraId="64CBF907" w14:textId="001D625B" w:rsidR="008859C1" w:rsidRDefault="008859C1" w:rsidP="00010A15">
      <w:pPr>
        <w:rPr>
          <w:rFonts w:ascii="Arial" w:hAnsi="Arial" w:cs="Arial"/>
          <w:sz w:val="20"/>
          <w:szCs w:val="20"/>
          <w:lang w:val="en-GB"/>
        </w:rPr>
      </w:pPr>
    </w:p>
    <w:p w14:paraId="0252E440" w14:textId="77777777" w:rsidR="008859C1" w:rsidRDefault="008859C1" w:rsidP="00010A15">
      <w:pPr>
        <w:rPr>
          <w:rFonts w:ascii="Arial" w:hAnsi="Arial" w:cs="Arial"/>
          <w:sz w:val="20"/>
          <w:szCs w:val="20"/>
          <w:lang w:val="en-GB"/>
        </w:rPr>
      </w:pPr>
    </w:p>
    <w:p w14:paraId="00FADC3B" w14:textId="3A5D9FB7" w:rsidR="004F2DCD" w:rsidRDefault="004F2DCD" w:rsidP="00010A15">
      <w:pPr>
        <w:rPr>
          <w:rFonts w:ascii="Arial" w:hAnsi="Arial" w:cs="Arial"/>
          <w:sz w:val="20"/>
          <w:szCs w:val="20"/>
          <w:lang w:val="en-GB"/>
        </w:rPr>
      </w:pPr>
    </w:p>
    <w:p w14:paraId="34C4FDA2" w14:textId="0442F4A4" w:rsidR="00616288" w:rsidRDefault="00616288" w:rsidP="00010A15">
      <w:pPr>
        <w:rPr>
          <w:rFonts w:ascii="Arial" w:hAnsi="Arial" w:cs="Arial"/>
          <w:sz w:val="20"/>
          <w:szCs w:val="20"/>
          <w:lang w:val="en-GB"/>
        </w:rPr>
      </w:pPr>
    </w:p>
    <w:p w14:paraId="17AFE151" w14:textId="51639A92" w:rsidR="00616288" w:rsidRDefault="00616288" w:rsidP="00010A15">
      <w:pPr>
        <w:rPr>
          <w:rFonts w:ascii="Arial" w:hAnsi="Arial" w:cs="Arial"/>
          <w:sz w:val="20"/>
          <w:szCs w:val="20"/>
          <w:lang w:val="en-GB"/>
        </w:rPr>
      </w:pPr>
    </w:p>
    <w:p w14:paraId="752DAB14" w14:textId="74090883" w:rsidR="00616288" w:rsidRDefault="00616288" w:rsidP="00010A15">
      <w:pPr>
        <w:rPr>
          <w:rFonts w:ascii="Arial" w:hAnsi="Arial" w:cs="Arial"/>
          <w:sz w:val="20"/>
          <w:szCs w:val="20"/>
          <w:lang w:val="en-GB"/>
        </w:rPr>
      </w:pPr>
    </w:p>
    <w:p w14:paraId="19987950" w14:textId="09729EF3" w:rsidR="00616288" w:rsidRDefault="00616288" w:rsidP="00010A15">
      <w:pPr>
        <w:rPr>
          <w:rFonts w:ascii="Arial" w:hAnsi="Arial" w:cs="Arial"/>
          <w:sz w:val="20"/>
          <w:szCs w:val="20"/>
          <w:lang w:val="en-GB"/>
        </w:rPr>
      </w:pPr>
    </w:p>
    <w:p w14:paraId="0D487C30" w14:textId="30D101D9" w:rsidR="00616288" w:rsidRDefault="00616288" w:rsidP="00010A15">
      <w:pPr>
        <w:rPr>
          <w:rFonts w:ascii="Arial" w:hAnsi="Arial" w:cs="Arial"/>
          <w:sz w:val="20"/>
          <w:szCs w:val="20"/>
          <w:lang w:val="en-GB"/>
        </w:rPr>
      </w:pPr>
    </w:p>
    <w:p w14:paraId="5D40B573" w14:textId="167DF1E5" w:rsidR="00616288" w:rsidRDefault="00616288" w:rsidP="00010A15">
      <w:pPr>
        <w:rPr>
          <w:rFonts w:ascii="Arial" w:hAnsi="Arial" w:cs="Arial"/>
          <w:sz w:val="20"/>
          <w:szCs w:val="20"/>
          <w:lang w:val="en-GB"/>
        </w:rPr>
      </w:pPr>
    </w:p>
    <w:p w14:paraId="78B58DFE" w14:textId="77777777" w:rsidR="00616288" w:rsidRDefault="00616288" w:rsidP="00010A15">
      <w:pPr>
        <w:rPr>
          <w:rFonts w:ascii="Arial" w:hAnsi="Arial" w:cs="Arial"/>
          <w:sz w:val="20"/>
          <w:szCs w:val="20"/>
          <w:lang w:val="en-GB"/>
        </w:rPr>
      </w:pPr>
    </w:p>
    <w:p w14:paraId="412A8F4D" w14:textId="18C8614E" w:rsidR="00983279" w:rsidRDefault="00983279" w:rsidP="00010A15">
      <w:pPr>
        <w:rPr>
          <w:rFonts w:ascii="Arial" w:hAnsi="Arial" w:cs="Arial"/>
          <w:sz w:val="20"/>
          <w:szCs w:val="20"/>
          <w:lang w:val="en-GB"/>
        </w:rPr>
      </w:pPr>
    </w:p>
    <w:p w14:paraId="5A49A921" w14:textId="77777777" w:rsidR="00983279" w:rsidRDefault="00983279" w:rsidP="00010A15">
      <w:pPr>
        <w:rPr>
          <w:rFonts w:ascii="Arial" w:hAnsi="Arial" w:cs="Arial"/>
          <w:sz w:val="20"/>
          <w:szCs w:val="20"/>
          <w:lang w:val="en-GB"/>
        </w:rPr>
      </w:pPr>
    </w:p>
    <w:p w14:paraId="32DF7C15" w14:textId="77777777" w:rsidR="004F2DCD" w:rsidRDefault="004F2DCD" w:rsidP="00010A15">
      <w:pPr>
        <w:rPr>
          <w:rFonts w:ascii="Arial" w:hAnsi="Arial" w:cs="Arial"/>
          <w:sz w:val="20"/>
          <w:szCs w:val="20"/>
          <w:lang w:val="en-GB"/>
        </w:rPr>
      </w:pPr>
    </w:p>
    <w:p w14:paraId="139D1170" w14:textId="77777777" w:rsidR="00462482" w:rsidRPr="00A14BD7" w:rsidRDefault="00462482" w:rsidP="00CF0977">
      <w:pPr>
        <w:jc w:val="both"/>
        <w:rPr>
          <w:rFonts w:ascii="Arial" w:hAnsi="Arial" w:cs="Arial"/>
          <w:b/>
          <w:color w:val="FF0000"/>
          <w:sz w:val="20"/>
          <w:szCs w:val="20"/>
          <w:lang w:val="en-GB"/>
        </w:rPr>
      </w:pPr>
      <w:r w:rsidRPr="00A14BD7">
        <w:rPr>
          <w:rFonts w:ascii="Arial" w:hAnsi="Arial" w:cs="Arial"/>
          <w:b/>
          <w:sz w:val="20"/>
          <w:szCs w:val="20"/>
          <w:lang w:val="en-GB"/>
        </w:rPr>
        <w:lastRenderedPageBreak/>
        <w:t>Sustainability Report</w:t>
      </w:r>
      <w:r w:rsidRPr="00A14BD7">
        <w:rPr>
          <w:rFonts w:ascii="Arial" w:hAnsi="Arial" w:cs="Arial"/>
          <w:b/>
          <w:color w:val="FF0000"/>
          <w:sz w:val="20"/>
          <w:szCs w:val="20"/>
          <w:lang w:val="en-GB"/>
        </w:rPr>
        <w:t xml:space="preserve"> </w:t>
      </w:r>
    </w:p>
    <w:p w14:paraId="0BB2BAB3" w14:textId="77777777" w:rsidR="00CF0977" w:rsidRPr="00A14BD7" w:rsidRDefault="00CF0977" w:rsidP="00CF0977">
      <w:pPr>
        <w:jc w:val="both"/>
        <w:rPr>
          <w:rFonts w:ascii="Arial" w:hAnsi="Arial" w:cs="Arial"/>
          <w:sz w:val="20"/>
          <w:szCs w:val="20"/>
          <w:lang w:val="en-GB"/>
        </w:rPr>
      </w:pPr>
    </w:p>
    <w:p w14:paraId="62B123AA" w14:textId="77777777" w:rsidR="00CF0977" w:rsidRPr="00A14BD7" w:rsidRDefault="00CF0977" w:rsidP="00CF0977">
      <w:pPr>
        <w:jc w:val="both"/>
        <w:rPr>
          <w:rFonts w:ascii="Arial" w:hAnsi="Arial" w:cs="Arial"/>
          <w:b/>
          <w:sz w:val="20"/>
          <w:szCs w:val="20"/>
          <w:lang w:val="en-GB"/>
        </w:rPr>
      </w:pPr>
      <w:r w:rsidRPr="00A14BD7">
        <w:rPr>
          <w:rFonts w:ascii="Arial" w:hAnsi="Arial" w:cs="Arial"/>
          <w:b/>
          <w:sz w:val="20"/>
          <w:szCs w:val="20"/>
          <w:lang w:val="en-GB"/>
        </w:rPr>
        <w:t>The Trust’s Carbon Footprint</w:t>
      </w:r>
    </w:p>
    <w:p w14:paraId="40B22B44" w14:textId="77777777" w:rsidR="00CF0977" w:rsidRPr="00A14BD7" w:rsidRDefault="00CF0977" w:rsidP="00CF0977">
      <w:pPr>
        <w:jc w:val="both"/>
        <w:rPr>
          <w:rFonts w:ascii="Arial" w:hAnsi="Arial" w:cs="Arial"/>
          <w:sz w:val="20"/>
          <w:szCs w:val="20"/>
          <w:lang w:val="en-GB"/>
        </w:rPr>
      </w:pPr>
      <w:r w:rsidRPr="00A14BD7">
        <w:rPr>
          <w:rFonts w:ascii="Arial" w:hAnsi="Arial" w:cs="Arial"/>
          <w:sz w:val="20"/>
          <w:szCs w:val="20"/>
          <w:lang w:val="en-GB"/>
        </w:rPr>
        <w:t>At Medway NHS Foundation Trust, we continue to recognise that we are not only part of the NHS but also play an integral role in the local community.</w:t>
      </w:r>
      <w:r w:rsidR="0001752B" w:rsidRPr="00A14BD7">
        <w:rPr>
          <w:rFonts w:ascii="Arial" w:hAnsi="Arial" w:cs="Arial"/>
          <w:sz w:val="20"/>
          <w:szCs w:val="20"/>
          <w:lang w:val="en-GB"/>
        </w:rPr>
        <w:t xml:space="preserve">  </w:t>
      </w:r>
      <w:r w:rsidRPr="00A14BD7">
        <w:rPr>
          <w:rFonts w:ascii="Arial" w:hAnsi="Arial" w:cs="Arial"/>
          <w:sz w:val="20"/>
          <w:szCs w:val="20"/>
          <w:lang w:val="en-GB"/>
        </w:rPr>
        <w:t>Sustainability means spending public money intelligently and responsibly, making efficient use of natural resources, and playing our part in building healthy, resilient communities.  By making the most of social, environmental, and economic assets, we can improve health both in the immediate and long term, even in the context of rising costs of natural resources.</w:t>
      </w:r>
    </w:p>
    <w:p w14:paraId="0E32A8DF" w14:textId="77777777" w:rsidR="00CF0977" w:rsidRPr="00BD39E7" w:rsidRDefault="00CF0977" w:rsidP="00CF0977">
      <w:pPr>
        <w:jc w:val="both"/>
        <w:rPr>
          <w:rFonts w:ascii="Arial" w:hAnsi="Arial" w:cs="Arial"/>
          <w:sz w:val="20"/>
          <w:szCs w:val="20"/>
          <w:lang w:val="en-GB"/>
        </w:rPr>
      </w:pPr>
    </w:p>
    <w:p w14:paraId="48852C55" w14:textId="77777777" w:rsidR="00CF0977" w:rsidRPr="00BD39E7" w:rsidRDefault="00CF0977" w:rsidP="00CF0977">
      <w:pPr>
        <w:jc w:val="both"/>
        <w:rPr>
          <w:rFonts w:ascii="Arial" w:hAnsi="Arial" w:cs="Arial"/>
          <w:b/>
          <w:sz w:val="20"/>
          <w:szCs w:val="20"/>
          <w:lang w:val="en-GB"/>
        </w:rPr>
      </w:pPr>
      <w:r w:rsidRPr="00BD39E7">
        <w:rPr>
          <w:rFonts w:ascii="Arial" w:hAnsi="Arial" w:cs="Arial"/>
          <w:b/>
          <w:sz w:val="20"/>
          <w:szCs w:val="20"/>
          <w:lang w:val="en-GB"/>
        </w:rPr>
        <w:t>Task Force on Climate-Related Financial Disclosures (TCFD)</w:t>
      </w:r>
    </w:p>
    <w:p w14:paraId="380290FF" w14:textId="77777777" w:rsidR="00CF0977" w:rsidRPr="00BD39E7" w:rsidRDefault="00CF0977" w:rsidP="00CF0977">
      <w:pPr>
        <w:jc w:val="both"/>
        <w:rPr>
          <w:rFonts w:ascii="Arial" w:hAnsi="Arial" w:cs="Arial"/>
          <w:sz w:val="20"/>
          <w:szCs w:val="20"/>
          <w:lang w:val="en-GB"/>
        </w:rPr>
      </w:pPr>
      <w:r w:rsidRPr="00BD39E7">
        <w:rPr>
          <w:rFonts w:ascii="Arial" w:hAnsi="Arial" w:cs="Arial"/>
          <w:sz w:val="20"/>
          <w:szCs w:val="20"/>
          <w:lang w:val="en-GB"/>
        </w:rPr>
        <w:t>NHS England’s NHS Foundation Trust Annual Reporting Manual has adopted a phased approach to incorporating the recommended TCFD disclosures as part of the sustainability annual reporting requirements for NHS bodies, from HM Treasury's TCFD-aligned disclosure guidance for public sector annual reports.</w:t>
      </w:r>
      <w:r w:rsidR="00A90DB3" w:rsidRPr="00BD39E7">
        <w:rPr>
          <w:rFonts w:ascii="Arial" w:hAnsi="Arial" w:cs="Arial"/>
          <w:sz w:val="20"/>
          <w:szCs w:val="20"/>
          <w:lang w:val="en-GB"/>
        </w:rPr>
        <w:t xml:space="preserve"> </w:t>
      </w:r>
      <w:r w:rsidRPr="00BD39E7">
        <w:rPr>
          <w:rFonts w:ascii="Arial" w:hAnsi="Arial" w:cs="Arial"/>
          <w:sz w:val="20"/>
          <w:szCs w:val="20"/>
          <w:lang w:val="en-GB"/>
        </w:rPr>
        <w:t xml:space="preserve"> TCFD recommended disclosures, as interpreted and adapted for the public sector by the HM Treasury TCFD-aligned disclosure application guidance, will be implemented in sustainability reporting requirements on a phased basis up to the 2025/26 financial year. </w:t>
      </w:r>
      <w:r w:rsidR="00A90DB3" w:rsidRPr="00BD39E7">
        <w:rPr>
          <w:rFonts w:ascii="Arial" w:hAnsi="Arial" w:cs="Arial"/>
          <w:sz w:val="20"/>
          <w:szCs w:val="20"/>
          <w:lang w:val="en-GB"/>
        </w:rPr>
        <w:t xml:space="preserve"> </w:t>
      </w:r>
      <w:r w:rsidRPr="00BD39E7">
        <w:rPr>
          <w:rFonts w:ascii="Arial" w:hAnsi="Arial" w:cs="Arial"/>
          <w:sz w:val="20"/>
          <w:szCs w:val="20"/>
          <w:lang w:val="en-GB"/>
        </w:rPr>
        <w:t>Local NHS bodies are not required to disclose scope 1, 2, and 3 greenhouse gas emissions under TCFD requirements as these are computed nationally by NHS England.</w:t>
      </w:r>
    </w:p>
    <w:p w14:paraId="5581517D" w14:textId="77777777" w:rsidR="00CF0977" w:rsidRPr="00BD39E7" w:rsidRDefault="00CF0977" w:rsidP="00CF0977">
      <w:pPr>
        <w:jc w:val="both"/>
        <w:rPr>
          <w:rFonts w:ascii="Arial" w:hAnsi="Arial" w:cs="Arial"/>
          <w:sz w:val="20"/>
          <w:szCs w:val="20"/>
          <w:lang w:val="en-GB"/>
        </w:rPr>
      </w:pPr>
    </w:p>
    <w:p w14:paraId="5D2013DB" w14:textId="77777777" w:rsidR="00CF0977" w:rsidRPr="00BD39E7" w:rsidRDefault="00CF0977" w:rsidP="00CF0977">
      <w:pPr>
        <w:jc w:val="both"/>
        <w:rPr>
          <w:rFonts w:ascii="Arial" w:hAnsi="Arial" w:cs="Arial"/>
          <w:sz w:val="20"/>
          <w:szCs w:val="20"/>
          <w:lang w:val="en-GB"/>
        </w:rPr>
      </w:pPr>
      <w:r w:rsidRPr="00BD39E7">
        <w:rPr>
          <w:rFonts w:ascii="Arial" w:hAnsi="Arial" w:cs="Arial"/>
          <w:sz w:val="20"/>
          <w:szCs w:val="20"/>
          <w:lang w:val="en-GB"/>
        </w:rPr>
        <w:t xml:space="preserve">The phased approach incorporates the disclosure requirements of the governance, risk management, and metrics and target pillars for 2024/25. </w:t>
      </w:r>
      <w:r w:rsidR="00A90DB3" w:rsidRPr="00BD39E7">
        <w:rPr>
          <w:rFonts w:ascii="Arial" w:hAnsi="Arial" w:cs="Arial"/>
          <w:sz w:val="20"/>
          <w:szCs w:val="20"/>
          <w:lang w:val="en-GB"/>
        </w:rPr>
        <w:t xml:space="preserve"> </w:t>
      </w:r>
      <w:r w:rsidRPr="00BD39E7">
        <w:rPr>
          <w:rFonts w:ascii="Arial" w:hAnsi="Arial" w:cs="Arial"/>
          <w:sz w:val="20"/>
          <w:szCs w:val="20"/>
          <w:lang w:val="en-GB"/>
        </w:rPr>
        <w:t>These disclosures are provided below with appropriate cross-referencing to relevant information elsewhere in the annual report and accounts and in other external publications.</w:t>
      </w:r>
    </w:p>
    <w:p w14:paraId="32A6A488" w14:textId="77777777" w:rsidR="00CF0977" w:rsidRPr="00BD39E7" w:rsidRDefault="00CF0977" w:rsidP="00CF0977">
      <w:pPr>
        <w:jc w:val="both"/>
        <w:rPr>
          <w:rFonts w:ascii="Arial" w:hAnsi="Arial" w:cs="Arial"/>
          <w:sz w:val="20"/>
          <w:szCs w:val="20"/>
          <w:lang w:val="en-GB"/>
        </w:rPr>
      </w:pPr>
    </w:p>
    <w:p w14:paraId="3E02C56E" w14:textId="77777777" w:rsidR="00CF0977" w:rsidRPr="00BD39E7" w:rsidRDefault="00CF0977" w:rsidP="00CF0977">
      <w:pPr>
        <w:jc w:val="both"/>
        <w:rPr>
          <w:rFonts w:ascii="Arial" w:hAnsi="Arial" w:cs="Arial"/>
          <w:sz w:val="20"/>
          <w:szCs w:val="20"/>
          <w:lang w:val="en-GB"/>
        </w:rPr>
      </w:pPr>
      <w:r w:rsidRPr="00BD39E7">
        <w:rPr>
          <w:rFonts w:ascii="Arial" w:hAnsi="Arial" w:cs="Arial"/>
          <w:sz w:val="20"/>
          <w:szCs w:val="20"/>
          <w:lang w:val="en-GB"/>
        </w:rPr>
        <w:t xml:space="preserve">The Trust embeds sustainability into its operations through the implementation of its Green Plan. </w:t>
      </w:r>
      <w:r w:rsidR="00A90DB3" w:rsidRPr="00BD39E7">
        <w:rPr>
          <w:rFonts w:ascii="Arial" w:hAnsi="Arial" w:cs="Arial"/>
          <w:sz w:val="20"/>
          <w:szCs w:val="20"/>
          <w:lang w:val="en-GB"/>
        </w:rPr>
        <w:t xml:space="preserve"> </w:t>
      </w:r>
      <w:r w:rsidRPr="00BD39E7">
        <w:rPr>
          <w:rFonts w:ascii="Arial" w:hAnsi="Arial" w:cs="Arial"/>
          <w:sz w:val="20"/>
          <w:szCs w:val="20"/>
          <w:lang w:val="en-GB"/>
        </w:rPr>
        <w:t>Introduced during 2020</w:t>
      </w:r>
      <w:r w:rsidR="00A90DB3" w:rsidRPr="00BD39E7">
        <w:rPr>
          <w:rFonts w:ascii="Arial" w:hAnsi="Arial" w:cs="Arial"/>
          <w:sz w:val="20"/>
          <w:szCs w:val="20"/>
          <w:lang w:val="en-GB"/>
        </w:rPr>
        <w:t>/</w:t>
      </w:r>
      <w:r w:rsidRPr="00BD39E7">
        <w:rPr>
          <w:rFonts w:ascii="Arial" w:hAnsi="Arial" w:cs="Arial"/>
          <w:sz w:val="20"/>
          <w:szCs w:val="20"/>
          <w:lang w:val="en-GB"/>
        </w:rPr>
        <w:t>21 and under revision in 2025 for publication in July 2025, this will be endorsed by the Trust Board.</w:t>
      </w:r>
      <w:r w:rsidR="00A90DB3" w:rsidRPr="00BD39E7">
        <w:rPr>
          <w:rFonts w:ascii="Arial" w:hAnsi="Arial" w:cs="Arial"/>
          <w:sz w:val="20"/>
          <w:szCs w:val="20"/>
          <w:lang w:val="en-GB"/>
        </w:rPr>
        <w:t xml:space="preserve">  </w:t>
      </w:r>
      <w:r w:rsidRPr="00BD39E7">
        <w:rPr>
          <w:rFonts w:ascii="Arial" w:hAnsi="Arial" w:cs="Arial"/>
          <w:sz w:val="20"/>
          <w:szCs w:val="20"/>
          <w:lang w:val="en-GB"/>
        </w:rPr>
        <w:t>The Green Plan provides an organisation-wide strategy that outlines the Trust’s plan of action necessary to achieve the targets within the Greener NHS Net Zero Programme.</w:t>
      </w:r>
      <w:r w:rsidR="00A90DB3" w:rsidRPr="00BD39E7">
        <w:rPr>
          <w:rFonts w:ascii="Arial" w:hAnsi="Arial" w:cs="Arial"/>
          <w:sz w:val="20"/>
          <w:szCs w:val="20"/>
          <w:lang w:val="en-GB"/>
        </w:rPr>
        <w:t xml:space="preserve">  </w:t>
      </w:r>
      <w:r w:rsidRPr="00BD39E7">
        <w:rPr>
          <w:rFonts w:ascii="Arial" w:hAnsi="Arial" w:cs="Arial"/>
          <w:sz w:val="20"/>
          <w:szCs w:val="20"/>
          <w:lang w:val="en-GB"/>
        </w:rPr>
        <w:t>Progress on the delivery of the Green Plan is provided to the Trust Board through an annual summary report.</w:t>
      </w:r>
      <w:r w:rsidR="0001752B" w:rsidRPr="00BD39E7">
        <w:rPr>
          <w:rFonts w:ascii="Arial" w:hAnsi="Arial" w:cs="Arial"/>
          <w:sz w:val="20"/>
          <w:szCs w:val="20"/>
          <w:lang w:val="en-GB"/>
        </w:rPr>
        <w:t xml:space="preserve">  </w:t>
      </w:r>
      <w:r w:rsidRPr="00BD39E7">
        <w:rPr>
          <w:rFonts w:ascii="Arial" w:hAnsi="Arial" w:cs="Arial"/>
          <w:sz w:val="20"/>
          <w:szCs w:val="20"/>
          <w:lang w:val="en-GB"/>
        </w:rPr>
        <w:t>Throughout this year, significant progress has been made in progressing our sustainability objectives through the establishment of a robust governance and assurance framework to facilitate the delivery of our Green Plan.</w:t>
      </w:r>
      <w:r w:rsidR="00A90DB3" w:rsidRPr="00BD39E7">
        <w:rPr>
          <w:rFonts w:ascii="Arial" w:hAnsi="Arial" w:cs="Arial"/>
          <w:sz w:val="20"/>
          <w:szCs w:val="20"/>
          <w:lang w:val="en-GB"/>
        </w:rPr>
        <w:t xml:space="preserve"> </w:t>
      </w:r>
      <w:r w:rsidRPr="00BD39E7">
        <w:rPr>
          <w:rFonts w:ascii="Arial" w:hAnsi="Arial" w:cs="Arial"/>
          <w:sz w:val="20"/>
          <w:szCs w:val="20"/>
          <w:lang w:val="en-GB"/>
        </w:rPr>
        <w:t xml:space="preserve"> Through the continued dedication of the Green Working Groups along with the appointment of individuals in specific sustainability roles, this leadership plays a pivotal role in supporting the Trust's sustainability agenda and driving our performance in sustainability initiatives.</w:t>
      </w:r>
    </w:p>
    <w:p w14:paraId="0B5CE681" w14:textId="77777777" w:rsidR="00CF0977" w:rsidRPr="00BD39E7" w:rsidRDefault="00CF0977" w:rsidP="00CF0977">
      <w:pPr>
        <w:jc w:val="both"/>
        <w:rPr>
          <w:rFonts w:ascii="Arial" w:hAnsi="Arial" w:cs="Arial"/>
          <w:sz w:val="20"/>
          <w:szCs w:val="20"/>
          <w:lang w:val="en-GB"/>
        </w:rPr>
      </w:pPr>
    </w:p>
    <w:p w14:paraId="060398AA" w14:textId="77777777" w:rsidR="00CF0977" w:rsidRPr="00BD39E7" w:rsidRDefault="00A90DB3" w:rsidP="00CF0977">
      <w:pPr>
        <w:jc w:val="both"/>
        <w:rPr>
          <w:rFonts w:ascii="Arial" w:hAnsi="Arial" w:cs="Arial"/>
          <w:sz w:val="20"/>
          <w:szCs w:val="20"/>
          <w:lang w:val="en-GB"/>
        </w:rPr>
      </w:pPr>
      <w:r w:rsidRPr="00BD39E7">
        <w:rPr>
          <w:rFonts w:ascii="Arial" w:hAnsi="Arial" w:cs="Arial"/>
          <w:sz w:val="20"/>
          <w:szCs w:val="20"/>
          <w:shd w:val="clear" w:color="auto" w:fill="FFFFFF"/>
        </w:rPr>
        <w:t xml:space="preserve">Nick Sinclair, </w:t>
      </w:r>
      <w:r w:rsidR="00CF0977" w:rsidRPr="00BD39E7">
        <w:rPr>
          <w:rFonts w:ascii="Arial" w:hAnsi="Arial" w:cs="Arial"/>
          <w:sz w:val="20"/>
          <w:szCs w:val="20"/>
          <w:shd w:val="clear" w:color="auto" w:fill="FFFFFF"/>
        </w:rPr>
        <w:t>Chief Operati</w:t>
      </w:r>
      <w:r w:rsidRPr="00BD39E7">
        <w:rPr>
          <w:rFonts w:ascii="Arial" w:hAnsi="Arial" w:cs="Arial"/>
          <w:sz w:val="20"/>
          <w:szCs w:val="20"/>
          <w:shd w:val="clear" w:color="auto" w:fill="FFFFFF"/>
        </w:rPr>
        <w:t>ng</w:t>
      </w:r>
      <w:r w:rsidR="00CF0977" w:rsidRPr="00BD39E7">
        <w:rPr>
          <w:rFonts w:ascii="Arial" w:hAnsi="Arial" w:cs="Arial"/>
          <w:sz w:val="20"/>
          <w:szCs w:val="20"/>
          <w:shd w:val="clear" w:color="auto" w:fill="FFFFFF"/>
        </w:rPr>
        <w:t xml:space="preserve"> Officer</w:t>
      </w:r>
      <w:r w:rsidRPr="00BD39E7">
        <w:rPr>
          <w:rFonts w:ascii="Arial" w:hAnsi="Arial" w:cs="Arial"/>
          <w:sz w:val="20"/>
          <w:szCs w:val="20"/>
          <w:shd w:val="clear" w:color="auto" w:fill="FFFFFF"/>
        </w:rPr>
        <w:t xml:space="preserve">, </w:t>
      </w:r>
      <w:r w:rsidR="00CF0977" w:rsidRPr="00BD39E7">
        <w:rPr>
          <w:rFonts w:ascii="Arial" w:hAnsi="Arial" w:cs="Arial"/>
          <w:sz w:val="20"/>
          <w:szCs w:val="20"/>
          <w:shd w:val="clear" w:color="auto" w:fill="FFFFFF"/>
        </w:rPr>
        <w:t>will oversee the resourcing and delivery of this Green Plan</w:t>
      </w:r>
      <w:r w:rsidRPr="00BD39E7">
        <w:rPr>
          <w:rFonts w:ascii="Arial" w:hAnsi="Arial" w:cs="Arial"/>
          <w:sz w:val="20"/>
          <w:szCs w:val="20"/>
          <w:shd w:val="clear" w:color="auto" w:fill="FFFFFF"/>
        </w:rPr>
        <w:t xml:space="preserve"> and </w:t>
      </w:r>
      <w:r w:rsidR="00CF0977" w:rsidRPr="00BD39E7">
        <w:rPr>
          <w:rFonts w:ascii="Arial" w:hAnsi="Arial" w:cs="Arial"/>
          <w:sz w:val="20"/>
          <w:szCs w:val="20"/>
          <w:shd w:val="clear" w:color="auto" w:fill="FFFFFF"/>
        </w:rPr>
        <w:t xml:space="preserve">has been appointed as the Trust’s Net Zero Lead. </w:t>
      </w:r>
      <w:r w:rsidRPr="00BD39E7">
        <w:rPr>
          <w:rFonts w:ascii="Arial" w:hAnsi="Arial" w:cs="Arial"/>
          <w:sz w:val="20"/>
          <w:szCs w:val="20"/>
          <w:shd w:val="clear" w:color="auto" w:fill="FFFFFF"/>
        </w:rPr>
        <w:t xml:space="preserve"> </w:t>
      </w:r>
      <w:r w:rsidR="00CF0977" w:rsidRPr="00BD39E7">
        <w:rPr>
          <w:rFonts w:ascii="Arial" w:hAnsi="Arial" w:cs="Arial"/>
          <w:sz w:val="20"/>
          <w:szCs w:val="20"/>
          <w:shd w:val="clear" w:color="auto" w:fill="FFFFFF"/>
        </w:rPr>
        <w:t xml:space="preserve">As </w:t>
      </w:r>
      <w:r w:rsidR="00CF0977" w:rsidRPr="00BD39E7">
        <w:rPr>
          <w:rFonts w:ascii="Arial" w:hAnsi="Arial" w:cs="Arial"/>
          <w:sz w:val="20"/>
          <w:szCs w:val="20"/>
          <w:lang w:val="en-GB"/>
        </w:rPr>
        <w:t>the Senior Responsible Officer (SRO) for our Green Plan. Neil McElduff, the Director of Estates and Facilities, is accountable for leading the Green Plan and reports to the NHS Kent and Medway Integrated Care Board Environmental Sustainability Steering Group.</w:t>
      </w:r>
      <w:r w:rsidR="0001752B" w:rsidRPr="00BD39E7">
        <w:rPr>
          <w:rFonts w:ascii="Arial" w:hAnsi="Arial" w:cs="Arial"/>
          <w:sz w:val="20"/>
          <w:szCs w:val="20"/>
          <w:lang w:val="en-GB"/>
        </w:rPr>
        <w:t xml:space="preserve">  </w:t>
      </w:r>
      <w:r w:rsidR="00CF0977" w:rsidRPr="00BD39E7">
        <w:rPr>
          <w:rFonts w:ascii="Arial" w:hAnsi="Arial" w:cs="Arial"/>
          <w:sz w:val="20"/>
          <w:szCs w:val="20"/>
          <w:lang w:val="en-GB"/>
        </w:rPr>
        <w:t>In collaboration with the NHS Kent and Medway Integrated Care Board, we undertook an exercise to assess and improve our carbon footprint methodology.</w:t>
      </w:r>
      <w:r w:rsidRPr="00BD39E7">
        <w:rPr>
          <w:rFonts w:ascii="Arial" w:hAnsi="Arial" w:cs="Arial"/>
          <w:sz w:val="20"/>
          <w:szCs w:val="20"/>
          <w:lang w:val="en-GB"/>
        </w:rPr>
        <w:t xml:space="preserve">  </w:t>
      </w:r>
      <w:r w:rsidR="00CF0977" w:rsidRPr="00BD39E7">
        <w:rPr>
          <w:rFonts w:ascii="Arial" w:hAnsi="Arial" w:cs="Arial"/>
          <w:sz w:val="20"/>
          <w:szCs w:val="20"/>
          <w:lang w:val="en-GB"/>
        </w:rPr>
        <w:t xml:space="preserve">The Trust now calculates this data on a quarterly basis, facilitating ongoing monitoring and evaluation of our environmental impact. </w:t>
      </w:r>
      <w:r w:rsidRPr="00BD39E7">
        <w:rPr>
          <w:rFonts w:ascii="Arial" w:hAnsi="Arial" w:cs="Arial"/>
          <w:sz w:val="20"/>
          <w:szCs w:val="20"/>
          <w:lang w:val="en-GB"/>
        </w:rPr>
        <w:t xml:space="preserve"> </w:t>
      </w:r>
      <w:r w:rsidR="00CF0977" w:rsidRPr="00BD39E7">
        <w:rPr>
          <w:rFonts w:ascii="Arial" w:hAnsi="Arial" w:cs="Arial"/>
          <w:sz w:val="20"/>
          <w:szCs w:val="20"/>
          <w:lang w:val="en-GB"/>
        </w:rPr>
        <w:t>Any risks or issues identified are escalated to the Trust Risk Register.</w:t>
      </w:r>
    </w:p>
    <w:p w14:paraId="53047544" w14:textId="77777777" w:rsidR="00CF0977" w:rsidRPr="00BD39E7" w:rsidRDefault="00CF0977" w:rsidP="00CF0977">
      <w:pPr>
        <w:jc w:val="both"/>
        <w:rPr>
          <w:rFonts w:ascii="Arial" w:hAnsi="Arial" w:cs="Arial"/>
          <w:sz w:val="20"/>
          <w:szCs w:val="20"/>
          <w:lang w:val="en-GB"/>
        </w:rPr>
      </w:pPr>
    </w:p>
    <w:p w14:paraId="6D13A4CA" w14:textId="77777777" w:rsidR="00CF0977" w:rsidRPr="00BD39E7" w:rsidRDefault="00CF0977" w:rsidP="00CF0977">
      <w:pPr>
        <w:jc w:val="both"/>
        <w:rPr>
          <w:rFonts w:ascii="Arial" w:hAnsi="Arial" w:cs="Arial"/>
          <w:sz w:val="20"/>
          <w:szCs w:val="20"/>
          <w:lang w:val="en-GB"/>
        </w:rPr>
      </w:pPr>
      <w:r w:rsidRPr="00BD39E7">
        <w:rPr>
          <w:rFonts w:ascii="Arial" w:hAnsi="Arial" w:cs="Arial"/>
          <w:sz w:val="20"/>
          <w:szCs w:val="20"/>
          <w:lang w:val="en-GB"/>
        </w:rPr>
        <w:t xml:space="preserve">The Green Sustainability Operational Steering Group convenes bi-monthly with the participation of 10 senior staff members, including Directors and Associate Directors of the Trust. </w:t>
      </w:r>
      <w:r w:rsidR="00A90DB3" w:rsidRPr="00BD39E7">
        <w:rPr>
          <w:rFonts w:ascii="Arial" w:hAnsi="Arial" w:cs="Arial"/>
          <w:sz w:val="20"/>
          <w:szCs w:val="20"/>
          <w:lang w:val="en-GB"/>
        </w:rPr>
        <w:t xml:space="preserve"> </w:t>
      </w:r>
      <w:r w:rsidRPr="00BD39E7">
        <w:rPr>
          <w:rFonts w:ascii="Arial" w:hAnsi="Arial" w:cs="Arial"/>
          <w:sz w:val="20"/>
          <w:szCs w:val="20"/>
          <w:lang w:val="en-GB"/>
        </w:rPr>
        <w:t xml:space="preserve">Together, they are tasked with the implementation of the various workstreams and actions outlined in the Green Plan. </w:t>
      </w:r>
    </w:p>
    <w:p w14:paraId="25A5D996" w14:textId="77777777" w:rsidR="00CF0977" w:rsidRPr="00BD39E7" w:rsidRDefault="00CF0977" w:rsidP="00CF0977">
      <w:pPr>
        <w:jc w:val="both"/>
        <w:rPr>
          <w:rFonts w:ascii="Arial" w:hAnsi="Arial" w:cs="Arial"/>
          <w:sz w:val="20"/>
          <w:szCs w:val="20"/>
          <w:lang w:val="en-GB"/>
        </w:rPr>
      </w:pPr>
    </w:p>
    <w:p w14:paraId="6699213D" w14:textId="77777777" w:rsidR="00CF0977" w:rsidRPr="00BD39E7" w:rsidRDefault="00CF0977" w:rsidP="00CF0977">
      <w:pPr>
        <w:jc w:val="both"/>
        <w:rPr>
          <w:rFonts w:ascii="Arial" w:hAnsi="Arial" w:cs="Arial"/>
          <w:sz w:val="20"/>
          <w:szCs w:val="20"/>
          <w:lang w:val="en-GB"/>
        </w:rPr>
      </w:pPr>
      <w:r w:rsidRPr="00BD39E7">
        <w:rPr>
          <w:rFonts w:ascii="Arial" w:hAnsi="Arial" w:cs="Arial"/>
          <w:sz w:val="20"/>
          <w:szCs w:val="20"/>
          <w:lang w:val="en-GB"/>
        </w:rPr>
        <w:t xml:space="preserve">The Green Sustainability Strategic Group, comprising the Trust’s Executive Directors and chaired by the Chief Executive, assumes the responsibility of overseeing the activities of the Operational Group. </w:t>
      </w:r>
      <w:r w:rsidR="00A90DB3" w:rsidRPr="00BD39E7">
        <w:rPr>
          <w:rFonts w:ascii="Arial" w:hAnsi="Arial" w:cs="Arial"/>
          <w:sz w:val="20"/>
          <w:szCs w:val="20"/>
          <w:lang w:val="en-GB"/>
        </w:rPr>
        <w:t xml:space="preserve"> </w:t>
      </w:r>
      <w:r w:rsidRPr="00BD39E7">
        <w:rPr>
          <w:rFonts w:ascii="Arial" w:hAnsi="Arial" w:cs="Arial"/>
          <w:sz w:val="20"/>
          <w:szCs w:val="20"/>
          <w:lang w:val="en-GB"/>
        </w:rPr>
        <w:t>This ensures alignment with the Trust’s strategic objectives.</w:t>
      </w:r>
      <w:r w:rsidR="00A90DB3" w:rsidRPr="00BD39E7">
        <w:rPr>
          <w:rFonts w:ascii="Arial" w:hAnsi="Arial" w:cs="Arial"/>
          <w:sz w:val="20"/>
          <w:szCs w:val="20"/>
          <w:lang w:val="en-GB"/>
        </w:rPr>
        <w:t xml:space="preserve"> </w:t>
      </w:r>
      <w:r w:rsidRPr="00BD39E7">
        <w:rPr>
          <w:rFonts w:ascii="Arial" w:hAnsi="Arial" w:cs="Arial"/>
          <w:sz w:val="20"/>
          <w:szCs w:val="20"/>
          <w:lang w:val="en-GB"/>
        </w:rPr>
        <w:t xml:space="preserve"> The group meets quarterly and receive performance updates on the workstreams and action plan of the Green Sustainability Operational Steering Group. </w:t>
      </w:r>
      <w:r w:rsidR="00A90DB3" w:rsidRPr="00BD39E7">
        <w:rPr>
          <w:rFonts w:ascii="Arial" w:hAnsi="Arial" w:cs="Arial"/>
          <w:sz w:val="20"/>
          <w:szCs w:val="20"/>
          <w:lang w:val="en-GB"/>
        </w:rPr>
        <w:t xml:space="preserve"> </w:t>
      </w:r>
      <w:r w:rsidRPr="00BD39E7">
        <w:rPr>
          <w:rFonts w:ascii="Arial" w:hAnsi="Arial" w:cs="Arial"/>
          <w:sz w:val="20"/>
          <w:szCs w:val="20"/>
          <w:lang w:val="en-GB"/>
        </w:rPr>
        <w:t xml:space="preserve">The Trust works from an action log to record/track progress on key climate issues; these are reported into the governance groups above. </w:t>
      </w:r>
      <w:r w:rsidR="00A90DB3" w:rsidRPr="00BD39E7">
        <w:rPr>
          <w:rFonts w:ascii="Arial" w:hAnsi="Arial" w:cs="Arial"/>
          <w:sz w:val="20"/>
          <w:szCs w:val="20"/>
          <w:lang w:val="en-GB"/>
        </w:rPr>
        <w:t xml:space="preserve"> </w:t>
      </w:r>
      <w:r w:rsidRPr="00BD39E7">
        <w:rPr>
          <w:rFonts w:ascii="Arial" w:hAnsi="Arial" w:cs="Arial"/>
          <w:sz w:val="20"/>
          <w:szCs w:val="20"/>
          <w:lang w:val="en-GB"/>
        </w:rPr>
        <w:t>Some highlights from 2024</w:t>
      </w:r>
      <w:r w:rsidR="00A90DB3" w:rsidRPr="00BD39E7">
        <w:rPr>
          <w:rFonts w:ascii="Arial" w:hAnsi="Arial" w:cs="Arial"/>
          <w:sz w:val="20"/>
          <w:szCs w:val="20"/>
          <w:lang w:val="en-GB"/>
        </w:rPr>
        <w:t>/</w:t>
      </w:r>
      <w:r w:rsidRPr="00BD39E7">
        <w:rPr>
          <w:rFonts w:ascii="Arial" w:hAnsi="Arial" w:cs="Arial"/>
          <w:sz w:val="20"/>
          <w:szCs w:val="20"/>
          <w:lang w:val="en-GB"/>
        </w:rPr>
        <w:t>25 are below.</w:t>
      </w:r>
    </w:p>
    <w:p w14:paraId="1B9D0185" w14:textId="77777777" w:rsidR="00CF0977" w:rsidRPr="00BD39E7" w:rsidRDefault="00CF0977" w:rsidP="00CF0977">
      <w:pPr>
        <w:jc w:val="both"/>
        <w:rPr>
          <w:rFonts w:ascii="Arial" w:hAnsi="Arial" w:cs="Arial"/>
          <w:sz w:val="20"/>
          <w:szCs w:val="20"/>
          <w:lang w:val="en-GB"/>
        </w:rPr>
      </w:pPr>
    </w:p>
    <w:p w14:paraId="7150156B" w14:textId="77777777" w:rsidR="00B820D5" w:rsidRPr="00BD39E7" w:rsidRDefault="00CF0977" w:rsidP="00E00F90">
      <w:pPr>
        <w:pStyle w:val="ListParagraph"/>
        <w:numPr>
          <w:ilvl w:val="0"/>
          <w:numId w:val="29"/>
        </w:numPr>
        <w:ind w:left="360"/>
        <w:jc w:val="both"/>
        <w:rPr>
          <w:rFonts w:ascii="Arial" w:hAnsi="Arial" w:cs="Arial"/>
          <w:sz w:val="20"/>
          <w:szCs w:val="20"/>
          <w:lang w:val="en-GB"/>
        </w:rPr>
      </w:pPr>
      <w:r w:rsidRPr="00BD39E7">
        <w:rPr>
          <w:rFonts w:ascii="Arial" w:hAnsi="Arial" w:cs="Arial"/>
          <w:sz w:val="20"/>
          <w:szCs w:val="20"/>
          <w:lang w:val="en-GB"/>
        </w:rPr>
        <w:t xml:space="preserve">The Green Champion Network is an informal group of 40 Champions actively involved in championing sustainability initiatives. </w:t>
      </w:r>
      <w:r w:rsidR="00A90DB3" w:rsidRPr="00BD39E7">
        <w:rPr>
          <w:rFonts w:ascii="Arial" w:hAnsi="Arial" w:cs="Arial"/>
          <w:sz w:val="20"/>
          <w:szCs w:val="20"/>
          <w:lang w:val="en-GB"/>
        </w:rPr>
        <w:t xml:space="preserve"> </w:t>
      </w:r>
      <w:r w:rsidRPr="00BD39E7">
        <w:rPr>
          <w:rFonts w:ascii="Arial" w:hAnsi="Arial" w:cs="Arial"/>
          <w:sz w:val="20"/>
          <w:szCs w:val="20"/>
          <w:lang w:val="en-GB"/>
        </w:rPr>
        <w:t>The Green Champions will identify initiatives at a grassroots level within the Trust and lead on the implementation of the projects that we are running.</w:t>
      </w:r>
    </w:p>
    <w:p w14:paraId="28529C5D" w14:textId="77777777" w:rsidR="00CF0977" w:rsidRPr="00BD39E7" w:rsidRDefault="00CF0977" w:rsidP="00E00F90">
      <w:pPr>
        <w:pStyle w:val="ListParagraph"/>
        <w:numPr>
          <w:ilvl w:val="0"/>
          <w:numId w:val="29"/>
        </w:numPr>
        <w:ind w:left="360"/>
        <w:jc w:val="both"/>
        <w:rPr>
          <w:rFonts w:ascii="Arial" w:hAnsi="Arial" w:cs="Arial"/>
          <w:sz w:val="20"/>
          <w:szCs w:val="20"/>
          <w:lang w:val="en-GB"/>
        </w:rPr>
      </w:pPr>
      <w:r w:rsidRPr="00BD39E7">
        <w:rPr>
          <w:rFonts w:ascii="Arial" w:hAnsi="Arial" w:cs="Arial"/>
          <w:sz w:val="20"/>
          <w:szCs w:val="20"/>
          <w:lang w:val="en-GB"/>
        </w:rPr>
        <w:t xml:space="preserve">The Trust is using its Heat Decarbonisation Plan (HDP) to provide a net zero framework, outlining </w:t>
      </w:r>
      <w:r w:rsidRPr="00BD39E7">
        <w:rPr>
          <w:rFonts w:ascii="Arial" w:hAnsi="Arial" w:cs="Arial"/>
          <w:sz w:val="20"/>
          <w:szCs w:val="20"/>
          <w:lang w:val="en-GB"/>
        </w:rPr>
        <w:lastRenderedPageBreak/>
        <w:t>several stages to guide our transition from fossil fuel-reliant heating systems to low carbon alternatives.</w:t>
      </w:r>
      <w:r w:rsidR="00B820D5" w:rsidRPr="00BD39E7">
        <w:rPr>
          <w:rFonts w:ascii="Arial" w:hAnsi="Arial" w:cs="Arial"/>
          <w:sz w:val="20"/>
          <w:szCs w:val="20"/>
          <w:lang w:val="en-GB"/>
        </w:rPr>
        <w:t xml:space="preserve">  </w:t>
      </w:r>
      <w:r w:rsidRPr="00BD39E7">
        <w:rPr>
          <w:rFonts w:ascii="Arial" w:hAnsi="Arial" w:cs="Arial"/>
          <w:sz w:val="20"/>
          <w:szCs w:val="20"/>
          <w:lang w:val="en-GB"/>
        </w:rPr>
        <w:t xml:space="preserve">The initial stage of the HDP, projected to result in 3,500 tonnes of annual carbon savings, is currently underway, thanks to the £25.9 million secured through the Public Sector Decarbonisation Scheme (PSDS), which is run by the Department for Energy Security and Net Zero and delivered by Salix. </w:t>
      </w:r>
      <w:r w:rsidR="00B820D5" w:rsidRPr="00BD39E7">
        <w:rPr>
          <w:rFonts w:ascii="Arial" w:hAnsi="Arial" w:cs="Arial"/>
          <w:sz w:val="20"/>
          <w:szCs w:val="20"/>
          <w:lang w:val="en-GB"/>
        </w:rPr>
        <w:t xml:space="preserve"> </w:t>
      </w:r>
      <w:r w:rsidRPr="00BD39E7">
        <w:rPr>
          <w:rFonts w:ascii="Arial" w:hAnsi="Arial" w:cs="Arial"/>
          <w:sz w:val="20"/>
          <w:szCs w:val="20"/>
          <w:lang w:val="en-GB"/>
        </w:rPr>
        <w:t>The proposed initiatives for this stage of the HDP include:</w:t>
      </w:r>
    </w:p>
    <w:p w14:paraId="0445643F" w14:textId="77777777" w:rsidR="00CF0977" w:rsidRPr="00BD39E7" w:rsidRDefault="00CF0977" w:rsidP="00E00F90">
      <w:pPr>
        <w:pStyle w:val="ListParagraph"/>
        <w:numPr>
          <w:ilvl w:val="0"/>
          <w:numId w:val="28"/>
        </w:numPr>
        <w:jc w:val="both"/>
        <w:rPr>
          <w:rFonts w:ascii="Arial" w:hAnsi="Arial" w:cs="Arial"/>
          <w:sz w:val="20"/>
          <w:szCs w:val="20"/>
          <w:lang w:val="en-GB"/>
        </w:rPr>
      </w:pPr>
      <w:r w:rsidRPr="00BD39E7">
        <w:rPr>
          <w:rFonts w:ascii="Arial" w:hAnsi="Arial" w:cs="Arial"/>
          <w:sz w:val="20"/>
          <w:szCs w:val="20"/>
          <w:lang w:val="en-GB"/>
        </w:rPr>
        <w:t>De-steaming part of the hospital and replacing with electric heat pump systems using zero carbon electricity, work due to start June 2025.</w:t>
      </w:r>
    </w:p>
    <w:p w14:paraId="75236ACC" w14:textId="77777777" w:rsidR="00CF0977" w:rsidRPr="00BD39E7" w:rsidRDefault="00CF0977" w:rsidP="00E00F90">
      <w:pPr>
        <w:pStyle w:val="ListParagraph"/>
        <w:numPr>
          <w:ilvl w:val="0"/>
          <w:numId w:val="28"/>
        </w:numPr>
        <w:jc w:val="both"/>
        <w:rPr>
          <w:rFonts w:ascii="Arial" w:hAnsi="Arial" w:cs="Arial"/>
          <w:sz w:val="20"/>
          <w:szCs w:val="20"/>
          <w:lang w:val="en-GB"/>
        </w:rPr>
      </w:pPr>
      <w:r w:rsidRPr="00BD39E7">
        <w:rPr>
          <w:rFonts w:ascii="Arial" w:hAnsi="Arial" w:cs="Arial"/>
          <w:sz w:val="20"/>
          <w:szCs w:val="20"/>
          <w:lang w:val="en-GB"/>
        </w:rPr>
        <w:t>Installation of roof-mounted solar PV arrays across multiple buildings to provide around 0.8MW of electrical power, work due to start May 2025.</w:t>
      </w:r>
    </w:p>
    <w:p w14:paraId="6AC510DD" w14:textId="77777777" w:rsidR="00CF0977" w:rsidRPr="00BD39E7" w:rsidRDefault="00CF0977" w:rsidP="00E00F90">
      <w:pPr>
        <w:pStyle w:val="ListParagraph"/>
        <w:numPr>
          <w:ilvl w:val="0"/>
          <w:numId w:val="28"/>
        </w:numPr>
        <w:jc w:val="both"/>
        <w:rPr>
          <w:rFonts w:ascii="Arial" w:hAnsi="Arial" w:cs="Arial"/>
          <w:sz w:val="20"/>
          <w:szCs w:val="20"/>
          <w:lang w:val="en-GB"/>
        </w:rPr>
      </w:pPr>
      <w:r w:rsidRPr="00BD39E7">
        <w:rPr>
          <w:rFonts w:ascii="Arial" w:hAnsi="Arial" w:cs="Arial"/>
          <w:sz w:val="20"/>
          <w:szCs w:val="20"/>
          <w:lang w:val="en-GB"/>
        </w:rPr>
        <w:t>Replacing single-glazed windows with double-glazed units, work due to start May 2025</w:t>
      </w:r>
      <w:r w:rsidR="00B820D5" w:rsidRPr="00BD39E7">
        <w:rPr>
          <w:rFonts w:ascii="Arial" w:hAnsi="Arial" w:cs="Arial"/>
          <w:sz w:val="20"/>
          <w:szCs w:val="20"/>
          <w:lang w:val="en-GB"/>
        </w:rPr>
        <w:t xml:space="preserve">.  </w:t>
      </w:r>
    </w:p>
    <w:p w14:paraId="2524D8C3" w14:textId="77777777" w:rsidR="00CF0977" w:rsidRPr="00BD39E7" w:rsidRDefault="00CF0977" w:rsidP="00CF0977">
      <w:pPr>
        <w:jc w:val="both"/>
        <w:rPr>
          <w:rFonts w:ascii="Arial" w:hAnsi="Arial" w:cs="Arial"/>
          <w:sz w:val="20"/>
          <w:szCs w:val="20"/>
          <w:lang w:val="en-GB"/>
        </w:rPr>
      </w:pPr>
    </w:p>
    <w:p w14:paraId="119C68AA" w14:textId="77777777" w:rsidR="00CF0977" w:rsidRPr="00BD39E7" w:rsidRDefault="00CF0977" w:rsidP="00CF0977">
      <w:pPr>
        <w:jc w:val="both"/>
        <w:rPr>
          <w:rFonts w:ascii="Arial" w:hAnsi="Arial" w:cs="Arial"/>
          <w:sz w:val="20"/>
          <w:szCs w:val="20"/>
          <w:lang w:val="en-GB"/>
        </w:rPr>
      </w:pPr>
      <w:r w:rsidRPr="00BD39E7">
        <w:rPr>
          <w:rFonts w:ascii="Arial" w:hAnsi="Arial" w:cs="Arial"/>
          <w:sz w:val="20"/>
          <w:szCs w:val="20"/>
          <w:lang w:val="en-GB"/>
        </w:rPr>
        <w:t>The programme of work is a complex undertaking and is due to finish in 2026.</w:t>
      </w:r>
    </w:p>
    <w:p w14:paraId="38680199" w14:textId="77777777" w:rsidR="00CF0977" w:rsidRPr="00BD39E7" w:rsidRDefault="00CF0977" w:rsidP="00CF0977">
      <w:pPr>
        <w:jc w:val="both"/>
        <w:rPr>
          <w:rFonts w:ascii="Arial" w:hAnsi="Arial" w:cs="Arial"/>
          <w:sz w:val="20"/>
          <w:szCs w:val="20"/>
          <w:lang w:val="en-GB"/>
        </w:rPr>
      </w:pPr>
    </w:p>
    <w:p w14:paraId="09121B22" w14:textId="77777777" w:rsidR="00CF0977" w:rsidRPr="00BD39E7" w:rsidRDefault="00CF0977" w:rsidP="00CF0977">
      <w:pPr>
        <w:jc w:val="both"/>
        <w:rPr>
          <w:rFonts w:ascii="Arial" w:hAnsi="Arial" w:cs="Arial"/>
          <w:sz w:val="20"/>
          <w:szCs w:val="20"/>
          <w:lang w:val="en-GB"/>
        </w:rPr>
      </w:pPr>
      <w:r w:rsidRPr="00BD39E7">
        <w:rPr>
          <w:rFonts w:ascii="Arial" w:hAnsi="Arial" w:cs="Arial"/>
          <w:sz w:val="20"/>
          <w:szCs w:val="20"/>
          <w:lang w:val="en-GB"/>
        </w:rPr>
        <w:t xml:space="preserve">The Trust has applied for further Public Sector Decarbonisation Scheme funding (PSDS4) to de-steam the remaining parts of the site to keep a consistent flow of activity on site. </w:t>
      </w:r>
      <w:r w:rsidR="00B820D5" w:rsidRPr="00BD39E7">
        <w:rPr>
          <w:rFonts w:ascii="Arial" w:hAnsi="Arial" w:cs="Arial"/>
          <w:sz w:val="20"/>
          <w:szCs w:val="20"/>
          <w:lang w:val="en-GB"/>
        </w:rPr>
        <w:t xml:space="preserve"> </w:t>
      </w:r>
      <w:r w:rsidRPr="00BD39E7">
        <w:rPr>
          <w:rFonts w:ascii="Arial" w:hAnsi="Arial" w:cs="Arial"/>
          <w:sz w:val="20"/>
          <w:szCs w:val="20"/>
          <w:lang w:val="en-GB"/>
        </w:rPr>
        <w:t xml:space="preserve">Funding has been secured to remove piped Nitrous Oxide from the Trust and move to canister gas to mitigate seepage of gas into the air; this will produce a carbon saving as well as a cost saving. </w:t>
      </w:r>
      <w:r w:rsidR="00B820D5" w:rsidRPr="00BD39E7">
        <w:rPr>
          <w:rFonts w:ascii="Arial" w:hAnsi="Arial" w:cs="Arial"/>
          <w:sz w:val="20"/>
          <w:szCs w:val="20"/>
          <w:lang w:val="en-GB"/>
        </w:rPr>
        <w:t xml:space="preserve"> </w:t>
      </w:r>
      <w:r w:rsidRPr="00BD39E7">
        <w:rPr>
          <w:rFonts w:ascii="Arial" w:hAnsi="Arial" w:cs="Arial"/>
          <w:sz w:val="20"/>
          <w:szCs w:val="20"/>
          <w:lang w:val="en-GB"/>
        </w:rPr>
        <w:t xml:space="preserve">Finally, the Trust secured £206,000 in January 2025 through the National Energy Efficiency Fund (NEEF). </w:t>
      </w:r>
      <w:r w:rsidR="00B820D5" w:rsidRPr="00BD39E7">
        <w:rPr>
          <w:rFonts w:ascii="Arial" w:hAnsi="Arial" w:cs="Arial"/>
          <w:sz w:val="20"/>
          <w:szCs w:val="20"/>
          <w:lang w:val="en-GB"/>
        </w:rPr>
        <w:t xml:space="preserve"> </w:t>
      </w:r>
      <w:r w:rsidRPr="00BD39E7">
        <w:rPr>
          <w:rFonts w:ascii="Arial" w:hAnsi="Arial" w:cs="Arial"/>
          <w:sz w:val="20"/>
          <w:szCs w:val="20"/>
          <w:lang w:val="en-GB"/>
        </w:rPr>
        <w:t xml:space="preserve">This funding supports the ongoing implementation of LED lighting throughout the Trust. </w:t>
      </w:r>
      <w:r w:rsidR="00B820D5" w:rsidRPr="00BD39E7">
        <w:rPr>
          <w:rFonts w:ascii="Arial" w:hAnsi="Arial" w:cs="Arial"/>
          <w:sz w:val="20"/>
          <w:szCs w:val="20"/>
          <w:lang w:val="en-GB"/>
        </w:rPr>
        <w:t xml:space="preserve"> </w:t>
      </w:r>
      <w:r w:rsidRPr="00BD39E7">
        <w:rPr>
          <w:rFonts w:ascii="Arial" w:hAnsi="Arial" w:cs="Arial"/>
          <w:sz w:val="20"/>
          <w:szCs w:val="20"/>
          <w:lang w:val="en-GB"/>
        </w:rPr>
        <w:t>LED lighting offers significant benefits over traditional lighting options, such as reduced energy consumption and carbon emissions.</w:t>
      </w:r>
    </w:p>
    <w:p w14:paraId="16A7A4F2" w14:textId="77777777" w:rsidR="00CF0977" w:rsidRPr="00BD39E7" w:rsidRDefault="00CF0977" w:rsidP="00CF0977">
      <w:pPr>
        <w:jc w:val="both"/>
        <w:rPr>
          <w:rFonts w:ascii="Arial" w:hAnsi="Arial" w:cs="Arial"/>
          <w:sz w:val="20"/>
          <w:szCs w:val="20"/>
        </w:rPr>
      </w:pPr>
    </w:p>
    <w:p w14:paraId="386F973B" w14:textId="77777777" w:rsidR="00CF0977" w:rsidRPr="00BD39E7" w:rsidRDefault="00CF0977" w:rsidP="00CF0977">
      <w:pPr>
        <w:jc w:val="both"/>
        <w:rPr>
          <w:rFonts w:ascii="Arial" w:hAnsi="Arial" w:cs="Arial"/>
          <w:sz w:val="20"/>
          <w:szCs w:val="20"/>
          <w:highlight w:val="yellow"/>
        </w:rPr>
      </w:pPr>
      <w:r w:rsidRPr="00BD39E7">
        <w:rPr>
          <w:rFonts w:ascii="Arial" w:hAnsi="Arial" w:cs="Arial"/>
          <w:sz w:val="20"/>
          <w:szCs w:val="20"/>
        </w:rPr>
        <w:t xml:space="preserve">During 2024/25, the Trust spent a total of around £4,252,707 on electricity and gas. </w:t>
      </w:r>
      <w:r w:rsidR="00B820D5" w:rsidRPr="00BD39E7">
        <w:rPr>
          <w:rFonts w:ascii="Arial" w:hAnsi="Arial" w:cs="Arial"/>
          <w:sz w:val="20"/>
          <w:szCs w:val="20"/>
        </w:rPr>
        <w:t xml:space="preserve"> </w:t>
      </w:r>
      <w:r w:rsidRPr="00BD39E7">
        <w:rPr>
          <w:rFonts w:ascii="Arial" w:hAnsi="Arial" w:cs="Arial"/>
          <w:sz w:val="20"/>
          <w:szCs w:val="20"/>
        </w:rPr>
        <w:t xml:space="preserve">There was a decrease in spending for </w:t>
      </w:r>
      <w:r w:rsidR="00B820D5" w:rsidRPr="00BD39E7">
        <w:rPr>
          <w:rFonts w:ascii="Arial" w:hAnsi="Arial" w:cs="Arial"/>
          <w:sz w:val="20"/>
          <w:szCs w:val="20"/>
        </w:rPr>
        <w:t>20</w:t>
      </w:r>
      <w:r w:rsidRPr="00BD39E7">
        <w:rPr>
          <w:rFonts w:ascii="Arial" w:hAnsi="Arial" w:cs="Arial"/>
          <w:sz w:val="20"/>
          <w:szCs w:val="20"/>
        </w:rPr>
        <w:t>24</w:t>
      </w:r>
      <w:r w:rsidR="00B820D5" w:rsidRPr="00BD39E7">
        <w:rPr>
          <w:rFonts w:ascii="Arial" w:hAnsi="Arial" w:cs="Arial"/>
          <w:sz w:val="20"/>
          <w:szCs w:val="20"/>
        </w:rPr>
        <w:t>/</w:t>
      </w:r>
      <w:r w:rsidRPr="00BD39E7">
        <w:rPr>
          <w:rFonts w:ascii="Arial" w:hAnsi="Arial" w:cs="Arial"/>
          <w:sz w:val="20"/>
          <w:szCs w:val="20"/>
        </w:rPr>
        <w:t xml:space="preserve">25 due to energy costs going down in a volatile market. </w:t>
      </w:r>
    </w:p>
    <w:p w14:paraId="2C097891" w14:textId="77777777" w:rsidR="00CF0977" w:rsidRPr="00BD39E7" w:rsidRDefault="00CF0977" w:rsidP="00CF0977">
      <w:pPr>
        <w:jc w:val="both"/>
        <w:rPr>
          <w:rFonts w:ascii="Arial" w:hAnsi="Arial" w:cs="Arial"/>
          <w:sz w:val="20"/>
          <w:szCs w:val="20"/>
          <w:highlight w:val="yellow"/>
        </w:rPr>
      </w:pPr>
    </w:p>
    <w:tbl>
      <w:tblPr>
        <w:tblpPr w:leftFromText="180" w:rightFromText="180" w:vertAnchor="text" w:horzAnchor="margin" w:tblpY="-96"/>
        <w:tblOverlap w:val="never"/>
        <w:tblW w:w="9158" w:type="dxa"/>
        <w:tblLook w:val="04A0" w:firstRow="1" w:lastRow="0" w:firstColumn="1" w:lastColumn="0" w:noHBand="0" w:noVBand="1"/>
      </w:tblPr>
      <w:tblGrid>
        <w:gridCol w:w="1237"/>
        <w:gridCol w:w="1397"/>
        <w:gridCol w:w="1391"/>
        <w:gridCol w:w="1496"/>
        <w:gridCol w:w="1246"/>
        <w:gridCol w:w="1240"/>
        <w:gridCol w:w="1248"/>
      </w:tblGrid>
      <w:tr w:rsidR="00CF0977" w:rsidRPr="00BD39E7" w14:paraId="31C69497" w14:textId="77777777" w:rsidTr="005C3678">
        <w:trPr>
          <w:trHeight w:val="317"/>
        </w:trPr>
        <w:tc>
          <w:tcPr>
            <w:tcW w:w="9158" w:type="dxa"/>
            <w:gridSpan w:val="7"/>
            <w:tcBorders>
              <w:top w:val="single" w:sz="8" w:space="0" w:color="auto"/>
              <w:left w:val="single" w:sz="8" w:space="0" w:color="auto"/>
              <w:bottom w:val="single" w:sz="8" w:space="0" w:color="auto"/>
              <w:right w:val="single" w:sz="8" w:space="0" w:color="000000"/>
            </w:tcBorders>
            <w:noWrap/>
            <w:vAlign w:val="bottom"/>
            <w:hideMark/>
          </w:tcPr>
          <w:p w14:paraId="02632D1E" w14:textId="77777777" w:rsidR="00CF0977" w:rsidRPr="00BD39E7" w:rsidRDefault="00CF0977" w:rsidP="00CF0977">
            <w:pPr>
              <w:jc w:val="both"/>
              <w:rPr>
                <w:rFonts w:ascii="Arial" w:hAnsi="Arial" w:cs="Arial"/>
                <w:b/>
                <w:bCs/>
                <w:color w:val="000000"/>
                <w:sz w:val="20"/>
                <w:szCs w:val="20"/>
                <w:lang w:eastAsia="en-GB"/>
              </w:rPr>
            </w:pPr>
            <w:bookmarkStart w:id="3" w:name="_Hlk194652397"/>
            <w:r w:rsidRPr="00BD39E7">
              <w:rPr>
                <w:rFonts w:ascii="Arial" w:hAnsi="Arial" w:cs="Arial"/>
                <w:b/>
                <w:bCs/>
                <w:color w:val="000000"/>
                <w:sz w:val="20"/>
                <w:szCs w:val="20"/>
                <w:lang w:eastAsia="en-GB"/>
              </w:rPr>
              <w:t>Energy Usage and Costs 2022</w:t>
            </w:r>
            <w:r w:rsidR="00A90DB3" w:rsidRPr="00BD39E7">
              <w:rPr>
                <w:rFonts w:ascii="Arial" w:hAnsi="Arial" w:cs="Arial"/>
                <w:b/>
                <w:bCs/>
                <w:color w:val="000000"/>
                <w:sz w:val="20"/>
                <w:szCs w:val="20"/>
                <w:lang w:eastAsia="en-GB"/>
              </w:rPr>
              <w:t xml:space="preserve"> to </w:t>
            </w:r>
            <w:r w:rsidRPr="00BD39E7">
              <w:rPr>
                <w:rFonts w:ascii="Arial" w:hAnsi="Arial" w:cs="Arial"/>
                <w:b/>
                <w:bCs/>
                <w:color w:val="000000"/>
                <w:sz w:val="20"/>
                <w:szCs w:val="20"/>
                <w:lang w:eastAsia="en-GB"/>
              </w:rPr>
              <w:t>2025</w:t>
            </w:r>
          </w:p>
        </w:tc>
      </w:tr>
      <w:tr w:rsidR="00CF0977" w:rsidRPr="00BD39E7" w14:paraId="2F382EE5" w14:textId="77777777" w:rsidTr="005C3678">
        <w:trPr>
          <w:trHeight w:val="317"/>
        </w:trPr>
        <w:tc>
          <w:tcPr>
            <w:tcW w:w="1237" w:type="dxa"/>
            <w:vMerge w:val="restart"/>
            <w:tcBorders>
              <w:top w:val="nil"/>
              <w:left w:val="single" w:sz="8" w:space="0" w:color="auto"/>
              <w:bottom w:val="single" w:sz="4" w:space="0" w:color="000000"/>
              <w:right w:val="single" w:sz="8" w:space="0" w:color="auto"/>
            </w:tcBorders>
            <w:noWrap/>
            <w:vAlign w:val="bottom"/>
            <w:hideMark/>
          </w:tcPr>
          <w:p w14:paraId="2A3F43A5" w14:textId="77777777" w:rsidR="00CF0977" w:rsidRPr="00BD39E7" w:rsidRDefault="00CF0977" w:rsidP="00CF0977">
            <w:pPr>
              <w:jc w:val="both"/>
              <w:rPr>
                <w:rFonts w:ascii="Arial" w:hAnsi="Arial" w:cs="Arial"/>
                <w:b/>
                <w:bCs/>
                <w:color w:val="000000"/>
                <w:sz w:val="20"/>
                <w:szCs w:val="20"/>
                <w:highlight w:val="yellow"/>
                <w:lang w:eastAsia="en-GB"/>
              </w:rPr>
            </w:pPr>
          </w:p>
        </w:tc>
        <w:tc>
          <w:tcPr>
            <w:tcW w:w="4187" w:type="dxa"/>
            <w:gridSpan w:val="3"/>
            <w:tcBorders>
              <w:top w:val="single" w:sz="8" w:space="0" w:color="auto"/>
              <w:left w:val="nil"/>
              <w:bottom w:val="single" w:sz="8" w:space="0" w:color="auto"/>
              <w:right w:val="single" w:sz="8" w:space="0" w:color="000000"/>
            </w:tcBorders>
            <w:noWrap/>
            <w:vAlign w:val="bottom"/>
            <w:hideMark/>
          </w:tcPr>
          <w:p w14:paraId="5812D2CD" w14:textId="77777777" w:rsidR="00CF0977" w:rsidRPr="00BD39E7" w:rsidRDefault="00CF0977" w:rsidP="00CF0977">
            <w:pPr>
              <w:jc w:val="both"/>
              <w:rPr>
                <w:rFonts w:ascii="Arial" w:hAnsi="Arial" w:cs="Arial"/>
                <w:b/>
                <w:bCs/>
                <w:color w:val="000000"/>
                <w:sz w:val="20"/>
                <w:szCs w:val="20"/>
                <w:lang w:eastAsia="en-GB"/>
              </w:rPr>
            </w:pPr>
            <w:r w:rsidRPr="00BD39E7">
              <w:rPr>
                <w:rFonts w:ascii="Arial" w:hAnsi="Arial" w:cs="Arial"/>
                <w:b/>
                <w:bCs/>
                <w:color w:val="000000"/>
                <w:sz w:val="20"/>
                <w:szCs w:val="20"/>
                <w:lang w:eastAsia="en-GB"/>
              </w:rPr>
              <w:t>Consumption</w:t>
            </w:r>
          </w:p>
        </w:tc>
        <w:tc>
          <w:tcPr>
            <w:tcW w:w="3734" w:type="dxa"/>
            <w:gridSpan w:val="3"/>
            <w:tcBorders>
              <w:top w:val="single" w:sz="8" w:space="0" w:color="auto"/>
              <w:left w:val="nil"/>
              <w:bottom w:val="single" w:sz="8" w:space="0" w:color="auto"/>
              <w:right w:val="single" w:sz="8" w:space="0" w:color="000000"/>
            </w:tcBorders>
            <w:noWrap/>
            <w:vAlign w:val="bottom"/>
            <w:hideMark/>
          </w:tcPr>
          <w:p w14:paraId="652DF5B6" w14:textId="77777777" w:rsidR="00CF0977" w:rsidRPr="00BD39E7" w:rsidRDefault="00CF0977" w:rsidP="00CF0977">
            <w:pPr>
              <w:jc w:val="both"/>
              <w:rPr>
                <w:rFonts w:ascii="Arial" w:hAnsi="Arial" w:cs="Arial"/>
                <w:b/>
                <w:bCs/>
                <w:color w:val="000000"/>
                <w:sz w:val="20"/>
                <w:szCs w:val="20"/>
                <w:lang w:eastAsia="en-GB"/>
              </w:rPr>
            </w:pPr>
            <w:r w:rsidRPr="00BD39E7">
              <w:rPr>
                <w:rFonts w:ascii="Arial" w:hAnsi="Arial" w:cs="Arial"/>
                <w:b/>
                <w:bCs/>
                <w:color w:val="000000"/>
                <w:sz w:val="20"/>
                <w:szCs w:val="20"/>
                <w:lang w:eastAsia="en-GB"/>
              </w:rPr>
              <w:t>Costs</w:t>
            </w:r>
          </w:p>
        </w:tc>
      </w:tr>
      <w:tr w:rsidR="00CF0977" w:rsidRPr="00BD39E7" w14:paraId="4FD243E8" w14:textId="77777777" w:rsidTr="005C3678">
        <w:trPr>
          <w:trHeight w:val="305"/>
        </w:trPr>
        <w:tc>
          <w:tcPr>
            <w:tcW w:w="1237" w:type="dxa"/>
            <w:vMerge/>
            <w:tcBorders>
              <w:top w:val="nil"/>
              <w:left w:val="single" w:sz="8" w:space="0" w:color="auto"/>
              <w:bottom w:val="single" w:sz="4" w:space="0" w:color="000000"/>
              <w:right w:val="single" w:sz="8" w:space="0" w:color="auto"/>
            </w:tcBorders>
            <w:vAlign w:val="center"/>
            <w:hideMark/>
          </w:tcPr>
          <w:p w14:paraId="196BD0A0" w14:textId="77777777" w:rsidR="00CF0977" w:rsidRPr="00BD39E7" w:rsidRDefault="00CF0977" w:rsidP="00CF0977">
            <w:pPr>
              <w:jc w:val="both"/>
              <w:rPr>
                <w:rFonts w:ascii="Arial" w:hAnsi="Arial" w:cs="Arial"/>
                <w:b/>
                <w:bCs/>
                <w:color w:val="000000"/>
                <w:sz w:val="20"/>
                <w:szCs w:val="20"/>
                <w:highlight w:val="yellow"/>
                <w:lang w:eastAsia="en-GB"/>
              </w:rPr>
            </w:pPr>
          </w:p>
        </w:tc>
        <w:tc>
          <w:tcPr>
            <w:tcW w:w="1397" w:type="dxa"/>
            <w:tcBorders>
              <w:top w:val="nil"/>
              <w:left w:val="nil"/>
              <w:bottom w:val="single" w:sz="4" w:space="0" w:color="auto"/>
              <w:right w:val="single" w:sz="4" w:space="0" w:color="auto"/>
            </w:tcBorders>
            <w:noWrap/>
            <w:vAlign w:val="bottom"/>
            <w:hideMark/>
          </w:tcPr>
          <w:p w14:paraId="582F3DE6" w14:textId="77777777" w:rsidR="00CF0977" w:rsidRPr="00BD39E7" w:rsidRDefault="00CF0977" w:rsidP="00CF0977">
            <w:pPr>
              <w:jc w:val="both"/>
              <w:rPr>
                <w:rFonts w:ascii="Arial" w:hAnsi="Arial" w:cs="Arial"/>
                <w:b/>
                <w:bCs/>
                <w:color w:val="000000"/>
                <w:sz w:val="20"/>
                <w:szCs w:val="20"/>
                <w:lang w:eastAsia="en-GB"/>
              </w:rPr>
            </w:pPr>
            <w:r w:rsidRPr="00BD39E7">
              <w:rPr>
                <w:rFonts w:ascii="Arial" w:hAnsi="Arial" w:cs="Arial"/>
                <w:b/>
                <w:bCs/>
                <w:color w:val="000000"/>
                <w:sz w:val="20"/>
                <w:szCs w:val="20"/>
                <w:lang w:eastAsia="en-GB"/>
              </w:rPr>
              <w:t>22-23</w:t>
            </w:r>
          </w:p>
        </w:tc>
        <w:tc>
          <w:tcPr>
            <w:tcW w:w="1391" w:type="dxa"/>
            <w:tcBorders>
              <w:top w:val="nil"/>
              <w:left w:val="nil"/>
              <w:bottom w:val="single" w:sz="4" w:space="0" w:color="auto"/>
              <w:right w:val="single" w:sz="4" w:space="0" w:color="auto"/>
            </w:tcBorders>
            <w:noWrap/>
            <w:vAlign w:val="bottom"/>
            <w:hideMark/>
          </w:tcPr>
          <w:p w14:paraId="27668E1A" w14:textId="77777777" w:rsidR="00CF0977" w:rsidRPr="00BD39E7" w:rsidRDefault="00CF0977" w:rsidP="00CF0977">
            <w:pPr>
              <w:jc w:val="both"/>
              <w:rPr>
                <w:rFonts w:ascii="Arial" w:hAnsi="Arial" w:cs="Arial"/>
                <w:b/>
                <w:bCs/>
                <w:color w:val="000000"/>
                <w:sz w:val="20"/>
                <w:szCs w:val="20"/>
                <w:lang w:eastAsia="en-GB"/>
              </w:rPr>
            </w:pPr>
            <w:r w:rsidRPr="00BD39E7">
              <w:rPr>
                <w:rFonts w:ascii="Arial" w:hAnsi="Arial" w:cs="Arial"/>
                <w:b/>
                <w:bCs/>
                <w:color w:val="000000"/>
                <w:sz w:val="20"/>
                <w:szCs w:val="20"/>
                <w:lang w:eastAsia="en-GB"/>
              </w:rPr>
              <w:t>23-24</w:t>
            </w:r>
          </w:p>
        </w:tc>
        <w:tc>
          <w:tcPr>
            <w:tcW w:w="1399" w:type="dxa"/>
            <w:tcBorders>
              <w:top w:val="nil"/>
              <w:left w:val="nil"/>
              <w:bottom w:val="single" w:sz="4" w:space="0" w:color="auto"/>
              <w:right w:val="single" w:sz="8" w:space="0" w:color="auto"/>
            </w:tcBorders>
            <w:noWrap/>
            <w:vAlign w:val="bottom"/>
            <w:hideMark/>
          </w:tcPr>
          <w:p w14:paraId="2466445A" w14:textId="77777777" w:rsidR="00CF0977" w:rsidRPr="00BD39E7" w:rsidRDefault="00CF0977" w:rsidP="00CF0977">
            <w:pPr>
              <w:jc w:val="both"/>
              <w:rPr>
                <w:rFonts w:ascii="Arial" w:hAnsi="Arial" w:cs="Arial"/>
                <w:b/>
                <w:bCs/>
                <w:color w:val="000000"/>
                <w:sz w:val="20"/>
                <w:szCs w:val="20"/>
                <w:lang w:eastAsia="en-GB"/>
              </w:rPr>
            </w:pPr>
            <w:r w:rsidRPr="00BD39E7">
              <w:rPr>
                <w:rFonts w:ascii="Arial" w:hAnsi="Arial" w:cs="Arial"/>
                <w:b/>
                <w:bCs/>
                <w:color w:val="000000"/>
                <w:sz w:val="20"/>
                <w:szCs w:val="20"/>
                <w:lang w:eastAsia="en-GB"/>
              </w:rPr>
              <w:t>24-25</w:t>
            </w:r>
          </w:p>
        </w:tc>
        <w:tc>
          <w:tcPr>
            <w:tcW w:w="1246" w:type="dxa"/>
            <w:tcBorders>
              <w:top w:val="nil"/>
              <w:left w:val="nil"/>
              <w:bottom w:val="single" w:sz="4" w:space="0" w:color="auto"/>
              <w:right w:val="single" w:sz="4" w:space="0" w:color="auto"/>
            </w:tcBorders>
            <w:noWrap/>
            <w:vAlign w:val="bottom"/>
            <w:hideMark/>
          </w:tcPr>
          <w:p w14:paraId="0259006C" w14:textId="77777777" w:rsidR="00CF0977" w:rsidRPr="00BD39E7" w:rsidRDefault="00CF0977" w:rsidP="00CF0977">
            <w:pPr>
              <w:jc w:val="both"/>
              <w:rPr>
                <w:rFonts w:ascii="Arial" w:hAnsi="Arial" w:cs="Arial"/>
                <w:b/>
                <w:bCs/>
                <w:color w:val="000000"/>
                <w:sz w:val="20"/>
                <w:szCs w:val="20"/>
                <w:lang w:eastAsia="en-GB"/>
              </w:rPr>
            </w:pPr>
            <w:r w:rsidRPr="00BD39E7">
              <w:rPr>
                <w:rFonts w:ascii="Arial" w:hAnsi="Arial" w:cs="Arial"/>
                <w:b/>
                <w:bCs/>
                <w:color w:val="000000"/>
                <w:sz w:val="20"/>
                <w:szCs w:val="20"/>
                <w:lang w:eastAsia="en-GB"/>
              </w:rPr>
              <w:t>22-23</w:t>
            </w:r>
          </w:p>
        </w:tc>
        <w:tc>
          <w:tcPr>
            <w:tcW w:w="1240" w:type="dxa"/>
            <w:tcBorders>
              <w:top w:val="nil"/>
              <w:left w:val="nil"/>
              <w:bottom w:val="single" w:sz="4" w:space="0" w:color="auto"/>
              <w:right w:val="single" w:sz="4" w:space="0" w:color="auto"/>
            </w:tcBorders>
            <w:noWrap/>
            <w:vAlign w:val="bottom"/>
            <w:hideMark/>
          </w:tcPr>
          <w:p w14:paraId="2B71ECE7" w14:textId="77777777" w:rsidR="00CF0977" w:rsidRPr="00BD39E7" w:rsidRDefault="00CF0977" w:rsidP="00CF0977">
            <w:pPr>
              <w:jc w:val="both"/>
              <w:rPr>
                <w:rFonts w:ascii="Arial" w:hAnsi="Arial" w:cs="Arial"/>
                <w:b/>
                <w:bCs/>
                <w:color w:val="000000"/>
                <w:sz w:val="20"/>
                <w:szCs w:val="20"/>
                <w:lang w:eastAsia="en-GB"/>
              </w:rPr>
            </w:pPr>
            <w:r w:rsidRPr="00BD39E7">
              <w:rPr>
                <w:rFonts w:ascii="Arial" w:hAnsi="Arial" w:cs="Arial"/>
                <w:b/>
                <w:bCs/>
                <w:color w:val="000000"/>
                <w:sz w:val="20"/>
                <w:szCs w:val="20"/>
                <w:lang w:eastAsia="en-GB"/>
              </w:rPr>
              <w:t>23-24</w:t>
            </w:r>
          </w:p>
        </w:tc>
        <w:tc>
          <w:tcPr>
            <w:tcW w:w="1248" w:type="dxa"/>
            <w:tcBorders>
              <w:top w:val="nil"/>
              <w:left w:val="nil"/>
              <w:bottom w:val="single" w:sz="4" w:space="0" w:color="auto"/>
              <w:right w:val="single" w:sz="8" w:space="0" w:color="auto"/>
            </w:tcBorders>
            <w:noWrap/>
            <w:vAlign w:val="bottom"/>
            <w:hideMark/>
          </w:tcPr>
          <w:p w14:paraId="4C9A2034" w14:textId="77777777" w:rsidR="00CF0977" w:rsidRPr="00BD39E7" w:rsidRDefault="00CF0977" w:rsidP="00CF0977">
            <w:pPr>
              <w:jc w:val="both"/>
              <w:rPr>
                <w:rFonts w:ascii="Arial" w:hAnsi="Arial" w:cs="Arial"/>
                <w:b/>
                <w:bCs/>
                <w:color w:val="000000"/>
                <w:sz w:val="20"/>
                <w:szCs w:val="20"/>
                <w:lang w:eastAsia="en-GB"/>
              </w:rPr>
            </w:pPr>
            <w:r w:rsidRPr="00BD39E7">
              <w:rPr>
                <w:rFonts w:ascii="Arial" w:hAnsi="Arial" w:cs="Arial"/>
                <w:b/>
                <w:bCs/>
                <w:color w:val="000000"/>
                <w:sz w:val="20"/>
                <w:szCs w:val="20"/>
                <w:lang w:eastAsia="en-GB"/>
              </w:rPr>
              <w:t>24-25</w:t>
            </w:r>
          </w:p>
        </w:tc>
      </w:tr>
      <w:tr w:rsidR="00CF0977" w:rsidRPr="00BD39E7" w14:paraId="13380DD4" w14:textId="77777777" w:rsidTr="005C3678">
        <w:trPr>
          <w:trHeight w:val="305"/>
        </w:trPr>
        <w:tc>
          <w:tcPr>
            <w:tcW w:w="1237" w:type="dxa"/>
            <w:vMerge/>
            <w:tcBorders>
              <w:top w:val="nil"/>
              <w:left w:val="single" w:sz="8" w:space="0" w:color="auto"/>
              <w:bottom w:val="single" w:sz="4" w:space="0" w:color="000000"/>
              <w:right w:val="single" w:sz="8" w:space="0" w:color="auto"/>
            </w:tcBorders>
            <w:vAlign w:val="center"/>
            <w:hideMark/>
          </w:tcPr>
          <w:p w14:paraId="5083ED07" w14:textId="77777777" w:rsidR="00CF0977" w:rsidRPr="00BD39E7" w:rsidRDefault="00CF0977" w:rsidP="00CF0977">
            <w:pPr>
              <w:jc w:val="both"/>
              <w:rPr>
                <w:rFonts w:ascii="Arial" w:hAnsi="Arial" w:cs="Arial"/>
                <w:b/>
                <w:bCs/>
                <w:color w:val="000000"/>
                <w:sz w:val="20"/>
                <w:szCs w:val="20"/>
                <w:highlight w:val="yellow"/>
                <w:lang w:eastAsia="en-GB"/>
              </w:rPr>
            </w:pPr>
          </w:p>
        </w:tc>
        <w:tc>
          <w:tcPr>
            <w:tcW w:w="1397" w:type="dxa"/>
            <w:tcBorders>
              <w:top w:val="nil"/>
              <w:left w:val="nil"/>
              <w:bottom w:val="single" w:sz="4" w:space="0" w:color="auto"/>
              <w:right w:val="single" w:sz="4" w:space="0" w:color="auto"/>
            </w:tcBorders>
            <w:noWrap/>
            <w:vAlign w:val="bottom"/>
            <w:hideMark/>
          </w:tcPr>
          <w:p w14:paraId="702905E6" w14:textId="77777777" w:rsidR="00CF0977" w:rsidRPr="00BD39E7" w:rsidRDefault="00CF0977" w:rsidP="00CF0977">
            <w:pPr>
              <w:jc w:val="both"/>
              <w:rPr>
                <w:rFonts w:ascii="Arial" w:hAnsi="Arial" w:cs="Arial"/>
                <w:b/>
                <w:bCs/>
                <w:color w:val="000000"/>
                <w:sz w:val="20"/>
                <w:szCs w:val="20"/>
                <w:lang w:eastAsia="en-GB"/>
              </w:rPr>
            </w:pPr>
            <w:r w:rsidRPr="00BD39E7">
              <w:rPr>
                <w:rFonts w:ascii="Arial" w:hAnsi="Arial" w:cs="Arial"/>
                <w:b/>
                <w:bCs/>
                <w:color w:val="000000"/>
                <w:sz w:val="20"/>
                <w:szCs w:val="20"/>
                <w:lang w:eastAsia="en-GB"/>
              </w:rPr>
              <w:t>KWH</w:t>
            </w:r>
          </w:p>
        </w:tc>
        <w:tc>
          <w:tcPr>
            <w:tcW w:w="1391" w:type="dxa"/>
            <w:tcBorders>
              <w:top w:val="nil"/>
              <w:left w:val="nil"/>
              <w:bottom w:val="single" w:sz="4" w:space="0" w:color="auto"/>
              <w:right w:val="single" w:sz="4" w:space="0" w:color="auto"/>
            </w:tcBorders>
            <w:noWrap/>
            <w:vAlign w:val="bottom"/>
            <w:hideMark/>
          </w:tcPr>
          <w:p w14:paraId="70D43905" w14:textId="77777777" w:rsidR="00CF0977" w:rsidRPr="00BD39E7" w:rsidRDefault="00CF0977" w:rsidP="00CF0977">
            <w:pPr>
              <w:jc w:val="both"/>
              <w:rPr>
                <w:rFonts w:ascii="Arial" w:hAnsi="Arial" w:cs="Arial"/>
                <w:b/>
                <w:bCs/>
                <w:color w:val="000000"/>
                <w:sz w:val="20"/>
                <w:szCs w:val="20"/>
                <w:lang w:eastAsia="en-GB"/>
              </w:rPr>
            </w:pPr>
            <w:r w:rsidRPr="00BD39E7">
              <w:rPr>
                <w:rFonts w:ascii="Arial" w:hAnsi="Arial" w:cs="Arial"/>
                <w:b/>
                <w:bCs/>
                <w:color w:val="000000"/>
                <w:sz w:val="20"/>
                <w:szCs w:val="20"/>
                <w:lang w:eastAsia="en-GB"/>
              </w:rPr>
              <w:t>KWH</w:t>
            </w:r>
          </w:p>
        </w:tc>
        <w:tc>
          <w:tcPr>
            <w:tcW w:w="1399" w:type="dxa"/>
            <w:tcBorders>
              <w:top w:val="nil"/>
              <w:left w:val="nil"/>
              <w:bottom w:val="single" w:sz="4" w:space="0" w:color="auto"/>
              <w:right w:val="single" w:sz="8" w:space="0" w:color="auto"/>
            </w:tcBorders>
            <w:noWrap/>
            <w:vAlign w:val="bottom"/>
            <w:hideMark/>
          </w:tcPr>
          <w:p w14:paraId="189C6762" w14:textId="77777777" w:rsidR="00CF0977" w:rsidRPr="00BD39E7" w:rsidRDefault="00CF0977" w:rsidP="00CF0977">
            <w:pPr>
              <w:jc w:val="both"/>
              <w:rPr>
                <w:rFonts w:ascii="Arial" w:hAnsi="Arial" w:cs="Arial"/>
                <w:b/>
                <w:bCs/>
                <w:color w:val="000000"/>
                <w:sz w:val="20"/>
                <w:szCs w:val="20"/>
                <w:lang w:eastAsia="en-GB"/>
              </w:rPr>
            </w:pPr>
            <w:r w:rsidRPr="00BD39E7">
              <w:rPr>
                <w:rFonts w:ascii="Arial" w:hAnsi="Arial" w:cs="Arial"/>
                <w:b/>
                <w:bCs/>
                <w:color w:val="000000"/>
                <w:sz w:val="20"/>
                <w:szCs w:val="20"/>
                <w:lang w:eastAsia="en-GB"/>
              </w:rPr>
              <w:t xml:space="preserve">KWH </w:t>
            </w:r>
          </w:p>
        </w:tc>
        <w:tc>
          <w:tcPr>
            <w:tcW w:w="1246" w:type="dxa"/>
            <w:tcBorders>
              <w:top w:val="nil"/>
              <w:left w:val="nil"/>
              <w:bottom w:val="single" w:sz="4" w:space="0" w:color="auto"/>
              <w:right w:val="single" w:sz="4" w:space="0" w:color="auto"/>
            </w:tcBorders>
            <w:noWrap/>
            <w:vAlign w:val="bottom"/>
            <w:hideMark/>
          </w:tcPr>
          <w:p w14:paraId="4336EA1A" w14:textId="77777777" w:rsidR="00CF0977" w:rsidRPr="00BD39E7" w:rsidRDefault="00CF0977" w:rsidP="00CF0977">
            <w:pPr>
              <w:jc w:val="both"/>
              <w:rPr>
                <w:rFonts w:ascii="Arial" w:hAnsi="Arial" w:cs="Arial"/>
                <w:b/>
                <w:bCs/>
                <w:color w:val="000000"/>
                <w:sz w:val="20"/>
                <w:szCs w:val="20"/>
                <w:lang w:eastAsia="en-GB"/>
              </w:rPr>
            </w:pPr>
            <w:r w:rsidRPr="00BD39E7">
              <w:rPr>
                <w:rFonts w:ascii="Arial" w:hAnsi="Arial" w:cs="Arial"/>
                <w:b/>
                <w:bCs/>
                <w:color w:val="000000"/>
                <w:sz w:val="20"/>
                <w:szCs w:val="20"/>
                <w:lang w:eastAsia="en-GB"/>
              </w:rPr>
              <w:t>£</w:t>
            </w:r>
          </w:p>
        </w:tc>
        <w:tc>
          <w:tcPr>
            <w:tcW w:w="1240" w:type="dxa"/>
            <w:tcBorders>
              <w:top w:val="nil"/>
              <w:left w:val="nil"/>
              <w:bottom w:val="single" w:sz="4" w:space="0" w:color="auto"/>
              <w:right w:val="single" w:sz="4" w:space="0" w:color="auto"/>
            </w:tcBorders>
            <w:noWrap/>
            <w:vAlign w:val="bottom"/>
            <w:hideMark/>
          </w:tcPr>
          <w:p w14:paraId="2CBFB692" w14:textId="77777777" w:rsidR="00CF0977" w:rsidRPr="00BD39E7" w:rsidRDefault="00CF0977" w:rsidP="00CF0977">
            <w:pPr>
              <w:jc w:val="both"/>
              <w:rPr>
                <w:rFonts w:ascii="Arial" w:hAnsi="Arial" w:cs="Arial"/>
                <w:b/>
                <w:bCs/>
                <w:color w:val="000000"/>
                <w:sz w:val="20"/>
                <w:szCs w:val="20"/>
                <w:lang w:eastAsia="en-GB"/>
              </w:rPr>
            </w:pPr>
            <w:r w:rsidRPr="00BD39E7">
              <w:rPr>
                <w:rFonts w:ascii="Arial" w:hAnsi="Arial" w:cs="Arial"/>
                <w:b/>
                <w:bCs/>
                <w:color w:val="000000"/>
                <w:sz w:val="20"/>
                <w:szCs w:val="20"/>
                <w:lang w:eastAsia="en-GB"/>
              </w:rPr>
              <w:t>£</w:t>
            </w:r>
          </w:p>
        </w:tc>
        <w:tc>
          <w:tcPr>
            <w:tcW w:w="1248" w:type="dxa"/>
            <w:tcBorders>
              <w:top w:val="nil"/>
              <w:left w:val="nil"/>
              <w:bottom w:val="single" w:sz="4" w:space="0" w:color="auto"/>
              <w:right w:val="single" w:sz="8" w:space="0" w:color="auto"/>
            </w:tcBorders>
            <w:noWrap/>
            <w:vAlign w:val="bottom"/>
            <w:hideMark/>
          </w:tcPr>
          <w:p w14:paraId="51CBD1AF" w14:textId="77777777" w:rsidR="00CF0977" w:rsidRPr="00BD39E7" w:rsidRDefault="00CF0977" w:rsidP="00CF0977">
            <w:pPr>
              <w:jc w:val="both"/>
              <w:rPr>
                <w:rFonts w:ascii="Arial" w:hAnsi="Arial" w:cs="Arial"/>
                <w:b/>
                <w:bCs/>
                <w:color w:val="000000"/>
                <w:sz w:val="20"/>
                <w:szCs w:val="20"/>
                <w:lang w:eastAsia="en-GB"/>
              </w:rPr>
            </w:pPr>
            <w:r w:rsidRPr="00BD39E7">
              <w:rPr>
                <w:rFonts w:ascii="Arial" w:hAnsi="Arial" w:cs="Arial"/>
                <w:b/>
                <w:bCs/>
                <w:color w:val="000000"/>
                <w:sz w:val="20"/>
                <w:szCs w:val="20"/>
                <w:lang w:eastAsia="en-GB"/>
              </w:rPr>
              <w:t>£</w:t>
            </w:r>
          </w:p>
        </w:tc>
      </w:tr>
      <w:tr w:rsidR="00CF0977" w:rsidRPr="00BD39E7" w14:paraId="486B24E6" w14:textId="77777777" w:rsidTr="005C3678">
        <w:trPr>
          <w:trHeight w:val="305"/>
        </w:trPr>
        <w:tc>
          <w:tcPr>
            <w:tcW w:w="1237" w:type="dxa"/>
            <w:tcBorders>
              <w:top w:val="nil"/>
              <w:left w:val="single" w:sz="8" w:space="0" w:color="auto"/>
              <w:bottom w:val="single" w:sz="4" w:space="0" w:color="auto"/>
              <w:right w:val="nil"/>
            </w:tcBorders>
            <w:noWrap/>
            <w:vAlign w:val="bottom"/>
            <w:hideMark/>
          </w:tcPr>
          <w:p w14:paraId="68773D07" w14:textId="77777777" w:rsidR="00CF0977" w:rsidRPr="00BD39E7" w:rsidRDefault="00CF0977" w:rsidP="00CF0977">
            <w:pPr>
              <w:jc w:val="both"/>
              <w:rPr>
                <w:rFonts w:ascii="Arial" w:hAnsi="Arial" w:cs="Arial"/>
                <w:color w:val="000000"/>
                <w:sz w:val="20"/>
                <w:szCs w:val="20"/>
                <w:lang w:eastAsia="en-GB"/>
              </w:rPr>
            </w:pPr>
            <w:r w:rsidRPr="00BD39E7">
              <w:rPr>
                <w:rFonts w:ascii="Arial" w:hAnsi="Arial" w:cs="Arial"/>
                <w:color w:val="000000"/>
                <w:sz w:val="20"/>
                <w:szCs w:val="20"/>
                <w:lang w:eastAsia="en-GB"/>
              </w:rPr>
              <w:t>Gas</w:t>
            </w:r>
          </w:p>
        </w:tc>
        <w:tc>
          <w:tcPr>
            <w:tcW w:w="1397" w:type="dxa"/>
            <w:tcBorders>
              <w:top w:val="nil"/>
              <w:left w:val="single" w:sz="8" w:space="0" w:color="auto"/>
              <w:bottom w:val="single" w:sz="4" w:space="0" w:color="auto"/>
              <w:right w:val="single" w:sz="4" w:space="0" w:color="auto"/>
            </w:tcBorders>
            <w:noWrap/>
            <w:vAlign w:val="bottom"/>
            <w:hideMark/>
          </w:tcPr>
          <w:p w14:paraId="416D2C88" w14:textId="77777777" w:rsidR="00CF0977" w:rsidRPr="00BD39E7" w:rsidRDefault="00CF0977" w:rsidP="00CF0977">
            <w:pPr>
              <w:jc w:val="both"/>
              <w:rPr>
                <w:rFonts w:ascii="Arial" w:hAnsi="Arial" w:cs="Arial"/>
                <w:color w:val="000000"/>
                <w:sz w:val="20"/>
                <w:szCs w:val="20"/>
                <w:lang w:eastAsia="en-GB"/>
              </w:rPr>
            </w:pPr>
            <w:r w:rsidRPr="00BD39E7">
              <w:rPr>
                <w:rFonts w:ascii="Arial" w:hAnsi="Arial" w:cs="Arial"/>
                <w:color w:val="000000"/>
                <w:sz w:val="20"/>
                <w:szCs w:val="20"/>
                <w:lang w:eastAsia="en-GB"/>
              </w:rPr>
              <w:t>46,214,831</w:t>
            </w:r>
          </w:p>
        </w:tc>
        <w:tc>
          <w:tcPr>
            <w:tcW w:w="1391" w:type="dxa"/>
            <w:tcBorders>
              <w:top w:val="nil"/>
              <w:left w:val="nil"/>
              <w:bottom w:val="single" w:sz="4" w:space="0" w:color="auto"/>
              <w:right w:val="single" w:sz="4" w:space="0" w:color="auto"/>
            </w:tcBorders>
            <w:noWrap/>
            <w:vAlign w:val="bottom"/>
            <w:hideMark/>
          </w:tcPr>
          <w:p w14:paraId="145221F8" w14:textId="77777777" w:rsidR="00CF0977" w:rsidRPr="00BD39E7" w:rsidRDefault="00CF0977" w:rsidP="00CF0977">
            <w:pPr>
              <w:jc w:val="both"/>
              <w:rPr>
                <w:rFonts w:ascii="Arial" w:hAnsi="Arial" w:cs="Arial"/>
                <w:color w:val="000000"/>
                <w:sz w:val="20"/>
                <w:szCs w:val="20"/>
                <w:lang w:eastAsia="en-GB"/>
              </w:rPr>
            </w:pPr>
            <w:r w:rsidRPr="00BD39E7">
              <w:rPr>
                <w:rFonts w:ascii="Arial" w:hAnsi="Arial" w:cs="Arial"/>
                <w:color w:val="000000"/>
                <w:sz w:val="20"/>
                <w:szCs w:val="20"/>
                <w:lang w:eastAsia="en-GB"/>
              </w:rPr>
              <w:t>40,064,445</w:t>
            </w:r>
          </w:p>
        </w:tc>
        <w:tc>
          <w:tcPr>
            <w:tcW w:w="1399" w:type="dxa"/>
            <w:tcBorders>
              <w:top w:val="nil"/>
              <w:left w:val="nil"/>
              <w:bottom w:val="single" w:sz="4" w:space="0" w:color="auto"/>
              <w:right w:val="single" w:sz="8" w:space="0" w:color="auto"/>
            </w:tcBorders>
            <w:noWrap/>
            <w:vAlign w:val="bottom"/>
            <w:hideMark/>
          </w:tcPr>
          <w:p w14:paraId="2DEDE24A" w14:textId="77777777" w:rsidR="00CF0977" w:rsidRPr="00BD39E7" w:rsidRDefault="00CF0977" w:rsidP="00CF0977">
            <w:pPr>
              <w:jc w:val="both"/>
              <w:rPr>
                <w:rFonts w:ascii="Arial" w:hAnsi="Arial" w:cs="Arial"/>
                <w:color w:val="000000"/>
                <w:sz w:val="20"/>
                <w:szCs w:val="20"/>
                <w:highlight w:val="yellow"/>
                <w:lang w:eastAsia="en-GB"/>
              </w:rPr>
            </w:pPr>
            <w:r w:rsidRPr="00BD39E7">
              <w:rPr>
                <w:rFonts w:ascii="Arial" w:hAnsi="Arial" w:cs="Arial"/>
                <w:color w:val="000000"/>
                <w:sz w:val="20"/>
                <w:szCs w:val="20"/>
                <w:lang w:eastAsia="en-GB"/>
              </w:rPr>
              <w:t>47,774,886.52</w:t>
            </w:r>
          </w:p>
        </w:tc>
        <w:tc>
          <w:tcPr>
            <w:tcW w:w="1246" w:type="dxa"/>
            <w:tcBorders>
              <w:top w:val="nil"/>
              <w:left w:val="nil"/>
              <w:bottom w:val="single" w:sz="4" w:space="0" w:color="auto"/>
              <w:right w:val="single" w:sz="4" w:space="0" w:color="auto"/>
            </w:tcBorders>
            <w:noWrap/>
            <w:vAlign w:val="bottom"/>
            <w:hideMark/>
          </w:tcPr>
          <w:p w14:paraId="1A0EF765" w14:textId="77777777" w:rsidR="00CF0977" w:rsidRPr="00BD39E7" w:rsidRDefault="00CF0977" w:rsidP="00CF0977">
            <w:pPr>
              <w:jc w:val="both"/>
              <w:rPr>
                <w:rFonts w:ascii="Arial" w:hAnsi="Arial" w:cs="Arial"/>
                <w:color w:val="000000"/>
                <w:sz w:val="20"/>
                <w:szCs w:val="20"/>
                <w:lang w:eastAsia="en-GB"/>
              </w:rPr>
            </w:pPr>
            <w:r w:rsidRPr="00BD39E7">
              <w:rPr>
                <w:rFonts w:ascii="Arial" w:hAnsi="Arial" w:cs="Arial"/>
                <w:color w:val="000000"/>
                <w:sz w:val="20"/>
                <w:szCs w:val="20"/>
                <w:lang w:eastAsia="en-GB"/>
              </w:rPr>
              <w:t>3,300,348</w:t>
            </w:r>
          </w:p>
        </w:tc>
        <w:tc>
          <w:tcPr>
            <w:tcW w:w="1240" w:type="dxa"/>
            <w:tcBorders>
              <w:top w:val="nil"/>
              <w:left w:val="nil"/>
              <w:bottom w:val="single" w:sz="4" w:space="0" w:color="auto"/>
              <w:right w:val="single" w:sz="4" w:space="0" w:color="auto"/>
            </w:tcBorders>
            <w:noWrap/>
            <w:vAlign w:val="bottom"/>
            <w:hideMark/>
          </w:tcPr>
          <w:p w14:paraId="4B358E3F" w14:textId="77777777" w:rsidR="00CF0977" w:rsidRPr="00BD39E7" w:rsidRDefault="00CF0977" w:rsidP="00CF0977">
            <w:pPr>
              <w:jc w:val="both"/>
              <w:rPr>
                <w:rFonts w:ascii="Arial" w:hAnsi="Arial" w:cs="Arial"/>
                <w:color w:val="000000"/>
                <w:sz w:val="20"/>
                <w:szCs w:val="20"/>
                <w:lang w:eastAsia="en-GB"/>
              </w:rPr>
            </w:pPr>
            <w:r w:rsidRPr="00BD39E7">
              <w:rPr>
                <w:rFonts w:ascii="Arial" w:hAnsi="Arial" w:cs="Arial"/>
                <w:color w:val="000000"/>
                <w:sz w:val="20"/>
                <w:szCs w:val="20"/>
                <w:lang w:eastAsia="en-GB"/>
              </w:rPr>
              <w:t>4,016,482</w:t>
            </w:r>
          </w:p>
        </w:tc>
        <w:tc>
          <w:tcPr>
            <w:tcW w:w="1248" w:type="dxa"/>
            <w:tcBorders>
              <w:top w:val="nil"/>
              <w:left w:val="nil"/>
              <w:bottom w:val="single" w:sz="4" w:space="0" w:color="auto"/>
              <w:right w:val="single" w:sz="8" w:space="0" w:color="auto"/>
            </w:tcBorders>
            <w:noWrap/>
            <w:vAlign w:val="bottom"/>
            <w:hideMark/>
          </w:tcPr>
          <w:p w14:paraId="609ED556" w14:textId="77777777" w:rsidR="00CF0977" w:rsidRPr="00BD39E7" w:rsidRDefault="00CF0977" w:rsidP="00CF0977">
            <w:pPr>
              <w:jc w:val="both"/>
              <w:rPr>
                <w:rFonts w:ascii="Arial" w:hAnsi="Arial" w:cs="Arial"/>
                <w:color w:val="000000"/>
                <w:sz w:val="20"/>
                <w:szCs w:val="20"/>
                <w:lang w:eastAsia="en-GB"/>
              </w:rPr>
            </w:pPr>
            <w:r w:rsidRPr="00BD39E7">
              <w:rPr>
                <w:rFonts w:ascii="Arial" w:hAnsi="Arial" w:cs="Arial"/>
                <w:color w:val="000000"/>
                <w:sz w:val="20"/>
                <w:szCs w:val="20"/>
                <w:lang w:eastAsia="en-GB"/>
              </w:rPr>
              <w:t>2,172,447</w:t>
            </w:r>
          </w:p>
        </w:tc>
      </w:tr>
      <w:tr w:rsidR="00CF0977" w:rsidRPr="00BD39E7" w14:paraId="7263811F" w14:textId="77777777" w:rsidTr="005C3678">
        <w:trPr>
          <w:trHeight w:val="305"/>
        </w:trPr>
        <w:tc>
          <w:tcPr>
            <w:tcW w:w="1237" w:type="dxa"/>
            <w:tcBorders>
              <w:top w:val="nil"/>
              <w:left w:val="single" w:sz="8" w:space="0" w:color="auto"/>
              <w:bottom w:val="single" w:sz="4" w:space="0" w:color="auto"/>
              <w:right w:val="nil"/>
            </w:tcBorders>
            <w:noWrap/>
            <w:vAlign w:val="bottom"/>
            <w:hideMark/>
          </w:tcPr>
          <w:p w14:paraId="51737188" w14:textId="77777777" w:rsidR="00CF0977" w:rsidRPr="00BD39E7" w:rsidRDefault="00CF0977" w:rsidP="00CF0977">
            <w:pPr>
              <w:jc w:val="both"/>
              <w:rPr>
                <w:rFonts w:ascii="Arial" w:hAnsi="Arial" w:cs="Arial"/>
                <w:color w:val="000000"/>
                <w:sz w:val="20"/>
                <w:szCs w:val="20"/>
                <w:lang w:eastAsia="en-GB"/>
              </w:rPr>
            </w:pPr>
            <w:r w:rsidRPr="00BD39E7">
              <w:rPr>
                <w:rFonts w:ascii="Arial" w:hAnsi="Arial" w:cs="Arial"/>
                <w:color w:val="000000"/>
                <w:sz w:val="20"/>
                <w:szCs w:val="20"/>
                <w:lang w:eastAsia="en-GB"/>
              </w:rPr>
              <w:t>Electricity</w:t>
            </w:r>
          </w:p>
        </w:tc>
        <w:tc>
          <w:tcPr>
            <w:tcW w:w="1397" w:type="dxa"/>
            <w:tcBorders>
              <w:top w:val="nil"/>
              <w:left w:val="single" w:sz="8" w:space="0" w:color="auto"/>
              <w:bottom w:val="single" w:sz="4" w:space="0" w:color="auto"/>
              <w:right w:val="single" w:sz="4" w:space="0" w:color="auto"/>
            </w:tcBorders>
            <w:noWrap/>
            <w:vAlign w:val="bottom"/>
            <w:hideMark/>
          </w:tcPr>
          <w:p w14:paraId="54D75069" w14:textId="77777777" w:rsidR="00CF0977" w:rsidRPr="00BD39E7" w:rsidRDefault="00CF0977" w:rsidP="00CF0977">
            <w:pPr>
              <w:jc w:val="both"/>
              <w:rPr>
                <w:rFonts w:ascii="Arial" w:hAnsi="Arial" w:cs="Arial"/>
                <w:color w:val="000000"/>
                <w:sz w:val="20"/>
                <w:szCs w:val="20"/>
                <w:lang w:eastAsia="en-GB"/>
              </w:rPr>
            </w:pPr>
            <w:r w:rsidRPr="00BD39E7">
              <w:rPr>
                <w:rFonts w:ascii="Arial" w:hAnsi="Arial" w:cs="Arial"/>
                <w:color w:val="000000"/>
                <w:sz w:val="20"/>
                <w:szCs w:val="20"/>
                <w:lang w:eastAsia="en-GB"/>
              </w:rPr>
              <w:t>8,565,071</w:t>
            </w:r>
          </w:p>
        </w:tc>
        <w:tc>
          <w:tcPr>
            <w:tcW w:w="1391" w:type="dxa"/>
            <w:tcBorders>
              <w:top w:val="nil"/>
              <w:left w:val="nil"/>
              <w:bottom w:val="single" w:sz="4" w:space="0" w:color="auto"/>
              <w:right w:val="single" w:sz="4" w:space="0" w:color="auto"/>
            </w:tcBorders>
            <w:noWrap/>
            <w:vAlign w:val="bottom"/>
            <w:hideMark/>
          </w:tcPr>
          <w:p w14:paraId="6334BC76" w14:textId="77777777" w:rsidR="00CF0977" w:rsidRPr="00BD39E7" w:rsidRDefault="00CF0977" w:rsidP="00CF0977">
            <w:pPr>
              <w:jc w:val="both"/>
              <w:rPr>
                <w:rFonts w:ascii="Arial" w:hAnsi="Arial" w:cs="Arial"/>
                <w:color w:val="000000"/>
                <w:sz w:val="20"/>
                <w:szCs w:val="20"/>
                <w:lang w:eastAsia="en-GB"/>
              </w:rPr>
            </w:pPr>
            <w:r w:rsidRPr="00BD39E7">
              <w:rPr>
                <w:rFonts w:ascii="Arial" w:hAnsi="Arial" w:cs="Arial"/>
                <w:color w:val="000000"/>
                <w:sz w:val="20"/>
                <w:szCs w:val="20"/>
                <w:lang w:eastAsia="en-GB"/>
              </w:rPr>
              <w:t>10,473,540</w:t>
            </w:r>
          </w:p>
        </w:tc>
        <w:tc>
          <w:tcPr>
            <w:tcW w:w="1399" w:type="dxa"/>
            <w:tcBorders>
              <w:top w:val="nil"/>
              <w:left w:val="nil"/>
              <w:bottom w:val="single" w:sz="4" w:space="0" w:color="auto"/>
              <w:right w:val="single" w:sz="8" w:space="0" w:color="auto"/>
            </w:tcBorders>
            <w:noWrap/>
            <w:vAlign w:val="bottom"/>
            <w:hideMark/>
          </w:tcPr>
          <w:p w14:paraId="792EDF6B" w14:textId="77777777" w:rsidR="00CF0977" w:rsidRPr="00BD39E7" w:rsidRDefault="00CF0977" w:rsidP="00CF0977">
            <w:pPr>
              <w:jc w:val="both"/>
              <w:rPr>
                <w:rFonts w:ascii="Arial" w:hAnsi="Arial" w:cs="Arial"/>
                <w:color w:val="000000"/>
                <w:sz w:val="20"/>
                <w:szCs w:val="20"/>
                <w:highlight w:val="yellow"/>
                <w:lang w:eastAsia="en-GB"/>
              </w:rPr>
            </w:pPr>
            <w:r w:rsidRPr="00BD39E7">
              <w:rPr>
                <w:rFonts w:ascii="Arial" w:hAnsi="Arial" w:cs="Arial"/>
                <w:color w:val="000000"/>
                <w:sz w:val="20"/>
                <w:szCs w:val="20"/>
                <w:lang w:eastAsia="en-GB"/>
              </w:rPr>
              <w:t>8,199,484</w:t>
            </w:r>
          </w:p>
        </w:tc>
        <w:tc>
          <w:tcPr>
            <w:tcW w:w="1246" w:type="dxa"/>
            <w:tcBorders>
              <w:top w:val="nil"/>
              <w:left w:val="nil"/>
              <w:bottom w:val="single" w:sz="4" w:space="0" w:color="auto"/>
              <w:right w:val="single" w:sz="4" w:space="0" w:color="auto"/>
            </w:tcBorders>
            <w:noWrap/>
            <w:vAlign w:val="bottom"/>
            <w:hideMark/>
          </w:tcPr>
          <w:p w14:paraId="163E02EF" w14:textId="77777777" w:rsidR="00CF0977" w:rsidRPr="00BD39E7" w:rsidRDefault="00CF0977" w:rsidP="00CF0977">
            <w:pPr>
              <w:jc w:val="both"/>
              <w:rPr>
                <w:rFonts w:ascii="Arial" w:hAnsi="Arial" w:cs="Arial"/>
                <w:color w:val="000000"/>
                <w:sz w:val="20"/>
                <w:szCs w:val="20"/>
                <w:lang w:eastAsia="en-GB"/>
              </w:rPr>
            </w:pPr>
            <w:r w:rsidRPr="00BD39E7">
              <w:rPr>
                <w:rFonts w:ascii="Arial" w:hAnsi="Arial" w:cs="Arial"/>
                <w:color w:val="000000"/>
                <w:sz w:val="20"/>
                <w:szCs w:val="20"/>
                <w:lang w:eastAsia="en-GB"/>
              </w:rPr>
              <w:t>2,344,706</w:t>
            </w:r>
          </w:p>
        </w:tc>
        <w:tc>
          <w:tcPr>
            <w:tcW w:w="1240" w:type="dxa"/>
            <w:tcBorders>
              <w:top w:val="nil"/>
              <w:left w:val="nil"/>
              <w:bottom w:val="single" w:sz="4" w:space="0" w:color="auto"/>
              <w:right w:val="single" w:sz="4" w:space="0" w:color="auto"/>
            </w:tcBorders>
            <w:noWrap/>
            <w:vAlign w:val="bottom"/>
            <w:hideMark/>
          </w:tcPr>
          <w:p w14:paraId="6403566D" w14:textId="77777777" w:rsidR="00CF0977" w:rsidRPr="00BD39E7" w:rsidRDefault="00CF0977" w:rsidP="00CF0977">
            <w:pPr>
              <w:jc w:val="both"/>
              <w:rPr>
                <w:rFonts w:ascii="Arial" w:hAnsi="Arial" w:cs="Arial"/>
                <w:color w:val="000000"/>
                <w:sz w:val="20"/>
                <w:szCs w:val="20"/>
                <w:lang w:eastAsia="en-GB"/>
              </w:rPr>
            </w:pPr>
            <w:r w:rsidRPr="00BD39E7">
              <w:rPr>
                <w:rFonts w:ascii="Arial" w:hAnsi="Arial" w:cs="Arial"/>
                <w:color w:val="000000"/>
                <w:sz w:val="20"/>
                <w:szCs w:val="20"/>
                <w:lang w:eastAsia="en-GB"/>
              </w:rPr>
              <w:t>4,174,831</w:t>
            </w:r>
          </w:p>
        </w:tc>
        <w:tc>
          <w:tcPr>
            <w:tcW w:w="1248" w:type="dxa"/>
            <w:tcBorders>
              <w:top w:val="nil"/>
              <w:left w:val="nil"/>
              <w:bottom w:val="single" w:sz="4" w:space="0" w:color="auto"/>
              <w:right w:val="single" w:sz="8" w:space="0" w:color="auto"/>
            </w:tcBorders>
            <w:noWrap/>
            <w:vAlign w:val="bottom"/>
            <w:hideMark/>
          </w:tcPr>
          <w:p w14:paraId="6F177800" w14:textId="77777777" w:rsidR="00CF0977" w:rsidRPr="00BD39E7" w:rsidRDefault="00CF0977" w:rsidP="00CF0977">
            <w:pPr>
              <w:jc w:val="both"/>
              <w:rPr>
                <w:rFonts w:ascii="Arial" w:hAnsi="Arial" w:cs="Arial"/>
                <w:color w:val="000000"/>
                <w:sz w:val="20"/>
                <w:szCs w:val="20"/>
                <w:lang w:eastAsia="en-GB"/>
              </w:rPr>
            </w:pPr>
            <w:r w:rsidRPr="00BD39E7">
              <w:rPr>
                <w:rFonts w:ascii="Arial" w:hAnsi="Arial" w:cs="Arial"/>
                <w:color w:val="000000"/>
                <w:sz w:val="20"/>
                <w:szCs w:val="20"/>
                <w:lang w:eastAsia="en-GB"/>
              </w:rPr>
              <w:t>2,080,260</w:t>
            </w:r>
          </w:p>
        </w:tc>
      </w:tr>
      <w:tr w:rsidR="00CF0977" w:rsidRPr="00BD39E7" w14:paraId="5BF39361" w14:textId="77777777" w:rsidTr="005C3678">
        <w:trPr>
          <w:trHeight w:val="317"/>
        </w:trPr>
        <w:tc>
          <w:tcPr>
            <w:tcW w:w="1237" w:type="dxa"/>
            <w:tcBorders>
              <w:top w:val="nil"/>
              <w:left w:val="single" w:sz="8" w:space="0" w:color="auto"/>
              <w:bottom w:val="single" w:sz="8" w:space="0" w:color="auto"/>
              <w:right w:val="nil"/>
            </w:tcBorders>
            <w:noWrap/>
            <w:vAlign w:val="bottom"/>
            <w:hideMark/>
          </w:tcPr>
          <w:p w14:paraId="6E5D7C78" w14:textId="77777777" w:rsidR="00CF0977" w:rsidRPr="00BD39E7" w:rsidRDefault="00CF0977" w:rsidP="00CF0977">
            <w:pPr>
              <w:jc w:val="both"/>
              <w:rPr>
                <w:rFonts w:ascii="Arial" w:hAnsi="Arial" w:cs="Arial"/>
                <w:b/>
                <w:color w:val="000000"/>
                <w:sz w:val="20"/>
                <w:szCs w:val="20"/>
                <w:lang w:eastAsia="en-GB"/>
              </w:rPr>
            </w:pPr>
            <w:r w:rsidRPr="00BD39E7">
              <w:rPr>
                <w:rFonts w:ascii="Arial" w:hAnsi="Arial" w:cs="Arial"/>
                <w:b/>
                <w:color w:val="000000"/>
                <w:sz w:val="20"/>
                <w:szCs w:val="20"/>
                <w:lang w:eastAsia="en-GB"/>
              </w:rPr>
              <w:t>Total</w:t>
            </w:r>
          </w:p>
        </w:tc>
        <w:tc>
          <w:tcPr>
            <w:tcW w:w="1397" w:type="dxa"/>
            <w:tcBorders>
              <w:top w:val="nil"/>
              <w:left w:val="single" w:sz="8" w:space="0" w:color="auto"/>
              <w:bottom w:val="single" w:sz="8" w:space="0" w:color="auto"/>
              <w:right w:val="single" w:sz="4" w:space="0" w:color="auto"/>
            </w:tcBorders>
            <w:noWrap/>
            <w:vAlign w:val="bottom"/>
            <w:hideMark/>
          </w:tcPr>
          <w:p w14:paraId="137CEB54" w14:textId="77777777" w:rsidR="00CF0977" w:rsidRPr="00BD39E7" w:rsidRDefault="00CF0977" w:rsidP="00CF0977">
            <w:pPr>
              <w:jc w:val="both"/>
              <w:rPr>
                <w:rFonts w:ascii="Arial" w:hAnsi="Arial" w:cs="Arial"/>
                <w:b/>
                <w:color w:val="000000"/>
                <w:sz w:val="20"/>
                <w:szCs w:val="20"/>
                <w:lang w:eastAsia="en-GB"/>
              </w:rPr>
            </w:pPr>
            <w:r w:rsidRPr="00BD39E7">
              <w:rPr>
                <w:rFonts w:ascii="Arial" w:hAnsi="Arial" w:cs="Arial"/>
                <w:b/>
                <w:color w:val="000000"/>
                <w:sz w:val="20"/>
                <w:szCs w:val="20"/>
                <w:lang w:eastAsia="en-GB"/>
              </w:rPr>
              <w:t>54,779,902</w:t>
            </w:r>
          </w:p>
        </w:tc>
        <w:tc>
          <w:tcPr>
            <w:tcW w:w="1391" w:type="dxa"/>
            <w:tcBorders>
              <w:top w:val="nil"/>
              <w:left w:val="nil"/>
              <w:bottom w:val="single" w:sz="8" w:space="0" w:color="auto"/>
              <w:right w:val="single" w:sz="4" w:space="0" w:color="auto"/>
            </w:tcBorders>
            <w:noWrap/>
            <w:vAlign w:val="bottom"/>
            <w:hideMark/>
          </w:tcPr>
          <w:p w14:paraId="3A5CA000" w14:textId="77777777" w:rsidR="00CF0977" w:rsidRPr="00BD39E7" w:rsidRDefault="00CF0977" w:rsidP="00CF0977">
            <w:pPr>
              <w:jc w:val="both"/>
              <w:rPr>
                <w:rFonts w:ascii="Arial" w:hAnsi="Arial" w:cs="Arial"/>
                <w:b/>
                <w:color w:val="000000"/>
                <w:sz w:val="20"/>
                <w:szCs w:val="20"/>
                <w:lang w:eastAsia="en-GB"/>
              </w:rPr>
            </w:pPr>
            <w:r w:rsidRPr="00BD39E7">
              <w:rPr>
                <w:rFonts w:ascii="Arial" w:hAnsi="Arial" w:cs="Arial"/>
                <w:b/>
                <w:color w:val="000000"/>
                <w:sz w:val="20"/>
                <w:szCs w:val="20"/>
                <w:lang w:eastAsia="en-GB"/>
              </w:rPr>
              <w:t>50,537,985</w:t>
            </w:r>
          </w:p>
        </w:tc>
        <w:tc>
          <w:tcPr>
            <w:tcW w:w="1399" w:type="dxa"/>
            <w:tcBorders>
              <w:top w:val="nil"/>
              <w:left w:val="nil"/>
              <w:bottom w:val="single" w:sz="8" w:space="0" w:color="auto"/>
              <w:right w:val="single" w:sz="8" w:space="0" w:color="auto"/>
            </w:tcBorders>
            <w:noWrap/>
            <w:vAlign w:val="bottom"/>
            <w:hideMark/>
          </w:tcPr>
          <w:p w14:paraId="0E72F978" w14:textId="77777777" w:rsidR="00CF0977" w:rsidRPr="00BD39E7" w:rsidRDefault="00CF0977" w:rsidP="00CF0977">
            <w:pPr>
              <w:jc w:val="both"/>
              <w:rPr>
                <w:rFonts w:ascii="Arial" w:hAnsi="Arial" w:cs="Arial"/>
                <w:b/>
                <w:color w:val="000000"/>
                <w:sz w:val="20"/>
                <w:szCs w:val="20"/>
                <w:lang w:eastAsia="en-GB"/>
              </w:rPr>
            </w:pPr>
            <w:r w:rsidRPr="00BD39E7">
              <w:rPr>
                <w:rFonts w:ascii="Arial" w:hAnsi="Arial" w:cs="Arial"/>
                <w:b/>
                <w:color w:val="000000"/>
                <w:sz w:val="20"/>
                <w:szCs w:val="20"/>
                <w:lang w:eastAsia="en-GB"/>
              </w:rPr>
              <w:t>55,974,370.52</w:t>
            </w:r>
          </w:p>
        </w:tc>
        <w:tc>
          <w:tcPr>
            <w:tcW w:w="1246" w:type="dxa"/>
            <w:tcBorders>
              <w:top w:val="nil"/>
              <w:left w:val="nil"/>
              <w:bottom w:val="single" w:sz="8" w:space="0" w:color="auto"/>
              <w:right w:val="single" w:sz="4" w:space="0" w:color="auto"/>
            </w:tcBorders>
            <w:noWrap/>
            <w:vAlign w:val="bottom"/>
            <w:hideMark/>
          </w:tcPr>
          <w:p w14:paraId="6BD91F6C" w14:textId="77777777" w:rsidR="00CF0977" w:rsidRPr="00BD39E7" w:rsidRDefault="00CF0977" w:rsidP="00CF0977">
            <w:pPr>
              <w:jc w:val="both"/>
              <w:rPr>
                <w:rFonts w:ascii="Arial" w:hAnsi="Arial" w:cs="Arial"/>
                <w:b/>
                <w:color w:val="000000"/>
                <w:sz w:val="20"/>
                <w:szCs w:val="20"/>
                <w:lang w:eastAsia="en-GB"/>
              </w:rPr>
            </w:pPr>
            <w:r w:rsidRPr="00BD39E7">
              <w:rPr>
                <w:rFonts w:ascii="Arial" w:hAnsi="Arial" w:cs="Arial"/>
                <w:b/>
                <w:color w:val="000000"/>
                <w:sz w:val="20"/>
                <w:szCs w:val="20"/>
                <w:lang w:eastAsia="en-GB"/>
              </w:rPr>
              <w:t>5,645,054</w:t>
            </w:r>
          </w:p>
        </w:tc>
        <w:tc>
          <w:tcPr>
            <w:tcW w:w="1240" w:type="dxa"/>
            <w:tcBorders>
              <w:top w:val="nil"/>
              <w:left w:val="nil"/>
              <w:bottom w:val="single" w:sz="8" w:space="0" w:color="auto"/>
              <w:right w:val="single" w:sz="4" w:space="0" w:color="auto"/>
            </w:tcBorders>
            <w:noWrap/>
            <w:vAlign w:val="bottom"/>
            <w:hideMark/>
          </w:tcPr>
          <w:p w14:paraId="0397603C" w14:textId="77777777" w:rsidR="00CF0977" w:rsidRPr="00BD39E7" w:rsidRDefault="00CF0977" w:rsidP="00CF0977">
            <w:pPr>
              <w:jc w:val="both"/>
              <w:rPr>
                <w:rFonts w:ascii="Arial" w:hAnsi="Arial" w:cs="Arial"/>
                <w:b/>
                <w:color w:val="000000"/>
                <w:sz w:val="20"/>
                <w:szCs w:val="20"/>
                <w:lang w:eastAsia="en-GB"/>
              </w:rPr>
            </w:pPr>
            <w:r w:rsidRPr="00BD39E7">
              <w:rPr>
                <w:rFonts w:ascii="Arial" w:hAnsi="Arial" w:cs="Arial"/>
                <w:b/>
                <w:color w:val="000000"/>
                <w:sz w:val="20"/>
                <w:szCs w:val="20"/>
                <w:lang w:eastAsia="en-GB"/>
              </w:rPr>
              <w:t>8,191,313</w:t>
            </w:r>
          </w:p>
        </w:tc>
        <w:tc>
          <w:tcPr>
            <w:tcW w:w="1248" w:type="dxa"/>
            <w:tcBorders>
              <w:top w:val="nil"/>
              <w:left w:val="nil"/>
              <w:bottom w:val="single" w:sz="8" w:space="0" w:color="auto"/>
              <w:right w:val="single" w:sz="8" w:space="0" w:color="auto"/>
            </w:tcBorders>
            <w:noWrap/>
            <w:vAlign w:val="bottom"/>
            <w:hideMark/>
          </w:tcPr>
          <w:p w14:paraId="615383C9" w14:textId="77777777" w:rsidR="00CF0977" w:rsidRPr="00BD39E7" w:rsidRDefault="00CF0977" w:rsidP="00CF0977">
            <w:pPr>
              <w:jc w:val="both"/>
              <w:rPr>
                <w:rFonts w:ascii="Arial" w:hAnsi="Arial" w:cs="Arial"/>
                <w:b/>
                <w:color w:val="000000"/>
                <w:sz w:val="20"/>
                <w:szCs w:val="20"/>
                <w:lang w:eastAsia="en-GB"/>
              </w:rPr>
            </w:pPr>
            <w:r w:rsidRPr="00BD39E7">
              <w:rPr>
                <w:rFonts w:ascii="Arial" w:hAnsi="Arial" w:cs="Arial"/>
                <w:b/>
                <w:color w:val="000000"/>
                <w:sz w:val="20"/>
                <w:szCs w:val="20"/>
                <w:lang w:eastAsia="en-GB"/>
              </w:rPr>
              <w:t>4,252,707</w:t>
            </w:r>
          </w:p>
        </w:tc>
      </w:tr>
    </w:tbl>
    <w:bookmarkEnd w:id="3"/>
    <w:p w14:paraId="2A69D684" w14:textId="77777777" w:rsidR="0001752B" w:rsidRPr="00BD39E7" w:rsidRDefault="00CF0977" w:rsidP="00CF0977">
      <w:pPr>
        <w:autoSpaceDE w:val="0"/>
        <w:autoSpaceDN w:val="0"/>
        <w:adjustRightInd w:val="0"/>
        <w:spacing w:after="160" w:line="259" w:lineRule="auto"/>
        <w:jc w:val="both"/>
        <w:rPr>
          <w:rFonts w:ascii="Arial" w:hAnsi="Arial" w:cs="Arial"/>
          <w:i/>
          <w:sz w:val="20"/>
          <w:szCs w:val="20"/>
        </w:rPr>
      </w:pPr>
      <w:r w:rsidRPr="00BD39E7">
        <w:rPr>
          <w:rFonts w:ascii="Arial" w:hAnsi="Arial" w:cs="Arial"/>
          <w:i/>
          <w:sz w:val="20"/>
          <w:szCs w:val="20"/>
        </w:rPr>
        <w:t xml:space="preserve">*KWH - A kilowatt-hour is a non-SI unit of energy equal to 3.6 megajoules in SI units which is the energy delivered by one kilowatt of power for one hour. </w:t>
      </w:r>
    </w:p>
    <w:p w14:paraId="39575D78" w14:textId="77777777" w:rsidR="00CF0977" w:rsidRPr="00BD39E7" w:rsidRDefault="00CF0977" w:rsidP="00885B57">
      <w:pPr>
        <w:autoSpaceDE w:val="0"/>
        <w:autoSpaceDN w:val="0"/>
        <w:adjustRightInd w:val="0"/>
        <w:spacing w:after="160" w:line="259" w:lineRule="auto"/>
        <w:jc w:val="both"/>
        <w:rPr>
          <w:rFonts w:ascii="Arial" w:hAnsi="Arial" w:cs="Arial"/>
          <w:i/>
          <w:sz w:val="20"/>
          <w:szCs w:val="20"/>
        </w:rPr>
      </w:pPr>
      <w:r w:rsidRPr="00BD39E7">
        <w:rPr>
          <w:rFonts w:ascii="Arial" w:hAnsi="Arial" w:cs="Arial"/>
          <w:sz w:val="20"/>
          <w:szCs w:val="20"/>
        </w:rPr>
        <w:t>The Combined Heat and Power (CHP) plant provides cost savings as gas yields a degree of unit price efficiency over electricity. Money supermarket (2025)</w:t>
      </w:r>
      <w:r w:rsidR="0001752B" w:rsidRPr="00BD39E7">
        <w:rPr>
          <w:rFonts w:ascii="Arial" w:hAnsi="Arial" w:cs="Arial"/>
          <w:sz w:val="20"/>
          <w:szCs w:val="20"/>
        </w:rPr>
        <w:t xml:space="preserve">.  </w:t>
      </w:r>
      <w:r w:rsidRPr="00BD39E7">
        <w:rPr>
          <w:rFonts w:ascii="Arial" w:hAnsi="Arial" w:cs="Arial"/>
          <w:sz w:val="20"/>
          <w:szCs w:val="20"/>
        </w:rPr>
        <w:t xml:space="preserve">The CHP generates power and heat simultaneously. </w:t>
      </w:r>
      <w:r w:rsidR="00B820D5" w:rsidRPr="00BD39E7">
        <w:rPr>
          <w:rFonts w:ascii="Arial" w:hAnsi="Arial" w:cs="Arial"/>
          <w:sz w:val="20"/>
          <w:szCs w:val="20"/>
        </w:rPr>
        <w:t xml:space="preserve"> </w:t>
      </w:r>
      <w:r w:rsidRPr="00BD39E7">
        <w:rPr>
          <w:rFonts w:ascii="Arial" w:hAnsi="Arial" w:cs="Arial"/>
          <w:sz w:val="20"/>
          <w:szCs w:val="20"/>
        </w:rPr>
        <w:t xml:space="preserve">A CHP system can reduce carbon emissions by up to 30% compared to separate generation from a boiler and power station (Gov 2020). </w:t>
      </w:r>
      <w:r w:rsidR="00B820D5" w:rsidRPr="00BD39E7">
        <w:rPr>
          <w:rFonts w:ascii="Arial" w:hAnsi="Arial" w:cs="Arial"/>
          <w:sz w:val="20"/>
          <w:szCs w:val="20"/>
        </w:rPr>
        <w:t xml:space="preserve"> </w:t>
      </w:r>
      <w:r w:rsidRPr="00BD39E7">
        <w:rPr>
          <w:rFonts w:ascii="Arial" w:hAnsi="Arial" w:cs="Arial"/>
          <w:sz w:val="20"/>
          <w:szCs w:val="20"/>
        </w:rPr>
        <w:t>However, with improvements in power stations and a shift away from coal and oil, the Trust’s emissions directly associated with electricity are now sourced from a zero carbon for business 100</w:t>
      </w:r>
      <w:r w:rsidR="00B820D5" w:rsidRPr="00BD39E7">
        <w:rPr>
          <w:rFonts w:ascii="Arial" w:hAnsi="Arial" w:cs="Arial"/>
          <w:sz w:val="20"/>
          <w:szCs w:val="20"/>
        </w:rPr>
        <w:t xml:space="preserve">% </w:t>
      </w:r>
      <w:r w:rsidRPr="00BD39E7">
        <w:rPr>
          <w:rFonts w:ascii="Arial" w:hAnsi="Arial" w:cs="Arial"/>
          <w:sz w:val="20"/>
          <w:szCs w:val="20"/>
        </w:rPr>
        <w:t xml:space="preserve">tariff, allowing us to report a zero emissions factor for electricity. </w:t>
      </w:r>
    </w:p>
    <w:p w14:paraId="67A9A46D" w14:textId="77777777" w:rsidR="00CF0977" w:rsidRPr="00BD39E7" w:rsidRDefault="00CF0977" w:rsidP="00885B57">
      <w:pPr>
        <w:autoSpaceDE w:val="0"/>
        <w:autoSpaceDN w:val="0"/>
        <w:adjustRightInd w:val="0"/>
        <w:spacing w:line="259" w:lineRule="auto"/>
        <w:jc w:val="both"/>
        <w:rPr>
          <w:rFonts w:ascii="Arial" w:hAnsi="Arial" w:cs="Arial"/>
          <w:sz w:val="20"/>
          <w:szCs w:val="20"/>
        </w:rPr>
      </w:pPr>
      <w:r w:rsidRPr="00BD39E7">
        <w:rPr>
          <w:rFonts w:ascii="Arial" w:hAnsi="Arial" w:cs="Arial"/>
          <w:sz w:val="20"/>
          <w:szCs w:val="20"/>
        </w:rPr>
        <w:t>As part of the HDP and our move towards decarbonisation, replacing the CHP is necessary in the long term.</w:t>
      </w:r>
      <w:r w:rsidR="00B820D5" w:rsidRPr="00BD39E7">
        <w:rPr>
          <w:rFonts w:ascii="Arial" w:hAnsi="Arial" w:cs="Arial"/>
          <w:sz w:val="20"/>
          <w:szCs w:val="20"/>
        </w:rPr>
        <w:t xml:space="preserve">  </w:t>
      </w:r>
      <w:r w:rsidRPr="00BD39E7">
        <w:rPr>
          <w:rFonts w:ascii="Arial" w:hAnsi="Arial" w:cs="Arial"/>
          <w:sz w:val="20"/>
          <w:szCs w:val="20"/>
        </w:rPr>
        <w:t xml:space="preserve">It is part of Phase Two and included in the application for funding for PSDS 4. </w:t>
      </w:r>
    </w:p>
    <w:p w14:paraId="7215CFA6" w14:textId="77777777" w:rsidR="00CF0977" w:rsidRPr="00BD39E7" w:rsidRDefault="00CF0977" w:rsidP="00885B57">
      <w:pPr>
        <w:autoSpaceDE w:val="0"/>
        <w:autoSpaceDN w:val="0"/>
        <w:adjustRightInd w:val="0"/>
        <w:spacing w:line="259" w:lineRule="auto"/>
        <w:jc w:val="both"/>
        <w:rPr>
          <w:rFonts w:ascii="Arial" w:hAnsi="Arial" w:cs="Arial"/>
          <w:sz w:val="20"/>
          <w:szCs w:val="20"/>
        </w:rPr>
      </w:pPr>
      <w:r w:rsidRPr="00BD39E7">
        <w:rPr>
          <w:rFonts w:ascii="Arial" w:hAnsi="Arial" w:cs="Arial"/>
          <w:sz w:val="20"/>
          <w:szCs w:val="20"/>
        </w:rPr>
        <w:t xml:space="preserve">GOV (2020) accessed on 21.03.25 - </w:t>
      </w:r>
      <w:hyperlink r:id="rId17" w:history="1">
        <w:r w:rsidRPr="00BD39E7">
          <w:rPr>
            <w:rStyle w:val="Hyperlink"/>
            <w:rFonts w:ascii="Arial" w:hAnsi="Arial" w:cs="Arial"/>
            <w:sz w:val="20"/>
            <w:szCs w:val="20"/>
          </w:rPr>
          <w:t>Combined heat and power - GOV.UK</w:t>
        </w:r>
      </w:hyperlink>
    </w:p>
    <w:p w14:paraId="49CBFC47" w14:textId="77777777" w:rsidR="00CF0977" w:rsidRPr="00BD39E7" w:rsidRDefault="00CF0977" w:rsidP="00885B57">
      <w:pPr>
        <w:autoSpaceDE w:val="0"/>
        <w:autoSpaceDN w:val="0"/>
        <w:adjustRightInd w:val="0"/>
        <w:spacing w:line="259" w:lineRule="auto"/>
        <w:jc w:val="both"/>
        <w:rPr>
          <w:rFonts w:ascii="Arial" w:hAnsi="Arial" w:cs="Arial"/>
          <w:sz w:val="20"/>
          <w:szCs w:val="20"/>
        </w:rPr>
      </w:pPr>
      <w:r w:rsidRPr="00BD39E7">
        <w:rPr>
          <w:rFonts w:ascii="Arial" w:hAnsi="Arial" w:cs="Arial"/>
          <w:sz w:val="20"/>
          <w:szCs w:val="20"/>
        </w:rPr>
        <w:t xml:space="preserve">Money supermarket (2025) accessed of 21.03.25 - </w:t>
      </w:r>
      <w:hyperlink r:id="rId18" w:history="1">
        <w:r w:rsidRPr="00BD39E7">
          <w:rPr>
            <w:rStyle w:val="Hyperlink"/>
            <w:rFonts w:ascii="Arial" w:hAnsi="Arial" w:cs="Arial"/>
            <w:sz w:val="20"/>
            <w:szCs w:val="20"/>
          </w:rPr>
          <w:t xml:space="preserve">What is the energy price cap? | </w:t>
        </w:r>
        <w:proofErr w:type="spellStart"/>
        <w:r w:rsidRPr="00BD39E7">
          <w:rPr>
            <w:rStyle w:val="Hyperlink"/>
            <w:rFonts w:ascii="Arial" w:hAnsi="Arial" w:cs="Arial"/>
            <w:sz w:val="20"/>
            <w:szCs w:val="20"/>
          </w:rPr>
          <w:t>MoneySuperMarket</w:t>
        </w:r>
        <w:proofErr w:type="spellEnd"/>
      </w:hyperlink>
    </w:p>
    <w:p w14:paraId="319A1C11" w14:textId="77777777" w:rsidR="00196767" w:rsidRPr="00BD39E7" w:rsidRDefault="00196767" w:rsidP="00885B57">
      <w:pPr>
        <w:jc w:val="both"/>
        <w:rPr>
          <w:rFonts w:ascii="Arial" w:hAnsi="Arial" w:cs="Arial"/>
          <w:b/>
          <w:sz w:val="20"/>
          <w:szCs w:val="20"/>
          <w:lang w:val="en-GB"/>
        </w:rPr>
      </w:pPr>
    </w:p>
    <w:p w14:paraId="1309E692" w14:textId="77777777" w:rsidR="00616288" w:rsidRDefault="00616288" w:rsidP="00885B57">
      <w:pPr>
        <w:jc w:val="both"/>
        <w:rPr>
          <w:rFonts w:ascii="Arial" w:hAnsi="Arial" w:cs="Arial"/>
          <w:b/>
          <w:sz w:val="20"/>
          <w:szCs w:val="20"/>
          <w:lang w:val="en-GB"/>
        </w:rPr>
      </w:pPr>
      <w:bookmarkStart w:id="4" w:name="_Hlk175232375"/>
    </w:p>
    <w:p w14:paraId="7689391C" w14:textId="77777777" w:rsidR="00616288" w:rsidRDefault="00616288" w:rsidP="00885B57">
      <w:pPr>
        <w:jc w:val="both"/>
        <w:rPr>
          <w:rFonts w:ascii="Arial" w:hAnsi="Arial" w:cs="Arial"/>
          <w:b/>
          <w:sz w:val="20"/>
          <w:szCs w:val="20"/>
          <w:lang w:val="en-GB"/>
        </w:rPr>
      </w:pPr>
    </w:p>
    <w:p w14:paraId="656B21B0" w14:textId="77777777" w:rsidR="00616288" w:rsidRDefault="00616288" w:rsidP="00885B57">
      <w:pPr>
        <w:jc w:val="both"/>
        <w:rPr>
          <w:rFonts w:ascii="Arial" w:hAnsi="Arial" w:cs="Arial"/>
          <w:b/>
          <w:sz w:val="20"/>
          <w:szCs w:val="20"/>
          <w:lang w:val="en-GB"/>
        </w:rPr>
      </w:pPr>
    </w:p>
    <w:p w14:paraId="27762720" w14:textId="77777777" w:rsidR="00616288" w:rsidRDefault="00616288" w:rsidP="00885B57">
      <w:pPr>
        <w:jc w:val="both"/>
        <w:rPr>
          <w:rFonts w:ascii="Arial" w:hAnsi="Arial" w:cs="Arial"/>
          <w:b/>
          <w:sz w:val="20"/>
          <w:szCs w:val="20"/>
          <w:lang w:val="en-GB"/>
        </w:rPr>
      </w:pPr>
    </w:p>
    <w:p w14:paraId="597951BF" w14:textId="77777777" w:rsidR="00616288" w:rsidRDefault="00616288" w:rsidP="00885B57">
      <w:pPr>
        <w:jc w:val="both"/>
        <w:rPr>
          <w:rFonts w:ascii="Arial" w:hAnsi="Arial" w:cs="Arial"/>
          <w:b/>
          <w:sz w:val="20"/>
          <w:szCs w:val="20"/>
          <w:lang w:val="en-GB"/>
        </w:rPr>
      </w:pPr>
    </w:p>
    <w:p w14:paraId="60669989" w14:textId="77777777" w:rsidR="00616288" w:rsidRDefault="00616288" w:rsidP="00885B57">
      <w:pPr>
        <w:jc w:val="both"/>
        <w:rPr>
          <w:rFonts w:ascii="Arial" w:hAnsi="Arial" w:cs="Arial"/>
          <w:b/>
          <w:sz w:val="20"/>
          <w:szCs w:val="20"/>
          <w:lang w:val="en-GB"/>
        </w:rPr>
      </w:pPr>
    </w:p>
    <w:p w14:paraId="02DCBCF3" w14:textId="77777777" w:rsidR="00616288" w:rsidRDefault="00616288" w:rsidP="00885B57">
      <w:pPr>
        <w:jc w:val="both"/>
        <w:rPr>
          <w:rFonts w:ascii="Arial" w:hAnsi="Arial" w:cs="Arial"/>
          <w:b/>
          <w:sz w:val="20"/>
          <w:szCs w:val="20"/>
          <w:lang w:val="en-GB"/>
        </w:rPr>
      </w:pPr>
    </w:p>
    <w:p w14:paraId="3FB2EB11" w14:textId="77777777" w:rsidR="00616288" w:rsidRDefault="00616288" w:rsidP="00885B57">
      <w:pPr>
        <w:jc w:val="both"/>
        <w:rPr>
          <w:rFonts w:ascii="Arial" w:hAnsi="Arial" w:cs="Arial"/>
          <w:b/>
          <w:sz w:val="20"/>
          <w:szCs w:val="20"/>
          <w:lang w:val="en-GB"/>
        </w:rPr>
      </w:pPr>
    </w:p>
    <w:p w14:paraId="25AC7FB1" w14:textId="77777777" w:rsidR="00616288" w:rsidRDefault="00616288" w:rsidP="00885B57">
      <w:pPr>
        <w:jc w:val="both"/>
        <w:rPr>
          <w:rFonts w:ascii="Arial" w:hAnsi="Arial" w:cs="Arial"/>
          <w:b/>
          <w:sz w:val="20"/>
          <w:szCs w:val="20"/>
          <w:lang w:val="en-GB"/>
        </w:rPr>
      </w:pPr>
    </w:p>
    <w:p w14:paraId="00337DB7" w14:textId="4DF0B069" w:rsidR="00010A15" w:rsidRPr="00885B57" w:rsidRDefault="00B820D5" w:rsidP="00885B57">
      <w:pPr>
        <w:jc w:val="both"/>
        <w:rPr>
          <w:rFonts w:ascii="Arial" w:hAnsi="Arial" w:cs="Arial"/>
          <w:b/>
          <w:sz w:val="20"/>
          <w:szCs w:val="20"/>
          <w:lang w:val="en-GB"/>
        </w:rPr>
      </w:pPr>
      <w:r w:rsidRPr="00885B57">
        <w:rPr>
          <w:rFonts w:ascii="Arial" w:hAnsi="Arial" w:cs="Arial"/>
          <w:b/>
          <w:sz w:val="20"/>
          <w:szCs w:val="20"/>
          <w:lang w:val="en-GB"/>
        </w:rPr>
        <w:lastRenderedPageBreak/>
        <w:t>C</w:t>
      </w:r>
      <w:r w:rsidR="00010A15" w:rsidRPr="00885B57">
        <w:rPr>
          <w:rFonts w:ascii="Arial" w:hAnsi="Arial" w:cs="Arial"/>
          <w:b/>
          <w:sz w:val="20"/>
          <w:szCs w:val="20"/>
          <w:lang w:val="en-GB"/>
        </w:rPr>
        <w:t xml:space="preserve">ommunity Engagement, Human Rights and Anti </w:t>
      </w:r>
      <w:r w:rsidR="001D606B" w:rsidRPr="00885B57">
        <w:rPr>
          <w:rFonts w:ascii="Arial" w:hAnsi="Arial" w:cs="Arial"/>
          <w:b/>
          <w:sz w:val="20"/>
          <w:szCs w:val="20"/>
          <w:lang w:val="en-GB"/>
        </w:rPr>
        <w:t>B</w:t>
      </w:r>
      <w:r w:rsidR="00010A15" w:rsidRPr="00885B57">
        <w:rPr>
          <w:rFonts w:ascii="Arial" w:hAnsi="Arial" w:cs="Arial"/>
          <w:b/>
          <w:sz w:val="20"/>
          <w:szCs w:val="20"/>
          <w:lang w:val="en-GB"/>
        </w:rPr>
        <w:t>ribery</w:t>
      </w:r>
      <w:r w:rsidR="00DD4E7E" w:rsidRPr="00885B57">
        <w:rPr>
          <w:rFonts w:ascii="Arial" w:hAnsi="Arial" w:cs="Arial"/>
          <w:b/>
          <w:sz w:val="20"/>
          <w:szCs w:val="20"/>
          <w:lang w:val="en-GB"/>
        </w:rPr>
        <w:t xml:space="preserve"> </w:t>
      </w:r>
    </w:p>
    <w:bookmarkEnd w:id="4"/>
    <w:p w14:paraId="526A782C" w14:textId="77777777" w:rsidR="00B7692B" w:rsidRPr="00885B57" w:rsidRDefault="00B7692B" w:rsidP="00ED7971">
      <w:pPr>
        <w:jc w:val="both"/>
        <w:rPr>
          <w:rFonts w:ascii="Arial" w:hAnsi="Arial" w:cs="Arial"/>
          <w:sz w:val="20"/>
          <w:szCs w:val="20"/>
          <w:lang w:val="en-GB"/>
        </w:rPr>
      </w:pPr>
    </w:p>
    <w:p w14:paraId="59910DA5" w14:textId="77777777" w:rsidR="00ED7971" w:rsidRPr="00885B57" w:rsidRDefault="00ED7971" w:rsidP="00ED7971">
      <w:pPr>
        <w:jc w:val="both"/>
        <w:rPr>
          <w:rFonts w:ascii="Arial" w:hAnsi="Arial" w:cs="Arial"/>
          <w:sz w:val="20"/>
          <w:szCs w:val="20"/>
          <w:lang w:val="en-GB"/>
        </w:rPr>
      </w:pPr>
      <w:r w:rsidRPr="00885B57">
        <w:rPr>
          <w:rFonts w:ascii="Arial" w:hAnsi="Arial" w:cs="Arial"/>
          <w:sz w:val="20"/>
          <w:szCs w:val="20"/>
          <w:lang w:val="en-GB"/>
        </w:rPr>
        <w:t xml:space="preserve">The Trust continues its varied and vibrant work to undertake meaningful community engagement. We are committed to actively informing and involving members in our activities and inviting feedback from stakeholders and the public about our services, particularly when changes are being considered or new services planned. </w:t>
      </w:r>
    </w:p>
    <w:p w14:paraId="2CC55D1E" w14:textId="77777777" w:rsidR="00ED7971" w:rsidRPr="00885B57" w:rsidRDefault="00ED7971" w:rsidP="00ED7971">
      <w:pPr>
        <w:jc w:val="both"/>
        <w:rPr>
          <w:rFonts w:ascii="Arial" w:hAnsi="Arial" w:cs="Arial"/>
          <w:sz w:val="20"/>
          <w:szCs w:val="20"/>
          <w:lang w:val="en-GB"/>
        </w:rPr>
      </w:pPr>
    </w:p>
    <w:p w14:paraId="2A920A23" w14:textId="77777777" w:rsidR="00ED7971" w:rsidRPr="00885B57" w:rsidRDefault="00ED7971" w:rsidP="00ED7971">
      <w:pPr>
        <w:jc w:val="both"/>
        <w:rPr>
          <w:rFonts w:ascii="Arial" w:hAnsi="Arial" w:cs="Arial"/>
          <w:sz w:val="20"/>
          <w:szCs w:val="20"/>
          <w:lang w:val="en-GB"/>
        </w:rPr>
      </w:pPr>
      <w:r w:rsidRPr="00885B57">
        <w:rPr>
          <w:rFonts w:ascii="Arial" w:hAnsi="Arial" w:cs="Arial"/>
          <w:sz w:val="20"/>
          <w:szCs w:val="20"/>
          <w:lang w:val="en-GB"/>
        </w:rPr>
        <w:t xml:space="preserve">Involvement from the local community is essential in helping shape and influence decision making to improve services and patient experience.  The Trust encourages people to get involved and share their views to help give us a better understanding of the diverse health needs and what matters most to patients, carers, members, stakeholders and the wider community. </w:t>
      </w:r>
    </w:p>
    <w:p w14:paraId="3F9BAA12" w14:textId="77777777" w:rsidR="00ED7971" w:rsidRPr="00885B57" w:rsidRDefault="00ED7971" w:rsidP="00ED7971">
      <w:pPr>
        <w:jc w:val="both"/>
        <w:rPr>
          <w:rFonts w:ascii="Arial" w:hAnsi="Arial" w:cs="Arial"/>
          <w:sz w:val="20"/>
          <w:szCs w:val="20"/>
          <w:lang w:val="en-GB"/>
        </w:rPr>
      </w:pPr>
    </w:p>
    <w:p w14:paraId="51D847B5" w14:textId="77777777" w:rsidR="00ED7971" w:rsidRPr="00885B57" w:rsidRDefault="00ED7971" w:rsidP="00ED7971">
      <w:pPr>
        <w:jc w:val="both"/>
        <w:rPr>
          <w:rFonts w:ascii="Arial" w:hAnsi="Arial" w:cs="Arial"/>
          <w:sz w:val="20"/>
          <w:szCs w:val="20"/>
          <w:lang w:val="en-GB"/>
        </w:rPr>
      </w:pPr>
      <w:r w:rsidRPr="00885B57">
        <w:rPr>
          <w:rFonts w:ascii="Arial" w:hAnsi="Arial" w:cs="Arial"/>
          <w:sz w:val="20"/>
          <w:szCs w:val="20"/>
          <w:lang w:val="en-GB"/>
        </w:rPr>
        <w:t xml:space="preserve">We share updates and opportunities for involvement through various channels including virtual and face-to-face meetings, public events, our website, social media channels and our regular Community Engagement newsletter which is sent out by email to Trust members and community contacts. </w:t>
      </w:r>
    </w:p>
    <w:p w14:paraId="7143DC6B" w14:textId="77777777" w:rsidR="00ED7971" w:rsidRPr="00885B57" w:rsidRDefault="00ED7971" w:rsidP="00ED7971">
      <w:pPr>
        <w:jc w:val="both"/>
        <w:rPr>
          <w:rFonts w:ascii="Arial" w:hAnsi="Arial" w:cs="Arial"/>
          <w:sz w:val="20"/>
          <w:szCs w:val="20"/>
          <w:lang w:val="en-GB"/>
        </w:rPr>
      </w:pPr>
    </w:p>
    <w:p w14:paraId="536BE3C4" w14:textId="77777777" w:rsidR="00ED7971" w:rsidRPr="00885B57" w:rsidRDefault="00ED7971" w:rsidP="00ED7971">
      <w:pPr>
        <w:jc w:val="both"/>
        <w:rPr>
          <w:rFonts w:ascii="Arial" w:hAnsi="Arial" w:cs="Arial"/>
          <w:sz w:val="20"/>
          <w:szCs w:val="20"/>
          <w:lang w:val="en-GB"/>
        </w:rPr>
      </w:pPr>
      <w:r w:rsidRPr="00885B57">
        <w:rPr>
          <w:rFonts w:ascii="Arial" w:hAnsi="Arial" w:cs="Arial"/>
          <w:sz w:val="20"/>
          <w:szCs w:val="20"/>
          <w:lang w:val="en-GB"/>
        </w:rPr>
        <w:t xml:space="preserve">In the last year, we have continued our programme of member events. In response to feedback from our annual members survey, we have designed more opportunities for members to see ‘behind the scenes’ at the hospital. In May 2024, we celebrated the launch of our new Clinical Strategy (2024-2027) with tours of the hospital pharmacy, so visitors could see how a new robot is improving performance and efficiency in this area. This was very popular with members and all available spaces on the tour were taken.  </w:t>
      </w:r>
    </w:p>
    <w:p w14:paraId="6D0DA972" w14:textId="77777777" w:rsidR="00ED7971" w:rsidRPr="00885B57" w:rsidRDefault="00ED7971" w:rsidP="00ED7971">
      <w:pPr>
        <w:jc w:val="both"/>
        <w:rPr>
          <w:rFonts w:ascii="Arial" w:hAnsi="Arial" w:cs="Arial"/>
          <w:sz w:val="20"/>
          <w:szCs w:val="20"/>
          <w:lang w:val="en-GB"/>
        </w:rPr>
      </w:pPr>
    </w:p>
    <w:p w14:paraId="402A730D" w14:textId="77777777" w:rsidR="00ED7971" w:rsidRPr="00885B57" w:rsidRDefault="00ED7971" w:rsidP="00ED7971">
      <w:pPr>
        <w:jc w:val="both"/>
        <w:rPr>
          <w:rFonts w:ascii="Arial" w:hAnsi="Arial" w:cs="Arial"/>
          <w:sz w:val="20"/>
          <w:szCs w:val="20"/>
          <w:lang w:val="en-GB"/>
        </w:rPr>
      </w:pPr>
      <w:r w:rsidRPr="00885B57">
        <w:rPr>
          <w:rFonts w:ascii="Arial" w:hAnsi="Arial" w:cs="Arial"/>
          <w:sz w:val="20"/>
          <w:szCs w:val="20"/>
          <w:lang w:val="en-GB"/>
        </w:rPr>
        <w:t>In November 2024, we opened our doors again, this time to the Macmillan Cancer Care Unit, where members were able to see the welcome and friendly space provided for patients in the Galton Day Unit, Lawrence Ward, shared areas and the Macmillan Information Centre. Feedback from this was also very positive.</w:t>
      </w:r>
    </w:p>
    <w:p w14:paraId="378C7E48" w14:textId="77777777" w:rsidR="00ED7971" w:rsidRPr="00885B57" w:rsidRDefault="00ED7971" w:rsidP="00ED7971">
      <w:pPr>
        <w:jc w:val="both"/>
        <w:rPr>
          <w:rFonts w:ascii="Arial" w:hAnsi="Arial" w:cs="Arial"/>
          <w:sz w:val="20"/>
          <w:szCs w:val="20"/>
          <w:lang w:val="en-GB"/>
        </w:rPr>
      </w:pPr>
    </w:p>
    <w:p w14:paraId="23D571B7" w14:textId="77777777" w:rsidR="00ED7971" w:rsidRPr="00885B57" w:rsidRDefault="00ED7971" w:rsidP="00ED7971">
      <w:pPr>
        <w:jc w:val="both"/>
        <w:rPr>
          <w:rFonts w:ascii="Arial" w:hAnsi="Arial" w:cs="Arial"/>
          <w:sz w:val="20"/>
          <w:szCs w:val="20"/>
          <w:lang w:val="en-GB"/>
        </w:rPr>
      </w:pPr>
      <w:r w:rsidRPr="00885B57">
        <w:rPr>
          <w:rFonts w:ascii="Arial" w:hAnsi="Arial" w:cs="Arial"/>
          <w:sz w:val="20"/>
          <w:szCs w:val="20"/>
          <w:lang w:val="en-GB"/>
        </w:rPr>
        <w:t xml:space="preserve">In August 2024, the Trust held its third Summer Fun Day, which has become a standing event on the calendar thanks to its popularity. The day is aimed at local people and families, who are invited into the hospital grounds for a fun experience while learning about our services and opportunities for involvement, and raising funds for our charities, at the same time.  </w:t>
      </w:r>
    </w:p>
    <w:p w14:paraId="4E783FFD" w14:textId="77777777" w:rsidR="00ED7971" w:rsidRPr="00885B57" w:rsidRDefault="00ED7971" w:rsidP="00ED7971">
      <w:pPr>
        <w:jc w:val="both"/>
        <w:rPr>
          <w:rFonts w:ascii="Arial" w:hAnsi="Arial" w:cs="Arial"/>
          <w:sz w:val="20"/>
          <w:szCs w:val="20"/>
          <w:lang w:val="en-GB"/>
        </w:rPr>
      </w:pPr>
    </w:p>
    <w:p w14:paraId="763BA3D3" w14:textId="77777777" w:rsidR="00ED7971" w:rsidRPr="00885B57" w:rsidRDefault="00ED7971" w:rsidP="00ED7971">
      <w:pPr>
        <w:jc w:val="both"/>
        <w:rPr>
          <w:rFonts w:ascii="Arial" w:hAnsi="Arial" w:cs="Arial"/>
          <w:sz w:val="20"/>
          <w:szCs w:val="20"/>
          <w:lang w:val="en-GB"/>
        </w:rPr>
      </w:pPr>
      <w:r w:rsidRPr="00885B57">
        <w:rPr>
          <w:rFonts w:ascii="Arial" w:hAnsi="Arial" w:cs="Arial"/>
          <w:sz w:val="20"/>
          <w:szCs w:val="20"/>
          <w:lang w:val="en-GB"/>
        </w:rPr>
        <w:t xml:space="preserve">In other activity, the Engagement Team supported recruitment for Governor elections held during the year, visiting venues such as shopping centres, supermarkets and Healthy Living Centres to promote awareness of the elections and encourage local people to become a member of the Trust and consider standing as a candidate. Thanks to these efforts, we had more nominees than seats available, leading to a vote being required in all constituencies. </w:t>
      </w:r>
    </w:p>
    <w:p w14:paraId="6908CA77" w14:textId="77777777" w:rsidR="00ED7971" w:rsidRPr="00885B57" w:rsidRDefault="00ED7971" w:rsidP="00ED7971">
      <w:pPr>
        <w:jc w:val="both"/>
        <w:rPr>
          <w:rFonts w:ascii="Arial" w:hAnsi="Arial" w:cs="Arial"/>
          <w:sz w:val="20"/>
          <w:szCs w:val="20"/>
          <w:lang w:val="en-GB"/>
        </w:rPr>
      </w:pPr>
    </w:p>
    <w:p w14:paraId="114C17F7" w14:textId="77777777" w:rsidR="00ED7971" w:rsidRPr="00885B57" w:rsidRDefault="00ED7971" w:rsidP="00ED7971">
      <w:pPr>
        <w:jc w:val="both"/>
        <w:rPr>
          <w:rFonts w:ascii="Arial" w:hAnsi="Arial" w:cs="Arial"/>
          <w:sz w:val="20"/>
          <w:szCs w:val="20"/>
          <w:lang w:val="en-GB"/>
        </w:rPr>
      </w:pPr>
      <w:r w:rsidRPr="00885B57">
        <w:rPr>
          <w:rFonts w:ascii="Arial" w:hAnsi="Arial" w:cs="Arial"/>
          <w:sz w:val="20"/>
          <w:szCs w:val="20"/>
          <w:lang w:val="en-GB"/>
        </w:rPr>
        <w:t xml:space="preserve">We also engaged with the public and staff in February 2024 on a proposal to extend visiting hours in the hospital to 8am to 8pm. Through digital and face to face interaction, achieved through surveys, engagement stands and ward visits, we received a record number of responses to our questions about the proposals, which have been analysed and </w:t>
      </w:r>
      <w:r w:rsidR="004030DB" w:rsidRPr="00885B57">
        <w:rPr>
          <w:rFonts w:ascii="Arial" w:hAnsi="Arial" w:cs="Arial"/>
          <w:sz w:val="20"/>
          <w:szCs w:val="20"/>
          <w:lang w:val="en-GB"/>
        </w:rPr>
        <w:t>considered</w:t>
      </w:r>
      <w:r w:rsidRPr="00885B57">
        <w:rPr>
          <w:rFonts w:ascii="Arial" w:hAnsi="Arial" w:cs="Arial"/>
          <w:sz w:val="20"/>
          <w:szCs w:val="20"/>
          <w:lang w:val="en-GB"/>
        </w:rPr>
        <w:t xml:space="preserve"> before an expected change comes into force in May 2025.  </w:t>
      </w:r>
    </w:p>
    <w:p w14:paraId="2F402550" w14:textId="77777777" w:rsidR="00ED7971" w:rsidRPr="00885B57" w:rsidRDefault="00ED7971" w:rsidP="00ED7971">
      <w:pPr>
        <w:jc w:val="both"/>
        <w:rPr>
          <w:rFonts w:ascii="Arial" w:hAnsi="Arial" w:cs="Arial"/>
          <w:sz w:val="20"/>
          <w:szCs w:val="20"/>
          <w:lang w:val="en-GB"/>
        </w:rPr>
      </w:pPr>
    </w:p>
    <w:p w14:paraId="4AE44BF3" w14:textId="77777777" w:rsidR="00ED7971" w:rsidRPr="00885B57" w:rsidRDefault="00ED7971" w:rsidP="00ED7971">
      <w:pPr>
        <w:jc w:val="both"/>
        <w:rPr>
          <w:rFonts w:ascii="Arial" w:hAnsi="Arial" w:cs="Arial"/>
          <w:sz w:val="20"/>
          <w:szCs w:val="20"/>
          <w:lang w:val="en-GB"/>
        </w:rPr>
      </w:pPr>
      <w:r w:rsidRPr="00885B57">
        <w:rPr>
          <w:rFonts w:ascii="Arial" w:hAnsi="Arial" w:cs="Arial"/>
          <w:sz w:val="20"/>
          <w:szCs w:val="20"/>
          <w:lang w:val="en-GB"/>
        </w:rPr>
        <w:t xml:space="preserve">We attended community events during the year, including Medway Pride in August 2024, Dementia Awareness Day at Rochester Cathedral in April 2024, and Fresher’s Fairs at local universities in September 2024. As part of our efforts to increase engagement with the younger generation, we renewed links with the Medway Youth Council and attended their Young Persons’ Conference for the first time in February 2025. </w:t>
      </w:r>
    </w:p>
    <w:p w14:paraId="3342739B" w14:textId="77777777" w:rsidR="00ED7971" w:rsidRPr="00885B57" w:rsidRDefault="00ED7971" w:rsidP="00ED7971">
      <w:pPr>
        <w:jc w:val="both"/>
        <w:rPr>
          <w:rFonts w:ascii="Arial" w:hAnsi="Arial" w:cs="Arial"/>
          <w:sz w:val="20"/>
          <w:szCs w:val="20"/>
          <w:lang w:val="en-GB"/>
        </w:rPr>
      </w:pPr>
    </w:p>
    <w:p w14:paraId="1759E258" w14:textId="77777777" w:rsidR="00ED7971" w:rsidRPr="00885B57" w:rsidRDefault="00ED7971" w:rsidP="00ED7971">
      <w:pPr>
        <w:jc w:val="both"/>
        <w:rPr>
          <w:rFonts w:ascii="Arial" w:hAnsi="Arial" w:cs="Arial"/>
          <w:sz w:val="20"/>
          <w:szCs w:val="20"/>
          <w:lang w:val="en-GB"/>
        </w:rPr>
      </w:pPr>
      <w:r w:rsidRPr="00885B57">
        <w:rPr>
          <w:rFonts w:ascii="Arial" w:hAnsi="Arial" w:cs="Arial"/>
          <w:sz w:val="20"/>
          <w:szCs w:val="20"/>
          <w:lang w:val="en-GB"/>
        </w:rPr>
        <w:t xml:space="preserve">The Trust held its Annual Members’ Meeting in September 2024; we invite the community, alongside Governors, members and staff.  This year, alongside the standard agenda, attendees had the opportunity to visit a ‘market place’ providing information about services provided by the hospital and our partners, such as the new patient portal Patient Knows Best, our improvement programme Patient First and mental health Safe Havens across Kent and Medway. </w:t>
      </w:r>
    </w:p>
    <w:p w14:paraId="6E4D060F" w14:textId="77777777" w:rsidR="00ED7971" w:rsidRPr="00885B57" w:rsidRDefault="00ED7971" w:rsidP="00ED7971">
      <w:pPr>
        <w:jc w:val="both"/>
        <w:rPr>
          <w:rFonts w:ascii="Arial" w:hAnsi="Arial" w:cs="Arial"/>
          <w:sz w:val="20"/>
          <w:szCs w:val="20"/>
          <w:lang w:val="en-GB"/>
        </w:rPr>
      </w:pPr>
    </w:p>
    <w:p w14:paraId="1BEE6137" w14:textId="77777777" w:rsidR="00ED7971" w:rsidRPr="00885B57" w:rsidRDefault="00ED7971" w:rsidP="00ED7971">
      <w:pPr>
        <w:jc w:val="both"/>
        <w:rPr>
          <w:rFonts w:ascii="Arial" w:hAnsi="Arial" w:cs="Arial"/>
          <w:sz w:val="20"/>
          <w:szCs w:val="20"/>
          <w:lang w:val="en-GB"/>
        </w:rPr>
      </w:pPr>
      <w:r w:rsidRPr="00885B57">
        <w:rPr>
          <w:rFonts w:ascii="Arial" w:hAnsi="Arial" w:cs="Arial"/>
          <w:sz w:val="20"/>
          <w:szCs w:val="20"/>
          <w:lang w:val="en-GB"/>
        </w:rPr>
        <w:t xml:space="preserve">In October 2024, the Engagement Team invited patients and local people to help us test our new automated telephone service to improve the experience when trying to contact us by phone. Members were recruited to test the new technology and report back on their experience. This meaningful </w:t>
      </w:r>
      <w:r w:rsidRPr="00885B57">
        <w:rPr>
          <w:rFonts w:ascii="Arial" w:hAnsi="Arial" w:cs="Arial"/>
          <w:sz w:val="20"/>
          <w:szCs w:val="20"/>
          <w:lang w:val="en-GB"/>
        </w:rPr>
        <w:lastRenderedPageBreak/>
        <w:t xml:space="preserve">feedback direct from patients helped shape the new service before it went live. </w:t>
      </w:r>
    </w:p>
    <w:p w14:paraId="231446E3" w14:textId="77777777" w:rsidR="00ED7971" w:rsidRPr="00885B57" w:rsidRDefault="00ED7971" w:rsidP="00ED7971">
      <w:pPr>
        <w:jc w:val="both"/>
        <w:rPr>
          <w:rFonts w:ascii="Arial" w:hAnsi="Arial" w:cs="Arial"/>
          <w:sz w:val="20"/>
          <w:szCs w:val="20"/>
          <w:lang w:val="en-GB"/>
        </w:rPr>
      </w:pPr>
    </w:p>
    <w:p w14:paraId="5BF02604" w14:textId="77777777" w:rsidR="00ED7971" w:rsidRPr="00885B57" w:rsidRDefault="00ED7971" w:rsidP="00ED7971">
      <w:pPr>
        <w:jc w:val="both"/>
        <w:rPr>
          <w:rFonts w:ascii="Arial" w:hAnsi="Arial" w:cs="Arial"/>
          <w:sz w:val="20"/>
          <w:szCs w:val="20"/>
          <w:lang w:val="en-GB"/>
        </w:rPr>
      </w:pPr>
      <w:r w:rsidRPr="00885B57">
        <w:rPr>
          <w:rFonts w:ascii="Arial" w:hAnsi="Arial" w:cs="Arial"/>
          <w:sz w:val="20"/>
          <w:szCs w:val="20"/>
          <w:lang w:val="en-GB"/>
        </w:rPr>
        <w:t>We also facilitated direct patient involvement in the design of the new Frailty Same Day Emergency Care service, with a patient representative giving valuable input into the project team, and we supported the recruitment of Patient Safety Partners for Medway and Swale.</w:t>
      </w:r>
    </w:p>
    <w:p w14:paraId="26EF4018" w14:textId="77777777" w:rsidR="00ED7971" w:rsidRPr="00885B57" w:rsidRDefault="00ED7971" w:rsidP="00ED7971">
      <w:pPr>
        <w:jc w:val="both"/>
        <w:rPr>
          <w:rFonts w:ascii="Arial" w:hAnsi="Arial" w:cs="Arial"/>
          <w:sz w:val="20"/>
          <w:szCs w:val="20"/>
          <w:lang w:val="en-GB"/>
        </w:rPr>
      </w:pPr>
    </w:p>
    <w:p w14:paraId="437AADFD" w14:textId="77777777" w:rsidR="00ED7971" w:rsidRPr="00885B57" w:rsidRDefault="00ED7971" w:rsidP="00ED7971">
      <w:pPr>
        <w:jc w:val="both"/>
        <w:rPr>
          <w:rFonts w:ascii="Arial" w:hAnsi="Arial" w:cs="Arial"/>
          <w:sz w:val="20"/>
          <w:szCs w:val="20"/>
          <w:lang w:val="en-GB"/>
        </w:rPr>
      </w:pPr>
      <w:r w:rsidRPr="00885B57">
        <w:rPr>
          <w:rFonts w:ascii="Arial" w:hAnsi="Arial" w:cs="Arial"/>
          <w:sz w:val="20"/>
          <w:szCs w:val="20"/>
          <w:lang w:val="en-GB"/>
        </w:rPr>
        <w:t xml:space="preserve">Throughout the year, we have held engagement stands twice a month in the hospital main entrance, focusing on different topics to inform patients and visitors and engage them in our work. For example, in November 2024, we raised awareness of our Veteran Aware accreditation to let people know how we support the Armed Forces community and veterans, both as a healthcare provider and an employer. In March 2024, we asked for feedback on our new website as we look to further develop it. </w:t>
      </w:r>
    </w:p>
    <w:p w14:paraId="54719182" w14:textId="77777777" w:rsidR="00ED7971" w:rsidRPr="00885B57" w:rsidRDefault="00ED7971" w:rsidP="00ED7971">
      <w:pPr>
        <w:jc w:val="both"/>
        <w:rPr>
          <w:rFonts w:ascii="Arial" w:hAnsi="Arial" w:cs="Arial"/>
          <w:sz w:val="20"/>
          <w:szCs w:val="20"/>
          <w:lang w:val="en-GB"/>
        </w:rPr>
      </w:pPr>
    </w:p>
    <w:p w14:paraId="23E816D3" w14:textId="77777777" w:rsidR="00ED7971" w:rsidRPr="00885B57" w:rsidRDefault="00ED7971" w:rsidP="00ED7971">
      <w:pPr>
        <w:jc w:val="both"/>
        <w:rPr>
          <w:rFonts w:ascii="Arial" w:hAnsi="Arial" w:cs="Arial"/>
          <w:sz w:val="20"/>
          <w:szCs w:val="20"/>
          <w:lang w:val="en-GB"/>
        </w:rPr>
      </w:pPr>
      <w:r w:rsidRPr="00885B57">
        <w:rPr>
          <w:rFonts w:ascii="Arial" w:hAnsi="Arial" w:cs="Arial"/>
          <w:sz w:val="20"/>
          <w:szCs w:val="20"/>
          <w:lang w:val="en-GB"/>
        </w:rPr>
        <w:t xml:space="preserve">On occasions we have been joined by partners, including NHS Kent and Medway, to engage on their Stop Think Choose campaign, and Kent and Medway Talking Therapies, to raise awareness of their service among patients and staff. We welcome partner working and invite anyone who would like to join us during 2025-2026 to get in touch.  </w:t>
      </w:r>
    </w:p>
    <w:p w14:paraId="19C05407" w14:textId="77777777" w:rsidR="00ED7971" w:rsidRPr="00885B57" w:rsidRDefault="00ED7971" w:rsidP="00ED7971">
      <w:pPr>
        <w:jc w:val="both"/>
        <w:rPr>
          <w:rFonts w:ascii="Arial" w:hAnsi="Arial" w:cs="Arial"/>
          <w:sz w:val="20"/>
          <w:szCs w:val="20"/>
          <w:lang w:val="en-GB"/>
        </w:rPr>
      </w:pPr>
    </w:p>
    <w:p w14:paraId="02644CF0" w14:textId="77777777" w:rsidR="00ED7971" w:rsidRPr="00885B57" w:rsidRDefault="00ED7971" w:rsidP="00ED7971">
      <w:pPr>
        <w:jc w:val="both"/>
        <w:rPr>
          <w:rFonts w:ascii="Arial" w:hAnsi="Arial" w:cs="Arial"/>
          <w:sz w:val="20"/>
          <w:szCs w:val="20"/>
          <w:lang w:val="en-GB"/>
        </w:rPr>
      </w:pPr>
      <w:r w:rsidRPr="00885B57">
        <w:rPr>
          <w:rFonts w:ascii="Arial" w:hAnsi="Arial" w:cs="Arial"/>
          <w:sz w:val="20"/>
          <w:szCs w:val="20"/>
          <w:lang w:val="en-GB"/>
        </w:rPr>
        <w:t xml:space="preserve">Throughout 2025/2026, we will build on this programme of events and engagement to provide opportunities to engage with all, including those groups which are harder to reach.  This will ensure the Trust continues to learn and that all community voices are heard.     </w:t>
      </w:r>
    </w:p>
    <w:p w14:paraId="583BDECA" w14:textId="77777777" w:rsidR="00ED7971" w:rsidRPr="00885B57" w:rsidRDefault="00ED7971" w:rsidP="00ED7971">
      <w:pPr>
        <w:jc w:val="both"/>
        <w:rPr>
          <w:rFonts w:ascii="Arial" w:hAnsi="Arial" w:cs="Arial"/>
          <w:b/>
          <w:sz w:val="20"/>
          <w:szCs w:val="20"/>
          <w:lang w:val="en-GB"/>
        </w:rPr>
      </w:pPr>
    </w:p>
    <w:p w14:paraId="0BDED6D5" w14:textId="77777777" w:rsidR="00B032A8" w:rsidRPr="00885B57" w:rsidRDefault="004A6C56" w:rsidP="00ED7971">
      <w:pPr>
        <w:jc w:val="both"/>
        <w:rPr>
          <w:rFonts w:ascii="Arial" w:hAnsi="Arial" w:cs="Arial"/>
          <w:sz w:val="20"/>
          <w:szCs w:val="20"/>
          <w:lang w:val="en-GB"/>
        </w:rPr>
      </w:pPr>
      <w:bookmarkStart w:id="5" w:name="_Hlk191365749"/>
      <w:r w:rsidRPr="00885B57">
        <w:rPr>
          <w:rFonts w:ascii="Arial" w:hAnsi="Arial" w:cs="Arial"/>
          <w:b/>
          <w:sz w:val="20"/>
          <w:szCs w:val="20"/>
          <w:lang w:val="en-GB"/>
        </w:rPr>
        <w:t>An</w:t>
      </w:r>
      <w:r w:rsidR="00B032A8" w:rsidRPr="00885B57">
        <w:rPr>
          <w:rFonts w:ascii="Arial" w:hAnsi="Arial" w:cs="Arial"/>
          <w:b/>
          <w:sz w:val="20"/>
          <w:szCs w:val="20"/>
          <w:lang w:val="en-GB"/>
        </w:rPr>
        <w:t xml:space="preserve">ti-Bribery </w:t>
      </w:r>
      <w:r w:rsidR="00DC23DE" w:rsidRPr="00885B57">
        <w:rPr>
          <w:rFonts w:ascii="Arial" w:hAnsi="Arial" w:cs="Arial"/>
          <w:b/>
          <w:sz w:val="20"/>
          <w:szCs w:val="20"/>
          <w:lang w:val="en-GB"/>
        </w:rPr>
        <w:t xml:space="preserve">and Fraud </w:t>
      </w:r>
    </w:p>
    <w:p w14:paraId="7EE46EFC" w14:textId="77777777" w:rsidR="00B032A8" w:rsidRPr="00885B57" w:rsidRDefault="00B032A8" w:rsidP="00ED7971">
      <w:pPr>
        <w:pStyle w:val="BodyText"/>
        <w:spacing w:before="0"/>
        <w:ind w:left="0"/>
        <w:jc w:val="both"/>
        <w:rPr>
          <w:rFonts w:eastAsiaTheme="minorHAnsi" w:cs="Arial"/>
          <w:b/>
          <w:sz w:val="20"/>
          <w:szCs w:val="20"/>
          <w:lang w:val="en-GB"/>
        </w:rPr>
      </w:pPr>
    </w:p>
    <w:p w14:paraId="1C82AFF0" w14:textId="77777777" w:rsidR="00B032A8" w:rsidRPr="00885B57" w:rsidRDefault="00B032A8" w:rsidP="00ED7971">
      <w:pPr>
        <w:pStyle w:val="BodyText"/>
        <w:spacing w:before="0"/>
        <w:ind w:left="0"/>
        <w:jc w:val="both"/>
        <w:rPr>
          <w:rFonts w:eastAsiaTheme="minorHAnsi" w:cs="Arial"/>
          <w:sz w:val="20"/>
          <w:szCs w:val="20"/>
          <w:lang w:val="en-GB"/>
        </w:rPr>
      </w:pPr>
      <w:r w:rsidRPr="00885B57">
        <w:rPr>
          <w:rFonts w:eastAsiaTheme="minorHAnsi" w:cs="Arial"/>
          <w:sz w:val="20"/>
          <w:szCs w:val="20"/>
          <w:lang w:val="en-GB"/>
        </w:rPr>
        <w:t xml:space="preserve">During the reporting period, the Trust’s local counter fraud services have been provided by RSM UK.  The Audit and Risk Committee approved the annual counter fraud work plan.  It receives a progress report at each meeting detailing cases of possible fraud and the outcome of any investigations.  Progress in respect of proactive work and themed reviews is also reported.  The Audit and Risk Committee monitors the implementation of any recommendations made by RSM UK by way of a Management Audit Action Tracker.  </w:t>
      </w:r>
    </w:p>
    <w:p w14:paraId="5CA43D5D" w14:textId="77777777" w:rsidR="00B032A8" w:rsidRPr="00885B57" w:rsidRDefault="00B032A8" w:rsidP="00017376">
      <w:pPr>
        <w:pStyle w:val="BodyText"/>
        <w:spacing w:before="0"/>
        <w:ind w:left="0"/>
        <w:jc w:val="both"/>
        <w:rPr>
          <w:rFonts w:eastAsiaTheme="minorHAnsi" w:cs="Arial"/>
          <w:sz w:val="20"/>
          <w:szCs w:val="20"/>
          <w:lang w:val="en-GB"/>
        </w:rPr>
      </w:pPr>
    </w:p>
    <w:p w14:paraId="23D2F4F3" w14:textId="77777777" w:rsidR="00B032A8" w:rsidRPr="00885B57" w:rsidRDefault="00B032A8" w:rsidP="00017376">
      <w:pPr>
        <w:pStyle w:val="BodyText"/>
        <w:spacing w:before="0"/>
        <w:ind w:left="0"/>
        <w:jc w:val="both"/>
        <w:rPr>
          <w:rFonts w:eastAsiaTheme="minorHAnsi" w:cs="Arial"/>
          <w:sz w:val="20"/>
          <w:szCs w:val="20"/>
          <w:lang w:val="en-GB"/>
        </w:rPr>
      </w:pPr>
      <w:r w:rsidRPr="00885B57">
        <w:rPr>
          <w:rFonts w:eastAsiaTheme="minorHAnsi" w:cs="Arial"/>
          <w:sz w:val="20"/>
          <w:szCs w:val="20"/>
          <w:lang w:val="en-GB"/>
        </w:rPr>
        <w:t xml:space="preserve">The Local Counter Fraud Services Team works closely with the internal audit team (KPMG) to consider how identified fraud risks can be addressed within the scope of their reviews and additional assurance can be provided through this route. </w:t>
      </w:r>
    </w:p>
    <w:p w14:paraId="6F0BD1C9" w14:textId="77777777" w:rsidR="00B032A8" w:rsidRPr="00885B57" w:rsidRDefault="00B032A8" w:rsidP="00017376">
      <w:pPr>
        <w:pStyle w:val="BodyText"/>
        <w:spacing w:before="0"/>
        <w:ind w:left="0"/>
        <w:jc w:val="both"/>
        <w:rPr>
          <w:rFonts w:eastAsiaTheme="minorHAnsi" w:cs="Arial"/>
          <w:sz w:val="20"/>
          <w:szCs w:val="20"/>
          <w:lang w:val="en-GB"/>
        </w:rPr>
      </w:pPr>
    </w:p>
    <w:p w14:paraId="337BFF1C" w14:textId="77777777" w:rsidR="00B820D5" w:rsidRPr="00885B57" w:rsidRDefault="00B032A8" w:rsidP="00017376">
      <w:pPr>
        <w:pStyle w:val="BodyText"/>
        <w:spacing w:before="0"/>
        <w:ind w:left="0"/>
        <w:jc w:val="both"/>
        <w:rPr>
          <w:rFonts w:eastAsiaTheme="minorHAnsi" w:cs="Arial"/>
          <w:sz w:val="20"/>
          <w:szCs w:val="20"/>
          <w:lang w:val="en-GB"/>
        </w:rPr>
      </w:pPr>
      <w:r w:rsidRPr="00885B57">
        <w:rPr>
          <w:rFonts w:eastAsiaTheme="minorHAnsi" w:cs="Arial"/>
          <w:sz w:val="20"/>
          <w:szCs w:val="20"/>
          <w:lang w:val="en-GB"/>
        </w:rPr>
        <w:t>The team also provide a report to the Audit and Risk Committee regarding the Trust’s scoring for the Counter Fraud Functional Standard Return, which is continuously monitored throughout the year against the Government Functional Standard 013: Counter Fraud.</w:t>
      </w:r>
      <w:r w:rsidR="00B820D5" w:rsidRPr="00885B57">
        <w:rPr>
          <w:rFonts w:eastAsiaTheme="minorHAnsi" w:cs="Arial"/>
          <w:sz w:val="20"/>
          <w:szCs w:val="20"/>
          <w:lang w:val="en-GB"/>
        </w:rPr>
        <w:t xml:space="preserve">  </w:t>
      </w:r>
      <w:r w:rsidRPr="00885B57">
        <w:rPr>
          <w:rFonts w:eastAsiaTheme="minorHAnsi" w:cs="Arial"/>
          <w:sz w:val="20"/>
          <w:szCs w:val="20"/>
          <w:lang w:val="en-GB"/>
        </w:rPr>
        <w:t xml:space="preserve">Throughout the year RSM UK </w:t>
      </w:r>
      <w:r w:rsidR="00B820D5" w:rsidRPr="00885B57">
        <w:rPr>
          <w:rFonts w:eastAsiaTheme="minorHAnsi" w:cs="Arial"/>
          <w:sz w:val="20"/>
          <w:szCs w:val="20"/>
          <w:lang w:val="en-GB"/>
        </w:rPr>
        <w:t xml:space="preserve">conducted the following investigations, with reporting to the Audit and Risk Committee:  </w:t>
      </w:r>
    </w:p>
    <w:p w14:paraId="36F6AF03" w14:textId="77777777" w:rsidR="00B820D5" w:rsidRPr="00885B57" w:rsidRDefault="00B820D5" w:rsidP="00017376">
      <w:pPr>
        <w:pStyle w:val="BodyText"/>
        <w:spacing w:before="0"/>
        <w:ind w:left="0"/>
        <w:jc w:val="both"/>
        <w:rPr>
          <w:rFonts w:eastAsiaTheme="minorHAnsi" w:cs="Arial"/>
          <w:sz w:val="20"/>
          <w:szCs w:val="20"/>
          <w:lang w:val="en-GB"/>
        </w:rPr>
      </w:pPr>
    </w:p>
    <w:p w14:paraId="30A4D7C3" w14:textId="77777777" w:rsidR="00B820D5" w:rsidRPr="00885B57" w:rsidRDefault="00B820D5" w:rsidP="00017376">
      <w:pPr>
        <w:pStyle w:val="BodyText"/>
        <w:spacing w:before="0"/>
        <w:ind w:left="0"/>
        <w:jc w:val="both"/>
        <w:rPr>
          <w:rFonts w:eastAsiaTheme="minorHAnsi" w:cs="Arial"/>
          <w:sz w:val="20"/>
          <w:szCs w:val="20"/>
          <w:lang w:val="en-GB"/>
        </w:rPr>
      </w:pPr>
      <w:r w:rsidRPr="00885B57">
        <w:rPr>
          <w:rFonts w:eastAsiaTheme="minorHAnsi" w:cs="Arial"/>
          <w:b/>
          <w:sz w:val="20"/>
          <w:szCs w:val="20"/>
          <w:lang w:val="en-GB"/>
        </w:rPr>
        <w:t>Brought forward from 2023/24</w:t>
      </w:r>
      <w:r w:rsidRPr="00885B57">
        <w:rPr>
          <w:rFonts w:eastAsiaTheme="minorHAnsi" w:cs="Arial"/>
          <w:b/>
          <w:sz w:val="20"/>
          <w:szCs w:val="20"/>
          <w:lang w:val="en-GB"/>
        </w:rPr>
        <w:tab/>
      </w:r>
      <w:r w:rsidRPr="00885B57">
        <w:rPr>
          <w:rFonts w:eastAsiaTheme="minorHAnsi" w:cs="Arial"/>
          <w:b/>
          <w:sz w:val="20"/>
          <w:szCs w:val="20"/>
          <w:lang w:val="en-GB"/>
        </w:rPr>
        <w:tab/>
        <w:t>4</w:t>
      </w:r>
      <w:r w:rsidR="008109BC" w:rsidRPr="00885B57">
        <w:rPr>
          <w:rFonts w:eastAsiaTheme="minorHAnsi" w:cs="Arial"/>
          <w:b/>
          <w:sz w:val="20"/>
          <w:szCs w:val="20"/>
          <w:lang w:val="en-GB"/>
        </w:rPr>
        <w:tab/>
      </w:r>
      <w:r w:rsidRPr="00885B57">
        <w:rPr>
          <w:rFonts w:eastAsiaTheme="minorHAnsi" w:cs="Arial"/>
          <w:sz w:val="20"/>
          <w:szCs w:val="20"/>
          <w:lang w:val="en-GB"/>
        </w:rPr>
        <w:t>Cases received</w:t>
      </w:r>
      <w:r w:rsidRPr="00885B57">
        <w:rPr>
          <w:rFonts w:eastAsiaTheme="minorHAnsi" w:cs="Arial"/>
          <w:sz w:val="20"/>
          <w:szCs w:val="20"/>
          <w:lang w:val="en-GB"/>
        </w:rPr>
        <w:tab/>
      </w:r>
      <w:r w:rsidRPr="00885B57">
        <w:rPr>
          <w:rFonts w:eastAsiaTheme="minorHAnsi" w:cs="Arial"/>
          <w:sz w:val="20"/>
          <w:szCs w:val="20"/>
          <w:lang w:val="en-GB"/>
        </w:rPr>
        <w:tab/>
      </w:r>
      <w:r w:rsidRPr="00885B57">
        <w:rPr>
          <w:rFonts w:eastAsiaTheme="minorHAnsi" w:cs="Arial"/>
          <w:sz w:val="20"/>
          <w:szCs w:val="20"/>
          <w:lang w:val="en-GB"/>
        </w:rPr>
        <w:tab/>
      </w:r>
      <w:r w:rsidRPr="00885B57">
        <w:rPr>
          <w:rFonts w:eastAsiaTheme="minorHAnsi" w:cs="Arial"/>
          <w:sz w:val="20"/>
          <w:szCs w:val="20"/>
          <w:lang w:val="en-GB"/>
        </w:rPr>
        <w:tab/>
        <w:t>11</w:t>
      </w:r>
    </w:p>
    <w:p w14:paraId="3EF62D3B" w14:textId="77777777" w:rsidR="00B820D5" w:rsidRPr="00885B57" w:rsidRDefault="00B820D5" w:rsidP="00017376">
      <w:pPr>
        <w:pStyle w:val="BodyText"/>
        <w:spacing w:before="0"/>
        <w:ind w:left="0"/>
        <w:jc w:val="both"/>
        <w:rPr>
          <w:rFonts w:eastAsiaTheme="minorHAnsi" w:cs="Arial"/>
          <w:sz w:val="20"/>
          <w:szCs w:val="20"/>
          <w:lang w:val="en-GB"/>
        </w:rPr>
      </w:pPr>
      <w:r w:rsidRPr="00885B57">
        <w:rPr>
          <w:rFonts w:eastAsiaTheme="minorHAnsi" w:cs="Arial"/>
          <w:sz w:val="20"/>
          <w:szCs w:val="20"/>
          <w:lang w:val="en-GB"/>
        </w:rPr>
        <w:t>Information reports received</w:t>
      </w:r>
      <w:r w:rsidRPr="00885B57">
        <w:rPr>
          <w:rFonts w:eastAsiaTheme="minorHAnsi" w:cs="Arial"/>
          <w:sz w:val="20"/>
          <w:szCs w:val="20"/>
          <w:lang w:val="en-GB"/>
        </w:rPr>
        <w:tab/>
      </w:r>
      <w:r w:rsidRPr="00885B57">
        <w:rPr>
          <w:rFonts w:eastAsiaTheme="minorHAnsi" w:cs="Arial"/>
          <w:sz w:val="20"/>
          <w:szCs w:val="20"/>
          <w:lang w:val="en-GB"/>
        </w:rPr>
        <w:tab/>
        <w:t>4</w:t>
      </w:r>
      <w:r w:rsidR="008109BC" w:rsidRPr="00885B57">
        <w:rPr>
          <w:rFonts w:eastAsiaTheme="minorHAnsi" w:cs="Arial"/>
          <w:sz w:val="20"/>
          <w:szCs w:val="20"/>
          <w:lang w:val="en-GB"/>
        </w:rPr>
        <w:tab/>
      </w:r>
      <w:r w:rsidRPr="00885B57">
        <w:rPr>
          <w:rFonts w:eastAsiaTheme="minorHAnsi" w:cs="Arial"/>
          <w:sz w:val="20"/>
          <w:szCs w:val="20"/>
          <w:lang w:val="en-GB"/>
        </w:rPr>
        <w:t>Information reports converted to Case</w:t>
      </w:r>
      <w:r w:rsidRPr="00885B57">
        <w:rPr>
          <w:rFonts w:eastAsiaTheme="minorHAnsi" w:cs="Arial"/>
          <w:sz w:val="20"/>
          <w:szCs w:val="20"/>
          <w:lang w:val="en-GB"/>
        </w:rPr>
        <w:tab/>
        <w:t>1</w:t>
      </w:r>
    </w:p>
    <w:p w14:paraId="0531FEAA" w14:textId="77777777" w:rsidR="008109BC" w:rsidRPr="00885B57" w:rsidRDefault="008109BC" w:rsidP="00017376">
      <w:pPr>
        <w:pStyle w:val="BodyText"/>
        <w:spacing w:before="0"/>
        <w:ind w:left="0"/>
        <w:jc w:val="both"/>
        <w:rPr>
          <w:rFonts w:eastAsiaTheme="minorHAnsi" w:cs="Arial"/>
          <w:sz w:val="20"/>
          <w:szCs w:val="20"/>
          <w:lang w:val="en-GB"/>
        </w:rPr>
      </w:pPr>
    </w:p>
    <w:p w14:paraId="6A036525" w14:textId="77777777" w:rsidR="00B820D5" w:rsidRPr="00885B57" w:rsidRDefault="00B820D5" w:rsidP="00017376">
      <w:pPr>
        <w:pStyle w:val="BodyText"/>
        <w:spacing w:before="0"/>
        <w:ind w:left="0"/>
        <w:jc w:val="both"/>
        <w:rPr>
          <w:rFonts w:eastAsiaTheme="minorHAnsi" w:cs="Arial"/>
          <w:sz w:val="20"/>
          <w:szCs w:val="20"/>
          <w:lang w:val="en-GB"/>
        </w:rPr>
      </w:pPr>
      <w:r w:rsidRPr="00885B57">
        <w:rPr>
          <w:rFonts w:eastAsiaTheme="minorHAnsi" w:cs="Arial"/>
          <w:sz w:val="20"/>
          <w:szCs w:val="20"/>
          <w:lang w:val="en-GB"/>
        </w:rPr>
        <w:t>Investigations recorded on NHS Case Management System so far (from cases and information reports)</w:t>
      </w:r>
      <w:r w:rsidR="008109BC" w:rsidRPr="00885B57">
        <w:rPr>
          <w:rFonts w:eastAsiaTheme="minorHAnsi" w:cs="Arial"/>
          <w:sz w:val="20"/>
          <w:szCs w:val="20"/>
          <w:lang w:val="en-GB"/>
        </w:rPr>
        <w:t xml:space="preserve"> </w:t>
      </w:r>
      <w:r w:rsidRPr="00885B57">
        <w:rPr>
          <w:rFonts w:eastAsiaTheme="minorHAnsi" w:cs="Arial"/>
          <w:sz w:val="20"/>
          <w:szCs w:val="20"/>
          <w:lang w:val="en-GB"/>
        </w:rPr>
        <w:t>11</w:t>
      </w:r>
    </w:p>
    <w:p w14:paraId="1F4C2EC9" w14:textId="77777777" w:rsidR="00017376" w:rsidRPr="00885B57" w:rsidRDefault="00017376" w:rsidP="00017376">
      <w:pPr>
        <w:pStyle w:val="BodyText"/>
        <w:spacing w:before="0"/>
        <w:ind w:left="0"/>
        <w:jc w:val="both"/>
        <w:rPr>
          <w:rFonts w:eastAsiaTheme="minorHAnsi" w:cs="Arial"/>
          <w:sz w:val="20"/>
          <w:szCs w:val="20"/>
          <w:lang w:val="en-GB"/>
        </w:rPr>
      </w:pPr>
    </w:p>
    <w:p w14:paraId="48AB8F8A" w14:textId="77777777" w:rsidR="00B820D5" w:rsidRPr="00885B57" w:rsidRDefault="00B820D5" w:rsidP="00017376">
      <w:pPr>
        <w:pStyle w:val="BodyText"/>
        <w:spacing w:before="0"/>
        <w:ind w:left="0"/>
        <w:jc w:val="both"/>
        <w:rPr>
          <w:rFonts w:eastAsiaTheme="minorHAnsi" w:cs="Arial"/>
          <w:sz w:val="20"/>
          <w:szCs w:val="20"/>
          <w:lang w:val="en-GB"/>
        </w:rPr>
      </w:pPr>
      <w:r w:rsidRPr="00885B57">
        <w:rPr>
          <w:rFonts w:eastAsiaTheme="minorHAnsi" w:cs="Arial"/>
          <w:sz w:val="20"/>
          <w:szCs w:val="20"/>
          <w:lang w:val="en-GB"/>
        </w:rPr>
        <w:t>Cases Closed</w:t>
      </w:r>
      <w:r w:rsidRPr="00885B57">
        <w:rPr>
          <w:rFonts w:eastAsiaTheme="minorHAnsi" w:cs="Arial"/>
          <w:sz w:val="20"/>
          <w:szCs w:val="20"/>
          <w:lang w:val="en-GB"/>
        </w:rPr>
        <w:tab/>
      </w:r>
      <w:r w:rsidRPr="00885B57">
        <w:rPr>
          <w:rFonts w:eastAsiaTheme="minorHAnsi" w:cs="Arial"/>
          <w:sz w:val="20"/>
          <w:szCs w:val="20"/>
          <w:lang w:val="en-GB"/>
        </w:rPr>
        <w:tab/>
      </w:r>
      <w:r w:rsidRPr="00885B57">
        <w:rPr>
          <w:rFonts w:eastAsiaTheme="minorHAnsi" w:cs="Arial"/>
          <w:sz w:val="20"/>
          <w:szCs w:val="20"/>
          <w:lang w:val="en-GB"/>
        </w:rPr>
        <w:tab/>
      </w:r>
      <w:r w:rsidR="00017376" w:rsidRPr="00885B57">
        <w:rPr>
          <w:rFonts w:eastAsiaTheme="minorHAnsi" w:cs="Arial"/>
          <w:sz w:val="20"/>
          <w:szCs w:val="20"/>
          <w:lang w:val="en-GB"/>
        </w:rPr>
        <w:tab/>
      </w:r>
      <w:r w:rsidRPr="00885B57">
        <w:rPr>
          <w:rFonts w:eastAsiaTheme="minorHAnsi" w:cs="Arial"/>
          <w:sz w:val="20"/>
          <w:szCs w:val="20"/>
          <w:lang w:val="en-GB"/>
        </w:rPr>
        <w:t>10</w:t>
      </w:r>
      <w:r w:rsidR="008109BC" w:rsidRPr="00885B57">
        <w:rPr>
          <w:rFonts w:eastAsiaTheme="minorHAnsi" w:cs="Arial"/>
          <w:sz w:val="20"/>
          <w:szCs w:val="20"/>
          <w:lang w:val="en-GB"/>
        </w:rPr>
        <w:tab/>
      </w:r>
      <w:r w:rsidRPr="00885B57">
        <w:rPr>
          <w:rFonts w:eastAsiaTheme="minorHAnsi" w:cs="Arial"/>
          <w:sz w:val="20"/>
          <w:szCs w:val="20"/>
          <w:lang w:val="en-GB"/>
        </w:rPr>
        <w:t>Information reports Closed</w:t>
      </w:r>
      <w:r w:rsidRPr="00885B57">
        <w:rPr>
          <w:rFonts w:eastAsiaTheme="minorHAnsi" w:cs="Arial"/>
          <w:sz w:val="20"/>
          <w:szCs w:val="20"/>
          <w:lang w:val="en-GB"/>
        </w:rPr>
        <w:tab/>
      </w:r>
      <w:r w:rsidR="00017376" w:rsidRPr="00885B57">
        <w:rPr>
          <w:rFonts w:eastAsiaTheme="minorHAnsi" w:cs="Arial"/>
          <w:sz w:val="20"/>
          <w:szCs w:val="20"/>
          <w:lang w:val="en-GB"/>
        </w:rPr>
        <w:tab/>
      </w:r>
      <w:r w:rsidRPr="00885B57">
        <w:rPr>
          <w:rFonts w:eastAsiaTheme="minorHAnsi" w:cs="Arial"/>
          <w:sz w:val="20"/>
          <w:szCs w:val="20"/>
          <w:lang w:val="en-GB"/>
        </w:rPr>
        <w:t>2</w:t>
      </w:r>
    </w:p>
    <w:p w14:paraId="78AE75A6" w14:textId="77777777" w:rsidR="00B820D5" w:rsidRPr="00885B57" w:rsidRDefault="00B820D5" w:rsidP="00017376">
      <w:pPr>
        <w:pStyle w:val="BodyText"/>
        <w:spacing w:before="0"/>
        <w:ind w:left="0"/>
        <w:jc w:val="both"/>
        <w:rPr>
          <w:rFonts w:eastAsiaTheme="minorHAnsi" w:cs="Arial"/>
          <w:sz w:val="20"/>
          <w:szCs w:val="20"/>
          <w:lang w:val="en-GB"/>
        </w:rPr>
      </w:pPr>
      <w:r w:rsidRPr="00885B57">
        <w:rPr>
          <w:rFonts w:eastAsiaTheme="minorHAnsi" w:cs="Arial"/>
          <w:sz w:val="20"/>
          <w:szCs w:val="20"/>
          <w:lang w:val="en-GB"/>
        </w:rPr>
        <w:t>Cases on-going</w:t>
      </w:r>
      <w:r w:rsidRPr="00885B57">
        <w:rPr>
          <w:rFonts w:eastAsiaTheme="minorHAnsi" w:cs="Arial"/>
          <w:sz w:val="20"/>
          <w:szCs w:val="20"/>
          <w:lang w:val="en-GB"/>
        </w:rPr>
        <w:tab/>
      </w:r>
      <w:r w:rsidRPr="00885B57">
        <w:rPr>
          <w:rFonts w:eastAsiaTheme="minorHAnsi" w:cs="Arial"/>
          <w:sz w:val="20"/>
          <w:szCs w:val="20"/>
          <w:lang w:val="en-GB"/>
        </w:rPr>
        <w:tab/>
      </w:r>
      <w:r w:rsidRPr="00885B57">
        <w:rPr>
          <w:rFonts w:eastAsiaTheme="minorHAnsi" w:cs="Arial"/>
          <w:sz w:val="20"/>
          <w:szCs w:val="20"/>
          <w:lang w:val="en-GB"/>
        </w:rPr>
        <w:tab/>
      </w:r>
      <w:r w:rsidR="00017376" w:rsidRPr="00885B57">
        <w:rPr>
          <w:rFonts w:eastAsiaTheme="minorHAnsi" w:cs="Arial"/>
          <w:sz w:val="20"/>
          <w:szCs w:val="20"/>
          <w:lang w:val="en-GB"/>
        </w:rPr>
        <w:tab/>
      </w:r>
      <w:r w:rsidRPr="00885B57">
        <w:rPr>
          <w:rFonts w:eastAsiaTheme="minorHAnsi" w:cs="Arial"/>
          <w:sz w:val="20"/>
          <w:szCs w:val="20"/>
          <w:lang w:val="en-GB"/>
        </w:rPr>
        <w:t>6</w:t>
      </w:r>
      <w:r w:rsidR="008109BC" w:rsidRPr="00885B57">
        <w:rPr>
          <w:rFonts w:eastAsiaTheme="minorHAnsi" w:cs="Arial"/>
          <w:sz w:val="20"/>
          <w:szCs w:val="20"/>
          <w:lang w:val="en-GB"/>
        </w:rPr>
        <w:tab/>
      </w:r>
      <w:r w:rsidRPr="00885B57">
        <w:rPr>
          <w:rFonts w:eastAsiaTheme="minorHAnsi" w:cs="Arial"/>
          <w:sz w:val="20"/>
          <w:szCs w:val="20"/>
          <w:lang w:val="en-GB"/>
        </w:rPr>
        <w:t>Intelligence reports on-going</w:t>
      </w:r>
      <w:r w:rsidRPr="00885B57">
        <w:rPr>
          <w:rFonts w:eastAsiaTheme="minorHAnsi" w:cs="Arial"/>
          <w:sz w:val="20"/>
          <w:szCs w:val="20"/>
          <w:lang w:val="en-GB"/>
        </w:rPr>
        <w:tab/>
      </w:r>
      <w:r w:rsidR="00017376" w:rsidRPr="00885B57">
        <w:rPr>
          <w:rFonts w:eastAsiaTheme="minorHAnsi" w:cs="Arial"/>
          <w:sz w:val="20"/>
          <w:szCs w:val="20"/>
          <w:lang w:val="en-GB"/>
        </w:rPr>
        <w:tab/>
      </w:r>
      <w:r w:rsidRPr="00885B57">
        <w:rPr>
          <w:rFonts w:eastAsiaTheme="minorHAnsi" w:cs="Arial"/>
          <w:sz w:val="20"/>
          <w:szCs w:val="20"/>
          <w:lang w:val="en-GB"/>
        </w:rPr>
        <w:t>1</w:t>
      </w:r>
    </w:p>
    <w:p w14:paraId="57E45D4F" w14:textId="77777777" w:rsidR="008109BC" w:rsidRPr="00885B57" w:rsidRDefault="008109BC" w:rsidP="00017376">
      <w:pPr>
        <w:pStyle w:val="BodyText"/>
        <w:spacing w:before="0"/>
        <w:ind w:left="0"/>
        <w:jc w:val="both"/>
        <w:rPr>
          <w:rFonts w:eastAsiaTheme="minorHAnsi" w:cs="Arial"/>
          <w:sz w:val="20"/>
          <w:szCs w:val="20"/>
          <w:highlight w:val="yellow"/>
          <w:lang w:val="en-GB"/>
        </w:rPr>
      </w:pPr>
    </w:p>
    <w:p w14:paraId="6EDC9137" w14:textId="77777777" w:rsidR="00ED7971" w:rsidRPr="00885B57" w:rsidRDefault="00ED7971" w:rsidP="00017376">
      <w:pPr>
        <w:pStyle w:val="BodyText"/>
        <w:spacing w:before="0"/>
        <w:ind w:left="0"/>
        <w:jc w:val="both"/>
        <w:rPr>
          <w:rFonts w:eastAsiaTheme="minorHAnsi" w:cs="Arial"/>
          <w:sz w:val="20"/>
          <w:szCs w:val="20"/>
          <w:highlight w:val="yellow"/>
          <w:lang w:val="en-GB"/>
        </w:rPr>
      </w:pPr>
    </w:p>
    <w:bookmarkEnd w:id="5"/>
    <w:p w14:paraId="1EBBCBF1" w14:textId="77777777" w:rsidR="008109BC" w:rsidRPr="00885B57" w:rsidRDefault="008109BC" w:rsidP="008109BC">
      <w:pPr>
        <w:pStyle w:val="paragraph"/>
        <w:spacing w:before="0" w:beforeAutospacing="0" w:after="0" w:afterAutospacing="0"/>
        <w:jc w:val="both"/>
        <w:textAlignment w:val="baseline"/>
        <w:rPr>
          <w:rFonts w:ascii="Arial" w:hAnsi="Arial" w:cs="Arial"/>
          <w:sz w:val="20"/>
          <w:szCs w:val="20"/>
        </w:rPr>
      </w:pPr>
      <w:r w:rsidRPr="00885B57">
        <w:rPr>
          <w:rStyle w:val="normaltextrun"/>
          <w:rFonts w:ascii="Arial" w:hAnsi="Arial" w:cs="Arial"/>
          <w:b/>
          <w:bCs/>
          <w:sz w:val="20"/>
          <w:szCs w:val="20"/>
        </w:rPr>
        <w:t xml:space="preserve">Equality, Diversity and Human Rights </w:t>
      </w:r>
      <w:r w:rsidRPr="00885B57">
        <w:rPr>
          <w:rStyle w:val="eop"/>
          <w:rFonts w:ascii="Arial" w:hAnsi="Arial" w:cs="Arial"/>
          <w:color w:val="881798"/>
          <w:sz w:val="20"/>
          <w:szCs w:val="20"/>
        </w:rPr>
        <w:t> </w:t>
      </w:r>
    </w:p>
    <w:p w14:paraId="258B91D4" w14:textId="77777777" w:rsidR="008109BC" w:rsidRPr="00885B57" w:rsidRDefault="008109BC" w:rsidP="008109BC">
      <w:pPr>
        <w:pStyle w:val="paragraph"/>
        <w:spacing w:before="0" w:beforeAutospacing="0" w:after="0" w:afterAutospacing="0"/>
        <w:jc w:val="both"/>
        <w:textAlignment w:val="baseline"/>
        <w:rPr>
          <w:rFonts w:ascii="Arial" w:hAnsi="Arial" w:cs="Arial"/>
          <w:sz w:val="20"/>
          <w:szCs w:val="20"/>
        </w:rPr>
      </w:pPr>
      <w:r w:rsidRPr="00885B57">
        <w:rPr>
          <w:rStyle w:val="normaltextrun"/>
          <w:rFonts w:ascii="Arial" w:hAnsi="Arial" w:cs="Arial"/>
          <w:sz w:val="20"/>
          <w:szCs w:val="20"/>
          <w:lang w:val="en-US"/>
        </w:rPr>
        <w:t>Control measures are in place to ensure that the organisation’s obligations under equality and human rights legislation are complied with.  The Trust employs a Head of Equality and Inclusion to provide strategic and practical professional guidance and advice to the Trust.  </w:t>
      </w:r>
      <w:r w:rsidRPr="00885B57">
        <w:rPr>
          <w:rStyle w:val="eop"/>
          <w:rFonts w:ascii="Arial" w:hAnsi="Arial" w:cs="Arial"/>
          <w:color w:val="881798"/>
          <w:sz w:val="20"/>
          <w:szCs w:val="20"/>
        </w:rPr>
        <w:t> </w:t>
      </w:r>
    </w:p>
    <w:p w14:paraId="76662B1C" w14:textId="77777777" w:rsidR="008109BC" w:rsidRPr="00885B57" w:rsidRDefault="008109BC" w:rsidP="008109BC">
      <w:pPr>
        <w:pStyle w:val="paragraph"/>
        <w:spacing w:before="0" w:beforeAutospacing="0" w:after="0" w:afterAutospacing="0"/>
        <w:jc w:val="both"/>
        <w:textAlignment w:val="baseline"/>
        <w:rPr>
          <w:rFonts w:ascii="Arial" w:hAnsi="Arial" w:cs="Arial"/>
          <w:sz w:val="20"/>
          <w:szCs w:val="20"/>
        </w:rPr>
      </w:pPr>
      <w:r w:rsidRPr="00885B57">
        <w:rPr>
          <w:rStyle w:val="eop"/>
          <w:rFonts w:ascii="Arial" w:hAnsi="Arial" w:cs="Arial"/>
          <w:color w:val="881798"/>
          <w:sz w:val="20"/>
          <w:szCs w:val="20"/>
        </w:rPr>
        <w:t> </w:t>
      </w:r>
    </w:p>
    <w:p w14:paraId="4890BABF" w14:textId="77777777" w:rsidR="008109BC" w:rsidRPr="00885B57" w:rsidRDefault="008109BC" w:rsidP="008109BC">
      <w:pPr>
        <w:pStyle w:val="paragraph"/>
        <w:spacing w:before="0" w:beforeAutospacing="0" w:after="0" w:afterAutospacing="0"/>
        <w:jc w:val="both"/>
        <w:textAlignment w:val="baseline"/>
        <w:rPr>
          <w:rFonts w:ascii="Arial" w:hAnsi="Arial" w:cs="Arial"/>
          <w:sz w:val="20"/>
          <w:szCs w:val="20"/>
        </w:rPr>
      </w:pPr>
      <w:r w:rsidRPr="00885B57">
        <w:rPr>
          <w:rStyle w:val="normaltextrun"/>
          <w:rFonts w:ascii="Arial" w:hAnsi="Arial" w:cs="Arial"/>
          <w:sz w:val="20"/>
          <w:szCs w:val="20"/>
          <w:lang w:val="en-US"/>
        </w:rPr>
        <w:t>The Trust’s strategic approach to equality and diversity is managed through the Equality Delivery Scheme (EDS) and through The People Strategy.  Additionally, the Trust publishes the results and action plans on mandatory equality metrics, such as the Gender Pay Gap and Workforce Race and Disability Equality Standards.  These metrics enable the Trust to benchmark with other NHS organisations and partners, to produce and maintain action plans, and review and improve its performance for people with characteristics protected by the Equality Act 2010.  </w:t>
      </w:r>
      <w:r w:rsidRPr="00885B57">
        <w:rPr>
          <w:rStyle w:val="eop"/>
          <w:rFonts w:ascii="Arial" w:hAnsi="Arial" w:cs="Arial"/>
          <w:color w:val="881798"/>
          <w:sz w:val="20"/>
          <w:szCs w:val="20"/>
        </w:rPr>
        <w:t> </w:t>
      </w:r>
    </w:p>
    <w:p w14:paraId="735908AD" w14:textId="77777777" w:rsidR="008109BC" w:rsidRPr="00885B57" w:rsidRDefault="008109BC" w:rsidP="008109BC">
      <w:pPr>
        <w:pStyle w:val="paragraph"/>
        <w:spacing w:before="0" w:beforeAutospacing="0" w:after="0" w:afterAutospacing="0"/>
        <w:jc w:val="both"/>
        <w:textAlignment w:val="baseline"/>
        <w:rPr>
          <w:rFonts w:ascii="Arial" w:hAnsi="Arial" w:cs="Arial"/>
          <w:sz w:val="20"/>
          <w:szCs w:val="20"/>
        </w:rPr>
      </w:pPr>
      <w:r w:rsidRPr="00885B57">
        <w:rPr>
          <w:rStyle w:val="eop"/>
          <w:rFonts w:ascii="Arial" w:hAnsi="Arial" w:cs="Arial"/>
          <w:color w:val="881798"/>
          <w:sz w:val="20"/>
          <w:szCs w:val="20"/>
        </w:rPr>
        <w:lastRenderedPageBreak/>
        <w:t> </w:t>
      </w:r>
    </w:p>
    <w:p w14:paraId="39AEC624" w14:textId="77777777" w:rsidR="008109BC" w:rsidRPr="00885B57" w:rsidRDefault="008109BC" w:rsidP="008109BC">
      <w:pPr>
        <w:pStyle w:val="paragraph"/>
        <w:spacing w:before="0" w:beforeAutospacing="0" w:after="0" w:afterAutospacing="0"/>
        <w:jc w:val="both"/>
        <w:textAlignment w:val="baseline"/>
        <w:rPr>
          <w:rFonts w:ascii="Arial" w:hAnsi="Arial" w:cs="Arial"/>
          <w:sz w:val="20"/>
          <w:szCs w:val="20"/>
        </w:rPr>
      </w:pPr>
      <w:r w:rsidRPr="00885B57">
        <w:rPr>
          <w:rStyle w:val="normaltextrun"/>
          <w:rFonts w:ascii="Arial" w:hAnsi="Arial" w:cs="Arial"/>
          <w:sz w:val="20"/>
          <w:szCs w:val="20"/>
        </w:rPr>
        <w:t>This strategic focus on equality and diversity is also reflected in the Trust’s Patient First methodology and People Breakthrough Objective, which is focussed on identifying and addressing all incidents of staff-on-staff incivility.  This objective is supported by the work of the Anti-bullying and Harassment Group, which provides assurance to the People Committee. </w:t>
      </w:r>
      <w:r w:rsidRPr="00885B57">
        <w:rPr>
          <w:rStyle w:val="eop"/>
          <w:rFonts w:ascii="Arial" w:hAnsi="Arial" w:cs="Arial"/>
          <w:color w:val="881798"/>
          <w:sz w:val="20"/>
          <w:szCs w:val="20"/>
        </w:rPr>
        <w:t> </w:t>
      </w:r>
    </w:p>
    <w:p w14:paraId="00F41F22" w14:textId="77777777" w:rsidR="008109BC" w:rsidRPr="00885B57" w:rsidRDefault="008109BC" w:rsidP="008109BC">
      <w:pPr>
        <w:pStyle w:val="paragraph"/>
        <w:spacing w:before="0" w:beforeAutospacing="0" w:after="0" w:afterAutospacing="0"/>
        <w:jc w:val="both"/>
        <w:textAlignment w:val="baseline"/>
        <w:rPr>
          <w:rFonts w:ascii="Arial" w:hAnsi="Arial" w:cs="Arial"/>
          <w:sz w:val="20"/>
          <w:szCs w:val="20"/>
        </w:rPr>
      </w:pPr>
      <w:r w:rsidRPr="00885B57">
        <w:rPr>
          <w:rStyle w:val="eop"/>
          <w:rFonts w:ascii="Arial" w:hAnsi="Arial" w:cs="Arial"/>
          <w:color w:val="881798"/>
          <w:sz w:val="20"/>
          <w:szCs w:val="20"/>
        </w:rPr>
        <w:t> </w:t>
      </w:r>
    </w:p>
    <w:p w14:paraId="305B1CD7" w14:textId="77777777" w:rsidR="008109BC" w:rsidRPr="00885B57" w:rsidRDefault="008109BC" w:rsidP="008109BC">
      <w:pPr>
        <w:pStyle w:val="paragraph"/>
        <w:spacing w:before="0" w:beforeAutospacing="0" w:after="0" w:afterAutospacing="0"/>
        <w:jc w:val="both"/>
        <w:textAlignment w:val="baseline"/>
        <w:rPr>
          <w:rFonts w:ascii="Arial" w:hAnsi="Arial" w:cs="Arial"/>
          <w:sz w:val="20"/>
          <w:szCs w:val="20"/>
        </w:rPr>
      </w:pPr>
      <w:r w:rsidRPr="00885B57">
        <w:rPr>
          <w:rStyle w:val="normaltextrun"/>
          <w:rFonts w:ascii="Arial" w:hAnsi="Arial" w:cs="Arial"/>
          <w:sz w:val="20"/>
          <w:szCs w:val="20"/>
        </w:rPr>
        <w:t>Training on equality and human rights is mandatory for all staff, and management programmes have been developed to improve the Trust’s leadership skills around equality, diversity and human rights.  The Trust is committed to going beyond that which is mandated and makes equality and inclusion an integral part of everything it does for staff, patients and the local community.  In 2024 the Trust introduced and piloted a leadership and management development learning module, Inclusion by Design, </w:t>
      </w:r>
      <w:r w:rsidR="0001752B" w:rsidRPr="00885B57">
        <w:rPr>
          <w:rStyle w:val="normaltextrun"/>
          <w:rFonts w:ascii="Arial" w:hAnsi="Arial" w:cs="Arial"/>
          <w:sz w:val="20"/>
          <w:szCs w:val="20"/>
        </w:rPr>
        <w:t>f</w:t>
      </w:r>
      <w:r w:rsidRPr="00885B57">
        <w:rPr>
          <w:rStyle w:val="normaltextrun"/>
          <w:rFonts w:ascii="Arial" w:hAnsi="Arial" w:cs="Arial"/>
          <w:sz w:val="20"/>
          <w:szCs w:val="20"/>
        </w:rPr>
        <w:t>ollowing positive feedback, the module has been incorporated into the Trust’s mandatory training on Management Essentials.  The Trust developed and adopted an Anti-Discrimination Statement in 2023, setting out five key commitments to going beyond being non-discriminatory to being anti-discriminatory.  The Statement sets a tone for staff, patients and community alike to be able to receive and give respect.  The Anti-Discrimination Statement and Trust policies relating to bullying, harassment and discrimination have been updated to consider the Sexual Safety in Healthcare Charter and the Worker Protection (amendment to Equality Act 2010) Act 2023 to take reasonable steps to prevent sexual harassment and assault.  The Trust’s Disciplinary Policy was also updated with a Zero Tolerance Statement and this commitment means that all allegations of bullying, harassment or discrimination are consistently referred to the pre-disciplinary panel for consideration. </w:t>
      </w:r>
      <w:r w:rsidRPr="00885B57">
        <w:rPr>
          <w:rStyle w:val="eop"/>
          <w:rFonts w:ascii="Arial" w:hAnsi="Arial" w:cs="Arial"/>
          <w:color w:val="881798"/>
          <w:sz w:val="20"/>
          <w:szCs w:val="20"/>
        </w:rPr>
        <w:t> </w:t>
      </w:r>
    </w:p>
    <w:p w14:paraId="326E3481" w14:textId="77777777" w:rsidR="008109BC" w:rsidRPr="00885B57" w:rsidRDefault="008109BC" w:rsidP="008109BC">
      <w:pPr>
        <w:pStyle w:val="paragraph"/>
        <w:spacing w:before="0" w:beforeAutospacing="0" w:after="0" w:afterAutospacing="0"/>
        <w:jc w:val="both"/>
        <w:textAlignment w:val="baseline"/>
        <w:rPr>
          <w:rFonts w:ascii="Arial" w:hAnsi="Arial" w:cs="Arial"/>
          <w:sz w:val="20"/>
          <w:szCs w:val="20"/>
        </w:rPr>
      </w:pPr>
      <w:r w:rsidRPr="00885B57">
        <w:rPr>
          <w:rStyle w:val="eop"/>
          <w:rFonts w:ascii="Arial" w:hAnsi="Arial" w:cs="Arial"/>
          <w:color w:val="881798"/>
          <w:sz w:val="20"/>
          <w:szCs w:val="20"/>
        </w:rPr>
        <w:t> </w:t>
      </w:r>
    </w:p>
    <w:p w14:paraId="48E11A62" w14:textId="77777777" w:rsidR="008109BC" w:rsidRPr="00885B57" w:rsidRDefault="008109BC" w:rsidP="008109BC">
      <w:pPr>
        <w:pStyle w:val="paragraph"/>
        <w:spacing w:before="0" w:beforeAutospacing="0" w:after="0" w:afterAutospacing="0"/>
        <w:jc w:val="both"/>
        <w:textAlignment w:val="baseline"/>
        <w:rPr>
          <w:rFonts w:ascii="Arial" w:hAnsi="Arial" w:cs="Arial"/>
          <w:sz w:val="20"/>
          <w:szCs w:val="20"/>
        </w:rPr>
      </w:pPr>
      <w:r w:rsidRPr="00885B57">
        <w:rPr>
          <w:rStyle w:val="normaltextrun"/>
          <w:rFonts w:ascii="Arial" w:hAnsi="Arial" w:cs="Arial"/>
          <w:sz w:val="20"/>
          <w:szCs w:val="20"/>
        </w:rPr>
        <w:t>The Trust has also continued to develop its policies and procedures to promote equality of opportunity and outcomes.  In this past year this has included further revisions and extensions to the Reasonable Adjustment and Modified Duties Policy to include a point of escalation for reasonable adjustment decisions, and a minimum requirement for an annual review of adjustments.  Anti-bullying, Harassment, Discrimination and Conflict Resolution Policy continues to be supported by a team of Dignity at Work Advisors, drawn from a wide range of job roles and diverse backgrounds, trained to support and advise staff who raise concerns about issues of dignity and discrimination at work. </w:t>
      </w:r>
      <w:r w:rsidRPr="00885B57">
        <w:rPr>
          <w:rStyle w:val="eop"/>
          <w:rFonts w:ascii="Arial" w:hAnsi="Arial" w:cs="Arial"/>
          <w:sz w:val="20"/>
          <w:szCs w:val="20"/>
        </w:rPr>
        <w:t> </w:t>
      </w:r>
    </w:p>
    <w:p w14:paraId="58D88608" w14:textId="436E51C8" w:rsidR="00ED7971" w:rsidRPr="00885B57" w:rsidRDefault="008109BC" w:rsidP="008109BC">
      <w:pPr>
        <w:pStyle w:val="paragraph"/>
        <w:spacing w:before="0" w:beforeAutospacing="0" w:after="0" w:afterAutospacing="0"/>
        <w:jc w:val="both"/>
        <w:textAlignment w:val="baseline"/>
        <w:rPr>
          <w:rFonts w:ascii="Arial" w:hAnsi="Arial" w:cs="Arial"/>
          <w:sz w:val="20"/>
          <w:szCs w:val="20"/>
        </w:rPr>
      </w:pPr>
      <w:r w:rsidRPr="00885B57">
        <w:rPr>
          <w:rStyle w:val="eop"/>
          <w:rFonts w:ascii="Arial" w:hAnsi="Arial" w:cs="Arial"/>
          <w:sz w:val="20"/>
          <w:szCs w:val="20"/>
        </w:rPr>
        <w:t> </w:t>
      </w:r>
    </w:p>
    <w:p w14:paraId="059AC5D7" w14:textId="77777777" w:rsidR="008109BC" w:rsidRPr="00885B57" w:rsidRDefault="008109BC" w:rsidP="008109BC">
      <w:pPr>
        <w:pStyle w:val="paragraph"/>
        <w:spacing w:before="0" w:beforeAutospacing="0" w:after="0" w:afterAutospacing="0"/>
        <w:jc w:val="both"/>
        <w:textAlignment w:val="baseline"/>
        <w:rPr>
          <w:rFonts w:ascii="Arial" w:hAnsi="Arial" w:cs="Arial"/>
          <w:sz w:val="20"/>
          <w:szCs w:val="20"/>
        </w:rPr>
      </w:pPr>
      <w:r w:rsidRPr="00885B57">
        <w:rPr>
          <w:rStyle w:val="normaltextrun"/>
          <w:rFonts w:ascii="Arial" w:hAnsi="Arial" w:cs="Arial"/>
          <w:b/>
          <w:bCs/>
          <w:sz w:val="20"/>
          <w:szCs w:val="20"/>
        </w:rPr>
        <w:t>Gender Pay Gap</w:t>
      </w:r>
      <w:r w:rsidRPr="00885B57">
        <w:rPr>
          <w:rStyle w:val="normaltextrun"/>
          <w:rFonts w:ascii="Arial" w:hAnsi="Arial" w:cs="Arial"/>
          <w:b/>
          <w:bCs/>
          <w:color w:val="FF0000"/>
          <w:sz w:val="20"/>
          <w:szCs w:val="20"/>
        </w:rPr>
        <w:t xml:space="preserve"> </w:t>
      </w:r>
      <w:r w:rsidRPr="00885B57">
        <w:rPr>
          <w:rStyle w:val="eop"/>
          <w:rFonts w:ascii="Arial" w:hAnsi="Arial" w:cs="Arial"/>
          <w:color w:val="881798"/>
          <w:sz w:val="20"/>
          <w:szCs w:val="20"/>
        </w:rPr>
        <w:t> </w:t>
      </w:r>
    </w:p>
    <w:p w14:paraId="1DA46FEC" w14:textId="77777777" w:rsidR="008109BC" w:rsidRPr="00885B57" w:rsidRDefault="008109BC" w:rsidP="008109BC">
      <w:pPr>
        <w:pStyle w:val="paragraph"/>
        <w:spacing w:before="0" w:beforeAutospacing="0" w:after="0" w:afterAutospacing="0"/>
        <w:jc w:val="both"/>
        <w:textAlignment w:val="baseline"/>
        <w:rPr>
          <w:rStyle w:val="eop"/>
          <w:rFonts w:ascii="Arial" w:hAnsi="Arial" w:cs="Arial"/>
          <w:sz w:val="20"/>
          <w:szCs w:val="20"/>
        </w:rPr>
      </w:pPr>
      <w:r w:rsidRPr="00885B57">
        <w:rPr>
          <w:rStyle w:val="normaltextrun"/>
          <w:rFonts w:ascii="Arial" w:hAnsi="Arial" w:cs="Arial"/>
          <w:sz w:val="20"/>
          <w:szCs w:val="20"/>
          <w:lang w:val="en-US"/>
        </w:rPr>
        <w:t>In January 2025, the Trust published its gender pay gap and supporting statement for 2023/24, as required under the Equality Act 2010 (Specific Duties and Public Authorities) Regulations 2017.  The Trust’s mean gender pay gap is 27.9% and the median gender pay gap of 17.2%.  The key area of concern is the medical and dental pay gap, which has a significant impact on the overall pay gap.</w:t>
      </w:r>
      <w:r w:rsidRPr="00885B57">
        <w:rPr>
          <w:rStyle w:val="eop"/>
          <w:rFonts w:ascii="Arial" w:hAnsi="Arial" w:cs="Arial"/>
          <w:sz w:val="20"/>
          <w:szCs w:val="20"/>
        </w:rPr>
        <w:t xml:space="preserve">  </w:t>
      </w:r>
    </w:p>
    <w:p w14:paraId="486667A8" w14:textId="77777777" w:rsidR="008109BC" w:rsidRPr="00885B57" w:rsidRDefault="008109BC" w:rsidP="008109BC">
      <w:pPr>
        <w:pStyle w:val="paragraph"/>
        <w:spacing w:before="0" w:beforeAutospacing="0" w:after="0" w:afterAutospacing="0"/>
        <w:jc w:val="both"/>
        <w:textAlignment w:val="baseline"/>
        <w:rPr>
          <w:rStyle w:val="normaltextrun"/>
          <w:rFonts w:ascii="Arial" w:hAnsi="Arial" w:cs="Arial"/>
          <w:sz w:val="20"/>
          <w:szCs w:val="20"/>
        </w:rPr>
      </w:pPr>
    </w:p>
    <w:p w14:paraId="1BA37758" w14:textId="77777777" w:rsidR="008109BC" w:rsidRPr="00885B57" w:rsidRDefault="008109BC" w:rsidP="008109BC">
      <w:pPr>
        <w:pStyle w:val="paragraph"/>
        <w:spacing w:before="0" w:beforeAutospacing="0" w:after="0" w:afterAutospacing="0"/>
        <w:jc w:val="both"/>
        <w:textAlignment w:val="baseline"/>
        <w:rPr>
          <w:rFonts w:ascii="Arial" w:hAnsi="Arial" w:cs="Arial"/>
          <w:sz w:val="20"/>
          <w:szCs w:val="20"/>
        </w:rPr>
      </w:pPr>
      <w:r w:rsidRPr="00885B57">
        <w:rPr>
          <w:rStyle w:val="normaltextrun"/>
          <w:rFonts w:ascii="Arial" w:hAnsi="Arial" w:cs="Arial"/>
          <w:sz w:val="20"/>
          <w:szCs w:val="20"/>
        </w:rPr>
        <w:t>This is a continued improvement from the position in all previous years.  The gender pay gap relates to gender differentials in the progression to senior roles, particularly in medical roles.  There is some evidence that this pattern is repeated in many other Trusts across the NHS and relates to professional career paths. </w:t>
      </w:r>
      <w:r w:rsidRPr="00885B57">
        <w:rPr>
          <w:rStyle w:val="eop"/>
          <w:rFonts w:ascii="Arial" w:hAnsi="Arial" w:cs="Arial"/>
          <w:sz w:val="20"/>
          <w:szCs w:val="20"/>
        </w:rPr>
        <w:t> </w:t>
      </w:r>
    </w:p>
    <w:p w14:paraId="6926203E" w14:textId="77777777" w:rsidR="008109BC" w:rsidRPr="00885B57" w:rsidRDefault="008109BC" w:rsidP="008109BC">
      <w:pPr>
        <w:pStyle w:val="paragraph"/>
        <w:spacing w:before="0" w:beforeAutospacing="0" w:after="0" w:afterAutospacing="0"/>
        <w:jc w:val="both"/>
        <w:textAlignment w:val="baseline"/>
        <w:rPr>
          <w:rFonts w:ascii="Arial" w:hAnsi="Arial" w:cs="Arial"/>
          <w:sz w:val="20"/>
          <w:szCs w:val="20"/>
        </w:rPr>
      </w:pPr>
      <w:r w:rsidRPr="00885B57">
        <w:rPr>
          <w:rStyle w:val="eop"/>
          <w:rFonts w:ascii="Arial" w:hAnsi="Arial" w:cs="Arial"/>
          <w:sz w:val="20"/>
          <w:szCs w:val="20"/>
        </w:rPr>
        <w:t> </w:t>
      </w:r>
    </w:p>
    <w:p w14:paraId="76AFC9FB" w14:textId="77777777" w:rsidR="008109BC" w:rsidRPr="00885B57" w:rsidRDefault="008109BC" w:rsidP="008109BC">
      <w:pPr>
        <w:pStyle w:val="paragraph"/>
        <w:spacing w:before="0" w:beforeAutospacing="0" w:after="0" w:afterAutospacing="0"/>
        <w:jc w:val="both"/>
        <w:textAlignment w:val="baseline"/>
        <w:rPr>
          <w:rFonts w:ascii="Arial" w:hAnsi="Arial" w:cs="Arial"/>
          <w:sz w:val="20"/>
          <w:szCs w:val="20"/>
        </w:rPr>
      </w:pPr>
      <w:r w:rsidRPr="00885B57">
        <w:rPr>
          <w:rStyle w:val="normaltextrun"/>
          <w:rFonts w:ascii="Arial" w:hAnsi="Arial" w:cs="Arial"/>
          <w:sz w:val="20"/>
          <w:szCs w:val="20"/>
        </w:rPr>
        <w:t>There is reasonable confidence that, owing to Agenda for Change and medical pay reviews, the NHS is providing equal pay (men and women paid equally to carry out the same jobs, similar jobs or work of equal value).  However, it is evident that in medical roles there have been, traditionally, significantly more men progressing to the most senior levels, resulting in a gender pay gap. </w:t>
      </w:r>
      <w:r w:rsidRPr="00885B57">
        <w:rPr>
          <w:rStyle w:val="eop"/>
          <w:rFonts w:ascii="Arial" w:hAnsi="Arial" w:cs="Arial"/>
          <w:color w:val="881798"/>
          <w:sz w:val="20"/>
          <w:szCs w:val="20"/>
        </w:rPr>
        <w:t> </w:t>
      </w:r>
    </w:p>
    <w:p w14:paraId="50E48BC2" w14:textId="77777777" w:rsidR="008109BC" w:rsidRPr="00885B57" w:rsidRDefault="008109BC" w:rsidP="008109BC">
      <w:pPr>
        <w:pStyle w:val="paragraph"/>
        <w:spacing w:before="0" w:beforeAutospacing="0" w:after="0" w:afterAutospacing="0"/>
        <w:jc w:val="both"/>
        <w:textAlignment w:val="baseline"/>
        <w:rPr>
          <w:rFonts w:ascii="Arial" w:hAnsi="Arial" w:cs="Arial"/>
          <w:sz w:val="20"/>
          <w:szCs w:val="20"/>
        </w:rPr>
      </w:pPr>
      <w:r w:rsidRPr="00885B57">
        <w:rPr>
          <w:rStyle w:val="eop"/>
          <w:rFonts w:ascii="Arial" w:hAnsi="Arial" w:cs="Arial"/>
          <w:color w:val="881798"/>
          <w:sz w:val="20"/>
          <w:szCs w:val="20"/>
        </w:rPr>
        <w:t> </w:t>
      </w:r>
    </w:p>
    <w:p w14:paraId="6AD268C4" w14:textId="77777777" w:rsidR="008109BC" w:rsidRPr="00885B57" w:rsidRDefault="008109BC" w:rsidP="008109BC">
      <w:pPr>
        <w:pStyle w:val="paragraph"/>
        <w:spacing w:before="0" w:beforeAutospacing="0" w:after="0" w:afterAutospacing="0"/>
        <w:jc w:val="both"/>
        <w:textAlignment w:val="baseline"/>
        <w:rPr>
          <w:rStyle w:val="normaltextrun"/>
          <w:rFonts w:ascii="Arial" w:hAnsi="Arial" w:cs="Arial"/>
          <w:sz w:val="20"/>
          <w:szCs w:val="20"/>
          <w:lang w:val="en-US"/>
        </w:rPr>
      </w:pPr>
      <w:r w:rsidRPr="00885B57">
        <w:rPr>
          <w:rStyle w:val="normaltextrun"/>
          <w:rFonts w:ascii="Arial" w:hAnsi="Arial" w:cs="Arial"/>
          <w:sz w:val="20"/>
          <w:szCs w:val="20"/>
          <w:lang w:val="en-US"/>
        </w:rPr>
        <w:t>While there is little that the Trust can do in the short term to address the gender pay gap, because the issue affects professions that have long term career pathways, action can be taken to encourage the retention and career progression of women into senior roles, particularly in medicine.  Therefore, a key focus for 2024 and 2025 is implementing a review of the medical gender pay gap, in the light of the Mend the Gap report on medical pay, and ensuring that opportunities are created for women to develop into leadership within the medical workforce.  This approach has been supported by the Trust’s Women’s Staff Network and Chief Medical Officer and will be progressed with the involvement of women in the medical workforce.</w:t>
      </w:r>
    </w:p>
    <w:p w14:paraId="250A187F" w14:textId="77777777" w:rsidR="008109BC" w:rsidRPr="00885B57" w:rsidRDefault="008109BC" w:rsidP="008109BC">
      <w:pPr>
        <w:pStyle w:val="paragraph"/>
        <w:spacing w:before="0" w:beforeAutospacing="0" w:after="0" w:afterAutospacing="0"/>
        <w:jc w:val="both"/>
        <w:textAlignment w:val="baseline"/>
        <w:rPr>
          <w:rFonts w:ascii="Arial" w:hAnsi="Arial" w:cs="Arial"/>
          <w:sz w:val="20"/>
          <w:szCs w:val="20"/>
        </w:rPr>
      </w:pPr>
      <w:r w:rsidRPr="00885B57">
        <w:rPr>
          <w:rStyle w:val="normaltextrun"/>
          <w:rFonts w:ascii="Arial" w:hAnsi="Arial" w:cs="Arial"/>
          <w:sz w:val="20"/>
          <w:szCs w:val="20"/>
          <w:lang w:val="en-US"/>
        </w:rPr>
        <w:t>The Women’s Staff Network is also a key stakeholder and advisor on general to improvements to reduce the gender pay gap. </w:t>
      </w:r>
      <w:r w:rsidRPr="00885B57">
        <w:rPr>
          <w:rStyle w:val="eop"/>
          <w:rFonts w:ascii="Arial" w:hAnsi="Arial" w:cs="Arial"/>
          <w:color w:val="881798"/>
          <w:sz w:val="20"/>
          <w:szCs w:val="20"/>
        </w:rPr>
        <w:t> </w:t>
      </w:r>
    </w:p>
    <w:p w14:paraId="0F5A8C31" w14:textId="77777777" w:rsidR="008109BC" w:rsidRPr="00885B57" w:rsidRDefault="008109BC" w:rsidP="008109BC">
      <w:pPr>
        <w:pStyle w:val="paragraph"/>
        <w:spacing w:before="0" w:beforeAutospacing="0" w:after="0" w:afterAutospacing="0"/>
        <w:jc w:val="both"/>
        <w:textAlignment w:val="baseline"/>
        <w:rPr>
          <w:rFonts w:ascii="Arial" w:hAnsi="Arial" w:cs="Arial"/>
          <w:sz w:val="20"/>
          <w:szCs w:val="20"/>
        </w:rPr>
      </w:pPr>
      <w:r w:rsidRPr="00885B57">
        <w:rPr>
          <w:rStyle w:val="eop"/>
          <w:rFonts w:ascii="Arial" w:hAnsi="Arial" w:cs="Arial"/>
          <w:color w:val="881798"/>
          <w:sz w:val="20"/>
          <w:szCs w:val="20"/>
        </w:rPr>
        <w:t> </w:t>
      </w:r>
    </w:p>
    <w:p w14:paraId="1FC0F54A" w14:textId="77777777" w:rsidR="008109BC" w:rsidRPr="00885B57" w:rsidRDefault="008109BC" w:rsidP="008109BC">
      <w:pPr>
        <w:pStyle w:val="paragraph"/>
        <w:spacing w:before="0" w:beforeAutospacing="0" w:after="0" w:afterAutospacing="0"/>
        <w:jc w:val="both"/>
        <w:textAlignment w:val="baseline"/>
        <w:rPr>
          <w:rStyle w:val="normaltextrun"/>
          <w:rFonts w:ascii="Arial" w:hAnsi="Arial" w:cs="Arial"/>
          <w:sz w:val="20"/>
          <w:szCs w:val="20"/>
          <w:lang w:val="en-US"/>
        </w:rPr>
      </w:pPr>
      <w:r w:rsidRPr="00885B57">
        <w:rPr>
          <w:rStyle w:val="normaltextrun"/>
          <w:rFonts w:ascii="Arial" w:hAnsi="Arial" w:cs="Arial"/>
          <w:sz w:val="20"/>
          <w:szCs w:val="20"/>
          <w:lang w:val="en-US"/>
        </w:rPr>
        <w:t xml:space="preserve">The Agenda for Change gender pay gap for 2023 was 1.0%, down from 1.9% in 2023.  The data for the 2024/25 reporting period is due by 31 March 2026, but will be published on the Trust’s website in the summer of 2025.  </w:t>
      </w:r>
    </w:p>
    <w:p w14:paraId="760AFC45" w14:textId="77777777" w:rsidR="005C3678" w:rsidRPr="00885B57" w:rsidRDefault="005C3678" w:rsidP="005C3678">
      <w:pPr>
        <w:pStyle w:val="paragraph"/>
        <w:spacing w:before="0" w:beforeAutospacing="0" w:after="0" w:afterAutospacing="0"/>
        <w:jc w:val="both"/>
        <w:textAlignment w:val="baseline"/>
        <w:rPr>
          <w:rFonts w:ascii="Arial" w:hAnsi="Arial" w:cs="Arial"/>
          <w:sz w:val="20"/>
          <w:szCs w:val="20"/>
        </w:rPr>
      </w:pPr>
      <w:r w:rsidRPr="00885B57">
        <w:rPr>
          <w:rStyle w:val="normaltextrun"/>
          <w:rFonts w:ascii="Arial" w:hAnsi="Arial" w:cs="Arial"/>
          <w:b/>
          <w:bCs/>
          <w:sz w:val="20"/>
          <w:szCs w:val="20"/>
        </w:rPr>
        <w:lastRenderedPageBreak/>
        <w:t xml:space="preserve">Overview of Financial Performance  </w:t>
      </w:r>
      <w:r w:rsidRPr="00885B57">
        <w:rPr>
          <w:rStyle w:val="eop"/>
          <w:rFonts w:ascii="Arial" w:hAnsi="Arial" w:cs="Arial"/>
          <w:color w:val="881798"/>
          <w:sz w:val="20"/>
          <w:szCs w:val="20"/>
        </w:rPr>
        <w:t> </w:t>
      </w:r>
    </w:p>
    <w:p w14:paraId="1E7CC73F" w14:textId="77777777" w:rsidR="005C3678" w:rsidRPr="00885B57" w:rsidRDefault="005C3678" w:rsidP="005C3678">
      <w:pPr>
        <w:widowControl/>
        <w:jc w:val="both"/>
        <w:rPr>
          <w:rFonts w:ascii="Arial" w:hAnsi="Arial" w:cs="Arial"/>
          <w:sz w:val="20"/>
          <w:szCs w:val="20"/>
          <w:lang w:val="en-GB"/>
        </w:rPr>
      </w:pPr>
    </w:p>
    <w:p w14:paraId="33F4902F" w14:textId="77777777" w:rsidR="005C3678" w:rsidRPr="00885B57" w:rsidRDefault="005C3678" w:rsidP="005C3678">
      <w:pPr>
        <w:widowControl/>
        <w:jc w:val="both"/>
        <w:rPr>
          <w:rFonts w:ascii="Arial" w:hAnsi="Arial" w:cs="Arial"/>
          <w:sz w:val="20"/>
          <w:szCs w:val="20"/>
          <w:lang w:val="en-GB"/>
        </w:rPr>
      </w:pPr>
      <w:r w:rsidRPr="00885B57">
        <w:rPr>
          <w:rFonts w:ascii="Arial" w:hAnsi="Arial" w:cs="Arial"/>
          <w:sz w:val="20"/>
          <w:szCs w:val="20"/>
          <w:lang w:val="en-GB"/>
        </w:rPr>
        <w:t>Although on occasion the quality of the service the Trust offers has not achieved the levels it strives for, this has not been as a result of the removal of resource nor a lack of willingness to ensure managers and clinicians have the manpower and equipment they need to provide those services.  Choices have been made and will continue to be made as to how services might develop and change within the funding envelope and the Trust will maintain its close relationships with local commissioners and the Integrated Care System/Board to ensure patients receive the best care for the best value.</w:t>
      </w:r>
    </w:p>
    <w:p w14:paraId="484C1BD0" w14:textId="77777777" w:rsidR="005C3678" w:rsidRPr="00885B57" w:rsidRDefault="005C3678" w:rsidP="005C3678">
      <w:pPr>
        <w:widowControl/>
        <w:jc w:val="both"/>
        <w:rPr>
          <w:rFonts w:ascii="Arial" w:hAnsi="Arial" w:cs="Arial"/>
          <w:sz w:val="20"/>
          <w:szCs w:val="20"/>
          <w:lang w:val="en-GB"/>
        </w:rPr>
      </w:pPr>
    </w:p>
    <w:p w14:paraId="2AD3D201" w14:textId="77777777" w:rsidR="005C3678" w:rsidRPr="00885B57" w:rsidRDefault="005C3678" w:rsidP="005C3678">
      <w:pPr>
        <w:widowControl/>
        <w:jc w:val="both"/>
        <w:rPr>
          <w:rFonts w:ascii="Arial" w:hAnsi="Arial" w:cs="Arial"/>
          <w:sz w:val="20"/>
          <w:szCs w:val="20"/>
          <w:lang w:val="en-GB"/>
        </w:rPr>
      </w:pPr>
      <w:r w:rsidRPr="00885B57">
        <w:rPr>
          <w:rFonts w:ascii="Arial" w:hAnsi="Arial" w:cs="Arial"/>
          <w:sz w:val="20"/>
          <w:szCs w:val="20"/>
          <w:lang w:val="en-GB"/>
        </w:rPr>
        <w:t>The accounts presented in this 2024/25 annual report shows a reported deficit of £17.1 million and a deficit control total of £22.4 million, as per the table below:</w:t>
      </w:r>
    </w:p>
    <w:p w14:paraId="1B2C493B" w14:textId="77777777" w:rsidR="005C3678" w:rsidRPr="00885B57" w:rsidRDefault="005C3678" w:rsidP="005C3678">
      <w:pPr>
        <w:widowControl/>
        <w:jc w:val="both"/>
        <w:rPr>
          <w:rFonts w:ascii="Arial" w:hAnsi="Arial" w:cs="Arial"/>
          <w:sz w:val="20"/>
          <w:szCs w:val="20"/>
          <w:highlight w:val="yellow"/>
          <w:u w:val="single"/>
          <w:lang w:val="en-GB"/>
        </w:rPr>
      </w:pPr>
    </w:p>
    <w:tbl>
      <w:tblPr>
        <w:tblW w:w="5000" w:type="pct"/>
        <w:tblBorders>
          <w:top w:val="single" w:sz="4" w:space="0" w:color="00A499"/>
          <w:left w:val="single" w:sz="4" w:space="0" w:color="00A499"/>
          <w:bottom w:val="single" w:sz="4" w:space="0" w:color="00A499"/>
          <w:right w:val="single" w:sz="4" w:space="0" w:color="00A499"/>
          <w:insideH w:val="dotted" w:sz="4" w:space="0" w:color="00A499"/>
          <w:insideV w:val="dotted" w:sz="4" w:space="0" w:color="00A499"/>
        </w:tblBorders>
        <w:tblLook w:val="04A0" w:firstRow="1" w:lastRow="0" w:firstColumn="1" w:lastColumn="0" w:noHBand="0" w:noVBand="1"/>
      </w:tblPr>
      <w:tblGrid>
        <w:gridCol w:w="4079"/>
        <w:gridCol w:w="1645"/>
        <w:gridCol w:w="1646"/>
        <w:gridCol w:w="1646"/>
      </w:tblGrid>
      <w:tr w:rsidR="005C3678" w:rsidRPr="00885B57" w14:paraId="3EDDBAC0" w14:textId="77777777" w:rsidTr="00C440BD">
        <w:trPr>
          <w:trHeight w:val="547"/>
        </w:trPr>
        <w:tc>
          <w:tcPr>
            <w:tcW w:w="2262" w:type="pct"/>
            <w:tcBorders>
              <w:top w:val="single" w:sz="4" w:space="0" w:color="00A499"/>
              <w:left w:val="single" w:sz="4" w:space="0" w:color="00A499"/>
              <w:bottom w:val="single" w:sz="4" w:space="0" w:color="00A499"/>
              <w:right w:val="single" w:sz="4" w:space="0" w:color="FFFFFF" w:themeColor="background1"/>
            </w:tcBorders>
            <w:shd w:val="clear" w:color="auto" w:fill="008077"/>
            <w:noWrap/>
            <w:vAlign w:val="center"/>
            <w:hideMark/>
          </w:tcPr>
          <w:p w14:paraId="0D02203F" w14:textId="77777777" w:rsidR="005C3678" w:rsidRPr="00885B57" w:rsidRDefault="005C3678" w:rsidP="005C3678">
            <w:pPr>
              <w:widowControl/>
              <w:spacing w:line="256" w:lineRule="auto"/>
              <w:jc w:val="both"/>
              <w:rPr>
                <w:rFonts w:ascii="Arial" w:hAnsi="Arial" w:cs="Arial"/>
                <w:color w:val="FFFFFF" w:themeColor="background1"/>
                <w:sz w:val="20"/>
                <w:szCs w:val="20"/>
                <w:lang w:val="en-GB" w:eastAsia="en-GB"/>
              </w:rPr>
            </w:pPr>
            <w:r w:rsidRPr="00885B57">
              <w:rPr>
                <w:rFonts w:ascii="Arial" w:hAnsi="Arial" w:cs="Arial"/>
                <w:color w:val="FFFFFF" w:themeColor="background1"/>
                <w:sz w:val="20"/>
                <w:szCs w:val="20"/>
                <w:lang w:val="en-GB" w:eastAsia="en-GB"/>
              </w:rPr>
              <w:t> </w:t>
            </w:r>
          </w:p>
        </w:tc>
        <w:tc>
          <w:tcPr>
            <w:tcW w:w="912" w:type="pct"/>
            <w:tcBorders>
              <w:top w:val="single" w:sz="4" w:space="0" w:color="00A499"/>
              <w:left w:val="single" w:sz="4" w:space="0" w:color="FFFFFF" w:themeColor="background1"/>
              <w:bottom w:val="single" w:sz="4" w:space="0" w:color="00A499"/>
              <w:right w:val="single" w:sz="4" w:space="0" w:color="FFFFFF" w:themeColor="background1"/>
            </w:tcBorders>
            <w:shd w:val="clear" w:color="auto" w:fill="008077"/>
            <w:vAlign w:val="center"/>
            <w:hideMark/>
          </w:tcPr>
          <w:p w14:paraId="259BD320" w14:textId="77777777" w:rsidR="005C3678" w:rsidRPr="00885B57" w:rsidRDefault="005C3678" w:rsidP="005C3678">
            <w:pPr>
              <w:widowControl/>
              <w:spacing w:line="256" w:lineRule="auto"/>
              <w:jc w:val="both"/>
              <w:rPr>
                <w:rFonts w:ascii="Arial" w:hAnsi="Arial" w:cs="Arial"/>
                <w:b/>
                <w:bCs/>
                <w:color w:val="FFFFFF" w:themeColor="background1"/>
                <w:sz w:val="20"/>
                <w:szCs w:val="20"/>
                <w:lang w:val="en-GB" w:eastAsia="en-GB"/>
              </w:rPr>
            </w:pPr>
            <w:r w:rsidRPr="00885B57">
              <w:rPr>
                <w:rFonts w:ascii="Arial" w:hAnsi="Arial" w:cs="Arial"/>
                <w:b/>
                <w:bCs/>
                <w:color w:val="FFFFFF" w:themeColor="background1"/>
                <w:sz w:val="20"/>
                <w:szCs w:val="20"/>
                <w:lang w:val="en-GB" w:eastAsia="en-GB"/>
              </w:rPr>
              <w:t xml:space="preserve">Plan </w:t>
            </w:r>
          </w:p>
          <w:p w14:paraId="65FF3BFA" w14:textId="77777777" w:rsidR="005C3678" w:rsidRPr="00885B57" w:rsidRDefault="005C3678" w:rsidP="005C3678">
            <w:pPr>
              <w:widowControl/>
              <w:spacing w:line="256" w:lineRule="auto"/>
              <w:jc w:val="both"/>
              <w:rPr>
                <w:rFonts w:ascii="Arial" w:hAnsi="Arial" w:cs="Arial"/>
                <w:b/>
                <w:bCs/>
                <w:color w:val="FFFFFF" w:themeColor="background1"/>
                <w:sz w:val="20"/>
                <w:szCs w:val="20"/>
                <w:lang w:val="en-GB" w:eastAsia="en-GB"/>
              </w:rPr>
            </w:pPr>
            <w:r w:rsidRPr="00885B57">
              <w:rPr>
                <w:rFonts w:ascii="Arial" w:hAnsi="Arial" w:cs="Arial"/>
                <w:b/>
                <w:bCs/>
                <w:color w:val="FFFFFF" w:themeColor="background1"/>
                <w:sz w:val="20"/>
                <w:szCs w:val="20"/>
                <w:lang w:val="en-GB" w:eastAsia="en-GB"/>
              </w:rPr>
              <w:t>£m</w:t>
            </w:r>
          </w:p>
        </w:tc>
        <w:tc>
          <w:tcPr>
            <w:tcW w:w="913" w:type="pct"/>
            <w:tcBorders>
              <w:top w:val="single" w:sz="4" w:space="0" w:color="00A499"/>
              <w:left w:val="single" w:sz="4" w:space="0" w:color="FFFFFF" w:themeColor="background1"/>
              <w:bottom w:val="single" w:sz="4" w:space="0" w:color="00A499"/>
              <w:right w:val="single" w:sz="4" w:space="0" w:color="FFFFFF" w:themeColor="background1"/>
            </w:tcBorders>
            <w:shd w:val="clear" w:color="auto" w:fill="008077"/>
            <w:vAlign w:val="center"/>
            <w:hideMark/>
          </w:tcPr>
          <w:p w14:paraId="0BACDF5C" w14:textId="77777777" w:rsidR="005C3678" w:rsidRPr="00885B57" w:rsidRDefault="005C3678" w:rsidP="005C3678">
            <w:pPr>
              <w:widowControl/>
              <w:spacing w:line="256" w:lineRule="auto"/>
              <w:jc w:val="both"/>
              <w:rPr>
                <w:rFonts w:ascii="Arial" w:hAnsi="Arial" w:cs="Arial"/>
                <w:b/>
                <w:bCs/>
                <w:color w:val="FFFFFF" w:themeColor="background1"/>
                <w:sz w:val="20"/>
                <w:szCs w:val="20"/>
                <w:lang w:val="en-GB" w:eastAsia="en-GB"/>
              </w:rPr>
            </w:pPr>
            <w:r w:rsidRPr="00885B57">
              <w:rPr>
                <w:rFonts w:ascii="Arial" w:hAnsi="Arial" w:cs="Arial"/>
                <w:b/>
                <w:bCs/>
                <w:color w:val="FFFFFF" w:themeColor="background1"/>
                <w:sz w:val="20"/>
                <w:szCs w:val="20"/>
                <w:lang w:val="en-GB" w:eastAsia="en-GB"/>
              </w:rPr>
              <w:t xml:space="preserve">Actual </w:t>
            </w:r>
          </w:p>
          <w:p w14:paraId="0201715E" w14:textId="77777777" w:rsidR="005C3678" w:rsidRPr="00885B57" w:rsidRDefault="005C3678" w:rsidP="005C3678">
            <w:pPr>
              <w:widowControl/>
              <w:spacing w:line="256" w:lineRule="auto"/>
              <w:jc w:val="both"/>
              <w:rPr>
                <w:rFonts w:ascii="Arial" w:hAnsi="Arial" w:cs="Arial"/>
                <w:b/>
                <w:bCs/>
                <w:color w:val="FFFFFF" w:themeColor="background1"/>
                <w:sz w:val="20"/>
                <w:szCs w:val="20"/>
                <w:lang w:val="en-GB" w:eastAsia="en-GB"/>
              </w:rPr>
            </w:pPr>
            <w:r w:rsidRPr="00885B57">
              <w:rPr>
                <w:rFonts w:ascii="Arial" w:hAnsi="Arial" w:cs="Arial"/>
                <w:b/>
                <w:bCs/>
                <w:color w:val="FFFFFF" w:themeColor="background1"/>
                <w:sz w:val="20"/>
                <w:szCs w:val="20"/>
                <w:lang w:val="en-GB" w:eastAsia="en-GB"/>
              </w:rPr>
              <w:t>£m</w:t>
            </w:r>
          </w:p>
        </w:tc>
        <w:tc>
          <w:tcPr>
            <w:tcW w:w="913" w:type="pct"/>
            <w:tcBorders>
              <w:top w:val="single" w:sz="4" w:space="0" w:color="00A499"/>
              <w:left w:val="single" w:sz="4" w:space="0" w:color="FFFFFF" w:themeColor="background1"/>
              <w:bottom w:val="single" w:sz="4" w:space="0" w:color="00A499"/>
              <w:right w:val="single" w:sz="4" w:space="0" w:color="00A499"/>
            </w:tcBorders>
            <w:shd w:val="clear" w:color="auto" w:fill="008077"/>
            <w:vAlign w:val="center"/>
            <w:hideMark/>
          </w:tcPr>
          <w:p w14:paraId="0C66C552" w14:textId="77777777" w:rsidR="005C3678" w:rsidRPr="00885B57" w:rsidRDefault="005C3678" w:rsidP="005C3678">
            <w:pPr>
              <w:widowControl/>
              <w:spacing w:line="256" w:lineRule="auto"/>
              <w:jc w:val="both"/>
              <w:rPr>
                <w:rFonts w:ascii="Arial" w:hAnsi="Arial" w:cs="Arial"/>
                <w:b/>
                <w:bCs/>
                <w:color w:val="FFFFFF" w:themeColor="background1"/>
                <w:sz w:val="20"/>
                <w:szCs w:val="20"/>
                <w:lang w:val="en-GB" w:eastAsia="en-GB"/>
              </w:rPr>
            </w:pPr>
            <w:r w:rsidRPr="00885B57">
              <w:rPr>
                <w:rFonts w:ascii="Arial" w:hAnsi="Arial" w:cs="Arial"/>
                <w:b/>
                <w:bCs/>
                <w:color w:val="FFFFFF" w:themeColor="background1"/>
                <w:sz w:val="20"/>
                <w:szCs w:val="20"/>
                <w:lang w:val="en-GB" w:eastAsia="en-GB"/>
              </w:rPr>
              <w:t xml:space="preserve">Variance </w:t>
            </w:r>
          </w:p>
          <w:p w14:paraId="5DAC87AC" w14:textId="77777777" w:rsidR="005C3678" w:rsidRPr="00885B57" w:rsidRDefault="005C3678" w:rsidP="005C3678">
            <w:pPr>
              <w:widowControl/>
              <w:spacing w:line="256" w:lineRule="auto"/>
              <w:jc w:val="both"/>
              <w:rPr>
                <w:rFonts w:ascii="Arial" w:hAnsi="Arial" w:cs="Arial"/>
                <w:b/>
                <w:bCs/>
                <w:color w:val="FFFFFF" w:themeColor="background1"/>
                <w:sz w:val="20"/>
                <w:szCs w:val="20"/>
                <w:lang w:val="en-GB" w:eastAsia="en-GB"/>
              </w:rPr>
            </w:pPr>
            <w:r w:rsidRPr="00885B57">
              <w:rPr>
                <w:rFonts w:ascii="Arial" w:hAnsi="Arial" w:cs="Arial"/>
                <w:b/>
                <w:bCs/>
                <w:color w:val="FFFFFF" w:themeColor="background1"/>
                <w:sz w:val="20"/>
                <w:szCs w:val="20"/>
                <w:lang w:val="en-GB" w:eastAsia="en-GB"/>
              </w:rPr>
              <w:t>£m</w:t>
            </w:r>
          </w:p>
        </w:tc>
      </w:tr>
      <w:tr w:rsidR="005C3678" w:rsidRPr="00885B57" w14:paraId="5695022F" w14:textId="77777777" w:rsidTr="005C3678">
        <w:trPr>
          <w:trHeight w:val="257"/>
        </w:trPr>
        <w:tc>
          <w:tcPr>
            <w:tcW w:w="2262" w:type="pct"/>
            <w:tcBorders>
              <w:top w:val="single" w:sz="4" w:space="0" w:color="00A499"/>
              <w:left w:val="single" w:sz="4" w:space="0" w:color="00A499"/>
              <w:bottom w:val="dotted" w:sz="4" w:space="0" w:color="00A499"/>
              <w:right w:val="dotted" w:sz="4" w:space="0" w:color="00A499"/>
            </w:tcBorders>
            <w:noWrap/>
            <w:vAlign w:val="center"/>
            <w:hideMark/>
          </w:tcPr>
          <w:p w14:paraId="5B522A2B" w14:textId="77777777" w:rsidR="005C3678" w:rsidRPr="00885B57" w:rsidRDefault="005C3678" w:rsidP="005C3678">
            <w:pPr>
              <w:widowControl/>
              <w:spacing w:line="256" w:lineRule="auto"/>
              <w:jc w:val="both"/>
              <w:rPr>
                <w:rFonts w:ascii="Arial" w:hAnsi="Arial" w:cs="Arial"/>
                <w:color w:val="000000"/>
                <w:sz w:val="20"/>
                <w:szCs w:val="20"/>
                <w:lang w:val="en-GB" w:eastAsia="en-GB"/>
              </w:rPr>
            </w:pPr>
            <w:r w:rsidRPr="00885B57">
              <w:rPr>
                <w:rFonts w:ascii="Arial" w:hAnsi="Arial" w:cs="Arial"/>
                <w:color w:val="000000"/>
                <w:sz w:val="20"/>
                <w:szCs w:val="20"/>
                <w:lang w:val="en-GB" w:eastAsia="en-GB"/>
              </w:rPr>
              <w:t>Income from patient care activities</w:t>
            </w:r>
          </w:p>
        </w:tc>
        <w:tc>
          <w:tcPr>
            <w:tcW w:w="912" w:type="pct"/>
            <w:tcBorders>
              <w:top w:val="single" w:sz="4" w:space="0" w:color="00A499"/>
              <w:left w:val="dotted" w:sz="4" w:space="0" w:color="00A499"/>
              <w:bottom w:val="dotted" w:sz="4" w:space="0" w:color="00A499"/>
              <w:right w:val="dotted" w:sz="4" w:space="0" w:color="00A499"/>
            </w:tcBorders>
            <w:noWrap/>
            <w:vAlign w:val="center"/>
            <w:hideMark/>
          </w:tcPr>
          <w:p w14:paraId="7A28AC54" w14:textId="77777777" w:rsidR="005C3678" w:rsidRPr="00885B57" w:rsidRDefault="005C3678" w:rsidP="005C3678">
            <w:pPr>
              <w:widowControl/>
              <w:spacing w:line="256" w:lineRule="auto"/>
              <w:jc w:val="both"/>
              <w:rPr>
                <w:rFonts w:ascii="Arial" w:hAnsi="Arial" w:cs="Arial"/>
                <w:color w:val="000000"/>
                <w:sz w:val="20"/>
                <w:szCs w:val="20"/>
                <w:lang w:val="en-GB" w:eastAsia="en-GB"/>
              </w:rPr>
            </w:pPr>
            <w:r w:rsidRPr="00885B57">
              <w:rPr>
                <w:rFonts w:ascii="Arial" w:hAnsi="Arial" w:cs="Arial"/>
                <w:color w:val="000000"/>
                <w:sz w:val="20"/>
                <w:szCs w:val="20"/>
                <w:lang w:val="en-GB" w:eastAsia="en-GB"/>
              </w:rPr>
              <w:t>480.4</w:t>
            </w:r>
          </w:p>
        </w:tc>
        <w:tc>
          <w:tcPr>
            <w:tcW w:w="913" w:type="pct"/>
            <w:tcBorders>
              <w:top w:val="single" w:sz="4" w:space="0" w:color="00A499"/>
              <w:left w:val="dotted" w:sz="4" w:space="0" w:color="00A499"/>
              <w:bottom w:val="dotted" w:sz="4" w:space="0" w:color="00A499"/>
              <w:right w:val="dotted" w:sz="4" w:space="0" w:color="00A499"/>
            </w:tcBorders>
            <w:noWrap/>
            <w:vAlign w:val="center"/>
            <w:hideMark/>
          </w:tcPr>
          <w:p w14:paraId="05680443" w14:textId="77777777" w:rsidR="005C3678" w:rsidRPr="00885B57" w:rsidRDefault="005C3678" w:rsidP="005C3678">
            <w:pPr>
              <w:widowControl/>
              <w:spacing w:line="256" w:lineRule="auto"/>
              <w:jc w:val="both"/>
              <w:rPr>
                <w:rFonts w:ascii="Arial" w:hAnsi="Arial" w:cs="Arial"/>
                <w:color w:val="000000"/>
                <w:sz w:val="20"/>
                <w:szCs w:val="20"/>
                <w:lang w:val="en-GB" w:eastAsia="en-GB"/>
              </w:rPr>
            </w:pPr>
            <w:r w:rsidRPr="00885B57">
              <w:rPr>
                <w:rFonts w:ascii="Arial" w:hAnsi="Arial" w:cs="Arial"/>
                <w:color w:val="000000"/>
                <w:sz w:val="20"/>
                <w:szCs w:val="20"/>
                <w:lang w:val="en-GB" w:eastAsia="en-GB"/>
              </w:rPr>
              <w:t>472.4</w:t>
            </w:r>
          </w:p>
        </w:tc>
        <w:tc>
          <w:tcPr>
            <w:tcW w:w="913" w:type="pct"/>
            <w:tcBorders>
              <w:top w:val="single" w:sz="4" w:space="0" w:color="00A499"/>
              <w:left w:val="dotted" w:sz="4" w:space="0" w:color="00A499"/>
              <w:bottom w:val="dotted" w:sz="4" w:space="0" w:color="00A499"/>
              <w:right w:val="single" w:sz="4" w:space="0" w:color="00A499"/>
            </w:tcBorders>
            <w:noWrap/>
            <w:vAlign w:val="center"/>
            <w:hideMark/>
          </w:tcPr>
          <w:p w14:paraId="027827A1" w14:textId="77777777" w:rsidR="005C3678" w:rsidRPr="00885B57" w:rsidRDefault="005C3678" w:rsidP="005C3678">
            <w:pPr>
              <w:widowControl/>
              <w:spacing w:line="256" w:lineRule="auto"/>
              <w:jc w:val="both"/>
              <w:rPr>
                <w:rFonts w:ascii="Arial" w:hAnsi="Arial" w:cs="Arial"/>
                <w:color w:val="000000"/>
                <w:sz w:val="20"/>
                <w:szCs w:val="20"/>
                <w:lang w:val="en-GB" w:eastAsia="en-GB"/>
              </w:rPr>
            </w:pPr>
            <w:r w:rsidRPr="00885B57">
              <w:rPr>
                <w:rFonts w:ascii="Arial" w:hAnsi="Arial" w:cs="Arial"/>
                <w:color w:val="000000"/>
                <w:sz w:val="20"/>
                <w:szCs w:val="20"/>
                <w:lang w:val="en-GB" w:eastAsia="en-GB"/>
              </w:rPr>
              <w:t>(8.0)</w:t>
            </w:r>
          </w:p>
        </w:tc>
      </w:tr>
      <w:tr w:rsidR="005C3678" w:rsidRPr="00885B57" w14:paraId="111CCEE7" w14:textId="77777777" w:rsidTr="005C3678">
        <w:trPr>
          <w:trHeight w:val="257"/>
        </w:trPr>
        <w:tc>
          <w:tcPr>
            <w:tcW w:w="2262" w:type="pct"/>
            <w:tcBorders>
              <w:top w:val="dotted" w:sz="4" w:space="0" w:color="00A499"/>
              <w:left w:val="single" w:sz="4" w:space="0" w:color="00A499"/>
              <w:bottom w:val="dotted" w:sz="4" w:space="0" w:color="00A499"/>
              <w:right w:val="dotted" w:sz="4" w:space="0" w:color="00A499"/>
            </w:tcBorders>
            <w:noWrap/>
            <w:vAlign w:val="center"/>
            <w:hideMark/>
          </w:tcPr>
          <w:p w14:paraId="2D81B5D8" w14:textId="77777777" w:rsidR="005C3678" w:rsidRPr="00885B57" w:rsidRDefault="005C3678" w:rsidP="005C3678">
            <w:pPr>
              <w:widowControl/>
              <w:spacing w:line="256" w:lineRule="auto"/>
              <w:jc w:val="both"/>
              <w:rPr>
                <w:rFonts w:ascii="Arial" w:hAnsi="Arial" w:cs="Arial"/>
                <w:color w:val="000000"/>
                <w:sz w:val="20"/>
                <w:szCs w:val="20"/>
                <w:lang w:val="en-GB" w:eastAsia="en-GB"/>
              </w:rPr>
            </w:pPr>
            <w:r w:rsidRPr="00885B57">
              <w:rPr>
                <w:rFonts w:ascii="Arial" w:hAnsi="Arial" w:cs="Arial"/>
                <w:color w:val="000000"/>
                <w:sz w:val="20"/>
                <w:szCs w:val="20"/>
                <w:lang w:val="en-GB" w:eastAsia="en-GB"/>
              </w:rPr>
              <w:t>Other income</w:t>
            </w:r>
          </w:p>
        </w:tc>
        <w:tc>
          <w:tcPr>
            <w:tcW w:w="912" w:type="pct"/>
            <w:tcBorders>
              <w:top w:val="dotted" w:sz="4" w:space="0" w:color="00A499"/>
              <w:left w:val="dotted" w:sz="4" w:space="0" w:color="00A499"/>
              <w:bottom w:val="dotted" w:sz="4" w:space="0" w:color="00A499"/>
              <w:right w:val="dotted" w:sz="4" w:space="0" w:color="00A499"/>
            </w:tcBorders>
            <w:noWrap/>
            <w:vAlign w:val="center"/>
            <w:hideMark/>
          </w:tcPr>
          <w:p w14:paraId="6429F81B" w14:textId="77777777" w:rsidR="005C3678" w:rsidRPr="00885B57" w:rsidRDefault="005C3678" w:rsidP="005C3678">
            <w:pPr>
              <w:widowControl/>
              <w:spacing w:line="256" w:lineRule="auto"/>
              <w:jc w:val="both"/>
              <w:rPr>
                <w:rFonts w:ascii="Arial" w:hAnsi="Arial" w:cs="Arial"/>
                <w:color w:val="000000"/>
                <w:sz w:val="20"/>
                <w:szCs w:val="20"/>
                <w:lang w:val="en-GB" w:eastAsia="en-GB"/>
              </w:rPr>
            </w:pPr>
            <w:r w:rsidRPr="00885B57">
              <w:rPr>
                <w:rFonts w:ascii="Arial" w:hAnsi="Arial" w:cs="Arial"/>
                <w:color w:val="000000"/>
                <w:sz w:val="20"/>
                <w:szCs w:val="20"/>
                <w:lang w:val="en-GB" w:eastAsia="en-GB"/>
              </w:rPr>
              <w:t>30.7</w:t>
            </w:r>
          </w:p>
        </w:tc>
        <w:tc>
          <w:tcPr>
            <w:tcW w:w="913" w:type="pct"/>
            <w:tcBorders>
              <w:top w:val="dotted" w:sz="4" w:space="0" w:color="00A499"/>
              <w:left w:val="dotted" w:sz="4" w:space="0" w:color="00A499"/>
              <w:bottom w:val="dotted" w:sz="4" w:space="0" w:color="00A499"/>
              <w:right w:val="dotted" w:sz="4" w:space="0" w:color="00A499"/>
            </w:tcBorders>
            <w:noWrap/>
            <w:vAlign w:val="center"/>
            <w:hideMark/>
          </w:tcPr>
          <w:p w14:paraId="39201F71" w14:textId="77777777" w:rsidR="005C3678" w:rsidRPr="00885B57" w:rsidRDefault="005C3678" w:rsidP="005C3678">
            <w:pPr>
              <w:widowControl/>
              <w:spacing w:line="256" w:lineRule="auto"/>
              <w:jc w:val="both"/>
              <w:rPr>
                <w:rFonts w:ascii="Arial" w:hAnsi="Arial" w:cs="Arial"/>
                <w:color w:val="000000"/>
                <w:sz w:val="20"/>
                <w:szCs w:val="20"/>
                <w:lang w:val="en-GB" w:eastAsia="en-GB"/>
              </w:rPr>
            </w:pPr>
            <w:r w:rsidRPr="00885B57">
              <w:rPr>
                <w:rFonts w:ascii="Arial" w:hAnsi="Arial" w:cs="Arial"/>
                <w:color w:val="000000"/>
                <w:sz w:val="20"/>
                <w:szCs w:val="20"/>
                <w:lang w:val="en-GB" w:eastAsia="en-GB"/>
              </w:rPr>
              <w:t>46.8</w:t>
            </w:r>
          </w:p>
        </w:tc>
        <w:tc>
          <w:tcPr>
            <w:tcW w:w="913" w:type="pct"/>
            <w:tcBorders>
              <w:top w:val="dotted" w:sz="4" w:space="0" w:color="00A499"/>
              <w:left w:val="dotted" w:sz="4" w:space="0" w:color="00A499"/>
              <w:bottom w:val="dotted" w:sz="4" w:space="0" w:color="00A499"/>
              <w:right w:val="single" w:sz="4" w:space="0" w:color="00A499"/>
            </w:tcBorders>
            <w:noWrap/>
            <w:vAlign w:val="center"/>
            <w:hideMark/>
          </w:tcPr>
          <w:p w14:paraId="206300A7" w14:textId="77777777" w:rsidR="005C3678" w:rsidRPr="00885B57" w:rsidRDefault="005C3678" w:rsidP="005C3678">
            <w:pPr>
              <w:widowControl/>
              <w:spacing w:line="256" w:lineRule="auto"/>
              <w:jc w:val="both"/>
              <w:rPr>
                <w:rFonts w:ascii="Arial" w:hAnsi="Arial" w:cs="Arial"/>
                <w:color w:val="000000"/>
                <w:sz w:val="20"/>
                <w:szCs w:val="20"/>
                <w:lang w:val="en-GB" w:eastAsia="en-GB"/>
              </w:rPr>
            </w:pPr>
            <w:r w:rsidRPr="00885B57">
              <w:rPr>
                <w:rFonts w:ascii="Arial" w:hAnsi="Arial" w:cs="Arial"/>
                <w:color w:val="000000"/>
                <w:sz w:val="20"/>
                <w:szCs w:val="20"/>
                <w:lang w:val="en-GB" w:eastAsia="en-GB"/>
              </w:rPr>
              <w:t>16.1</w:t>
            </w:r>
          </w:p>
        </w:tc>
      </w:tr>
      <w:tr w:rsidR="005C3678" w:rsidRPr="00885B57" w14:paraId="0E73DA59" w14:textId="77777777" w:rsidTr="005C3678">
        <w:trPr>
          <w:trHeight w:val="257"/>
        </w:trPr>
        <w:tc>
          <w:tcPr>
            <w:tcW w:w="2262" w:type="pct"/>
            <w:tcBorders>
              <w:top w:val="dotted" w:sz="4" w:space="0" w:color="00A499"/>
              <w:left w:val="single" w:sz="4" w:space="0" w:color="00A499"/>
              <w:bottom w:val="dotted" w:sz="4" w:space="0" w:color="00A499"/>
              <w:right w:val="dotted" w:sz="4" w:space="0" w:color="00A499"/>
            </w:tcBorders>
            <w:noWrap/>
            <w:vAlign w:val="center"/>
            <w:hideMark/>
          </w:tcPr>
          <w:p w14:paraId="193A2B4B" w14:textId="77777777" w:rsidR="005C3678" w:rsidRPr="00885B57" w:rsidRDefault="005C3678" w:rsidP="005C3678">
            <w:pPr>
              <w:widowControl/>
              <w:spacing w:line="256" w:lineRule="auto"/>
              <w:jc w:val="both"/>
              <w:rPr>
                <w:rFonts w:ascii="Arial" w:hAnsi="Arial" w:cs="Arial"/>
                <w:color w:val="000000"/>
                <w:sz w:val="20"/>
                <w:szCs w:val="20"/>
                <w:lang w:val="en-GB" w:eastAsia="en-GB"/>
              </w:rPr>
            </w:pPr>
            <w:r w:rsidRPr="00885B57">
              <w:rPr>
                <w:rFonts w:ascii="Arial" w:hAnsi="Arial" w:cs="Arial"/>
                <w:color w:val="000000"/>
                <w:sz w:val="20"/>
                <w:szCs w:val="20"/>
                <w:lang w:val="en-GB" w:eastAsia="en-GB"/>
              </w:rPr>
              <w:t>Pay</w:t>
            </w:r>
          </w:p>
        </w:tc>
        <w:tc>
          <w:tcPr>
            <w:tcW w:w="912" w:type="pct"/>
            <w:tcBorders>
              <w:top w:val="dotted" w:sz="4" w:space="0" w:color="00A499"/>
              <w:left w:val="dotted" w:sz="4" w:space="0" w:color="00A499"/>
              <w:bottom w:val="dotted" w:sz="4" w:space="0" w:color="00A499"/>
              <w:right w:val="dotted" w:sz="4" w:space="0" w:color="00A499"/>
            </w:tcBorders>
            <w:noWrap/>
            <w:vAlign w:val="center"/>
            <w:hideMark/>
          </w:tcPr>
          <w:p w14:paraId="679B98A3" w14:textId="77777777" w:rsidR="005C3678" w:rsidRPr="00885B57" w:rsidRDefault="005C3678" w:rsidP="005C3678">
            <w:pPr>
              <w:widowControl/>
              <w:spacing w:line="256" w:lineRule="auto"/>
              <w:jc w:val="both"/>
              <w:rPr>
                <w:rFonts w:ascii="Arial" w:hAnsi="Arial" w:cs="Arial"/>
                <w:color w:val="000000"/>
                <w:sz w:val="20"/>
                <w:szCs w:val="20"/>
                <w:lang w:val="en-GB" w:eastAsia="en-GB"/>
              </w:rPr>
            </w:pPr>
            <w:r w:rsidRPr="00885B57">
              <w:rPr>
                <w:rFonts w:ascii="Arial" w:hAnsi="Arial" w:cs="Arial"/>
                <w:color w:val="000000"/>
                <w:sz w:val="20"/>
                <w:szCs w:val="20"/>
                <w:lang w:val="en-GB" w:eastAsia="en-GB"/>
              </w:rPr>
              <w:t>(330.0)</w:t>
            </w:r>
          </w:p>
        </w:tc>
        <w:tc>
          <w:tcPr>
            <w:tcW w:w="913" w:type="pct"/>
            <w:tcBorders>
              <w:top w:val="dotted" w:sz="4" w:space="0" w:color="00A499"/>
              <w:left w:val="dotted" w:sz="4" w:space="0" w:color="00A499"/>
              <w:bottom w:val="dotted" w:sz="4" w:space="0" w:color="00A499"/>
              <w:right w:val="dotted" w:sz="4" w:space="0" w:color="00A499"/>
            </w:tcBorders>
            <w:noWrap/>
            <w:vAlign w:val="center"/>
            <w:hideMark/>
          </w:tcPr>
          <w:p w14:paraId="573B8E7D" w14:textId="77777777" w:rsidR="005C3678" w:rsidRPr="00885B57" w:rsidRDefault="005C3678" w:rsidP="005C3678">
            <w:pPr>
              <w:widowControl/>
              <w:spacing w:line="256" w:lineRule="auto"/>
              <w:jc w:val="both"/>
              <w:rPr>
                <w:rFonts w:ascii="Arial" w:hAnsi="Arial" w:cs="Arial"/>
                <w:color w:val="000000"/>
                <w:sz w:val="20"/>
                <w:szCs w:val="20"/>
                <w:lang w:val="en-GB" w:eastAsia="en-GB"/>
              </w:rPr>
            </w:pPr>
            <w:r w:rsidRPr="00885B57">
              <w:rPr>
                <w:rFonts w:ascii="Arial" w:hAnsi="Arial" w:cs="Arial"/>
                <w:color w:val="000000"/>
                <w:sz w:val="20"/>
                <w:szCs w:val="20"/>
                <w:lang w:val="en-GB" w:eastAsia="en-GB"/>
              </w:rPr>
              <w:t>(348.4)</w:t>
            </w:r>
          </w:p>
        </w:tc>
        <w:tc>
          <w:tcPr>
            <w:tcW w:w="913" w:type="pct"/>
            <w:tcBorders>
              <w:top w:val="dotted" w:sz="4" w:space="0" w:color="00A499"/>
              <w:left w:val="dotted" w:sz="4" w:space="0" w:color="00A499"/>
              <w:bottom w:val="dotted" w:sz="4" w:space="0" w:color="00A499"/>
              <w:right w:val="single" w:sz="4" w:space="0" w:color="00A499"/>
            </w:tcBorders>
            <w:noWrap/>
            <w:vAlign w:val="center"/>
            <w:hideMark/>
          </w:tcPr>
          <w:p w14:paraId="22D6331E" w14:textId="77777777" w:rsidR="005C3678" w:rsidRPr="00885B57" w:rsidRDefault="005C3678" w:rsidP="005C3678">
            <w:pPr>
              <w:widowControl/>
              <w:spacing w:line="256" w:lineRule="auto"/>
              <w:jc w:val="both"/>
              <w:rPr>
                <w:rFonts w:ascii="Arial" w:hAnsi="Arial" w:cs="Arial"/>
                <w:color w:val="000000"/>
                <w:sz w:val="20"/>
                <w:szCs w:val="20"/>
                <w:lang w:val="en-GB" w:eastAsia="en-GB"/>
              </w:rPr>
            </w:pPr>
            <w:r w:rsidRPr="00885B57">
              <w:rPr>
                <w:rFonts w:ascii="Arial" w:hAnsi="Arial" w:cs="Arial"/>
                <w:color w:val="000000"/>
                <w:sz w:val="20"/>
                <w:szCs w:val="20"/>
                <w:lang w:val="en-GB" w:eastAsia="en-GB"/>
              </w:rPr>
              <w:t>(18.4)</w:t>
            </w:r>
          </w:p>
        </w:tc>
      </w:tr>
      <w:tr w:rsidR="005C3678" w:rsidRPr="00885B57" w14:paraId="09A411CB" w14:textId="77777777" w:rsidTr="005C3678">
        <w:trPr>
          <w:trHeight w:val="270"/>
        </w:trPr>
        <w:tc>
          <w:tcPr>
            <w:tcW w:w="2262" w:type="pct"/>
            <w:tcBorders>
              <w:top w:val="dotted" w:sz="4" w:space="0" w:color="00A499"/>
              <w:left w:val="single" w:sz="4" w:space="0" w:color="00A499"/>
              <w:bottom w:val="single" w:sz="4" w:space="0" w:color="00A499"/>
              <w:right w:val="dotted" w:sz="4" w:space="0" w:color="00A499"/>
            </w:tcBorders>
            <w:noWrap/>
            <w:vAlign w:val="center"/>
            <w:hideMark/>
          </w:tcPr>
          <w:p w14:paraId="0D8C30A6" w14:textId="77777777" w:rsidR="005C3678" w:rsidRPr="00885B57" w:rsidRDefault="005C3678" w:rsidP="005C3678">
            <w:pPr>
              <w:widowControl/>
              <w:spacing w:line="256" w:lineRule="auto"/>
              <w:jc w:val="both"/>
              <w:rPr>
                <w:rFonts w:ascii="Arial" w:hAnsi="Arial" w:cs="Arial"/>
                <w:color w:val="000000"/>
                <w:sz w:val="20"/>
                <w:szCs w:val="20"/>
                <w:lang w:val="en-GB" w:eastAsia="en-GB"/>
              </w:rPr>
            </w:pPr>
            <w:r w:rsidRPr="00885B57">
              <w:rPr>
                <w:rFonts w:ascii="Arial" w:hAnsi="Arial" w:cs="Arial"/>
                <w:color w:val="000000"/>
                <w:sz w:val="20"/>
                <w:szCs w:val="20"/>
                <w:lang w:val="en-GB" w:eastAsia="en-GB"/>
              </w:rPr>
              <w:t>Non-pay</w:t>
            </w:r>
          </w:p>
        </w:tc>
        <w:tc>
          <w:tcPr>
            <w:tcW w:w="912" w:type="pct"/>
            <w:tcBorders>
              <w:top w:val="dotted" w:sz="4" w:space="0" w:color="00A499"/>
              <w:left w:val="dotted" w:sz="4" w:space="0" w:color="00A499"/>
              <w:bottom w:val="single" w:sz="4" w:space="0" w:color="00A499"/>
              <w:right w:val="dotted" w:sz="4" w:space="0" w:color="00A499"/>
            </w:tcBorders>
            <w:noWrap/>
            <w:vAlign w:val="center"/>
            <w:hideMark/>
          </w:tcPr>
          <w:p w14:paraId="5632F924" w14:textId="77777777" w:rsidR="005C3678" w:rsidRPr="00885B57" w:rsidRDefault="005C3678" w:rsidP="005C3678">
            <w:pPr>
              <w:widowControl/>
              <w:spacing w:line="256" w:lineRule="auto"/>
              <w:jc w:val="both"/>
              <w:rPr>
                <w:rFonts w:ascii="Arial" w:hAnsi="Arial" w:cs="Arial"/>
                <w:color w:val="000000"/>
                <w:sz w:val="20"/>
                <w:szCs w:val="20"/>
                <w:lang w:val="en-GB" w:eastAsia="en-GB"/>
              </w:rPr>
            </w:pPr>
            <w:r w:rsidRPr="00885B57">
              <w:rPr>
                <w:rFonts w:ascii="Arial" w:hAnsi="Arial" w:cs="Arial"/>
                <w:color w:val="000000"/>
                <w:sz w:val="20"/>
                <w:szCs w:val="20"/>
                <w:lang w:val="en-GB" w:eastAsia="en-GB"/>
              </w:rPr>
              <w:t>(169.1)</w:t>
            </w:r>
          </w:p>
        </w:tc>
        <w:tc>
          <w:tcPr>
            <w:tcW w:w="913" w:type="pct"/>
            <w:tcBorders>
              <w:top w:val="dotted" w:sz="4" w:space="0" w:color="00A499"/>
              <w:left w:val="dotted" w:sz="4" w:space="0" w:color="00A499"/>
              <w:bottom w:val="single" w:sz="4" w:space="0" w:color="00A499"/>
              <w:right w:val="dotted" w:sz="4" w:space="0" w:color="00A499"/>
            </w:tcBorders>
            <w:noWrap/>
            <w:vAlign w:val="center"/>
            <w:hideMark/>
          </w:tcPr>
          <w:p w14:paraId="7C8CB3B0" w14:textId="77777777" w:rsidR="005C3678" w:rsidRPr="00885B57" w:rsidRDefault="005C3678" w:rsidP="005C3678">
            <w:pPr>
              <w:widowControl/>
              <w:spacing w:line="256" w:lineRule="auto"/>
              <w:jc w:val="both"/>
              <w:rPr>
                <w:rFonts w:ascii="Arial" w:hAnsi="Arial" w:cs="Arial"/>
                <w:color w:val="000000"/>
                <w:sz w:val="20"/>
                <w:szCs w:val="20"/>
                <w:lang w:val="en-GB" w:eastAsia="en-GB"/>
              </w:rPr>
            </w:pPr>
            <w:r w:rsidRPr="00885B57">
              <w:rPr>
                <w:rFonts w:ascii="Arial" w:hAnsi="Arial" w:cs="Arial"/>
                <w:color w:val="000000"/>
                <w:sz w:val="20"/>
                <w:szCs w:val="20"/>
                <w:lang w:val="en-GB" w:eastAsia="en-GB"/>
              </w:rPr>
              <w:t>(179.5)</w:t>
            </w:r>
          </w:p>
        </w:tc>
        <w:tc>
          <w:tcPr>
            <w:tcW w:w="913" w:type="pct"/>
            <w:tcBorders>
              <w:top w:val="dotted" w:sz="4" w:space="0" w:color="00A499"/>
              <w:left w:val="dotted" w:sz="4" w:space="0" w:color="00A499"/>
              <w:bottom w:val="single" w:sz="4" w:space="0" w:color="00A499"/>
              <w:right w:val="single" w:sz="4" w:space="0" w:color="00A499"/>
            </w:tcBorders>
            <w:noWrap/>
            <w:vAlign w:val="center"/>
            <w:hideMark/>
          </w:tcPr>
          <w:p w14:paraId="3CD6706E" w14:textId="77777777" w:rsidR="005C3678" w:rsidRPr="00885B57" w:rsidRDefault="005C3678" w:rsidP="005C3678">
            <w:pPr>
              <w:widowControl/>
              <w:spacing w:line="256" w:lineRule="auto"/>
              <w:jc w:val="both"/>
              <w:rPr>
                <w:rFonts w:ascii="Arial" w:hAnsi="Arial" w:cs="Arial"/>
                <w:color w:val="000000"/>
                <w:sz w:val="20"/>
                <w:szCs w:val="20"/>
                <w:lang w:val="en-GB" w:eastAsia="en-GB"/>
              </w:rPr>
            </w:pPr>
            <w:r w:rsidRPr="00885B57">
              <w:rPr>
                <w:rFonts w:ascii="Arial" w:hAnsi="Arial" w:cs="Arial"/>
                <w:color w:val="000000"/>
                <w:sz w:val="20"/>
                <w:szCs w:val="20"/>
                <w:lang w:val="en-GB" w:eastAsia="en-GB"/>
              </w:rPr>
              <w:t>(10.4)</w:t>
            </w:r>
          </w:p>
        </w:tc>
      </w:tr>
      <w:tr w:rsidR="005C3678" w:rsidRPr="00885B57" w14:paraId="6AFE1AB5" w14:textId="77777777" w:rsidTr="005C3678">
        <w:trPr>
          <w:trHeight w:val="270"/>
        </w:trPr>
        <w:tc>
          <w:tcPr>
            <w:tcW w:w="2262" w:type="pct"/>
            <w:tcBorders>
              <w:top w:val="single" w:sz="4" w:space="0" w:color="00A499"/>
              <w:left w:val="single" w:sz="4" w:space="0" w:color="00A499"/>
              <w:bottom w:val="dotted" w:sz="4" w:space="0" w:color="00A499"/>
              <w:right w:val="dotted" w:sz="4" w:space="0" w:color="00A499"/>
            </w:tcBorders>
            <w:noWrap/>
            <w:vAlign w:val="center"/>
            <w:hideMark/>
          </w:tcPr>
          <w:p w14:paraId="764B4673" w14:textId="77777777" w:rsidR="005C3678" w:rsidRPr="00885B57" w:rsidRDefault="005C3678" w:rsidP="005C3678">
            <w:pPr>
              <w:widowControl/>
              <w:spacing w:line="256" w:lineRule="auto"/>
              <w:jc w:val="both"/>
              <w:rPr>
                <w:rFonts w:ascii="Arial" w:hAnsi="Arial" w:cs="Arial"/>
                <w:b/>
                <w:bCs/>
                <w:color w:val="000000"/>
                <w:sz w:val="20"/>
                <w:szCs w:val="20"/>
                <w:lang w:val="en-GB" w:eastAsia="en-GB"/>
              </w:rPr>
            </w:pPr>
            <w:r w:rsidRPr="00885B57">
              <w:rPr>
                <w:rFonts w:ascii="Arial" w:hAnsi="Arial" w:cs="Arial"/>
                <w:b/>
                <w:bCs/>
                <w:color w:val="000000"/>
                <w:sz w:val="20"/>
                <w:szCs w:val="20"/>
                <w:lang w:val="en-GB" w:eastAsia="en-GB"/>
              </w:rPr>
              <w:t>Operating surplus</w:t>
            </w:r>
          </w:p>
        </w:tc>
        <w:tc>
          <w:tcPr>
            <w:tcW w:w="912" w:type="pct"/>
            <w:tcBorders>
              <w:top w:val="single" w:sz="4" w:space="0" w:color="00A499"/>
              <w:left w:val="dotted" w:sz="4" w:space="0" w:color="00A499"/>
              <w:bottom w:val="dotted" w:sz="4" w:space="0" w:color="00A499"/>
              <w:right w:val="dotted" w:sz="4" w:space="0" w:color="00A499"/>
            </w:tcBorders>
            <w:noWrap/>
            <w:vAlign w:val="center"/>
            <w:hideMark/>
          </w:tcPr>
          <w:p w14:paraId="40DAA256" w14:textId="77777777" w:rsidR="005C3678" w:rsidRPr="00885B57" w:rsidRDefault="005C3678" w:rsidP="005C3678">
            <w:pPr>
              <w:widowControl/>
              <w:spacing w:line="256" w:lineRule="auto"/>
              <w:jc w:val="both"/>
              <w:rPr>
                <w:rFonts w:ascii="Arial" w:hAnsi="Arial" w:cs="Arial"/>
                <w:b/>
                <w:color w:val="000000"/>
                <w:sz w:val="20"/>
                <w:szCs w:val="20"/>
                <w:lang w:val="en-GB" w:eastAsia="en-GB"/>
              </w:rPr>
            </w:pPr>
            <w:r w:rsidRPr="00885B57">
              <w:rPr>
                <w:rFonts w:ascii="Arial" w:hAnsi="Arial" w:cs="Arial"/>
                <w:b/>
                <w:color w:val="000000"/>
                <w:sz w:val="20"/>
                <w:szCs w:val="20"/>
                <w:lang w:val="en-GB" w:eastAsia="en-GB"/>
              </w:rPr>
              <w:t>12.0</w:t>
            </w:r>
          </w:p>
        </w:tc>
        <w:tc>
          <w:tcPr>
            <w:tcW w:w="913" w:type="pct"/>
            <w:tcBorders>
              <w:top w:val="single" w:sz="4" w:space="0" w:color="00A499"/>
              <w:left w:val="dotted" w:sz="4" w:space="0" w:color="00A499"/>
              <w:bottom w:val="dotted" w:sz="4" w:space="0" w:color="00A499"/>
              <w:right w:val="dotted" w:sz="4" w:space="0" w:color="00A499"/>
            </w:tcBorders>
            <w:noWrap/>
            <w:vAlign w:val="center"/>
            <w:hideMark/>
          </w:tcPr>
          <w:p w14:paraId="1E92A120" w14:textId="77777777" w:rsidR="005C3678" w:rsidRPr="00885B57" w:rsidRDefault="005C3678" w:rsidP="005C3678">
            <w:pPr>
              <w:widowControl/>
              <w:spacing w:line="256" w:lineRule="auto"/>
              <w:jc w:val="both"/>
              <w:rPr>
                <w:rFonts w:ascii="Arial" w:hAnsi="Arial" w:cs="Arial"/>
                <w:b/>
                <w:color w:val="000000"/>
                <w:sz w:val="20"/>
                <w:szCs w:val="20"/>
                <w:lang w:val="en-GB" w:eastAsia="en-GB"/>
              </w:rPr>
            </w:pPr>
            <w:r w:rsidRPr="00885B57">
              <w:rPr>
                <w:rFonts w:ascii="Arial" w:hAnsi="Arial" w:cs="Arial"/>
                <w:b/>
                <w:color w:val="000000"/>
                <w:sz w:val="20"/>
                <w:szCs w:val="20"/>
                <w:lang w:val="en-GB" w:eastAsia="en-GB"/>
              </w:rPr>
              <w:t>(8.7)</w:t>
            </w:r>
          </w:p>
        </w:tc>
        <w:tc>
          <w:tcPr>
            <w:tcW w:w="913" w:type="pct"/>
            <w:tcBorders>
              <w:top w:val="single" w:sz="4" w:space="0" w:color="00A499"/>
              <w:left w:val="dotted" w:sz="4" w:space="0" w:color="00A499"/>
              <w:bottom w:val="dotted" w:sz="4" w:space="0" w:color="00A499"/>
              <w:right w:val="single" w:sz="4" w:space="0" w:color="00A499"/>
            </w:tcBorders>
            <w:noWrap/>
            <w:vAlign w:val="center"/>
            <w:hideMark/>
          </w:tcPr>
          <w:p w14:paraId="7A3C00F8" w14:textId="77777777" w:rsidR="005C3678" w:rsidRPr="00885B57" w:rsidRDefault="005C3678" w:rsidP="005C3678">
            <w:pPr>
              <w:widowControl/>
              <w:spacing w:line="256" w:lineRule="auto"/>
              <w:jc w:val="both"/>
              <w:rPr>
                <w:rFonts w:ascii="Arial" w:hAnsi="Arial" w:cs="Arial"/>
                <w:b/>
                <w:color w:val="000000"/>
                <w:sz w:val="20"/>
                <w:szCs w:val="20"/>
                <w:lang w:val="en-GB" w:eastAsia="en-GB"/>
              </w:rPr>
            </w:pPr>
            <w:r w:rsidRPr="00885B57">
              <w:rPr>
                <w:rFonts w:ascii="Arial" w:hAnsi="Arial" w:cs="Arial"/>
                <w:b/>
                <w:color w:val="000000"/>
                <w:sz w:val="20"/>
                <w:szCs w:val="20"/>
                <w:lang w:val="en-GB" w:eastAsia="en-GB"/>
              </w:rPr>
              <w:t>(20.7)</w:t>
            </w:r>
          </w:p>
        </w:tc>
      </w:tr>
      <w:tr w:rsidR="005C3678" w:rsidRPr="00885B57" w14:paraId="543D7823" w14:textId="77777777" w:rsidTr="005C3678">
        <w:trPr>
          <w:trHeight w:val="270"/>
        </w:trPr>
        <w:tc>
          <w:tcPr>
            <w:tcW w:w="2262" w:type="pct"/>
            <w:tcBorders>
              <w:top w:val="dotted" w:sz="4" w:space="0" w:color="00A499"/>
              <w:left w:val="single" w:sz="4" w:space="0" w:color="00A499"/>
              <w:bottom w:val="single" w:sz="4" w:space="0" w:color="00A499"/>
              <w:right w:val="dotted" w:sz="4" w:space="0" w:color="00A499"/>
            </w:tcBorders>
            <w:noWrap/>
            <w:vAlign w:val="center"/>
            <w:hideMark/>
          </w:tcPr>
          <w:p w14:paraId="31539242" w14:textId="77777777" w:rsidR="005C3678" w:rsidRPr="00885B57" w:rsidRDefault="005C3678" w:rsidP="005C3678">
            <w:pPr>
              <w:widowControl/>
              <w:spacing w:line="256" w:lineRule="auto"/>
              <w:jc w:val="both"/>
              <w:rPr>
                <w:rFonts w:ascii="Arial" w:hAnsi="Arial" w:cs="Arial"/>
                <w:color w:val="000000"/>
                <w:sz w:val="20"/>
                <w:szCs w:val="20"/>
                <w:lang w:val="en-GB" w:eastAsia="en-GB"/>
              </w:rPr>
            </w:pPr>
            <w:r w:rsidRPr="00885B57">
              <w:rPr>
                <w:rFonts w:ascii="Arial" w:hAnsi="Arial" w:cs="Arial"/>
                <w:color w:val="000000"/>
                <w:sz w:val="20"/>
                <w:szCs w:val="20"/>
                <w:lang w:val="en-GB" w:eastAsia="en-GB"/>
              </w:rPr>
              <w:t>Non-operating expenses</w:t>
            </w:r>
          </w:p>
        </w:tc>
        <w:tc>
          <w:tcPr>
            <w:tcW w:w="912" w:type="pct"/>
            <w:tcBorders>
              <w:top w:val="dotted" w:sz="4" w:space="0" w:color="00A499"/>
              <w:left w:val="dotted" w:sz="4" w:space="0" w:color="00A499"/>
              <w:bottom w:val="single" w:sz="4" w:space="0" w:color="00A499"/>
              <w:right w:val="dotted" w:sz="4" w:space="0" w:color="00A499"/>
            </w:tcBorders>
            <w:noWrap/>
            <w:vAlign w:val="center"/>
            <w:hideMark/>
          </w:tcPr>
          <w:p w14:paraId="6E1EB53B" w14:textId="77777777" w:rsidR="005C3678" w:rsidRPr="00885B57" w:rsidRDefault="005C3678" w:rsidP="005C3678">
            <w:pPr>
              <w:widowControl/>
              <w:spacing w:line="256" w:lineRule="auto"/>
              <w:jc w:val="both"/>
              <w:rPr>
                <w:rFonts w:ascii="Arial" w:hAnsi="Arial" w:cs="Arial"/>
                <w:color w:val="000000"/>
                <w:sz w:val="20"/>
                <w:szCs w:val="20"/>
                <w:lang w:val="en-GB" w:eastAsia="en-GB"/>
              </w:rPr>
            </w:pPr>
            <w:r w:rsidRPr="00885B57">
              <w:rPr>
                <w:rFonts w:ascii="Arial" w:hAnsi="Arial" w:cs="Arial"/>
                <w:color w:val="000000"/>
                <w:sz w:val="20"/>
                <w:szCs w:val="20"/>
                <w:lang w:val="en-GB" w:eastAsia="en-GB"/>
              </w:rPr>
              <w:t>(9.3)</w:t>
            </w:r>
          </w:p>
        </w:tc>
        <w:tc>
          <w:tcPr>
            <w:tcW w:w="913" w:type="pct"/>
            <w:tcBorders>
              <w:top w:val="dotted" w:sz="4" w:space="0" w:color="00A499"/>
              <w:left w:val="dotted" w:sz="4" w:space="0" w:color="00A499"/>
              <w:bottom w:val="single" w:sz="4" w:space="0" w:color="00A499"/>
              <w:right w:val="dotted" w:sz="4" w:space="0" w:color="00A499"/>
            </w:tcBorders>
            <w:noWrap/>
            <w:vAlign w:val="center"/>
            <w:hideMark/>
          </w:tcPr>
          <w:p w14:paraId="2B1B8EAC" w14:textId="77777777" w:rsidR="005C3678" w:rsidRPr="00885B57" w:rsidRDefault="005C3678" w:rsidP="005C3678">
            <w:pPr>
              <w:widowControl/>
              <w:spacing w:line="256" w:lineRule="auto"/>
              <w:jc w:val="both"/>
              <w:rPr>
                <w:rFonts w:ascii="Arial" w:hAnsi="Arial" w:cs="Arial"/>
                <w:color w:val="000000"/>
                <w:sz w:val="20"/>
                <w:szCs w:val="20"/>
                <w:lang w:val="en-GB" w:eastAsia="en-GB"/>
              </w:rPr>
            </w:pPr>
            <w:r w:rsidRPr="00885B57">
              <w:rPr>
                <w:rFonts w:ascii="Arial" w:hAnsi="Arial" w:cs="Arial"/>
                <w:color w:val="000000"/>
                <w:sz w:val="20"/>
                <w:szCs w:val="20"/>
                <w:lang w:val="en-GB" w:eastAsia="en-GB"/>
              </w:rPr>
              <w:t>(8.4)</w:t>
            </w:r>
          </w:p>
        </w:tc>
        <w:tc>
          <w:tcPr>
            <w:tcW w:w="913" w:type="pct"/>
            <w:tcBorders>
              <w:top w:val="dotted" w:sz="4" w:space="0" w:color="00A499"/>
              <w:left w:val="dotted" w:sz="4" w:space="0" w:color="00A499"/>
              <w:bottom w:val="single" w:sz="4" w:space="0" w:color="00A499"/>
              <w:right w:val="single" w:sz="4" w:space="0" w:color="00A499"/>
            </w:tcBorders>
            <w:noWrap/>
            <w:vAlign w:val="center"/>
            <w:hideMark/>
          </w:tcPr>
          <w:p w14:paraId="5B3D283C" w14:textId="77777777" w:rsidR="005C3678" w:rsidRPr="00885B57" w:rsidRDefault="005C3678" w:rsidP="005C3678">
            <w:pPr>
              <w:widowControl/>
              <w:spacing w:line="256" w:lineRule="auto"/>
              <w:jc w:val="both"/>
              <w:rPr>
                <w:rFonts w:ascii="Arial" w:hAnsi="Arial" w:cs="Arial"/>
                <w:color w:val="000000"/>
                <w:sz w:val="20"/>
                <w:szCs w:val="20"/>
                <w:lang w:val="en-GB" w:eastAsia="en-GB"/>
              </w:rPr>
            </w:pPr>
            <w:r w:rsidRPr="00885B57">
              <w:rPr>
                <w:rFonts w:ascii="Arial" w:hAnsi="Arial" w:cs="Arial"/>
                <w:color w:val="000000"/>
                <w:sz w:val="20"/>
                <w:szCs w:val="20"/>
                <w:lang w:val="en-GB" w:eastAsia="en-GB"/>
              </w:rPr>
              <w:t>0.9</w:t>
            </w:r>
          </w:p>
        </w:tc>
      </w:tr>
      <w:tr w:rsidR="005C3678" w:rsidRPr="00885B57" w14:paraId="4AD2A950" w14:textId="77777777" w:rsidTr="005C3678">
        <w:trPr>
          <w:trHeight w:val="270"/>
        </w:trPr>
        <w:tc>
          <w:tcPr>
            <w:tcW w:w="2262" w:type="pct"/>
            <w:tcBorders>
              <w:top w:val="single" w:sz="4" w:space="0" w:color="00A499"/>
              <w:left w:val="single" w:sz="4" w:space="0" w:color="00A499"/>
              <w:bottom w:val="dotted" w:sz="4" w:space="0" w:color="00A499"/>
              <w:right w:val="dotted" w:sz="4" w:space="0" w:color="00A499"/>
            </w:tcBorders>
            <w:noWrap/>
            <w:vAlign w:val="center"/>
            <w:hideMark/>
          </w:tcPr>
          <w:p w14:paraId="5536B799" w14:textId="77777777" w:rsidR="005C3678" w:rsidRPr="00885B57" w:rsidRDefault="005C3678" w:rsidP="005C3678">
            <w:pPr>
              <w:widowControl/>
              <w:spacing w:line="256" w:lineRule="auto"/>
              <w:jc w:val="both"/>
              <w:rPr>
                <w:rFonts w:ascii="Arial" w:hAnsi="Arial" w:cs="Arial"/>
                <w:b/>
                <w:bCs/>
                <w:color w:val="000000"/>
                <w:sz w:val="20"/>
                <w:szCs w:val="20"/>
                <w:lang w:val="en-GB" w:eastAsia="en-GB"/>
              </w:rPr>
            </w:pPr>
            <w:r w:rsidRPr="00885B57">
              <w:rPr>
                <w:rFonts w:ascii="Arial" w:hAnsi="Arial" w:cs="Arial"/>
                <w:b/>
                <w:bCs/>
                <w:color w:val="000000"/>
                <w:sz w:val="20"/>
                <w:szCs w:val="20"/>
                <w:lang w:val="en-GB" w:eastAsia="en-GB"/>
              </w:rPr>
              <w:t>Reported surplus/(deficit)</w:t>
            </w:r>
          </w:p>
        </w:tc>
        <w:tc>
          <w:tcPr>
            <w:tcW w:w="912" w:type="pct"/>
            <w:tcBorders>
              <w:top w:val="single" w:sz="4" w:space="0" w:color="00A499"/>
              <w:left w:val="dotted" w:sz="4" w:space="0" w:color="00A499"/>
              <w:bottom w:val="dotted" w:sz="4" w:space="0" w:color="00A499"/>
              <w:right w:val="dotted" w:sz="4" w:space="0" w:color="00A499"/>
            </w:tcBorders>
            <w:noWrap/>
            <w:vAlign w:val="center"/>
            <w:hideMark/>
          </w:tcPr>
          <w:p w14:paraId="2F2E3D1A" w14:textId="77777777" w:rsidR="005C3678" w:rsidRPr="00885B57" w:rsidRDefault="005C3678" w:rsidP="005C3678">
            <w:pPr>
              <w:widowControl/>
              <w:spacing w:line="256" w:lineRule="auto"/>
              <w:jc w:val="both"/>
              <w:rPr>
                <w:rFonts w:ascii="Arial" w:hAnsi="Arial" w:cs="Arial"/>
                <w:b/>
                <w:color w:val="000000"/>
                <w:sz w:val="20"/>
                <w:szCs w:val="20"/>
                <w:lang w:val="en-GB" w:eastAsia="en-GB"/>
              </w:rPr>
            </w:pPr>
            <w:r w:rsidRPr="00885B57">
              <w:rPr>
                <w:rFonts w:ascii="Arial" w:hAnsi="Arial" w:cs="Arial"/>
                <w:b/>
                <w:color w:val="000000"/>
                <w:sz w:val="20"/>
                <w:szCs w:val="20"/>
                <w:lang w:val="en-GB" w:eastAsia="en-GB"/>
              </w:rPr>
              <w:t>2.7</w:t>
            </w:r>
          </w:p>
        </w:tc>
        <w:tc>
          <w:tcPr>
            <w:tcW w:w="913" w:type="pct"/>
            <w:tcBorders>
              <w:top w:val="single" w:sz="4" w:space="0" w:color="00A499"/>
              <w:left w:val="dotted" w:sz="4" w:space="0" w:color="00A499"/>
              <w:bottom w:val="dotted" w:sz="4" w:space="0" w:color="00A499"/>
              <w:right w:val="dotted" w:sz="4" w:space="0" w:color="00A499"/>
            </w:tcBorders>
            <w:noWrap/>
            <w:vAlign w:val="center"/>
            <w:hideMark/>
          </w:tcPr>
          <w:p w14:paraId="1BEAE417" w14:textId="77777777" w:rsidR="005C3678" w:rsidRPr="00885B57" w:rsidRDefault="005C3678" w:rsidP="005C3678">
            <w:pPr>
              <w:widowControl/>
              <w:spacing w:line="256" w:lineRule="auto"/>
              <w:jc w:val="both"/>
              <w:rPr>
                <w:rFonts w:ascii="Arial" w:hAnsi="Arial" w:cs="Arial"/>
                <w:b/>
                <w:color w:val="000000"/>
                <w:sz w:val="20"/>
                <w:szCs w:val="20"/>
                <w:lang w:val="en-GB" w:eastAsia="en-GB"/>
              </w:rPr>
            </w:pPr>
            <w:r w:rsidRPr="00885B57">
              <w:rPr>
                <w:rFonts w:ascii="Arial" w:hAnsi="Arial" w:cs="Arial"/>
                <w:b/>
                <w:color w:val="000000"/>
                <w:sz w:val="20"/>
                <w:szCs w:val="20"/>
                <w:lang w:val="en-GB" w:eastAsia="en-GB"/>
              </w:rPr>
              <w:t>(17.1)</w:t>
            </w:r>
          </w:p>
        </w:tc>
        <w:tc>
          <w:tcPr>
            <w:tcW w:w="913" w:type="pct"/>
            <w:tcBorders>
              <w:top w:val="single" w:sz="4" w:space="0" w:color="00A499"/>
              <w:left w:val="dotted" w:sz="4" w:space="0" w:color="00A499"/>
              <w:bottom w:val="dotted" w:sz="4" w:space="0" w:color="00A499"/>
              <w:right w:val="single" w:sz="4" w:space="0" w:color="00A499"/>
            </w:tcBorders>
            <w:noWrap/>
            <w:vAlign w:val="center"/>
            <w:hideMark/>
          </w:tcPr>
          <w:p w14:paraId="1D3D1170" w14:textId="77777777" w:rsidR="005C3678" w:rsidRPr="00885B57" w:rsidRDefault="005C3678" w:rsidP="005C3678">
            <w:pPr>
              <w:widowControl/>
              <w:spacing w:line="256" w:lineRule="auto"/>
              <w:jc w:val="both"/>
              <w:rPr>
                <w:rFonts w:ascii="Arial" w:hAnsi="Arial" w:cs="Arial"/>
                <w:b/>
                <w:color w:val="000000"/>
                <w:sz w:val="20"/>
                <w:szCs w:val="20"/>
                <w:lang w:val="en-GB" w:eastAsia="en-GB"/>
              </w:rPr>
            </w:pPr>
            <w:r w:rsidRPr="00885B57">
              <w:rPr>
                <w:rFonts w:ascii="Arial" w:hAnsi="Arial" w:cs="Arial"/>
                <w:b/>
                <w:color w:val="000000"/>
                <w:sz w:val="20"/>
                <w:szCs w:val="20"/>
                <w:lang w:val="en-GB" w:eastAsia="en-GB"/>
              </w:rPr>
              <w:t>(19.8)</w:t>
            </w:r>
          </w:p>
        </w:tc>
      </w:tr>
      <w:tr w:rsidR="005C3678" w:rsidRPr="00885B57" w14:paraId="0BF5FA2B" w14:textId="77777777" w:rsidTr="005C3678">
        <w:trPr>
          <w:trHeight w:val="257"/>
        </w:trPr>
        <w:tc>
          <w:tcPr>
            <w:tcW w:w="2262" w:type="pct"/>
            <w:tcBorders>
              <w:top w:val="dotted" w:sz="4" w:space="0" w:color="00A499"/>
              <w:left w:val="single" w:sz="4" w:space="0" w:color="00A499"/>
              <w:bottom w:val="dotted" w:sz="4" w:space="0" w:color="00A499"/>
              <w:right w:val="dotted" w:sz="4" w:space="0" w:color="00A499"/>
            </w:tcBorders>
            <w:noWrap/>
            <w:vAlign w:val="center"/>
            <w:hideMark/>
          </w:tcPr>
          <w:p w14:paraId="0EB641AD" w14:textId="77777777" w:rsidR="005C3678" w:rsidRPr="00885B57" w:rsidRDefault="005C3678" w:rsidP="005C3678">
            <w:pPr>
              <w:widowControl/>
              <w:spacing w:line="256" w:lineRule="auto"/>
              <w:jc w:val="both"/>
              <w:rPr>
                <w:rFonts w:ascii="Arial" w:hAnsi="Arial" w:cs="Arial"/>
                <w:color w:val="000000"/>
                <w:sz w:val="20"/>
                <w:szCs w:val="20"/>
                <w:lang w:val="en-GB" w:eastAsia="en-GB"/>
              </w:rPr>
            </w:pPr>
            <w:r w:rsidRPr="00885B57">
              <w:rPr>
                <w:rFonts w:ascii="Arial" w:hAnsi="Arial" w:cs="Arial"/>
                <w:color w:val="000000"/>
                <w:sz w:val="20"/>
                <w:szCs w:val="20"/>
                <w:lang w:val="en-GB" w:eastAsia="en-GB"/>
              </w:rPr>
              <w:t>Net impairments/reversals</w:t>
            </w:r>
          </w:p>
        </w:tc>
        <w:tc>
          <w:tcPr>
            <w:tcW w:w="912" w:type="pct"/>
            <w:tcBorders>
              <w:top w:val="dotted" w:sz="4" w:space="0" w:color="00A499"/>
              <w:left w:val="dotted" w:sz="4" w:space="0" w:color="00A499"/>
              <w:bottom w:val="dotted" w:sz="4" w:space="0" w:color="00A499"/>
              <w:right w:val="dotted" w:sz="4" w:space="0" w:color="00A499"/>
            </w:tcBorders>
            <w:noWrap/>
            <w:vAlign w:val="center"/>
            <w:hideMark/>
          </w:tcPr>
          <w:p w14:paraId="010234A3" w14:textId="77777777" w:rsidR="005C3678" w:rsidRPr="00885B57" w:rsidRDefault="005C3678" w:rsidP="005C3678">
            <w:pPr>
              <w:widowControl/>
              <w:spacing w:line="256" w:lineRule="auto"/>
              <w:jc w:val="both"/>
              <w:rPr>
                <w:rFonts w:ascii="Arial" w:hAnsi="Arial" w:cs="Arial"/>
                <w:color w:val="000000"/>
                <w:sz w:val="20"/>
                <w:szCs w:val="20"/>
                <w:lang w:val="en-GB" w:eastAsia="en-GB"/>
              </w:rPr>
            </w:pPr>
            <w:r w:rsidRPr="00885B57">
              <w:rPr>
                <w:rFonts w:ascii="Arial" w:hAnsi="Arial" w:cs="Arial"/>
                <w:color w:val="000000"/>
                <w:sz w:val="20"/>
                <w:szCs w:val="20"/>
                <w:lang w:val="en-GB" w:eastAsia="en-GB"/>
              </w:rPr>
              <w:t>-</w:t>
            </w:r>
          </w:p>
        </w:tc>
        <w:tc>
          <w:tcPr>
            <w:tcW w:w="913" w:type="pct"/>
            <w:tcBorders>
              <w:top w:val="dotted" w:sz="4" w:space="0" w:color="00A499"/>
              <w:left w:val="dotted" w:sz="4" w:space="0" w:color="00A499"/>
              <w:bottom w:val="dotted" w:sz="4" w:space="0" w:color="00A499"/>
              <w:right w:val="dotted" w:sz="4" w:space="0" w:color="00A499"/>
            </w:tcBorders>
            <w:noWrap/>
            <w:vAlign w:val="center"/>
            <w:hideMark/>
          </w:tcPr>
          <w:p w14:paraId="4CA9F9D3" w14:textId="77777777" w:rsidR="005C3678" w:rsidRPr="00885B57" w:rsidRDefault="005C3678" w:rsidP="005C3678">
            <w:pPr>
              <w:widowControl/>
              <w:spacing w:line="256" w:lineRule="auto"/>
              <w:jc w:val="both"/>
              <w:rPr>
                <w:rFonts w:ascii="Arial" w:hAnsi="Arial" w:cs="Arial"/>
                <w:color w:val="000000"/>
                <w:sz w:val="20"/>
                <w:szCs w:val="20"/>
                <w:lang w:val="en-GB" w:eastAsia="en-GB"/>
              </w:rPr>
            </w:pPr>
            <w:r w:rsidRPr="00885B57">
              <w:rPr>
                <w:rFonts w:ascii="Arial" w:hAnsi="Arial" w:cs="Arial"/>
                <w:color w:val="000000"/>
                <w:sz w:val="20"/>
                <w:szCs w:val="20"/>
                <w:lang w:val="en-GB" w:eastAsia="en-GB"/>
              </w:rPr>
              <w:t>0.2</w:t>
            </w:r>
          </w:p>
        </w:tc>
        <w:tc>
          <w:tcPr>
            <w:tcW w:w="913" w:type="pct"/>
            <w:tcBorders>
              <w:top w:val="dotted" w:sz="4" w:space="0" w:color="00A499"/>
              <w:left w:val="dotted" w:sz="4" w:space="0" w:color="00A499"/>
              <w:bottom w:val="dotted" w:sz="4" w:space="0" w:color="00A499"/>
              <w:right w:val="single" w:sz="4" w:space="0" w:color="00A499"/>
            </w:tcBorders>
            <w:noWrap/>
            <w:vAlign w:val="center"/>
            <w:hideMark/>
          </w:tcPr>
          <w:p w14:paraId="2FE1FEBA" w14:textId="77777777" w:rsidR="005C3678" w:rsidRPr="00885B57" w:rsidRDefault="005C3678" w:rsidP="005C3678">
            <w:pPr>
              <w:widowControl/>
              <w:spacing w:line="256" w:lineRule="auto"/>
              <w:jc w:val="both"/>
              <w:rPr>
                <w:rFonts w:ascii="Arial" w:hAnsi="Arial" w:cs="Arial"/>
                <w:color w:val="000000"/>
                <w:sz w:val="20"/>
                <w:szCs w:val="20"/>
                <w:lang w:val="en-GB" w:eastAsia="en-GB"/>
              </w:rPr>
            </w:pPr>
            <w:r w:rsidRPr="00885B57">
              <w:rPr>
                <w:rFonts w:ascii="Arial" w:hAnsi="Arial" w:cs="Arial"/>
                <w:color w:val="000000"/>
                <w:sz w:val="20"/>
                <w:szCs w:val="20"/>
                <w:lang w:val="en-GB" w:eastAsia="en-GB"/>
              </w:rPr>
              <w:t>0.2</w:t>
            </w:r>
          </w:p>
        </w:tc>
      </w:tr>
      <w:tr w:rsidR="005C3678" w:rsidRPr="00885B57" w14:paraId="7C58A3A6" w14:textId="77777777" w:rsidTr="005C3678">
        <w:trPr>
          <w:trHeight w:val="257"/>
        </w:trPr>
        <w:tc>
          <w:tcPr>
            <w:tcW w:w="2262" w:type="pct"/>
            <w:tcBorders>
              <w:top w:val="dotted" w:sz="4" w:space="0" w:color="00A499"/>
              <w:left w:val="single" w:sz="4" w:space="0" w:color="00A499"/>
              <w:bottom w:val="dotted" w:sz="4" w:space="0" w:color="00A499"/>
              <w:right w:val="dotted" w:sz="4" w:space="0" w:color="00A499"/>
            </w:tcBorders>
            <w:noWrap/>
            <w:vAlign w:val="center"/>
            <w:hideMark/>
          </w:tcPr>
          <w:p w14:paraId="768AF9DE" w14:textId="77777777" w:rsidR="005C3678" w:rsidRPr="00885B57" w:rsidRDefault="005C3678" w:rsidP="005C3678">
            <w:pPr>
              <w:widowControl/>
              <w:spacing w:line="256" w:lineRule="auto"/>
              <w:jc w:val="both"/>
              <w:rPr>
                <w:rFonts w:ascii="Arial" w:hAnsi="Arial" w:cs="Arial"/>
                <w:color w:val="000000"/>
                <w:sz w:val="20"/>
                <w:szCs w:val="20"/>
                <w:lang w:val="en-GB" w:eastAsia="en-GB"/>
              </w:rPr>
            </w:pPr>
            <w:r w:rsidRPr="00885B57">
              <w:rPr>
                <w:rFonts w:ascii="Arial" w:hAnsi="Arial" w:cs="Arial"/>
                <w:color w:val="000000"/>
                <w:sz w:val="20"/>
                <w:szCs w:val="20"/>
                <w:lang w:val="en-GB" w:eastAsia="en-GB"/>
              </w:rPr>
              <w:t>Donated asset cost/income net</w:t>
            </w:r>
          </w:p>
        </w:tc>
        <w:tc>
          <w:tcPr>
            <w:tcW w:w="912" w:type="pct"/>
            <w:tcBorders>
              <w:top w:val="dotted" w:sz="4" w:space="0" w:color="00A499"/>
              <w:left w:val="dotted" w:sz="4" w:space="0" w:color="00A499"/>
              <w:bottom w:val="dotted" w:sz="4" w:space="0" w:color="00A499"/>
              <w:right w:val="dotted" w:sz="4" w:space="0" w:color="00A499"/>
            </w:tcBorders>
            <w:noWrap/>
            <w:vAlign w:val="center"/>
            <w:hideMark/>
          </w:tcPr>
          <w:p w14:paraId="4CA0A6F8" w14:textId="77777777" w:rsidR="005C3678" w:rsidRPr="00885B57" w:rsidRDefault="005C3678" w:rsidP="005C3678">
            <w:pPr>
              <w:widowControl/>
              <w:spacing w:line="256" w:lineRule="auto"/>
              <w:jc w:val="both"/>
              <w:rPr>
                <w:rFonts w:ascii="Arial" w:hAnsi="Arial" w:cs="Arial"/>
                <w:color w:val="000000"/>
                <w:sz w:val="20"/>
                <w:szCs w:val="20"/>
                <w:lang w:val="en-GB" w:eastAsia="en-GB"/>
              </w:rPr>
            </w:pPr>
            <w:r w:rsidRPr="00885B57">
              <w:rPr>
                <w:rFonts w:ascii="Arial" w:hAnsi="Arial" w:cs="Arial"/>
                <w:color w:val="000000"/>
                <w:sz w:val="20"/>
                <w:szCs w:val="20"/>
                <w:lang w:val="en-GB" w:eastAsia="en-GB"/>
              </w:rPr>
              <w:t>(5.1)</w:t>
            </w:r>
          </w:p>
        </w:tc>
        <w:tc>
          <w:tcPr>
            <w:tcW w:w="913" w:type="pct"/>
            <w:tcBorders>
              <w:top w:val="dotted" w:sz="4" w:space="0" w:color="00A499"/>
              <w:left w:val="dotted" w:sz="4" w:space="0" w:color="00A499"/>
              <w:bottom w:val="dotted" w:sz="4" w:space="0" w:color="00A499"/>
              <w:right w:val="dotted" w:sz="4" w:space="0" w:color="00A499"/>
            </w:tcBorders>
            <w:noWrap/>
            <w:vAlign w:val="center"/>
            <w:hideMark/>
          </w:tcPr>
          <w:p w14:paraId="4A325288" w14:textId="77777777" w:rsidR="005C3678" w:rsidRPr="00885B57" w:rsidRDefault="005C3678" w:rsidP="005C3678">
            <w:pPr>
              <w:widowControl/>
              <w:spacing w:line="256" w:lineRule="auto"/>
              <w:jc w:val="both"/>
              <w:rPr>
                <w:rFonts w:ascii="Arial" w:hAnsi="Arial" w:cs="Arial"/>
                <w:color w:val="000000"/>
                <w:sz w:val="20"/>
                <w:szCs w:val="20"/>
                <w:lang w:val="en-GB" w:eastAsia="en-GB"/>
              </w:rPr>
            </w:pPr>
            <w:r w:rsidRPr="00885B57">
              <w:rPr>
                <w:rFonts w:ascii="Arial" w:hAnsi="Arial" w:cs="Arial"/>
                <w:color w:val="000000"/>
                <w:sz w:val="20"/>
                <w:szCs w:val="20"/>
                <w:lang w:val="en-GB" w:eastAsia="en-GB"/>
              </w:rPr>
              <w:t>(5.5)</w:t>
            </w:r>
          </w:p>
        </w:tc>
        <w:tc>
          <w:tcPr>
            <w:tcW w:w="913" w:type="pct"/>
            <w:tcBorders>
              <w:top w:val="dotted" w:sz="4" w:space="0" w:color="00A499"/>
              <w:left w:val="dotted" w:sz="4" w:space="0" w:color="00A499"/>
              <w:bottom w:val="dotted" w:sz="4" w:space="0" w:color="00A499"/>
              <w:right w:val="single" w:sz="4" w:space="0" w:color="00A499"/>
            </w:tcBorders>
            <w:noWrap/>
            <w:vAlign w:val="center"/>
            <w:hideMark/>
          </w:tcPr>
          <w:p w14:paraId="07950E77" w14:textId="77777777" w:rsidR="005C3678" w:rsidRPr="00885B57" w:rsidRDefault="005C3678" w:rsidP="005C3678">
            <w:pPr>
              <w:widowControl/>
              <w:spacing w:line="256" w:lineRule="auto"/>
              <w:jc w:val="both"/>
              <w:rPr>
                <w:rFonts w:ascii="Arial" w:hAnsi="Arial" w:cs="Arial"/>
                <w:color w:val="000000"/>
                <w:sz w:val="20"/>
                <w:szCs w:val="20"/>
                <w:lang w:val="en-GB" w:eastAsia="en-GB"/>
              </w:rPr>
            </w:pPr>
            <w:r w:rsidRPr="00885B57">
              <w:rPr>
                <w:rFonts w:ascii="Arial" w:hAnsi="Arial" w:cs="Arial"/>
                <w:color w:val="000000"/>
                <w:sz w:val="20"/>
                <w:szCs w:val="20"/>
                <w:lang w:val="en-GB" w:eastAsia="en-GB"/>
              </w:rPr>
              <w:t>(0.4)</w:t>
            </w:r>
          </w:p>
        </w:tc>
      </w:tr>
      <w:tr w:rsidR="005C3678" w:rsidRPr="00885B57" w14:paraId="7C9D7849" w14:textId="77777777" w:rsidTr="00C440BD">
        <w:trPr>
          <w:trHeight w:val="270"/>
        </w:trPr>
        <w:tc>
          <w:tcPr>
            <w:tcW w:w="2262" w:type="pct"/>
            <w:tcBorders>
              <w:top w:val="single" w:sz="4" w:space="0" w:color="00A499"/>
              <w:left w:val="single" w:sz="4" w:space="0" w:color="00A499"/>
              <w:bottom w:val="single" w:sz="4" w:space="0" w:color="00A499"/>
              <w:right w:val="single" w:sz="4" w:space="0" w:color="FFFFFF" w:themeColor="background1"/>
            </w:tcBorders>
            <w:shd w:val="clear" w:color="auto" w:fill="008077"/>
            <w:noWrap/>
            <w:vAlign w:val="center"/>
            <w:hideMark/>
          </w:tcPr>
          <w:p w14:paraId="6F8B0EE3" w14:textId="77777777" w:rsidR="005C3678" w:rsidRPr="00885B57" w:rsidRDefault="005C3678" w:rsidP="005C3678">
            <w:pPr>
              <w:widowControl/>
              <w:spacing w:line="256" w:lineRule="auto"/>
              <w:jc w:val="both"/>
              <w:rPr>
                <w:rFonts w:ascii="Arial" w:hAnsi="Arial" w:cs="Arial"/>
                <w:b/>
                <w:bCs/>
                <w:color w:val="FFFFFF" w:themeColor="background1"/>
                <w:sz w:val="20"/>
                <w:szCs w:val="20"/>
                <w:lang w:val="en-GB" w:eastAsia="en-GB"/>
              </w:rPr>
            </w:pPr>
            <w:r w:rsidRPr="00885B57">
              <w:rPr>
                <w:rFonts w:ascii="Arial" w:hAnsi="Arial" w:cs="Arial"/>
                <w:b/>
                <w:bCs/>
                <w:color w:val="FFFFFF" w:themeColor="background1"/>
                <w:sz w:val="20"/>
                <w:szCs w:val="20"/>
                <w:lang w:val="en-GB" w:eastAsia="en-GB"/>
              </w:rPr>
              <w:t>Control total</w:t>
            </w:r>
          </w:p>
        </w:tc>
        <w:tc>
          <w:tcPr>
            <w:tcW w:w="912" w:type="pct"/>
            <w:tcBorders>
              <w:top w:val="single" w:sz="4" w:space="0" w:color="00A499"/>
              <w:left w:val="single" w:sz="4" w:space="0" w:color="FFFFFF" w:themeColor="background1"/>
              <w:bottom w:val="single" w:sz="4" w:space="0" w:color="00A499"/>
              <w:right w:val="single" w:sz="4" w:space="0" w:color="FFFFFF" w:themeColor="background1"/>
            </w:tcBorders>
            <w:shd w:val="clear" w:color="auto" w:fill="008077"/>
            <w:noWrap/>
            <w:vAlign w:val="center"/>
            <w:hideMark/>
          </w:tcPr>
          <w:p w14:paraId="44C716C5" w14:textId="77777777" w:rsidR="005C3678" w:rsidRPr="00885B57" w:rsidRDefault="005C3678" w:rsidP="005C3678">
            <w:pPr>
              <w:widowControl/>
              <w:spacing w:line="256" w:lineRule="auto"/>
              <w:jc w:val="both"/>
              <w:rPr>
                <w:rFonts w:ascii="Arial" w:hAnsi="Arial" w:cs="Arial"/>
                <w:b/>
                <w:color w:val="FFFFFF" w:themeColor="background1"/>
                <w:sz w:val="20"/>
                <w:szCs w:val="20"/>
                <w:lang w:val="en-GB" w:eastAsia="en-GB"/>
              </w:rPr>
            </w:pPr>
            <w:r w:rsidRPr="00885B57">
              <w:rPr>
                <w:rFonts w:ascii="Arial" w:hAnsi="Arial" w:cs="Arial"/>
                <w:b/>
                <w:color w:val="FFFFFF" w:themeColor="background1"/>
                <w:sz w:val="20"/>
                <w:szCs w:val="20"/>
                <w:lang w:val="en-GB" w:eastAsia="en-GB"/>
              </w:rPr>
              <w:t>(2.4)</w:t>
            </w:r>
          </w:p>
        </w:tc>
        <w:tc>
          <w:tcPr>
            <w:tcW w:w="913" w:type="pct"/>
            <w:tcBorders>
              <w:top w:val="single" w:sz="4" w:space="0" w:color="00A499"/>
              <w:left w:val="single" w:sz="4" w:space="0" w:color="FFFFFF" w:themeColor="background1"/>
              <w:bottom w:val="single" w:sz="4" w:space="0" w:color="00A499"/>
              <w:right w:val="single" w:sz="4" w:space="0" w:color="FFFFFF" w:themeColor="background1"/>
            </w:tcBorders>
            <w:shd w:val="clear" w:color="auto" w:fill="008077"/>
            <w:noWrap/>
            <w:vAlign w:val="center"/>
            <w:hideMark/>
          </w:tcPr>
          <w:p w14:paraId="24C16A98" w14:textId="77777777" w:rsidR="005C3678" w:rsidRPr="00885B57" w:rsidRDefault="005C3678" w:rsidP="005C3678">
            <w:pPr>
              <w:widowControl/>
              <w:spacing w:line="256" w:lineRule="auto"/>
              <w:jc w:val="both"/>
              <w:rPr>
                <w:rFonts w:ascii="Arial" w:hAnsi="Arial" w:cs="Arial"/>
                <w:b/>
                <w:color w:val="FFFFFF" w:themeColor="background1"/>
                <w:sz w:val="20"/>
                <w:szCs w:val="20"/>
                <w:lang w:val="en-GB" w:eastAsia="en-GB"/>
              </w:rPr>
            </w:pPr>
            <w:r w:rsidRPr="00885B57">
              <w:rPr>
                <w:rFonts w:ascii="Arial" w:hAnsi="Arial" w:cs="Arial"/>
                <w:b/>
                <w:color w:val="FFFFFF" w:themeColor="background1"/>
                <w:sz w:val="20"/>
                <w:szCs w:val="20"/>
                <w:lang w:val="en-GB" w:eastAsia="en-GB"/>
              </w:rPr>
              <w:t>(22.4)</w:t>
            </w:r>
          </w:p>
        </w:tc>
        <w:tc>
          <w:tcPr>
            <w:tcW w:w="913" w:type="pct"/>
            <w:tcBorders>
              <w:top w:val="single" w:sz="4" w:space="0" w:color="00A499"/>
              <w:left w:val="single" w:sz="4" w:space="0" w:color="FFFFFF" w:themeColor="background1"/>
              <w:bottom w:val="single" w:sz="4" w:space="0" w:color="00A499"/>
              <w:right w:val="single" w:sz="4" w:space="0" w:color="00A499"/>
            </w:tcBorders>
            <w:shd w:val="clear" w:color="auto" w:fill="008077"/>
            <w:noWrap/>
            <w:vAlign w:val="center"/>
            <w:hideMark/>
          </w:tcPr>
          <w:p w14:paraId="2B2319B1" w14:textId="77777777" w:rsidR="005C3678" w:rsidRPr="00885B57" w:rsidRDefault="005C3678" w:rsidP="005C3678">
            <w:pPr>
              <w:widowControl/>
              <w:spacing w:line="256" w:lineRule="auto"/>
              <w:jc w:val="both"/>
              <w:rPr>
                <w:rFonts w:ascii="Arial" w:hAnsi="Arial" w:cs="Arial"/>
                <w:b/>
                <w:color w:val="FFFFFF" w:themeColor="background1"/>
                <w:sz w:val="20"/>
                <w:szCs w:val="20"/>
                <w:lang w:val="en-GB" w:eastAsia="en-GB"/>
              </w:rPr>
            </w:pPr>
            <w:r w:rsidRPr="00885B57">
              <w:rPr>
                <w:rFonts w:ascii="Arial" w:hAnsi="Arial" w:cs="Arial"/>
                <w:b/>
                <w:color w:val="FFFFFF" w:themeColor="background1"/>
                <w:sz w:val="20"/>
                <w:szCs w:val="20"/>
                <w:lang w:val="en-GB" w:eastAsia="en-GB"/>
              </w:rPr>
              <w:t>(20.0)</w:t>
            </w:r>
          </w:p>
        </w:tc>
      </w:tr>
    </w:tbl>
    <w:p w14:paraId="401C7252" w14:textId="77777777" w:rsidR="005C3678" w:rsidRPr="00885B57" w:rsidRDefault="005C3678" w:rsidP="005C3678">
      <w:pPr>
        <w:widowControl/>
        <w:jc w:val="both"/>
        <w:rPr>
          <w:rFonts w:ascii="Arial" w:hAnsi="Arial" w:cs="Arial"/>
          <w:sz w:val="20"/>
          <w:szCs w:val="20"/>
          <w:u w:val="single"/>
          <w:lang w:val="en-GB"/>
        </w:rPr>
      </w:pPr>
    </w:p>
    <w:p w14:paraId="1E5A798D" w14:textId="77777777" w:rsidR="005C3678" w:rsidRPr="00885B57" w:rsidRDefault="005C3678" w:rsidP="005C3678">
      <w:pPr>
        <w:widowControl/>
        <w:jc w:val="both"/>
        <w:rPr>
          <w:rFonts w:ascii="Arial" w:hAnsi="Arial" w:cs="Arial"/>
          <w:sz w:val="20"/>
          <w:szCs w:val="20"/>
          <w:lang w:val="en-GB"/>
        </w:rPr>
      </w:pPr>
      <w:r w:rsidRPr="00885B57">
        <w:rPr>
          <w:rFonts w:ascii="Arial" w:hAnsi="Arial" w:cs="Arial"/>
          <w:sz w:val="20"/>
          <w:szCs w:val="20"/>
          <w:lang w:val="en-GB"/>
        </w:rPr>
        <w:t>During the course of the financial year the Trust began to report an adverse performance.  This principally arose from:</w:t>
      </w:r>
    </w:p>
    <w:p w14:paraId="0FF5CDD3" w14:textId="77777777" w:rsidR="005C3678" w:rsidRPr="00885B57" w:rsidRDefault="005C3678" w:rsidP="00E00F90">
      <w:pPr>
        <w:widowControl/>
        <w:numPr>
          <w:ilvl w:val="0"/>
          <w:numId w:val="30"/>
        </w:numPr>
        <w:spacing w:after="160" w:line="256" w:lineRule="auto"/>
        <w:ind w:left="426"/>
        <w:contextualSpacing/>
        <w:jc w:val="both"/>
        <w:rPr>
          <w:rFonts w:ascii="Arial" w:hAnsi="Arial" w:cs="Arial"/>
          <w:sz w:val="20"/>
          <w:szCs w:val="20"/>
          <w:lang w:val="en-GB"/>
        </w:rPr>
      </w:pPr>
      <w:r w:rsidRPr="00885B57">
        <w:rPr>
          <w:rFonts w:ascii="Arial" w:hAnsi="Arial" w:cs="Arial"/>
          <w:sz w:val="20"/>
          <w:szCs w:val="20"/>
          <w:lang w:val="en-GB"/>
        </w:rPr>
        <w:t>Ensuring our emergency department was staffed safely to treat the patients arriving</w:t>
      </w:r>
    </w:p>
    <w:p w14:paraId="63E5C296" w14:textId="77777777" w:rsidR="005C3678" w:rsidRPr="00885B57" w:rsidRDefault="005C3678" w:rsidP="00E00F90">
      <w:pPr>
        <w:widowControl/>
        <w:numPr>
          <w:ilvl w:val="0"/>
          <w:numId w:val="30"/>
        </w:numPr>
        <w:spacing w:after="160" w:line="256" w:lineRule="auto"/>
        <w:ind w:left="426"/>
        <w:contextualSpacing/>
        <w:jc w:val="both"/>
        <w:rPr>
          <w:rFonts w:ascii="Arial" w:hAnsi="Arial" w:cs="Arial"/>
          <w:sz w:val="20"/>
          <w:szCs w:val="20"/>
          <w:lang w:val="en-GB"/>
        </w:rPr>
      </w:pPr>
      <w:r w:rsidRPr="00885B57">
        <w:rPr>
          <w:rFonts w:ascii="Arial" w:hAnsi="Arial" w:cs="Arial"/>
          <w:sz w:val="20"/>
          <w:szCs w:val="20"/>
          <w:lang w:val="en-GB"/>
        </w:rPr>
        <w:t>Experiencing increased levels of activity for which the income was part of the fixed block (see below) but against which additional costs had to be incurred</w:t>
      </w:r>
    </w:p>
    <w:p w14:paraId="0066D168" w14:textId="77777777" w:rsidR="005C3678" w:rsidRPr="00885B57" w:rsidRDefault="005C3678" w:rsidP="00E00F90">
      <w:pPr>
        <w:widowControl/>
        <w:numPr>
          <w:ilvl w:val="0"/>
          <w:numId w:val="30"/>
        </w:numPr>
        <w:spacing w:after="160" w:line="256" w:lineRule="auto"/>
        <w:ind w:left="426"/>
        <w:contextualSpacing/>
        <w:jc w:val="both"/>
        <w:rPr>
          <w:rFonts w:ascii="Arial" w:hAnsi="Arial" w:cs="Arial"/>
          <w:sz w:val="20"/>
          <w:szCs w:val="20"/>
          <w:lang w:val="en-GB"/>
        </w:rPr>
      </w:pPr>
      <w:r w:rsidRPr="00885B57">
        <w:rPr>
          <w:rFonts w:ascii="Arial" w:hAnsi="Arial" w:cs="Arial"/>
          <w:sz w:val="20"/>
          <w:szCs w:val="20"/>
          <w:lang w:val="en-GB"/>
        </w:rPr>
        <w:t>Patient acuity increases, requiring levels of enhanced care on the wards</w:t>
      </w:r>
    </w:p>
    <w:p w14:paraId="037C3F41" w14:textId="77777777" w:rsidR="005C3678" w:rsidRPr="00885B57" w:rsidRDefault="005C3678" w:rsidP="00E00F90">
      <w:pPr>
        <w:widowControl/>
        <w:numPr>
          <w:ilvl w:val="0"/>
          <w:numId w:val="30"/>
        </w:numPr>
        <w:spacing w:after="160" w:line="256" w:lineRule="auto"/>
        <w:ind w:left="426"/>
        <w:contextualSpacing/>
        <w:jc w:val="both"/>
        <w:rPr>
          <w:rFonts w:ascii="Arial" w:hAnsi="Arial" w:cs="Arial"/>
          <w:sz w:val="20"/>
          <w:szCs w:val="20"/>
          <w:lang w:val="en-GB"/>
        </w:rPr>
      </w:pPr>
      <w:r w:rsidRPr="00885B57">
        <w:rPr>
          <w:rFonts w:ascii="Arial" w:hAnsi="Arial" w:cs="Arial"/>
          <w:sz w:val="20"/>
          <w:szCs w:val="20"/>
          <w:lang w:val="en-GB"/>
        </w:rPr>
        <w:t>A shortfall in the funding to cover the costs of national pay awards</w:t>
      </w:r>
    </w:p>
    <w:p w14:paraId="50934421" w14:textId="77777777" w:rsidR="005C3678" w:rsidRPr="00885B57" w:rsidRDefault="005C3678" w:rsidP="00E00F90">
      <w:pPr>
        <w:widowControl/>
        <w:numPr>
          <w:ilvl w:val="0"/>
          <w:numId w:val="30"/>
        </w:numPr>
        <w:spacing w:after="160" w:line="256" w:lineRule="auto"/>
        <w:ind w:left="426"/>
        <w:contextualSpacing/>
        <w:jc w:val="both"/>
        <w:rPr>
          <w:rFonts w:ascii="Arial" w:hAnsi="Arial" w:cs="Arial"/>
          <w:sz w:val="20"/>
          <w:szCs w:val="20"/>
          <w:lang w:val="en-GB"/>
        </w:rPr>
      </w:pPr>
      <w:r w:rsidRPr="00885B57">
        <w:rPr>
          <w:rFonts w:ascii="Arial" w:hAnsi="Arial" w:cs="Arial"/>
          <w:sz w:val="20"/>
          <w:szCs w:val="20"/>
          <w:lang w:val="en-GB"/>
        </w:rPr>
        <w:t>A series of income and funding plans that did not materialise</w:t>
      </w:r>
    </w:p>
    <w:p w14:paraId="3CA991F2" w14:textId="77777777" w:rsidR="005C3678" w:rsidRPr="00885B57" w:rsidRDefault="005C3678" w:rsidP="005C3678">
      <w:pPr>
        <w:widowControl/>
        <w:spacing w:after="160" w:line="256" w:lineRule="auto"/>
        <w:contextualSpacing/>
        <w:jc w:val="both"/>
        <w:rPr>
          <w:rFonts w:ascii="Arial" w:hAnsi="Arial" w:cs="Arial"/>
          <w:sz w:val="20"/>
          <w:szCs w:val="20"/>
          <w:lang w:val="en-GB"/>
        </w:rPr>
      </w:pPr>
    </w:p>
    <w:p w14:paraId="5050D072" w14:textId="77777777" w:rsidR="005C3678" w:rsidRPr="00885B57" w:rsidRDefault="005C3678" w:rsidP="005C3678">
      <w:pPr>
        <w:widowControl/>
        <w:jc w:val="both"/>
        <w:rPr>
          <w:rFonts w:ascii="Arial" w:hAnsi="Arial" w:cs="Arial"/>
          <w:b/>
          <w:sz w:val="20"/>
          <w:szCs w:val="20"/>
          <w:lang w:val="en-GB"/>
        </w:rPr>
      </w:pPr>
      <w:r w:rsidRPr="00885B57">
        <w:rPr>
          <w:rFonts w:ascii="Arial" w:hAnsi="Arial" w:cs="Arial"/>
          <w:b/>
          <w:sz w:val="20"/>
          <w:szCs w:val="20"/>
          <w:lang w:val="en-GB"/>
        </w:rPr>
        <w:t>Income</w:t>
      </w:r>
    </w:p>
    <w:p w14:paraId="475995F5" w14:textId="77777777" w:rsidR="005C3678" w:rsidRPr="00885B57" w:rsidRDefault="005C3678" w:rsidP="005C3678">
      <w:pPr>
        <w:widowControl/>
        <w:jc w:val="both"/>
        <w:rPr>
          <w:rFonts w:ascii="Arial" w:hAnsi="Arial" w:cs="Arial"/>
          <w:sz w:val="20"/>
          <w:szCs w:val="20"/>
          <w:highlight w:val="yellow"/>
          <w:lang w:val="en-GB"/>
        </w:rPr>
      </w:pPr>
      <w:r w:rsidRPr="00885B57">
        <w:rPr>
          <w:rFonts w:ascii="Arial" w:hAnsi="Arial" w:cs="Arial"/>
          <w:sz w:val="20"/>
          <w:szCs w:val="20"/>
          <w:lang w:val="en-GB"/>
        </w:rPr>
        <w:t>The majority of the Trust’s income is directly related to patient care from commissioning organisations such as Integrated Care Boards and NHS England.  The contract in 2024/25 set a fixed income sum based on historically contracted levels, whilst elective activity was paid on a ‘cost and volume’ basis using the national tariff.  The Trust delivered over 15% more elective activity than the NHSE target, equating to a value of £11.4 million; however, this was marginally below (£1.7million) our own ambitious plans.</w:t>
      </w:r>
    </w:p>
    <w:p w14:paraId="52DAAB19" w14:textId="77777777" w:rsidR="005C3678" w:rsidRPr="00885B57" w:rsidRDefault="005C3678" w:rsidP="005C3678">
      <w:pPr>
        <w:widowControl/>
        <w:jc w:val="both"/>
        <w:rPr>
          <w:rFonts w:ascii="Arial" w:hAnsi="Arial" w:cs="Arial"/>
          <w:sz w:val="20"/>
          <w:szCs w:val="20"/>
          <w:lang w:val="en-GB"/>
        </w:rPr>
      </w:pPr>
    </w:p>
    <w:p w14:paraId="29E2C8C8" w14:textId="77777777" w:rsidR="005C3678" w:rsidRPr="00885B57" w:rsidRDefault="005C3678" w:rsidP="005C3678">
      <w:pPr>
        <w:widowControl/>
        <w:jc w:val="both"/>
        <w:rPr>
          <w:rFonts w:ascii="Arial" w:hAnsi="Arial" w:cs="Arial"/>
          <w:sz w:val="20"/>
          <w:szCs w:val="20"/>
          <w:lang w:val="en-GB"/>
        </w:rPr>
      </w:pPr>
      <w:r w:rsidRPr="00885B57">
        <w:rPr>
          <w:rFonts w:ascii="Arial" w:hAnsi="Arial" w:cs="Arial"/>
          <w:sz w:val="20"/>
          <w:szCs w:val="20"/>
          <w:lang w:val="en-GB"/>
        </w:rPr>
        <w:t>Other operating income included: education and training funding; non-patient care or ‘hosted’ services to other organisations; car parking income; research and development funding, and; charitable contributions to expenditure.</w:t>
      </w:r>
    </w:p>
    <w:p w14:paraId="7C3D6D4E" w14:textId="77777777" w:rsidR="005C3678" w:rsidRPr="00885B57" w:rsidRDefault="005C3678" w:rsidP="005C3678">
      <w:pPr>
        <w:widowControl/>
        <w:jc w:val="both"/>
        <w:rPr>
          <w:rFonts w:ascii="Arial" w:hAnsi="Arial" w:cs="Arial"/>
          <w:sz w:val="20"/>
          <w:szCs w:val="20"/>
          <w:lang w:val="en-GB"/>
        </w:rPr>
      </w:pPr>
    </w:p>
    <w:p w14:paraId="5B974292" w14:textId="77777777" w:rsidR="005C3678" w:rsidRPr="00885B57" w:rsidRDefault="005C3678" w:rsidP="005C3678">
      <w:pPr>
        <w:widowControl/>
        <w:jc w:val="both"/>
        <w:rPr>
          <w:rFonts w:ascii="Arial" w:hAnsi="Arial" w:cs="Arial"/>
          <w:b/>
          <w:sz w:val="20"/>
          <w:szCs w:val="20"/>
          <w:lang w:val="en-GB"/>
        </w:rPr>
      </w:pPr>
      <w:bookmarkStart w:id="6" w:name="_Hlk166572541"/>
      <w:r w:rsidRPr="00885B57">
        <w:rPr>
          <w:rFonts w:ascii="Arial" w:hAnsi="Arial" w:cs="Arial"/>
          <w:b/>
          <w:sz w:val="20"/>
          <w:szCs w:val="20"/>
          <w:lang w:val="en-GB"/>
        </w:rPr>
        <w:t xml:space="preserve">Expenditure </w:t>
      </w:r>
    </w:p>
    <w:p w14:paraId="54E1B0FB" w14:textId="77777777" w:rsidR="005C3678" w:rsidRPr="00885B57" w:rsidRDefault="005C3678" w:rsidP="005C3678">
      <w:pPr>
        <w:widowControl/>
        <w:jc w:val="both"/>
        <w:rPr>
          <w:rFonts w:ascii="Arial" w:hAnsi="Arial" w:cs="Arial"/>
          <w:sz w:val="20"/>
          <w:szCs w:val="20"/>
          <w:lang w:val="en-GB"/>
        </w:rPr>
      </w:pPr>
      <w:r w:rsidRPr="00885B57">
        <w:rPr>
          <w:rFonts w:ascii="Arial" w:hAnsi="Arial" w:cs="Arial"/>
          <w:sz w:val="20"/>
          <w:szCs w:val="20"/>
          <w:lang w:val="en-GB"/>
        </w:rPr>
        <w:t>In 2024/25 the Trust is reporting increased pay expenditure that was £34.3 million higher than 2023/24; these costs arose from: £18.6 million on pay awards; £7.1 million in respect of that part of the pension costs funded by NHSE (reflecting a rate increase from 6.3% to 9.4%); £4.7 million of Trust incurred pension and social security costs; £1.1 million in respect of pay arrears related to Clinical Support Worker re-banding; the balance reflects the overall increase in permanent staffing to fill vacancies and manage activity demands. These have been offset by a reduction in agency expenditure of £3.0 million compared to the prior year.  The indicators are that the Trust is minimising its use of agency staffing, which typically comes at a higher cost than substantive staffing, and has this well controlled.</w:t>
      </w:r>
    </w:p>
    <w:p w14:paraId="714F7422" w14:textId="77777777" w:rsidR="005C3678" w:rsidRPr="00885B57" w:rsidRDefault="005C3678" w:rsidP="005C3678">
      <w:pPr>
        <w:widowControl/>
        <w:jc w:val="both"/>
        <w:rPr>
          <w:rFonts w:ascii="Arial" w:hAnsi="Arial" w:cs="Arial"/>
          <w:sz w:val="20"/>
          <w:szCs w:val="20"/>
          <w:lang w:val="en-GB"/>
        </w:rPr>
      </w:pPr>
    </w:p>
    <w:p w14:paraId="10272C39" w14:textId="77777777" w:rsidR="005C3678" w:rsidRPr="00885B57" w:rsidRDefault="005C3678" w:rsidP="005C3678">
      <w:pPr>
        <w:widowControl/>
        <w:jc w:val="both"/>
        <w:rPr>
          <w:rFonts w:ascii="Arial" w:hAnsi="Arial" w:cs="Arial"/>
          <w:sz w:val="20"/>
          <w:szCs w:val="20"/>
          <w:lang w:val="en-GB"/>
        </w:rPr>
      </w:pPr>
      <w:r w:rsidRPr="00885B57">
        <w:rPr>
          <w:rFonts w:ascii="Arial" w:hAnsi="Arial" w:cs="Arial"/>
          <w:sz w:val="20"/>
          <w:szCs w:val="20"/>
          <w:lang w:val="en-GB"/>
        </w:rPr>
        <w:lastRenderedPageBreak/>
        <w:t xml:space="preserve">Non-pay has increased by £6.5 million when compared to 2023/24; this is generally as a result of activity driven costs pressures on drugs and clinical supplies, an uplift to the Clinical Negligence Scheme for Trusts premium and higher depreciation charges following the scale of recent investment, offset by reductions in services purchased from third parties and a reduction in utility supplies. </w:t>
      </w:r>
    </w:p>
    <w:bookmarkEnd w:id="6"/>
    <w:p w14:paraId="49D84187" w14:textId="77777777" w:rsidR="005C3678" w:rsidRPr="00885B57" w:rsidRDefault="005C3678" w:rsidP="005C3678">
      <w:pPr>
        <w:widowControl/>
        <w:jc w:val="both"/>
        <w:rPr>
          <w:rFonts w:ascii="Arial" w:hAnsi="Arial" w:cs="Arial"/>
          <w:b/>
          <w:sz w:val="20"/>
          <w:szCs w:val="20"/>
          <w:lang w:val="en-GB"/>
        </w:rPr>
      </w:pPr>
    </w:p>
    <w:p w14:paraId="0856A213" w14:textId="77777777" w:rsidR="005C3678" w:rsidRPr="00885B57" w:rsidRDefault="005C3678" w:rsidP="005C3678">
      <w:pPr>
        <w:widowControl/>
        <w:jc w:val="both"/>
        <w:rPr>
          <w:rFonts w:ascii="Arial" w:hAnsi="Arial" w:cs="Arial"/>
          <w:b/>
          <w:sz w:val="20"/>
          <w:szCs w:val="20"/>
          <w:lang w:val="en-GB"/>
        </w:rPr>
      </w:pPr>
      <w:r w:rsidRPr="00885B57">
        <w:rPr>
          <w:rFonts w:ascii="Arial" w:hAnsi="Arial" w:cs="Arial"/>
          <w:b/>
          <w:sz w:val="20"/>
          <w:szCs w:val="20"/>
          <w:lang w:val="en-GB"/>
        </w:rPr>
        <w:t>Capital Expenditure Plan</w:t>
      </w:r>
    </w:p>
    <w:p w14:paraId="7E94780F" w14:textId="77777777" w:rsidR="005C3678" w:rsidRPr="00885B57" w:rsidRDefault="005C3678" w:rsidP="005C3678">
      <w:pPr>
        <w:widowControl/>
        <w:jc w:val="both"/>
        <w:rPr>
          <w:rFonts w:ascii="Arial" w:hAnsi="Arial" w:cs="Arial"/>
          <w:sz w:val="20"/>
          <w:szCs w:val="20"/>
          <w:lang w:val="en-GB"/>
        </w:rPr>
      </w:pPr>
      <w:r w:rsidRPr="00885B57">
        <w:rPr>
          <w:rFonts w:ascii="Arial" w:hAnsi="Arial" w:cs="Arial"/>
          <w:sz w:val="20"/>
          <w:szCs w:val="20"/>
          <w:lang w:val="en-GB"/>
        </w:rPr>
        <w:t>During the year, the Trust has invested £25.9 million in capital schemes in the areas shown in the table below:</w:t>
      </w:r>
    </w:p>
    <w:tbl>
      <w:tblPr>
        <w:tblpPr w:leftFromText="180" w:rightFromText="180" w:bottomFromText="160" w:vertAnchor="text" w:horzAnchor="margin" w:tblpY="194"/>
        <w:tblW w:w="5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078"/>
        <w:gridCol w:w="1304"/>
      </w:tblGrid>
      <w:tr w:rsidR="005C3678" w:rsidRPr="00885B57" w14:paraId="3A2049C1" w14:textId="77777777" w:rsidTr="005C3678">
        <w:trPr>
          <w:trHeight w:val="312"/>
        </w:trPr>
        <w:tc>
          <w:tcPr>
            <w:tcW w:w="407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0CECA64" w14:textId="77777777" w:rsidR="005C3678" w:rsidRPr="00885B57" w:rsidRDefault="005C3678" w:rsidP="005C3678">
            <w:pPr>
              <w:widowControl/>
              <w:spacing w:line="256" w:lineRule="auto"/>
              <w:ind w:left="111"/>
              <w:jc w:val="both"/>
              <w:rPr>
                <w:rFonts w:ascii="Arial" w:hAnsi="Arial" w:cs="Arial"/>
                <w:color w:val="000000"/>
                <w:sz w:val="20"/>
                <w:szCs w:val="20"/>
                <w:lang w:val="en-GB" w:eastAsia="en-GB"/>
              </w:rPr>
            </w:pPr>
            <w:r w:rsidRPr="00885B57">
              <w:rPr>
                <w:rFonts w:ascii="Arial" w:hAnsi="Arial" w:cs="Arial"/>
                <w:color w:val="000000"/>
                <w:sz w:val="20"/>
                <w:szCs w:val="20"/>
                <w:lang w:val="en-GB" w:eastAsia="en-GB"/>
              </w:rPr>
              <w:t> </w:t>
            </w:r>
          </w:p>
        </w:tc>
        <w:tc>
          <w:tcPr>
            <w:tcW w:w="13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8372A62" w14:textId="77777777" w:rsidR="005C3678" w:rsidRPr="00885B57" w:rsidRDefault="005C3678" w:rsidP="005C3678">
            <w:pPr>
              <w:widowControl/>
              <w:spacing w:line="256" w:lineRule="auto"/>
              <w:jc w:val="both"/>
              <w:rPr>
                <w:rFonts w:ascii="Arial" w:hAnsi="Arial" w:cs="Arial"/>
                <w:b/>
                <w:bCs/>
                <w:color w:val="000000"/>
                <w:sz w:val="20"/>
                <w:szCs w:val="20"/>
                <w:lang w:val="en-GB" w:eastAsia="en-GB"/>
              </w:rPr>
            </w:pPr>
            <w:r w:rsidRPr="00885B57">
              <w:rPr>
                <w:rFonts w:ascii="Arial" w:hAnsi="Arial" w:cs="Arial"/>
                <w:b/>
                <w:bCs/>
                <w:color w:val="000000"/>
                <w:sz w:val="20"/>
                <w:szCs w:val="20"/>
                <w:lang w:val="en-GB" w:eastAsia="en-GB"/>
              </w:rPr>
              <w:t xml:space="preserve">Total in </w:t>
            </w:r>
          </w:p>
          <w:p w14:paraId="3761B317" w14:textId="77777777" w:rsidR="005C3678" w:rsidRPr="00885B57" w:rsidRDefault="005C3678" w:rsidP="005C3678">
            <w:pPr>
              <w:widowControl/>
              <w:spacing w:line="256" w:lineRule="auto"/>
              <w:jc w:val="both"/>
              <w:rPr>
                <w:rFonts w:ascii="Arial" w:hAnsi="Arial" w:cs="Arial"/>
                <w:b/>
                <w:bCs/>
                <w:color w:val="000000"/>
                <w:sz w:val="20"/>
                <w:szCs w:val="20"/>
                <w:lang w:val="en-GB" w:eastAsia="en-GB"/>
              </w:rPr>
            </w:pPr>
            <w:r w:rsidRPr="00885B57">
              <w:rPr>
                <w:rFonts w:ascii="Arial" w:hAnsi="Arial" w:cs="Arial"/>
                <w:b/>
                <w:bCs/>
                <w:color w:val="000000"/>
                <w:sz w:val="20"/>
                <w:szCs w:val="20"/>
                <w:lang w:val="en-GB" w:eastAsia="en-GB"/>
              </w:rPr>
              <w:t>£m</w:t>
            </w:r>
          </w:p>
        </w:tc>
      </w:tr>
      <w:tr w:rsidR="005C3678" w:rsidRPr="00885B57" w14:paraId="04747208" w14:textId="77777777" w:rsidTr="005C3678">
        <w:trPr>
          <w:trHeight w:val="222"/>
        </w:trPr>
        <w:tc>
          <w:tcPr>
            <w:tcW w:w="407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3BA4723" w14:textId="77777777" w:rsidR="005C3678" w:rsidRPr="00885B57" w:rsidRDefault="005C3678" w:rsidP="005C3678">
            <w:pPr>
              <w:widowControl/>
              <w:spacing w:line="256" w:lineRule="auto"/>
              <w:ind w:left="111"/>
              <w:jc w:val="both"/>
              <w:rPr>
                <w:rFonts w:ascii="Arial" w:hAnsi="Arial" w:cs="Arial"/>
                <w:color w:val="000000"/>
                <w:sz w:val="20"/>
                <w:szCs w:val="20"/>
                <w:lang w:val="en-GB" w:eastAsia="en-GB"/>
              </w:rPr>
            </w:pPr>
            <w:r w:rsidRPr="00885B57">
              <w:rPr>
                <w:rFonts w:ascii="Arial" w:hAnsi="Arial" w:cs="Arial"/>
                <w:color w:val="000000"/>
                <w:sz w:val="20"/>
                <w:szCs w:val="20"/>
                <w:lang w:val="en-GB" w:eastAsia="en-GB"/>
              </w:rPr>
              <w:t>Estates and Site infrastructure</w:t>
            </w:r>
          </w:p>
        </w:tc>
        <w:tc>
          <w:tcPr>
            <w:tcW w:w="130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C47AAE9" w14:textId="77777777" w:rsidR="005C3678" w:rsidRPr="00885B57" w:rsidRDefault="005C3678" w:rsidP="005C3678">
            <w:pPr>
              <w:widowControl/>
              <w:spacing w:line="256" w:lineRule="auto"/>
              <w:jc w:val="both"/>
              <w:rPr>
                <w:rFonts w:ascii="Arial" w:hAnsi="Arial" w:cs="Arial"/>
                <w:color w:val="000000"/>
                <w:sz w:val="20"/>
                <w:szCs w:val="20"/>
                <w:lang w:val="en-GB" w:eastAsia="en-GB"/>
              </w:rPr>
            </w:pPr>
            <w:r w:rsidRPr="00885B57">
              <w:rPr>
                <w:rFonts w:ascii="Arial" w:hAnsi="Arial" w:cs="Arial"/>
                <w:color w:val="000000"/>
                <w:sz w:val="20"/>
                <w:szCs w:val="20"/>
                <w:lang w:val="en-GB" w:eastAsia="en-GB"/>
              </w:rPr>
              <w:t>14.1</w:t>
            </w:r>
          </w:p>
        </w:tc>
      </w:tr>
      <w:tr w:rsidR="005C3678" w:rsidRPr="00885B57" w14:paraId="195734AC" w14:textId="77777777" w:rsidTr="005C3678">
        <w:trPr>
          <w:trHeight w:val="222"/>
        </w:trPr>
        <w:tc>
          <w:tcPr>
            <w:tcW w:w="407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2475807" w14:textId="77777777" w:rsidR="005C3678" w:rsidRPr="00885B57" w:rsidRDefault="005C3678" w:rsidP="005C3678">
            <w:pPr>
              <w:widowControl/>
              <w:spacing w:line="256" w:lineRule="auto"/>
              <w:ind w:left="111"/>
              <w:jc w:val="both"/>
              <w:rPr>
                <w:rFonts w:ascii="Arial" w:hAnsi="Arial" w:cs="Arial"/>
                <w:color w:val="000000"/>
                <w:sz w:val="20"/>
                <w:szCs w:val="20"/>
                <w:lang w:val="en-GB" w:eastAsia="en-GB"/>
              </w:rPr>
            </w:pPr>
            <w:r w:rsidRPr="00885B57">
              <w:rPr>
                <w:rFonts w:ascii="Arial" w:hAnsi="Arial" w:cs="Arial"/>
                <w:color w:val="000000"/>
                <w:sz w:val="20"/>
                <w:szCs w:val="20"/>
                <w:lang w:val="en-GB" w:eastAsia="en-GB"/>
              </w:rPr>
              <w:t>Fire Safety</w:t>
            </w:r>
          </w:p>
        </w:tc>
        <w:tc>
          <w:tcPr>
            <w:tcW w:w="130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608C416" w14:textId="77777777" w:rsidR="005C3678" w:rsidRPr="00885B57" w:rsidRDefault="005C3678" w:rsidP="005C3678">
            <w:pPr>
              <w:widowControl/>
              <w:spacing w:line="256" w:lineRule="auto"/>
              <w:jc w:val="both"/>
              <w:rPr>
                <w:rFonts w:ascii="Arial" w:hAnsi="Arial" w:cs="Arial"/>
                <w:color w:val="000000"/>
                <w:sz w:val="20"/>
                <w:szCs w:val="20"/>
                <w:lang w:val="en-GB" w:eastAsia="en-GB"/>
              </w:rPr>
            </w:pPr>
            <w:r w:rsidRPr="00885B57">
              <w:rPr>
                <w:rFonts w:ascii="Arial" w:hAnsi="Arial" w:cs="Arial"/>
                <w:color w:val="000000"/>
                <w:sz w:val="20"/>
                <w:szCs w:val="20"/>
                <w:lang w:val="en-GB" w:eastAsia="en-GB"/>
              </w:rPr>
              <w:t>2.8</w:t>
            </w:r>
          </w:p>
        </w:tc>
      </w:tr>
      <w:tr w:rsidR="005C3678" w:rsidRPr="00885B57" w14:paraId="666C8B68" w14:textId="77777777" w:rsidTr="005C3678">
        <w:trPr>
          <w:trHeight w:val="222"/>
        </w:trPr>
        <w:tc>
          <w:tcPr>
            <w:tcW w:w="407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18C6931" w14:textId="77777777" w:rsidR="005C3678" w:rsidRPr="00885B57" w:rsidRDefault="005C3678" w:rsidP="005C3678">
            <w:pPr>
              <w:widowControl/>
              <w:spacing w:line="256" w:lineRule="auto"/>
              <w:ind w:left="111"/>
              <w:jc w:val="both"/>
              <w:rPr>
                <w:rFonts w:ascii="Arial" w:hAnsi="Arial" w:cs="Arial"/>
                <w:color w:val="000000"/>
                <w:sz w:val="20"/>
                <w:szCs w:val="20"/>
                <w:lang w:val="en-GB" w:eastAsia="en-GB"/>
              </w:rPr>
            </w:pPr>
            <w:r w:rsidRPr="00885B57">
              <w:rPr>
                <w:rFonts w:ascii="Arial" w:hAnsi="Arial" w:cs="Arial"/>
                <w:color w:val="000000"/>
                <w:sz w:val="20"/>
                <w:szCs w:val="20"/>
                <w:lang w:val="en-GB" w:eastAsia="en-GB"/>
              </w:rPr>
              <w:t>IT</w:t>
            </w:r>
          </w:p>
        </w:tc>
        <w:tc>
          <w:tcPr>
            <w:tcW w:w="130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2AC48AA" w14:textId="77777777" w:rsidR="005C3678" w:rsidRPr="00885B57" w:rsidRDefault="005C3678" w:rsidP="005C3678">
            <w:pPr>
              <w:widowControl/>
              <w:spacing w:line="256" w:lineRule="auto"/>
              <w:jc w:val="both"/>
              <w:rPr>
                <w:rFonts w:ascii="Arial" w:hAnsi="Arial" w:cs="Arial"/>
                <w:color w:val="000000"/>
                <w:sz w:val="20"/>
                <w:szCs w:val="20"/>
                <w:lang w:val="en-GB" w:eastAsia="en-GB"/>
              </w:rPr>
            </w:pPr>
            <w:r w:rsidRPr="00885B57">
              <w:rPr>
                <w:rFonts w:ascii="Arial" w:hAnsi="Arial" w:cs="Arial"/>
                <w:color w:val="000000"/>
                <w:sz w:val="20"/>
                <w:szCs w:val="20"/>
                <w:lang w:val="en-GB" w:eastAsia="en-GB"/>
              </w:rPr>
              <w:t>5.1</w:t>
            </w:r>
          </w:p>
        </w:tc>
      </w:tr>
      <w:tr w:rsidR="005C3678" w:rsidRPr="00885B57" w14:paraId="59DC485F" w14:textId="77777777" w:rsidTr="005C3678">
        <w:trPr>
          <w:trHeight w:val="222"/>
        </w:trPr>
        <w:tc>
          <w:tcPr>
            <w:tcW w:w="407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D2CF2F7" w14:textId="77777777" w:rsidR="005C3678" w:rsidRPr="00885B57" w:rsidRDefault="005C3678" w:rsidP="005C3678">
            <w:pPr>
              <w:widowControl/>
              <w:spacing w:line="256" w:lineRule="auto"/>
              <w:ind w:left="111"/>
              <w:jc w:val="both"/>
              <w:rPr>
                <w:rFonts w:ascii="Arial" w:hAnsi="Arial" w:cs="Arial"/>
                <w:color w:val="000000"/>
                <w:sz w:val="20"/>
                <w:szCs w:val="20"/>
                <w:lang w:val="en-GB" w:eastAsia="en-GB"/>
              </w:rPr>
            </w:pPr>
            <w:r w:rsidRPr="00885B57">
              <w:rPr>
                <w:rFonts w:ascii="Arial" w:hAnsi="Arial" w:cs="Arial"/>
                <w:color w:val="000000"/>
                <w:sz w:val="20"/>
                <w:szCs w:val="20"/>
                <w:lang w:val="en-GB" w:eastAsia="en-GB"/>
              </w:rPr>
              <w:t>Equipment</w:t>
            </w:r>
          </w:p>
        </w:tc>
        <w:tc>
          <w:tcPr>
            <w:tcW w:w="130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071D3EE" w14:textId="77777777" w:rsidR="005C3678" w:rsidRPr="00885B57" w:rsidRDefault="005C3678" w:rsidP="005C3678">
            <w:pPr>
              <w:widowControl/>
              <w:spacing w:line="256" w:lineRule="auto"/>
              <w:jc w:val="both"/>
              <w:rPr>
                <w:rFonts w:ascii="Arial" w:hAnsi="Arial" w:cs="Arial"/>
                <w:color w:val="000000"/>
                <w:sz w:val="20"/>
                <w:szCs w:val="20"/>
                <w:lang w:val="en-GB" w:eastAsia="en-GB"/>
              </w:rPr>
            </w:pPr>
            <w:r w:rsidRPr="00885B57">
              <w:rPr>
                <w:rFonts w:ascii="Arial" w:hAnsi="Arial" w:cs="Arial"/>
                <w:color w:val="000000"/>
                <w:sz w:val="20"/>
                <w:szCs w:val="20"/>
                <w:lang w:val="en-GB" w:eastAsia="en-GB"/>
              </w:rPr>
              <w:t>3.9</w:t>
            </w:r>
          </w:p>
        </w:tc>
      </w:tr>
      <w:tr w:rsidR="005C3678" w:rsidRPr="00885B57" w14:paraId="53B534D1" w14:textId="77777777" w:rsidTr="005C3678">
        <w:trPr>
          <w:trHeight w:val="222"/>
        </w:trPr>
        <w:tc>
          <w:tcPr>
            <w:tcW w:w="407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2D1488A" w14:textId="77777777" w:rsidR="005C3678" w:rsidRPr="00885B57" w:rsidRDefault="005C3678" w:rsidP="005C3678">
            <w:pPr>
              <w:widowControl/>
              <w:spacing w:line="256" w:lineRule="auto"/>
              <w:ind w:left="111"/>
              <w:jc w:val="both"/>
              <w:rPr>
                <w:rFonts w:ascii="Arial" w:hAnsi="Arial" w:cs="Arial"/>
                <w:b/>
                <w:bCs/>
                <w:color w:val="000000"/>
                <w:sz w:val="20"/>
                <w:szCs w:val="20"/>
                <w:lang w:val="en-GB" w:eastAsia="en-GB"/>
              </w:rPr>
            </w:pPr>
            <w:r w:rsidRPr="00885B57">
              <w:rPr>
                <w:rFonts w:ascii="Arial" w:hAnsi="Arial" w:cs="Arial"/>
                <w:b/>
                <w:bCs/>
                <w:color w:val="000000"/>
                <w:sz w:val="20"/>
                <w:szCs w:val="20"/>
                <w:lang w:val="en-GB" w:eastAsia="en-GB"/>
              </w:rPr>
              <w:t>Total</w:t>
            </w:r>
          </w:p>
        </w:tc>
        <w:tc>
          <w:tcPr>
            <w:tcW w:w="130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1D8C2C7" w14:textId="77777777" w:rsidR="005C3678" w:rsidRPr="00885B57" w:rsidRDefault="005C3678" w:rsidP="005C3678">
            <w:pPr>
              <w:widowControl/>
              <w:spacing w:line="256" w:lineRule="auto"/>
              <w:jc w:val="both"/>
              <w:rPr>
                <w:rFonts w:ascii="Arial" w:hAnsi="Arial" w:cs="Arial"/>
                <w:b/>
                <w:bCs/>
                <w:color w:val="000000"/>
                <w:sz w:val="20"/>
                <w:szCs w:val="20"/>
                <w:lang w:val="en-GB" w:eastAsia="en-GB"/>
              </w:rPr>
            </w:pPr>
            <w:r w:rsidRPr="00885B57">
              <w:rPr>
                <w:rFonts w:ascii="Arial" w:hAnsi="Arial" w:cs="Arial"/>
                <w:b/>
                <w:bCs/>
                <w:color w:val="000000"/>
                <w:sz w:val="20"/>
                <w:szCs w:val="20"/>
                <w:lang w:val="en-GB" w:eastAsia="en-GB"/>
              </w:rPr>
              <w:t>25.9</w:t>
            </w:r>
          </w:p>
        </w:tc>
      </w:tr>
    </w:tbl>
    <w:p w14:paraId="69B81EAC" w14:textId="77777777" w:rsidR="005C3678" w:rsidRPr="00885B57" w:rsidRDefault="005C3678" w:rsidP="005C3678">
      <w:pPr>
        <w:widowControl/>
        <w:jc w:val="both"/>
        <w:rPr>
          <w:rFonts w:ascii="Arial" w:hAnsi="Arial" w:cs="Arial"/>
          <w:sz w:val="20"/>
          <w:szCs w:val="20"/>
          <w:highlight w:val="yellow"/>
          <w:lang w:val="en-GB"/>
        </w:rPr>
      </w:pPr>
    </w:p>
    <w:p w14:paraId="577DAA23" w14:textId="77777777" w:rsidR="005C3678" w:rsidRPr="00885B57" w:rsidRDefault="005C3678" w:rsidP="005C3678">
      <w:pPr>
        <w:widowControl/>
        <w:jc w:val="both"/>
        <w:rPr>
          <w:rFonts w:ascii="Arial" w:hAnsi="Arial" w:cs="Arial"/>
          <w:sz w:val="20"/>
          <w:szCs w:val="20"/>
          <w:lang w:val="en-GB"/>
        </w:rPr>
      </w:pPr>
    </w:p>
    <w:p w14:paraId="0AF4F203" w14:textId="77777777" w:rsidR="005C3678" w:rsidRPr="00885B57" w:rsidRDefault="005C3678" w:rsidP="005C3678">
      <w:pPr>
        <w:widowControl/>
        <w:jc w:val="both"/>
        <w:rPr>
          <w:rFonts w:ascii="Arial" w:hAnsi="Arial" w:cs="Arial"/>
          <w:sz w:val="20"/>
          <w:szCs w:val="20"/>
          <w:highlight w:val="yellow"/>
          <w:lang w:val="en-GB"/>
        </w:rPr>
      </w:pPr>
    </w:p>
    <w:p w14:paraId="71F502C7" w14:textId="77777777" w:rsidR="005C3678" w:rsidRPr="00885B57" w:rsidRDefault="005C3678" w:rsidP="005C3678">
      <w:pPr>
        <w:widowControl/>
        <w:jc w:val="both"/>
        <w:rPr>
          <w:rFonts w:ascii="Arial" w:hAnsi="Arial" w:cs="Arial"/>
          <w:sz w:val="20"/>
          <w:szCs w:val="20"/>
          <w:highlight w:val="yellow"/>
          <w:lang w:val="en-GB"/>
        </w:rPr>
      </w:pPr>
    </w:p>
    <w:p w14:paraId="5F787424" w14:textId="77777777" w:rsidR="005C3678" w:rsidRPr="00885B57" w:rsidRDefault="005C3678" w:rsidP="005C3678">
      <w:pPr>
        <w:widowControl/>
        <w:jc w:val="both"/>
        <w:rPr>
          <w:rFonts w:ascii="Arial" w:hAnsi="Arial" w:cs="Arial"/>
          <w:sz w:val="20"/>
          <w:szCs w:val="20"/>
          <w:highlight w:val="yellow"/>
          <w:lang w:val="en-GB"/>
        </w:rPr>
      </w:pPr>
    </w:p>
    <w:p w14:paraId="2B0C7FFE" w14:textId="77777777" w:rsidR="005C3678" w:rsidRPr="00885B57" w:rsidRDefault="005C3678" w:rsidP="005C3678">
      <w:pPr>
        <w:widowControl/>
        <w:jc w:val="both"/>
        <w:rPr>
          <w:rFonts w:ascii="Arial" w:hAnsi="Arial" w:cs="Arial"/>
          <w:sz w:val="20"/>
          <w:szCs w:val="20"/>
          <w:highlight w:val="yellow"/>
          <w:lang w:val="en-GB"/>
        </w:rPr>
      </w:pPr>
    </w:p>
    <w:p w14:paraId="1996F0DE" w14:textId="77777777" w:rsidR="005C3678" w:rsidRPr="00885B57" w:rsidRDefault="005C3678" w:rsidP="005C3678">
      <w:pPr>
        <w:widowControl/>
        <w:jc w:val="both"/>
        <w:rPr>
          <w:rFonts w:ascii="Arial" w:hAnsi="Arial" w:cs="Arial"/>
          <w:sz w:val="20"/>
          <w:szCs w:val="20"/>
          <w:highlight w:val="yellow"/>
          <w:lang w:val="en-GB"/>
        </w:rPr>
      </w:pPr>
    </w:p>
    <w:p w14:paraId="4EA333F6" w14:textId="77777777" w:rsidR="005C3678" w:rsidRPr="00885B57" w:rsidRDefault="005C3678" w:rsidP="005C3678">
      <w:pPr>
        <w:widowControl/>
        <w:jc w:val="both"/>
        <w:rPr>
          <w:rFonts w:ascii="Arial" w:hAnsi="Arial" w:cs="Arial"/>
          <w:sz w:val="20"/>
          <w:szCs w:val="20"/>
          <w:highlight w:val="yellow"/>
          <w:lang w:val="en-GB"/>
        </w:rPr>
      </w:pPr>
    </w:p>
    <w:p w14:paraId="660D50DD" w14:textId="77777777" w:rsidR="005C3678" w:rsidRPr="00885B57" w:rsidRDefault="005C3678" w:rsidP="005C3678">
      <w:pPr>
        <w:widowControl/>
        <w:jc w:val="both"/>
        <w:rPr>
          <w:rFonts w:ascii="Arial" w:hAnsi="Arial" w:cs="Arial"/>
          <w:sz w:val="20"/>
          <w:szCs w:val="20"/>
          <w:highlight w:val="yellow"/>
          <w:lang w:val="en-GB"/>
        </w:rPr>
      </w:pPr>
    </w:p>
    <w:p w14:paraId="27E408BA" w14:textId="77777777" w:rsidR="005C3678" w:rsidRPr="00885B57" w:rsidRDefault="005C3678" w:rsidP="005C3678">
      <w:pPr>
        <w:widowControl/>
        <w:jc w:val="both"/>
        <w:rPr>
          <w:rFonts w:ascii="Arial" w:hAnsi="Arial" w:cs="Arial"/>
          <w:sz w:val="20"/>
          <w:szCs w:val="20"/>
          <w:lang w:val="en-GB"/>
        </w:rPr>
      </w:pPr>
    </w:p>
    <w:p w14:paraId="722F8442" w14:textId="77777777" w:rsidR="005C3678" w:rsidRPr="00885B57" w:rsidRDefault="005C3678" w:rsidP="005C3678">
      <w:pPr>
        <w:widowControl/>
        <w:jc w:val="both"/>
        <w:rPr>
          <w:rFonts w:ascii="Arial" w:hAnsi="Arial" w:cs="Arial"/>
          <w:sz w:val="20"/>
          <w:szCs w:val="20"/>
          <w:lang w:val="en-GB"/>
        </w:rPr>
      </w:pPr>
      <w:r w:rsidRPr="00885B57">
        <w:rPr>
          <w:rFonts w:ascii="Arial" w:hAnsi="Arial" w:cs="Arial"/>
          <w:sz w:val="20"/>
          <w:szCs w:val="20"/>
          <w:lang w:val="en-GB"/>
        </w:rPr>
        <w:t>Some of the notable projects in the year have included:</w:t>
      </w:r>
    </w:p>
    <w:p w14:paraId="23F1DD20" w14:textId="77777777" w:rsidR="005C3678" w:rsidRPr="00885B57" w:rsidRDefault="005C3678" w:rsidP="00E00F90">
      <w:pPr>
        <w:widowControl/>
        <w:numPr>
          <w:ilvl w:val="0"/>
          <w:numId w:val="30"/>
        </w:numPr>
        <w:spacing w:after="160" w:line="256" w:lineRule="auto"/>
        <w:ind w:left="426"/>
        <w:contextualSpacing/>
        <w:jc w:val="both"/>
        <w:rPr>
          <w:rFonts w:ascii="Arial" w:hAnsi="Arial" w:cs="Arial"/>
          <w:sz w:val="20"/>
          <w:szCs w:val="20"/>
          <w:lang w:val="en-GB"/>
        </w:rPr>
      </w:pPr>
      <w:r w:rsidRPr="00885B57">
        <w:rPr>
          <w:rFonts w:ascii="Arial" w:hAnsi="Arial" w:cs="Arial"/>
          <w:sz w:val="20"/>
          <w:szCs w:val="20"/>
          <w:lang w:val="en-GB"/>
        </w:rPr>
        <w:t>Decarbonisation works on the Trust estate to work towards net zero</w:t>
      </w:r>
    </w:p>
    <w:p w14:paraId="10BCE5ED" w14:textId="77777777" w:rsidR="005C3678" w:rsidRPr="00885B57" w:rsidRDefault="005C3678" w:rsidP="00E00F90">
      <w:pPr>
        <w:widowControl/>
        <w:numPr>
          <w:ilvl w:val="0"/>
          <w:numId w:val="30"/>
        </w:numPr>
        <w:spacing w:after="160" w:line="256" w:lineRule="auto"/>
        <w:ind w:left="426"/>
        <w:contextualSpacing/>
        <w:jc w:val="both"/>
        <w:rPr>
          <w:rFonts w:ascii="Arial" w:hAnsi="Arial" w:cs="Arial"/>
          <w:sz w:val="20"/>
          <w:szCs w:val="20"/>
          <w:lang w:val="en-GB"/>
        </w:rPr>
      </w:pPr>
      <w:r w:rsidRPr="00885B57">
        <w:rPr>
          <w:rFonts w:ascii="Arial" w:hAnsi="Arial" w:cs="Arial"/>
          <w:sz w:val="20"/>
          <w:szCs w:val="20"/>
          <w:lang w:val="en-GB"/>
        </w:rPr>
        <w:t>Development of community diagnostics hubs in Sheppey and Rochester, due to complete in 2025/26</w:t>
      </w:r>
    </w:p>
    <w:p w14:paraId="39CD6BA5" w14:textId="77777777" w:rsidR="005C3678" w:rsidRPr="00885B57" w:rsidRDefault="005C3678" w:rsidP="00E00F90">
      <w:pPr>
        <w:widowControl/>
        <w:numPr>
          <w:ilvl w:val="0"/>
          <w:numId w:val="30"/>
        </w:numPr>
        <w:spacing w:after="160" w:line="256" w:lineRule="auto"/>
        <w:ind w:left="426"/>
        <w:contextualSpacing/>
        <w:jc w:val="both"/>
        <w:rPr>
          <w:rFonts w:ascii="Arial" w:hAnsi="Arial" w:cs="Arial"/>
          <w:sz w:val="20"/>
          <w:szCs w:val="20"/>
          <w:lang w:val="en-GB"/>
        </w:rPr>
      </w:pPr>
      <w:r w:rsidRPr="00885B57">
        <w:rPr>
          <w:rFonts w:ascii="Arial" w:hAnsi="Arial" w:cs="Arial"/>
          <w:sz w:val="20"/>
          <w:szCs w:val="20"/>
          <w:lang w:val="en-GB"/>
        </w:rPr>
        <w:t>Continuing implementation of an electronic patient records system</w:t>
      </w:r>
    </w:p>
    <w:p w14:paraId="18A77BC6" w14:textId="77777777" w:rsidR="005C3678" w:rsidRPr="00885B57" w:rsidRDefault="005C3678" w:rsidP="00E00F90">
      <w:pPr>
        <w:widowControl/>
        <w:numPr>
          <w:ilvl w:val="0"/>
          <w:numId w:val="30"/>
        </w:numPr>
        <w:spacing w:after="160" w:line="256" w:lineRule="auto"/>
        <w:ind w:left="426"/>
        <w:contextualSpacing/>
        <w:jc w:val="both"/>
        <w:rPr>
          <w:rFonts w:ascii="Arial" w:hAnsi="Arial" w:cs="Arial"/>
          <w:sz w:val="20"/>
          <w:szCs w:val="20"/>
          <w:lang w:val="en-GB"/>
        </w:rPr>
      </w:pPr>
      <w:r w:rsidRPr="00885B57">
        <w:rPr>
          <w:rFonts w:ascii="Arial" w:hAnsi="Arial" w:cs="Arial"/>
          <w:sz w:val="20"/>
          <w:szCs w:val="20"/>
          <w:lang w:val="en-GB"/>
        </w:rPr>
        <w:t>Ward refurbishments</w:t>
      </w:r>
    </w:p>
    <w:p w14:paraId="6C4424CE" w14:textId="77777777" w:rsidR="005C3678" w:rsidRPr="00885B57" w:rsidRDefault="005C3678" w:rsidP="00E00F90">
      <w:pPr>
        <w:widowControl/>
        <w:numPr>
          <w:ilvl w:val="0"/>
          <w:numId w:val="30"/>
        </w:numPr>
        <w:spacing w:after="160" w:line="256" w:lineRule="auto"/>
        <w:ind w:left="426"/>
        <w:contextualSpacing/>
        <w:jc w:val="both"/>
        <w:rPr>
          <w:rFonts w:ascii="Arial" w:hAnsi="Arial" w:cs="Arial"/>
          <w:sz w:val="20"/>
          <w:szCs w:val="20"/>
          <w:lang w:val="en-GB"/>
        </w:rPr>
      </w:pPr>
      <w:r w:rsidRPr="00885B57">
        <w:rPr>
          <w:rFonts w:ascii="Arial" w:hAnsi="Arial" w:cs="Arial"/>
          <w:sz w:val="20"/>
          <w:szCs w:val="20"/>
          <w:lang w:val="en-GB"/>
        </w:rPr>
        <w:t>Replacement of aged imaging equipment and other medical devices</w:t>
      </w:r>
    </w:p>
    <w:p w14:paraId="0D44F6CA" w14:textId="77777777" w:rsidR="005C3678" w:rsidRPr="00885B57" w:rsidRDefault="005C3678" w:rsidP="00E00F90">
      <w:pPr>
        <w:widowControl/>
        <w:numPr>
          <w:ilvl w:val="0"/>
          <w:numId w:val="30"/>
        </w:numPr>
        <w:spacing w:after="160" w:line="256" w:lineRule="auto"/>
        <w:ind w:left="426"/>
        <w:contextualSpacing/>
        <w:jc w:val="both"/>
        <w:rPr>
          <w:rFonts w:ascii="Arial" w:hAnsi="Arial" w:cs="Arial"/>
          <w:sz w:val="20"/>
          <w:szCs w:val="20"/>
          <w:lang w:val="en-GB"/>
        </w:rPr>
      </w:pPr>
      <w:r w:rsidRPr="00885B57">
        <w:rPr>
          <w:rFonts w:ascii="Arial" w:hAnsi="Arial" w:cs="Arial"/>
          <w:sz w:val="20"/>
          <w:szCs w:val="20"/>
          <w:lang w:val="en-GB"/>
        </w:rPr>
        <w:t>Fire safety works</w:t>
      </w:r>
    </w:p>
    <w:p w14:paraId="29BC51EA" w14:textId="77777777" w:rsidR="005C3678" w:rsidRPr="00885B57" w:rsidRDefault="005C3678" w:rsidP="005C3678">
      <w:pPr>
        <w:widowControl/>
        <w:jc w:val="both"/>
        <w:rPr>
          <w:rFonts w:ascii="Arial" w:hAnsi="Arial" w:cs="Arial"/>
          <w:sz w:val="20"/>
          <w:szCs w:val="20"/>
          <w:u w:val="single"/>
          <w:lang w:val="en-GB"/>
        </w:rPr>
      </w:pPr>
    </w:p>
    <w:p w14:paraId="389F5021" w14:textId="77777777" w:rsidR="005C3678" w:rsidRPr="00885B57" w:rsidRDefault="005C3678" w:rsidP="005C3678">
      <w:pPr>
        <w:widowControl/>
        <w:jc w:val="both"/>
        <w:rPr>
          <w:rFonts w:ascii="Arial" w:hAnsi="Arial" w:cs="Arial"/>
          <w:b/>
          <w:sz w:val="20"/>
          <w:szCs w:val="20"/>
          <w:lang w:val="en-GB"/>
        </w:rPr>
      </w:pPr>
      <w:r w:rsidRPr="00885B57">
        <w:rPr>
          <w:rFonts w:ascii="Arial" w:hAnsi="Arial" w:cs="Arial"/>
          <w:b/>
          <w:sz w:val="20"/>
          <w:szCs w:val="20"/>
          <w:lang w:val="en-GB"/>
        </w:rPr>
        <w:t>Cash Flow and Balance Sheet</w:t>
      </w:r>
    </w:p>
    <w:p w14:paraId="52D1DED3" w14:textId="77777777" w:rsidR="005C3678" w:rsidRPr="00885B57" w:rsidRDefault="005C3678" w:rsidP="005C3678">
      <w:pPr>
        <w:widowControl/>
        <w:jc w:val="both"/>
        <w:rPr>
          <w:rFonts w:ascii="Arial" w:hAnsi="Arial" w:cs="Arial"/>
          <w:sz w:val="20"/>
          <w:szCs w:val="20"/>
          <w:highlight w:val="yellow"/>
          <w:lang w:val="en-GB"/>
        </w:rPr>
      </w:pPr>
      <w:r w:rsidRPr="00885B57">
        <w:rPr>
          <w:rFonts w:ascii="Arial" w:hAnsi="Arial" w:cs="Arial"/>
          <w:sz w:val="20"/>
          <w:szCs w:val="20"/>
          <w:lang w:val="en-GB"/>
        </w:rPr>
        <w:t>The balance sheet shows £282.3 million of net assets at the end of the year, up from £275.6 million of net assets at previous year end.  This arises principally from the capital investment noted above.</w:t>
      </w:r>
    </w:p>
    <w:p w14:paraId="585E2083" w14:textId="77777777" w:rsidR="005C3678" w:rsidRPr="00885B57" w:rsidRDefault="005C3678" w:rsidP="005C3678">
      <w:pPr>
        <w:widowControl/>
        <w:jc w:val="both"/>
        <w:rPr>
          <w:rFonts w:ascii="Arial" w:hAnsi="Arial" w:cs="Arial"/>
          <w:sz w:val="20"/>
          <w:szCs w:val="20"/>
          <w:highlight w:val="yellow"/>
          <w:lang w:val="en-GB"/>
        </w:rPr>
      </w:pPr>
    </w:p>
    <w:p w14:paraId="2E1235F4" w14:textId="77777777" w:rsidR="005C3678" w:rsidRPr="00885B57" w:rsidRDefault="005C3678" w:rsidP="005C3678">
      <w:pPr>
        <w:widowControl/>
        <w:jc w:val="both"/>
        <w:rPr>
          <w:rFonts w:ascii="Arial" w:hAnsi="Arial" w:cs="Arial"/>
          <w:sz w:val="20"/>
          <w:szCs w:val="20"/>
          <w:lang w:val="en-GB"/>
        </w:rPr>
      </w:pPr>
      <w:r w:rsidRPr="00885B57">
        <w:rPr>
          <w:rFonts w:ascii="Arial" w:hAnsi="Arial" w:cs="Arial"/>
          <w:sz w:val="20"/>
          <w:szCs w:val="20"/>
          <w:lang w:val="en-GB"/>
        </w:rPr>
        <w:t>The Trust ended the year with £13.3 million cash in the bank; this is lower than originally planned due to the £20.0 million adverse performance to plan.  The Trust received deficit cash support funding of £16.4 million during the year in order to meet its obligations.  There is a risk that the Trust will require further cash support in 2025/26 as a result of the planned deficit and significant efficiency programme - see below for further information.</w:t>
      </w:r>
    </w:p>
    <w:p w14:paraId="0BACAEDB" w14:textId="77777777" w:rsidR="005C3678" w:rsidRPr="00885B57" w:rsidRDefault="005C3678" w:rsidP="005C3678">
      <w:pPr>
        <w:widowControl/>
        <w:jc w:val="both"/>
        <w:rPr>
          <w:rFonts w:ascii="Arial" w:hAnsi="Arial" w:cs="Arial"/>
          <w:sz w:val="20"/>
          <w:szCs w:val="20"/>
          <w:lang w:val="en-GB"/>
        </w:rPr>
      </w:pPr>
    </w:p>
    <w:p w14:paraId="7ABCB988" w14:textId="77777777" w:rsidR="005C3678" w:rsidRPr="00885B57" w:rsidRDefault="005C3678" w:rsidP="005C3678">
      <w:pPr>
        <w:widowControl/>
        <w:jc w:val="both"/>
        <w:rPr>
          <w:rFonts w:ascii="Arial" w:hAnsi="Arial" w:cs="Arial"/>
          <w:b/>
          <w:sz w:val="20"/>
          <w:szCs w:val="20"/>
          <w:lang w:val="en-GB"/>
        </w:rPr>
      </w:pPr>
      <w:r w:rsidRPr="00885B57">
        <w:rPr>
          <w:rFonts w:ascii="Arial" w:hAnsi="Arial" w:cs="Arial"/>
          <w:b/>
          <w:sz w:val="20"/>
          <w:szCs w:val="20"/>
          <w:lang w:val="en-GB"/>
        </w:rPr>
        <w:t>Financial Outlook</w:t>
      </w:r>
    </w:p>
    <w:p w14:paraId="35269C87" w14:textId="77777777" w:rsidR="005C3678" w:rsidRPr="00885B57" w:rsidRDefault="005C3678" w:rsidP="005C3678">
      <w:pPr>
        <w:widowControl/>
        <w:jc w:val="both"/>
        <w:rPr>
          <w:rFonts w:ascii="Arial" w:hAnsi="Arial" w:cs="Arial"/>
          <w:sz w:val="20"/>
          <w:szCs w:val="20"/>
          <w:lang w:val="en-GB"/>
        </w:rPr>
      </w:pPr>
      <w:r w:rsidRPr="00885B57">
        <w:rPr>
          <w:rFonts w:ascii="Arial" w:hAnsi="Arial" w:cs="Arial"/>
          <w:sz w:val="20"/>
          <w:szCs w:val="20"/>
          <w:lang w:val="en-GB"/>
        </w:rPr>
        <w:t xml:space="preserve">2025/26 will be another challenging year for the Trust and the wider NHS in general.  The Trust has submitted a deficit control total plan for the year of £15.5 million; this arises as a consequence of the continuation of those 2024/25 cost pressures, together with emerging pressures for 2025/26 such as a £6.7m / 36% increase to our Clinical Negligence Scheme for Trust insurance premium.  </w:t>
      </w:r>
    </w:p>
    <w:p w14:paraId="254FC647" w14:textId="77777777" w:rsidR="005C3678" w:rsidRPr="00885B57" w:rsidRDefault="005C3678" w:rsidP="005C3678">
      <w:pPr>
        <w:widowControl/>
        <w:jc w:val="both"/>
        <w:rPr>
          <w:rFonts w:ascii="Arial" w:hAnsi="Arial" w:cs="Arial"/>
          <w:sz w:val="20"/>
          <w:szCs w:val="20"/>
          <w:lang w:val="en-GB"/>
        </w:rPr>
      </w:pPr>
    </w:p>
    <w:p w14:paraId="00766677" w14:textId="77777777" w:rsidR="005C3678" w:rsidRPr="00885B57" w:rsidRDefault="005C3678" w:rsidP="005C3678">
      <w:pPr>
        <w:widowControl/>
        <w:jc w:val="both"/>
        <w:rPr>
          <w:rFonts w:ascii="Arial" w:hAnsi="Arial" w:cs="Arial"/>
          <w:sz w:val="20"/>
          <w:szCs w:val="20"/>
          <w:lang w:val="en-GB"/>
        </w:rPr>
      </w:pPr>
      <w:r w:rsidRPr="00885B57">
        <w:rPr>
          <w:rFonts w:ascii="Arial" w:hAnsi="Arial" w:cs="Arial"/>
          <w:sz w:val="20"/>
          <w:szCs w:val="20"/>
          <w:lang w:val="en-GB"/>
        </w:rPr>
        <w:t>There are a number of key risks to the overall 2025/26 plan, each of which are high on the agenda of the Board.  Specifically:</w:t>
      </w:r>
    </w:p>
    <w:p w14:paraId="5945A072" w14:textId="77777777" w:rsidR="005C3678" w:rsidRPr="00885B57" w:rsidRDefault="005C3678" w:rsidP="00E00F90">
      <w:pPr>
        <w:widowControl/>
        <w:numPr>
          <w:ilvl w:val="0"/>
          <w:numId w:val="30"/>
        </w:numPr>
        <w:spacing w:after="160" w:line="256" w:lineRule="auto"/>
        <w:ind w:left="426"/>
        <w:contextualSpacing/>
        <w:jc w:val="both"/>
        <w:rPr>
          <w:rFonts w:ascii="Arial" w:hAnsi="Arial" w:cs="Arial"/>
          <w:sz w:val="20"/>
          <w:szCs w:val="20"/>
          <w:lang w:val="en-GB"/>
        </w:rPr>
      </w:pPr>
      <w:r w:rsidRPr="00885B57">
        <w:rPr>
          <w:rFonts w:ascii="Arial" w:hAnsi="Arial" w:cs="Arial"/>
          <w:sz w:val="20"/>
          <w:szCs w:val="20"/>
          <w:lang w:val="en-GB"/>
        </w:rPr>
        <w:t>Delivery of activity in a capacity constrained hospital</w:t>
      </w:r>
    </w:p>
    <w:p w14:paraId="5F291E9D" w14:textId="77777777" w:rsidR="005C3678" w:rsidRPr="00885B57" w:rsidRDefault="005C3678" w:rsidP="00E00F90">
      <w:pPr>
        <w:widowControl/>
        <w:numPr>
          <w:ilvl w:val="0"/>
          <w:numId w:val="30"/>
        </w:numPr>
        <w:spacing w:after="160" w:line="256" w:lineRule="auto"/>
        <w:ind w:left="426"/>
        <w:contextualSpacing/>
        <w:jc w:val="both"/>
        <w:rPr>
          <w:rFonts w:ascii="Arial" w:hAnsi="Arial" w:cs="Arial"/>
          <w:sz w:val="20"/>
          <w:szCs w:val="20"/>
          <w:lang w:val="en-GB"/>
        </w:rPr>
      </w:pPr>
      <w:r w:rsidRPr="00885B57">
        <w:rPr>
          <w:rFonts w:ascii="Arial" w:hAnsi="Arial" w:cs="Arial"/>
          <w:sz w:val="20"/>
          <w:szCs w:val="20"/>
          <w:lang w:val="en-GB"/>
        </w:rPr>
        <w:t>Mitigation of cost pressures, including inflationary costs over and above tariff</w:t>
      </w:r>
    </w:p>
    <w:p w14:paraId="4788533D" w14:textId="77777777" w:rsidR="005C3678" w:rsidRPr="00885B57" w:rsidRDefault="005C3678" w:rsidP="00E00F90">
      <w:pPr>
        <w:widowControl/>
        <w:numPr>
          <w:ilvl w:val="0"/>
          <w:numId w:val="30"/>
        </w:numPr>
        <w:spacing w:after="160" w:line="256" w:lineRule="auto"/>
        <w:ind w:left="426"/>
        <w:contextualSpacing/>
        <w:jc w:val="both"/>
        <w:rPr>
          <w:rFonts w:ascii="Arial" w:hAnsi="Arial" w:cs="Arial"/>
          <w:sz w:val="20"/>
          <w:szCs w:val="20"/>
          <w:lang w:val="en-GB"/>
        </w:rPr>
      </w:pPr>
      <w:r w:rsidRPr="00885B57">
        <w:rPr>
          <w:rFonts w:ascii="Arial" w:hAnsi="Arial" w:cs="Arial"/>
          <w:sz w:val="20"/>
          <w:szCs w:val="20"/>
          <w:lang w:val="en-GB"/>
        </w:rPr>
        <w:t>Delivery of a £27.2m / 5.0% internal efficiency programme together with a £14.8m system efficiency plan - £42.0m / 7.4% in total - ensuring no compromise on quality</w:t>
      </w:r>
    </w:p>
    <w:p w14:paraId="53EE1BB5" w14:textId="77777777" w:rsidR="005C3678" w:rsidRPr="00885B57" w:rsidRDefault="005C3678" w:rsidP="00E00F90">
      <w:pPr>
        <w:widowControl/>
        <w:numPr>
          <w:ilvl w:val="0"/>
          <w:numId w:val="30"/>
        </w:numPr>
        <w:spacing w:after="160" w:line="256" w:lineRule="auto"/>
        <w:ind w:left="426"/>
        <w:contextualSpacing/>
        <w:jc w:val="both"/>
        <w:rPr>
          <w:rFonts w:ascii="Arial" w:hAnsi="Arial" w:cs="Arial"/>
          <w:sz w:val="20"/>
          <w:szCs w:val="20"/>
          <w:lang w:val="en-GB"/>
        </w:rPr>
      </w:pPr>
      <w:r w:rsidRPr="00885B57">
        <w:rPr>
          <w:rFonts w:ascii="Arial" w:hAnsi="Arial" w:cs="Arial"/>
          <w:sz w:val="20"/>
          <w:szCs w:val="20"/>
          <w:lang w:val="en-GB"/>
        </w:rPr>
        <w:t>Managing investments to a tight capital programme</w:t>
      </w:r>
    </w:p>
    <w:p w14:paraId="70A9D2B5" w14:textId="77777777" w:rsidR="005C3678" w:rsidRPr="00885B57" w:rsidRDefault="005C3678" w:rsidP="005C3678">
      <w:pPr>
        <w:widowControl/>
        <w:spacing w:after="160" w:line="256" w:lineRule="auto"/>
        <w:contextualSpacing/>
        <w:jc w:val="both"/>
        <w:rPr>
          <w:rFonts w:ascii="Arial" w:hAnsi="Arial" w:cs="Arial"/>
          <w:sz w:val="20"/>
          <w:szCs w:val="20"/>
          <w:lang w:val="en-GB"/>
        </w:rPr>
      </w:pPr>
    </w:p>
    <w:p w14:paraId="3E054F6F" w14:textId="77777777" w:rsidR="005C3678" w:rsidRPr="00885B57" w:rsidRDefault="005C3678" w:rsidP="005C3678">
      <w:pPr>
        <w:widowControl/>
        <w:spacing w:after="160" w:line="256" w:lineRule="auto"/>
        <w:contextualSpacing/>
        <w:jc w:val="both"/>
        <w:rPr>
          <w:rFonts w:ascii="Arial" w:hAnsi="Arial" w:cs="Arial"/>
          <w:sz w:val="20"/>
          <w:szCs w:val="20"/>
          <w:lang w:val="en-GB"/>
        </w:rPr>
      </w:pPr>
      <w:r w:rsidRPr="00885B57">
        <w:rPr>
          <w:rFonts w:ascii="Arial" w:hAnsi="Arial" w:cs="Arial"/>
          <w:sz w:val="20"/>
          <w:szCs w:val="20"/>
          <w:lang w:val="en-GB"/>
        </w:rPr>
        <w:t>Based on cash flow projections, and subject to sufficient mitigations of the risks above, the Trust anticipates it may need cash support during 2025/26.  Without sufficient cash reserves the Trust would not be able to pay its staff, its suppliers or meet other liability obligations; this could ultimately affect the availability of human and consumable resources and equipment, with potential impacts thereafter on patient care.  We are liaising with our system partners and NHSE to mitigate these risks.</w:t>
      </w:r>
    </w:p>
    <w:p w14:paraId="6CC51B88" w14:textId="77777777" w:rsidR="005C3678" w:rsidRPr="00885B57" w:rsidRDefault="005C3678" w:rsidP="005C3678">
      <w:pPr>
        <w:widowControl/>
        <w:spacing w:after="160" w:line="256" w:lineRule="auto"/>
        <w:contextualSpacing/>
        <w:jc w:val="both"/>
        <w:rPr>
          <w:rFonts w:ascii="Arial" w:hAnsi="Arial" w:cs="Arial"/>
          <w:sz w:val="20"/>
          <w:szCs w:val="20"/>
          <w:lang w:val="en-GB"/>
        </w:rPr>
      </w:pPr>
    </w:p>
    <w:p w14:paraId="60BE11D0" w14:textId="77777777" w:rsidR="005C3678" w:rsidRPr="00885B57" w:rsidRDefault="005C3678" w:rsidP="005C3678">
      <w:pPr>
        <w:widowControl/>
        <w:spacing w:after="160" w:line="256" w:lineRule="auto"/>
        <w:contextualSpacing/>
        <w:jc w:val="both"/>
        <w:rPr>
          <w:rFonts w:ascii="Arial" w:hAnsi="Arial" w:cs="Arial"/>
          <w:sz w:val="20"/>
          <w:szCs w:val="20"/>
          <w:lang w:val="en-GB"/>
        </w:rPr>
      </w:pPr>
      <w:r w:rsidRPr="00885B57">
        <w:rPr>
          <w:rFonts w:ascii="Arial" w:hAnsi="Arial" w:cs="Arial"/>
          <w:sz w:val="20"/>
          <w:szCs w:val="20"/>
          <w:lang w:val="en-GB"/>
        </w:rPr>
        <w:lastRenderedPageBreak/>
        <w:t xml:space="preserve">Nationally collected data has shown that in recent years the Trust had improved its efficiency position relative to other Trusts across the country.  The most recent data available (for 2023/24) indicates that Trust cost per unit of activity has increased but that this is now at the national median.  This is represented by the charts below. </w:t>
      </w:r>
    </w:p>
    <w:p w14:paraId="76BE377E" w14:textId="77777777" w:rsidR="005C3678" w:rsidRPr="00885B57" w:rsidRDefault="00BB1165" w:rsidP="005C3678">
      <w:pPr>
        <w:widowControl/>
        <w:spacing w:after="160" w:line="256" w:lineRule="auto"/>
        <w:contextualSpacing/>
        <w:jc w:val="both"/>
        <w:rPr>
          <w:rFonts w:ascii="Arial" w:hAnsi="Arial" w:cs="Arial"/>
          <w:sz w:val="20"/>
          <w:szCs w:val="20"/>
          <w:lang w:val="en-GB"/>
        </w:rPr>
      </w:pPr>
      <w:r w:rsidRPr="00885B57">
        <w:rPr>
          <w:noProof/>
          <w:sz w:val="20"/>
          <w:szCs w:val="20"/>
        </w:rPr>
        <w:drawing>
          <wp:anchor distT="0" distB="0" distL="114300" distR="114300" simplePos="0" relativeHeight="251800576" behindDoc="0" locked="0" layoutInCell="1" allowOverlap="1" wp14:anchorId="6D64A324" wp14:editId="48D397A2">
            <wp:simplePos x="0" y="0"/>
            <wp:positionH relativeFrom="column">
              <wp:posOffset>-806823</wp:posOffset>
            </wp:positionH>
            <wp:positionV relativeFrom="page">
              <wp:posOffset>1591310</wp:posOffset>
            </wp:positionV>
            <wp:extent cx="7365365" cy="2696210"/>
            <wp:effectExtent l="0" t="0" r="6985" b="8890"/>
            <wp:wrapNone/>
            <wp:docPr id="1556758567" name="Picture 1556758567" descr="This is a chart displaying Nationally collected data has shown that in recent years the Trust had improved its efficiency position relative to other Trusts across the country.  The most recent data available (for 2023/24) indicates that Trust cost per unit of activity has increased but that this is now at the national medi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365365" cy="2696210"/>
                    </a:xfrm>
                    <a:prstGeom prst="rect">
                      <a:avLst/>
                    </a:prstGeom>
                    <a:noFill/>
                    <a:ln>
                      <a:noFill/>
                    </a:ln>
                  </pic:spPr>
                </pic:pic>
              </a:graphicData>
            </a:graphic>
            <wp14:sizeRelH relativeFrom="page">
              <wp14:pctWidth>0</wp14:pctWidth>
            </wp14:sizeRelH>
            <wp14:sizeRelV relativeFrom="page">
              <wp14:pctHeight>0</wp14:pctHeight>
            </wp14:sizeRelV>
          </wp:anchor>
        </w:drawing>
      </w:r>
      <w:r w:rsidR="005C3678" w:rsidRPr="00885B57">
        <w:rPr>
          <w:rFonts w:ascii="Arial" w:hAnsi="Arial" w:cs="Arial"/>
          <w:sz w:val="20"/>
          <w:szCs w:val="20"/>
          <w:lang w:val="en-GB"/>
        </w:rPr>
        <w:t xml:space="preserve"> </w:t>
      </w:r>
    </w:p>
    <w:p w14:paraId="7A63E24B" w14:textId="77777777" w:rsidR="005C3678" w:rsidRPr="00885B57" w:rsidRDefault="005C3678" w:rsidP="005C3678">
      <w:pPr>
        <w:widowControl/>
        <w:spacing w:after="160" w:line="256" w:lineRule="auto"/>
        <w:contextualSpacing/>
        <w:jc w:val="both"/>
        <w:rPr>
          <w:rFonts w:ascii="Arial" w:hAnsi="Arial" w:cs="Arial"/>
          <w:sz w:val="20"/>
          <w:szCs w:val="20"/>
          <w:lang w:val="en-GB"/>
        </w:rPr>
      </w:pPr>
    </w:p>
    <w:p w14:paraId="64ED4B75" w14:textId="77777777" w:rsidR="005C3678" w:rsidRPr="00885B57" w:rsidRDefault="005C3678" w:rsidP="005C3678">
      <w:pPr>
        <w:widowControl/>
        <w:spacing w:after="160" w:line="256" w:lineRule="auto"/>
        <w:contextualSpacing/>
        <w:jc w:val="both"/>
        <w:rPr>
          <w:rFonts w:ascii="Arial" w:hAnsi="Arial" w:cs="Arial"/>
          <w:sz w:val="20"/>
          <w:szCs w:val="20"/>
          <w:lang w:val="en-GB"/>
        </w:rPr>
      </w:pPr>
    </w:p>
    <w:p w14:paraId="7E74BD36" w14:textId="77777777" w:rsidR="005C3678" w:rsidRPr="00885B57" w:rsidRDefault="005C3678" w:rsidP="005C3678">
      <w:pPr>
        <w:widowControl/>
        <w:jc w:val="both"/>
        <w:rPr>
          <w:rFonts w:ascii="Arial" w:hAnsi="Arial" w:cs="Arial"/>
          <w:sz w:val="20"/>
          <w:szCs w:val="20"/>
          <w:lang w:val="en-GB"/>
        </w:rPr>
      </w:pPr>
    </w:p>
    <w:p w14:paraId="5F8BCE88" w14:textId="77777777" w:rsidR="005C3678" w:rsidRPr="00885B57" w:rsidRDefault="005C3678" w:rsidP="005C3678">
      <w:pPr>
        <w:widowControl/>
        <w:jc w:val="both"/>
        <w:rPr>
          <w:rFonts w:ascii="Arial" w:hAnsi="Arial" w:cs="Arial"/>
          <w:sz w:val="20"/>
          <w:szCs w:val="20"/>
          <w:lang w:val="en-GB"/>
        </w:rPr>
      </w:pPr>
      <w:r w:rsidRPr="00885B57">
        <w:rPr>
          <w:rFonts w:ascii="Arial" w:hAnsi="Arial" w:cs="Arial"/>
          <w:sz w:val="20"/>
          <w:szCs w:val="20"/>
          <w:lang w:val="en-GB"/>
        </w:rPr>
        <w:t xml:space="preserve">Despite the recent evidence indicating that the Trust provides its services economically, efficiently and effectively, it continues to report a significant deficit.    </w:t>
      </w:r>
    </w:p>
    <w:p w14:paraId="117F1273" w14:textId="77777777" w:rsidR="005C3678" w:rsidRPr="00885B57" w:rsidRDefault="005C3678" w:rsidP="005C3678">
      <w:pPr>
        <w:widowControl/>
        <w:jc w:val="both"/>
        <w:rPr>
          <w:rFonts w:ascii="Arial" w:hAnsi="Arial" w:cs="Arial"/>
          <w:sz w:val="20"/>
          <w:szCs w:val="20"/>
          <w:lang w:val="en-GB"/>
        </w:rPr>
      </w:pPr>
    </w:p>
    <w:p w14:paraId="52F36D7D" w14:textId="77777777" w:rsidR="005C3678" w:rsidRPr="00885B57" w:rsidRDefault="005C3678" w:rsidP="005C3678">
      <w:pPr>
        <w:widowControl/>
        <w:jc w:val="both"/>
        <w:rPr>
          <w:rFonts w:ascii="Arial" w:hAnsi="Arial" w:cs="Arial"/>
          <w:sz w:val="20"/>
          <w:szCs w:val="20"/>
          <w:lang w:val="en-GB"/>
        </w:rPr>
      </w:pPr>
      <w:r w:rsidRPr="00885B57">
        <w:rPr>
          <w:rFonts w:ascii="Arial" w:hAnsi="Arial" w:cs="Arial"/>
          <w:sz w:val="20"/>
          <w:szCs w:val="20"/>
          <w:lang w:val="en-GB"/>
        </w:rPr>
        <w:t>During the last quarter of 2024/25 the Trust began a full refresh of its Financial Recovery Plan (FRP).  This document will set out the historical financial performance of the Trust, the drivers of its deficit, the financial modelling demonstrating the likely position if no interventions are taken, those strategic interventions that are expected to be taken and their impact on performance.  Overall, the FRP is intended to identify the causes of adverse financial performance and those actions that are required to bring it back into a sustainable position.  This work will continue into 2025/26 and will require broader health economy support to drive effective change.</w:t>
      </w:r>
    </w:p>
    <w:p w14:paraId="5FBC3896" w14:textId="77777777" w:rsidR="005C3678" w:rsidRPr="00885B57" w:rsidRDefault="005C3678" w:rsidP="005C3678">
      <w:pPr>
        <w:widowControl/>
        <w:jc w:val="both"/>
        <w:rPr>
          <w:rFonts w:ascii="Arial" w:hAnsi="Arial" w:cs="Arial"/>
          <w:sz w:val="20"/>
          <w:szCs w:val="20"/>
          <w:lang w:val="en-GB"/>
        </w:rPr>
      </w:pPr>
    </w:p>
    <w:p w14:paraId="52D3CD13" w14:textId="77777777" w:rsidR="008C5389" w:rsidRPr="00885B57" w:rsidRDefault="008C5389" w:rsidP="005C3678">
      <w:pPr>
        <w:widowControl/>
        <w:jc w:val="both"/>
        <w:rPr>
          <w:rFonts w:ascii="Arial" w:hAnsi="Arial" w:cs="Arial"/>
          <w:sz w:val="20"/>
          <w:szCs w:val="20"/>
          <w:lang w:val="en-GB"/>
        </w:rPr>
      </w:pPr>
    </w:p>
    <w:p w14:paraId="226F320A" w14:textId="77777777" w:rsidR="00BB1165" w:rsidRPr="00885B57" w:rsidRDefault="00BB1165" w:rsidP="005C3678">
      <w:pPr>
        <w:jc w:val="both"/>
        <w:rPr>
          <w:rFonts w:ascii="Arial" w:hAnsi="Arial" w:cs="Arial"/>
          <w:b/>
          <w:sz w:val="20"/>
          <w:szCs w:val="20"/>
          <w:lang w:val="en-GB"/>
        </w:rPr>
      </w:pPr>
    </w:p>
    <w:p w14:paraId="1EDF5ED6" w14:textId="77777777" w:rsidR="00BB1165" w:rsidRPr="00885B57" w:rsidRDefault="00BB1165" w:rsidP="005C3678">
      <w:pPr>
        <w:jc w:val="both"/>
        <w:rPr>
          <w:rFonts w:ascii="Arial" w:hAnsi="Arial" w:cs="Arial"/>
          <w:b/>
          <w:sz w:val="20"/>
          <w:szCs w:val="20"/>
          <w:lang w:val="en-GB"/>
        </w:rPr>
      </w:pPr>
    </w:p>
    <w:p w14:paraId="7A45E9DE" w14:textId="77777777" w:rsidR="00BB1165" w:rsidRPr="00885B57" w:rsidRDefault="00BB1165" w:rsidP="005C3678">
      <w:pPr>
        <w:jc w:val="both"/>
        <w:rPr>
          <w:rFonts w:ascii="Arial" w:hAnsi="Arial" w:cs="Arial"/>
          <w:b/>
          <w:sz w:val="20"/>
          <w:szCs w:val="20"/>
          <w:lang w:val="en-GB"/>
        </w:rPr>
      </w:pPr>
    </w:p>
    <w:p w14:paraId="6729D757" w14:textId="77777777" w:rsidR="00BB1165" w:rsidRPr="00885B57" w:rsidRDefault="00885B57" w:rsidP="005C3678">
      <w:pPr>
        <w:jc w:val="both"/>
        <w:rPr>
          <w:rFonts w:ascii="Arial" w:hAnsi="Arial" w:cs="Arial"/>
          <w:b/>
          <w:sz w:val="20"/>
          <w:szCs w:val="20"/>
          <w:lang w:val="en-GB"/>
        </w:rPr>
      </w:pPr>
      <w:r w:rsidRPr="00885B57">
        <w:rPr>
          <w:rFonts w:ascii="Arial" w:hAnsi="Arial" w:cs="Arial"/>
          <w:noProof/>
          <w:sz w:val="20"/>
          <w:szCs w:val="20"/>
          <w:lang w:val="en-GB"/>
        </w:rPr>
        <w:drawing>
          <wp:anchor distT="0" distB="0" distL="114300" distR="114300" simplePos="0" relativeHeight="251801600" behindDoc="0" locked="0" layoutInCell="1" allowOverlap="1" wp14:anchorId="786D0FEB" wp14:editId="0B08A40F">
            <wp:simplePos x="0" y="0"/>
            <wp:positionH relativeFrom="column">
              <wp:posOffset>311097</wp:posOffset>
            </wp:positionH>
            <wp:positionV relativeFrom="page">
              <wp:posOffset>4387850</wp:posOffset>
            </wp:positionV>
            <wp:extent cx="5203825" cy="3088640"/>
            <wp:effectExtent l="0" t="0" r="0" b="0"/>
            <wp:wrapNone/>
            <wp:docPr id="23" name="Picture 23" descr="This is a chart displaying Nationally collected data has shown that in recent years the Trust had improved its efficiency position relative to other Trusts across the country.  The most recent data available (for 2023/24) indicates that Trust cost per unit of activity has increased but that this is now at the national medi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03825" cy="3088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3721CF" w14:textId="77777777" w:rsidR="00BB1165" w:rsidRPr="00885B57" w:rsidRDefault="00BB1165" w:rsidP="005C3678">
      <w:pPr>
        <w:jc w:val="both"/>
        <w:rPr>
          <w:rFonts w:ascii="Arial" w:hAnsi="Arial" w:cs="Arial"/>
          <w:b/>
          <w:sz w:val="20"/>
          <w:szCs w:val="20"/>
          <w:lang w:val="en-GB"/>
        </w:rPr>
      </w:pPr>
    </w:p>
    <w:p w14:paraId="1D18F00C" w14:textId="77777777" w:rsidR="00BB1165" w:rsidRPr="00885B57" w:rsidRDefault="00BB1165" w:rsidP="005C3678">
      <w:pPr>
        <w:jc w:val="both"/>
        <w:rPr>
          <w:rFonts w:ascii="Arial" w:hAnsi="Arial" w:cs="Arial"/>
          <w:b/>
          <w:sz w:val="20"/>
          <w:szCs w:val="20"/>
          <w:lang w:val="en-GB"/>
        </w:rPr>
      </w:pPr>
    </w:p>
    <w:p w14:paraId="60BDBAC6" w14:textId="77777777" w:rsidR="00BB1165" w:rsidRPr="00885B57" w:rsidRDefault="00BB1165" w:rsidP="005C3678">
      <w:pPr>
        <w:jc w:val="both"/>
        <w:rPr>
          <w:rFonts w:ascii="Arial" w:hAnsi="Arial" w:cs="Arial"/>
          <w:b/>
          <w:sz w:val="20"/>
          <w:szCs w:val="20"/>
          <w:lang w:val="en-GB"/>
        </w:rPr>
      </w:pPr>
    </w:p>
    <w:p w14:paraId="69B32388" w14:textId="77777777" w:rsidR="00BB1165" w:rsidRPr="00885B57" w:rsidRDefault="00BB1165" w:rsidP="005C3678">
      <w:pPr>
        <w:jc w:val="both"/>
        <w:rPr>
          <w:rFonts w:ascii="Arial" w:hAnsi="Arial" w:cs="Arial"/>
          <w:b/>
          <w:sz w:val="20"/>
          <w:szCs w:val="20"/>
          <w:lang w:val="en-GB"/>
        </w:rPr>
      </w:pPr>
    </w:p>
    <w:p w14:paraId="1866FDF0" w14:textId="77777777" w:rsidR="00BB1165" w:rsidRPr="00885B57" w:rsidRDefault="00BB1165" w:rsidP="005C3678">
      <w:pPr>
        <w:jc w:val="both"/>
        <w:rPr>
          <w:rFonts w:ascii="Arial" w:hAnsi="Arial" w:cs="Arial"/>
          <w:b/>
          <w:sz w:val="20"/>
          <w:szCs w:val="20"/>
          <w:lang w:val="en-GB"/>
        </w:rPr>
      </w:pPr>
    </w:p>
    <w:p w14:paraId="42289862" w14:textId="77777777" w:rsidR="00BB1165" w:rsidRPr="00885B57" w:rsidRDefault="00BB1165" w:rsidP="005C3678">
      <w:pPr>
        <w:jc w:val="both"/>
        <w:rPr>
          <w:rFonts w:ascii="Arial" w:hAnsi="Arial" w:cs="Arial"/>
          <w:b/>
          <w:sz w:val="20"/>
          <w:szCs w:val="20"/>
          <w:lang w:val="en-GB"/>
        </w:rPr>
      </w:pPr>
    </w:p>
    <w:p w14:paraId="2A6ACA49" w14:textId="77777777" w:rsidR="00BB1165" w:rsidRPr="00885B57" w:rsidRDefault="00BB1165" w:rsidP="005C3678">
      <w:pPr>
        <w:jc w:val="both"/>
        <w:rPr>
          <w:rFonts w:ascii="Arial" w:hAnsi="Arial" w:cs="Arial"/>
          <w:b/>
          <w:sz w:val="20"/>
          <w:szCs w:val="20"/>
          <w:lang w:val="en-GB"/>
        </w:rPr>
      </w:pPr>
    </w:p>
    <w:p w14:paraId="5DDF0E76" w14:textId="77777777" w:rsidR="00BB1165" w:rsidRPr="00885B57" w:rsidRDefault="00BB1165" w:rsidP="005C3678">
      <w:pPr>
        <w:jc w:val="both"/>
        <w:rPr>
          <w:rFonts w:ascii="Arial" w:hAnsi="Arial" w:cs="Arial"/>
          <w:b/>
          <w:sz w:val="20"/>
          <w:szCs w:val="20"/>
          <w:lang w:val="en-GB"/>
        </w:rPr>
      </w:pPr>
    </w:p>
    <w:p w14:paraId="513AAAB2" w14:textId="77777777" w:rsidR="00BB1165" w:rsidRPr="00885B57" w:rsidRDefault="00BB1165" w:rsidP="005C3678">
      <w:pPr>
        <w:jc w:val="both"/>
        <w:rPr>
          <w:rFonts w:ascii="Arial" w:hAnsi="Arial" w:cs="Arial"/>
          <w:b/>
          <w:sz w:val="20"/>
          <w:szCs w:val="20"/>
          <w:lang w:val="en-GB"/>
        </w:rPr>
      </w:pPr>
    </w:p>
    <w:p w14:paraId="52B342BC" w14:textId="77777777" w:rsidR="00BB1165" w:rsidRPr="00885B57" w:rsidRDefault="00BB1165" w:rsidP="005C3678">
      <w:pPr>
        <w:jc w:val="both"/>
        <w:rPr>
          <w:rFonts w:ascii="Arial" w:hAnsi="Arial" w:cs="Arial"/>
          <w:b/>
          <w:sz w:val="20"/>
          <w:szCs w:val="20"/>
          <w:lang w:val="en-GB"/>
        </w:rPr>
      </w:pPr>
    </w:p>
    <w:p w14:paraId="4213F87E" w14:textId="77777777" w:rsidR="00BB1165" w:rsidRPr="00885B57" w:rsidRDefault="00BB1165" w:rsidP="005C3678">
      <w:pPr>
        <w:jc w:val="both"/>
        <w:rPr>
          <w:rFonts w:ascii="Arial" w:hAnsi="Arial" w:cs="Arial"/>
          <w:b/>
          <w:sz w:val="20"/>
          <w:szCs w:val="20"/>
          <w:lang w:val="en-GB"/>
        </w:rPr>
      </w:pPr>
    </w:p>
    <w:p w14:paraId="1330DD95" w14:textId="77777777" w:rsidR="00BB1165" w:rsidRPr="00885B57" w:rsidRDefault="00BB1165" w:rsidP="005C3678">
      <w:pPr>
        <w:jc w:val="both"/>
        <w:rPr>
          <w:rFonts w:ascii="Arial" w:hAnsi="Arial" w:cs="Arial"/>
          <w:b/>
          <w:sz w:val="20"/>
          <w:szCs w:val="20"/>
          <w:lang w:val="en-GB"/>
        </w:rPr>
      </w:pPr>
    </w:p>
    <w:p w14:paraId="54B14E81" w14:textId="77777777" w:rsidR="00BB1165" w:rsidRPr="00885B57" w:rsidRDefault="00BB1165" w:rsidP="005C3678">
      <w:pPr>
        <w:jc w:val="both"/>
        <w:rPr>
          <w:rFonts w:ascii="Arial" w:hAnsi="Arial" w:cs="Arial"/>
          <w:b/>
          <w:sz w:val="20"/>
          <w:szCs w:val="20"/>
          <w:lang w:val="en-GB"/>
        </w:rPr>
      </w:pPr>
    </w:p>
    <w:p w14:paraId="311D9F9A" w14:textId="77777777" w:rsidR="00BB1165" w:rsidRPr="00885B57" w:rsidRDefault="00BB1165" w:rsidP="005C3678">
      <w:pPr>
        <w:jc w:val="both"/>
        <w:rPr>
          <w:rFonts w:ascii="Arial" w:hAnsi="Arial" w:cs="Arial"/>
          <w:b/>
          <w:sz w:val="20"/>
          <w:szCs w:val="20"/>
          <w:lang w:val="en-GB"/>
        </w:rPr>
      </w:pPr>
    </w:p>
    <w:p w14:paraId="5880B0A2" w14:textId="77777777" w:rsidR="00BB1165" w:rsidRPr="00885B57" w:rsidRDefault="00BB1165" w:rsidP="005C3678">
      <w:pPr>
        <w:jc w:val="both"/>
        <w:rPr>
          <w:rFonts w:ascii="Arial" w:hAnsi="Arial" w:cs="Arial"/>
          <w:b/>
          <w:sz w:val="20"/>
          <w:szCs w:val="20"/>
          <w:lang w:val="en-GB"/>
        </w:rPr>
      </w:pPr>
    </w:p>
    <w:p w14:paraId="5C0520F3" w14:textId="77777777" w:rsidR="00BB1165" w:rsidRPr="00885B57" w:rsidRDefault="00BB1165" w:rsidP="005C3678">
      <w:pPr>
        <w:jc w:val="both"/>
        <w:rPr>
          <w:rFonts w:ascii="Arial" w:hAnsi="Arial" w:cs="Arial"/>
          <w:b/>
          <w:sz w:val="20"/>
          <w:szCs w:val="20"/>
          <w:lang w:val="en-GB"/>
        </w:rPr>
      </w:pPr>
    </w:p>
    <w:p w14:paraId="4BCDEBE9" w14:textId="77777777" w:rsidR="00885B57" w:rsidRDefault="00885B57" w:rsidP="005C3678">
      <w:pPr>
        <w:jc w:val="both"/>
        <w:rPr>
          <w:rFonts w:ascii="Arial" w:hAnsi="Arial" w:cs="Arial"/>
          <w:b/>
          <w:sz w:val="20"/>
          <w:szCs w:val="20"/>
          <w:lang w:val="en-GB"/>
        </w:rPr>
      </w:pPr>
    </w:p>
    <w:p w14:paraId="35E0171F" w14:textId="77777777" w:rsidR="00885B57" w:rsidRDefault="00885B57" w:rsidP="005C3678">
      <w:pPr>
        <w:jc w:val="both"/>
        <w:rPr>
          <w:rFonts w:ascii="Arial" w:hAnsi="Arial" w:cs="Arial"/>
          <w:b/>
          <w:sz w:val="20"/>
          <w:szCs w:val="20"/>
          <w:lang w:val="en-GB"/>
        </w:rPr>
      </w:pPr>
    </w:p>
    <w:p w14:paraId="70E3D30E" w14:textId="77777777" w:rsidR="00885B57" w:rsidRDefault="00885B57" w:rsidP="005C3678">
      <w:pPr>
        <w:jc w:val="both"/>
        <w:rPr>
          <w:rFonts w:ascii="Arial" w:hAnsi="Arial" w:cs="Arial"/>
          <w:b/>
          <w:sz w:val="20"/>
          <w:szCs w:val="20"/>
          <w:lang w:val="en-GB"/>
        </w:rPr>
      </w:pPr>
    </w:p>
    <w:p w14:paraId="6F24B545" w14:textId="77777777" w:rsidR="00885B57" w:rsidRDefault="00885B57" w:rsidP="005C3678">
      <w:pPr>
        <w:jc w:val="both"/>
        <w:rPr>
          <w:rFonts w:ascii="Arial" w:hAnsi="Arial" w:cs="Arial"/>
          <w:b/>
          <w:sz w:val="20"/>
          <w:szCs w:val="20"/>
          <w:lang w:val="en-GB"/>
        </w:rPr>
      </w:pPr>
    </w:p>
    <w:p w14:paraId="6E4B1B90" w14:textId="77777777" w:rsidR="00885B57" w:rsidRDefault="00885B57" w:rsidP="005C3678">
      <w:pPr>
        <w:jc w:val="both"/>
        <w:rPr>
          <w:rFonts w:ascii="Arial" w:hAnsi="Arial" w:cs="Arial"/>
          <w:b/>
          <w:sz w:val="20"/>
          <w:szCs w:val="20"/>
          <w:lang w:val="en-GB"/>
        </w:rPr>
      </w:pPr>
    </w:p>
    <w:p w14:paraId="526D5B1F" w14:textId="77777777" w:rsidR="00885B57" w:rsidRDefault="00885B57" w:rsidP="005C3678">
      <w:pPr>
        <w:jc w:val="both"/>
        <w:rPr>
          <w:rFonts w:ascii="Arial" w:hAnsi="Arial" w:cs="Arial"/>
          <w:b/>
          <w:sz w:val="20"/>
          <w:szCs w:val="20"/>
          <w:lang w:val="en-GB"/>
        </w:rPr>
      </w:pPr>
    </w:p>
    <w:p w14:paraId="484D9F2F" w14:textId="18DF6C0B" w:rsidR="00885B57" w:rsidRDefault="00DC488E" w:rsidP="00DC488E">
      <w:pPr>
        <w:ind w:firstLine="720"/>
        <w:jc w:val="both"/>
        <w:rPr>
          <w:rFonts w:ascii="Arial" w:hAnsi="Arial" w:cs="Arial"/>
          <w:b/>
          <w:sz w:val="20"/>
          <w:szCs w:val="20"/>
          <w:lang w:val="en-GB"/>
        </w:rPr>
      </w:pPr>
      <w:r>
        <w:rPr>
          <w:rFonts w:ascii="Arial" w:hAnsi="Arial" w:cs="Arial"/>
          <w:b/>
          <w:sz w:val="20"/>
          <w:szCs w:val="20"/>
          <w:lang w:val="en-GB"/>
        </w:rPr>
        <w:t xml:space="preserve">WAU = </w:t>
      </w:r>
      <w:r w:rsidRPr="00DC488E">
        <w:rPr>
          <w:rFonts w:ascii="Arial" w:hAnsi="Arial" w:cs="Arial"/>
          <w:b/>
          <w:sz w:val="20"/>
          <w:szCs w:val="20"/>
          <w:lang w:val="en-GB"/>
        </w:rPr>
        <w:t xml:space="preserve">Waited </w:t>
      </w:r>
      <w:r>
        <w:rPr>
          <w:rFonts w:ascii="Arial" w:hAnsi="Arial" w:cs="Arial"/>
          <w:b/>
          <w:sz w:val="20"/>
          <w:szCs w:val="20"/>
          <w:lang w:val="en-GB"/>
        </w:rPr>
        <w:t>A</w:t>
      </w:r>
      <w:r w:rsidRPr="00DC488E">
        <w:rPr>
          <w:rFonts w:ascii="Arial" w:hAnsi="Arial" w:cs="Arial"/>
          <w:b/>
          <w:sz w:val="20"/>
          <w:szCs w:val="20"/>
          <w:lang w:val="en-GB"/>
        </w:rPr>
        <w:t xml:space="preserve">ctivity </w:t>
      </w:r>
      <w:r>
        <w:rPr>
          <w:rFonts w:ascii="Arial" w:hAnsi="Arial" w:cs="Arial"/>
          <w:b/>
          <w:sz w:val="20"/>
          <w:szCs w:val="20"/>
          <w:lang w:val="en-GB"/>
        </w:rPr>
        <w:t>U</w:t>
      </w:r>
      <w:r w:rsidRPr="00DC488E">
        <w:rPr>
          <w:rFonts w:ascii="Arial" w:hAnsi="Arial" w:cs="Arial"/>
          <w:b/>
          <w:sz w:val="20"/>
          <w:szCs w:val="20"/>
          <w:lang w:val="en-GB"/>
        </w:rPr>
        <w:t>nit</w:t>
      </w:r>
    </w:p>
    <w:p w14:paraId="64E0AFA1" w14:textId="77777777" w:rsidR="00885B57" w:rsidRDefault="00885B57" w:rsidP="005C3678">
      <w:pPr>
        <w:jc w:val="both"/>
        <w:rPr>
          <w:rFonts w:ascii="Arial" w:hAnsi="Arial" w:cs="Arial"/>
          <w:b/>
          <w:sz w:val="20"/>
          <w:szCs w:val="20"/>
          <w:lang w:val="en-GB"/>
        </w:rPr>
      </w:pPr>
    </w:p>
    <w:p w14:paraId="1ABEA05D" w14:textId="77777777" w:rsidR="00885B57" w:rsidRDefault="00885B57" w:rsidP="005C3678">
      <w:pPr>
        <w:jc w:val="both"/>
        <w:rPr>
          <w:rFonts w:ascii="Arial" w:hAnsi="Arial" w:cs="Arial"/>
          <w:b/>
          <w:sz w:val="20"/>
          <w:szCs w:val="20"/>
          <w:lang w:val="en-GB"/>
        </w:rPr>
      </w:pPr>
    </w:p>
    <w:p w14:paraId="1E1AC057" w14:textId="77777777" w:rsidR="00885B57" w:rsidRDefault="00885B57" w:rsidP="005C3678">
      <w:pPr>
        <w:jc w:val="both"/>
        <w:rPr>
          <w:rFonts w:ascii="Arial" w:hAnsi="Arial" w:cs="Arial"/>
          <w:b/>
          <w:sz w:val="20"/>
          <w:szCs w:val="20"/>
          <w:lang w:val="en-GB"/>
        </w:rPr>
      </w:pPr>
    </w:p>
    <w:p w14:paraId="0351980F" w14:textId="77777777" w:rsidR="00885B57" w:rsidRDefault="00885B57" w:rsidP="005C3678">
      <w:pPr>
        <w:jc w:val="both"/>
        <w:rPr>
          <w:rFonts w:ascii="Arial" w:hAnsi="Arial" w:cs="Arial"/>
          <w:b/>
          <w:sz w:val="20"/>
          <w:szCs w:val="20"/>
          <w:lang w:val="en-GB"/>
        </w:rPr>
      </w:pPr>
    </w:p>
    <w:p w14:paraId="6C4331BE" w14:textId="77777777" w:rsidR="00885B57" w:rsidRDefault="00885B57" w:rsidP="005C3678">
      <w:pPr>
        <w:jc w:val="both"/>
        <w:rPr>
          <w:rFonts w:ascii="Arial" w:hAnsi="Arial" w:cs="Arial"/>
          <w:b/>
          <w:sz w:val="20"/>
          <w:szCs w:val="20"/>
          <w:lang w:val="en-GB"/>
        </w:rPr>
      </w:pPr>
    </w:p>
    <w:p w14:paraId="68D82C00" w14:textId="77777777" w:rsidR="00885B57" w:rsidRDefault="00885B57" w:rsidP="005C3678">
      <w:pPr>
        <w:jc w:val="both"/>
        <w:rPr>
          <w:rFonts w:ascii="Arial" w:hAnsi="Arial" w:cs="Arial"/>
          <w:b/>
          <w:sz w:val="20"/>
          <w:szCs w:val="20"/>
          <w:lang w:val="en-GB"/>
        </w:rPr>
      </w:pPr>
    </w:p>
    <w:p w14:paraId="481CF502" w14:textId="77777777" w:rsidR="00885B57" w:rsidRDefault="00885B57" w:rsidP="005C3678">
      <w:pPr>
        <w:jc w:val="both"/>
        <w:rPr>
          <w:rFonts w:ascii="Arial" w:hAnsi="Arial" w:cs="Arial"/>
          <w:b/>
          <w:sz w:val="20"/>
          <w:szCs w:val="20"/>
          <w:lang w:val="en-GB"/>
        </w:rPr>
      </w:pPr>
    </w:p>
    <w:p w14:paraId="19F034FB" w14:textId="77777777" w:rsidR="00885B57" w:rsidRDefault="00885B57" w:rsidP="005C3678">
      <w:pPr>
        <w:jc w:val="both"/>
        <w:rPr>
          <w:rFonts w:ascii="Arial" w:hAnsi="Arial" w:cs="Arial"/>
          <w:b/>
          <w:sz w:val="20"/>
          <w:szCs w:val="20"/>
          <w:lang w:val="en-GB"/>
        </w:rPr>
      </w:pPr>
    </w:p>
    <w:p w14:paraId="2F2D4033" w14:textId="77777777" w:rsidR="00885B57" w:rsidRDefault="00885B57" w:rsidP="005C3678">
      <w:pPr>
        <w:jc w:val="both"/>
        <w:rPr>
          <w:rFonts w:ascii="Arial" w:hAnsi="Arial" w:cs="Arial"/>
          <w:b/>
          <w:sz w:val="20"/>
          <w:szCs w:val="20"/>
          <w:lang w:val="en-GB"/>
        </w:rPr>
      </w:pPr>
    </w:p>
    <w:p w14:paraId="7604B526" w14:textId="77777777" w:rsidR="00885B57" w:rsidRDefault="00885B57" w:rsidP="005C3678">
      <w:pPr>
        <w:jc w:val="both"/>
        <w:rPr>
          <w:rFonts w:ascii="Arial" w:hAnsi="Arial" w:cs="Arial"/>
          <w:b/>
          <w:sz w:val="20"/>
          <w:szCs w:val="20"/>
          <w:lang w:val="en-GB"/>
        </w:rPr>
      </w:pPr>
    </w:p>
    <w:p w14:paraId="2DA65DBB" w14:textId="77777777" w:rsidR="00885B57" w:rsidRDefault="00885B57" w:rsidP="005C3678">
      <w:pPr>
        <w:jc w:val="both"/>
        <w:rPr>
          <w:rFonts w:ascii="Arial" w:hAnsi="Arial" w:cs="Arial"/>
          <w:b/>
          <w:sz w:val="20"/>
          <w:szCs w:val="20"/>
          <w:lang w:val="en-GB"/>
        </w:rPr>
      </w:pPr>
    </w:p>
    <w:p w14:paraId="62668A33" w14:textId="77777777" w:rsidR="00885B57" w:rsidRDefault="00885B57" w:rsidP="005C3678">
      <w:pPr>
        <w:jc w:val="both"/>
        <w:rPr>
          <w:rFonts w:ascii="Arial" w:hAnsi="Arial" w:cs="Arial"/>
          <w:b/>
          <w:sz w:val="20"/>
          <w:szCs w:val="20"/>
          <w:lang w:val="en-GB"/>
        </w:rPr>
      </w:pPr>
    </w:p>
    <w:p w14:paraId="12D0BA5F" w14:textId="77777777" w:rsidR="00885B57" w:rsidRDefault="00885B57" w:rsidP="005C3678">
      <w:pPr>
        <w:jc w:val="both"/>
        <w:rPr>
          <w:rFonts w:ascii="Arial" w:hAnsi="Arial" w:cs="Arial"/>
          <w:b/>
          <w:sz w:val="20"/>
          <w:szCs w:val="20"/>
          <w:lang w:val="en-GB"/>
        </w:rPr>
      </w:pPr>
    </w:p>
    <w:p w14:paraId="6C8A7AF1" w14:textId="77777777" w:rsidR="005C3678" w:rsidRPr="00885B57" w:rsidRDefault="005C3678" w:rsidP="005C3678">
      <w:pPr>
        <w:jc w:val="both"/>
        <w:rPr>
          <w:rFonts w:ascii="Arial" w:hAnsi="Arial" w:cs="Arial"/>
          <w:b/>
          <w:color w:val="FF0000"/>
          <w:sz w:val="20"/>
          <w:szCs w:val="20"/>
          <w:lang w:val="en-GB"/>
        </w:rPr>
      </w:pPr>
      <w:r w:rsidRPr="00885B57">
        <w:rPr>
          <w:rFonts w:ascii="Arial" w:hAnsi="Arial" w:cs="Arial"/>
          <w:b/>
          <w:sz w:val="20"/>
          <w:szCs w:val="20"/>
          <w:lang w:val="en-GB"/>
        </w:rPr>
        <w:lastRenderedPageBreak/>
        <w:t>Overseas Operations</w:t>
      </w:r>
      <w:r w:rsidRPr="00885B57">
        <w:rPr>
          <w:rFonts w:ascii="Arial" w:hAnsi="Arial" w:cs="Arial"/>
          <w:b/>
          <w:color w:val="FF0000"/>
          <w:sz w:val="20"/>
          <w:szCs w:val="20"/>
          <w:lang w:val="en-GB"/>
        </w:rPr>
        <w:t xml:space="preserve"> </w:t>
      </w:r>
    </w:p>
    <w:p w14:paraId="179B64BE" w14:textId="77777777" w:rsidR="005C3678" w:rsidRPr="00885B57" w:rsidRDefault="005C3678" w:rsidP="005C3678">
      <w:pPr>
        <w:jc w:val="both"/>
        <w:rPr>
          <w:rFonts w:ascii="Arial" w:hAnsi="Arial" w:cs="Arial"/>
          <w:sz w:val="20"/>
          <w:szCs w:val="20"/>
          <w:highlight w:val="yellow"/>
          <w:lang w:val="en-GB"/>
        </w:rPr>
      </w:pPr>
    </w:p>
    <w:p w14:paraId="3F7483CC" w14:textId="77777777" w:rsidR="005C3678" w:rsidRPr="00885B57" w:rsidRDefault="005C3678" w:rsidP="005C3678">
      <w:pPr>
        <w:jc w:val="both"/>
        <w:rPr>
          <w:rFonts w:ascii="Arial" w:hAnsi="Arial" w:cs="Arial"/>
          <w:sz w:val="20"/>
          <w:szCs w:val="20"/>
          <w:lang w:val="en-GB"/>
        </w:rPr>
      </w:pPr>
      <w:r w:rsidRPr="00885B57">
        <w:rPr>
          <w:rFonts w:ascii="Arial" w:hAnsi="Arial" w:cs="Arial"/>
          <w:sz w:val="20"/>
          <w:szCs w:val="20"/>
          <w:lang w:val="en-GB"/>
        </w:rPr>
        <w:t>The Trust does not have any overseas operations.</w:t>
      </w:r>
    </w:p>
    <w:p w14:paraId="73F0FA7B" w14:textId="77777777" w:rsidR="00010A15" w:rsidRPr="00885B57" w:rsidRDefault="00010A15" w:rsidP="005C3678">
      <w:pPr>
        <w:jc w:val="both"/>
        <w:rPr>
          <w:rFonts w:ascii="Arial" w:hAnsi="Arial" w:cs="Arial"/>
          <w:sz w:val="20"/>
          <w:szCs w:val="20"/>
          <w:lang w:val="en-GB"/>
        </w:rPr>
      </w:pPr>
    </w:p>
    <w:p w14:paraId="7EC6248F" w14:textId="77777777" w:rsidR="008C5389" w:rsidRPr="00885B57" w:rsidRDefault="008C5389" w:rsidP="005C3678">
      <w:pPr>
        <w:jc w:val="both"/>
        <w:rPr>
          <w:rFonts w:ascii="Arial" w:hAnsi="Arial" w:cs="Arial"/>
          <w:sz w:val="20"/>
          <w:szCs w:val="20"/>
          <w:lang w:val="en-GB"/>
        </w:rPr>
      </w:pPr>
    </w:p>
    <w:p w14:paraId="1275871A" w14:textId="77777777" w:rsidR="00010A15" w:rsidRPr="00885B57" w:rsidRDefault="00010A15" w:rsidP="00010A15">
      <w:pPr>
        <w:rPr>
          <w:rFonts w:ascii="Arial" w:hAnsi="Arial" w:cs="Arial"/>
          <w:sz w:val="20"/>
          <w:szCs w:val="20"/>
          <w:lang w:val="en-GB"/>
        </w:rPr>
      </w:pPr>
      <w:r w:rsidRPr="00885B57">
        <w:rPr>
          <w:rFonts w:ascii="Arial" w:hAnsi="Arial" w:cs="Arial"/>
          <w:sz w:val="20"/>
          <w:szCs w:val="20"/>
          <w:lang w:val="en-GB"/>
        </w:rPr>
        <w:t>As Accounting Officer, I am satisfied that this performance report provides a true and accurate summary of the performance of the Trust during the year 202</w:t>
      </w:r>
      <w:r w:rsidR="00AB1092" w:rsidRPr="00885B57">
        <w:rPr>
          <w:rFonts w:ascii="Arial" w:hAnsi="Arial" w:cs="Arial"/>
          <w:sz w:val="20"/>
          <w:szCs w:val="20"/>
          <w:lang w:val="en-GB"/>
        </w:rPr>
        <w:t>4</w:t>
      </w:r>
      <w:r w:rsidR="006C5473" w:rsidRPr="00885B57">
        <w:rPr>
          <w:rFonts w:ascii="Arial" w:hAnsi="Arial" w:cs="Arial"/>
          <w:sz w:val="20"/>
          <w:szCs w:val="20"/>
          <w:lang w:val="en-GB"/>
        </w:rPr>
        <w:t>/2</w:t>
      </w:r>
      <w:r w:rsidR="00AB1092" w:rsidRPr="00885B57">
        <w:rPr>
          <w:rFonts w:ascii="Arial" w:hAnsi="Arial" w:cs="Arial"/>
          <w:sz w:val="20"/>
          <w:szCs w:val="20"/>
          <w:lang w:val="en-GB"/>
        </w:rPr>
        <w:t>5</w:t>
      </w:r>
      <w:r w:rsidRPr="00885B57">
        <w:rPr>
          <w:rFonts w:ascii="Arial" w:hAnsi="Arial" w:cs="Arial"/>
          <w:sz w:val="20"/>
          <w:szCs w:val="20"/>
          <w:lang w:val="en-GB"/>
        </w:rPr>
        <w:t>.</w:t>
      </w:r>
    </w:p>
    <w:p w14:paraId="41CC9B61" w14:textId="77777777" w:rsidR="006C5473" w:rsidRPr="00885B57" w:rsidRDefault="006C5473" w:rsidP="00010A15">
      <w:pPr>
        <w:rPr>
          <w:rFonts w:ascii="Arial" w:hAnsi="Arial" w:cs="Arial"/>
          <w:sz w:val="20"/>
          <w:szCs w:val="20"/>
          <w:lang w:val="en-GB"/>
        </w:rPr>
      </w:pPr>
    </w:p>
    <w:p w14:paraId="6171B526" w14:textId="77777777" w:rsidR="00427F54" w:rsidRPr="00983279" w:rsidRDefault="00010A15" w:rsidP="00010A15">
      <w:pPr>
        <w:rPr>
          <w:rFonts w:ascii="Arial" w:hAnsi="Arial" w:cs="Arial"/>
          <w:sz w:val="20"/>
          <w:szCs w:val="20"/>
          <w:lang w:val="en-GB"/>
        </w:rPr>
      </w:pPr>
      <w:bookmarkStart w:id="7" w:name="_Hlk169777149"/>
      <w:r w:rsidRPr="00983279">
        <w:rPr>
          <w:rFonts w:ascii="Arial" w:hAnsi="Arial" w:cs="Arial"/>
          <w:sz w:val="20"/>
          <w:szCs w:val="20"/>
          <w:lang w:val="en-GB"/>
        </w:rPr>
        <w:t>Signed</w:t>
      </w:r>
    </w:p>
    <w:p w14:paraId="623F55A2" w14:textId="56EA2EE1" w:rsidR="00863F60" w:rsidRPr="00983279" w:rsidRDefault="00863F60" w:rsidP="00010A15">
      <w:pPr>
        <w:rPr>
          <w:rFonts w:ascii="Arial" w:hAnsi="Arial" w:cs="Arial"/>
          <w:sz w:val="20"/>
          <w:szCs w:val="20"/>
          <w:lang w:val="en-GB"/>
        </w:rPr>
      </w:pPr>
    </w:p>
    <w:p w14:paraId="71154A0C" w14:textId="4543CFD1" w:rsidR="00983279" w:rsidRPr="00983279" w:rsidRDefault="00983279" w:rsidP="00010A15">
      <w:pPr>
        <w:rPr>
          <w:rFonts w:ascii="Arial" w:hAnsi="Arial" w:cs="Arial"/>
          <w:sz w:val="20"/>
          <w:szCs w:val="20"/>
          <w:lang w:val="en-GB"/>
        </w:rPr>
      </w:pPr>
      <w:r w:rsidRPr="00983279">
        <w:rPr>
          <w:rFonts w:ascii="Arial" w:hAnsi="Arial" w:cs="Arial"/>
          <w:noProof/>
          <w:sz w:val="20"/>
          <w:szCs w:val="20"/>
          <w:lang w:val="en-GB"/>
        </w:rPr>
        <w:drawing>
          <wp:inline distT="0" distB="0" distL="0" distR="0" wp14:anchorId="6E5407FC" wp14:editId="72CC6CB6">
            <wp:extent cx="2324100" cy="1511300"/>
            <wp:effectExtent l="0" t="0" r="0" b="0"/>
            <wp:docPr id="12" name="Picture 12" descr="Signature of Jonathan Wade, Interim Chief Execu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ignature of Jonathan Wade, Interim Chief Executiv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24100" cy="1511300"/>
                    </a:xfrm>
                    <a:prstGeom prst="rect">
                      <a:avLst/>
                    </a:prstGeom>
                    <a:noFill/>
                    <a:ln>
                      <a:noFill/>
                    </a:ln>
                  </pic:spPr>
                </pic:pic>
              </a:graphicData>
            </a:graphic>
          </wp:inline>
        </w:drawing>
      </w:r>
    </w:p>
    <w:p w14:paraId="4E3A2E4E" w14:textId="77777777" w:rsidR="005C3678" w:rsidRPr="00983279" w:rsidRDefault="005C3678" w:rsidP="005C3678">
      <w:pPr>
        <w:rPr>
          <w:rFonts w:ascii="Arial" w:hAnsi="Arial" w:cs="Arial"/>
          <w:sz w:val="20"/>
          <w:szCs w:val="20"/>
          <w:lang w:val="en-GB"/>
        </w:rPr>
      </w:pPr>
      <w:r w:rsidRPr="00983279">
        <w:rPr>
          <w:rFonts w:ascii="Arial" w:hAnsi="Arial" w:cs="Arial"/>
          <w:sz w:val="20"/>
          <w:szCs w:val="20"/>
          <w:lang w:val="en-GB"/>
        </w:rPr>
        <w:t>………………………………..</w:t>
      </w:r>
    </w:p>
    <w:p w14:paraId="290F3B28" w14:textId="695E3B83" w:rsidR="005C3678" w:rsidRPr="00983279" w:rsidRDefault="00F46465" w:rsidP="005C3678">
      <w:pPr>
        <w:rPr>
          <w:rFonts w:ascii="Arial" w:hAnsi="Arial" w:cs="Arial"/>
          <w:b/>
          <w:sz w:val="20"/>
          <w:szCs w:val="20"/>
          <w:lang w:val="en-GB"/>
        </w:rPr>
      </w:pPr>
      <w:r w:rsidRPr="00983279">
        <w:rPr>
          <w:rFonts w:ascii="Arial" w:hAnsi="Arial" w:cs="Arial"/>
          <w:b/>
          <w:sz w:val="20"/>
          <w:szCs w:val="20"/>
          <w:lang w:val="en-GB"/>
        </w:rPr>
        <w:t>Jon Wade</w:t>
      </w:r>
    </w:p>
    <w:p w14:paraId="485D38AF" w14:textId="61699270" w:rsidR="005C3678" w:rsidRPr="00983279" w:rsidRDefault="005C3678" w:rsidP="005C3678">
      <w:pPr>
        <w:rPr>
          <w:rFonts w:ascii="Arial" w:hAnsi="Arial" w:cs="Arial"/>
          <w:b/>
          <w:sz w:val="20"/>
          <w:szCs w:val="20"/>
          <w:lang w:val="en-GB"/>
        </w:rPr>
      </w:pPr>
      <w:r w:rsidRPr="00983279">
        <w:rPr>
          <w:rFonts w:ascii="Arial" w:hAnsi="Arial" w:cs="Arial"/>
          <w:b/>
          <w:sz w:val="20"/>
          <w:szCs w:val="20"/>
          <w:lang w:val="en-GB"/>
        </w:rPr>
        <w:t>Chief Executive</w:t>
      </w:r>
      <w:r w:rsidR="00F46465" w:rsidRPr="00983279">
        <w:rPr>
          <w:rFonts w:ascii="Arial" w:hAnsi="Arial" w:cs="Arial"/>
          <w:b/>
          <w:sz w:val="20"/>
          <w:szCs w:val="20"/>
          <w:lang w:val="en-GB"/>
        </w:rPr>
        <w:t xml:space="preserve"> Officer</w:t>
      </w:r>
    </w:p>
    <w:p w14:paraId="3B547288" w14:textId="38B4E147" w:rsidR="005C3678" w:rsidRPr="00885B57" w:rsidRDefault="005C3678" w:rsidP="005C3678">
      <w:pPr>
        <w:rPr>
          <w:rFonts w:ascii="Arial" w:hAnsi="Arial" w:cs="Arial"/>
          <w:b/>
          <w:sz w:val="20"/>
          <w:szCs w:val="20"/>
          <w:lang w:val="en-GB"/>
        </w:rPr>
      </w:pPr>
      <w:r w:rsidRPr="00983279">
        <w:rPr>
          <w:rFonts w:ascii="Arial" w:hAnsi="Arial" w:cs="Arial"/>
          <w:b/>
          <w:sz w:val="20"/>
          <w:szCs w:val="20"/>
          <w:lang w:val="en-GB"/>
        </w:rPr>
        <w:t>Date</w:t>
      </w:r>
      <w:r w:rsidR="00983279" w:rsidRPr="00983279">
        <w:rPr>
          <w:rFonts w:ascii="Arial" w:hAnsi="Arial" w:cs="Arial"/>
          <w:b/>
          <w:sz w:val="20"/>
          <w:szCs w:val="20"/>
          <w:lang w:val="en-GB"/>
        </w:rPr>
        <w:t>: Friday, 20 June 2025</w:t>
      </w:r>
    </w:p>
    <w:p w14:paraId="31BAA6E5" w14:textId="77777777" w:rsidR="005C3678" w:rsidRPr="00885B57" w:rsidRDefault="005C3678" w:rsidP="00010A15">
      <w:pPr>
        <w:rPr>
          <w:rFonts w:ascii="Arial" w:hAnsi="Arial" w:cs="Arial"/>
          <w:sz w:val="20"/>
          <w:szCs w:val="20"/>
          <w:lang w:val="en-GB"/>
        </w:rPr>
      </w:pPr>
    </w:p>
    <w:p w14:paraId="60A170B6" w14:textId="77777777" w:rsidR="005C3678" w:rsidRPr="00885B57" w:rsidRDefault="005C3678" w:rsidP="00010A15">
      <w:pPr>
        <w:rPr>
          <w:rFonts w:ascii="Arial" w:hAnsi="Arial" w:cs="Arial"/>
          <w:sz w:val="20"/>
          <w:szCs w:val="20"/>
          <w:lang w:val="en-GB"/>
        </w:rPr>
      </w:pPr>
    </w:p>
    <w:p w14:paraId="2C6DE7EF" w14:textId="77777777" w:rsidR="005C3678" w:rsidRDefault="005C3678" w:rsidP="00010A15">
      <w:pPr>
        <w:rPr>
          <w:rFonts w:ascii="Arial" w:hAnsi="Arial" w:cs="Arial"/>
          <w:sz w:val="20"/>
          <w:szCs w:val="20"/>
          <w:lang w:val="en-GB"/>
        </w:rPr>
      </w:pPr>
    </w:p>
    <w:p w14:paraId="0F67924B" w14:textId="77777777" w:rsidR="005C3678" w:rsidRDefault="005C3678" w:rsidP="00010A15">
      <w:pPr>
        <w:rPr>
          <w:rFonts w:ascii="Arial" w:hAnsi="Arial" w:cs="Arial"/>
          <w:sz w:val="20"/>
          <w:szCs w:val="20"/>
          <w:lang w:val="en-GB"/>
        </w:rPr>
      </w:pPr>
    </w:p>
    <w:p w14:paraId="13641241" w14:textId="77777777" w:rsidR="005C3678" w:rsidRDefault="005C3678" w:rsidP="00010A15">
      <w:pPr>
        <w:rPr>
          <w:rFonts w:ascii="Arial" w:hAnsi="Arial" w:cs="Arial"/>
          <w:sz w:val="20"/>
          <w:szCs w:val="20"/>
          <w:lang w:val="en-GB"/>
        </w:rPr>
      </w:pPr>
    </w:p>
    <w:p w14:paraId="011CF446" w14:textId="77777777" w:rsidR="005C3678" w:rsidRDefault="005C3678" w:rsidP="00010A15">
      <w:pPr>
        <w:rPr>
          <w:rFonts w:ascii="Arial" w:hAnsi="Arial" w:cs="Arial"/>
          <w:sz w:val="20"/>
          <w:szCs w:val="20"/>
          <w:lang w:val="en-GB"/>
        </w:rPr>
      </w:pPr>
    </w:p>
    <w:p w14:paraId="4ED3DECC" w14:textId="77777777" w:rsidR="005C3678" w:rsidRDefault="005C3678" w:rsidP="00010A15">
      <w:pPr>
        <w:rPr>
          <w:rFonts w:ascii="Arial" w:hAnsi="Arial" w:cs="Arial"/>
          <w:sz w:val="20"/>
          <w:szCs w:val="20"/>
          <w:lang w:val="en-GB"/>
        </w:rPr>
      </w:pPr>
    </w:p>
    <w:p w14:paraId="311708E2" w14:textId="77777777" w:rsidR="005C3678" w:rsidRDefault="005C3678" w:rsidP="00010A15">
      <w:pPr>
        <w:rPr>
          <w:rFonts w:ascii="Arial" w:hAnsi="Arial" w:cs="Arial"/>
          <w:sz w:val="20"/>
          <w:szCs w:val="20"/>
          <w:lang w:val="en-GB"/>
        </w:rPr>
      </w:pPr>
    </w:p>
    <w:p w14:paraId="5BBCA40F" w14:textId="77777777" w:rsidR="005C3678" w:rsidRDefault="005C3678" w:rsidP="00010A15">
      <w:pPr>
        <w:rPr>
          <w:rFonts w:ascii="Arial" w:hAnsi="Arial" w:cs="Arial"/>
          <w:sz w:val="20"/>
          <w:szCs w:val="20"/>
          <w:lang w:val="en-GB"/>
        </w:rPr>
      </w:pPr>
    </w:p>
    <w:p w14:paraId="6EEECB1B" w14:textId="77777777" w:rsidR="005C3678" w:rsidRDefault="005C3678" w:rsidP="00010A15">
      <w:pPr>
        <w:rPr>
          <w:rFonts w:ascii="Arial" w:hAnsi="Arial" w:cs="Arial"/>
          <w:sz w:val="20"/>
          <w:szCs w:val="20"/>
          <w:lang w:val="en-GB"/>
        </w:rPr>
      </w:pPr>
    </w:p>
    <w:p w14:paraId="59F2CE15" w14:textId="77777777" w:rsidR="005C3678" w:rsidRDefault="005C3678" w:rsidP="00010A15">
      <w:pPr>
        <w:rPr>
          <w:rFonts w:ascii="Arial" w:hAnsi="Arial" w:cs="Arial"/>
          <w:sz w:val="20"/>
          <w:szCs w:val="20"/>
          <w:lang w:val="en-GB"/>
        </w:rPr>
      </w:pPr>
    </w:p>
    <w:p w14:paraId="52D8DE75" w14:textId="77777777" w:rsidR="00BB1165" w:rsidRDefault="00BB1165" w:rsidP="00010A15">
      <w:pPr>
        <w:rPr>
          <w:rFonts w:ascii="Arial" w:hAnsi="Arial" w:cs="Arial"/>
          <w:sz w:val="20"/>
          <w:szCs w:val="20"/>
          <w:lang w:val="en-GB"/>
        </w:rPr>
      </w:pPr>
    </w:p>
    <w:p w14:paraId="64DB1EBF" w14:textId="77777777" w:rsidR="00BB1165" w:rsidRDefault="00BB1165" w:rsidP="00010A15">
      <w:pPr>
        <w:rPr>
          <w:rFonts w:ascii="Arial" w:hAnsi="Arial" w:cs="Arial"/>
          <w:sz w:val="20"/>
          <w:szCs w:val="20"/>
          <w:lang w:val="en-GB"/>
        </w:rPr>
      </w:pPr>
    </w:p>
    <w:p w14:paraId="453762F9" w14:textId="77777777" w:rsidR="00BB1165" w:rsidRDefault="00BB1165" w:rsidP="00010A15">
      <w:pPr>
        <w:rPr>
          <w:rFonts w:ascii="Arial" w:hAnsi="Arial" w:cs="Arial"/>
          <w:sz w:val="20"/>
          <w:szCs w:val="20"/>
          <w:lang w:val="en-GB"/>
        </w:rPr>
      </w:pPr>
    </w:p>
    <w:p w14:paraId="78DCBF46" w14:textId="77777777" w:rsidR="00BB1165" w:rsidRDefault="00BB1165" w:rsidP="00010A15">
      <w:pPr>
        <w:rPr>
          <w:rFonts w:ascii="Arial" w:hAnsi="Arial" w:cs="Arial"/>
          <w:sz w:val="20"/>
          <w:szCs w:val="20"/>
          <w:lang w:val="en-GB"/>
        </w:rPr>
      </w:pPr>
    </w:p>
    <w:p w14:paraId="47A2D1F2" w14:textId="77777777" w:rsidR="00BB1165" w:rsidRDefault="00BB1165" w:rsidP="00010A15">
      <w:pPr>
        <w:rPr>
          <w:rFonts w:ascii="Arial" w:hAnsi="Arial" w:cs="Arial"/>
          <w:sz w:val="20"/>
          <w:szCs w:val="20"/>
          <w:lang w:val="en-GB"/>
        </w:rPr>
      </w:pPr>
    </w:p>
    <w:p w14:paraId="4C5D11F2" w14:textId="77777777" w:rsidR="00BB1165" w:rsidRDefault="00BB1165" w:rsidP="00010A15">
      <w:pPr>
        <w:rPr>
          <w:rFonts w:ascii="Arial" w:hAnsi="Arial" w:cs="Arial"/>
          <w:sz w:val="20"/>
          <w:szCs w:val="20"/>
          <w:lang w:val="en-GB"/>
        </w:rPr>
      </w:pPr>
    </w:p>
    <w:p w14:paraId="2986535F" w14:textId="77777777" w:rsidR="00BB1165" w:rsidRDefault="00BB1165" w:rsidP="00010A15">
      <w:pPr>
        <w:rPr>
          <w:rFonts w:ascii="Arial" w:hAnsi="Arial" w:cs="Arial"/>
          <w:sz w:val="20"/>
          <w:szCs w:val="20"/>
          <w:lang w:val="en-GB"/>
        </w:rPr>
      </w:pPr>
    </w:p>
    <w:p w14:paraId="213930EA" w14:textId="77777777" w:rsidR="00BB1165" w:rsidRDefault="00BB1165" w:rsidP="00010A15">
      <w:pPr>
        <w:rPr>
          <w:rFonts w:ascii="Arial" w:hAnsi="Arial" w:cs="Arial"/>
          <w:sz w:val="20"/>
          <w:szCs w:val="20"/>
          <w:lang w:val="en-GB"/>
        </w:rPr>
      </w:pPr>
    </w:p>
    <w:p w14:paraId="2A164CD6" w14:textId="77777777" w:rsidR="00BB1165" w:rsidRDefault="00BB1165" w:rsidP="00010A15">
      <w:pPr>
        <w:rPr>
          <w:rFonts w:ascii="Arial" w:hAnsi="Arial" w:cs="Arial"/>
          <w:sz w:val="20"/>
          <w:szCs w:val="20"/>
          <w:lang w:val="en-GB"/>
        </w:rPr>
      </w:pPr>
    </w:p>
    <w:p w14:paraId="348E80B0" w14:textId="77777777" w:rsidR="00BB1165" w:rsidRDefault="00BB1165" w:rsidP="00010A15">
      <w:pPr>
        <w:rPr>
          <w:rFonts w:ascii="Arial" w:hAnsi="Arial" w:cs="Arial"/>
          <w:sz w:val="20"/>
          <w:szCs w:val="20"/>
          <w:lang w:val="en-GB"/>
        </w:rPr>
      </w:pPr>
    </w:p>
    <w:p w14:paraId="59EBBCB3" w14:textId="77777777" w:rsidR="005C3678" w:rsidRDefault="005C3678" w:rsidP="00010A15">
      <w:pPr>
        <w:rPr>
          <w:rFonts w:ascii="Arial" w:hAnsi="Arial" w:cs="Arial"/>
          <w:sz w:val="20"/>
          <w:szCs w:val="20"/>
          <w:lang w:val="en-GB"/>
        </w:rPr>
      </w:pPr>
    </w:p>
    <w:p w14:paraId="43B2F3EC" w14:textId="77777777" w:rsidR="005C3678" w:rsidRDefault="005C3678" w:rsidP="00010A15">
      <w:pPr>
        <w:rPr>
          <w:rFonts w:ascii="Arial" w:hAnsi="Arial" w:cs="Arial"/>
          <w:sz w:val="20"/>
          <w:szCs w:val="20"/>
          <w:lang w:val="en-GB"/>
        </w:rPr>
      </w:pPr>
    </w:p>
    <w:p w14:paraId="434476DB" w14:textId="77777777" w:rsidR="005C3678" w:rsidRDefault="005C3678" w:rsidP="00010A15">
      <w:pPr>
        <w:rPr>
          <w:rFonts w:ascii="Arial" w:hAnsi="Arial" w:cs="Arial"/>
          <w:sz w:val="20"/>
          <w:szCs w:val="20"/>
          <w:lang w:val="en-GB"/>
        </w:rPr>
      </w:pPr>
    </w:p>
    <w:p w14:paraId="34908C65" w14:textId="77777777" w:rsidR="005C3678" w:rsidRDefault="005C3678" w:rsidP="00010A15">
      <w:pPr>
        <w:rPr>
          <w:rFonts w:ascii="Arial" w:hAnsi="Arial" w:cs="Arial"/>
          <w:sz w:val="20"/>
          <w:szCs w:val="20"/>
          <w:lang w:val="en-GB"/>
        </w:rPr>
      </w:pPr>
    </w:p>
    <w:p w14:paraId="2866DA8E" w14:textId="77777777" w:rsidR="005C3678" w:rsidRDefault="005C3678" w:rsidP="00010A15">
      <w:pPr>
        <w:rPr>
          <w:rFonts w:ascii="Arial" w:hAnsi="Arial" w:cs="Arial"/>
          <w:sz w:val="20"/>
          <w:szCs w:val="20"/>
          <w:lang w:val="en-GB"/>
        </w:rPr>
      </w:pPr>
    </w:p>
    <w:p w14:paraId="0CDB4797" w14:textId="77777777" w:rsidR="005C3678" w:rsidRDefault="005C3678" w:rsidP="00010A15">
      <w:pPr>
        <w:rPr>
          <w:rFonts w:ascii="Arial" w:hAnsi="Arial" w:cs="Arial"/>
          <w:sz w:val="20"/>
          <w:szCs w:val="20"/>
          <w:lang w:val="en-GB"/>
        </w:rPr>
      </w:pPr>
    </w:p>
    <w:p w14:paraId="535622B4" w14:textId="77777777" w:rsidR="005C3678" w:rsidRDefault="005C3678" w:rsidP="00010A15">
      <w:pPr>
        <w:rPr>
          <w:rFonts w:ascii="Arial" w:hAnsi="Arial" w:cs="Arial"/>
          <w:sz w:val="20"/>
          <w:szCs w:val="20"/>
          <w:lang w:val="en-GB"/>
        </w:rPr>
      </w:pPr>
    </w:p>
    <w:p w14:paraId="2A7E2BBC" w14:textId="77777777" w:rsidR="005C3678" w:rsidRDefault="005C3678" w:rsidP="00010A15">
      <w:pPr>
        <w:rPr>
          <w:rFonts w:ascii="Arial" w:hAnsi="Arial" w:cs="Arial"/>
          <w:sz w:val="20"/>
          <w:szCs w:val="20"/>
          <w:lang w:val="en-GB"/>
        </w:rPr>
      </w:pPr>
    </w:p>
    <w:p w14:paraId="456084B1" w14:textId="77777777" w:rsidR="005C3678" w:rsidRDefault="005C3678" w:rsidP="00010A15">
      <w:pPr>
        <w:rPr>
          <w:rFonts w:ascii="Arial" w:hAnsi="Arial" w:cs="Arial"/>
          <w:sz w:val="20"/>
          <w:szCs w:val="20"/>
          <w:lang w:val="en-GB"/>
        </w:rPr>
      </w:pPr>
    </w:p>
    <w:p w14:paraId="22CF5963" w14:textId="77777777" w:rsidR="005C3678" w:rsidRDefault="005C3678" w:rsidP="00010A15">
      <w:pPr>
        <w:rPr>
          <w:rFonts w:ascii="Arial" w:hAnsi="Arial" w:cs="Arial"/>
          <w:sz w:val="20"/>
          <w:szCs w:val="20"/>
          <w:lang w:val="en-GB"/>
        </w:rPr>
      </w:pPr>
    </w:p>
    <w:p w14:paraId="07A4F1B3" w14:textId="77777777" w:rsidR="005C3678" w:rsidRDefault="004030DB" w:rsidP="00010A15">
      <w:pPr>
        <w:rPr>
          <w:rFonts w:ascii="Arial" w:hAnsi="Arial" w:cs="Arial"/>
          <w:sz w:val="20"/>
          <w:szCs w:val="20"/>
          <w:lang w:val="en-GB"/>
        </w:rPr>
      </w:pPr>
      <w:r>
        <w:rPr>
          <w:rFonts w:ascii="Arial" w:hAnsi="Arial" w:cs="Arial"/>
          <w:sz w:val="20"/>
          <w:szCs w:val="20"/>
          <w:lang w:val="en-GB"/>
        </w:rPr>
        <w:br/>
      </w:r>
    </w:p>
    <w:p w14:paraId="5DD9257C" w14:textId="77777777" w:rsidR="004030DB" w:rsidRDefault="004030DB" w:rsidP="00010A15">
      <w:pPr>
        <w:rPr>
          <w:rFonts w:ascii="Arial" w:hAnsi="Arial" w:cs="Arial"/>
          <w:sz w:val="20"/>
          <w:szCs w:val="20"/>
          <w:lang w:val="en-GB"/>
        </w:rPr>
      </w:pPr>
    </w:p>
    <w:p w14:paraId="6E7FEE7F" w14:textId="77777777" w:rsidR="004030DB" w:rsidRDefault="004030DB" w:rsidP="00010A15">
      <w:pPr>
        <w:rPr>
          <w:rFonts w:ascii="Arial" w:hAnsi="Arial" w:cs="Arial"/>
          <w:sz w:val="20"/>
          <w:szCs w:val="20"/>
          <w:lang w:val="en-GB"/>
        </w:rPr>
      </w:pPr>
    </w:p>
    <w:p w14:paraId="3CED5FEB" w14:textId="77777777" w:rsidR="004030DB" w:rsidRDefault="004030DB" w:rsidP="00010A15">
      <w:pPr>
        <w:rPr>
          <w:rFonts w:ascii="Arial" w:hAnsi="Arial" w:cs="Arial"/>
          <w:sz w:val="20"/>
          <w:szCs w:val="20"/>
          <w:lang w:val="en-GB"/>
        </w:rPr>
      </w:pPr>
    </w:p>
    <w:p w14:paraId="798595DB" w14:textId="77777777" w:rsidR="004030DB" w:rsidRDefault="004030DB" w:rsidP="00010A15">
      <w:pPr>
        <w:rPr>
          <w:rFonts w:ascii="Arial" w:hAnsi="Arial" w:cs="Arial"/>
          <w:sz w:val="20"/>
          <w:szCs w:val="20"/>
          <w:lang w:val="en-GB"/>
        </w:rPr>
      </w:pPr>
    </w:p>
    <w:p w14:paraId="14D2EA72" w14:textId="77777777" w:rsidR="004030DB" w:rsidRDefault="004030DB" w:rsidP="00010A15">
      <w:pPr>
        <w:rPr>
          <w:rFonts w:ascii="Arial" w:hAnsi="Arial" w:cs="Arial"/>
          <w:sz w:val="20"/>
          <w:szCs w:val="20"/>
          <w:lang w:val="en-GB"/>
        </w:rPr>
      </w:pPr>
    </w:p>
    <w:p w14:paraId="7A78E2DD" w14:textId="77777777" w:rsidR="004030DB" w:rsidRDefault="004030DB" w:rsidP="00010A15">
      <w:pPr>
        <w:rPr>
          <w:rFonts w:ascii="Arial" w:hAnsi="Arial" w:cs="Arial"/>
          <w:sz w:val="20"/>
          <w:szCs w:val="20"/>
          <w:lang w:val="en-GB"/>
        </w:rPr>
      </w:pPr>
    </w:p>
    <w:p w14:paraId="0AA4351F" w14:textId="77777777" w:rsidR="004030DB" w:rsidRDefault="004030DB" w:rsidP="00010A15">
      <w:pPr>
        <w:rPr>
          <w:rFonts w:ascii="Arial" w:hAnsi="Arial" w:cs="Arial"/>
          <w:sz w:val="20"/>
          <w:szCs w:val="20"/>
          <w:lang w:val="en-GB"/>
        </w:rPr>
      </w:pPr>
    </w:p>
    <w:p w14:paraId="58968B0D" w14:textId="77777777" w:rsidR="004030DB" w:rsidRDefault="004030DB" w:rsidP="00010A15">
      <w:pPr>
        <w:rPr>
          <w:rFonts w:ascii="Arial" w:hAnsi="Arial" w:cs="Arial"/>
          <w:sz w:val="20"/>
          <w:szCs w:val="20"/>
          <w:lang w:val="en-GB"/>
        </w:rPr>
      </w:pPr>
    </w:p>
    <w:p w14:paraId="226152AF" w14:textId="77777777" w:rsidR="004030DB" w:rsidRDefault="004030DB" w:rsidP="00010A15">
      <w:pPr>
        <w:rPr>
          <w:rFonts w:ascii="Arial" w:hAnsi="Arial" w:cs="Arial"/>
          <w:sz w:val="20"/>
          <w:szCs w:val="20"/>
          <w:lang w:val="en-GB"/>
        </w:rPr>
      </w:pPr>
    </w:p>
    <w:p w14:paraId="0AADB8B4" w14:textId="77777777" w:rsidR="005C3678" w:rsidRDefault="004030DB" w:rsidP="00010A15">
      <w:pPr>
        <w:rPr>
          <w:rFonts w:ascii="Arial" w:hAnsi="Arial" w:cs="Arial"/>
          <w:sz w:val="20"/>
          <w:szCs w:val="20"/>
          <w:lang w:val="en-GB"/>
        </w:rPr>
      </w:pPr>
      <w:r w:rsidRPr="00ED7971">
        <w:rPr>
          <w:rFonts w:ascii="Times New Roman" w:eastAsia="Times New Roman" w:hAnsi="Times New Roman" w:cs="Times New Roman"/>
          <w:noProof/>
          <w:sz w:val="24"/>
          <w:szCs w:val="24"/>
          <w:lang w:val="en-GB" w:eastAsia="en-GB"/>
        </w:rPr>
        <w:drawing>
          <wp:anchor distT="0" distB="0" distL="114300" distR="114300" simplePos="0" relativeHeight="251822080" behindDoc="0" locked="0" layoutInCell="1" allowOverlap="1" wp14:anchorId="2ED526D5" wp14:editId="423F849B">
            <wp:simplePos x="0" y="0"/>
            <wp:positionH relativeFrom="column">
              <wp:posOffset>-899795</wp:posOffset>
            </wp:positionH>
            <wp:positionV relativeFrom="page">
              <wp:posOffset>12700</wp:posOffset>
            </wp:positionV>
            <wp:extent cx="7554595" cy="10683240"/>
            <wp:effectExtent l="0" t="0" r="8255" b="3810"/>
            <wp:wrapNone/>
            <wp:docPr id="24" name="Picture 24" descr="Image for the Accountability Report - picture of a young lady sitting at a reception desk smiling and talking to another pers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ana.Almond\Downloads\Accountability Repor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54595" cy="10683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937C8D" w14:textId="77777777" w:rsidR="005C3678" w:rsidRDefault="005C3678" w:rsidP="00010A15">
      <w:pPr>
        <w:rPr>
          <w:rFonts w:ascii="Arial" w:hAnsi="Arial" w:cs="Arial"/>
          <w:sz w:val="20"/>
          <w:szCs w:val="20"/>
          <w:lang w:val="en-GB"/>
        </w:rPr>
      </w:pPr>
    </w:p>
    <w:p w14:paraId="461DF8AD" w14:textId="77777777" w:rsidR="005C3678" w:rsidRDefault="005C3678" w:rsidP="00010A15">
      <w:pPr>
        <w:rPr>
          <w:rFonts w:ascii="Arial" w:hAnsi="Arial" w:cs="Arial"/>
          <w:sz w:val="20"/>
          <w:szCs w:val="20"/>
          <w:lang w:val="en-GB"/>
        </w:rPr>
      </w:pPr>
    </w:p>
    <w:p w14:paraId="06D9DB52" w14:textId="77777777" w:rsidR="005C3678" w:rsidRDefault="005C3678" w:rsidP="00010A15">
      <w:pPr>
        <w:rPr>
          <w:rFonts w:ascii="Arial" w:hAnsi="Arial" w:cs="Arial"/>
          <w:sz w:val="20"/>
          <w:szCs w:val="20"/>
          <w:lang w:val="en-GB"/>
        </w:rPr>
      </w:pPr>
    </w:p>
    <w:p w14:paraId="6EBF7D6D" w14:textId="77777777" w:rsidR="005C3678" w:rsidRDefault="005C3678" w:rsidP="00010A15">
      <w:pPr>
        <w:rPr>
          <w:rFonts w:ascii="Arial" w:hAnsi="Arial" w:cs="Arial"/>
          <w:sz w:val="20"/>
          <w:szCs w:val="20"/>
          <w:lang w:val="en-GB"/>
        </w:rPr>
      </w:pPr>
    </w:p>
    <w:p w14:paraId="433BB7FB" w14:textId="77777777" w:rsidR="005C3678" w:rsidRDefault="005C3678" w:rsidP="00010A15">
      <w:pPr>
        <w:rPr>
          <w:rFonts w:ascii="Arial" w:hAnsi="Arial" w:cs="Arial"/>
          <w:sz w:val="20"/>
          <w:szCs w:val="20"/>
          <w:lang w:val="en-GB"/>
        </w:rPr>
      </w:pPr>
    </w:p>
    <w:p w14:paraId="650DFBE9" w14:textId="77777777" w:rsidR="005C3678" w:rsidRDefault="005C3678" w:rsidP="00010A15">
      <w:pPr>
        <w:rPr>
          <w:rFonts w:ascii="Arial" w:hAnsi="Arial" w:cs="Arial"/>
          <w:sz w:val="20"/>
          <w:szCs w:val="20"/>
          <w:lang w:val="en-GB"/>
        </w:rPr>
      </w:pPr>
    </w:p>
    <w:bookmarkEnd w:id="7"/>
    <w:p w14:paraId="648610C7" w14:textId="77777777" w:rsidR="000653CE" w:rsidRDefault="000653CE" w:rsidP="00010A15">
      <w:pPr>
        <w:rPr>
          <w:rFonts w:ascii="Arial" w:hAnsi="Arial" w:cs="Arial"/>
          <w:sz w:val="20"/>
          <w:szCs w:val="20"/>
          <w:lang w:val="en-GB"/>
        </w:rPr>
      </w:pPr>
    </w:p>
    <w:p w14:paraId="063E9B28" w14:textId="77777777" w:rsidR="000653CE" w:rsidRDefault="000653CE" w:rsidP="00010A15">
      <w:pPr>
        <w:rPr>
          <w:rFonts w:ascii="Arial" w:hAnsi="Arial" w:cs="Arial"/>
          <w:sz w:val="20"/>
          <w:szCs w:val="20"/>
          <w:lang w:val="en-GB"/>
        </w:rPr>
      </w:pPr>
    </w:p>
    <w:p w14:paraId="2AD3007C" w14:textId="77777777" w:rsidR="000653CE" w:rsidRDefault="000653CE" w:rsidP="00010A15">
      <w:pPr>
        <w:rPr>
          <w:rFonts w:ascii="Arial" w:hAnsi="Arial" w:cs="Arial"/>
          <w:sz w:val="20"/>
          <w:szCs w:val="20"/>
          <w:lang w:val="en-GB"/>
        </w:rPr>
      </w:pPr>
    </w:p>
    <w:p w14:paraId="7BC65C4D" w14:textId="77777777" w:rsidR="000653CE" w:rsidRPr="00024E37" w:rsidRDefault="000653CE" w:rsidP="00010A15">
      <w:pPr>
        <w:rPr>
          <w:rFonts w:ascii="Arial" w:hAnsi="Arial" w:cs="Arial"/>
          <w:sz w:val="20"/>
          <w:szCs w:val="20"/>
          <w:lang w:val="en-GB"/>
        </w:rPr>
      </w:pPr>
    </w:p>
    <w:p w14:paraId="03CFEC37" w14:textId="77777777" w:rsidR="00B050CD" w:rsidRDefault="00B050CD" w:rsidP="00010A15">
      <w:pPr>
        <w:rPr>
          <w:rFonts w:ascii="Arial" w:hAnsi="Arial" w:cs="Arial"/>
          <w:sz w:val="20"/>
          <w:szCs w:val="20"/>
          <w:lang w:val="en-GB"/>
        </w:rPr>
      </w:pPr>
    </w:p>
    <w:p w14:paraId="5AA59F5E" w14:textId="77777777" w:rsidR="00ED7971" w:rsidRPr="00ED7971" w:rsidRDefault="00ED7971" w:rsidP="00ED7971">
      <w:pPr>
        <w:widowControl/>
        <w:spacing w:before="100" w:beforeAutospacing="1" w:after="100" w:afterAutospacing="1"/>
        <w:rPr>
          <w:rFonts w:ascii="Times New Roman" w:eastAsia="Times New Roman" w:hAnsi="Times New Roman" w:cs="Times New Roman"/>
          <w:sz w:val="24"/>
          <w:szCs w:val="24"/>
          <w:lang w:val="en-GB" w:eastAsia="en-GB"/>
        </w:rPr>
      </w:pPr>
    </w:p>
    <w:p w14:paraId="1EDFCB7E" w14:textId="77777777" w:rsidR="00B050CD" w:rsidRDefault="00B050CD" w:rsidP="00010A15">
      <w:pPr>
        <w:rPr>
          <w:rFonts w:ascii="Arial" w:hAnsi="Arial" w:cs="Arial"/>
          <w:sz w:val="20"/>
          <w:szCs w:val="20"/>
          <w:lang w:val="en-GB"/>
        </w:rPr>
      </w:pPr>
    </w:p>
    <w:p w14:paraId="0A8E5B4C" w14:textId="77777777" w:rsidR="00B050CD" w:rsidRDefault="00B050CD" w:rsidP="00010A15">
      <w:pPr>
        <w:rPr>
          <w:rFonts w:ascii="Arial" w:hAnsi="Arial" w:cs="Arial"/>
          <w:sz w:val="20"/>
          <w:szCs w:val="20"/>
          <w:lang w:val="en-GB"/>
        </w:rPr>
      </w:pPr>
    </w:p>
    <w:p w14:paraId="125120C5" w14:textId="77777777" w:rsidR="00B050CD" w:rsidRDefault="00B050CD" w:rsidP="00010A15">
      <w:pPr>
        <w:rPr>
          <w:rFonts w:ascii="Arial" w:hAnsi="Arial" w:cs="Arial"/>
          <w:sz w:val="20"/>
          <w:szCs w:val="20"/>
          <w:lang w:val="en-GB"/>
        </w:rPr>
      </w:pPr>
    </w:p>
    <w:p w14:paraId="4D62D4D8" w14:textId="77777777" w:rsidR="00B050CD" w:rsidRDefault="00B050CD" w:rsidP="00010A15">
      <w:pPr>
        <w:rPr>
          <w:rFonts w:ascii="Arial" w:hAnsi="Arial" w:cs="Arial"/>
          <w:sz w:val="20"/>
          <w:szCs w:val="20"/>
          <w:lang w:val="en-GB"/>
        </w:rPr>
      </w:pPr>
    </w:p>
    <w:p w14:paraId="638C53E9" w14:textId="77777777" w:rsidR="00B050CD" w:rsidRDefault="00B050CD" w:rsidP="00010A15">
      <w:pPr>
        <w:rPr>
          <w:rFonts w:ascii="Arial" w:hAnsi="Arial" w:cs="Arial"/>
          <w:sz w:val="20"/>
          <w:szCs w:val="20"/>
          <w:lang w:val="en-GB"/>
        </w:rPr>
      </w:pPr>
    </w:p>
    <w:p w14:paraId="197BEBA3" w14:textId="77777777" w:rsidR="00B050CD" w:rsidRDefault="00B050CD" w:rsidP="00B050CD">
      <w:pPr>
        <w:pStyle w:val="NormalWeb"/>
        <w:rPr>
          <w:noProof/>
        </w:rPr>
      </w:pPr>
    </w:p>
    <w:p w14:paraId="420B8576" w14:textId="77777777" w:rsidR="00B050CD" w:rsidRDefault="00B050CD" w:rsidP="00B050CD">
      <w:pPr>
        <w:pStyle w:val="NormalWeb"/>
      </w:pPr>
    </w:p>
    <w:p w14:paraId="4F0BD104" w14:textId="77777777" w:rsidR="00B050CD" w:rsidRDefault="00B050CD" w:rsidP="00B050CD">
      <w:pPr>
        <w:pStyle w:val="NormalWeb"/>
      </w:pPr>
    </w:p>
    <w:p w14:paraId="135E556E" w14:textId="77777777" w:rsidR="00B050CD" w:rsidRDefault="00B050CD" w:rsidP="00B050CD">
      <w:pPr>
        <w:pStyle w:val="NormalWeb"/>
      </w:pPr>
    </w:p>
    <w:p w14:paraId="250021AC" w14:textId="77777777" w:rsidR="00B050CD" w:rsidRDefault="00B050CD" w:rsidP="00B050CD">
      <w:pPr>
        <w:pStyle w:val="NormalWeb"/>
      </w:pPr>
    </w:p>
    <w:p w14:paraId="11188C9E" w14:textId="77777777" w:rsidR="001F469C" w:rsidRDefault="001F469C" w:rsidP="00B050CD">
      <w:pPr>
        <w:pStyle w:val="NormalWeb"/>
      </w:pPr>
    </w:p>
    <w:p w14:paraId="75D747A9" w14:textId="77777777" w:rsidR="001F469C" w:rsidRDefault="001F469C">
      <w:pPr>
        <w:widowControl/>
        <w:spacing w:after="160" w:line="259" w:lineRule="auto"/>
        <w:rPr>
          <w:rFonts w:ascii="Times New Roman" w:eastAsia="Times New Roman" w:hAnsi="Times New Roman" w:cs="Times New Roman"/>
          <w:sz w:val="24"/>
          <w:szCs w:val="24"/>
          <w:lang w:val="en-GB" w:eastAsia="en-GB"/>
        </w:rPr>
      </w:pPr>
      <w:r>
        <w:br w:type="page"/>
      </w:r>
    </w:p>
    <w:p w14:paraId="5EE51C6C" w14:textId="77777777" w:rsidR="009B3944" w:rsidRPr="004030DB" w:rsidRDefault="00E83FFB" w:rsidP="00C84827">
      <w:pPr>
        <w:jc w:val="both"/>
        <w:rPr>
          <w:rFonts w:ascii="Arial" w:hAnsi="Arial" w:cs="Arial"/>
          <w:b/>
          <w:sz w:val="20"/>
          <w:szCs w:val="20"/>
          <w:highlight w:val="yellow"/>
          <w:u w:val="single"/>
          <w:lang w:val="en-GB"/>
        </w:rPr>
      </w:pPr>
      <w:r w:rsidRPr="004030DB">
        <w:rPr>
          <w:rFonts w:ascii="Arial" w:hAnsi="Arial" w:cs="Arial"/>
          <w:b/>
          <w:sz w:val="20"/>
          <w:szCs w:val="20"/>
          <w:u w:val="single"/>
          <w:lang w:val="en-GB"/>
        </w:rPr>
        <w:lastRenderedPageBreak/>
        <w:t>D</w:t>
      </w:r>
      <w:r w:rsidR="00010A15" w:rsidRPr="004030DB">
        <w:rPr>
          <w:rFonts w:ascii="Arial" w:hAnsi="Arial" w:cs="Arial"/>
          <w:b/>
          <w:sz w:val="20"/>
          <w:szCs w:val="20"/>
          <w:u w:val="single"/>
          <w:lang w:val="en-GB"/>
        </w:rPr>
        <w:t>irectors’ Report</w:t>
      </w:r>
      <w:r w:rsidR="00C83699" w:rsidRPr="004030DB">
        <w:rPr>
          <w:rFonts w:ascii="Arial" w:hAnsi="Arial" w:cs="Arial"/>
          <w:b/>
          <w:color w:val="FF0000"/>
          <w:sz w:val="20"/>
          <w:szCs w:val="20"/>
          <w:highlight w:val="yellow"/>
          <w:lang w:val="en-GB"/>
        </w:rPr>
        <w:t xml:space="preserve"> </w:t>
      </w:r>
    </w:p>
    <w:p w14:paraId="16804928" w14:textId="77777777" w:rsidR="00376665" w:rsidRPr="004030DB" w:rsidRDefault="00376665" w:rsidP="00C84827">
      <w:pPr>
        <w:jc w:val="both"/>
        <w:rPr>
          <w:rFonts w:ascii="Arial" w:hAnsi="Arial" w:cs="Arial"/>
          <w:b/>
          <w:sz w:val="20"/>
          <w:szCs w:val="20"/>
          <w:lang w:val="en-GB"/>
        </w:rPr>
      </w:pPr>
    </w:p>
    <w:p w14:paraId="528348EA" w14:textId="77777777" w:rsidR="00010A15" w:rsidRPr="004030DB" w:rsidRDefault="00010A15" w:rsidP="00C84827">
      <w:pPr>
        <w:jc w:val="both"/>
        <w:rPr>
          <w:rFonts w:ascii="Arial" w:hAnsi="Arial" w:cs="Arial"/>
          <w:b/>
          <w:sz w:val="20"/>
          <w:szCs w:val="20"/>
          <w:lang w:val="en-GB"/>
        </w:rPr>
      </w:pPr>
      <w:r w:rsidRPr="004030DB">
        <w:rPr>
          <w:rFonts w:ascii="Arial" w:hAnsi="Arial" w:cs="Arial"/>
          <w:b/>
          <w:sz w:val="20"/>
          <w:szCs w:val="20"/>
          <w:lang w:val="en-GB"/>
        </w:rPr>
        <w:t>Board of Directors</w:t>
      </w:r>
    </w:p>
    <w:p w14:paraId="11911A7E" w14:textId="77777777" w:rsidR="00C84827" w:rsidRPr="004030DB" w:rsidRDefault="00010A15" w:rsidP="00C84827">
      <w:pPr>
        <w:jc w:val="both"/>
        <w:rPr>
          <w:rFonts w:ascii="Arial" w:hAnsi="Arial" w:cs="Arial"/>
          <w:sz w:val="20"/>
          <w:szCs w:val="20"/>
          <w:lang w:val="en-GB"/>
        </w:rPr>
      </w:pPr>
      <w:r w:rsidRPr="004030DB">
        <w:rPr>
          <w:rFonts w:ascii="Arial" w:hAnsi="Arial" w:cs="Arial"/>
          <w:sz w:val="20"/>
          <w:szCs w:val="20"/>
          <w:lang w:val="en-GB"/>
        </w:rPr>
        <w:t>The following disclosures relate to the Trust’s governance arrangements and illustrate the application of the main and supporting principles of the NHS Foundation Trust Code of Governance (the Code).</w:t>
      </w:r>
      <w:r w:rsidR="00C84827" w:rsidRPr="004030DB">
        <w:rPr>
          <w:rFonts w:ascii="Arial" w:hAnsi="Arial" w:cs="Arial"/>
          <w:sz w:val="20"/>
          <w:szCs w:val="20"/>
          <w:lang w:val="en-GB"/>
        </w:rPr>
        <w:t xml:space="preserve">  </w:t>
      </w:r>
      <w:r w:rsidRPr="004030DB">
        <w:rPr>
          <w:rFonts w:ascii="Arial" w:hAnsi="Arial" w:cs="Arial"/>
          <w:sz w:val="20"/>
          <w:szCs w:val="20"/>
          <w:lang w:val="en-GB"/>
        </w:rPr>
        <w:t>I</w:t>
      </w:r>
      <w:r w:rsidR="009B3944" w:rsidRPr="004030DB">
        <w:rPr>
          <w:rFonts w:ascii="Arial" w:hAnsi="Arial" w:cs="Arial"/>
          <w:sz w:val="20"/>
          <w:szCs w:val="20"/>
          <w:lang w:val="en-GB"/>
        </w:rPr>
        <w:t>t is the responsibility of the B</w:t>
      </w:r>
      <w:r w:rsidRPr="004030DB">
        <w:rPr>
          <w:rFonts w:ascii="Arial" w:hAnsi="Arial" w:cs="Arial"/>
          <w:sz w:val="20"/>
          <w:szCs w:val="20"/>
          <w:lang w:val="en-GB"/>
        </w:rPr>
        <w:t xml:space="preserve">oard of </w:t>
      </w:r>
      <w:r w:rsidR="009B3944" w:rsidRPr="004030DB">
        <w:rPr>
          <w:rFonts w:ascii="Arial" w:hAnsi="Arial" w:cs="Arial"/>
          <w:sz w:val="20"/>
          <w:szCs w:val="20"/>
          <w:lang w:val="en-GB"/>
        </w:rPr>
        <w:t>D</w:t>
      </w:r>
      <w:r w:rsidRPr="004030DB">
        <w:rPr>
          <w:rFonts w:ascii="Arial" w:hAnsi="Arial" w:cs="Arial"/>
          <w:sz w:val="20"/>
          <w:szCs w:val="20"/>
          <w:lang w:val="en-GB"/>
        </w:rPr>
        <w:t>irectors to ensure that the Trust complies with the provisions of the code or, where it does not, to provide an explanation which justifies departure from the code in the particular circumstances.</w:t>
      </w:r>
      <w:r w:rsidR="00D72969" w:rsidRPr="004030DB">
        <w:rPr>
          <w:rFonts w:ascii="Arial" w:hAnsi="Arial" w:cs="Arial"/>
          <w:sz w:val="20"/>
          <w:szCs w:val="20"/>
          <w:lang w:val="en-GB"/>
        </w:rPr>
        <w:t xml:space="preserve"> </w:t>
      </w:r>
    </w:p>
    <w:p w14:paraId="06B21351" w14:textId="77777777" w:rsidR="00010A15" w:rsidRPr="004030DB" w:rsidRDefault="009B3944" w:rsidP="00C84827">
      <w:pPr>
        <w:jc w:val="both"/>
        <w:rPr>
          <w:rFonts w:ascii="Arial" w:hAnsi="Arial" w:cs="Arial"/>
          <w:sz w:val="20"/>
          <w:szCs w:val="20"/>
          <w:lang w:val="en-GB"/>
        </w:rPr>
      </w:pPr>
      <w:r w:rsidRPr="004030DB">
        <w:rPr>
          <w:rFonts w:ascii="Arial" w:hAnsi="Arial" w:cs="Arial"/>
          <w:sz w:val="20"/>
          <w:szCs w:val="20"/>
          <w:lang w:val="en-GB"/>
        </w:rPr>
        <w:t>The Directors’ R</w:t>
      </w:r>
      <w:r w:rsidR="00010A15" w:rsidRPr="004030DB">
        <w:rPr>
          <w:rFonts w:ascii="Arial" w:hAnsi="Arial" w:cs="Arial"/>
          <w:sz w:val="20"/>
          <w:szCs w:val="20"/>
          <w:lang w:val="en-GB"/>
        </w:rPr>
        <w:t xml:space="preserve">eport has been prepared under direction issued by NHS </w:t>
      </w:r>
      <w:r w:rsidR="006C5473" w:rsidRPr="004030DB">
        <w:rPr>
          <w:rFonts w:ascii="Arial" w:hAnsi="Arial" w:cs="Arial"/>
          <w:sz w:val="20"/>
          <w:szCs w:val="20"/>
          <w:lang w:val="en-GB"/>
        </w:rPr>
        <w:t>England</w:t>
      </w:r>
      <w:r w:rsidR="00010A15" w:rsidRPr="004030DB">
        <w:rPr>
          <w:rFonts w:ascii="Arial" w:hAnsi="Arial" w:cs="Arial"/>
          <w:sz w:val="20"/>
          <w:szCs w:val="20"/>
          <w:lang w:val="en-GB"/>
        </w:rPr>
        <w:t>, the regulator for foundation trusts, and in accordance with the NHS Foundation Trust Annual Reporting Manual 202</w:t>
      </w:r>
      <w:r w:rsidR="00AB1092" w:rsidRPr="004030DB">
        <w:rPr>
          <w:rFonts w:ascii="Arial" w:hAnsi="Arial" w:cs="Arial"/>
          <w:sz w:val="20"/>
          <w:szCs w:val="20"/>
          <w:lang w:val="en-GB"/>
        </w:rPr>
        <w:t>4/25</w:t>
      </w:r>
      <w:r w:rsidR="00010A15" w:rsidRPr="004030DB">
        <w:rPr>
          <w:rFonts w:ascii="Arial" w:hAnsi="Arial" w:cs="Arial"/>
          <w:sz w:val="20"/>
          <w:szCs w:val="20"/>
          <w:lang w:val="en-GB"/>
        </w:rPr>
        <w:t>.</w:t>
      </w:r>
      <w:r w:rsidR="00FC534D" w:rsidRPr="004030DB">
        <w:rPr>
          <w:rFonts w:ascii="Arial" w:hAnsi="Arial" w:cs="Arial"/>
          <w:sz w:val="20"/>
          <w:szCs w:val="20"/>
          <w:lang w:val="en-GB"/>
        </w:rPr>
        <w:t xml:space="preserve">  </w:t>
      </w:r>
    </w:p>
    <w:p w14:paraId="789BBF19" w14:textId="77777777" w:rsidR="00BF07BD" w:rsidRPr="004030DB" w:rsidRDefault="00BF07BD" w:rsidP="00C84827">
      <w:pPr>
        <w:jc w:val="both"/>
        <w:rPr>
          <w:rFonts w:ascii="Arial" w:hAnsi="Arial" w:cs="Arial"/>
          <w:sz w:val="20"/>
          <w:szCs w:val="20"/>
          <w:lang w:val="en-GB"/>
        </w:rPr>
      </w:pPr>
    </w:p>
    <w:p w14:paraId="09FF1686" w14:textId="77777777" w:rsidR="00010A15" w:rsidRPr="004030DB" w:rsidRDefault="00010A15" w:rsidP="00C84827">
      <w:pPr>
        <w:jc w:val="both"/>
        <w:rPr>
          <w:rFonts w:ascii="Arial" w:hAnsi="Arial" w:cs="Arial"/>
          <w:b/>
          <w:sz w:val="20"/>
          <w:szCs w:val="20"/>
          <w:lang w:val="en-GB"/>
        </w:rPr>
      </w:pPr>
      <w:r w:rsidRPr="004030DB">
        <w:rPr>
          <w:rFonts w:ascii="Arial" w:hAnsi="Arial" w:cs="Arial"/>
          <w:b/>
          <w:sz w:val="20"/>
          <w:szCs w:val="20"/>
          <w:lang w:val="en-GB"/>
        </w:rPr>
        <w:t>The Trust Board</w:t>
      </w:r>
      <w:r w:rsidR="00A56F95" w:rsidRPr="004030DB">
        <w:rPr>
          <w:rFonts w:ascii="Arial" w:hAnsi="Arial" w:cs="Arial"/>
          <w:b/>
          <w:sz w:val="20"/>
          <w:szCs w:val="20"/>
          <w:lang w:val="en-GB"/>
        </w:rPr>
        <w:t xml:space="preserve">   </w:t>
      </w:r>
    </w:p>
    <w:p w14:paraId="1A0FD0A6" w14:textId="77777777" w:rsidR="00C14571" w:rsidRPr="004030DB" w:rsidRDefault="00010A15" w:rsidP="00C84827">
      <w:pPr>
        <w:jc w:val="both"/>
        <w:rPr>
          <w:rFonts w:ascii="Arial" w:hAnsi="Arial" w:cs="Arial"/>
          <w:sz w:val="20"/>
          <w:szCs w:val="20"/>
          <w:lang w:val="en-GB"/>
        </w:rPr>
      </w:pPr>
      <w:r w:rsidRPr="004030DB">
        <w:rPr>
          <w:rFonts w:ascii="Arial" w:hAnsi="Arial" w:cs="Arial"/>
          <w:sz w:val="20"/>
          <w:szCs w:val="20"/>
          <w:lang w:val="en-GB"/>
        </w:rPr>
        <w:t xml:space="preserve">Medway NHS </w:t>
      </w:r>
      <w:r w:rsidR="009B3944" w:rsidRPr="004030DB">
        <w:rPr>
          <w:rFonts w:ascii="Arial" w:hAnsi="Arial" w:cs="Arial"/>
          <w:sz w:val="20"/>
          <w:szCs w:val="20"/>
          <w:lang w:val="en-GB"/>
        </w:rPr>
        <w:t>Foundation Trust is run by the Board of Directors.</w:t>
      </w:r>
      <w:r w:rsidR="00C84827" w:rsidRPr="004030DB">
        <w:rPr>
          <w:rFonts w:ascii="Arial" w:hAnsi="Arial" w:cs="Arial"/>
          <w:sz w:val="20"/>
          <w:szCs w:val="20"/>
          <w:lang w:val="en-GB"/>
        </w:rPr>
        <w:t xml:space="preserve">  </w:t>
      </w:r>
      <w:r w:rsidR="009B3944" w:rsidRPr="004030DB">
        <w:rPr>
          <w:rFonts w:ascii="Arial" w:hAnsi="Arial" w:cs="Arial"/>
          <w:sz w:val="20"/>
          <w:szCs w:val="20"/>
          <w:lang w:val="en-GB"/>
        </w:rPr>
        <w:t>The B</w:t>
      </w:r>
      <w:r w:rsidRPr="004030DB">
        <w:rPr>
          <w:rFonts w:ascii="Arial" w:hAnsi="Arial" w:cs="Arial"/>
          <w:sz w:val="20"/>
          <w:szCs w:val="20"/>
          <w:lang w:val="en-GB"/>
        </w:rPr>
        <w:t xml:space="preserve">oard is responsible for overseeing the overall strategic and corporate direction of the Trust and ensures the delivery of the Trust’s goals and targets. </w:t>
      </w:r>
      <w:r w:rsidR="009B3944" w:rsidRPr="004030DB">
        <w:rPr>
          <w:rFonts w:ascii="Arial" w:hAnsi="Arial" w:cs="Arial"/>
          <w:sz w:val="20"/>
          <w:szCs w:val="20"/>
          <w:lang w:val="en-GB"/>
        </w:rPr>
        <w:t xml:space="preserve"> </w:t>
      </w:r>
      <w:r w:rsidRPr="004030DB">
        <w:rPr>
          <w:rFonts w:ascii="Arial" w:hAnsi="Arial" w:cs="Arial"/>
          <w:sz w:val="20"/>
          <w:szCs w:val="20"/>
          <w:lang w:val="en-GB"/>
        </w:rPr>
        <w:t>It is also responsible for ensuring its obligations to regulators and stakeholders are met.</w:t>
      </w:r>
      <w:r w:rsidR="009B3944" w:rsidRPr="004030DB">
        <w:rPr>
          <w:rFonts w:ascii="Arial" w:hAnsi="Arial" w:cs="Arial"/>
          <w:sz w:val="20"/>
          <w:szCs w:val="20"/>
          <w:lang w:val="en-GB"/>
        </w:rPr>
        <w:t xml:space="preserve"> </w:t>
      </w:r>
      <w:r w:rsidRPr="004030DB">
        <w:rPr>
          <w:rFonts w:ascii="Arial" w:hAnsi="Arial" w:cs="Arial"/>
          <w:sz w:val="20"/>
          <w:szCs w:val="20"/>
          <w:lang w:val="en-GB"/>
        </w:rPr>
        <w:t xml:space="preserve"> Strat</w:t>
      </w:r>
      <w:r w:rsidR="009B3944" w:rsidRPr="004030DB">
        <w:rPr>
          <w:rFonts w:ascii="Arial" w:hAnsi="Arial" w:cs="Arial"/>
          <w:sz w:val="20"/>
          <w:szCs w:val="20"/>
          <w:lang w:val="en-GB"/>
        </w:rPr>
        <w:t>egic priorities are set by the T</w:t>
      </w:r>
      <w:r w:rsidRPr="004030DB">
        <w:rPr>
          <w:rFonts w:ascii="Arial" w:hAnsi="Arial" w:cs="Arial"/>
          <w:sz w:val="20"/>
          <w:szCs w:val="20"/>
          <w:lang w:val="en-GB"/>
        </w:rPr>
        <w:t xml:space="preserve">rust </w:t>
      </w:r>
      <w:r w:rsidR="009B3944" w:rsidRPr="004030DB">
        <w:rPr>
          <w:rFonts w:ascii="Arial" w:hAnsi="Arial" w:cs="Arial"/>
          <w:sz w:val="20"/>
          <w:szCs w:val="20"/>
          <w:lang w:val="en-GB"/>
        </w:rPr>
        <w:t>B</w:t>
      </w:r>
      <w:r w:rsidRPr="004030DB">
        <w:rPr>
          <w:rFonts w:ascii="Arial" w:hAnsi="Arial" w:cs="Arial"/>
          <w:sz w:val="20"/>
          <w:szCs w:val="20"/>
          <w:lang w:val="en-GB"/>
        </w:rPr>
        <w:t xml:space="preserve">oard annually. </w:t>
      </w:r>
      <w:r w:rsidR="009B3944" w:rsidRPr="004030DB">
        <w:rPr>
          <w:rFonts w:ascii="Arial" w:hAnsi="Arial" w:cs="Arial"/>
          <w:sz w:val="20"/>
          <w:szCs w:val="20"/>
          <w:lang w:val="en-GB"/>
        </w:rPr>
        <w:t xml:space="preserve"> </w:t>
      </w:r>
      <w:r w:rsidRPr="004030DB">
        <w:rPr>
          <w:rFonts w:ascii="Arial" w:hAnsi="Arial" w:cs="Arial"/>
          <w:sz w:val="20"/>
          <w:szCs w:val="20"/>
          <w:lang w:val="en-GB"/>
        </w:rPr>
        <w:t xml:space="preserve">The risks to achieving these priorities are monitored through the </w:t>
      </w:r>
      <w:r w:rsidR="009B3944" w:rsidRPr="004030DB">
        <w:rPr>
          <w:rFonts w:ascii="Arial" w:hAnsi="Arial" w:cs="Arial"/>
          <w:sz w:val="20"/>
          <w:szCs w:val="20"/>
          <w:lang w:val="en-GB"/>
        </w:rPr>
        <w:t>Board A</w:t>
      </w:r>
      <w:r w:rsidRPr="004030DB">
        <w:rPr>
          <w:rFonts w:ascii="Arial" w:hAnsi="Arial" w:cs="Arial"/>
          <w:sz w:val="20"/>
          <w:szCs w:val="20"/>
          <w:lang w:val="en-GB"/>
        </w:rPr>
        <w:t xml:space="preserve">ssurance </w:t>
      </w:r>
      <w:r w:rsidR="009B3944" w:rsidRPr="004030DB">
        <w:rPr>
          <w:rFonts w:ascii="Arial" w:hAnsi="Arial" w:cs="Arial"/>
          <w:sz w:val="20"/>
          <w:szCs w:val="20"/>
          <w:lang w:val="en-GB"/>
        </w:rPr>
        <w:t>F</w:t>
      </w:r>
      <w:r w:rsidRPr="004030DB">
        <w:rPr>
          <w:rFonts w:ascii="Arial" w:hAnsi="Arial" w:cs="Arial"/>
          <w:sz w:val="20"/>
          <w:szCs w:val="20"/>
          <w:lang w:val="en-GB"/>
        </w:rPr>
        <w:t xml:space="preserve">ramework, which provides the </w:t>
      </w:r>
      <w:r w:rsidR="009B3944" w:rsidRPr="004030DB">
        <w:rPr>
          <w:rFonts w:ascii="Arial" w:hAnsi="Arial" w:cs="Arial"/>
          <w:sz w:val="20"/>
          <w:szCs w:val="20"/>
          <w:lang w:val="en-GB"/>
        </w:rPr>
        <w:t>B</w:t>
      </w:r>
      <w:r w:rsidRPr="004030DB">
        <w:rPr>
          <w:rFonts w:ascii="Arial" w:hAnsi="Arial" w:cs="Arial"/>
          <w:sz w:val="20"/>
          <w:szCs w:val="20"/>
          <w:lang w:val="en-GB"/>
        </w:rPr>
        <w:t>oard with a systematic process of obtaining assurance to support the mitigation of risks.</w:t>
      </w:r>
      <w:r w:rsidR="00074053" w:rsidRPr="004030DB">
        <w:rPr>
          <w:rFonts w:ascii="Arial" w:hAnsi="Arial" w:cs="Arial"/>
          <w:sz w:val="20"/>
          <w:szCs w:val="20"/>
          <w:lang w:val="en-GB"/>
        </w:rPr>
        <w:t xml:space="preserve"> </w:t>
      </w:r>
      <w:r w:rsidRPr="004030DB">
        <w:rPr>
          <w:rFonts w:ascii="Arial" w:hAnsi="Arial" w:cs="Arial"/>
          <w:sz w:val="20"/>
          <w:szCs w:val="20"/>
          <w:lang w:val="en-GB"/>
        </w:rPr>
        <w:t xml:space="preserve"> The Trust </w:t>
      </w:r>
      <w:r w:rsidR="009B3944" w:rsidRPr="004030DB">
        <w:rPr>
          <w:rFonts w:ascii="Arial" w:hAnsi="Arial" w:cs="Arial"/>
          <w:sz w:val="20"/>
          <w:szCs w:val="20"/>
          <w:lang w:val="en-GB"/>
        </w:rPr>
        <w:t>B</w:t>
      </w:r>
      <w:r w:rsidRPr="004030DB">
        <w:rPr>
          <w:rFonts w:ascii="Arial" w:hAnsi="Arial" w:cs="Arial"/>
          <w:sz w:val="20"/>
          <w:szCs w:val="20"/>
          <w:lang w:val="en-GB"/>
        </w:rPr>
        <w:t>oard leads the Trust and provides a framework of governance within which high quality, safe services are delivered to the residents of Medway and Swale.</w:t>
      </w:r>
    </w:p>
    <w:p w14:paraId="6BC42C18" w14:textId="77777777" w:rsidR="00BF07BD" w:rsidRPr="004030DB" w:rsidRDefault="00BF07BD" w:rsidP="00C84827">
      <w:pPr>
        <w:jc w:val="both"/>
        <w:rPr>
          <w:rFonts w:ascii="Arial" w:hAnsi="Arial" w:cs="Arial"/>
          <w:sz w:val="20"/>
          <w:szCs w:val="20"/>
          <w:lang w:val="en-GB"/>
        </w:rPr>
      </w:pPr>
    </w:p>
    <w:p w14:paraId="5FDC92F9" w14:textId="77777777" w:rsidR="00010A15" w:rsidRPr="004030DB" w:rsidRDefault="00010A15" w:rsidP="00C84827">
      <w:pPr>
        <w:jc w:val="both"/>
        <w:rPr>
          <w:rFonts w:ascii="Arial" w:hAnsi="Arial" w:cs="Arial"/>
          <w:b/>
          <w:sz w:val="20"/>
          <w:szCs w:val="20"/>
          <w:lang w:val="en-GB"/>
        </w:rPr>
      </w:pPr>
      <w:r w:rsidRPr="004030DB">
        <w:rPr>
          <w:rFonts w:ascii="Arial" w:hAnsi="Arial" w:cs="Arial"/>
          <w:b/>
          <w:sz w:val="20"/>
          <w:szCs w:val="20"/>
          <w:lang w:val="en-GB"/>
        </w:rPr>
        <w:t>Trust Board Governance</w:t>
      </w:r>
    </w:p>
    <w:p w14:paraId="2BFF36D8" w14:textId="77777777" w:rsidR="00461E4C" w:rsidRPr="004030DB" w:rsidRDefault="00010A15" w:rsidP="00C84827">
      <w:pPr>
        <w:jc w:val="both"/>
        <w:rPr>
          <w:rFonts w:ascii="Arial" w:hAnsi="Arial" w:cs="Arial"/>
          <w:b/>
          <w:color w:val="FF0000"/>
          <w:sz w:val="20"/>
          <w:szCs w:val="20"/>
          <w:lang w:val="en-GB"/>
        </w:rPr>
      </w:pPr>
      <w:r w:rsidRPr="004030DB">
        <w:rPr>
          <w:rFonts w:ascii="Arial" w:hAnsi="Arial" w:cs="Arial"/>
          <w:sz w:val="20"/>
          <w:szCs w:val="20"/>
          <w:lang w:val="en-GB"/>
        </w:rPr>
        <w:t xml:space="preserve">The </w:t>
      </w:r>
      <w:r w:rsidR="009B3944" w:rsidRPr="004030DB">
        <w:rPr>
          <w:rFonts w:ascii="Arial" w:hAnsi="Arial" w:cs="Arial"/>
          <w:sz w:val="20"/>
          <w:szCs w:val="20"/>
          <w:lang w:val="en-GB"/>
        </w:rPr>
        <w:t>B</w:t>
      </w:r>
      <w:r w:rsidRPr="004030DB">
        <w:rPr>
          <w:rFonts w:ascii="Arial" w:hAnsi="Arial" w:cs="Arial"/>
          <w:sz w:val="20"/>
          <w:szCs w:val="20"/>
          <w:lang w:val="en-GB"/>
        </w:rPr>
        <w:t>oard comprise</w:t>
      </w:r>
      <w:r w:rsidR="00913528" w:rsidRPr="004030DB">
        <w:rPr>
          <w:rFonts w:ascii="Arial" w:hAnsi="Arial" w:cs="Arial"/>
          <w:sz w:val="20"/>
          <w:szCs w:val="20"/>
          <w:lang w:val="en-GB"/>
        </w:rPr>
        <w:t>s</w:t>
      </w:r>
      <w:r w:rsidR="009B3944" w:rsidRPr="004030DB">
        <w:rPr>
          <w:rFonts w:ascii="Arial" w:hAnsi="Arial" w:cs="Arial"/>
          <w:sz w:val="20"/>
          <w:szCs w:val="20"/>
          <w:lang w:val="en-GB"/>
        </w:rPr>
        <w:t xml:space="preserve"> a Non-E</w:t>
      </w:r>
      <w:r w:rsidRPr="004030DB">
        <w:rPr>
          <w:rFonts w:ascii="Arial" w:hAnsi="Arial" w:cs="Arial"/>
          <w:sz w:val="20"/>
          <w:szCs w:val="20"/>
          <w:lang w:val="en-GB"/>
        </w:rPr>
        <w:t xml:space="preserve">xecutive </w:t>
      </w:r>
      <w:r w:rsidR="009B3944" w:rsidRPr="004030DB">
        <w:rPr>
          <w:rFonts w:ascii="Arial" w:hAnsi="Arial" w:cs="Arial"/>
          <w:sz w:val="20"/>
          <w:szCs w:val="20"/>
          <w:lang w:val="en-GB"/>
        </w:rPr>
        <w:t>C</w:t>
      </w:r>
      <w:r w:rsidRPr="004030DB">
        <w:rPr>
          <w:rFonts w:ascii="Arial" w:hAnsi="Arial" w:cs="Arial"/>
          <w:sz w:val="20"/>
          <w:szCs w:val="20"/>
          <w:lang w:val="en-GB"/>
        </w:rPr>
        <w:t xml:space="preserve">hair, </w:t>
      </w:r>
      <w:r w:rsidR="00ED354B" w:rsidRPr="004030DB">
        <w:rPr>
          <w:rFonts w:ascii="Arial" w:hAnsi="Arial" w:cs="Arial"/>
          <w:sz w:val="20"/>
          <w:szCs w:val="20"/>
          <w:lang w:val="en-GB"/>
        </w:rPr>
        <w:t>five</w:t>
      </w:r>
      <w:r w:rsidRPr="004030DB">
        <w:rPr>
          <w:rFonts w:ascii="Arial" w:hAnsi="Arial" w:cs="Arial"/>
          <w:sz w:val="20"/>
          <w:szCs w:val="20"/>
          <w:lang w:val="en-GB"/>
        </w:rPr>
        <w:t xml:space="preserve"> other </w:t>
      </w:r>
      <w:r w:rsidR="009B3944" w:rsidRPr="004030DB">
        <w:rPr>
          <w:rFonts w:ascii="Arial" w:hAnsi="Arial" w:cs="Arial"/>
          <w:sz w:val="20"/>
          <w:szCs w:val="20"/>
          <w:lang w:val="en-GB"/>
        </w:rPr>
        <w:t>N</w:t>
      </w:r>
      <w:r w:rsidRPr="004030DB">
        <w:rPr>
          <w:rFonts w:ascii="Arial" w:hAnsi="Arial" w:cs="Arial"/>
          <w:sz w:val="20"/>
          <w:szCs w:val="20"/>
          <w:lang w:val="en-GB"/>
        </w:rPr>
        <w:t>on-</w:t>
      </w:r>
      <w:r w:rsidR="009B3944" w:rsidRPr="004030DB">
        <w:rPr>
          <w:rFonts w:ascii="Arial" w:hAnsi="Arial" w:cs="Arial"/>
          <w:sz w:val="20"/>
          <w:szCs w:val="20"/>
          <w:lang w:val="en-GB"/>
        </w:rPr>
        <w:t>E</w:t>
      </w:r>
      <w:r w:rsidRPr="004030DB">
        <w:rPr>
          <w:rFonts w:ascii="Arial" w:hAnsi="Arial" w:cs="Arial"/>
          <w:sz w:val="20"/>
          <w:szCs w:val="20"/>
          <w:lang w:val="en-GB"/>
        </w:rPr>
        <w:t xml:space="preserve">xecutive </w:t>
      </w:r>
      <w:r w:rsidR="009B3944" w:rsidRPr="004030DB">
        <w:rPr>
          <w:rFonts w:ascii="Arial" w:hAnsi="Arial" w:cs="Arial"/>
          <w:sz w:val="20"/>
          <w:szCs w:val="20"/>
          <w:lang w:val="en-GB"/>
        </w:rPr>
        <w:t>D</w:t>
      </w:r>
      <w:r w:rsidRPr="004030DB">
        <w:rPr>
          <w:rFonts w:ascii="Arial" w:hAnsi="Arial" w:cs="Arial"/>
          <w:sz w:val="20"/>
          <w:szCs w:val="20"/>
          <w:lang w:val="en-GB"/>
        </w:rPr>
        <w:t>irectors</w:t>
      </w:r>
      <w:r w:rsidR="003F407B" w:rsidRPr="004030DB">
        <w:rPr>
          <w:rFonts w:ascii="Arial" w:hAnsi="Arial" w:cs="Arial"/>
          <w:sz w:val="20"/>
          <w:szCs w:val="20"/>
          <w:lang w:val="en-GB"/>
        </w:rPr>
        <w:t xml:space="preserve"> (NED) and </w:t>
      </w:r>
      <w:r w:rsidR="00ED354B" w:rsidRPr="004030DB">
        <w:rPr>
          <w:rFonts w:ascii="Arial" w:hAnsi="Arial" w:cs="Arial"/>
          <w:sz w:val="20"/>
          <w:szCs w:val="20"/>
          <w:lang w:val="en-GB"/>
        </w:rPr>
        <w:t>one Academic NED</w:t>
      </w:r>
      <w:r w:rsidR="00601340" w:rsidRPr="004030DB">
        <w:rPr>
          <w:rFonts w:ascii="Arial" w:hAnsi="Arial" w:cs="Arial"/>
          <w:sz w:val="20"/>
          <w:szCs w:val="20"/>
          <w:lang w:val="en-GB"/>
        </w:rPr>
        <w:t xml:space="preserve"> (non-voting)</w:t>
      </w:r>
      <w:r w:rsidRPr="004030DB">
        <w:rPr>
          <w:rFonts w:ascii="Arial" w:hAnsi="Arial" w:cs="Arial"/>
          <w:sz w:val="20"/>
          <w:szCs w:val="20"/>
          <w:lang w:val="en-GB"/>
        </w:rPr>
        <w:t xml:space="preserve">, </w:t>
      </w:r>
      <w:r w:rsidR="00BC2890" w:rsidRPr="004030DB">
        <w:rPr>
          <w:rFonts w:ascii="Arial" w:hAnsi="Arial" w:cs="Arial"/>
          <w:sz w:val="20"/>
          <w:szCs w:val="20"/>
          <w:lang w:val="en-GB"/>
        </w:rPr>
        <w:t>five</w:t>
      </w:r>
      <w:r w:rsidRPr="004030DB">
        <w:rPr>
          <w:rFonts w:ascii="Arial" w:hAnsi="Arial" w:cs="Arial"/>
          <w:sz w:val="20"/>
          <w:szCs w:val="20"/>
          <w:lang w:val="en-GB"/>
        </w:rPr>
        <w:t xml:space="preserve"> </w:t>
      </w:r>
      <w:r w:rsidR="009B3944" w:rsidRPr="004030DB">
        <w:rPr>
          <w:rFonts w:ascii="Arial" w:hAnsi="Arial" w:cs="Arial"/>
          <w:sz w:val="20"/>
          <w:szCs w:val="20"/>
          <w:lang w:val="en-GB"/>
        </w:rPr>
        <w:t>voting E</w:t>
      </w:r>
      <w:r w:rsidRPr="004030DB">
        <w:rPr>
          <w:rFonts w:ascii="Arial" w:hAnsi="Arial" w:cs="Arial"/>
          <w:sz w:val="20"/>
          <w:szCs w:val="20"/>
          <w:lang w:val="en-GB"/>
        </w:rPr>
        <w:t xml:space="preserve">xecutive </w:t>
      </w:r>
      <w:r w:rsidR="009B3944" w:rsidRPr="004030DB">
        <w:rPr>
          <w:rFonts w:ascii="Arial" w:hAnsi="Arial" w:cs="Arial"/>
          <w:sz w:val="20"/>
          <w:szCs w:val="20"/>
          <w:lang w:val="en-GB"/>
        </w:rPr>
        <w:t>D</w:t>
      </w:r>
      <w:r w:rsidRPr="004030DB">
        <w:rPr>
          <w:rFonts w:ascii="Arial" w:hAnsi="Arial" w:cs="Arial"/>
          <w:sz w:val="20"/>
          <w:szCs w:val="20"/>
          <w:lang w:val="en-GB"/>
        </w:rPr>
        <w:t>irectors, including</w:t>
      </w:r>
      <w:r w:rsidR="003F407B" w:rsidRPr="004030DB">
        <w:rPr>
          <w:rFonts w:ascii="Arial" w:hAnsi="Arial" w:cs="Arial"/>
          <w:sz w:val="20"/>
          <w:szCs w:val="20"/>
          <w:lang w:val="en-GB"/>
        </w:rPr>
        <w:t>;</w:t>
      </w:r>
      <w:r w:rsidRPr="004030DB">
        <w:rPr>
          <w:rFonts w:ascii="Arial" w:hAnsi="Arial" w:cs="Arial"/>
          <w:sz w:val="20"/>
          <w:szCs w:val="20"/>
          <w:lang w:val="en-GB"/>
        </w:rPr>
        <w:t xml:space="preserve"> the </w:t>
      </w:r>
      <w:r w:rsidR="009B3944" w:rsidRPr="004030DB">
        <w:rPr>
          <w:rFonts w:ascii="Arial" w:hAnsi="Arial" w:cs="Arial"/>
          <w:sz w:val="20"/>
          <w:szCs w:val="20"/>
          <w:lang w:val="en-GB"/>
        </w:rPr>
        <w:t>C</w:t>
      </w:r>
      <w:r w:rsidRPr="004030DB">
        <w:rPr>
          <w:rFonts w:ascii="Arial" w:hAnsi="Arial" w:cs="Arial"/>
          <w:sz w:val="20"/>
          <w:szCs w:val="20"/>
          <w:lang w:val="en-GB"/>
        </w:rPr>
        <w:t xml:space="preserve">hief </w:t>
      </w:r>
      <w:r w:rsidR="009B3944" w:rsidRPr="004030DB">
        <w:rPr>
          <w:rFonts w:ascii="Arial" w:hAnsi="Arial" w:cs="Arial"/>
          <w:sz w:val="20"/>
          <w:szCs w:val="20"/>
          <w:lang w:val="en-GB"/>
        </w:rPr>
        <w:t>E</w:t>
      </w:r>
      <w:r w:rsidRPr="004030DB">
        <w:rPr>
          <w:rFonts w:ascii="Arial" w:hAnsi="Arial" w:cs="Arial"/>
          <w:sz w:val="20"/>
          <w:szCs w:val="20"/>
          <w:lang w:val="en-GB"/>
        </w:rPr>
        <w:t>xecutive</w:t>
      </w:r>
      <w:r w:rsidR="009B3944" w:rsidRPr="004030DB">
        <w:rPr>
          <w:rFonts w:ascii="Arial" w:hAnsi="Arial" w:cs="Arial"/>
          <w:sz w:val="20"/>
          <w:szCs w:val="20"/>
          <w:lang w:val="en-GB"/>
        </w:rPr>
        <w:t>, C</w:t>
      </w:r>
      <w:r w:rsidRPr="004030DB">
        <w:rPr>
          <w:rFonts w:ascii="Arial" w:hAnsi="Arial" w:cs="Arial"/>
          <w:sz w:val="20"/>
          <w:szCs w:val="20"/>
          <w:lang w:val="en-GB"/>
        </w:rPr>
        <w:t xml:space="preserve">hief </w:t>
      </w:r>
      <w:r w:rsidR="009B3944" w:rsidRPr="004030DB">
        <w:rPr>
          <w:rFonts w:ascii="Arial" w:hAnsi="Arial" w:cs="Arial"/>
          <w:sz w:val="20"/>
          <w:szCs w:val="20"/>
          <w:lang w:val="en-GB"/>
        </w:rPr>
        <w:t>F</w:t>
      </w:r>
      <w:r w:rsidR="00004B5A" w:rsidRPr="004030DB">
        <w:rPr>
          <w:rFonts w:ascii="Arial" w:hAnsi="Arial" w:cs="Arial"/>
          <w:sz w:val="20"/>
          <w:szCs w:val="20"/>
          <w:lang w:val="en-GB"/>
        </w:rPr>
        <w:t>inanc</w:t>
      </w:r>
      <w:r w:rsidR="003F407B" w:rsidRPr="004030DB">
        <w:rPr>
          <w:rFonts w:ascii="Arial" w:hAnsi="Arial" w:cs="Arial"/>
          <w:sz w:val="20"/>
          <w:szCs w:val="20"/>
          <w:lang w:val="en-GB"/>
        </w:rPr>
        <w:t>e</w:t>
      </w:r>
      <w:r w:rsidR="00004B5A" w:rsidRPr="004030DB">
        <w:rPr>
          <w:rFonts w:ascii="Arial" w:hAnsi="Arial" w:cs="Arial"/>
          <w:sz w:val="20"/>
          <w:szCs w:val="20"/>
          <w:lang w:val="en-GB"/>
        </w:rPr>
        <w:t xml:space="preserve"> </w:t>
      </w:r>
      <w:r w:rsidR="009B3944" w:rsidRPr="004030DB">
        <w:rPr>
          <w:rFonts w:ascii="Arial" w:hAnsi="Arial" w:cs="Arial"/>
          <w:sz w:val="20"/>
          <w:szCs w:val="20"/>
          <w:lang w:val="en-GB"/>
        </w:rPr>
        <w:t>Officer, C</w:t>
      </w:r>
      <w:r w:rsidRPr="004030DB">
        <w:rPr>
          <w:rFonts w:ascii="Arial" w:hAnsi="Arial" w:cs="Arial"/>
          <w:sz w:val="20"/>
          <w:szCs w:val="20"/>
          <w:lang w:val="en-GB"/>
        </w:rPr>
        <w:t xml:space="preserve">hief </w:t>
      </w:r>
      <w:r w:rsidR="009B3944" w:rsidRPr="004030DB">
        <w:rPr>
          <w:rFonts w:ascii="Arial" w:hAnsi="Arial" w:cs="Arial"/>
          <w:sz w:val="20"/>
          <w:szCs w:val="20"/>
          <w:lang w:val="en-GB"/>
        </w:rPr>
        <w:t>N</w:t>
      </w:r>
      <w:r w:rsidRPr="004030DB">
        <w:rPr>
          <w:rFonts w:ascii="Arial" w:hAnsi="Arial" w:cs="Arial"/>
          <w:sz w:val="20"/>
          <w:szCs w:val="20"/>
          <w:lang w:val="en-GB"/>
        </w:rPr>
        <w:t xml:space="preserve">ursing </w:t>
      </w:r>
      <w:r w:rsidR="009B3944" w:rsidRPr="004030DB">
        <w:rPr>
          <w:rFonts w:ascii="Arial" w:hAnsi="Arial" w:cs="Arial"/>
          <w:sz w:val="20"/>
          <w:szCs w:val="20"/>
          <w:lang w:val="en-GB"/>
        </w:rPr>
        <w:t>Officer</w:t>
      </w:r>
      <w:r w:rsidR="00F13F02" w:rsidRPr="004030DB">
        <w:rPr>
          <w:rFonts w:ascii="Arial" w:hAnsi="Arial" w:cs="Arial"/>
          <w:sz w:val="20"/>
          <w:szCs w:val="20"/>
          <w:lang w:val="en-GB"/>
        </w:rPr>
        <w:t xml:space="preserve">, </w:t>
      </w:r>
      <w:r w:rsidR="009B3944" w:rsidRPr="004030DB">
        <w:rPr>
          <w:rFonts w:ascii="Arial" w:hAnsi="Arial" w:cs="Arial"/>
          <w:sz w:val="20"/>
          <w:szCs w:val="20"/>
          <w:lang w:val="en-GB"/>
        </w:rPr>
        <w:t>Chief M</w:t>
      </w:r>
      <w:r w:rsidRPr="004030DB">
        <w:rPr>
          <w:rFonts w:ascii="Arial" w:hAnsi="Arial" w:cs="Arial"/>
          <w:sz w:val="20"/>
          <w:szCs w:val="20"/>
          <w:lang w:val="en-GB"/>
        </w:rPr>
        <w:t>ed</w:t>
      </w:r>
      <w:r w:rsidR="009B3944" w:rsidRPr="004030DB">
        <w:rPr>
          <w:rFonts w:ascii="Arial" w:hAnsi="Arial" w:cs="Arial"/>
          <w:sz w:val="20"/>
          <w:szCs w:val="20"/>
          <w:lang w:val="en-GB"/>
        </w:rPr>
        <w:t>ical O</w:t>
      </w:r>
      <w:r w:rsidRPr="004030DB">
        <w:rPr>
          <w:rFonts w:ascii="Arial" w:hAnsi="Arial" w:cs="Arial"/>
          <w:sz w:val="20"/>
          <w:szCs w:val="20"/>
          <w:lang w:val="en-GB"/>
        </w:rPr>
        <w:t>fficer</w:t>
      </w:r>
      <w:r w:rsidR="00F13F02" w:rsidRPr="004030DB">
        <w:rPr>
          <w:rFonts w:ascii="Arial" w:hAnsi="Arial" w:cs="Arial"/>
          <w:sz w:val="20"/>
          <w:szCs w:val="20"/>
          <w:lang w:val="en-GB"/>
        </w:rPr>
        <w:t>, Chief Operating Officer and Chief People Officer (both sharing a vote)</w:t>
      </w:r>
      <w:r w:rsidR="00E63CA7" w:rsidRPr="004030DB">
        <w:rPr>
          <w:rFonts w:ascii="Arial" w:hAnsi="Arial" w:cs="Arial"/>
          <w:sz w:val="20"/>
          <w:szCs w:val="20"/>
          <w:lang w:val="en-GB"/>
        </w:rPr>
        <w:t xml:space="preserve"> and one non-voting Chief Delivery Officer.</w:t>
      </w:r>
      <w:r w:rsidR="00C84827" w:rsidRPr="004030DB">
        <w:rPr>
          <w:rFonts w:ascii="Arial" w:hAnsi="Arial" w:cs="Arial"/>
          <w:b/>
          <w:color w:val="FF0000"/>
          <w:sz w:val="20"/>
          <w:szCs w:val="20"/>
          <w:lang w:val="en-GB"/>
        </w:rPr>
        <w:t xml:space="preserve">  </w:t>
      </w:r>
      <w:r w:rsidR="00601340" w:rsidRPr="004030DB">
        <w:rPr>
          <w:rFonts w:ascii="Arial" w:hAnsi="Arial" w:cs="Arial"/>
          <w:sz w:val="20"/>
          <w:szCs w:val="20"/>
          <w:lang w:val="en-GB"/>
        </w:rPr>
        <w:t xml:space="preserve">  </w:t>
      </w:r>
    </w:p>
    <w:p w14:paraId="78E7D4E2" w14:textId="77777777" w:rsidR="00BC2890" w:rsidRPr="004030DB" w:rsidRDefault="00BC2890" w:rsidP="00C84827">
      <w:pPr>
        <w:jc w:val="both"/>
        <w:rPr>
          <w:rFonts w:ascii="Arial" w:hAnsi="Arial" w:cs="Arial"/>
          <w:b/>
          <w:color w:val="FF0000"/>
          <w:sz w:val="20"/>
          <w:szCs w:val="20"/>
          <w:lang w:val="en-GB"/>
        </w:rPr>
      </w:pPr>
    </w:p>
    <w:p w14:paraId="70DEC8D3" w14:textId="77777777" w:rsidR="00C14571" w:rsidRPr="004030DB" w:rsidRDefault="00010A15" w:rsidP="00C84827">
      <w:pPr>
        <w:jc w:val="both"/>
        <w:rPr>
          <w:rFonts w:ascii="Arial" w:hAnsi="Arial" w:cs="Arial"/>
          <w:b/>
          <w:color w:val="FF0000"/>
          <w:sz w:val="20"/>
          <w:szCs w:val="20"/>
          <w:lang w:val="en-GB"/>
        </w:rPr>
      </w:pPr>
      <w:r w:rsidRPr="004030DB">
        <w:rPr>
          <w:rFonts w:ascii="Arial" w:hAnsi="Arial" w:cs="Arial"/>
          <w:sz w:val="20"/>
          <w:szCs w:val="20"/>
          <w:lang w:val="en-GB"/>
        </w:rPr>
        <w:t xml:space="preserve">The </w:t>
      </w:r>
      <w:r w:rsidR="009B3944" w:rsidRPr="004030DB">
        <w:rPr>
          <w:rFonts w:ascii="Arial" w:hAnsi="Arial" w:cs="Arial"/>
          <w:sz w:val="20"/>
          <w:szCs w:val="20"/>
          <w:lang w:val="en-GB"/>
        </w:rPr>
        <w:t>C</w:t>
      </w:r>
      <w:r w:rsidRPr="004030DB">
        <w:rPr>
          <w:rFonts w:ascii="Arial" w:hAnsi="Arial" w:cs="Arial"/>
          <w:sz w:val="20"/>
          <w:szCs w:val="20"/>
          <w:lang w:val="en-GB"/>
        </w:rPr>
        <w:t xml:space="preserve">hair is responsible for leadership of the </w:t>
      </w:r>
      <w:r w:rsidR="009B3944" w:rsidRPr="004030DB">
        <w:rPr>
          <w:rFonts w:ascii="Arial" w:hAnsi="Arial" w:cs="Arial"/>
          <w:sz w:val="20"/>
          <w:szCs w:val="20"/>
          <w:lang w:val="en-GB"/>
        </w:rPr>
        <w:t>Board of D</w:t>
      </w:r>
      <w:r w:rsidRPr="004030DB">
        <w:rPr>
          <w:rFonts w:ascii="Arial" w:hAnsi="Arial" w:cs="Arial"/>
          <w:sz w:val="20"/>
          <w:szCs w:val="20"/>
          <w:lang w:val="en-GB"/>
        </w:rPr>
        <w:t xml:space="preserve">irectors and the Council of Governors and responsible for ensuring that the </w:t>
      </w:r>
      <w:r w:rsidR="009B3944" w:rsidRPr="004030DB">
        <w:rPr>
          <w:rFonts w:ascii="Arial" w:hAnsi="Arial" w:cs="Arial"/>
          <w:sz w:val="20"/>
          <w:szCs w:val="20"/>
          <w:lang w:val="en-GB"/>
        </w:rPr>
        <w:t>B</w:t>
      </w:r>
      <w:r w:rsidRPr="004030DB">
        <w:rPr>
          <w:rFonts w:ascii="Arial" w:hAnsi="Arial" w:cs="Arial"/>
          <w:sz w:val="20"/>
          <w:szCs w:val="20"/>
          <w:lang w:val="en-GB"/>
        </w:rPr>
        <w:t>oard and Cou</w:t>
      </w:r>
      <w:r w:rsidR="009B3944" w:rsidRPr="004030DB">
        <w:rPr>
          <w:rFonts w:ascii="Arial" w:hAnsi="Arial" w:cs="Arial"/>
          <w:sz w:val="20"/>
          <w:szCs w:val="20"/>
          <w:lang w:val="en-GB"/>
        </w:rPr>
        <w:t>ncil work together effectively.  The Senior Independent Director, who is also a Non-Executive D</w:t>
      </w:r>
      <w:r w:rsidRPr="004030DB">
        <w:rPr>
          <w:rFonts w:ascii="Arial" w:hAnsi="Arial" w:cs="Arial"/>
          <w:sz w:val="20"/>
          <w:szCs w:val="20"/>
          <w:lang w:val="en-GB"/>
        </w:rPr>
        <w:t xml:space="preserve">irector, provides a sounding-board for the </w:t>
      </w:r>
      <w:r w:rsidR="009B3944" w:rsidRPr="004030DB">
        <w:rPr>
          <w:rFonts w:ascii="Arial" w:hAnsi="Arial" w:cs="Arial"/>
          <w:sz w:val="20"/>
          <w:szCs w:val="20"/>
          <w:lang w:val="en-GB"/>
        </w:rPr>
        <w:t>C</w:t>
      </w:r>
      <w:r w:rsidRPr="004030DB">
        <w:rPr>
          <w:rFonts w:ascii="Arial" w:hAnsi="Arial" w:cs="Arial"/>
          <w:sz w:val="20"/>
          <w:szCs w:val="20"/>
          <w:lang w:val="en-GB"/>
        </w:rPr>
        <w:t xml:space="preserve">hair and serves as an intermediary for the other </w:t>
      </w:r>
      <w:r w:rsidR="009B3944" w:rsidRPr="004030DB">
        <w:rPr>
          <w:rFonts w:ascii="Arial" w:hAnsi="Arial" w:cs="Arial"/>
          <w:sz w:val="20"/>
          <w:szCs w:val="20"/>
          <w:lang w:val="en-GB"/>
        </w:rPr>
        <w:t>D</w:t>
      </w:r>
      <w:r w:rsidRPr="004030DB">
        <w:rPr>
          <w:rFonts w:ascii="Arial" w:hAnsi="Arial" w:cs="Arial"/>
          <w:sz w:val="20"/>
          <w:szCs w:val="20"/>
          <w:lang w:val="en-GB"/>
        </w:rPr>
        <w:t>irectors when necessary.</w:t>
      </w:r>
      <w:r w:rsidR="00C84827" w:rsidRPr="004030DB">
        <w:rPr>
          <w:rFonts w:ascii="Arial" w:hAnsi="Arial" w:cs="Arial"/>
          <w:sz w:val="20"/>
          <w:szCs w:val="20"/>
          <w:lang w:val="en-GB"/>
        </w:rPr>
        <w:t xml:space="preserve">  </w:t>
      </w:r>
      <w:r w:rsidRPr="004030DB">
        <w:rPr>
          <w:rFonts w:ascii="Arial" w:hAnsi="Arial" w:cs="Arial"/>
          <w:sz w:val="20"/>
          <w:szCs w:val="20"/>
          <w:lang w:val="en-GB"/>
        </w:rPr>
        <w:t>They should be available to</w:t>
      </w:r>
      <w:r w:rsidR="00C14571" w:rsidRPr="004030DB">
        <w:rPr>
          <w:rFonts w:ascii="Arial" w:hAnsi="Arial" w:cs="Arial"/>
          <w:sz w:val="20"/>
          <w:szCs w:val="20"/>
          <w:lang w:val="en-GB"/>
        </w:rPr>
        <w:t xml:space="preserve"> </w:t>
      </w:r>
      <w:r w:rsidR="00F45C23" w:rsidRPr="004030DB">
        <w:rPr>
          <w:rFonts w:ascii="Arial" w:hAnsi="Arial" w:cs="Arial"/>
          <w:sz w:val="20"/>
          <w:szCs w:val="20"/>
          <w:lang w:val="en-GB"/>
        </w:rPr>
        <w:t>G</w:t>
      </w:r>
      <w:r w:rsidRPr="004030DB">
        <w:rPr>
          <w:rFonts w:ascii="Arial" w:hAnsi="Arial" w:cs="Arial"/>
          <w:sz w:val="20"/>
          <w:szCs w:val="20"/>
          <w:lang w:val="en-GB"/>
        </w:rPr>
        <w:t>overnors if they have concerns that contact through the normal channels has failed to resolve, or for which su</w:t>
      </w:r>
      <w:r w:rsidR="009B3944" w:rsidRPr="004030DB">
        <w:rPr>
          <w:rFonts w:ascii="Arial" w:hAnsi="Arial" w:cs="Arial"/>
          <w:sz w:val="20"/>
          <w:szCs w:val="20"/>
          <w:lang w:val="en-GB"/>
        </w:rPr>
        <w:t xml:space="preserve">ch contact is inappropriate. </w:t>
      </w:r>
    </w:p>
    <w:p w14:paraId="2DCB480E" w14:textId="77777777" w:rsidR="00ED354B" w:rsidRPr="004030DB" w:rsidRDefault="00ED354B" w:rsidP="00C84827">
      <w:pPr>
        <w:jc w:val="both"/>
        <w:rPr>
          <w:rFonts w:ascii="Arial" w:hAnsi="Arial" w:cs="Arial"/>
          <w:sz w:val="20"/>
          <w:szCs w:val="20"/>
          <w:lang w:val="en-GB"/>
        </w:rPr>
      </w:pPr>
    </w:p>
    <w:p w14:paraId="6A980F3C" w14:textId="77777777" w:rsidR="00010A15" w:rsidRPr="004030DB" w:rsidRDefault="00010A15" w:rsidP="00C84827">
      <w:pPr>
        <w:jc w:val="both"/>
        <w:rPr>
          <w:rFonts w:ascii="Arial" w:hAnsi="Arial" w:cs="Arial"/>
          <w:sz w:val="20"/>
          <w:szCs w:val="20"/>
          <w:lang w:val="en-GB"/>
        </w:rPr>
      </w:pPr>
      <w:r w:rsidRPr="004030DB">
        <w:rPr>
          <w:rFonts w:ascii="Arial" w:hAnsi="Arial" w:cs="Arial"/>
          <w:sz w:val="20"/>
          <w:szCs w:val="20"/>
          <w:lang w:val="en-GB"/>
        </w:rPr>
        <w:t xml:space="preserve">The </w:t>
      </w:r>
      <w:r w:rsidR="009B3944" w:rsidRPr="004030DB">
        <w:rPr>
          <w:rFonts w:ascii="Arial" w:hAnsi="Arial" w:cs="Arial"/>
          <w:sz w:val="20"/>
          <w:szCs w:val="20"/>
          <w:lang w:val="en-GB"/>
        </w:rPr>
        <w:t>N</w:t>
      </w:r>
      <w:r w:rsidRPr="004030DB">
        <w:rPr>
          <w:rFonts w:ascii="Arial" w:hAnsi="Arial" w:cs="Arial"/>
          <w:sz w:val="20"/>
          <w:szCs w:val="20"/>
          <w:lang w:val="en-GB"/>
        </w:rPr>
        <w:t>on-</w:t>
      </w:r>
      <w:r w:rsidR="009B3944" w:rsidRPr="004030DB">
        <w:rPr>
          <w:rFonts w:ascii="Arial" w:hAnsi="Arial" w:cs="Arial"/>
          <w:sz w:val="20"/>
          <w:szCs w:val="20"/>
          <w:lang w:val="en-GB"/>
        </w:rPr>
        <w:t>E</w:t>
      </w:r>
      <w:r w:rsidRPr="004030DB">
        <w:rPr>
          <w:rFonts w:ascii="Arial" w:hAnsi="Arial" w:cs="Arial"/>
          <w:sz w:val="20"/>
          <w:szCs w:val="20"/>
          <w:lang w:val="en-GB"/>
        </w:rPr>
        <w:t xml:space="preserve">xecutive </w:t>
      </w:r>
      <w:r w:rsidR="009B3944" w:rsidRPr="004030DB">
        <w:rPr>
          <w:rFonts w:ascii="Arial" w:hAnsi="Arial" w:cs="Arial"/>
          <w:sz w:val="20"/>
          <w:szCs w:val="20"/>
          <w:lang w:val="en-GB"/>
        </w:rPr>
        <w:t>D</w:t>
      </w:r>
      <w:r w:rsidRPr="004030DB">
        <w:rPr>
          <w:rFonts w:ascii="Arial" w:hAnsi="Arial" w:cs="Arial"/>
          <w:sz w:val="20"/>
          <w:szCs w:val="20"/>
          <w:lang w:val="en-GB"/>
        </w:rPr>
        <w:t xml:space="preserve">irectors scrutinise the performance of the </w:t>
      </w:r>
      <w:r w:rsidR="009B3944" w:rsidRPr="004030DB">
        <w:rPr>
          <w:rFonts w:ascii="Arial" w:hAnsi="Arial" w:cs="Arial"/>
          <w:sz w:val="20"/>
          <w:szCs w:val="20"/>
          <w:lang w:val="en-GB"/>
        </w:rPr>
        <w:t>E</w:t>
      </w:r>
      <w:r w:rsidRPr="004030DB">
        <w:rPr>
          <w:rFonts w:ascii="Arial" w:hAnsi="Arial" w:cs="Arial"/>
          <w:sz w:val="20"/>
          <w:szCs w:val="20"/>
          <w:lang w:val="en-GB"/>
        </w:rPr>
        <w:t>xecutive team in meeting agreed goals and obje</w:t>
      </w:r>
      <w:r w:rsidR="009B3944" w:rsidRPr="004030DB">
        <w:rPr>
          <w:rFonts w:ascii="Arial" w:hAnsi="Arial" w:cs="Arial"/>
          <w:sz w:val="20"/>
          <w:szCs w:val="20"/>
          <w:lang w:val="en-GB"/>
        </w:rPr>
        <w:t>ctives and monitor performance.</w:t>
      </w:r>
      <w:r w:rsidR="00C84827" w:rsidRPr="004030DB">
        <w:rPr>
          <w:rFonts w:ascii="Arial" w:hAnsi="Arial" w:cs="Arial"/>
          <w:sz w:val="20"/>
          <w:szCs w:val="20"/>
          <w:lang w:val="en-GB"/>
        </w:rPr>
        <w:t xml:space="preserve">  </w:t>
      </w:r>
      <w:r w:rsidRPr="004030DB">
        <w:rPr>
          <w:rFonts w:ascii="Arial" w:hAnsi="Arial" w:cs="Arial"/>
          <w:sz w:val="20"/>
          <w:szCs w:val="20"/>
          <w:lang w:val="en-GB"/>
        </w:rPr>
        <w:t xml:space="preserve">The </w:t>
      </w:r>
      <w:r w:rsidR="00BF5D4C" w:rsidRPr="004030DB">
        <w:rPr>
          <w:rFonts w:ascii="Arial" w:hAnsi="Arial" w:cs="Arial"/>
          <w:sz w:val="20"/>
          <w:szCs w:val="20"/>
          <w:lang w:val="en-GB"/>
        </w:rPr>
        <w:t>E</w:t>
      </w:r>
      <w:r w:rsidRPr="004030DB">
        <w:rPr>
          <w:rFonts w:ascii="Arial" w:hAnsi="Arial" w:cs="Arial"/>
          <w:sz w:val="20"/>
          <w:szCs w:val="20"/>
          <w:lang w:val="en-GB"/>
        </w:rPr>
        <w:t xml:space="preserve">xecutive </w:t>
      </w:r>
      <w:r w:rsidR="00BF5D4C" w:rsidRPr="004030DB">
        <w:rPr>
          <w:rFonts w:ascii="Arial" w:hAnsi="Arial" w:cs="Arial"/>
          <w:sz w:val="20"/>
          <w:szCs w:val="20"/>
          <w:lang w:val="en-GB"/>
        </w:rPr>
        <w:t>D</w:t>
      </w:r>
      <w:r w:rsidRPr="004030DB">
        <w:rPr>
          <w:rFonts w:ascii="Arial" w:hAnsi="Arial" w:cs="Arial"/>
          <w:sz w:val="20"/>
          <w:szCs w:val="20"/>
          <w:lang w:val="en-GB"/>
        </w:rPr>
        <w:t>irectors are responsible for managing the day-to-day operational and fina</w:t>
      </w:r>
      <w:r w:rsidR="00BF5D4C" w:rsidRPr="004030DB">
        <w:rPr>
          <w:rFonts w:ascii="Arial" w:hAnsi="Arial" w:cs="Arial"/>
          <w:sz w:val="20"/>
          <w:szCs w:val="20"/>
          <w:lang w:val="en-GB"/>
        </w:rPr>
        <w:t xml:space="preserve">ncial performance of the Trust.  </w:t>
      </w:r>
      <w:r w:rsidRPr="004030DB">
        <w:rPr>
          <w:rFonts w:ascii="Arial" w:hAnsi="Arial" w:cs="Arial"/>
          <w:sz w:val="20"/>
          <w:szCs w:val="20"/>
          <w:lang w:val="en-GB"/>
        </w:rPr>
        <w:t xml:space="preserve">The </w:t>
      </w:r>
      <w:r w:rsidR="00BF5D4C" w:rsidRPr="004030DB">
        <w:rPr>
          <w:rFonts w:ascii="Arial" w:hAnsi="Arial" w:cs="Arial"/>
          <w:sz w:val="20"/>
          <w:szCs w:val="20"/>
          <w:lang w:val="en-GB"/>
        </w:rPr>
        <w:t>C</w:t>
      </w:r>
      <w:r w:rsidRPr="004030DB">
        <w:rPr>
          <w:rFonts w:ascii="Arial" w:hAnsi="Arial" w:cs="Arial"/>
          <w:sz w:val="20"/>
          <w:szCs w:val="20"/>
          <w:lang w:val="en-GB"/>
        </w:rPr>
        <w:t xml:space="preserve">hief </w:t>
      </w:r>
      <w:r w:rsidR="00BF5D4C" w:rsidRPr="004030DB">
        <w:rPr>
          <w:rFonts w:ascii="Arial" w:hAnsi="Arial" w:cs="Arial"/>
          <w:sz w:val="20"/>
          <w:szCs w:val="20"/>
          <w:lang w:val="en-GB"/>
        </w:rPr>
        <w:t>E</w:t>
      </w:r>
      <w:r w:rsidRPr="004030DB">
        <w:rPr>
          <w:rFonts w:ascii="Arial" w:hAnsi="Arial" w:cs="Arial"/>
          <w:sz w:val="20"/>
          <w:szCs w:val="20"/>
          <w:lang w:val="en-GB"/>
        </w:rPr>
        <w:t xml:space="preserve">xecutive leads the </w:t>
      </w:r>
      <w:r w:rsidR="00BF5D4C" w:rsidRPr="004030DB">
        <w:rPr>
          <w:rFonts w:ascii="Arial" w:hAnsi="Arial" w:cs="Arial"/>
          <w:sz w:val="20"/>
          <w:szCs w:val="20"/>
          <w:lang w:val="en-GB"/>
        </w:rPr>
        <w:t>E</w:t>
      </w:r>
      <w:r w:rsidRPr="004030DB">
        <w:rPr>
          <w:rFonts w:ascii="Arial" w:hAnsi="Arial" w:cs="Arial"/>
          <w:sz w:val="20"/>
          <w:szCs w:val="20"/>
          <w:lang w:val="en-GB"/>
        </w:rPr>
        <w:t xml:space="preserve">xecutive team and is accountable to the </w:t>
      </w:r>
      <w:r w:rsidR="00BF5D4C" w:rsidRPr="004030DB">
        <w:rPr>
          <w:rFonts w:ascii="Arial" w:hAnsi="Arial" w:cs="Arial"/>
          <w:sz w:val="20"/>
          <w:szCs w:val="20"/>
          <w:lang w:val="en-GB"/>
        </w:rPr>
        <w:t>B</w:t>
      </w:r>
      <w:r w:rsidRPr="004030DB">
        <w:rPr>
          <w:rFonts w:ascii="Arial" w:hAnsi="Arial" w:cs="Arial"/>
          <w:sz w:val="20"/>
          <w:szCs w:val="20"/>
          <w:lang w:val="en-GB"/>
        </w:rPr>
        <w:t>oard for the operational delivery of the Trust.</w:t>
      </w:r>
    </w:p>
    <w:p w14:paraId="668D5BF1" w14:textId="77777777" w:rsidR="00C14571" w:rsidRPr="004030DB" w:rsidRDefault="00C14571" w:rsidP="00C84827">
      <w:pPr>
        <w:jc w:val="both"/>
        <w:rPr>
          <w:rFonts w:ascii="Arial" w:hAnsi="Arial" w:cs="Arial"/>
          <w:sz w:val="20"/>
          <w:szCs w:val="20"/>
          <w:lang w:val="en-GB"/>
        </w:rPr>
      </w:pPr>
    </w:p>
    <w:p w14:paraId="580D2303" w14:textId="77777777" w:rsidR="00010A15" w:rsidRPr="004030DB" w:rsidRDefault="00913528" w:rsidP="00C84827">
      <w:pPr>
        <w:jc w:val="both"/>
        <w:rPr>
          <w:rFonts w:ascii="Arial" w:hAnsi="Arial" w:cs="Arial"/>
          <w:sz w:val="20"/>
          <w:szCs w:val="20"/>
          <w:lang w:val="en-GB"/>
        </w:rPr>
      </w:pPr>
      <w:r w:rsidRPr="004030DB">
        <w:rPr>
          <w:rFonts w:ascii="Arial" w:hAnsi="Arial" w:cs="Arial"/>
          <w:sz w:val="20"/>
          <w:szCs w:val="20"/>
          <w:lang w:val="en-GB"/>
        </w:rPr>
        <w:t>V</w:t>
      </w:r>
      <w:r w:rsidR="00010A15" w:rsidRPr="004030DB">
        <w:rPr>
          <w:rFonts w:ascii="Arial" w:hAnsi="Arial" w:cs="Arial"/>
          <w:sz w:val="20"/>
          <w:szCs w:val="20"/>
          <w:lang w:val="en-GB"/>
        </w:rPr>
        <w:t xml:space="preserve">oting </w:t>
      </w:r>
      <w:r w:rsidR="00BF5D4C" w:rsidRPr="004030DB">
        <w:rPr>
          <w:rFonts w:ascii="Arial" w:hAnsi="Arial" w:cs="Arial"/>
          <w:sz w:val="20"/>
          <w:szCs w:val="20"/>
          <w:lang w:val="en-GB"/>
        </w:rPr>
        <w:t>Board directors (Executive and N</w:t>
      </w:r>
      <w:r w:rsidR="00010A15" w:rsidRPr="004030DB">
        <w:rPr>
          <w:rFonts w:ascii="Arial" w:hAnsi="Arial" w:cs="Arial"/>
          <w:sz w:val="20"/>
          <w:szCs w:val="20"/>
          <w:lang w:val="en-GB"/>
        </w:rPr>
        <w:t>on-</w:t>
      </w:r>
      <w:r w:rsidR="00BF5D4C" w:rsidRPr="004030DB">
        <w:rPr>
          <w:rFonts w:ascii="Arial" w:hAnsi="Arial" w:cs="Arial"/>
          <w:sz w:val="20"/>
          <w:szCs w:val="20"/>
          <w:lang w:val="en-GB"/>
        </w:rPr>
        <w:t>E</w:t>
      </w:r>
      <w:r w:rsidR="00010A15" w:rsidRPr="004030DB">
        <w:rPr>
          <w:rFonts w:ascii="Arial" w:hAnsi="Arial" w:cs="Arial"/>
          <w:sz w:val="20"/>
          <w:szCs w:val="20"/>
          <w:lang w:val="en-GB"/>
        </w:rPr>
        <w:t>xecutive)</w:t>
      </w:r>
      <w:r w:rsidR="00BF5D4C" w:rsidRPr="004030DB">
        <w:rPr>
          <w:rFonts w:ascii="Arial" w:hAnsi="Arial" w:cs="Arial"/>
          <w:sz w:val="20"/>
          <w:szCs w:val="20"/>
          <w:lang w:val="en-GB"/>
        </w:rPr>
        <w:t xml:space="preserve"> have joint responsibility for B</w:t>
      </w:r>
      <w:r w:rsidR="00010A15" w:rsidRPr="004030DB">
        <w:rPr>
          <w:rFonts w:ascii="Arial" w:hAnsi="Arial" w:cs="Arial"/>
          <w:sz w:val="20"/>
          <w:szCs w:val="20"/>
          <w:lang w:val="en-GB"/>
        </w:rPr>
        <w:t xml:space="preserve">oard decisions, </w:t>
      </w:r>
      <w:r w:rsidRPr="004030DB">
        <w:rPr>
          <w:rFonts w:ascii="Arial" w:hAnsi="Arial" w:cs="Arial"/>
          <w:sz w:val="20"/>
          <w:szCs w:val="20"/>
          <w:lang w:val="en-GB"/>
        </w:rPr>
        <w:t xml:space="preserve">the </w:t>
      </w:r>
      <w:r w:rsidR="00010A15" w:rsidRPr="004030DB">
        <w:rPr>
          <w:rFonts w:ascii="Arial" w:hAnsi="Arial" w:cs="Arial"/>
          <w:sz w:val="20"/>
          <w:szCs w:val="20"/>
          <w:lang w:val="en-GB"/>
        </w:rPr>
        <w:t>same legal responsibilities and collective responsibility for the performance of the Trust.</w:t>
      </w:r>
    </w:p>
    <w:p w14:paraId="0B050A9A" w14:textId="77777777" w:rsidR="00C14571" w:rsidRPr="004030DB" w:rsidRDefault="00C14571" w:rsidP="00C84827">
      <w:pPr>
        <w:jc w:val="both"/>
        <w:rPr>
          <w:rFonts w:ascii="Arial" w:hAnsi="Arial" w:cs="Arial"/>
          <w:sz w:val="20"/>
          <w:szCs w:val="20"/>
          <w:lang w:val="en-GB"/>
        </w:rPr>
      </w:pPr>
    </w:p>
    <w:p w14:paraId="5B74679F" w14:textId="77777777" w:rsidR="00010A15" w:rsidRPr="004030DB" w:rsidRDefault="00010A15" w:rsidP="00C84827">
      <w:pPr>
        <w:jc w:val="both"/>
        <w:rPr>
          <w:rFonts w:ascii="Arial" w:hAnsi="Arial" w:cs="Arial"/>
          <w:sz w:val="20"/>
          <w:szCs w:val="20"/>
          <w:lang w:val="en-GB"/>
        </w:rPr>
      </w:pPr>
      <w:r w:rsidRPr="004030DB">
        <w:rPr>
          <w:rFonts w:ascii="Arial" w:hAnsi="Arial" w:cs="Arial"/>
          <w:sz w:val="20"/>
          <w:szCs w:val="20"/>
          <w:lang w:val="en-GB"/>
        </w:rPr>
        <w:t xml:space="preserve">Together the </w:t>
      </w:r>
      <w:r w:rsidR="00BF5D4C" w:rsidRPr="004030DB">
        <w:rPr>
          <w:rFonts w:ascii="Arial" w:hAnsi="Arial" w:cs="Arial"/>
          <w:sz w:val="20"/>
          <w:szCs w:val="20"/>
          <w:lang w:val="en-GB"/>
        </w:rPr>
        <w:t>Non-Executive D</w:t>
      </w:r>
      <w:r w:rsidRPr="004030DB">
        <w:rPr>
          <w:rFonts w:ascii="Arial" w:hAnsi="Arial" w:cs="Arial"/>
          <w:sz w:val="20"/>
          <w:szCs w:val="20"/>
          <w:lang w:val="en-GB"/>
        </w:rPr>
        <w:t xml:space="preserve">irectors and </w:t>
      </w:r>
      <w:r w:rsidR="00BF5D4C" w:rsidRPr="004030DB">
        <w:rPr>
          <w:rFonts w:ascii="Arial" w:hAnsi="Arial" w:cs="Arial"/>
          <w:sz w:val="20"/>
          <w:szCs w:val="20"/>
          <w:lang w:val="en-GB"/>
        </w:rPr>
        <w:t>Executive D</w:t>
      </w:r>
      <w:r w:rsidRPr="004030DB">
        <w:rPr>
          <w:rFonts w:ascii="Arial" w:hAnsi="Arial" w:cs="Arial"/>
          <w:sz w:val="20"/>
          <w:szCs w:val="20"/>
          <w:lang w:val="en-GB"/>
        </w:rPr>
        <w:t xml:space="preserve">irectors bring a wide range of skills and experience to the Trust, such that the </w:t>
      </w:r>
      <w:r w:rsidR="00BF5D4C" w:rsidRPr="004030DB">
        <w:rPr>
          <w:rFonts w:ascii="Arial" w:hAnsi="Arial" w:cs="Arial"/>
          <w:sz w:val="20"/>
          <w:szCs w:val="20"/>
          <w:lang w:val="en-GB"/>
        </w:rPr>
        <w:t>B</w:t>
      </w:r>
      <w:r w:rsidRPr="004030DB">
        <w:rPr>
          <w:rFonts w:ascii="Arial" w:hAnsi="Arial" w:cs="Arial"/>
          <w:sz w:val="20"/>
          <w:szCs w:val="20"/>
          <w:lang w:val="en-GB"/>
        </w:rPr>
        <w:t>oard ach</w:t>
      </w:r>
      <w:r w:rsidR="00BF5D4C" w:rsidRPr="004030DB">
        <w:rPr>
          <w:rFonts w:ascii="Arial" w:hAnsi="Arial" w:cs="Arial"/>
          <w:sz w:val="20"/>
          <w:szCs w:val="20"/>
          <w:lang w:val="en-GB"/>
        </w:rPr>
        <w:t xml:space="preserve">ieves balance and completeness.  </w:t>
      </w:r>
      <w:r w:rsidRPr="004030DB">
        <w:rPr>
          <w:rFonts w:ascii="Arial" w:hAnsi="Arial" w:cs="Arial"/>
          <w:sz w:val="20"/>
          <w:szCs w:val="20"/>
          <w:lang w:val="en-GB"/>
        </w:rPr>
        <w:t xml:space="preserve">The </w:t>
      </w:r>
      <w:r w:rsidR="00BF5D4C" w:rsidRPr="004030DB">
        <w:rPr>
          <w:rFonts w:ascii="Arial" w:hAnsi="Arial" w:cs="Arial"/>
          <w:sz w:val="20"/>
          <w:szCs w:val="20"/>
          <w:lang w:val="en-GB"/>
        </w:rPr>
        <w:t>B</w:t>
      </w:r>
      <w:r w:rsidRPr="004030DB">
        <w:rPr>
          <w:rFonts w:ascii="Arial" w:hAnsi="Arial" w:cs="Arial"/>
          <w:sz w:val="20"/>
          <w:szCs w:val="20"/>
          <w:lang w:val="en-GB"/>
        </w:rPr>
        <w:t xml:space="preserve">oard meets monthly </w:t>
      </w:r>
      <w:r w:rsidR="00C84827" w:rsidRPr="004030DB">
        <w:rPr>
          <w:rFonts w:ascii="Arial" w:hAnsi="Arial" w:cs="Arial"/>
          <w:sz w:val="20"/>
          <w:szCs w:val="20"/>
          <w:lang w:val="en-GB"/>
        </w:rPr>
        <w:t xml:space="preserve">formally on alternate months and </w:t>
      </w:r>
      <w:r w:rsidRPr="004030DB">
        <w:rPr>
          <w:rFonts w:ascii="Arial" w:hAnsi="Arial" w:cs="Arial"/>
          <w:sz w:val="20"/>
          <w:szCs w:val="20"/>
          <w:lang w:val="en-GB"/>
        </w:rPr>
        <w:t xml:space="preserve">bi-monthly </w:t>
      </w:r>
      <w:r w:rsidR="00C84827" w:rsidRPr="004030DB">
        <w:rPr>
          <w:rFonts w:ascii="Arial" w:hAnsi="Arial" w:cs="Arial"/>
          <w:sz w:val="20"/>
          <w:szCs w:val="20"/>
          <w:lang w:val="en-GB"/>
        </w:rPr>
        <w:t xml:space="preserve">Board Development and </w:t>
      </w:r>
      <w:r w:rsidR="00ED354B" w:rsidRPr="004030DB">
        <w:rPr>
          <w:rFonts w:ascii="Arial" w:hAnsi="Arial" w:cs="Arial"/>
          <w:sz w:val="20"/>
          <w:szCs w:val="20"/>
          <w:lang w:val="en-GB"/>
        </w:rPr>
        <w:t>Strategy Deployment Review</w:t>
      </w:r>
      <w:r w:rsidRPr="004030DB">
        <w:rPr>
          <w:rFonts w:ascii="Arial" w:hAnsi="Arial" w:cs="Arial"/>
          <w:sz w:val="20"/>
          <w:szCs w:val="20"/>
          <w:lang w:val="en-GB"/>
        </w:rPr>
        <w:t xml:space="preserve"> sessions.</w:t>
      </w:r>
    </w:p>
    <w:p w14:paraId="1BB82903" w14:textId="77777777" w:rsidR="00C14571" w:rsidRPr="004030DB" w:rsidRDefault="00C14571" w:rsidP="00C84827">
      <w:pPr>
        <w:jc w:val="both"/>
        <w:rPr>
          <w:rFonts w:ascii="Arial" w:hAnsi="Arial" w:cs="Arial"/>
          <w:sz w:val="20"/>
          <w:szCs w:val="20"/>
          <w:lang w:val="en-GB"/>
        </w:rPr>
      </w:pPr>
    </w:p>
    <w:p w14:paraId="030A214D" w14:textId="77777777" w:rsidR="00010A15" w:rsidRPr="004030DB" w:rsidRDefault="00010A15" w:rsidP="00C84827">
      <w:pPr>
        <w:jc w:val="both"/>
        <w:rPr>
          <w:rFonts w:ascii="Arial" w:hAnsi="Arial" w:cs="Arial"/>
          <w:sz w:val="20"/>
          <w:szCs w:val="20"/>
          <w:lang w:val="en-GB"/>
        </w:rPr>
      </w:pPr>
      <w:r w:rsidRPr="004030DB">
        <w:rPr>
          <w:rFonts w:ascii="Arial" w:hAnsi="Arial" w:cs="Arial"/>
          <w:sz w:val="20"/>
          <w:szCs w:val="20"/>
          <w:lang w:val="en-GB"/>
        </w:rPr>
        <w:t xml:space="preserve">All </w:t>
      </w:r>
      <w:r w:rsidR="00BF5D4C" w:rsidRPr="004030DB">
        <w:rPr>
          <w:rFonts w:ascii="Arial" w:hAnsi="Arial" w:cs="Arial"/>
          <w:sz w:val="20"/>
          <w:szCs w:val="20"/>
          <w:lang w:val="en-GB"/>
        </w:rPr>
        <w:t>N</w:t>
      </w:r>
      <w:r w:rsidRPr="004030DB">
        <w:rPr>
          <w:rFonts w:ascii="Arial" w:hAnsi="Arial" w:cs="Arial"/>
          <w:sz w:val="20"/>
          <w:szCs w:val="20"/>
          <w:lang w:val="en-GB"/>
        </w:rPr>
        <w:t>on-</w:t>
      </w:r>
      <w:r w:rsidR="00BF5D4C" w:rsidRPr="004030DB">
        <w:rPr>
          <w:rFonts w:ascii="Arial" w:hAnsi="Arial" w:cs="Arial"/>
          <w:sz w:val="20"/>
          <w:szCs w:val="20"/>
          <w:lang w:val="en-GB"/>
        </w:rPr>
        <w:t>E</w:t>
      </w:r>
      <w:r w:rsidRPr="004030DB">
        <w:rPr>
          <w:rFonts w:ascii="Arial" w:hAnsi="Arial" w:cs="Arial"/>
          <w:sz w:val="20"/>
          <w:szCs w:val="20"/>
          <w:lang w:val="en-GB"/>
        </w:rPr>
        <w:t xml:space="preserve">xecutive </w:t>
      </w:r>
      <w:r w:rsidR="00BF5D4C" w:rsidRPr="004030DB">
        <w:rPr>
          <w:rFonts w:ascii="Arial" w:hAnsi="Arial" w:cs="Arial"/>
          <w:sz w:val="20"/>
          <w:szCs w:val="20"/>
          <w:lang w:val="en-GB"/>
        </w:rPr>
        <w:t>D</w:t>
      </w:r>
      <w:r w:rsidRPr="004030DB">
        <w:rPr>
          <w:rFonts w:ascii="Arial" w:hAnsi="Arial" w:cs="Arial"/>
          <w:sz w:val="20"/>
          <w:szCs w:val="20"/>
          <w:lang w:val="en-GB"/>
        </w:rPr>
        <w:t>irectors are eligible for appointment for two three-year terms of office, and in exceptional circumstances a further term of 12 months.</w:t>
      </w:r>
      <w:r w:rsidR="00C84827" w:rsidRPr="004030DB">
        <w:rPr>
          <w:rFonts w:ascii="Arial" w:hAnsi="Arial" w:cs="Arial"/>
          <w:sz w:val="20"/>
          <w:szCs w:val="20"/>
          <w:lang w:val="en-GB"/>
        </w:rPr>
        <w:t xml:space="preserve">  </w:t>
      </w:r>
      <w:r w:rsidRPr="004030DB">
        <w:rPr>
          <w:rFonts w:ascii="Arial" w:hAnsi="Arial" w:cs="Arial"/>
          <w:sz w:val="20"/>
          <w:szCs w:val="20"/>
          <w:lang w:val="en-GB"/>
        </w:rPr>
        <w:t xml:space="preserve">The </w:t>
      </w:r>
      <w:r w:rsidR="00BF5D4C" w:rsidRPr="004030DB">
        <w:rPr>
          <w:rFonts w:ascii="Arial" w:hAnsi="Arial" w:cs="Arial"/>
          <w:sz w:val="20"/>
          <w:szCs w:val="20"/>
          <w:lang w:val="en-GB"/>
        </w:rPr>
        <w:t>Chair and Non-Executive D</w:t>
      </w:r>
      <w:r w:rsidRPr="004030DB">
        <w:rPr>
          <w:rFonts w:ascii="Arial" w:hAnsi="Arial" w:cs="Arial"/>
          <w:sz w:val="20"/>
          <w:szCs w:val="20"/>
          <w:lang w:val="en-GB"/>
        </w:rPr>
        <w:t xml:space="preserve">irectors are appointed by the Council of Governors in accordance with the Trust’s </w:t>
      </w:r>
      <w:r w:rsidR="00BF5D4C" w:rsidRPr="004030DB">
        <w:rPr>
          <w:rFonts w:ascii="Arial" w:hAnsi="Arial" w:cs="Arial"/>
          <w:sz w:val="20"/>
          <w:szCs w:val="20"/>
          <w:lang w:val="en-GB"/>
        </w:rPr>
        <w:t>C</w:t>
      </w:r>
      <w:r w:rsidRPr="004030DB">
        <w:rPr>
          <w:rFonts w:ascii="Arial" w:hAnsi="Arial" w:cs="Arial"/>
          <w:sz w:val="20"/>
          <w:szCs w:val="20"/>
          <w:lang w:val="en-GB"/>
        </w:rPr>
        <w:t>onstitution.</w:t>
      </w:r>
    </w:p>
    <w:p w14:paraId="36AC25D8" w14:textId="77777777" w:rsidR="00C14571" w:rsidRPr="004030DB" w:rsidRDefault="00C14571" w:rsidP="00C84827">
      <w:pPr>
        <w:jc w:val="both"/>
        <w:rPr>
          <w:rFonts w:ascii="Arial" w:hAnsi="Arial" w:cs="Arial"/>
          <w:sz w:val="20"/>
          <w:szCs w:val="20"/>
          <w:lang w:val="en-GB"/>
        </w:rPr>
      </w:pPr>
    </w:p>
    <w:p w14:paraId="0534A305" w14:textId="77777777" w:rsidR="00BF07BD" w:rsidRPr="004030DB" w:rsidRDefault="00010A15" w:rsidP="00C84827">
      <w:pPr>
        <w:jc w:val="both"/>
        <w:rPr>
          <w:rFonts w:ascii="Arial" w:hAnsi="Arial" w:cs="Arial"/>
          <w:sz w:val="20"/>
          <w:szCs w:val="20"/>
          <w:lang w:val="en-GB"/>
        </w:rPr>
      </w:pPr>
      <w:r w:rsidRPr="004030DB">
        <w:rPr>
          <w:rFonts w:ascii="Arial" w:hAnsi="Arial" w:cs="Arial"/>
          <w:sz w:val="20"/>
          <w:szCs w:val="20"/>
          <w:lang w:val="en-GB"/>
        </w:rPr>
        <w:t xml:space="preserve">The </w:t>
      </w:r>
      <w:r w:rsidR="00BF5D4C" w:rsidRPr="004030DB">
        <w:rPr>
          <w:rFonts w:ascii="Arial" w:hAnsi="Arial" w:cs="Arial"/>
          <w:sz w:val="20"/>
          <w:szCs w:val="20"/>
          <w:lang w:val="en-GB"/>
        </w:rPr>
        <w:t>B</w:t>
      </w:r>
      <w:r w:rsidRPr="004030DB">
        <w:rPr>
          <w:rFonts w:ascii="Arial" w:hAnsi="Arial" w:cs="Arial"/>
          <w:sz w:val="20"/>
          <w:szCs w:val="20"/>
          <w:lang w:val="en-GB"/>
        </w:rPr>
        <w:t>oard has an appr</w:t>
      </w:r>
      <w:r w:rsidR="00BF5D4C" w:rsidRPr="004030DB">
        <w:rPr>
          <w:rFonts w:ascii="Arial" w:hAnsi="Arial" w:cs="Arial"/>
          <w:sz w:val="20"/>
          <w:szCs w:val="20"/>
          <w:lang w:val="en-GB"/>
        </w:rPr>
        <w:t>oved Scheme of Delegation.</w:t>
      </w:r>
      <w:r w:rsidR="00C84827" w:rsidRPr="004030DB">
        <w:rPr>
          <w:rFonts w:ascii="Arial" w:hAnsi="Arial" w:cs="Arial"/>
          <w:sz w:val="20"/>
          <w:szCs w:val="20"/>
          <w:lang w:val="en-GB"/>
        </w:rPr>
        <w:t xml:space="preserve">  </w:t>
      </w:r>
      <w:r w:rsidR="00BF5D4C" w:rsidRPr="004030DB">
        <w:rPr>
          <w:rFonts w:ascii="Arial" w:hAnsi="Arial" w:cs="Arial"/>
          <w:sz w:val="20"/>
          <w:szCs w:val="20"/>
          <w:lang w:val="en-GB"/>
        </w:rPr>
        <w:t>The B</w:t>
      </w:r>
      <w:r w:rsidRPr="004030DB">
        <w:rPr>
          <w:rFonts w:ascii="Arial" w:hAnsi="Arial" w:cs="Arial"/>
          <w:sz w:val="20"/>
          <w:szCs w:val="20"/>
          <w:lang w:val="en-GB"/>
        </w:rPr>
        <w:t xml:space="preserve">oard delegates some of its powers to its committees, all of which have a </w:t>
      </w:r>
      <w:r w:rsidR="00BF5D4C" w:rsidRPr="004030DB">
        <w:rPr>
          <w:rFonts w:ascii="Arial" w:hAnsi="Arial" w:cs="Arial"/>
          <w:sz w:val="20"/>
          <w:szCs w:val="20"/>
          <w:lang w:val="en-GB"/>
        </w:rPr>
        <w:t>N</w:t>
      </w:r>
      <w:r w:rsidRPr="004030DB">
        <w:rPr>
          <w:rFonts w:ascii="Arial" w:hAnsi="Arial" w:cs="Arial"/>
          <w:sz w:val="20"/>
          <w:szCs w:val="20"/>
          <w:lang w:val="en-GB"/>
        </w:rPr>
        <w:t>on-</w:t>
      </w:r>
      <w:r w:rsidR="00BF5D4C" w:rsidRPr="004030DB">
        <w:rPr>
          <w:rFonts w:ascii="Arial" w:hAnsi="Arial" w:cs="Arial"/>
          <w:sz w:val="20"/>
          <w:szCs w:val="20"/>
          <w:lang w:val="en-GB"/>
        </w:rPr>
        <w:t>Executive C</w:t>
      </w:r>
      <w:r w:rsidRPr="004030DB">
        <w:rPr>
          <w:rFonts w:ascii="Arial" w:hAnsi="Arial" w:cs="Arial"/>
          <w:sz w:val="20"/>
          <w:szCs w:val="20"/>
          <w:lang w:val="en-GB"/>
        </w:rPr>
        <w:t>hair.</w:t>
      </w:r>
      <w:r w:rsidR="00C84827" w:rsidRPr="004030DB">
        <w:rPr>
          <w:rFonts w:ascii="Arial" w:hAnsi="Arial" w:cs="Arial"/>
          <w:sz w:val="20"/>
          <w:szCs w:val="20"/>
          <w:lang w:val="en-GB"/>
        </w:rPr>
        <w:t xml:space="preserve">  </w:t>
      </w:r>
      <w:r w:rsidRPr="004030DB">
        <w:rPr>
          <w:rFonts w:ascii="Arial" w:hAnsi="Arial" w:cs="Arial"/>
          <w:sz w:val="20"/>
          <w:szCs w:val="20"/>
          <w:lang w:val="en-GB"/>
        </w:rPr>
        <w:t>The arrangements for delegation are set out in the Trust’s Standing O</w:t>
      </w:r>
      <w:r w:rsidR="00BF5D4C" w:rsidRPr="004030DB">
        <w:rPr>
          <w:rFonts w:ascii="Arial" w:hAnsi="Arial" w:cs="Arial"/>
          <w:sz w:val="20"/>
          <w:szCs w:val="20"/>
          <w:lang w:val="en-GB"/>
        </w:rPr>
        <w:t>rders and Scheme of Delegation.</w:t>
      </w:r>
      <w:r w:rsidR="00C84827" w:rsidRPr="004030DB">
        <w:rPr>
          <w:rFonts w:ascii="Arial" w:hAnsi="Arial" w:cs="Arial"/>
          <w:sz w:val="20"/>
          <w:szCs w:val="20"/>
          <w:lang w:val="en-GB"/>
        </w:rPr>
        <w:t xml:space="preserve">  </w:t>
      </w:r>
      <w:r w:rsidR="00BF5D4C" w:rsidRPr="004030DB">
        <w:rPr>
          <w:rFonts w:ascii="Arial" w:hAnsi="Arial" w:cs="Arial"/>
          <w:sz w:val="20"/>
          <w:szCs w:val="20"/>
          <w:lang w:val="en-GB"/>
        </w:rPr>
        <w:t>The Trust’s Constitution and Terms of R</w:t>
      </w:r>
      <w:r w:rsidRPr="004030DB">
        <w:rPr>
          <w:rFonts w:ascii="Arial" w:hAnsi="Arial" w:cs="Arial"/>
          <w:sz w:val="20"/>
          <w:szCs w:val="20"/>
          <w:lang w:val="en-GB"/>
        </w:rPr>
        <w:t>eference of these committees and their specific powers are appro</w:t>
      </w:r>
      <w:r w:rsidR="00BF5D4C" w:rsidRPr="004030DB">
        <w:rPr>
          <w:rFonts w:ascii="Arial" w:hAnsi="Arial" w:cs="Arial"/>
          <w:sz w:val="20"/>
          <w:szCs w:val="20"/>
          <w:lang w:val="en-GB"/>
        </w:rPr>
        <w:t>ved by the B</w:t>
      </w:r>
      <w:r w:rsidRPr="004030DB">
        <w:rPr>
          <w:rFonts w:ascii="Arial" w:hAnsi="Arial" w:cs="Arial"/>
          <w:sz w:val="20"/>
          <w:szCs w:val="20"/>
          <w:lang w:val="en-GB"/>
        </w:rPr>
        <w:t xml:space="preserve">oard of </w:t>
      </w:r>
      <w:r w:rsidR="00BF5D4C" w:rsidRPr="004030DB">
        <w:rPr>
          <w:rFonts w:ascii="Arial" w:hAnsi="Arial" w:cs="Arial"/>
          <w:sz w:val="20"/>
          <w:szCs w:val="20"/>
          <w:lang w:val="en-GB"/>
        </w:rPr>
        <w:t>D</w:t>
      </w:r>
      <w:r w:rsidRPr="004030DB">
        <w:rPr>
          <w:rFonts w:ascii="Arial" w:hAnsi="Arial" w:cs="Arial"/>
          <w:sz w:val="20"/>
          <w:szCs w:val="20"/>
          <w:lang w:val="en-GB"/>
        </w:rPr>
        <w:t>irectors.</w:t>
      </w:r>
      <w:r w:rsidR="00C84827" w:rsidRPr="004030DB">
        <w:rPr>
          <w:rFonts w:ascii="Arial" w:hAnsi="Arial" w:cs="Arial"/>
          <w:sz w:val="20"/>
          <w:szCs w:val="20"/>
          <w:lang w:val="en-GB"/>
        </w:rPr>
        <w:t xml:space="preserve">  </w:t>
      </w:r>
      <w:r w:rsidRPr="004030DB">
        <w:rPr>
          <w:rFonts w:ascii="Arial" w:hAnsi="Arial" w:cs="Arial"/>
          <w:sz w:val="20"/>
          <w:szCs w:val="20"/>
          <w:lang w:val="en-GB"/>
        </w:rPr>
        <w:t xml:space="preserve">The </w:t>
      </w:r>
      <w:r w:rsidR="00BF5D4C" w:rsidRPr="004030DB">
        <w:rPr>
          <w:rFonts w:ascii="Arial" w:hAnsi="Arial" w:cs="Arial"/>
          <w:sz w:val="20"/>
          <w:szCs w:val="20"/>
          <w:lang w:val="en-GB"/>
        </w:rPr>
        <w:t>B</w:t>
      </w:r>
      <w:r w:rsidRPr="004030DB">
        <w:rPr>
          <w:rFonts w:ascii="Arial" w:hAnsi="Arial" w:cs="Arial"/>
          <w:sz w:val="20"/>
          <w:szCs w:val="20"/>
          <w:lang w:val="en-GB"/>
        </w:rPr>
        <w:t xml:space="preserve">oard committees are all assurance committees with </w:t>
      </w:r>
      <w:r w:rsidR="00BF5D4C" w:rsidRPr="004030DB">
        <w:rPr>
          <w:rFonts w:ascii="Arial" w:hAnsi="Arial" w:cs="Arial"/>
          <w:sz w:val="20"/>
          <w:szCs w:val="20"/>
          <w:lang w:val="en-GB"/>
        </w:rPr>
        <w:t>the exception of the Nomination</w:t>
      </w:r>
      <w:r w:rsidRPr="004030DB">
        <w:rPr>
          <w:rFonts w:ascii="Arial" w:hAnsi="Arial" w:cs="Arial"/>
          <w:sz w:val="20"/>
          <w:szCs w:val="20"/>
          <w:lang w:val="en-GB"/>
        </w:rPr>
        <w:t xml:space="preserve"> and Remuneration Committee.</w:t>
      </w:r>
    </w:p>
    <w:p w14:paraId="4F5EAF3D" w14:textId="77777777" w:rsidR="00D50222" w:rsidRDefault="00D50222" w:rsidP="00C84827">
      <w:pPr>
        <w:jc w:val="both"/>
        <w:rPr>
          <w:rFonts w:ascii="Arial" w:hAnsi="Arial" w:cs="Arial"/>
          <w:sz w:val="20"/>
          <w:szCs w:val="20"/>
          <w:lang w:val="en-GB"/>
        </w:rPr>
      </w:pPr>
    </w:p>
    <w:p w14:paraId="7E758861" w14:textId="77777777" w:rsidR="004030DB" w:rsidRDefault="004030DB" w:rsidP="00C84827">
      <w:pPr>
        <w:jc w:val="both"/>
        <w:rPr>
          <w:rFonts w:ascii="Arial" w:hAnsi="Arial" w:cs="Arial"/>
          <w:sz w:val="20"/>
          <w:szCs w:val="20"/>
          <w:lang w:val="en-GB"/>
        </w:rPr>
      </w:pPr>
    </w:p>
    <w:p w14:paraId="7DFDED8A" w14:textId="77777777" w:rsidR="004030DB" w:rsidRPr="004030DB" w:rsidRDefault="004030DB" w:rsidP="00C84827">
      <w:pPr>
        <w:jc w:val="both"/>
        <w:rPr>
          <w:rFonts w:ascii="Arial" w:hAnsi="Arial" w:cs="Arial"/>
          <w:sz w:val="20"/>
          <w:szCs w:val="20"/>
          <w:lang w:val="en-GB"/>
        </w:rPr>
      </w:pPr>
    </w:p>
    <w:p w14:paraId="118ED487" w14:textId="77777777" w:rsidR="00010A15" w:rsidRPr="004030DB" w:rsidRDefault="00010A15" w:rsidP="00C84827">
      <w:pPr>
        <w:jc w:val="both"/>
        <w:rPr>
          <w:rFonts w:ascii="Arial" w:hAnsi="Arial" w:cs="Arial"/>
          <w:b/>
          <w:sz w:val="20"/>
          <w:szCs w:val="20"/>
          <w:lang w:val="en-GB"/>
        </w:rPr>
      </w:pPr>
      <w:r w:rsidRPr="004030DB">
        <w:rPr>
          <w:rFonts w:ascii="Arial" w:hAnsi="Arial" w:cs="Arial"/>
          <w:b/>
          <w:sz w:val="20"/>
          <w:szCs w:val="20"/>
          <w:lang w:val="en-GB"/>
        </w:rPr>
        <w:lastRenderedPageBreak/>
        <w:t xml:space="preserve">Board Appointments and Leavers </w:t>
      </w:r>
    </w:p>
    <w:p w14:paraId="2F7BE93B" w14:textId="77777777" w:rsidR="00010A15" w:rsidRPr="004030DB" w:rsidRDefault="00010A15" w:rsidP="00C84827">
      <w:pPr>
        <w:jc w:val="both"/>
        <w:rPr>
          <w:rFonts w:ascii="Arial" w:hAnsi="Arial" w:cs="Arial"/>
          <w:sz w:val="20"/>
          <w:szCs w:val="20"/>
          <w:lang w:val="en-GB"/>
        </w:rPr>
      </w:pPr>
      <w:r w:rsidRPr="004030DB">
        <w:rPr>
          <w:rFonts w:ascii="Arial" w:hAnsi="Arial" w:cs="Arial"/>
          <w:sz w:val="20"/>
          <w:szCs w:val="20"/>
          <w:lang w:val="en-GB"/>
        </w:rPr>
        <w:t>Non-</w:t>
      </w:r>
      <w:r w:rsidR="00BF5D4C" w:rsidRPr="004030DB">
        <w:rPr>
          <w:rFonts w:ascii="Arial" w:hAnsi="Arial" w:cs="Arial"/>
          <w:sz w:val="20"/>
          <w:szCs w:val="20"/>
          <w:lang w:val="en-GB"/>
        </w:rPr>
        <w:t>E</w:t>
      </w:r>
      <w:r w:rsidRPr="004030DB">
        <w:rPr>
          <w:rFonts w:ascii="Arial" w:hAnsi="Arial" w:cs="Arial"/>
          <w:sz w:val="20"/>
          <w:szCs w:val="20"/>
          <w:lang w:val="en-GB"/>
        </w:rPr>
        <w:t xml:space="preserve">xecutive </w:t>
      </w:r>
      <w:r w:rsidR="00BF5D4C" w:rsidRPr="004030DB">
        <w:rPr>
          <w:rFonts w:ascii="Arial" w:hAnsi="Arial" w:cs="Arial"/>
          <w:sz w:val="20"/>
          <w:szCs w:val="20"/>
          <w:lang w:val="en-GB"/>
        </w:rPr>
        <w:t>D</w:t>
      </w:r>
      <w:r w:rsidRPr="004030DB">
        <w:rPr>
          <w:rFonts w:ascii="Arial" w:hAnsi="Arial" w:cs="Arial"/>
          <w:sz w:val="20"/>
          <w:szCs w:val="20"/>
          <w:lang w:val="en-GB"/>
        </w:rPr>
        <w:t xml:space="preserve">irectors are appointed </w:t>
      </w:r>
      <w:r w:rsidR="00913528" w:rsidRPr="004030DB">
        <w:rPr>
          <w:rFonts w:ascii="Arial" w:hAnsi="Arial" w:cs="Arial"/>
          <w:sz w:val="20"/>
          <w:szCs w:val="20"/>
          <w:lang w:val="en-GB"/>
        </w:rPr>
        <w:t xml:space="preserve">through </w:t>
      </w:r>
      <w:r w:rsidRPr="004030DB">
        <w:rPr>
          <w:rFonts w:ascii="Arial" w:hAnsi="Arial" w:cs="Arial"/>
          <w:sz w:val="20"/>
          <w:szCs w:val="20"/>
          <w:lang w:val="en-GB"/>
        </w:rPr>
        <w:t xml:space="preserve">a formal and transparent procedure, managed through the </w:t>
      </w:r>
      <w:r w:rsidR="00C84827" w:rsidRPr="004030DB">
        <w:rPr>
          <w:rFonts w:ascii="Arial" w:hAnsi="Arial" w:cs="Arial"/>
          <w:sz w:val="20"/>
          <w:szCs w:val="20"/>
          <w:lang w:val="en-GB"/>
        </w:rPr>
        <w:t xml:space="preserve">Council of </w:t>
      </w:r>
      <w:r w:rsidR="00BF5D4C" w:rsidRPr="004030DB">
        <w:rPr>
          <w:rFonts w:ascii="Arial" w:hAnsi="Arial" w:cs="Arial"/>
          <w:sz w:val="20"/>
          <w:szCs w:val="20"/>
          <w:lang w:val="en-GB"/>
        </w:rPr>
        <w:t>G</w:t>
      </w:r>
      <w:r w:rsidRPr="004030DB">
        <w:rPr>
          <w:rFonts w:ascii="Arial" w:hAnsi="Arial" w:cs="Arial"/>
          <w:sz w:val="20"/>
          <w:szCs w:val="20"/>
          <w:lang w:val="en-GB"/>
        </w:rPr>
        <w:t xml:space="preserve">overnors </w:t>
      </w:r>
      <w:r w:rsidR="00BF5D4C" w:rsidRPr="004030DB">
        <w:rPr>
          <w:rFonts w:ascii="Arial" w:hAnsi="Arial" w:cs="Arial"/>
          <w:sz w:val="20"/>
          <w:szCs w:val="20"/>
          <w:lang w:val="en-GB"/>
        </w:rPr>
        <w:t>N</w:t>
      </w:r>
      <w:r w:rsidRPr="004030DB">
        <w:rPr>
          <w:rFonts w:ascii="Arial" w:hAnsi="Arial" w:cs="Arial"/>
          <w:sz w:val="20"/>
          <w:szCs w:val="20"/>
          <w:lang w:val="en-GB"/>
        </w:rPr>
        <w:t>omination</w:t>
      </w:r>
      <w:r w:rsidR="00BF5D4C" w:rsidRPr="004030DB">
        <w:rPr>
          <w:rFonts w:ascii="Arial" w:hAnsi="Arial" w:cs="Arial"/>
          <w:sz w:val="20"/>
          <w:szCs w:val="20"/>
          <w:lang w:val="en-GB"/>
        </w:rPr>
        <w:t xml:space="preserve"> and Remuneration C</w:t>
      </w:r>
      <w:r w:rsidRPr="004030DB">
        <w:rPr>
          <w:rFonts w:ascii="Arial" w:hAnsi="Arial" w:cs="Arial"/>
          <w:sz w:val="20"/>
          <w:szCs w:val="20"/>
          <w:lang w:val="en-GB"/>
        </w:rPr>
        <w:t>ommittee, a sub-committ</w:t>
      </w:r>
      <w:r w:rsidR="00BF5D4C" w:rsidRPr="004030DB">
        <w:rPr>
          <w:rFonts w:ascii="Arial" w:hAnsi="Arial" w:cs="Arial"/>
          <w:sz w:val="20"/>
          <w:szCs w:val="20"/>
          <w:lang w:val="en-GB"/>
        </w:rPr>
        <w:t xml:space="preserve">ee of the Council of Governors.  </w:t>
      </w:r>
      <w:r w:rsidRPr="004030DB">
        <w:rPr>
          <w:rFonts w:ascii="Arial" w:hAnsi="Arial" w:cs="Arial"/>
          <w:sz w:val="20"/>
          <w:szCs w:val="20"/>
          <w:lang w:val="en-GB"/>
        </w:rPr>
        <w:t>This committee also</w:t>
      </w:r>
      <w:r w:rsidR="009A7A46" w:rsidRPr="004030DB">
        <w:rPr>
          <w:rFonts w:ascii="Arial" w:hAnsi="Arial" w:cs="Arial"/>
          <w:sz w:val="20"/>
          <w:szCs w:val="20"/>
          <w:lang w:val="en-GB"/>
        </w:rPr>
        <w:t xml:space="preserve"> </w:t>
      </w:r>
      <w:r w:rsidRPr="004030DB">
        <w:rPr>
          <w:rFonts w:ascii="Arial" w:hAnsi="Arial" w:cs="Arial"/>
          <w:sz w:val="20"/>
          <w:szCs w:val="20"/>
          <w:lang w:val="en-GB"/>
        </w:rPr>
        <w:t xml:space="preserve">advises the Council on the remuneration and terms and conditions of the </w:t>
      </w:r>
      <w:r w:rsidR="00BF5D4C" w:rsidRPr="004030DB">
        <w:rPr>
          <w:rFonts w:ascii="Arial" w:hAnsi="Arial" w:cs="Arial"/>
          <w:sz w:val="20"/>
          <w:szCs w:val="20"/>
          <w:lang w:val="en-GB"/>
        </w:rPr>
        <w:t>N</w:t>
      </w:r>
      <w:r w:rsidRPr="004030DB">
        <w:rPr>
          <w:rFonts w:ascii="Arial" w:hAnsi="Arial" w:cs="Arial"/>
          <w:sz w:val="20"/>
          <w:szCs w:val="20"/>
          <w:lang w:val="en-GB"/>
        </w:rPr>
        <w:t>on-</w:t>
      </w:r>
      <w:r w:rsidR="00BF5D4C" w:rsidRPr="004030DB">
        <w:rPr>
          <w:rFonts w:ascii="Arial" w:hAnsi="Arial" w:cs="Arial"/>
          <w:sz w:val="20"/>
          <w:szCs w:val="20"/>
          <w:lang w:val="en-GB"/>
        </w:rPr>
        <w:t>E</w:t>
      </w:r>
      <w:r w:rsidRPr="004030DB">
        <w:rPr>
          <w:rFonts w:ascii="Arial" w:hAnsi="Arial" w:cs="Arial"/>
          <w:sz w:val="20"/>
          <w:szCs w:val="20"/>
          <w:lang w:val="en-GB"/>
        </w:rPr>
        <w:t xml:space="preserve">xecutive </w:t>
      </w:r>
      <w:r w:rsidR="00BF5D4C" w:rsidRPr="004030DB">
        <w:rPr>
          <w:rFonts w:ascii="Arial" w:hAnsi="Arial" w:cs="Arial"/>
          <w:sz w:val="20"/>
          <w:szCs w:val="20"/>
          <w:lang w:val="en-GB"/>
        </w:rPr>
        <w:t>D</w:t>
      </w:r>
      <w:r w:rsidRPr="004030DB">
        <w:rPr>
          <w:rFonts w:ascii="Arial" w:hAnsi="Arial" w:cs="Arial"/>
          <w:sz w:val="20"/>
          <w:szCs w:val="20"/>
          <w:lang w:val="en-GB"/>
        </w:rPr>
        <w:t>irectors.</w:t>
      </w:r>
    </w:p>
    <w:p w14:paraId="3FAF3A06" w14:textId="77777777" w:rsidR="00BF5D4C" w:rsidRPr="004030DB" w:rsidRDefault="00BF5D4C" w:rsidP="00C84827">
      <w:pPr>
        <w:jc w:val="both"/>
        <w:rPr>
          <w:rFonts w:ascii="Arial" w:hAnsi="Arial" w:cs="Arial"/>
          <w:sz w:val="20"/>
          <w:szCs w:val="20"/>
          <w:lang w:val="en-GB"/>
        </w:rPr>
      </w:pPr>
    </w:p>
    <w:p w14:paraId="4051DDDC" w14:textId="77777777" w:rsidR="00BF5D4C" w:rsidRPr="004030DB" w:rsidRDefault="00BF5D4C" w:rsidP="00C84827">
      <w:pPr>
        <w:jc w:val="both"/>
        <w:rPr>
          <w:rFonts w:ascii="Arial" w:hAnsi="Arial" w:cs="Arial"/>
          <w:sz w:val="20"/>
          <w:szCs w:val="20"/>
          <w:lang w:val="en-GB"/>
        </w:rPr>
      </w:pPr>
      <w:r w:rsidRPr="004030DB">
        <w:rPr>
          <w:rFonts w:ascii="Arial" w:hAnsi="Arial" w:cs="Arial"/>
          <w:sz w:val="20"/>
          <w:szCs w:val="20"/>
          <w:lang w:val="en-GB"/>
        </w:rPr>
        <w:t xml:space="preserve">The Council of Governors, advised by the </w:t>
      </w:r>
      <w:r w:rsidR="00C84827" w:rsidRPr="004030DB">
        <w:rPr>
          <w:rFonts w:ascii="Arial" w:hAnsi="Arial" w:cs="Arial"/>
          <w:sz w:val="20"/>
          <w:szCs w:val="20"/>
          <w:lang w:val="en-GB"/>
        </w:rPr>
        <w:t xml:space="preserve">Council of </w:t>
      </w:r>
      <w:r w:rsidRPr="004030DB">
        <w:rPr>
          <w:rFonts w:ascii="Arial" w:hAnsi="Arial" w:cs="Arial"/>
          <w:sz w:val="20"/>
          <w:szCs w:val="20"/>
          <w:lang w:val="en-GB"/>
        </w:rPr>
        <w:t>Governor</w:t>
      </w:r>
      <w:r w:rsidR="00C84827" w:rsidRPr="004030DB">
        <w:rPr>
          <w:rFonts w:ascii="Arial" w:hAnsi="Arial" w:cs="Arial"/>
          <w:sz w:val="20"/>
          <w:szCs w:val="20"/>
          <w:lang w:val="en-GB"/>
        </w:rPr>
        <w:t>s</w:t>
      </w:r>
      <w:r w:rsidRPr="004030DB">
        <w:rPr>
          <w:rFonts w:ascii="Arial" w:hAnsi="Arial" w:cs="Arial"/>
          <w:sz w:val="20"/>
          <w:szCs w:val="20"/>
          <w:lang w:val="en-GB"/>
        </w:rPr>
        <w:t xml:space="preserve"> Nomination</w:t>
      </w:r>
      <w:r w:rsidR="001D320D" w:rsidRPr="004030DB">
        <w:rPr>
          <w:rFonts w:ascii="Arial" w:hAnsi="Arial" w:cs="Arial"/>
          <w:sz w:val="20"/>
          <w:szCs w:val="20"/>
          <w:lang w:val="en-GB"/>
        </w:rPr>
        <w:t xml:space="preserve"> and Remuneration</w:t>
      </w:r>
      <w:r w:rsidRPr="004030DB">
        <w:rPr>
          <w:rFonts w:ascii="Arial" w:hAnsi="Arial" w:cs="Arial"/>
          <w:sz w:val="20"/>
          <w:szCs w:val="20"/>
          <w:lang w:val="en-GB"/>
        </w:rPr>
        <w:t xml:space="preserve"> Committee, </w:t>
      </w:r>
      <w:r w:rsidR="00BA4E6C" w:rsidRPr="004030DB">
        <w:rPr>
          <w:rFonts w:ascii="Arial" w:hAnsi="Arial" w:cs="Arial"/>
          <w:sz w:val="20"/>
          <w:szCs w:val="20"/>
          <w:lang w:val="en-GB"/>
        </w:rPr>
        <w:t xml:space="preserve">were informed that </w:t>
      </w:r>
      <w:r w:rsidR="00346DAC" w:rsidRPr="004030DB">
        <w:rPr>
          <w:rFonts w:ascii="Arial" w:hAnsi="Arial" w:cs="Arial"/>
          <w:sz w:val="20"/>
          <w:szCs w:val="20"/>
          <w:lang w:val="en-GB"/>
        </w:rPr>
        <w:t>Annyes Laheurte</w:t>
      </w:r>
      <w:r w:rsidR="00C84827" w:rsidRPr="004030DB">
        <w:rPr>
          <w:rFonts w:ascii="Arial" w:hAnsi="Arial" w:cs="Arial"/>
          <w:sz w:val="20"/>
          <w:szCs w:val="20"/>
          <w:lang w:val="en-GB"/>
        </w:rPr>
        <w:t>, Non-Executive Director,</w:t>
      </w:r>
      <w:r w:rsidR="00346DAC" w:rsidRPr="004030DB">
        <w:rPr>
          <w:rFonts w:ascii="Arial" w:hAnsi="Arial" w:cs="Arial"/>
          <w:sz w:val="20"/>
          <w:szCs w:val="20"/>
          <w:lang w:val="en-GB"/>
        </w:rPr>
        <w:t xml:space="preserve"> </w:t>
      </w:r>
      <w:proofErr w:type="gramStart"/>
      <w:r w:rsidR="00BA4E6C" w:rsidRPr="004030DB">
        <w:rPr>
          <w:rFonts w:ascii="Arial" w:hAnsi="Arial" w:cs="Arial"/>
          <w:sz w:val="20"/>
          <w:szCs w:val="20"/>
          <w:lang w:val="en-GB"/>
        </w:rPr>
        <w:t>tendered her resignation</w:t>
      </w:r>
      <w:proofErr w:type="gramEnd"/>
      <w:r w:rsidR="00BA4E6C" w:rsidRPr="004030DB">
        <w:rPr>
          <w:rFonts w:ascii="Arial" w:hAnsi="Arial" w:cs="Arial"/>
          <w:sz w:val="20"/>
          <w:szCs w:val="20"/>
          <w:lang w:val="en-GB"/>
        </w:rPr>
        <w:t xml:space="preserve"> and </w:t>
      </w:r>
      <w:r w:rsidR="00F45C23" w:rsidRPr="004030DB">
        <w:rPr>
          <w:rFonts w:ascii="Arial" w:hAnsi="Arial" w:cs="Arial"/>
          <w:sz w:val="20"/>
          <w:szCs w:val="20"/>
          <w:lang w:val="en-GB"/>
        </w:rPr>
        <w:t xml:space="preserve">her </w:t>
      </w:r>
      <w:r w:rsidR="00BA4E6C" w:rsidRPr="004030DB">
        <w:rPr>
          <w:rFonts w:ascii="Arial" w:hAnsi="Arial" w:cs="Arial"/>
          <w:sz w:val="20"/>
          <w:szCs w:val="20"/>
          <w:lang w:val="en-GB"/>
        </w:rPr>
        <w:t xml:space="preserve">last working day would be 31 </w:t>
      </w:r>
      <w:r w:rsidR="00BF07BD" w:rsidRPr="004030DB">
        <w:rPr>
          <w:rFonts w:ascii="Arial" w:hAnsi="Arial" w:cs="Arial"/>
          <w:sz w:val="20"/>
          <w:szCs w:val="20"/>
          <w:lang w:val="en-GB"/>
        </w:rPr>
        <w:t>March 2025</w:t>
      </w:r>
      <w:r w:rsidR="00BA4E6C" w:rsidRPr="004030DB">
        <w:rPr>
          <w:rFonts w:ascii="Arial" w:hAnsi="Arial" w:cs="Arial"/>
          <w:sz w:val="20"/>
          <w:szCs w:val="20"/>
          <w:lang w:val="en-GB"/>
        </w:rPr>
        <w:t>.</w:t>
      </w:r>
      <w:r w:rsidR="00BF07BD" w:rsidRPr="004030DB">
        <w:rPr>
          <w:rFonts w:ascii="Arial" w:hAnsi="Arial" w:cs="Arial"/>
          <w:sz w:val="20"/>
          <w:szCs w:val="20"/>
          <w:lang w:val="en-GB"/>
        </w:rPr>
        <w:t xml:space="preserve">  This would mean a need for a vacancy to be filled as Chair of Audit and Risk Committee and Chair of </w:t>
      </w:r>
      <w:r w:rsidR="00C84827" w:rsidRPr="004030DB">
        <w:rPr>
          <w:rFonts w:ascii="Arial" w:hAnsi="Arial" w:cs="Arial"/>
          <w:sz w:val="20"/>
          <w:szCs w:val="20"/>
          <w:lang w:val="en-GB"/>
        </w:rPr>
        <w:t xml:space="preserve">Corporate Trustee and </w:t>
      </w:r>
      <w:r w:rsidR="00BF07BD" w:rsidRPr="004030DB">
        <w:rPr>
          <w:rFonts w:ascii="Arial" w:hAnsi="Arial" w:cs="Arial"/>
          <w:sz w:val="20"/>
          <w:szCs w:val="20"/>
          <w:lang w:val="en-GB"/>
        </w:rPr>
        <w:t>Charitable Funds Committee.</w:t>
      </w:r>
      <w:r w:rsidR="00E63CA7" w:rsidRPr="004030DB">
        <w:rPr>
          <w:rFonts w:ascii="Arial" w:hAnsi="Arial" w:cs="Arial"/>
          <w:sz w:val="20"/>
          <w:szCs w:val="20"/>
          <w:lang w:val="en-GB"/>
        </w:rPr>
        <w:t xml:space="preserve"> </w:t>
      </w:r>
    </w:p>
    <w:p w14:paraId="1FB9070F" w14:textId="77777777" w:rsidR="00C84827" w:rsidRPr="004030DB" w:rsidRDefault="00C84827" w:rsidP="00C84827">
      <w:pPr>
        <w:jc w:val="both"/>
        <w:rPr>
          <w:rFonts w:ascii="Arial" w:hAnsi="Arial" w:cs="Arial"/>
          <w:sz w:val="20"/>
          <w:szCs w:val="20"/>
          <w:lang w:val="en-GB"/>
        </w:rPr>
      </w:pPr>
    </w:p>
    <w:p w14:paraId="18507E87" w14:textId="77777777" w:rsidR="00C84827" w:rsidRPr="004030DB" w:rsidRDefault="00C84827" w:rsidP="00C84827">
      <w:pPr>
        <w:jc w:val="both"/>
        <w:rPr>
          <w:rFonts w:ascii="Arial" w:hAnsi="Arial" w:cs="Arial"/>
          <w:sz w:val="20"/>
          <w:szCs w:val="20"/>
          <w:lang w:val="en-GB"/>
        </w:rPr>
      </w:pPr>
      <w:r w:rsidRPr="004030DB">
        <w:rPr>
          <w:rFonts w:ascii="Arial" w:hAnsi="Arial" w:cs="Arial"/>
          <w:sz w:val="20"/>
          <w:szCs w:val="20"/>
          <w:lang w:val="en-GB"/>
        </w:rPr>
        <w:t>[</w:t>
      </w:r>
      <w:r w:rsidRPr="004030DB">
        <w:rPr>
          <w:rFonts w:ascii="Arial" w:hAnsi="Arial" w:cs="Arial"/>
          <w:i/>
          <w:sz w:val="20"/>
          <w:szCs w:val="20"/>
          <w:lang w:val="en-GB"/>
        </w:rPr>
        <w:t>The Council of Governors, advised by the Council of Governors Nominations Committee, appointed Helen Wiseman and Peter Conway as Non-Executive Director for three years from 01 May 2025.  The roles were advertised externally through Alumni Global recruitment agency</w:t>
      </w:r>
      <w:r w:rsidRPr="004030DB">
        <w:rPr>
          <w:rFonts w:ascii="Arial" w:hAnsi="Arial" w:cs="Arial"/>
          <w:sz w:val="20"/>
          <w:szCs w:val="20"/>
          <w:lang w:val="en-GB"/>
        </w:rPr>
        <w:t xml:space="preserve">].  </w:t>
      </w:r>
    </w:p>
    <w:p w14:paraId="6312BDBC" w14:textId="77777777" w:rsidR="00F45C23" w:rsidRPr="004030DB" w:rsidRDefault="00F45C23" w:rsidP="00C84827">
      <w:pPr>
        <w:jc w:val="both"/>
        <w:rPr>
          <w:rFonts w:ascii="Arial" w:hAnsi="Arial" w:cs="Arial"/>
          <w:sz w:val="20"/>
          <w:szCs w:val="20"/>
          <w:lang w:val="en-GB"/>
        </w:rPr>
      </w:pPr>
    </w:p>
    <w:p w14:paraId="6105B414" w14:textId="77777777" w:rsidR="00010A15" w:rsidRPr="004030DB" w:rsidRDefault="00010A15" w:rsidP="00C84827">
      <w:pPr>
        <w:jc w:val="both"/>
        <w:rPr>
          <w:rFonts w:ascii="Arial" w:hAnsi="Arial" w:cs="Arial"/>
          <w:b/>
          <w:sz w:val="20"/>
          <w:szCs w:val="20"/>
          <w:lang w:val="en-GB"/>
        </w:rPr>
      </w:pPr>
      <w:r w:rsidRPr="004030DB">
        <w:rPr>
          <w:rFonts w:ascii="Arial" w:hAnsi="Arial" w:cs="Arial"/>
          <w:b/>
          <w:sz w:val="20"/>
          <w:szCs w:val="20"/>
          <w:lang w:val="en-GB"/>
        </w:rPr>
        <w:t xml:space="preserve">Decisions </w:t>
      </w:r>
      <w:r w:rsidR="0044308C" w:rsidRPr="004030DB">
        <w:rPr>
          <w:rFonts w:ascii="Arial" w:hAnsi="Arial" w:cs="Arial"/>
          <w:b/>
          <w:sz w:val="20"/>
          <w:szCs w:val="20"/>
          <w:lang w:val="en-GB"/>
        </w:rPr>
        <w:t>D</w:t>
      </w:r>
      <w:r w:rsidRPr="004030DB">
        <w:rPr>
          <w:rFonts w:ascii="Arial" w:hAnsi="Arial" w:cs="Arial"/>
          <w:b/>
          <w:sz w:val="20"/>
          <w:szCs w:val="20"/>
          <w:lang w:val="en-GB"/>
        </w:rPr>
        <w:t>elegated to the Executive Group</w:t>
      </w:r>
    </w:p>
    <w:p w14:paraId="32DA5ADA" w14:textId="77777777" w:rsidR="00A82237" w:rsidRPr="004030DB" w:rsidRDefault="00010A15" w:rsidP="00C84827">
      <w:pPr>
        <w:jc w:val="both"/>
        <w:rPr>
          <w:rFonts w:ascii="Arial" w:hAnsi="Arial" w:cs="Arial"/>
          <w:sz w:val="20"/>
          <w:szCs w:val="20"/>
          <w:lang w:val="en-GB"/>
        </w:rPr>
      </w:pPr>
      <w:r w:rsidRPr="004030DB">
        <w:rPr>
          <w:rFonts w:ascii="Arial" w:hAnsi="Arial" w:cs="Arial"/>
          <w:sz w:val="20"/>
          <w:szCs w:val="20"/>
          <w:lang w:val="en-GB"/>
        </w:rPr>
        <w:t xml:space="preserve">The </w:t>
      </w:r>
      <w:r w:rsidR="001D320D" w:rsidRPr="004030DB">
        <w:rPr>
          <w:rFonts w:ascii="Arial" w:hAnsi="Arial" w:cs="Arial"/>
          <w:sz w:val="20"/>
          <w:szCs w:val="20"/>
          <w:lang w:val="en-GB"/>
        </w:rPr>
        <w:t>E</w:t>
      </w:r>
      <w:r w:rsidRPr="004030DB">
        <w:rPr>
          <w:rFonts w:ascii="Arial" w:hAnsi="Arial" w:cs="Arial"/>
          <w:sz w:val="20"/>
          <w:szCs w:val="20"/>
          <w:lang w:val="en-GB"/>
        </w:rPr>
        <w:t xml:space="preserve">xecutive </w:t>
      </w:r>
      <w:r w:rsidR="001D320D" w:rsidRPr="004030DB">
        <w:rPr>
          <w:rFonts w:ascii="Arial" w:hAnsi="Arial" w:cs="Arial"/>
          <w:sz w:val="20"/>
          <w:szCs w:val="20"/>
          <w:lang w:val="en-GB"/>
        </w:rPr>
        <w:t>D</w:t>
      </w:r>
      <w:r w:rsidRPr="004030DB">
        <w:rPr>
          <w:rFonts w:ascii="Arial" w:hAnsi="Arial" w:cs="Arial"/>
          <w:sz w:val="20"/>
          <w:szCs w:val="20"/>
          <w:lang w:val="en-GB"/>
        </w:rPr>
        <w:t xml:space="preserve">irectors meet </w:t>
      </w:r>
      <w:r w:rsidR="00A82237" w:rsidRPr="004030DB">
        <w:rPr>
          <w:rFonts w:ascii="Arial" w:hAnsi="Arial" w:cs="Arial"/>
          <w:sz w:val="20"/>
          <w:szCs w:val="20"/>
          <w:lang w:val="en-GB"/>
        </w:rPr>
        <w:t>weekly</w:t>
      </w:r>
      <w:r w:rsidRPr="004030DB">
        <w:rPr>
          <w:rFonts w:ascii="Arial" w:hAnsi="Arial" w:cs="Arial"/>
          <w:sz w:val="20"/>
          <w:szCs w:val="20"/>
          <w:lang w:val="en-GB"/>
        </w:rPr>
        <w:t xml:space="preserve"> and</w:t>
      </w:r>
      <w:r w:rsidR="00427F54" w:rsidRPr="004030DB">
        <w:rPr>
          <w:rFonts w:ascii="Arial" w:hAnsi="Arial" w:cs="Arial"/>
          <w:sz w:val="20"/>
          <w:szCs w:val="20"/>
          <w:lang w:val="en-GB"/>
        </w:rPr>
        <w:t xml:space="preserve"> the meeting is chaired by the </w:t>
      </w:r>
      <w:r w:rsidR="001D320D" w:rsidRPr="004030DB">
        <w:rPr>
          <w:rFonts w:ascii="Arial" w:hAnsi="Arial" w:cs="Arial"/>
          <w:sz w:val="20"/>
          <w:szCs w:val="20"/>
          <w:lang w:val="en-GB"/>
        </w:rPr>
        <w:t>C</w:t>
      </w:r>
      <w:r w:rsidRPr="004030DB">
        <w:rPr>
          <w:rFonts w:ascii="Arial" w:hAnsi="Arial" w:cs="Arial"/>
          <w:sz w:val="20"/>
          <w:szCs w:val="20"/>
          <w:lang w:val="en-GB"/>
        </w:rPr>
        <w:t xml:space="preserve">hief </w:t>
      </w:r>
      <w:r w:rsidR="001D320D" w:rsidRPr="004030DB">
        <w:rPr>
          <w:rFonts w:ascii="Arial" w:hAnsi="Arial" w:cs="Arial"/>
          <w:sz w:val="20"/>
          <w:szCs w:val="20"/>
          <w:lang w:val="en-GB"/>
        </w:rPr>
        <w:t>E</w:t>
      </w:r>
      <w:r w:rsidRPr="004030DB">
        <w:rPr>
          <w:rFonts w:ascii="Arial" w:hAnsi="Arial" w:cs="Arial"/>
          <w:sz w:val="20"/>
          <w:szCs w:val="20"/>
          <w:lang w:val="en-GB"/>
        </w:rPr>
        <w:t>xecutive.</w:t>
      </w:r>
      <w:r w:rsidR="00C67F80" w:rsidRPr="004030DB">
        <w:rPr>
          <w:rFonts w:ascii="Arial" w:hAnsi="Arial" w:cs="Arial"/>
          <w:sz w:val="20"/>
          <w:szCs w:val="20"/>
          <w:lang w:val="en-GB"/>
        </w:rPr>
        <w:t xml:space="preserve">  </w:t>
      </w:r>
      <w:r w:rsidRPr="004030DB">
        <w:rPr>
          <w:rFonts w:ascii="Arial" w:hAnsi="Arial" w:cs="Arial"/>
          <w:sz w:val="20"/>
          <w:szCs w:val="20"/>
          <w:lang w:val="en-GB"/>
        </w:rPr>
        <w:t xml:space="preserve">Its purpose is to ensure that the objectives agreed by the </w:t>
      </w:r>
      <w:r w:rsidR="001D320D" w:rsidRPr="004030DB">
        <w:rPr>
          <w:rFonts w:ascii="Arial" w:hAnsi="Arial" w:cs="Arial"/>
          <w:sz w:val="20"/>
          <w:szCs w:val="20"/>
          <w:lang w:val="en-GB"/>
        </w:rPr>
        <w:t>B</w:t>
      </w:r>
      <w:r w:rsidRPr="004030DB">
        <w:rPr>
          <w:rFonts w:ascii="Arial" w:hAnsi="Arial" w:cs="Arial"/>
          <w:sz w:val="20"/>
          <w:szCs w:val="20"/>
          <w:lang w:val="en-GB"/>
        </w:rPr>
        <w:t>oard are delivered and to analyse the activity and performance of the Trust against the</w:t>
      </w:r>
      <w:r w:rsidR="00A82237" w:rsidRPr="004030DB">
        <w:rPr>
          <w:rFonts w:ascii="Arial" w:hAnsi="Arial" w:cs="Arial"/>
          <w:sz w:val="20"/>
          <w:szCs w:val="20"/>
          <w:lang w:val="en-GB"/>
        </w:rPr>
        <w:t xml:space="preserve"> </w:t>
      </w:r>
      <w:r w:rsidRPr="004030DB">
        <w:rPr>
          <w:rFonts w:ascii="Arial" w:hAnsi="Arial" w:cs="Arial"/>
          <w:sz w:val="20"/>
          <w:szCs w:val="20"/>
          <w:lang w:val="en-GB"/>
        </w:rPr>
        <w:t>business plan to ensure that duties are appropriately delegated to the senior management team and actions monitored.</w:t>
      </w:r>
      <w:r w:rsidR="00C67F80" w:rsidRPr="004030DB">
        <w:rPr>
          <w:rFonts w:ascii="Arial" w:hAnsi="Arial" w:cs="Arial"/>
          <w:sz w:val="20"/>
          <w:szCs w:val="20"/>
          <w:lang w:val="en-GB"/>
        </w:rPr>
        <w:t xml:space="preserve">  </w:t>
      </w:r>
      <w:r w:rsidRPr="004030DB">
        <w:rPr>
          <w:rFonts w:ascii="Arial" w:hAnsi="Arial" w:cs="Arial"/>
          <w:sz w:val="20"/>
          <w:szCs w:val="20"/>
          <w:lang w:val="en-GB"/>
        </w:rPr>
        <w:t>It also ensures that the key information from external bodies is discussed, actions identified and messages disseminated appropriately across the organisation.</w:t>
      </w:r>
    </w:p>
    <w:p w14:paraId="7DDC3322" w14:textId="77777777" w:rsidR="00F45C23" w:rsidRPr="004030DB" w:rsidRDefault="00F45C23" w:rsidP="00C84827">
      <w:pPr>
        <w:jc w:val="both"/>
        <w:rPr>
          <w:rFonts w:ascii="Arial" w:hAnsi="Arial" w:cs="Arial"/>
          <w:sz w:val="20"/>
          <w:szCs w:val="20"/>
          <w:lang w:val="en-GB"/>
        </w:rPr>
      </w:pPr>
    </w:p>
    <w:p w14:paraId="03A2ACAC" w14:textId="77777777" w:rsidR="00376665" w:rsidRPr="004030DB" w:rsidRDefault="00010A15" w:rsidP="00C84827">
      <w:pPr>
        <w:jc w:val="both"/>
        <w:rPr>
          <w:rFonts w:ascii="Arial" w:hAnsi="Arial" w:cs="Arial"/>
          <w:b/>
          <w:sz w:val="20"/>
          <w:szCs w:val="20"/>
          <w:lang w:val="en-GB"/>
        </w:rPr>
      </w:pPr>
      <w:r w:rsidRPr="004030DB">
        <w:rPr>
          <w:rFonts w:ascii="Arial" w:hAnsi="Arial" w:cs="Arial"/>
          <w:b/>
          <w:sz w:val="20"/>
          <w:szCs w:val="20"/>
          <w:lang w:val="en-GB"/>
        </w:rPr>
        <w:t xml:space="preserve">Statement about the </w:t>
      </w:r>
      <w:r w:rsidR="0044308C" w:rsidRPr="004030DB">
        <w:rPr>
          <w:rFonts w:ascii="Arial" w:hAnsi="Arial" w:cs="Arial"/>
          <w:b/>
          <w:sz w:val="20"/>
          <w:szCs w:val="20"/>
          <w:lang w:val="en-GB"/>
        </w:rPr>
        <w:t>B</w:t>
      </w:r>
      <w:r w:rsidRPr="004030DB">
        <w:rPr>
          <w:rFonts w:ascii="Arial" w:hAnsi="Arial" w:cs="Arial"/>
          <w:b/>
          <w:sz w:val="20"/>
          <w:szCs w:val="20"/>
          <w:lang w:val="en-GB"/>
        </w:rPr>
        <w:t xml:space="preserve">alance, </w:t>
      </w:r>
      <w:r w:rsidR="0044308C" w:rsidRPr="004030DB">
        <w:rPr>
          <w:rFonts w:ascii="Arial" w:hAnsi="Arial" w:cs="Arial"/>
          <w:b/>
          <w:sz w:val="20"/>
          <w:szCs w:val="20"/>
          <w:lang w:val="en-GB"/>
        </w:rPr>
        <w:t>C</w:t>
      </w:r>
      <w:r w:rsidRPr="004030DB">
        <w:rPr>
          <w:rFonts w:ascii="Arial" w:hAnsi="Arial" w:cs="Arial"/>
          <w:b/>
          <w:sz w:val="20"/>
          <w:szCs w:val="20"/>
          <w:lang w:val="en-GB"/>
        </w:rPr>
        <w:t xml:space="preserve">ompleteness and </w:t>
      </w:r>
      <w:r w:rsidR="0044308C" w:rsidRPr="004030DB">
        <w:rPr>
          <w:rFonts w:ascii="Arial" w:hAnsi="Arial" w:cs="Arial"/>
          <w:b/>
          <w:sz w:val="20"/>
          <w:szCs w:val="20"/>
          <w:lang w:val="en-GB"/>
        </w:rPr>
        <w:t>A</w:t>
      </w:r>
      <w:r w:rsidRPr="004030DB">
        <w:rPr>
          <w:rFonts w:ascii="Arial" w:hAnsi="Arial" w:cs="Arial"/>
          <w:b/>
          <w:sz w:val="20"/>
          <w:szCs w:val="20"/>
          <w:lang w:val="en-GB"/>
        </w:rPr>
        <w:t xml:space="preserve">ppropriateness of the </w:t>
      </w:r>
      <w:r w:rsidR="001D320D" w:rsidRPr="004030DB">
        <w:rPr>
          <w:rFonts w:ascii="Arial" w:hAnsi="Arial" w:cs="Arial"/>
          <w:b/>
          <w:sz w:val="20"/>
          <w:szCs w:val="20"/>
          <w:lang w:val="en-GB"/>
        </w:rPr>
        <w:t>B</w:t>
      </w:r>
      <w:r w:rsidRPr="004030DB">
        <w:rPr>
          <w:rFonts w:ascii="Arial" w:hAnsi="Arial" w:cs="Arial"/>
          <w:b/>
          <w:sz w:val="20"/>
          <w:szCs w:val="20"/>
          <w:lang w:val="en-GB"/>
        </w:rPr>
        <w:t xml:space="preserve">oard </w:t>
      </w:r>
      <w:r w:rsidRPr="004030DB">
        <w:rPr>
          <w:rFonts w:ascii="Arial" w:hAnsi="Arial" w:cs="Arial"/>
          <w:b/>
          <w:sz w:val="20"/>
          <w:szCs w:val="20"/>
          <w:lang w:val="en-GB"/>
        </w:rPr>
        <w:tab/>
      </w:r>
    </w:p>
    <w:p w14:paraId="12C6E5C7" w14:textId="77777777" w:rsidR="00010A15" w:rsidRPr="004030DB" w:rsidRDefault="00010A15" w:rsidP="00C84827">
      <w:pPr>
        <w:jc w:val="both"/>
        <w:rPr>
          <w:rFonts w:ascii="Arial" w:hAnsi="Arial" w:cs="Arial"/>
          <w:sz w:val="20"/>
          <w:szCs w:val="20"/>
          <w:lang w:val="en-GB"/>
        </w:rPr>
      </w:pPr>
      <w:r w:rsidRPr="004030DB">
        <w:rPr>
          <w:rFonts w:ascii="Arial" w:hAnsi="Arial" w:cs="Arial"/>
          <w:sz w:val="20"/>
          <w:szCs w:val="20"/>
          <w:lang w:val="en-GB"/>
        </w:rPr>
        <w:t xml:space="preserve">The members of the </w:t>
      </w:r>
      <w:r w:rsidR="00913528" w:rsidRPr="004030DB">
        <w:rPr>
          <w:rFonts w:ascii="Arial" w:hAnsi="Arial" w:cs="Arial"/>
          <w:sz w:val="20"/>
          <w:szCs w:val="20"/>
          <w:lang w:val="en-GB"/>
        </w:rPr>
        <w:t>T</w:t>
      </w:r>
      <w:r w:rsidRPr="004030DB">
        <w:rPr>
          <w:rFonts w:ascii="Arial" w:hAnsi="Arial" w:cs="Arial"/>
          <w:sz w:val="20"/>
          <w:szCs w:val="20"/>
          <w:lang w:val="en-GB"/>
        </w:rPr>
        <w:t xml:space="preserve">rust </w:t>
      </w:r>
      <w:r w:rsidR="001D320D" w:rsidRPr="004030DB">
        <w:rPr>
          <w:rFonts w:ascii="Arial" w:hAnsi="Arial" w:cs="Arial"/>
          <w:sz w:val="20"/>
          <w:szCs w:val="20"/>
          <w:lang w:val="en-GB"/>
        </w:rPr>
        <w:t>B</w:t>
      </w:r>
      <w:r w:rsidRPr="004030DB">
        <w:rPr>
          <w:rFonts w:ascii="Arial" w:hAnsi="Arial" w:cs="Arial"/>
          <w:sz w:val="20"/>
          <w:szCs w:val="20"/>
          <w:lang w:val="en-GB"/>
        </w:rPr>
        <w:t>oard possess a wide range of skills and bring experience gained from NHS organisations, other public</w:t>
      </w:r>
      <w:r w:rsidR="001D320D" w:rsidRPr="004030DB">
        <w:rPr>
          <w:rFonts w:ascii="Arial" w:hAnsi="Arial" w:cs="Arial"/>
          <w:sz w:val="20"/>
          <w:szCs w:val="20"/>
          <w:lang w:val="en-GB"/>
        </w:rPr>
        <w:t xml:space="preserve"> bodies and the private sector.  </w:t>
      </w:r>
      <w:r w:rsidRPr="004030DB">
        <w:rPr>
          <w:rFonts w:ascii="Arial" w:hAnsi="Arial" w:cs="Arial"/>
          <w:sz w:val="20"/>
          <w:szCs w:val="20"/>
          <w:lang w:val="en-GB"/>
        </w:rPr>
        <w:t xml:space="preserve">The skills portfolio of the directors, both </w:t>
      </w:r>
      <w:r w:rsidR="001D320D" w:rsidRPr="004030DB">
        <w:rPr>
          <w:rFonts w:ascii="Arial" w:hAnsi="Arial" w:cs="Arial"/>
          <w:sz w:val="20"/>
          <w:szCs w:val="20"/>
          <w:lang w:val="en-GB"/>
        </w:rPr>
        <w:t>E</w:t>
      </w:r>
      <w:r w:rsidRPr="004030DB">
        <w:rPr>
          <w:rFonts w:ascii="Arial" w:hAnsi="Arial" w:cs="Arial"/>
          <w:sz w:val="20"/>
          <w:szCs w:val="20"/>
          <w:lang w:val="en-GB"/>
        </w:rPr>
        <w:t xml:space="preserve">xecutive and </w:t>
      </w:r>
      <w:r w:rsidR="001D320D" w:rsidRPr="004030DB">
        <w:rPr>
          <w:rFonts w:ascii="Arial" w:hAnsi="Arial" w:cs="Arial"/>
          <w:sz w:val="20"/>
          <w:szCs w:val="20"/>
          <w:lang w:val="en-GB"/>
        </w:rPr>
        <w:t>N</w:t>
      </w:r>
      <w:r w:rsidRPr="004030DB">
        <w:rPr>
          <w:rFonts w:ascii="Arial" w:hAnsi="Arial" w:cs="Arial"/>
          <w:sz w:val="20"/>
          <w:szCs w:val="20"/>
          <w:lang w:val="en-GB"/>
        </w:rPr>
        <w:t>on-</w:t>
      </w:r>
      <w:r w:rsidR="001D320D" w:rsidRPr="004030DB">
        <w:rPr>
          <w:rFonts w:ascii="Arial" w:hAnsi="Arial" w:cs="Arial"/>
          <w:sz w:val="20"/>
          <w:szCs w:val="20"/>
          <w:lang w:val="en-GB"/>
        </w:rPr>
        <w:t>E</w:t>
      </w:r>
      <w:r w:rsidRPr="004030DB">
        <w:rPr>
          <w:rFonts w:ascii="Arial" w:hAnsi="Arial" w:cs="Arial"/>
          <w:sz w:val="20"/>
          <w:szCs w:val="20"/>
          <w:lang w:val="en-GB"/>
        </w:rPr>
        <w:t>xecutive are balanced to ensure it m</w:t>
      </w:r>
      <w:r w:rsidR="001D320D" w:rsidRPr="004030DB">
        <w:rPr>
          <w:rFonts w:ascii="Arial" w:hAnsi="Arial" w:cs="Arial"/>
          <w:sz w:val="20"/>
          <w:szCs w:val="20"/>
          <w:lang w:val="en-GB"/>
        </w:rPr>
        <w:t>eets the requirements of a</w:t>
      </w:r>
      <w:r w:rsidR="00BF07BD" w:rsidRPr="004030DB">
        <w:rPr>
          <w:rFonts w:ascii="Arial" w:hAnsi="Arial" w:cs="Arial"/>
          <w:sz w:val="20"/>
          <w:szCs w:val="20"/>
          <w:lang w:val="en-GB"/>
        </w:rPr>
        <w:t>n</w:t>
      </w:r>
      <w:r w:rsidR="001D320D" w:rsidRPr="004030DB">
        <w:rPr>
          <w:rFonts w:ascii="Arial" w:hAnsi="Arial" w:cs="Arial"/>
          <w:sz w:val="20"/>
          <w:szCs w:val="20"/>
          <w:lang w:val="en-GB"/>
        </w:rPr>
        <w:t xml:space="preserve"> NHS Foundation T</w:t>
      </w:r>
      <w:r w:rsidRPr="004030DB">
        <w:rPr>
          <w:rFonts w:ascii="Arial" w:hAnsi="Arial" w:cs="Arial"/>
          <w:sz w:val="20"/>
          <w:szCs w:val="20"/>
          <w:lang w:val="en-GB"/>
        </w:rPr>
        <w:t>rust.</w:t>
      </w:r>
    </w:p>
    <w:p w14:paraId="7369CBF8" w14:textId="77777777" w:rsidR="00913528" w:rsidRPr="004030DB" w:rsidRDefault="00913528" w:rsidP="00C84827">
      <w:pPr>
        <w:jc w:val="both"/>
        <w:rPr>
          <w:rFonts w:ascii="Arial" w:hAnsi="Arial" w:cs="Arial"/>
          <w:sz w:val="20"/>
          <w:szCs w:val="20"/>
          <w:lang w:val="en-GB"/>
        </w:rPr>
      </w:pPr>
    </w:p>
    <w:p w14:paraId="3CC2F0A4" w14:textId="77777777" w:rsidR="00010A15" w:rsidRPr="004030DB" w:rsidRDefault="00010A15" w:rsidP="00C84827">
      <w:pPr>
        <w:jc w:val="both"/>
        <w:rPr>
          <w:rFonts w:ascii="Arial" w:hAnsi="Arial" w:cs="Arial"/>
          <w:sz w:val="20"/>
          <w:szCs w:val="20"/>
          <w:lang w:val="en-GB"/>
        </w:rPr>
      </w:pPr>
      <w:r w:rsidRPr="004030DB">
        <w:rPr>
          <w:rFonts w:ascii="Arial" w:hAnsi="Arial" w:cs="Arial"/>
          <w:sz w:val="20"/>
          <w:szCs w:val="20"/>
          <w:lang w:val="en-GB"/>
        </w:rPr>
        <w:t xml:space="preserve">The </w:t>
      </w:r>
      <w:r w:rsidR="001D320D" w:rsidRPr="004030DB">
        <w:rPr>
          <w:rFonts w:ascii="Arial" w:hAnsi="Arial" w:cs="Arial"/>
          <w:sz w:val="20"/>
          <w:szCs w:val="20"/>
          <w:lang w:val="en-GB"/>
        </w:rPr>
        <w:t>Non-E</w:t>
      </w:r>
      <w:r w:rsidRPr="004030DB">
        <w:rPr>
          <w:rFonts w:ascii="Arial" w:hAnsi="Arial" w:cs="Arial"/>
          <w:sz w:val="20"/>
          <w:szCs w:val="20"/>
          <w:lang w:val="en-GB"/>
        </w:rPr>
        <w:t xml:space="preserve">xecutive </w:t>
      </w:r>
      <w:r w:rsidR="001D320D" w:rsidRPr="004030DB">
        <w:rPr>
          <w:rFonts w:ascii="Arial" w:hAnsi="Arial" w:cs="Arial"/>
          <w:sz w:val="20"/>
          <w:szCs w:val="20"/>
          <w:lang w:val="en-GB"/>
        </w:rPr>
        <w:t>D</w:t>
      </w:r>
      <w:r w:rsidRPr="004030DB">
        <w:rPr>
          <w:rFonts w:ascii="Arial" w:hAnsi="Arial" w:cs="Arial"/>
          <w:sz w:val="20"/>
          <w:szCs w:val="20"/>
          <w:lang w:val="en-GB"/>
        </w:rPr>
        <w:t xml:space="preserve">irectors are considered to be independent in character and judgement and the </w:t>
      </w:r>
      <w:r w:rsidR="001D320D" w:rsidRPr="004030DB">
        <w:rPr>
          <w:rFonts w:ascii="Arial" w:hAnsi="Arial" w:cs="Arial"/>
          <w:sz w:val="20"/>
          <w:szCs w:val="20"/>
          <w:lang w:val="en-GB"/>
        </w:rPr>
        <w:t>B</w:t>
      </w:r>
      <w:r w:rsidRPr="004030DB">
        <w:rPr>
          <w:rFonts w:ascii="Arial" w:hAnsi="Arial" w:cs="Arial"/>
          <w:sz w:val="20"/>
          <w:szCs w:val="20"/>
          <w:lang w:val="en-GB"/>
        </w:rPr>
        <w:t xml:space="preserve">oard believes it has the correct balance in its composition to </w:t>
      </w:r>
      <w:r w:rsidR="001D320D" w:rsidRPr="004030DB">
        <w:rPr>
          <w:rFonts w:ascii="Arial" w:hAnsi="Arial" w:cs="Arial"/>
          <w:sz w:val="20"/>
          <w:szCs w:val="20"/>
          <w:lang w:val="en-GB"/>
        </w:rPr>
        <w:t>meet the requirements of a</w:t>
      </w:r>
      <w:r w:rsidR="00BF07BD" w:rsidRPr="004030DB">
        <w:rPr>
          <w:rFonts w:ascii="Arial" w:hAnsi="Arial" w:cs="Arial"/>
          <w:sz w:val="20"/>
          <w:szCs w:val="20"/>
          <w:lang w:val="en-GB"/>
        </w:rPr>
        <w:t>n</w:t>
      </w:r>
      <w:r w:rsidR="001D320D" w:rsidRPr="004030DB">
        <w:rPr>
          <w:rFonts w:ascii="Arial" w:hAnsi="Arial" w:cs="Arial"/>
          <w:sz w:val="20"/>
          <w:szCs w:val="20"/>
          <w:lang w:val="en-GB"/>
        </w:rPr>
        <w:t xml:space="preserve"> NHS Foundation T</w:t>
      </w:r>
      <w:r w:rsidRPr="004030DB">
        <w:rPr>
          <w:rFonts w:ascii="Arial" w:hAnsi="Arial" w:cs="Arial"/>
          <w:sz w:val="20"/>
          <w:szCs w:val="20"/>
          <w:lang w:val="en-GB"/>
        </w:rPr>
        <w:t>rust.</w:t>
      </w:r>
      <w:r w:rsidR="00C67F80" w:rsidRPr="004030DB">
        <w:rPr>
          <w:rFonts w:ascii="Arial" w:hAnsi="Arial" w:cs="Arial"/>
          <w:sz w:val="20"/>
          <w:szCs w:val="20"/>
          <w:lang w:val="en-GB"/>
        </w:rPr>
        <w:t xml:space="preserve">  </w:t>
      </w:r>
      <w:r w:rsidRPr="004030DB">
        <w:rPr>
          <w:rFonts w:ascii="Arial" w:hAnsi="Arial" w:cs="Arial"/>
          <w:sz w:val="20"/>
          <w:szCs w:val="20"/>
          <w:lang w:val="en-GB"/>
        </w:rPr>
        <w:t xml:space="preserve">The Trust’s </w:t>
      </w:r>
      <w:r w:rsidR="00C67F80" w:rsidRPr="004030DB">
        <w:rPr>
          <w:rFonts w:ascii="Arial" w:hAnsi="Arial" w:cs="Arial"/>
          <w:sz w:val="20"/>
          <w:szCs w:val="20"/>
          <w:lang w:val="en-GB"/>
        </w:rPr>
        <w:t>C</w:t>
      </w:r>
      <w:r w:rsidRPr="004030DB">
        <w:rPr>
          <w:rFonts w:ascii="Arial" w:hAnsi="Arial" w:cs="Arial"/>
          <w:sz w:val="20"/>
          <w:szCs w:val="20"/>
          <w:lang w:val="en-GB"/>
        </w:rPr>
        <w:t xml:space="preserve">onstitution permits each </w:t>
      </w:r>
      <w:r w:rsidR="00C67F80" w:rsidRPr="004030DB">
        <w:rPr>
          <w:rFonts w:ascii="Arial" w:hAnsi="Arial" w:cs="Arial"/>
          <w:sz w:val="20"/>
          <w:szCs w:val="20"/>
          <w:lang w:val="en-GB"/>
        </w:rPr>
        <w:t xml:space="preserve">non-executive </w:t>
      </w:r>
      <w:r w:rsidRPr="004030DB">
        <w:rPr>
          <w:rFonts w:ascii="Arial" w:hAnsi="Arial" w:cs="Arial"/>
          <w:sz w:val="20"/>
          <w:szCs w:val="20"/>
          <w:lang w:val="en-GB"/>
        </w:rPr>
        <w:t>term of office to be up to three years, to a maximum of seven years’ service.</w:t>
      </w:r>
      <w:r w:rsidR="00C67F80" w:rsidRPr="004030DB">
        <w:rPr>
          <w:rFonts w:ascii="Arial" w:hAnsi="Arial" w:cs="Arial"/>
          <w:sz w:val="20"/>
          <w:szCs w:val="20"/>
          <w:lang w:val="en-GB"/>
        </w:rPr>
        <w:t xml:space="preserve">  </w:t>
      </w:r>
      <w:r w:rsidRPr="004030DB">
        <w:rPr>
          <w:rFonts w:ascii="Arial" w:hAnsi="Arial" w:cs="Arial"/>
          <w:sz w:val="20"/>
          <w:szCs w:val="20"/>
          <w:lang w:val="en-GB"/>
        </w:rPr>
        <w:t xml:space="preserve">Appointments and removals of </w:t>
      </w:r>
      <w:r w:rsidR="001D320D" w:rsidRPr="004030DB">
        <w:rPr>
          <w:rFonts w:ascii="Arial" w:hAnsi="Arial" w:cs="Arial"/>
          <w:sz w:val="20"/>
          <w:szCs w:val="20"/>
          <w:lang w:val="en-GB"/>
        </w:rPr>
        <w:t>N</w:t>
      </w:r>
      <w:r w:rsidRPr="004030DB">
        <w:rPr>
          <w:rFonts w:ascii="Arial" w:hAnsi="Arial" w:cs="Arial"/>
          <w:sz w:val="20"/>
          <w:szCs w:val="20"/>
          <w:lang w:val="en-GB"/>
        </w:rPr>
        <w:t>on-</w:t>
      </w:r>
      <w:r w:rsidR="001D320D" w:rsidRPr="004030DB">
        <w:rPr>
          <w:rFonts w:ascii="Arial" w:hAnsi="Arial" w:cs="Arial"/>
          <w:sz w:val="20"/>
          <w:szCs w:val="20"/>
          <w:lang w:val="en-GB"/>
        </w:rPr>
        <w:t>E</w:t>
      </w:r>
      <w:r w:rsidRPr="004030DB">
        <w:rPr>
          <w:rFonts w:ascii="Arial" w:hAnsi="Arial" w:cs="Arial"/>
          <w:sz w:val="20"/>
          <w:szCs w:val="20"/>
          <w:lang w:val="en-GB"/>
        </w:rPr>
        <w:t xml:space="preserve">xecutive </w:t>
      </w:r>
      <w:r w:rsidR="001D320D" w:rsidRPr="004030DB">
        <w:rPr>
          <w:rFonts w:ascii="Arial" w:hAnsi="Arial" w:cs="Arial"/>
          <w:sz w:val="20"/>
          <w:szCs w:val="20"/>
          <w:lang w:val="en-GB"/>
        </w:rPr>
        <w:t>D</w:t>
      </w:r>
      <w:r w:rsidRPr="004030DB">
        <w:rPr>
          <w:rFonts w:ascii="Arial" w:hAnsi="Arial" w:cs="Arial"/>
          <w:sz w:val="20"/>
          <w:szCs w:val="20"/>
          <w:lang w:val="en-GB"/>
        </w:rPr>
        <w:t xml:space="preserve">irectors are determined by the </w:t>
      </w:r>
      <w:r w:rsidR="001D320D" w:rsidRPr="004030DB">
        <w:rPr>
          <w:rFonts w:ascii="Arial" w:hAnsi="Arial" w:cs="Arial"/>
          <w:sz w:val="20"/>
          <w:szCs w:val="20"/>
          <w:lang w:val="en-GB"/>
        </w:rPr>
        <w:t>Council of G</w:t>
      </w:r>
      <w:r w:rsidRPr="004030DB">
        <w:rPr>
          <w:rFonts w:ascii="Arial" w:hAnsi="Arial" w:cs="Arial"/>
          <w:sz w:val="20"/>
          <w:szCs w:val="20"/>
          <w:lang w:val="en-GB"/>
        </w:rPr>
        <w:t xml:space="preserve">overnors on the advice of the </w:t>
      </w:r>
      <w:r w:rsidR="00C67F80" w:rsidRPr="004030DB">
        <w:rPr>
          <w:rFonts w:ascii="Arial" w:hAnsi="Arial" w:cs="Arial"/>
          <w:sz w:val="20"/>
          <w:szCs w:val="20"/>
          <w:lang w:val="en-GB"/>
        </w:rPr>
        <w:t xml:space="preserve">Council of </w:t>
      </w:r>
      <w:r w:rsidR="001D320D" w:rsidRPr="004030DB">
        <w:rPr>
          <w:rFonts w:ascii="Arial" w:hAnsi="Arial" w:cs="Arial"/>
          <w:sz w:val="20"/>
          <w:szCs w:val="20"/>
          <w:lang w:val="en-GB"/>
        </w:rPr>
        <w:t xml:space="preserve">Governors </w:t>
      </w:r>
      <w:r w:rsidRPr="004030DB">
        <w:rPr>
          <w:rFonts w:ascii="Arial" w:hAnsi="Arial" w:cs="Arial"/>
          <w:sz w:val="20"/>
          <w:szCs w:val="20"/>
          <w:lang w:val="en-GB"/>
        </w:rPr>
        <w:t>Nomination</w:t>
      </w:r>
      <w:r w:rsidR="001D320D" w:rsidRPr="004030DB">
        <w:rPr>
          <w:rFonts w:ascii="Arial" w:hAnsi="Arial" w:cs="Arial"/>
          <w:sz w:val="20"/>
          <w:szCs w:val="20"/>
          <w:lang w:val="en-GB"/>
        </w:rPr>
        <w:t xml:space="preserve"> and Remuneration</w:t>
      </w:r>
      <w:r w:rsidRPr="004030DB">
        <w:rPr>
          <w:rFonts w:ascii="Arial" w:hAnsi="Arial" w:cs="Arial"/>
          <w:sz w:val="20"/>
          <w:szCs w:val="20"/>
          <w:lang w:val="en-GB"/>
        </w:rPr>
        <w:t xml:space="preserve"> Committee.</w:t>
      </w:r>
    </w:p>
    <w:p w14:paraId="1D968DAF" w14:textId="77777777" w:rsidR="00A82237" w:rsidRPr="004030DB" w:rsidRDefault="00A82237" w:rsidP="00C84827">
      <w:pPr>
        <w:jc w:val="both"/>
        <w:rPr>
          <w:rFonts w:ascii="Arial" w:hAnsi="Arial" w:cs="Arial"/>
          <w:sz w:val="20"/>
          <w:szCs w:val="20"/>
          <w:lang w:val="en-GB"/>
        </w:rPr>
      </w:pPr>
    </w:p>
    <w:p w14:paraId="33C63EB4" w14:textId="77777777" w:rsidR="00010A15" w:rsidRPr="004030DB" w:rsidRDefault="00010A15" w:rsidP="00C84827">
      <w:pPr>
        <w:jc w:val="both"/>
        <w:rPr>
          <w:rFonts w:ascii="Arial" w:hAnsi="Arial" w:cs="Arial"/>
          <w:sz w:val="20"/>
          <w:szCs w:val="20"/>
          <w:lang w:val="en-GB"/>
        </w:rPr>
      </w:pPr>
      <w:r w:rsidRPr="004030DB">
        <w:rPr>
          <w:rFonts w:ascii="Arial" w:hAnsi="Arial" w:cs="Arial"/>
          <w:sz w:val="20"/>
          <w:szCs w:val="20"/>
          <w:lang w:val="en-GB"/>
        </w:rPr>
        <w:t xml:space="preserve">The </w:t>
      </w:r>
      <w:r w:rsidR="0044308C" w:rsidRPr="004030DB">
        <w:rPr>
          <w:rFonts w:ascii="Arial" w:hAnsi="Arial" w:cs="Arial"/>
          <w:sz w:val="20"/>
          <w:szCs w:val="20"/>
          <w:lang w:val="en-GB"/>
        </w:rPr>
        <w:t>C</w:t>
      </w:r>
      <w:r w:rsidRPr="004030DB">
        <w:rPr>
          <w:rFonts w:ascii="Arial" w:hAnsi="Arial" w:cs="Arial"/>
          <w:sz w:val="20"/>
          <w:szCs w:val="20"/>
          <w:lang w:val="en-GB"/>
        </w:rPr>
        <w:t xml:space="preserve">onstitution was </w:t>
      </w:r>
      <w:r w:rsidR="00A82237" w:rsidRPr="004030DB">
        <w:rPr>
          <w:rFonts w:ascii="Arial" w:hAnsi="Arial" w:cs="Arial"/>
          <w:sz w:val="20"/>
          <w:szCs w:val="20"/>
          <w:lang w:val="en-GB"/>
        </w:rPr>
        <w:t>refreshed at the end of April 2023</w:t>
      </w:r>
      <w:r w:rsidRPr="004030DB">
        <w:rPr>
          <w:rFonts w:ascii="Arial" w:hAnsi="Arial" w:cs="Arial"/>
          <w:sz w:val="20"/>
          <w:szCs w:val="20"/>
          <w:lang w:val="en-GB"/>
        </w:rPr>
        <w:t xml:space="preserve"> to ensure it was fully compatible with </w:t>
      </w:r>
      <w:r w:rsidR="00A82237" w:rsidRPr="004030DB">
        <w:rPr>
          <w:rFonts w:ascii="Arial" w:hAnsi="Arial" w:cs="Arial"/>
          <w:sz w:val="20"/>
          <w:szCs w:val="20"/>
          <w:lang w:val="en-GB"/>
        </w:rPr>
        <w:t>the amendments to the Health and Care Act 2022 and the revised Code of Governance</w:t>
      </w:r>
      <w:r w:rsidRPr="004030DB">
        <w:rPr>
          <w:rFonts w:ascii="Arial" w:hAnsi="Arial" w:cs="Arial"/>
          <w:sz w:val="20"/>
          <w:szCs w:val="20"/>
          <w:lang w:val="en-GB"/>
        </w:rPr>
        <w:t>.</w:t>
      </w:r>
    </w:p>
    <w:p w14:paraId="576047D8" w14:textId="77777777" w:rsidR="00C67F80" w:rsidRPr="004030DB" w:rsidRDefault="00C67F80" w:rsidP="00C84827">
      <w:pPr>
        <w:jc w:val="both"/>
        <w:rPr>
          <w:rFonts w:ascii="Arial" w:hAnsi="Arial" w:cs="Arial"/>
          <w:sz w:val="20"/>
          <w:szCs w:val="20"/>
          <w:lang w:val="en-GB"/>
        </w:rPr>
      </w:pPr>
    </w:p>
    <w:p w14:paraId="23B11C1C" w14:textId="77777777" w:rsidR="00C67F80" w:rsidRPr="004030DB" w:rsidRDefault="00C67F80" w:rsidP="00C84827">
      <w:pPr>
        <w:jc w:val="both"/>
        <w:rPr>
          <w:rFonts w:ascii="Arial" w:hAnsi="Arial" w:cs="Arial"/>
          <w:sz w:val="20"/>
          <w:szCs w:val="20"/>
          <w:lang w:val="en-GB"/>
        </w:rPr>
      </w:pPr>
      <w:r w:rsidRPr="004030DB">
        <w:rPr>
          <w:rFonts w:ascii="Arial" w:hAnsi="Arial" w:cs="Arial"/>
          <w:sz w:val="20"/>
          <w:szCs w:val="20"/>
          <w:lang w:val="en-GB"/>
        </w:rPr>
        <w:t>[</w:t>
      </w:r>
      <w:r w:rsidRPr="004030DB">
        <w:rPr>
          <w:rFonts w:ascii="Arial" w:hAnsi="Arial" w:cs="Arial"/>
          <w:i/>
          <w:sz w:val="20"/>
          <w:szCs w:val="20"/>
          <w:lang w:val="en-GB"/>
        </w:rPr>
        <w:t>The Constitution is due to be refreshed by the Company Secretary May 2025</w:t>
      </w:r>
      <w:r w:rsidRPr="004030DB">
        <w:rPr>
          <w:rFonts w:ascii="Arial" w:hAnsi="Arial" w:cs="Arial"/>
          <w:sz w:val="20"/>
          <w:szCs w:val="20"/>
          <w:lang w:val="en-GB"/>
        </w:rPr>
        <w:t>].</w:t>
      </w:r>
    </w:p>
    <w:p w14:paraId="5C903490" w14:textId="77777777" w:rsidR="00010A15" w:rsidRPr="004030DB" w:rsidRDefault="00010A15" w:rsidP="00C84827">
      <w:pPr>
        <w:jc w:val="both"/>
        <w:rPr>
          <w:rFonts w:ascii="Arial" w:hAnsi="Arial" w:cs="Arial"/>
          <w:sz w:val="20"/>
          <w:szCs w:val="20"/>
          <w:lang w:val="en-GB"/>
        </w:rPr>
      </w:pPr>
      <w:r w:rsidRPr="004030DB">
        <w:rPr>
          <w:rFonts w:ascii="Arial" w:hAnsi="Arial" w:cs="Arial"/>
          <w:sz w:val="20"/>
          <w:szCs w:val="20"/>
          <w:lang w:val="en-GB"/>
        </w:rPr>
        <w:t xml:space="preserve"> </w:t>
      </w:r>
    </w:p>
    <w:p w14:paraId="233D62B6" w14:textId="77777777" w:rsidR="00F352C9" w:rsidRDefault="00F352C9" w:rsidP="00C84827">
      <w:pPr>
        <w:jc w:val="both"/>
        <w:rPr>
          <w:rFonts w:ascii="Arial" w:hAnsi="Arial" w:cs="Arial"/>
          <w:sz w:val="20"/>
          <w:szCs w:val="20"/>
          <w:lang w:val="en-GB"/>
        </w:rPr>
      </w:pPr>
    </w:p>
    <w:p w14:paraId="0500B743" w14:textId="77777777" w:rsidR="004030DB" w:rsidRDefault="004030DB" w:rsidP="00C84827">
      <w:pPr>
        <w:jc w:val="both"/>
        <w:rPr>
          <w:rFonts w:ascii="Arial" w:hAnsi="Arial" w:cs="Arial"/>
          <w:sz w:val="20"/>
          <w:szCs w:val="20"/>
          <w:lang w:val="en-GB"/>
        </w:rPr>
      </w:pPr>
    </w:p>
    <w:p w14:paraId="07834256" w14:textId="77777777" w:rsidR="004030DB" w:rsidRDefault="004030DB" w:rsidP="00C84827">
      <w:pPr>
        <w:jc w:val="both"/>
        <w:rPr>
          <w:rFonts w:ascii="Arial" w:hAnsi="Arial" w:cs="Arial"/>
          <w:sz w:val="20"/>
          <w:szCs w:val="20"/>
          <w:lang w:val="en-GB"/>
        </w:rPr>
      </w:pPr>
    </w:p>
    <w:p w14:paraId="51948B2C" w14:textId="77777777" w:rsidR="004030DB" w:rsidRDefault="004030DB" w:rsidP="00C84827">
      <w:pPr>
        <w:jc w:val="both"/>
        <w:rPr>
          <w:rFonts w:ascii="Arial" w:hAnsi="Arial" w:cs="Arial"/>
          <w:sz w:val="20"/>
          <w:szCs w:val="20"/>
          <w:lang w:val="en-GB"/>
        </w:rPr>
      </w:pPr>
    </w:p>
    <w:p w14:paraId="4AABFE16" w14:textId="77777777" w:rsidR="004030DB" w:rsidRDefault="004030DB" w:rsidP="00C84827">
      <w:pPr>
        <w:jc w:val="both"/>
        <w:rPr>
          <w:rFonts w:ascii="Arial" w:hAnsi="Arial" w:cs="Arial"/>
          <w:sz w:val="20"/>
          <w:szCs w:val="20"/>
          <w:lang w:val="en-GB"/>
        </w:rPr>
      </w:pPr>
    </w:p>
    <w:p w14:paraId="433F696F" w14:textId="77777777" w:rsidR="004030DB" w:rsidRDefault="004030DB" w:rsidP="00C84827">
      <w:pPr>
        <w:jc w:val="both"/>
        <w:rPr>
          <w:rFonts w:ascii="Arial" w:hAnsi="Arial" w:cs="Arial"/>
          <w:sz w:val="20"/>
          <w:szCs w:val="20"/>
          <w:lang w:val="en-GB"/>
        </w:rPr>
      </w:pPr>
    </w:p>
    <w:p w14:paraId="72BCA030" w14:textId="77777777" w:rsidR="004030DB" w:rsidRDefault="004030DB" w:rsidP="00C84827">
      <w:pPr>
        <w:jc w:val="both"/>
        <w:rPr>
          <w:rFonts w:ascii="Arial" w:hAnsi="Arial" w:cs="Arial"/>
          <w:sz w:val="20"/>
          <w:szCs w:val="20"/>
          <w:lang w:val="en-GB"/>
        </w:rPr>
      </w:pPr>
    </w:p>
    <w:p w14:paraId="495A3B9C" w14:textId="77777777" w:rsidR="004030DB" w:rsidRDefault="004030DB" w:rsidP="00C84827">
      <w:pPr>
        <w:jc w:val="both"/>
        <w:rPr>
          <w:rFonts w:ascii="Arial" w:hAnsi="Arial" w:cs="Arial"/>
          <w:sz w:val="20"/>
          <w:szCs w:val="20"/>
          <w:lang w:val="en-GB"/>
        </w:rPr>
      </w:pPr>
    </w:p>
    <w:p w14:paraId="25ADB859" w14:textId="77777777" w:rsidR="004030DB" w:rsidRDefault="004030DB" w:rsidP="00C84827">
      <w:pPr>
        <w:jc w:val="both"/>
        <w:rPr>
          <w:rFonts w:ascii="Arial" w:hAnsi="Arial" w:cs="Arial"/>
          <w:sz w:val="20"/>
          <w:szCs w:val="20"/>
          <w:lang w:val="en-GB"/>
        </w:rPr>
      </w:pPr>
    </w:p>
    <w:p w14:paraId="1485FEA8" w14:textId="77777777" w:rsidR="004030DB" w:rsidRDefault="004030DB" w:rsidP="00C84827">
      <w:pPr>
        <w:jc w:val="both"/>
        <w:rPr>
          <w:rFonts w:ascii="Arial" w:hAnsi="Arial" w:cs="Arial"/>
          <w:sz w:val="20"/>
          <w:szCs w:val="20"/>
          <w:lang w:val="en-GB"/>
        </w:rPr>
      </w:pPr>
    </w:p>
    <w:p w14:paraId="73874214" w14:textId="77777777" w:rsidR="004030DB" w:rsidRDefault="004030DB" w:rsidP="00C84827">
      <w:pPr>
        <w:jc w:val="both"/>
        <w:rPr>
          <w:rFonts w:ascii="Arial" w:hAnsi="Arial" w:cs="Arial"/>
          <w:sz w:val="20"/>
          <w:szCs w:val="20"/>
          <w:lang w:val="en-GB"/>
        </w:rPr>
      </w:pPr>
    </w:p>
    <w:p w14:paraId="26FEEB4F" w14:textId="77777777" w:rsidR="004030DB" w:rsidRDefault="004030DB" w:rsidP="00C84827">
      <w:pPr>
        <w:jc w:val="both"/>
        <w:rPr>
          <w:rFonts w:ascii="Arial" w:hAnsi="Arial" w:cs="Arial"/>
          <w:sz w:val="20"/>
          <w:szCs w:val="20"/>
          <w:lang w:val="en-GB"/>
        </w:rPr>
      </w:pPr>
    </w:p>
    <w:p w14:paraId="1C95FADC" w14:textId="77777777" w:rsidR="004030DB" w:rsidRDefault="004030DB" w:rsidP="00C84827">
      <w:pPr>
        <w:jc w:val="both"/>
        <w:rPr>
          <w:rFonts w:ascii="Arial" w:hAnsi="Arial" w:cs="Arial"/>
          <w:sz w:val="20"/>
          <w:szCs w:val="20"/>
          <w:lang w:val="en-GB"/>
        </w:rPr>
      </w:pPr>
    </w:p>
    <w:p w14:paraId="40C59680" w14:textId="77777777" w:rsidR="004030DB" w:rsidRDefault="004030DB" w:rsidP="00C84827">
      <w:pPr>
        <w:jc w:val="both"/>
        <w:rPr>
          <w:rFonts w:ascii="Arial" w:hAnsi="Arial" w:cs="Arial"/>
          <w:sz w:val="20"/>
          <w:szCs w:val="20"/>
          <w:lang w:val="en-GB"/>
        </w:rPr>
      </w:pPr>
    </w:p>
    <w:p w14:paraId="772B7866" w14:textId="77777777" w:rsidR="004030DB" w:rsidRDefault="004030DB" w:rsidP="00C84827">
      <w:pPr>
        <w:jc w:val="both"/>
        <w:rPr>
          <w:rFonts w:ascii="Arial" w:hAnsi="Arial" w:cs="Arial"/>
          <w:sz w:val="20"/>
          <w:szCs w:val="20"/>
          <w:lang w:val="en-GB"/>
        </w:rPr>
      </w:pPr>
    </w:p>
    <w:p w14:paraId="59B6E155" w14:textId="77777777" w:rsidR="004030DB" w:rsidRDefault="004030DB" w:rsidP="00C84827">
      <w:pPr>
        <w:jc w:val="both"/>
        <w:rPr>
          <w:rFonts w:ascii="Arial" w:hAnsi="Arial" w:cs="Arial"/>
          <w:sz w:val="20"/>
          <w:szCs w:val="20"/>
          <w:lang w:val="en-GB"/>
        </w:rPr>
      </w:pPr>
    </w:p>
    <w:p w14:paraId="57EF5285" w14:textId="77777777" w:rsidR="004030DB" w:rsidRDefault="004030DB" w:rsidP="00C84827">
      <w:pPr>
        <w:jc w:val="both"/>
        <w:rPr>
          <w:rFonts w:ascii="Arial" w:hAnsi="Arial" w:cs="Arial"/>
          <w:sz w:val="20"/>
          <w:szCs w:val="20"/>
          <w:lang w:val="en-GB"/>
        </w:rPr>
      </w:pPr>
    </w:p>
    <w:p w14:paraId="133D8D96" w14:textId="77777777" w:rsidR="004030DB" w:rsidRPr="004030DB" w:rsidRDefault="004030DB" w:rsidP="00C84827">
      <w:pPr>
        <w:jc w:val="both"/>
        <w:rPr>
          <w:rFonts w:ascii="Arial" w:hAnsi="Arial" w:cs="Arial"/>
          <w:sz w:val="20"/>
          <w:szCs w:val="20"/>
          <w:lang w:val="en-GB"/>
        </w:rPr>
      </w:pPr>
    </w:p>
    <w:p w14:paraId="3B6D8218" w14:textId="77777777" w:rsidR="00F45C23" w:rsidRPr="00B671D0" w:rsidRDefault="00F45C23" w:rsidP="00C84827">
      <w:pPr>
        <w:jc w:val="both"/>
        <w:rPr>
          <w:rFonts w:ascii="Arial" w:hAnsi="Arial" w:cs="Arial"/>
          <w:lang w:val="en-GB"/>
        </w:rPr>
      </w:pPr>
    </w:p>
    <w:p w14:paraId="73249AF2" w14:textId="77777777" w:rsidR="00010A15" w:rsidRPr="005E5BEF" w:rsidRDefault="00010A15" w:rsidP="005E5BEF">
      <w:pPr>
        <w:jc w:val="both"/>
        <w:rPr>
          <w:rFonts w:ascii="Arial" w:hAnsi="Arial" w:cs="Arial"/>
          <w:b/>
          <w:sz w:val="20"/>
          <w:szCs w:val="20"/>
          <w:u w:val="single"/>
          <w:lang w:val="en-GB"/>
        </w:rPr>
      </w:pPr>
      <w:r w:rsidRPr="005E5BEF">
        <w:rPr>
          <w:rFonts w:ascii="Arial" w:hAnsi="Arial" w:cs="Arial"/>
          <w:b/>
          <w:sz w:val="20"/>
          <w:szCs w:val="20"/>
          <w:u w:val="single"/>
          <w:lang w:val="en-GB"/>
        </w:rPr>
        <w:lastRenderedPageBreak/>
        <w:t>Directors of Medway NHS Foundation Trust 202</w:t>
      </w:r>
      <w:r w:rsidR="005470F8" w:rsidRPr="005E5BEF">
        <w:rPr>
          <w:rFonts w:ascii="Arial" w:hAnsi="Arial" w:cs="Arial"/>
          <w:b/>
          <w:sz w:val="20"/>
          <w:szCs w:val="20"/>
          <w:u w:val="single"/>
          <w:lang w:val="en-GB"/>
        </w:rPr>
        <w:t>4</w:t>
      </w:r>
      <w:r w:rsidR="00A82237" w:rsidRPr="005E5BEF">
        <w:rPr>
          <w:rFonts w:ascii="Arial" w:hAnsi="Arial" w:cs="Arial"/>
          <w:b/>
          <w:sz w:val="20"/>
          <w:szCs w:val="20"/>
          <w:u w:val="single"/>
          <w:lang w:val="en-GB"/>
        </w:rPr>
        <w:t>/2</w:t>
      </w:r>
      <w:r w:rsidR="005470F8" w:rsidRPr="005E5BEF">
        <w:rPr>
          <w:rFonts w:ascii="Arial" w:hAnsi="Arial" w:cs="Arial"/>
          <w:b/>
          <w:sz w:val="20"/>
          <w:szCs w:val="20"/>
          <w:u w:val="single"/>
          <w:lang w:val="en-GB"/>
        </w:rPr>
        <w:t>5</w:t>
      </w:r>
      <w:r w:rsidR="00C83699" w:rsidRPr="005E5BEF">
        <w:rPr>
          <w:rFonts w:ascii="Arial" w:hAnsi="Arial" w:cs="Arial"/>
          <w:b/>
          <w:color w:val="FF0000"/>
          <w:sz w:val="20"/>
          <w:szCs w:val="20"/>
          <w:highlight w:val="yellow"/>
          <w:lang w:val="en-GB"/>
        </w:rPr>
        <w:t xml:space="preserve"> </w:t>
      </w:r>
    </w:p>
    <w:p w14:paraId="5E593A03" w14:textId="77777777" w:rsidR="00EA24BF" w:rsidRPr="005E5BEF" w:rsidRDefault="00EA24BF" w:rsidP="005E5BEF">
      <w:pPr>
        <w:jc w:val="both"/>
        <w:rPr>
          <w:rFonts w:ascii="Arial" w:hAnsi="Arial" w:cs="Arial"/>
          <w:b/>
          <w:sz w:val="20"/>
          <w:szCs w:val="20"/>
          <w:lang w:val="en-GB"/>
        </w:rPr>
      </w:pPr>
    </w:p>
    <w:p w14:paraId="201367EC" w14:textId="77777777" w:rsidR="00C903E9" w:rsidRPr="005E5BEF" w:rsidRDefault="00C903E9" w:rsidP="005E5BEF">
      <w:pPr>
        <w:jc w:val="both"/>
        <w:rPr>
          <w:rFonts w:ascii="Arial" w:hAnsi="Arial" w:cs="Arial"/>
          <w:sz w:val="20"/>
          <w:szCs w:val="20"/>
          <w:u w:val="single"/>
          <w:lang w:val="en-GB"/>
        </w:rPr>
      </w:pPr>
      <w:r w:rsidRPr="005E5BEF">
        <w:rPr>
          <w:rFonts w:ascii="Arial" w:hAnsi="Arial" w:cs="Arial"/>
          <w:b/>
          <w:sz w:val="20"/>
          <w:szCs w:val="20"/>
          <w:u w:val="single"/>
          <w:lang w:val="en-GB"/>
        </w:rPr>
        <w:t>Non-Executive Directors</w:t>
      </w:r>
      <w:r w:rsidRPr="005E5BEF">
        <w:rPr>
          <w:rFonts w:ascii="Arial" w:hAnsi="Arial" w:cs="Arial"/>
          <w:b/>
          <w:color w:val="FF0000"/>
          <w:sz w:val="20"/>
          <w:szCs w:val="20"/>
          <w:u w:val="single"/>
          <w:lang w:val="en-GB"/>
        </w:rPr>
        <w:t xml:space="preserve"> </w:t>
      </w:r>
    </w:p>
    <w:p w14:paraId="2386929E" w14:textId="77777777" w:rsidR="00EA24BF" w:rsidRPr="005E5BEF" w:rsidRDefault="00EA24BF" w:rsidP="005E5BEF">
      <w:pPr>
        <w:jc w:val="both"/>
        <w:rPr>
          <w:rFonts w:ascii="Arial" w:hAnsi="Arial" w:cs="Arial"/>
          <w:sz w:val="20"/>
          <w:szCs w:val="20"/>
          <w:lang w:val="en-GB"/>
        </w:rPr>
      </w:pPr>
    </w:p>
    <w:p w14:paraId="7CB36E9E" w14:textId="77777777" w:rsidR="00AC7E22" w:rsidRDefault="00010A15" w:rsidP="00AC7E22">
      <w:pPr>
        <w:pStyle w:val="NormalWeb"/>
        <w:spacing w:before="0" w:beforeAutospacing="0" w:after="0" w:afterAutospacing="0"/>
        <w:rPr>
          <w:rFonts w:ascii="Arial" w:hAnsi="Arial" w:cs="Arial"/>
          <w:b/>
          <w:sz w:val="20"/>
          <w:szCs w:val="20"/>
        </w:rPr>
      </w:pPr>
      <w:r w:rsidRPr="005E5BEF">
        <w:rPr>
          <w:rFonts w:ascii="Arial" w:hAnsi="Arial" w:cs="Arial"/>
          <w:b/>
          <w:sz w:val="20"/>
          <w:szCs w:val="20"/>
        </w:rPr>
        <w:t>Jo</w:t>
      </w:r>
      <w:r w:rsidR="00AB1092" w:rsidRPr="005E5BEF">
        <w:rPr>
          <w:rFonts w:ascii="Arial" w:hAnsi="Arial" w:cs="Arial"/>
          <w:b/>
          <w:sz w:val="20"/>
          <w:szCs w:val="20"/>
        </w:rPr>
        <w:t>hn Goulston</w:t>
      </w:r>
    </w:p>
    <w:p w14:paraId="0AA79E96" w14:textId="77777777" w:rsidR="00010A15" w:rsidRPr="005E5BEF" w:rsidRDefault="005A4489" w:rsidP="00AC7E22">
      <w:pPr>
        <w:pStyle w:val="NormalWeb"/>
        <w:spacing w:before="0" w:beforeAutospacing="0" w:after="0" w:afterAutospacing="0"/>
        <w:rPr>
          <w:rFonts w:ascii="Arial" w:hAnsi="Arial" w:cs="Arial"/>
          <w:b/>
          <w:sz w:val="20"/>
          <w:szCs w:val="20"/>
        </w:rPr>
      </w:pPr>
      <w:r w:rsidRPr="005E5BEF">
        <w:rPr>
          <w:rFonts w:ascii="Arial" w:hAnsi="Arial" w:cs="Arial"/>
          <w:b/>
          <w:sz w:val="20"/>
          <w:szCs w:val="20"/>
        </w:rPr>
        <w:t xml:space="preserve">Appointed: </w:t>
      </w:r>
      <w:r w:rsidR="00BC2890" w:rsidRPr="005E5BEF">
        <w:rPr>
          <w:rFonts w:ascii="Arial" w:hAnsi="Arial" w:cs="Arial"/>
          <w:b/>
          <w:sz w:val="20"/>
          <w:szCs w:val="20"/>
        </w:rPr>
        <w:t>Chair</w:t>
      </w:r>
      <w:r w:rsidR="005E5BEF" w:rsidRPr="005E5BEF">
        <w:rPr>
          <w:rFonts w:ascii="Arial" w:hAnsi="Arial" w:cs="Arial"/>
          <w:b/>
          <w:sz w:val="20"/>
          <w:szCs w:val="20"/>
        </w:rPr>
        <w:t xml:space="preserve"> of the Trust </w:t>
      </w:r>
      <w:r w:rsidR="005E5BEF" w:rsidRPr="005E5BEF">
        <w:rPr>
          <w:rFonts w:ascii="Arial" w:hAnsi="Arial" w:cs="Arial"/>
          <w:b/>
          <w:sz w:val="20"/>
          <w:szCs w:val="20"/>
        </w:rPr>
        <w:tab/>
      </w:r>
      <w:r w:rsidR="005E5BEF" w:rsidRPr="005E5BEF">
        <w:rPr>
          <w:rFonts w:ascii="Arial" w:hAnsi="Arial" w:cs="Arial"/>
          <w:b/>
          <w:sz w:val="20"/>
          <w:szCs w:val="20"/>
        </w:rPr>
        <w:tab/>
      </w:r>
      <w:r w:rsidR="00AB1092" w:rsidRPr="005E5BEF">
        <w:rPr>
          <w:rFonts w:ascii="Arial" w:hAnsi="Arial" w:cs="Arial"/>
          <w:b/>
          <w:sz w:val="20"/>
          <w:szCs w:val="20"/>
        </w:rPr>
        <w:t xml:space="preserve">01 July 2024 </w:t>
      </w:r>
    </w:p>
    <w:p w14:paraId="5B7B8548" w14:textId="77777777" w:rsidR="00903AF2" w:rsidRPr="005E5BEF" w:rsidRDefault="00903AF2" w:rsidP="00AC7E22">
      <w:pPr>
        <w:jc w:val="both"/>
        <w:rPr>
          <w:rFonts w:ascii="Arial" w:hAnsi="Arial" w:cs="Arial"/>
          <w:i/>
          <w:sz w:val="20"/>
          <w:szCs w:val="20"/>
          <w:lang w:val="en-GB"/>
        </w:rPr>
      </w:pPr>
      <w:r w:rsidRPr="005E5BEF">
        <w:rPr>
          <w:rFonts w:ascii="Arial" w:hAnsi="Arial" w:cs="Arial"/>
          <w:i/>
          <w:sz w:val="20"/>
          <w:szCs w:val="20"/>
          <w:lang w:val="en-GB"/>
        </w:rPr>
        <w:t>T</w:t>
      </w:r>
      <w:r w:rsidR="00010A15" w:rsidRPr="005E5BEF">
        <w:rPr>
          <w:rFonts w:ascii="Arial" w:hAnsi="Arial" w:cs="Arial"/>
          <w:i/>
          <w:sz w:val="20"/>
          <w:szCs w:val="20"/>
          <w:lang w:val="en-GB"/>
        </w:rPr>
        <w:t xml:space="preserve">erm: </w:t>
      </w:r>
      <w:r w:rsidR="005A4489" w:rsidRPr="005E5BEF">
        <w:rPr>
          <w:rFonts w:ascii="Arial" w:hAnsi="Arial" w:cs="Arial"/>
          <w:i/>
          <w:sz w:val="20"/>
          <w:szCs w:val="20"/>
          <w:lang w:val="en-GB"/>
        </w:rPr>
        <w:t>F</w:t>
      </w:r>
      <w:r w:rsidR="00010A15" w:rsidRPr="005E5BEF">
        <w:rPr>
          <w:rFonts w:ascii="Arial" w:hAnsi="Arial" w:cs="Arial"/>
          <w:i/>
          <w:sz w:val="20"/>
          <w:szCs w:val="20"/>
          <w:lang w:val="en-GB"/>
        </w:rPr>
        <w:t>irst</w:t>
      </w:r>
    </w:p>
    <w:p w14:paraId="2CB4FC1D" w14:textId="77777777" w:rsidR="008918B9" w:rsidRPr="005E5BEF" w:rsidRDefault="008918B9" w:rsidP="005E5BEF">
      <w:pPr>
        <w:jc w:val="both"/>
        <w:rPr>
          <w:rFonts w:ascii="Arial" w:hAnsi="Arial" w:cs="Arial"/>
          <w:sz w:val="20"/>
          <w:szCs w:val="20"/>
          <w:lang w:val="en-GB"/>
        </w:rPr>
      </w:pPr>
    </w:p>
    <w:p w14:paraId="3638C006" w14:textId="77777777" w:rsidR="00010A15" w:rsidRPr="005E5BEF" w:rsidRDefault="00AC7E22" w:rsidP="005E5BEF">
      <w:pPr>
        <w:jc w:val="both"/>
        <w:rPr>
          <w:rFonts w:ascii="Arial" w:hAnsi="Arial" w:cs="Arial"/>
          <w:sz w:val="20"/>
          <w:szCs w:val="20"/>
          <w:u w:val="single"/>
          <w:lang w:val="en-GB"/>
        </w:rPr>
      </w:pPr>
      <w:r>
        <w:rPr>
          <w:noProof/>
        </w:rPr>
        <w:drawing>
          <wp:anchor distT="0" distB="0" distL="114300" distR="114300" simplePos="0" relativeHeight="251802624" behindDoc="0" locked="0" layoutInCell="1" allowOverlap="1" wp14:anchorId="19CF163D" wp14:editId="3894D32A">
            <wp:simplePos x="0" y="0"/>
            <wp:positionH relativeFrom="column">
              <wp:posOffset>3140075</wp:posOffset>
            </wp:positionH>
            <wp:positionV relativeFrom="paragraph">
              <wp:posOffset>25400</wp:posOffset>
            </wp:positionV>
            <wp:extent cx="2880000" cy="1756800"/>
            <wp:effectExtent l="0" t="0" r="0" b="0"/>
            <wp:wrapSquare wrapText="bothSides"/>
            <wp:docPr id="2" name="Picture 2" descr="Head shot of John Gouls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na.Almond\AppData\Local\Temp\42abf3b9-dd71-431e-8522-fddf9d770ed5_NEDs and EXECS website photos (002).zip.ed5\John Goulsto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175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010A15" w:rsidRPr="005E5BEF">
        <w:rPr>
          <w:rFonts w:ascii="Arial" w:hAnsi="Arial" w:cs="Arial"/>
          <w:sz w:val="20"/>
          <w:szCs w:val="20"/>
          <w:u w:val="single"/>
          <w:lang w:val="en-GB"/>
        </w:rPr>
        <w:t>Experience and Qualifications</w:t>
      </w:r>
    </w:p>
    <w:p w14:paraId="3A2B77B4" w14:textId="77777777" w:rsidR="001F7C79" w:rsidRPr="005E5BEF" w:rsidRDefault="001F7C79" w:rsidP="005E5BEF">
      <w:pPr>
        <w:jc w:val="both"/>
        <w:rPr>
          <w:rFonts w:ascii="Arial" w:hAnsi="Arial" w:cs="Arial"/>
          <w:sz w:val="20"/>
          <w:szCs w:val="20"/>
          <w:lang w:val="en-GB"/>
        </w:rPr>
      </w:pPr>
      <w:r w:rsidRPr="005E5BEF">
        <w:rPr>
          <w:rFonts w:ascii="Arial" w:hAnsi="Arial" w:cs="Arial"/>
          <w:sz w:val="20"/>
          <w:szCs w:val="20"/>
          <w:lang w:val="en-GB"/>
        </w:rPr>
        <w:t>John is the Chair of Medway NHS Foundation Trust (the Trust) and Kent Community Health NHS Foundation Trust</w:t>
      </w:r>
      <w:r w:rsidR="00E51AD3" w:rsidRPr="005E5BEF">
        <w:rPr>
          <w:rFonts w:ascii="Arial" w:hAnsi="Arial" w:cs="Arial"/>
          <w:sz w:val="20"/>
          <w:szCs w:val="20"/>
          <w:lang w:val="en-GB"/>
        </w:rPr>
        <w:t xml:space="preserve"> (KCHFT)</w:t>
      </w:r>
      <w:r w:rsidRPr="005E5BEF">
        <w:rPr>
          <w:rFonts w:ascii="Arial" w:hAnsi="Arial" w:cs="Arial"/>
          <w:sz w:val="20"/>
          <w:szCs w:val="20"/>
          <w:lang w:val="en-GB"/>
        </w:rPr>
        <w:t xml:space="preserve">.  He is a father-of-three, who has a wealth of experience working in non-executive and executive roles.  He is also currently Chair of NHS London Procurement Partnership.  He was interim Chair of Kent and Medway, Integrated Care System (ICS) from April 2020 to November 2021.  Formerly, he was Chief Executive of both acute and community health providers in London.  He has been an executive director of NHS London, the </w:t>
      </w:r>
      <w:r w:rsidR="00E51AD3" w:rsidRPr="005E5BEF">
        <w:rPr>
          <w:rFonts w:ascii="Arial" w:hAnsi="Arial" w:cs="Arial"/>
          <w:sz w:val="20"/>
          <w:szCs w:val="20"/>
          <w:lang w:val="en-GB"/>
        </w:rPr>
        <w:t>S</w:t>
      </w:r>
      <w:r w:rsidRPr="005E5BEF">
        <w:rPr>
          <w:rFonts w:ascii="Arial" w:hAnsi="Arial" w:cs="Arial"/>
          <w:sz w:val="20"/>
          <w:szCs w:val="20"/>
          <w:lang w:val="en-GB"/>
        </w:rPr>
        <w:t xml:space="preserve">trategic </w:t>
      </w:r>
      <w:r w:rsidR="00E51AD3" w:rsidRPr="005E5BEF">
        <w:rPr>
          <w:rFonts w:ascii="Arial" w:hAnsi="Arial" w:cs="Arial"/>
          <w:sz w:val="20"/>
          <w:szCs w:val="20"/>
          <w:lang w:val="en-GB"/>
        </w:rPr>
        <w:t>H</w:t>
      </w:r>
      <w:r w:rsidRPr="005E5BEF">
        <w:rPr>
          <w:rFonts w:ascii="Arial" w:hAnsi="Arial" w:cs="Arial"/>
          <w:sz w:val="20"/>
          <w:szCs w:val="20"/>
          <w:lang w:val="en-GB"/>
        </w:rPr>
        <w:t xml:space="preserve">ealth </w:t>
      </w:r>
      <w:r w:rsidR="00E51AD3" w:rsidRPr="005E5BEF">
        <w:rPr>
          <w:rFonts w:ascii="Arial" w:hAnsi="Arial" w:cs="Arial"/>
          <w:sz w:val="20"/>
          <w:szCs w:val="20"/>
          <w:lang w:val="en-GB"/>
        </w:rPr>
        <w:t>A</w:t>
      </w:r>
      <w:r w:rsidRPr="005E5BEF">
        <w:rPr>
          <w:rFonts w:ascii="Arial" w:hAnsi="Arial" w:cs="Arial"/>
          <w:sz w:val="20"/>
          <w:szCs w:val="20"/>
          <w:lang w:val="en-GB"/>
        </w:rPr>
        <w:t>uthority for London, plus director of finance at two London teaching hospitals during his career.</w:t>
      </w:r>
    </w:p>
    <w:p w14:paraId="309BFFD8" w14:textId="77777777" w:rsidR="00CC6E43" w:rsidRPr="005E5BEF" w:rsidRDefault="001F7C79" w:rsidP="005E5BEF">
      <w:pPr>
        <w:jc w:val="both"/>
        <w:rPr>
          <w:rFonts w:ascii="Arial" w:hAnsi="Arial" w:cs="Arial"/>
          <w:sz w:val="20"/>
          <w:szCs w:val="20"/>
          <w:lang w:val="en-GB"/>
        </w:rPr>
      </w:pPr>
      <w:r w:rsidRPr="005E5BEF">
        <w:rPr>
          <w:rFonts w:ascii="Arial" w:hAnsi="Arial" w:cs="Arial"/>
          <w:sz w:val="20"/>
          <w:szCs w:val="20"/>
          <w:lang w:val="en-GB"/>
        </w:rPr>
        <w:t>As part of his</w:t>
      </w:r>
      <w:r w:rsidR="00E51AD3" w:rsidRPr="005E5BEF">
        <w:rPr>
          <w:rFonts w:ascii="Arial" w:hAnsi="Arial" w:cs="Arial"/>
          <w:sz w:val="20"/>
          <w:szCs w:val="20"/>
          <w:lang w:val="en-GB"/>
        </w:rPr>
        <w:t xml:space="preserve"> current </w:t>
      </w:r>
      <w:r w:rsidRPr="005E5BEF">
        <w:rPr>
          <w:rFonts w:ascii="Arial" w:hAnsi="Arial" w:cs="Arial"/>
          <w:sz w:val="20"/>
          <w:szCs w:val="20"/>
          <w:lang w:val="en-GB"/>
        </w:rPr>
        <w:t>role as chair of</w:t>
      </w:r>
      <w:r w:rsidR="00E51AD3" w:rsidRPr="005E5BEF">
        <w:rPr>
          <w:rFonts w:ascii="Arial" w:hAnsi="Arial" w:cs="Arial"/>
          <w:sz w:val="20"/>
          <w:szCs w:val="20"/>
          <w:lang w:val="en-GB"/>
        </w:rPr>
        <w:t xml:space="preserve"> the Trust and </w:t>
      </w:r>
      <w:r w:rsidRPr="005E5BEF">
        <w:rPr>
          <w:rFonts w:ascii="Arial" w:hAnsi="Arial" w:cs="Arial"/>
          <w:sz w:val="20"/>
          <w:szCs w:val="20"/>
          <w:lang w:val="en-GB"/>
        </w:rPr>
        <w:t xml:space="preserve">KCHFT, </w:t>
      </w:r>
      <w:r w:rsidR="00E51AD3" w:rsidRPr="005E5BEF">
        <w:rPr>
          <w:rFonts w:ascii="Arial" w:hAnsi="Arial" w:cs="Arial"/>
          <w:sz w:val="20"/>
          <w:szCs w:val="20"/>
          <w:lang w:val="en-GB"/>
        </w:rPr>
        <w:t xml:space="preserve">he also </w:t>
      </w:r>
      <w:r w:rsidRPr="005E5BEF">
        <w:rPr>
          <w:rFonts w:ascii="Arial" w:hAnsi="Arial" w:cs="Arial"/>
          <w:sz w:val="20"/>
          <w:szCs w:val="20"/>
          <w:lang w:val="en-GB"/>
        </w:rPr>
        <w:t xml:space="preserve">chairs both the Medway and Swale and West Kent Health </w:t>
      </w:r>
      <w:r w:rsidR="00E51AD3" w:rsidRPr="005E5BEF">
        <w:rPr>
          <w:rFonts w:ascii="Arial" w:hAnsi="Arial" w:cs="Arial"/>
          <w:sz w:val="20"/>
          <w:szCs w:val="20"/>
          <w:lang w:val="en-GB"/>
        </w:rPr>
        <w:t>and</w:t>
      </w:r>
      <w:r w:rsidRPr="005E5BEF">
        <w:rPr>
          <w:rFonts w:ascii="Arial" w:hAnsi="Arial" w:cs="Arial"/>
          <w:sz w:val="20"/>
          <w:szCs w:val="20"/>
          <w:lang w:val="en-GB"/>
        </w:rPr>
        <w:t xml:space="preserve"> Care Partnership Boards and the Kent </w:t>
      </w:r>
      <w:r w:rsidR="00E51AD3" w:rsidRPr="005E5BEF">
        <w:rPr>
          <w:rFonts w:ascii="Arial" w:hAnsi="Arial" w:cs="Arial"/>
          <w:sz w:val="20"/>
          <w:szCs w:val="20"/>
          <w:lang w:val="en-GB"/>
        </w:rPr>
        <w:t>and</w:t>
      </w:r>
      <w:r w:rsidRPr="005E5BEF">
        <w:rPr>
          <w:rFonts w:ascii="Arial" w:hAnsi="Arial" w:cs="Arial"/>
          <w:sz w:val="20"/>
          <w:szCs w:val="20"/>
          <w:lang w:val="en-GB"/>
        </w:rPr>
        <w:t xml:space="preserve"> Medway Provider Collaboration Board.</w:t>
      </w:r>
      <w:r w:rsidR="00E51AD3" w:rsidRPr="005E5BEF">
        <w:rPr>
          <w:rFonts w:ascii="Arial" w:hAnsi="Arial" w:cs="Arial"/>
          <w:sz w:val="20"/>
          <w:szCs w:val="20"/>
          <w:lang w:val="en-GB"/>
        </w:rPr>
        <w:t xml:space="preserve">  </w:t>
      </w:r>
      <w:r w:rsidRPr="005E5BEF">
        <w:rPr>
          <w:rFonts w:ascii="Arial" w:hAnsi="Arial" w:cs="Arial"/>
          <w:sz w:val="20"/>
          <w:szCs w:val="20"/>
          <w:lang w:val="en-GB"/>
        </w:rPr>
        <w:t xml:space="preserve">He is also a member of the Kent </w:t>
      </w:r>
      <w:r w:rsidR="00E51AD3" w:rsidRPr="005E5BEF">
        <w:rPr>
          <w:rFonts w:ascii="Arial" w:hAnsi="Arial" w:cs="Arial"/>
          <w:sz w:val="20"/>
          <w:szCs w:val="20"/>
          <w:lang w:val="en-GB"/>
        </w:rPr>
        <w:t>and</w:t>
      </w:r>
      <w:r w:rsidRPr="005E5BEF">
        <w:rPr>
          <w:rFonts w:ascii="Arial" w:hAnsi="Arial" w:cs="Arial"/>
          <w:sz w:val="20"/>
          <w:szCs w:val="20"/>
          <w:lang w:val="en-GB"/>
        </w:rPr>
        <w:t xml:space="preserve"> Medway Integrated Care Partnership Joint Committee.</w:t>
      </w:r>
      <w:r w:rsidR="00E51AD3" w:rsidRPr="005E5BEF">
        <w:rPr>
          <w:rFonts w:ascii="Arial" w:hAnsi="Arial" w:cs="Arial"/>
          <w:sz w:val="20"/>
          <w:szCs w:val="20"/>
          <w:lang w:val="en-GB"/>
        </w:rPr>
        <w:t xml:space="preserve">  </w:t>
      </w:r>
      <w:r w:rsidRPr="005E5BEF">
        <w:rPr>
          <w:rFonts w:ascii="Arial" w:hAnsi="Arial" w:cs="Arial"/>
          <w:sz w:val="20"/>
          <w:szCs w:val="20"/>
          <w:lang w:val="en-GB"/>
        </w:rPr>
        <w:t xml:space="preserve">Much of his early career was in Kent, working in Maidstone during the </w:t>
      </w:r>
      <w:r w:rsidR="00E51AD3" w:rsidRPr="005E5BEF">
        <w:rPr>
          <w:rFonts w:ascii="Arial" w:hAnsi="Arial" w:cs="Arial"/>
          <w:sz w:val="20"/>
          <w:szCs w:val="20"/>
          <w:lang w:val="en-GB"/>
        </w:rPr>
        <w:t>19</w:t>
      </w:r>
      <w:r w:rsidRPr="005E5BEF">
        <w:rPr>
          <w:rFonts w:ascii="Arial" w:hAnsi="Arial" w:cs="Arial"/>
          <w:sz w:val="20"/>
          <w:szCs w:val="20"/>
          <w:lang w:val="en-GB"/>
        </w:rPr>
        <w:t>80s.</w:t>
      </w:r>
      <w:r w:rsidR="00E51AD3" w:rsidRPr="005E5BEF">
        <w:rPr>
          <w:rFonts w:ascii="Arial" w:hAnsi="Arial" w:cs="Arial"/>
          <w:sz w:val="20"/>
          <w:szCs w:val="20"/>
          <w:lang w:val="en-GB"/>
        </w:rPr>
        <w:t xml:space="preserve">  </w:t>
      </w:r>
      <w:r w:rsidRPr="005E5BEF">
        <w:rPr>
          <w:rFonts w:ascii="Arial" w:hAnsi="Arial" w:cs="Arial"/>
          <w:sz w:val="20"/>
          <w:szCs w:val="20"/>
          <w:lang w:val="en-GB"/>
        </w:rPr>
        <w:t xml:space="preserve">John’s daughter is a consultant </w:t>
      </w:r>
      <w:proofErr w:type="gramStart"/>
      <w:r w:rsidRPr="005E5BEF">
        <w:rPr>
          <w:rFonts w:ascii="Arial" w:hAnsi="Arial" w:cs="Arial"/>
          <w:sz w:val="20"/>
          <w:szCs w:val="20"/>
          <w:lang w:val="en-GB"/>
        </w:rPr>
        <w:t>geriatrician</w:t>
      </w:r>
      <w:proofErr w:type="gramEnd"/>
      <w:r w:rsidRPr="005E5BEF">
        <w:rPr>
          <w:rFonts w:ascii="Arial" w:hAnsi="Arial" w:cs="Arial"/>
          <w:sz w:val="20"/>
          <w:szCs w:val="20"/>
          <w:lang w:val="en-GB"/>
        </w:rPr>
        <w:t xml:space="preserve"> and his wife is a community physiotherapist.</w:t>
      </w:r>
    </w:p>
    <w:p w14:paraId="6BB2D7EF" w14:textId="77777777" w:rsidR="00E51AD3" w:rsidRPr="005E5BEF" w:rsidRDefault="00E51AD3" w:rsidP="005E5BEF">
      <w:pPr>
        <w:jc w:val="both"/>
        <w:rPr>
          <w:rFonts w:ascii="Arial" w:hAnsi="Arial" w:cs="Arial"/>
          <w:sz w:val="20"/>
          <w:szCs w:val="20"/>
          <w:u w:val="single"/>
          <w:lang w:val="en-GB"/>
        </w:rPr>
      </w:pPr>
    </w:p>
    <w:p w14:paraId="4712DD31" w14:textId="77777777" w:rsidR="00010A15" w:rsidRPr="005E5BEF" w:rsidRDefault="00010A15" w:rsidP="005E5BEF">
      <w:pPr>
        <w:jc w:val="both"/>
        <w:rPr>
          <w:rFonts w:ascii="Arial" w:hAnsi="Arial" w:cs="Arial"/>
          <w:sz w:val="20"/>
          <w:szCs w:val="20"/>
          <w:u w:val="single"/>
          <w:lang w:val="en-GB"/>
        </w:rPr>
      </w:pPr>
      <w:r w:rsidRPr="005E5BEF">
        <w:rPr>
          <w:rFonts w:ascii="Arial" w:hAnsi="Arial" w:cs="Arial"/>
          <w:sz w:val="20"/>
          <w:szCs w:val="20"/>
          <w:u w:val="single"/>
          <w:lang w:val="en-GB"/>
        </w:rPr>
        <w:t xml:space="preserve">Membership of </w:t>
      </w:r>
      <w:r w:rsidR="00080C40" w:rsidRPr="005E5BEF">
        <w:rPr>
          <w:rFonts w:ascii="Arial" w:hAnsi="Arial" w:cs="Arial"/>
          <w:sz w:val="20"/>
          <w:szCs w:val="20"/>
          <w:u w:val="single"/>
          <w:lang w:val="en-GB"/>
        </w:rPr>
        <w:t>C</w:t>
      </w:r>
      <w:r w:rsidRPr="005E5BEF">
        <w:rPr>
          <w:rFonts w:ascii="Arial" w:hAnsi="Arial" w:cs="Arial"/>
          <w:sz w:val="20"/>
          <w:szCs w:val="20"/>
          <w:u w:val="single"/>
          <w:lang w:val="en-GB"/>
        </w:rPr>
        <w:t>ommittees</w:t>
      </w:r>
    </w:p>
    <w:p w14:paraId="39BC73E6" w14:textId="77777777" w:rsidR="000903F4" w:rsidRPr="005E5BEF" w:rsidRDefault="000903F4" w:rsidP="005E5BEF">
      <w:pPr>
        <w:pStyle w:val="ListParagraph"/>
        <w:numPr>
          <w:ilvl w:val="0"/>
          <w:numId w:val="1"/>
        </w:numPr>
        <w:ind w:left="426"/>
        <w:jc w:val="both"/>
        <w:rPr>
          <w:rFonts w:ascii="Arial" w:hAnsi="Arial" w:cs="Arial"/>
          <w:sz w:val="20"/>
          <w:szCs w:val="20"/>
          <w:lang w:val="en-GB"/>
        </w:rPr>
      </w:pPr>
      <w:r w:rsidRPr="005E5BEF">
        <w:rPr>
          <w:rFonts w:ascii="Arial" w:hAnsi="Arial" w:cs="Arial"/>
          <w:sz w:val="20"/>
          <w:szCs w:val="20"/>
          <w:lang w:val="en-GB"/>
        </w:rPr>
        <w:t>Council of Governors (Chair)</w:t>
      </w:r>
    </w:p>
    <w:p w14:paraId="0DB702E5" w14:textId="77777777" w:rsidR="00903AF2" w:rsidRPr="005E5BEF" w:rsidRDefault="00010A15" w:rsidP="005E5BEF">
      <w:pPr>
        <w:pStyle w:val="ListParagraph"/>
        <w:numPr>
          <w:ilvl w:val="0"/>
          <w:numId w:val="1"/>
        </w:numPr>
        <w:ind w:left="426"/>
        <w:jc w:val="both"/>
        <w:rPr>
          <w:rFonts w:ascii="Arial" w:hAnsi="Arial" w:cs="Arial"/>
          <w:sz w:val="20"/>
          <w:szCs w:val="20"/>
          <w:lang w:val="en-GB"/>
        </w:rPr>
      </w:pPr>
      <w:r w:rsidRPr="005E5BEF">
        <w:rPr>
          <w:rFonts w:ascii="Arial" w:hAnsi="Arial" w:cs="Arial"/>
          <w:sz w:val="20"/>
          <w:szCs w:val="20"/>
          <w:lang w:val="en-GB"/>
        </w:rPr>
        <w:t>Nomination and Remuneration Committee</w:t>
      </w:r>
      <w:r w:rsidR="00CC6E43" w:rsidRPr="005E5BEF">
        <w:rPr>
          <w:rFonts w:ascii="Arial" w:hAnsi="Arial" w:cs="Arial"/>
          <w:sz w:val="20"/>
          <w:szCs w:val="20"/>
          <w:lang w:val="en-GB"/>
        </w:rPr>
        <w:t xml:space="preserve"> (Chair)</w:t>
      </w:r>
      <w:r w:rsidR="000903F4" w:rsidRPr="005E5BEF">
        <w:rPr>
          <w:rFonts w:ascii="Arial" w:hAnsi="Arial" w:cs="Arial"/>
          <w:sz w:val="20"/>
          <w:szCs w:val="20"/>
          <w:lang w:val="en-GB"/>
        </w:rPr>
        <w:t xml:space="preserve"> </w:t>
      </w:r>
    </w:p>
    <w:p w14:paraId="40F6B17B" w14:textId="77777777" w:rsidR="00C07FF4" w:rsidRPr="005E5BEF" w:rsidRDefault="000903F4" w:rsidP="005E5BEF">
      <w:pPr>
        <w:pStyle w:val="ListParagraph"/>
        <w:numPr>
          <w:ilvl w:val="0"/>
          <w:numId w:val="1"/>
        </w:numPr>
        <w:ind w:left="426"/>
        <w:jc w:val="both"/>
        <w:rPr>
          <w:rFonts w:ascii="Arial" w:hAnsi="Arial" w:cs="Arial"/>
          <w:sz w:val="20"/>
          <w:szCs w:val="20"/>
          <w:lang w:val="en-GB"/>
        </w:rPr>
      </w:pPr>
      <w:r w:rsidRPr="005E5BEF">
        <w:rPr>
          <w:rFonts w:ascii="Arial" w:hAnsi="Arial" w:cs="Arial"/>
          <w:sz w:val="20"/>
          <w:szCs w:val="20"/>
          <w:lang w:val="en-GB"/>
        </w:rPr>
        <w:t xml:space="preserve">Corporate </w:t>
      </w:r>
      <w:r w:rsidR="00C07FF4" w:rsidRPr="005E5BEF">
        <w:rPr>
          <w:rFonts w:ascii="Arial" w:hAnsi="Arial" w:cs="Arial"/>
          <w:sz w:val="20"/>
          <w:szCs w:val="20"/>
          <w:lang w:val="en-GB"/>
        </w:rPr>
        <w:t>Trustee</w:t>
      </w:r>
    </w:p>
    <w:p w14:paraId="53038E8E" w14:textId="77777777" w:rsidR="005E5BEF" w:rsidRDefault="005E5BEF" w:rsidP="005E5BEF">
      <w:pPr>
        <w:pStyle w:val="ListParagraph"/>
        <w:ind w:left="426"/>
        <w:jc w:val="both"/>
        <w:rPr>
          <w:rFonts w:ascii="Arial" w:hAnsi="Arial" w:cs="Arial"/>
          <w:sz w:val="20"/>
          <w:szCs w:val="20"/>
          <w:lang w:val="en-GB"/>
        </w:rPr>
      </w:pPr>
    </w:p>
    <w:p w14:paraId="4A80B361" w14:textId="77777777" w:rsidR="005470F8" w:rsidRPr="005E5BEF" w:rsidRDefault="001F7C79" w:rsidP="005E5BEF">
      <w:pPr>
        <w:pStyle w:val="ListParagraph"/>
        <w:ind w:left="426"/>
        <w:jc w:val="both"/>
        <w:rPr>
          <w:rFonts w:ascii="Arial" w:hAnsi="Arial" w:cs="Arial"/>
          <w:sz w:val="20"/>
          <w:szCs w:val="20"/>
          <w:lang w:val="en-GB"/>
        </w:rPr>
      </w:pPr>
      <w:r w:rsidRPr="005E5BEF">
        <w:rPr>
          <w:rFonts w:ascii="Arial" w:hAnsi="Arial" w:cs="Arial"/>
          <w:sz w:val="20"/>
          <w:szCs w:val="20"/>
          <w:lang w:val="en-GB"/>
        </w:rPr>
        <w:t xml:space="preserve">  </w:t>
      </w:r>
    </w:p>
    <w:p w14:paraId="466E6941" w14:textId="77777777" w:rsidR="005470F8" w:rsidRPr="005E5BEF" w:rsidRDefault="005470F8" w:rsidP="005E5BEF">
      <w:pPr>
        <w:jc w:val="both"/>
        <w:rPr>
          <w:rFonts w:ascii="Arial" w:hAnsi="Arial" w:cs="Arial"/>
          <w:b/>
          <w:sz w:val="20"/>
          <w:szCs w:val="20"/>
          <w:lang w:val="en-GB"/>
        </w:rPr>
      </w:pPr>
      <w:r w:rsidRPr="005E5BEF">
        <w:rPr>
          <w:rFonts w:ascii="Arial" w:hAnsi="Arial" w:cs="Arial"/>
          <w:b/>
          <w:sz w:val="20"/>
          <w:szCs w:val="20"/>
          <w:lang w:val="en-GB"/>
        </w:rPr>
        <w:t xml:space="preserve">Jenny Chong – Senior Independent Director </w:t>
      </w:r>
    </w:p>
    <w:p w14:paraId="14C8B45D" w14:textId="77777777" w:rsidR="005470F8" w:rsidRPr="005E5BEF" w:rsidRDefault="005A4489" w:rsidP="005E5BEF">
      <w:pPr>
        <w:jc w:val="both"/>
        <w:rPr>
          <w:rFonts w:ascii="Arial" w:hAnsi="Arial" w:cs="Arial"/>
          <w:b/>
          <w:sz w:val="20"/>
          <w:szCs w:val="20"/>
          <w:lang w:val="en-GB"/>
        </w:rPr>
      </w:pPr>
      <w:r w:rsidRPr="005E5BEF">
        <w:rPr>
          <w:rFonts w:ascii="Arial" w:hAnsi="Arial" w:cs="Arial"/>
          <w:b/>
          <w:sz w:val="20"/>
          <w:szCs w:val="20"/>
          <w:lang w:val="en-GB"/>
        </w:rPr>
        <w:t xml:space="preserve">Appointed: </w:t>
      </w:r>
      <w:r w:rsidR="005470F8" w:rsidRPr="005E5BEF">
        <w:rPr>
          <w:rFonts w:ascii="Arial" w:hAnsi="Arial" w:cs="Arial"/>
          <w:b/>
          <w:sz w:val="20"/>
          <w:szCs w:val="20"/>
          <w:lang w:val="en-GB"/>
        </w:rPr>
        <w:t>Non-Executive Director</w:t>
      </w:r>
      <w:r w:rsidR="005E5BEF" w:rsidRPr="005E5BEF">
        <w:rPr>
          <w:rFonts w:ascii="Arial" w:hAnsi="Arial" w:cs="Arial"/>
          <w:b/>
          <w:sz w:val="20"/>
          <w:szCs w:val="20"/>
          <w:lang w:val="en-GB"/>
        </w:rPr>
        <w:tab/>
      </w:r>
      <w:r w:rsidR="00F275E2" w:rsidRPr="005E5BEF">
        <w:rPr>
          <w:rFonts w:ascii="Arial" w:hAnsi="Arial" w:cs="Arial"/>
          <w:b/>
          <w:sz w:val="20"/>
          <w:szCs w:val="20"/>
          <w:lang w:val="en-GB"/>
        </w:rPr>
        <w:t xml:space="preserve">01 </w:t>
      </w:r>
      <w:r w:rsidR="005470F8" w:rsidRPr="005E5BEF">
        <w:rPr>
          <w:rFonts w:ascii="Arial" w:hAnsi="Arial" w:cs="Arial"/>
          <w:b/>
          <w:sz w:val="20"/>
          <w:szCs w:val="20"/>
          <w:lang w:val="en-GB"/>
        </w:rPr>
        <w:t>April 2024</w:t>
      </w:r>
    </w:p>
    <w:p w14:paraId="72BC0DC7" w14:textId="77777777" w:rsidR="00AC7E22" w:rsidRDefault="00AC7E22" w:rsidP="005E5BEF">
      <w:pPr>
        <w:jc w:val="both"/>
        <w:rPr>
          <w:rFonts w:ascii="Arial" w:hAnsi="Arial" w:cs="Arial"/>
          <w:sz w:val="20"/>
          <w:szCs w:val="20"/>
          <w:lang w:val="en-GB"/>
        </w:rPr>
      </w:pPr>
      <w:r w:rsidRPr="005E5BEF">
        <w:rPr>
          <w:rFonts w:ascii="Arial" w:hAnsi="Arial" w:cs="Arial"/>
          <w:sz w:val="20"/>
          <w:szCs w:val="20"/>
          <w:lang w:val="en-GB"/>
        </w:rPr>
        <w:t>Senior Independent Director</w:t>
      </w:r>
      <w:r w:rsidRPr="005E5BEF">
        <w:rPr>
          <w:rFonts w:ascii="Arial" w:hAnsi="Arial" w:cs="Arial"/>
          <w:sz w:val="20"/>
          <w:szCs w:val="20"/>
          <w:lang w:val="en-GB"/>
        </w:rPr>
        <w:tab/>
      </w:r>
      <w:r w:rsidRPr="005E5BEF">
        <w:rPr>
          <w:rFonts w:ascii="Arial" w:hAnsi="Arial" w:cs="Arial"/>
          <w:sz w:val="20"/>
          <w:szCs w:val="20"/>
          <w:lang w:val="en-GB"/>
        </w:rPr>
        <w:tab/>
        <w:t>01 October 2024</w:t>
      </w:r>
    </w:p>
    <w:p w14:paraId="33697BC3" w14:textId="77777777" w:rsidR="003F2226" w:rsidRPr="005E5BEF" w:rsidRDefault="003F2226" w:rsidP="005E5BEF">
      <w:pPr>
        <w:jc w:val="both"/>
        <w:rPr>
          <w:rFonts w:ascii="Arial" w:hAnsi="Arial" w:cs="Arial"/>
          <w:b/>
          <w:sz w:val="20"/>
          <w:szCs w:val="20"/>
          <w:lang w:val="en-GB"/>
        </w:rPr>
      </w:pPr>
      <w:r w:rsidRPr="005E5BEF">
        <w:rPr>
          <w:rFonts w:ascii="Arial" w:hAnsi="Arial" w:cs="Arial"/>
          <w:sz w:val="20"/>
          <w:szCs w:val="20"/>
          <w:lang w:val="en-GB"/>
        </w:rPr>
        <w:t>Associate Non-Executive Director</w:t>
      </w:r>
      <w:r w:rsidR="005E5BEF" w:rsidRPr="005E5BEF">
        <w:rPr>
          <w:rFonts w:ascii="Arial" w:hAnsi="Arial" w:cs="Arial"/>
          <w:sz w:val="20"/>
          <w:szCs w:val="20"/>
          <w:lang w:val="en-GB"/>
        </w:rPr>
        <w:tab/>
      </w:r>
      <w:r w:rsidRPr="005E5BEF">
        <w:rPr>
          <w:rFonts w:ascii="Arial" w:hAnsi="Arial" w:cs="Arial"/>
          <w:sz w:val="20"/>
          <w:szCs w:val="20"/>
          <w:lang w:val="en-GB"/>
        </w:rPr>
        <w:t>01 February 2020</w:t>
      </w:r>
    </w:p>
    <w:p w14:paraId="70BDB40A" w14:textId="77777777" w:rsidR="00F66FD9" w:rsidRPr="005E5BEF" w:rsidRDefault="00F66FD9" w:rsidP="005E5BEF">
      <w:pPr>
        <w:jc w:val="both"/>
        <w:rPr>
          <w:rFonts w:ascii="Arial" w:hAnsi="Arial" w:cs="Arial"/>
          <w:i/>
          <w:sz w:val="20"/>
          <w:szCs w:val="20"/>
          <w:lang w:val="en-GB"/>
        </w:rPr>
      </w:pPr>
      <w:r w:rsidRPr="005E5BEF">
        <w:rPr>
          <w:rFonts w:ascii="Arial" w:hAnsi="Arial" w:cs="Arial"/>
          <w:i/>
          <w:sz w:val="20"/>
          <w:szCs w:val="20"/>
          <w:lang w:val="en-GB"/>
        </w:rPr>
        <w:t>Term:</w:t>
      </w:r>
      <w:r w:rsidR="001308AF" w:rsidRPr="005E5BEF">
        <w:rPr>
          <w:rFonts w:ascii="Arial" w:hAnsi="Arial" w:cs="Arial"/>
          <w:i/>
          <w:sz w:val="20"/>
          <w:szCs w:val="20"/>
          <w:lang w:val="en-GB"/>
        </w:rPr>
        <w:t xml:space="preserve"> </w:t>
      </w:r>
      <w:r w:rsidR="00F275E2" w:rsidRPr="005E5BEF">
        <w:rPr>
          <w:rFonts w:ascii="Arial" w:hAnsi="Arial" w:cs="Arial"/>
          <w:i/>
          <w:sz w:val="20"/>
          <w:szCs w:val="20"/>
          <w:lang w:val="en-GB"/>
        </w:rPr>
        <w:t>Second</w:t>
      </w:r>
    </w:p>
    <w:p w14:paraId="38B0D96C" w14:textId="77777777" w:rsidR="005470F8" w:rsidRPr="005E5BEF" w:rsidRDefault="00AC7E22" w:rsidP="005E5BEF">
      <w:pPr>
        <w:jc w:val="both"/>
        <w:rPr>
          <w:rFonts w:ascii="Arial" w:hAnsi="Arial" w:cs="Arial"/>
          <w:sz w:val="20"/>
          <w:szCs w:val="20"/>
          <w:lang w:val="en-GB"/>
        </w:rPr>
      </w:pPr>
      <w:r>
        <w:rPr>
          <w:rFonts w:ascii="Arial" w:hAnsi="Arial" w:cs="Arial"/>
          <w:b/>
          <w:noProof/>
          <w:sz w:val="20"/>
          <w:szCs w:val="20"/>
          <w:lang w:val="en-GB"/>
        </w:rPr>
        <w:drawing>
          <wp:anchor distT="0" distB="0" distL="114300" distR="114300" simplePos="0" relativeHeight="251803648" behindDoc="0" locked="0" layoutInCell="1" allowOverlap="1" wp14:anchorId="4075C428" wp14:editId="00F2FA77">
            <wp:simplePos x="0" y="0"/>
            <wp:positionH relativeFrom="column">
              <wp:posOffset>3098800</wp:posOffset>
            </wp:positionH>
            <wp:positionV relativeFrom="paragraph">
              <wp:posOffset>25027</wp:posOffset>
            </wp:positionV>
            <wp:extent cx="2879725" cy="1756410"/>
            <wp:effectExtent l="0" t="0" r="0" b="0"/>
            <wp:wrapSquare wrapText="bothSides"/>
            <wp:docPr id="1556758572" name="Picture 1556758572" descr="Head shot of Jenny Cho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9725" cy="1756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91CC63" w14:textId="77777777" w:rsidR="001F7C79" w:rsidRPr="005E5BEF" w:rsidRDefault="001F7C79" w:rsidP="005E5BEF">
      <w:pPr>
        <w:jc w:val="both"/>
        <w:rPr>
          <w:rFonts w:ascii="Arial" w:hAnsi="Arial" w:cs="Arial"/>
          <w:sz w:val="20"/>
          <w:szCs w:val="20"/>
          <w:u w:val="single"/>
          <w:lang w:val="en-GB"/>
        </w:rPr>
      </w:pPr>
      <w:r w:rsidRPr="005E5BEF">
        <w:rPr>
          <w:rFonts w:ascii="Arial" w:hAnsi="Arial" w:cs="Arial"/>
          <w:sz w:val="20"/>
          <w:szCs w:val="20"/>
          <w:u w:val="single"/>
          <w:lang w:val="en-GB"/>
        </w:rPr>
        <w:t>Experience and Qualifications</w:t>
      </w:r>
    </w:p>
    <w:p w14:paraId="3B5AEF19" w14:textId="77777777" w:rsidR="005470F8" w:rsidRPr="005E5BEF" w:rsidRDefault="005470F8" w:rsidP="005E5BEF">
      <w:pPr>
        <w:jc w:val="both"/>
        <w:rPr>
          <w:rFonts w:ascii="Arial" w:hAnsi="Arial" w:cs="Arial"/>
          <w:sz w:val="20"/>
          <w:szCs w:val="20"/>
          <w:lang w:val="en-GB"/>
        </w:rPr>
      </w:pPr>
      <w:r w:rsidRPr="005E5BEF">
        <w:rPr>
          <w:rFonts w:ascii="Arial" w:hAnsi="Arial" w:cs="Arial"/>
          <w:sz w:val="20"/>
          <w:szCs w:val="20"/>
          <w:lang w:val="en-GB"/>
        </w:rPr>
        <w:t xml:space="preserve">Jenny </w:t>
      </w:r>
      <w:r w:rsidR="001F7C79" w:rsidRPr="005E5BEF">
        <w:rPr>
          <w:rFonts w:ascii="Arial" w:hAnsi="Arial" w:cs="Arial"/>
          <w:sz w:val="20"/>
          <w:szCs w:val="20"/>
          <w:lang w:val="en-GB"/>
        </w:rPr>
        <w:t>joined the Trust in 2020, s</w:t>
      </w:r>
      <w:r w:rsidRPr="005E5BEF">
        <w:rPr>
          <w:rFonts w:ascii="Arial" w:hAnsi="Arial" w:cs="Arial"/>
          <w:sz w:val="20"/>
          <w:szCs w:val="20"/>
          <w:lang w:val="en-GB"/>
        </w:rPr>
        <w:t>he also sits on boards and committees of Orthopaedic Research UK, The Design Museum, Imperial College London's Venture Mentoring Service, the Egypt Exploration Society, and the National Institute of Health and Care Research (NIHR).</w:t>
      </w:r>
      <w:r w:rsidR="001F7C79" w:rsidRPr="005E5BEF">
        <w:rPr>
          <w:rFonts w:ascii="Arial" w:hAnsi="Arial" w:cs="Arial"/>
          <w:sz w:val="20"/>
          <w:szCs w:val="20"/>
          <w:lang w:val="en-GB"/>
        </w:rPr>
        <w:t xml:space="preserve">  </w:t>
      </w:r>
      <w:r w:rsidRPr="005E5BEF">
        <w:rPr>
          <w:rFonts w:ascii="Arial" w:hAnsi="Arial" w:cs="Arial"/>
          <w:sz w:val="20"/>
          <w:szCs w:val="20"/>
          <w:lang w:val="en-GB"/>
        </w:rPr>
        <w:t>She is a champion of female digital talent in the NHS through her work with The Shuri Network and NHS Innovation Accelerator.</w:t>
      </w:r>
      <w:r w:rsidR="001F7C79" w:rsidRPr="005E5BEF">
        <w:rPr>
          <w:rFonts w:ascii="Arial" w:hAnsi="Arial" w:cs="Arial"/>
          <w:sz w:val="20"/>
          <w:szCs w:val="20"/>
          <w:lang w:val="en-GB"/>
        </w:rPr>
        <w:t xml:space="preserve">  </w:t>
      </w:r>
      <w:r w:rsidRPr="005E5BEF">
        <w:rPr>
          <w:rFonts w:ascii="Arial" w:hAnsi="Arial" w:cs="Arial"/>
          <w:sz w:val="20"/>
          <w:szCs w:val="20"/>
          <w:lang w:val="en-GB"/>
        </w:rPr>
        <w:t>She also acts as an advisor to various start-ups in the FinTech, MedTech and social impact space.</w:t>
      </w:r>
      <w:r w:rsidR="001F7C79" w:rsidRPr="005E5BEF">
        <w:rPr>
          <w:rFonts w:ascii="Arial" w:hAnsi="Arial" w:cs="Arial"/>
          <w:sz w:val="20"/>
          <w:szCs w:val="20"/>
          <w:lang w:val="en-GB"/>
        </w:rPr>
        <w:t xml:space="preserve">  </w:t>
      </w:r>
      <w:r w:rsidRPr="005E5BEF">
        <w:rPr>
          <w:rFonts w:ascii="Arial" w:hAnsi="Arial" w:cs="Arial"/>
          <w:sz w:val="20"/>
          <w:szCs w:val="20"/>
          <w:lang w:val="en-GB"/>
        </w:rPr>
        <w:t xml:space="preserve">Originally from Singapore, after graduating from the London School of Economics, Jenny embarked on a </w:t>
      </w:r>
      <w:r w:rsidR="001F7C79" w:rsidRPr="005E5BEF">
        <w:rPr>
          <w:rFonts w:ascii="Arial" w:hAnsi="Arial" w:cs="Arial"/>
          <w:sz w:val="20"/>
          <w:szCs w:val="20"/>
          <w:lang w:val="en-GB"/>
        </w:rPr>
        <w:t>20-year</w:t>
      </w:r>
      <w:r w:rsidRPr="005E5BEF">
        <w:rPr>
          <w:rFonts w:ascii="Arial" w:hAnsi="Arial" w:cs="Arial"/>
          <w:sz w:val="20"/>
          <w:szCs w:val="20"/>
          <w:lang w:val="en-GB"/>
        </w:rPr>
        <w:t xml:space="preserve"> career in Investment Banking Technology, starting on the Equities trade floor. </w:t>
      </w:r>
      <w:r w:rsidR="001F7C79" w:rsidRPr="005E5BEF">
        <w:rPr>
          <w:rFonts w:ascii="Arial" w:hAnsi="Arial" w:cs="Arial"/>
          <w:sz w:val="20"/>
          <w:szCs w:val="20"/>
          <w:lang w:val="en-GB"/>
        </w:rPr>
        <w:t xml:space="preserve"> </w:t>
      </w:r>
      <w:r w:rsidRPr="005E5BEF">
        <w:rPr>
          <w:rFonts w:ascii="Arial" w:hAnsi="Arial" w:cs="Arial"/>
          <w:sz w:val="20"/>
          <w:szCs w:val="20"/>
          <w:lang w:val="en-GB"/>
        </w:rPr>
        <w:t>She has worked across hardware infrastructure, software engineering, program management, big data and AI.</w:t>
      </w:r>
      <w:r w:rsidR="001F7C79" w:rsidRPr="005E5BEF">
        <w:rPr>
          <w:rFonts w:ascii="Arial" w:hAnsi="Arial" w:cs="Arial"/>
          <w:sz w:val="20"/>
          <w:szCs w:val="20"/>
          <w:lang w:val="en-GB"/>
        </w:rPr>
        <w:t xml:space="preserve">  </w:t>
      </w:r>
      <w:r w:rsidRPr="005E5BEF">
        <w:rPr>
          <w:rFonts w:ascii="Arial" w:hAnsi="Arial" w:cs="Arial"/>
          <w:sz w:val="20"/>
          <w:szCs w:val="20"/>
          <w:lang w:val="en-GB"/>
        </w:rPr>
        <w:t>Her last corporate role was as Credit Suisse’s Global Head of Electronic Communications Surveillance, building a global regulatory compliance platform that detects potential malicious behaviour; leveraging natural language processing and deep learning to cognitively learn human context; identify patterns to create behavioural models; and detect anomalous signals.</w:t>
      </w:r>
      <w:r w:rsidR="001F7C79" w:rsidRPr="005E5BEF">
        <w:rPr>
          <w:rFonts w:ascii="Arial" w:hAnsi="Arial" w:cs="Arial"/>
          <w:sz w:val="20"/>
          <w:szCs w:val="20"/>
          <w:lang w:val="en-GB"/>
        </w:rPr>
        <w:t xml:space="preserve">  She </w:t>
      </w:r>
      <w:r w:rsidRPr="005E5BEF">
        <w:rPr>
          <w:rFonts w:ascii="Arial" w:hAnsi="Arial" w:cs="Arial"/>
          <w:sz w:val="20"/>
          <w:szCs w:val="20"/>
          <w:lang w:val="en-GB"/>
        </w:rPr>
        <w:t>actively promotes education in STEM, gender equality, diversity and inclusion.</w:t>
      </w:r>
      <w:r w:rsidR="001F7C79" w:rsidRPr="005E5BEF">
        <w:rPr>
          <w:rFonts w:ascii="Arial" w:hAnsi="Arial" w:cs="Arial"/>
          <w:sz w:val="20"/>
          <w:szCs w:val="20"/>
          <w:lang w:val="en-GB"/>
        </w:rPr>
        <w:t xml:space="preserve">  </w:t>
      </w:r>
      <w:r w:rsidRPr="005E5BEF">
        <w:rPr>
          <w:rFonts w:ascii="Arial" w:hAnsi="Arial" w:cs="Arial"/>
          <w:sz w:val="20"/>
          <w:szCs w:val="20"/>
          <w:lang w:val="en-GB"/>
        </w:rPr>
        <w:t>She is also a recipient of the Tech Star award at the “Women in Banking and Finance Annual Awards for Achievement”.</w:t>
      </w:r>
    </w:p>
    <w:p w14:paraId="2A9352BF" w14:textId="77777777" w:rsidR="00AC7E22" w:rsidRPr="00AC7E22" w:rsidRDefault="00AC7E22" w:rsidP="005E5BEF">
      <w:pPr>
        <w:jc w:val="both"/>
        <w:rPr>
          <w:rFonts w:ascii="Arial" w:hAnsi="Arial" w:cs="Arial"/>
          <w:i/>
          <w:sz w:val="20"/>
          <w:szCs w:val="20"/>
          <w:lang w:val="en-GB"/>
        </w:rPr>
      </w:pPr>
      <w:r w:rsidRPr="00AC7E22">
        <w:rPr>
          <w:rFonts w:ascii="Arial" w:hAnsi="Arial" w:cs="Arial"/>
          <w:i/>
          <w:sz w:val="20"/>
          <w:szCs w:val="20"/>
          <w:lang w:val="en-GB"/>
        </w:rPr>
        <w:lastRenderedPageBreak/>
        <w:t>Jenny Chong cont.</w:t>
      </w:r>
    </w:p>
    <w:p w14:paraId="70DA39DB" w14:textId="77777777" w:rsidR="00AC7E22" w:rsidRDefault="00AC7E22" w:rsidP="005E5BEF">
      <w:pPr>
        <w:jc w:val="both"/>
        <w:rPr>
          <w:rFonts w:ascii="Arial" w:hAnsi="Arial" w:cs="Arial"/>
          <w:sz w:val="20"/>
          <w:szCs w:val="20"/>
          <w:u w:val="single"/>
          <w:lang w:val="en-GB"/>
        </w:rPr>
      </w:pPr>
    </w:p>
    <w:p w14:paraId="7EEA89E8" w14:textId="77777777" w:rsidR="005470F8" w:rsidRPr="005E5BEF" w:rsidRDefault="005470F8" w:rsidP="005E5BEF">
      <w:pPr>
        <w:jc w:val="both"/>
        <w:rPr>
          <w:rFonts w:ascii="Arial" w:hAnsi="Arial" w:cs="Arial"/>
          <w:sz w:val="20"/>
          <w:szCs w:val="20"/>
          <w:u w:val="single"/>
          <w:lang w:val="en-GB"/>
        </w:rPr>
      </w:pPr>
      <w:r w:rsidRPr="005E5BEF">
        <w:rPr>
          <w:rFonts w:ascii="Arial" w:hAnsi="Arial" w:cs="Arial"/>
          <w:sz w:val="20"/>
          <w:szCs w:val="20"/>
          <w:u w:val="single"/>
          <w:lang w:val="en-GB"/>
        </w:rPr>
        <w:t>Membership of Committees</w:t>
      </w:r>
    </w:p>
    <w:p w14:paraId="06B97329" w14:textId="77777777" w:rsidR="005470F8" w:rsidRPr="005E5BEF" w:rsidRDefault="005470F8" w:rsidP="00E00F90">
      <w:pPr>
        <w:pStyle w:val="ListParagraph"/>
        <w:numPr>
          <w:ilvl w:val="0"/>
          <w:numId w:val="27"/>
        </w:numPr>
        <w:jc w:val="both"/>
        <w:rPr>
          <w:rFonts w:ascii="Arial" w:hAnsi="Arial" w:cs="Arial"/>
          <w:sz w:val="20"/>
          <w:szCs w:val="20"/>
          <w:lang w:val="en-GB"/>
        </w:rPr>
      </w:pPr>
      <w:r w:rsidRPr="005E5BEF">
        <w:rPr>
          <w:rFonts w:ascii="Arial" w:hAnsi="Arial" w:cs="Arial"/>
          <w:sz w:val="20"/>
          <w:szCs w:val="20"/>
          <w:lang w:val="en-GB"/>
        </w:rPr>
        <w:t>People Committee (Chair)</w:t>
      </w:r>
    </w:p>
    <w:p w14:paraId="13839256" w14:textId="77777777" w:rsidR="005470F8" w:rsidRPr="005E5BEF" w:rsidRDefault="005470F8" w:rsidP="00E00F90">
      <w:pPr>
        <w:pStyle w:val="ListParagraph"/>
        <w:numPr>
          <w:ilvl w:val="0"/>
          <w:numId w:val="27"/>
        </w:numPr>
        <w:jc w:val="both"/>
        <w:rPr>
          <w:rFonts w:ascii="Arial" w:hAnsi="Arial" w:cs="Arial"/>
          <w:sz w:val="20"/>
          <w:szCs w:val="20"/>
          <w:lang w:val="en-GB"/>
        </w:rPr>
      </w:pPr>
      <w:r w:rsidRPr="005E5BEF">
        <w:rPr>
          <w:rFonts w:ascii="Arial" w:hAnsi="Arial" w:cs="Arial"/>
          <w:sz w:val="20"/>
          <w:szCs w:val="20"/>
          <w:lang w:val="en-GB"/>
        </w:rPr>
        <w:t>Quality Assurance Committee</w:t>
      </w:r>
    </w:p>
    <w:p w14:paraId="3991A7B0" w14:textId="77777777" w:rsidR="005470F8" w:rsidRPr="005E5BEF" w:rsidRDefault="005470F8" w:rsidP="00E00F90">
      <w:pPr>
        <w:pStyle w:val="ListParagraph"/>
        <w:numPr>
          <w:ilvl w:val="0"/>
          <w:numId w:val="27"/>
        </w:numPr>
        <w:jc w:val="both"/>
        <w:rPr>
          <w:rFonts w:ascii="Arial" w:hAnsi="Arial" w:cs="Arial"/>
          <w:sz w:val="20"/>
          <w:szCs w:val="20"/>
          <w:lang w:val="en-GB"/>
        </w:rPr>
      </w:pPr>
      <w:r w:rsidRPr="005E5BEF">
        <w:rPr>
          <w:rFonts w:ascii="Arial" w:hAnsi="Arial" w:cs="Arial"/>
          <w:sz w:val="20"/>
          <w:szCs w:val="20"/>
          <w:lang w:val="en-GB"/>
        </w:rPr>
        <w:t>Finance, Planning and Performance Committee</w:t>
      </w:r>
    </w:p>
    <w:p w14:paraId="23DAD87E" w14:textId="77777777" w:rsidR="005470F8" w:rsidRPr="005E5BEF" w:rsidRDefault="005470F8" w:rsidP="00E00F90">
      <w:pPr>
        <w:pStyle w:val="ListParagraph"/>
        <w:numPr>
          <w:ilvl w:val="0"/>
          <w:numId w:val="27"/>
        </w:numPr>
        <w:jc w:val="both"/>
        <w:rPr>
          <w:rFonts w:ascii="Arial" w:hAnsi="Arial" w:cs="Arial"/>
          <w:sz w:val="20"/>
          <w:szCs w:val="20"/>
          <w:lang w:val="en-GB"/>
        </w:rPr>
      </w:pPr>
      <w:r w:rsidRPr="005E5BEF">
        <w:rPr>
          <w:rFonts w:ascii="Arial" w:hAnsi="Arial" w:cs="Arial"/>
          <w:sz w:val="20"/>
          <w:szCs w:val="20"/>
          <w:lang w:val="en-GB"/>
        </w:rPr>
        <w:t>Nominations and Remunerations Committee (Deputy Chair)</w:t>
      </w:r>
    </w:p>
    <w:p w14:paraId="1DB00D2D" w14:textId="77777777" w:rsidR="00010A15" w:rsidRDefault="005470F8" w:rsidP="00E00F90">
      <w:pPr>
        <w:pStyle w:val="ListParagraph"/>
        <w:numPr>
          <w:ilvl w:val="0"/>
          <w:numId w:val="27"/>
        </w:numPr>
        <w:jc w:val="both"/>
        <w:rPr>
          <w:rFonts w:ascii="Arial" w:hAnsi="Arial" w:cs="Arial"/>
          <w:sz w:val="20"/>
          <w:szCs w:val="20"/>
          <w:lang w:val="en-GB"/>
        </w:rPr>
      </w:pPr>
      <w:r w:rsidRPr="005E5BEF">
        <w:rPr>
          <w:rFonts w:ascii="Arial" w:hAnsi="Arial" w:cs="Arial"/>
          <w:sz w:val="20"/>
          <w:szCs w:val="20"/>
          <w:lang w:val="en-GB"/>
        </w:rPr>
        <w:t xml:space="preserve">Corporate Trustee </w:t>
      </w:r>
    </w:p>
    <w:p w14:paraId="05F6420E" w14:textId="77777777" w:rsidR="005E5BEF" w:rsidRDefault="005E5BEF" w:rsidP="005E5BEF">
      <w:pPr>
        <w:pStyle w:val="ListParagraph"/>
        <w:ind w:left="360"/>
        <w:jc w:val="both"/>
        <w:rPr>
          <w:rFonts w:ascii="Arial" w:hAnsi="Arial" w:cs="Arial"/>
          <w:sz w:val="20"/>
          <w:szCs w:val="20"/>
          <w:lang w:val="en-GB"/>
        </w:rPr>
      </w:pPr>
    </w:p>
    <w:p w14:paraId="5350CA3B" w14:textId="77777777" w:rsidR="005E5BEF" w:rsidRPr="005E5BEF" w:rsidRDefault="005E5BEF" w:rsidP="005E5BEF">
      <w:pPr>
        <w:pStyle w:val="ListParagraph"/>
        <w:ind w:left="360"/>
        <w:jc w:val="both"/>
        <w:rPr>
          <w:rFonts w:ascii="Arial" w:hAnsi="Arial" w:cs="Arial"/>
          <w:sz w:val="20"/>
          <w:szCs w:val="20"/>
          <w:lang w:val="en-GB"/>
        </w:rPr>
      </w:pPr>
    </w:p>
    <w:p w14:paraId="5D6B2DA5" w14:textId="77777777" w:rsidR="00B71249" w:rsidRPr="005E5BEF" w:rsidRDefault="00B71249" w:rsidP="005E5BEF">
      <w:pPr>
        <w:jc w:val="both"/>
        <w:rPr>
          <w:rFonts w:ascii="Arial" w:hAnsi="Arial" w:cs="Arial"/>
          <w:b/>
          <w:sz w:val="20"/>
          <w:szCs w:val="20"/>
          <w:lang w:val="en-GB"/>
        </w:rPr>
      </w:pPr>
      <w:bookmarkStart w:id="8" w:name="_Hlk166753309"/>
      <w:r w:rsidRPr="005E5BEF">
        <w:rPr>
          <w:rFonts w:ascii="Arial" w:hAnsi="Arial" w:cs="Arial"/>
          <w:b/>
          <w:sz w:val="20"/>
          <w:szCs w:val="20"/>
          <w:lang w:val="en-GB"/>
        </w:rPr>
        <w:t>Annyes Laheurte</w:t>
      </w:r>
    </w:p>
    <w:p w14:paraId="73C30893" w14:textId="77777777" w:rsidR="0008360F" w:rsidRPr="005E5BEF" w:rsidRDefault="0008360F" w:rsidP="005E5BEF">
      <w:pPr>
        <w:jc w:val="both"/>
        <w:rPr>
          <w:rFonts w:ascii="Arial" w:hAnsi="Arial" w:cs="Arial"/>
          <w:b/>
          <w:sz w:val="20"/>
          <w:szCs w:val="20"/>
          <w:lang w:val="en-GB"/>
        </w:rPr>
      </w:pPr>
      <w:r w:rsidRPr="005E5BEF">
        <w:rPr>
          <w:rFonts w:ascii="Arial" w:hAnsi="Arial" w:cs="Arial"/>
          <w:b/>
          <w:sz w:val="20"/>
          <w:szCs w:val="20"/>
          <w:lang w:val="en-GB"/>
        </w:rPr>
        <w:t xml:space="preserve">Appointed: </w:t>
      </w:r>
      <w:r w:rsidR="000903F4" w:rsidRPr="005E5BEF">
        <w:rPr>
          <w:rFonts w:ascii="Arial" w:hAnsi="Arial" w:cs="Arial"/>
          <w:b/>
          <w:sz w:val="20"/>
          <w:szCs w:val="20"/>
          <w:lang w:val="en-GB"/>
        </w:rPr>
        <w:t>Non-</w:t>
      </w:r>
      <w:r w:rsidRPr="005E5BEF">
        <w:rPr>
          <w:rFonts w:ascii="Arial" w:hAnsi="Arial" w:cs="Arial"/>
          <w:b/>
          <w:sz w:val="20"/>
          <w:szCs w:val="20"/>
          <w:lang w:val="en-GB"/>
        </w:rPr>
        <w:t>E</w:t>
      </w:r>
      <w:r w:rsidR="000903F4" w:rsidRPr="005E5BEF">
        <w:rPr>
          <w:rFonts w:ascii="Arial" w:hAnsi="Arial" w:cs="Arial"/>
          <w:b/>
          <w:sz w:val="20"/>
          <w:szCs w:val="20"/>
          <w:lang w:val="en-GB"/>
        </w:rPr>
        <w:t>xecutive Director</w:t>
      </w:r>
      <w:r w:rsidR="005E5BEF" w:rsidRPr="005E5BEF">
        <w:rPr>
          <w:rFonts w:ascii="Arial" w:hAnsi="Arial" w:cs="Arial"/>
          <w:b/>
          <w:sz w:val="20"/>
          <w:szCs w:val="20"/>
          <w:lang w:val="en-GB"/>
        </w:rPr>
        <w:tab/>
      </w:r>
      <w:r w:rsidRPr="005E5BEF">
        <w:rPr>
          <w:rFonts w:ascii="Arial" w:hAnsi="Arial" w:cs="Arial"/>
          <w:b/>
          <w:sz w:val="20"/>
          <w:szCs w:val="20"/>
          <w:lang w:val="en-GB"/>
        </w:rPr>
        <w:t>01 April 2021</w:t>
      </w:r>
    </w:p>
    <w:p w14:paraId="1C2CF65A" w14:textId="77777777" w:rsidR="0008360F" w:rsidRPr="005E5BEF" w:rsidRDefault="0008360F" w:rsidP="005E5BEF">
      <w:pPr>
        <w:jc w:val="both"/>
        <w:rPr>
          <w:rFonts w:ascii="Arial" w:hAnsi="Arial" w:cs="Arial"/>
          <w:sz w:val="20"/>
          <w:szCs w:val="20"/>
          <w:lang w:val="en-GB"/>
        </w:rPr>
      </w:pPr>
      <w:r w:rsidRPr="005E5BEF">
        <w:rPr>
          <w:rFonts w:ascii="Arial" w:hAnsi="Arial" w:cs="Arial"/>
          <w:sz w:val="20"/>
          <w:szCs w:val="20"/>
          <w:lang w:val="en-GB"/>
        </w:rPr>
        <w:t xml:space="preserve">Senior Independent Director </w:t>
      </w:r>
      <w:r w:rsidRPr="005E5BEF">
        <w:rPr>
          <w:rFonts w:ascii="Arial" w:hAnsi="Arial" w:cs="Arial"/>
          <w:sz w:val="20"/>
          <w:szCs w:val="20"/>
          <w:lang w:val="en-GB"/>
        </w:rPr>
        <w:tab/>
      </w:r>
      <w:r w:rsidR="005E5BEF" w:rsidRPr="005E5BEF">
        <w:rPr>
          <w:rFonts w:ascii="Arial" w:hAnsi="Arial" w:cs="Arial"/>
          <w:sz w:val="20"/>
          <w:szCs w:val="20"/>
          <w:lang w:val="en-GB"/>
        </w:rPr>
        <w:tab/>
      </w:r>
      <w:r w:rsidRPr="005E5BEF">
        <w:rPr>
          <w:rFonts w:ascii="Arial" w:hAnsi="Arial" w:cs="Arial"/>
          <w:sz w:val="20"/>
          <w:szCs w:val="20"/>
          <w:lang w:val="en-GB"/>
        </w:rPr>
        <w:t>01 April 2024 to 30 September 2024</w:t>
      </w:r>
    </w:p>
    <w:p w14:paraId="03F3936C" w14:textId="77777777" w:rsidR="00B71249" w:rsidRPr="005E5BEF" w:rsidRDefault="00B71249" w:rsidP="00AC7E22">
      <w:pPr>
        <w:jc w:val="both"/>
        <w:rPr>
          <w:rFonts w:ascii="Arial" w:hAnsi="Arial" w:cs="Arial"/>
          <w:i/>
          <w:sz w:val="20"/>
          <w:szCs w:val="20"/>
          <w:lang w:val="en-GB"/>
        </w:rPr>
      </w:pPr>
      <w:r w:rsidRPr="005E5BEF">
        <w:rPr>
          <w:rFonts w:ascii="Arial" w:hAnsi="Arial" w:cs="Arial"/>
          <w:i/>
          <w:sz w:val="20"/>
          <w:szCs w:val="20"/>
          <w:lang w:val="en-GB"/>
        </w:rPr>
        <w:t xml:space="preserve">Term: </w:t>
      </w:r>
      <w:r w:rsidR="0008360F" w:rsidRPr="005E5BEF">
        <w:rPr>
          <w:rFonts w:ascii="Arial" w:hAnsi="Arial" w:cs="Arial"/>
          <w:i/>
          <w:sz w:val="20"/>
          <w:szCs w:val="20"/>
          <w:lang w:val="en-GB"/>
        </w:rPr>
        <w:t>Second, l</w:t>
      </w:r>
      <w:r w:rsidR="00F66FD9" w:rsidRPr="005E5BEF">
        <w:rPr>
          <w:rFonts w:ascii="Arial" w:hAnsi="Arial" w:cs="Arial"/>
          <w:i/>
          <w:sz w:val="20"/>
          <w:szCs w:val="20"/>
          <w:lang w:val="en-GB"/>
        </w:rPr>
        <w:t>eaves the Trust 31 March 2025</w:t>
      </w:r>
      <w:r w:rsidR="0008360F" w:rsidRPr="005E5BEF">
        <w:rPr>
          <w:rFonts w:ascii="Arial" w:hAnsi="Arial" w:cs="Arial"/>
          <w:i/>
          <w:sz w:val="20"/>
          <w:szCs w:val="20"/>
          <w:lang w:val="en-GB"/>
        </w:rPr>
        <w:t xml:space="preserve"> (resigned)</w:t>
      </w:r>
    </w:p>
    <w:p w14:paraId="326B369B" w14:textId="77777777" w:rsidR="00B71249" w:rsidRPr="005E5BEF" w:rsidRDefault="00AC7E22" w:rsidP="00AC7E22">
      <w:pPr>
        <w:jc w:val="both"/>
        <w:rPr>
          <w:rFonts w:ascii="Arial" w:hAnsi="Arial" w:cs="Arial"/>
          <w:sz w:val="20"/>
          <w:szCs w:val="20"/>
          <w:lang w:val="en-GB"/>
        </w:rPr>
      </w:pPr>
      <w:r>
        <w:rPr>
          <w:noProof/>
        </w:rPr>
        <w:drawing>
          <wp:anchor distT="0" distB="0" distL="114300" distR="114300" simplePos="0" relativeHeight="251804672" behindDoc="0" locked="0" layoutInCell="1" allowOverlap="1" wp14:anchorId="047F6919" wp14:editId="26EF8A99">
            <wp:simplePos x="0" y="0"/>
            <wp:positionH relativeFrom="column">
              <wp:posOffset>3230880</wp:posOffset>
            </wp:positionH>
            <wp:positionV relativeFrom="paragraph">
              <wp:posOffset>132276</wp:posOffset>
            </wp:positionV>
            <wp:extent cx="2879725" cy="1756410"/>
            <wp:effectExtent l="0" t="0" r="0" b="0"/>
            <wp:wrapSquare wrapText="bothSides"/>
            <wp:docPr id="1556758573" name="Picture 1556758573" descr="Head shot of Annyes Laheur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a.Almond\AppData\Local\Temp\198e4eed-a923-45b5-bb3d-c4ecfc1c08b6_NEDs and EXECS website photos (002).zip.8b6\Annyes Laheurte.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79725" cy="1756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1A9DC4" w14:textId="77777777" w:rsidR="00AC7E22" w:rsidRDefault="00B71249" w:rsidP="00AC7E22">
      <w:pPr>
        <w:pStyle w:val="NormalWeb"/>
        <w:spacing w:before="0" w:beforeAutospacing="0" w:after="0" w:afterAutospacing="0"/>
        <w:rPr>
          <w:noProof/>
        </w:rPr>
      </w:pPr>
      <w:r w:rsidRPr="005E5BEF">
        <w:rPr>
          <w:rFonts w:ascii="Arial" w:hAnsi="Arial" w:cs="Arial"/>
          <w:sz w:val="20"/>
          <w:szCs w:val="20"/>
          <w:u w:val="single"/>
        </w:rPr>
        <w:t>Experience and Qualifications</w:t>
      </w:r>
      <w:r w:rsidR="00AC7E22" w:rsidRPr="00AC7E22">
        <w:rPr>
          <w:noProof/>
        </w:rPr>
        <w:t xml:space="preserve"> </w:t>
      </w:r>
    </w:p>
    <w:p w14:paraId="562350A7" w14:textId="77777777" w:rsidR="00B71249" w:rsidRPr="005E5BEF" w:rsidRDefault="00F11086" w:rsidP="00AC7E22">
      <w:pPr>
        <w:pStyle w:val="NormalWeb"/>
        <w:spacing w:before="0" w:beforeAutospacing="0" w:after="0" w:afterAutospacing="0"/>
        <w:rPr>
          <w:rFonts w:ascii="Arial" w:hAnsi="Arial" w:cs="Arial"/>
          <w:sz w:val="20"/>
          <w:szCs w:val="20"/>
        </w:rPr>
      </w:pPr>
      <w:r w:rsidRPr="005E5BEF">
        <w:rPr>
          <w:rFonts w:ascii="Arial" w:hAnsi="Arial" w:cs="Arial"/>
          <w:sz w:val="20"/>
          <w:szCs w:val="20"/>
        </w:rPr>
        <w:t>Annyes joined the Trust in 2021 and has m</w:t>
      </w:r>
      <w:r w:rsidR="00C07FF4" w:rsidRPr="005E5BEF">
        <w:rPr>
          <w:rFonts w:ascii="Arial" w:hAnsi="Arial" w:cs="Arial"/>
          <w:sz w:val="20"/>
          <w:szCs w:val="20"/>
        </w:rPr>
        <w:t xml:space="preserve">ore than </w:t>
      </w:r>
      <w:r w:rsidR="00B71249" w:rsidRPr="005E5BEF">
        <w:rPr>
          <w:rFonts w:ascii="Arial" w:hAnsi="Arial" w:cs="Arial"/>
          <w:sz w:val="20"/>
          <w:szCs w:val="20"/>
        </w:rPr>
        <w:t xml:space="preserve">25 years’ experience in financial reporting together with financial planning and analysis for international </w:t>
      </w:r>
      <w:r w:rsidR="00E47927" w:rsidRPr="005E5BEF">
        <w:rPr>
          <w:rFonts w:ascii="Arial" w:hAnsi="Arial" w:cs="Arial"/>
          <w:sz w:val="20"/>
          <w:szCs w:val="20"/>
        </w:rPr>
        <w:t>organisations.</w:t>
      </w:r>
      <w:r w:rsidRPr="005E5BEF">
        <w:rPr>
          <w:rFonts w:ascii="Arial" w:hAnsi="Arial" w:cs="Arial"/>
          <w:sz w:val="20"/>
          <w:szCs w:val="20"/>
        </w:rPr>
        <w:t xml:space="preserve">  </w:t>
      </w:r>
      <w:r w:rsidR="00B71249" w:rsidRPr="005E5BEF">
        <w:rPr>
          <w:rFonts w:ascii="Arial" w:hAnsi="Arial" w:cs="Arial"/>
          <w:sz w:val="20"/>
          <w:szCs w:val="20"/>
        </w:rPr>
        <w:t>Whil</w:t>
      </w:r>
      <w:r w:rsidR="00C07FF4" w:rsidRPr="005E5BEF">
        <w:rPr>
          <w:rFonts w:ascii="Arial" w:hAnsi="Arial" w:cs="Arial"/>
          <w:sz w:val="20"/>
          <w:szCs w:val="20"/>
        </w:rPr>
        <w:t>e</w:t>
      </w:r>
      <w:r w:rsidR="00B71249" w:rsidRPr="005E5BEF">
        <w:rPr>
          <w:rFonts w:ascii="Arial" w:hAnsi="Arial" w:cs="Arial"/>
          <w:sz w:val="20"/>
          <w:szCs w:val="20"/>
        </w:rPr>
        <w:t xml:space="preserve"> working at Lloyd’s of London, </w:t>
      </w:r>
      <w:r w:rsidR="00F470BD" w:rsidRPr="005E5BEF">
        <w:rPr>
          <w:rFonts w:ascii="Arial" w:hAnsi="Arial" w:cs="Arial"/>
          <w:sz w:val="20"/>
          <w:szCs w:val="20"/>
        </w:rPr>
        <w:t>focused</w:t>
      </w:r>
      <w:r w:rsidR="00B71249" w:rsidRPr="005E5BEF">
        <w:rPr>
          <w:rFonts w:ascii="Arial" w:hAnsi="Arial" w:cs="Arial"/>
          <w:sz w:val="20"/>
          <w:szCs w:val="20"/>
        </w:rPr>
        <w:t xml:space="preserve"> on financial controls, process enhancements and safeguarding the Society’s assets b</w:t>
      </w:r>
      <w:r w:rsidR="00E47927" w:rsidRPr="005E5BEF">
        <w:rPr>
          <w:rFonts w:ascii="Arial" w:hAnsi="Arial" w:cs="Arial"/>
          <w:sz w:val="20"/>
          <w:szCs w:val="20"/>
        </w:rPr>
        <w:t>y mitigating operational risks.</w:t>
      </w:r>
      <w:r w:rsidR="0008360F" w:rsidRPr="005E5BEF">
        <w:rPr>
          <w:rFonts w:ascii="Arial" w:hAnsi="Arial" w:cs="Arial"/>
          <w:sz w:val="20"/>
          <w:szCs w:val="20"/>
        </w:rPr>
        <w:t xml:space="preserve">  </w:t>
      </w:r>
      <w:r w:rsidRPr="005E5BEF">
        <w:rPr>
          <w:rFonts w:ascii="Arial" w:hAnsi="Arial" w:cs="Arial"/>
          <w:sz w:val="20"/>
          <w:szCs w:val="20"/>
        </w:rPr>
        <w:t>She is a</w:t>
      </w:r>
      <w:r w:rsidR="00E47927" w:rsidRPr="005E5BEF">
        <w:rPr>
          <w:rFonts w:ascii="Arial" w:hAnsi="Arial" w:cs="Arial"/>
          <w:sz w:val="20"/>
          <w:szCs w:val="20"/>
        </w:rPr>
        <w:t xml:space="preserve"> </w:t>
      </w:r>
      <w:r w:rsidR="00B71249" w:rsidRPr="005E5BEF">
        <w:rPr>
          <w:rFonts w:ascii="Arial" w:hAnsi="Arial" w:cs="Arial"/>
          <w:sz w:val="20"/>
          <w:szCs w:val="20"/>
        </w:rPr>
        <w:t>Chartered Global Management Accountant (1991) and member of the Institute of Risk Management (2007) and was awarded Specialist status (2009).</w:t>
      </w:r>
    </w:p>
    <w:p w14:paraId="23D9F874" w14:textId="77777777" w:rsidR="00B71249" w:rsidRPr="005E5BEF" w:rsidRDefault="00B71249" w:rsidP="00AC7E22">
      <w:pPr>
        <w:jc w:val="both"/>
        <w:rPr>
          <w:rFonts w:ascii="Arial" w:hAnsi="Arial" w:cs="Arial"/>
          <w:sz w:val="20"/>
          <w:szCs w:val="20"/>
          <w:lang w:val="en-GB"/>
        </w:rPr>
      </w:pPr>
    </w:p>
    <w:p w14:paraId="7C1D2F30" w14:textId="77777777" w:rsidR="00B71249" w:rsidRPr="005E5BEF" w:rsidRDefault="00B71249" w:rsidP="00AC7E22">
      <w:pPr>
        <w:jc w:val="both"/>
        <w:rPr>
          <w:rFonts w:ascii="Arial" w:hAnsi="Arial" w:cs="Arial"/>
          <w:sz w:val="20"/>
          <w:szCs w:val="20"/>
          <w:u w:val="single"/>
          <w:lang w:val="en-GB"/>
        </w:rPr>
      </w:pPr>
      <w:r w:rsidRPr="005E5BEF">
        <w:rPr>
          <w:rFonts w:ascii="Arial" w:hAnsi="Arial" w:cs="Arial"/>
          <w:sz w:val="20"/>
          <w:szCs w:val="20"/>
          <w:u w:val="single"/>
          <w:lang w:val="en-GB"/>
        </w:rPr>
        <w:t xml:space="preserve">Membership of </w:t>
      </w:r>
      <w:r w:rsidR="00080C40" w:rsidRPr="005E5BEF">
        <w:rPr>
          <w:rFonts w:ascii="Arial" w:hAnsi="Arial" w:cs="Arial"/>
          <w:sz w:val="20"/>
          <w:szCs w:val="20"/>
          <w:u w:val="single"/>
          <w:lang w:val="en-GB"/>
        </w:rPr>
        <w:t>C</w:t>
      </w:r>
      <w:r w:rsidRPr="005E5BEF">
        <w:rPr>
          <w:rFonts w:ascii="Arial" w:hAnsi="Arial" w:cs="Arial"/>
          <w:sz w:val="20"/>
          <w:szCs w:val="20"/>
          <w:u w:val="single"/>
          <w:lang w:val="en-GB"/>
        </w:rPr>
        <w:t>ommittees</w:t>
      </w:r>
    </w:p>
    <w:p w14:paraId="06A8355C" w14:textId="77777777" w:rsidR="00B71249" w:rsidRPr="005E5BEF" w:rsidRDefault="00B71249" w:rsidP="00E00F90">
      <w:pPr>
        <w:pStyle w:val="ListParagraph"/>
        <w:numPr>
          <w:ilvl w:val="0"/>
          <w:numId w:val="10"/>
        </w:numPr>
        <w:jc w:val="both"/>
        <w:rPr>
          <w:rFonts w:ascii="Arial" w:hAnsi="Arial" w:cs="Arial"/>
          <w:sz w:val="20"/>
          <w:szCs w:val="20"/>
          <w:lang w:val="en-GB"/>
        </w:rPr>
      </w:pPr>
      <w:r w:rsidRPr="005E5BEF">
        <w:rPr>
          <w:rFonts w:ascii="Arial" w:hAnsi="Arial" w:cs="Arial"/>
          <w:sz w:val="20"/>
          <w:szCs w:val="20"/>
          <w:lang w:val="en-GB"/>
        </w:rPr>
        <w:t>Finance Planning and Performance Committee</w:t>
      </w:r>
      <w:r w:rsidR="00E47927" w:rsidRPr="005E5BEF">
        <w:rPr>
          <w:rFonts w:ascii="Arial" w:hAnsi="Arial" w:cs="Arial"/>
          <w:sz w:val="20"/>
          <w:szCs w:val="20"/>
          <w:lang w:val="en-GB"/>
        </w:rPr>
        <w:t xml:space="preserve"> </w:t>
      </w:r>
    </w:p>
    <w:p w14:paraId="7E13B3B4" w14:textId="77777777" w:rsidR="00B71249" w:rsidRPr="005E5BEF" w:rsidRDefault="00B71249" w:rsidP="00E00F90">
      <w:pPr>
        <w:pStyle w:val="ListParagraph"/>
        <w:numPr>
          <w:ilvl w:val="0"/>
          <w:numId w:val="10"/>
        </w:numPr>
        <w:jc w:val="both"/>
        <w:rPr>
          <w:rFonts w:ascii="Arial" w:hAnsi="Arial" w:cs="Arial"/>
          <w:sz w:val="20"/>
          <w:szCs w:val="20"/>
          <w:lang w:val="en-GB"/>
        </w:rPr>
      </w:pPr>
      <w:r w:rsidRPr="005E5BEF">
        <w:rPr>
          <w:rFonts w:ascii="Arial" w:hAnsi="Arial" w:cs="Arial"/>
          <w:sz w:val="20"/>
          <w:szCs w:val="20"/>
          <w:lang w:val="en-GB"/>
        </w:rPr>
        <w:t xml:space="preserve">Audit </w:t>
      </w:r>
      <w:r w:rsidR="00141FFE" w:rsidRPr="005E5BEF">
        <w:rPr>
          <w:rFonts w:ascii="Arial" w:hAnsi="Arial" w:cs="Arial"/>
          <w:sz w:val="20"/>
          <w:szCs w:val="20"/>
          <w:lang w:val="en-GB"/>
        </w:rPr>
        <w:t>and</w:t>
      </w:r>
      <w:r w:rsidRPr="005E5BEF">
        <w:rPr>
          <w:rFonts w:ascii="Arial" w:hAnsi="Arial" w:cs="Arial"/>
          <w:sz w:val="20"/>
          <w:szCs w:val="20"/>
          <w:lang w:val="en-GB"/>
        </w:rPr>
        <w:t xml:space="preserve"> Risk Committee</w:t>
      </w:r>
      <w:r w:rsidR="00BA2F85" w:rsidRPr="005E5BEF">
        <w:rPr>
          <w:rFonts w:ascii="Arial" w:hAnsi="Arial" w:cs="Arial"/>
          <w:sz w:val="20"/>
          <w:szCs w:val="20"/>
          <w:lang w:val="en-GB"/>
        </w:rPr>
        <w:t xml:space="preserve"> (Chair from 01</w:t>
      </w:r>
      <w:r w:rsidR="0008360F" w:rsidRPr="005E5BEF">
        <w:rPr>
          <w:rFonts w:ascii="Arial" w:hAnsi="Arial" w:cs="Arial"/>
          <w:sz w:val="20"/>
          <w:szCs w:val="20"/>
          <w:lang w:val="en-GB"/>
        </w:rPr>
        <w:t xml:space="preserve"> September 2023 to 31 March 2025</w:t>
      </w:r>
      <w:r w:rsidR="00BA2F85" w:rsidRPr="005E5BEF">
        <w:rPr>
          <w:rFonts w:ascii="Arial" w:hAnsi="Arial" w:cs="Arial"/>
          <w:sz w:val="20"/>
          <w:szCs w:val="20"/>
          <w:lang w:val="en-GB"/>
        </w:rPr>
        <w:t>)</w:t>
      </w:r>
    </w:p>
    <w:p w14:paraId="54E203D0" w14:textId="77777777" w:rsidR="00B71249" w:rsidRPr="005E5BEF" w:rsidRDefault="00B71249" w:rsidP="00E00F90">
      <w:pPr>
        <w:pStyle w:val="ListParagraph"/>
        <w:numPr>
          <w:ilvl w:val="0"/>
          <w:numId w:val="10"/>
        </w:numPr>
        <w:jc w:val="both"/>
        <w:rPr>
          <w:rFonts w:ascii="Arial" w:hAnsi="Arial" w:cs="Arial"/>
          <w:sz w:val="20"/>
          <w:szCs w:val="20"/>
          <w:lang w:val="en-GB"/>
        </w:rPr>
      </w:pPr>
      <w:r w:rsidRPr="005E5BEF">
        <w:rPr>
          <w:rFonts w:ascii="Arial" w:hAnsi="Arial" w:cs="Arial"/>
          <w:sz w:val="20"/>
          <w:szCs w:val="20"/>
          <w:lang w:val="en-GB"/>
        </w:rPr>
        <w:t>Nomination and Remuneration Committee</w:t>
      </w:r>
    </w:p>
    <w:p w14:paraId="7DB9337A" w14:textId="77777777" w:rsidR="0008360F" w:rsidRPr="005E5BEF" w:rsidRDefault="00E47927" w:rsidP="00E00F90">
      <w:pPr>
        <w:pStyle w:val="ListParagraph"/>
        <w:numPr>
          <w:ilvl w:val="0"/>
          <w:numId w:val="10"/>
        </w:numPr>
        <w:jc w:val="both"/>
        <w:rPr>
          <w:rFonts w:ascii="Arial" w:hAnsi="Arial" w:cs="Arial"/>
          <w:sz w:val="20"/>
          <w:szCs w:val="20"/>
          <w:lang w:val="en-GB"/>
        </w:rPr>
      </w:pPr>
      <w:r w:rsidRPr="005E5BEF">
        <w:rPr>
          <w:rFonts w:ascii="Arial" w:hAnsi="Arial" w:cs="Arial"/>
          <w:sz w:val="20"/>
          <w:szCs w:val="20"/>
          <w:lang w:val="en-GB"/>
        </w:rPr>
        <w:t>Corporate</w:t>
      </w:r>
      <w:r w:rsidR="00B71249" w:rsidRPr="005E5BEF">
        <w:rPr>
          <w:rFonts w:ascii="Arial" w:hAnsi="Arial" w:cs="Arial"/>
          <w:sz w:val="20"/>
          <w:szCs w:val="20"/>
          <w:lang w:val="en-GB"/>
        </w:rPr>
        <w:t xml:space="preserve"> Trustee</w:t>
      </w:r>
      <w:r w:rsidR="0008360F" w:rsidRPr="005E5BEF">
        <w:rPr>
          <w:rFonts w:ascii="Arial" w:hAnsi="Arial" w:cs="Arial"/>
          <w:sz w:val="20"/>
          <w:szCs w:val="20"/>
          <w:lang w:val="en-GB"/>
        </w:rPr>
        <w:t xml:space="preserve"> (Chair until 31 March 2025)</w:t>
      </w:r>
    </w:p>
    <w:p w14:paraId="44F8C542" w14:textId="77777777" w:rsidR="00010A15" w:rsidRDefault="00CC6E43" w:rsidP="00E00F90">
      <w:pPr>
        <w:pStyle w:val="ListParagraph"/>
        <w:numPr>
          <w:ilvl w:val="0"/>
          <w:numId w:val="10"/>
        </w:numPr>
        <w:jc w:val="both"/>
        <w:rPr>
          <w:rFonts w:ascii="Arial" w:hAnsi="Arial" w:cs="Arial"/>
          <w:sz w:val="20"/>
          <w:szCs w:val="20"/>
          <w:lang w:val="en-GB"/>
        </w:rPr>
      </w:pPr>
      <w:r w:rsidRPr="005E5BEF">
        <w:rPr>
          <w:rFonts w:ascii="Arial" w:hAnsi="Arial" w:cs="Arial"/>
          <w:sz w:val="20"/>
          <w:szCs w:val="20"/>
          <w:lang w:val="en-GB"/>
        </w:rPr>
        <w:t>Charitable Funds Committee</w:t>
      </w:r>
      <w:r w:rsidR="0008360F" w:rsidRPr="005E5BEF">
        <w:rPr>
          <w:rFonts w:ascii="Arial" w:hAnsi="Arial" w:cs="Arial"/>
          <w:sz w:val="20"/>
          <w:szCs w:val="20"/>
          <w:lang w:val="en-GB"/>
        </w:rPr>
        <w:t xml:space="preserve"> (Chair until 31 March 2025</w:t>
      </w:r>
      <w:r w:rsidRPr="005E5BEF">
        <w:rPr>
          <w:rFonts w:ascii="Arial" w:hAnsi="Arial" w:cs="Arial"/>
          <w:sz w:val="20"/>
          <w:szCs w:val="20"/>
          <w:lang w:val="en-GB"/>
        </w:rPr>
        <w:t>)</w:t>
      </w:r>
      <w:bookmarkEnd w:id="8"/>
    </w:p>
    <w:p w14:paraId="16B44B39" w14:textId="77777777" w:rsidR="005E5BEF" w:rsidRDefault="005E5BEF" w:rsidP="00AC7E22">
      <w:pPr>
        <w:jc w:val="both"/>
        <w:rPr>
          <w:rFonts w:ascii="Arial" w:hAnsi="Arial" w:cs="Arial"/>
          <w:sz w:val="20"/>
          <w:szCs w:val="20"/>
          <w:lang w:val="en-GB"/>
        </w:rPr>
      </w:pPr>
    </w:p>
    <w:p w14:paraId="1DB67FCF" w14:textId="77777777" w:rsidR="005E5BEF" w:rsidRPr="005E5BEF" w:rsidRDefault="005E5BEF" w:rsidP="00AC7E22">
      <w:pPr>
        <w:jc w:val="both"/>
        <w:rPr>
          <w:rFonts w:ascii="Arial" w:hAnsi="Arial" w:cs="Arial"/>
          <w:sz w:val="20"/>
          <w:szCs w:val="20"/>
          <w:lang w:val="en-GB"/>
        </w:rPr>
      </w:pPr>
    </w:p>
    <w:p w14:paraId="7D51E137" w14:textId="77777777" w:rsidR="00CF0342" w:rsidRPr="005E5BEF" w:rsidRDefault="00CF0342" w:rsidP="008B27EF">
      <w:pPr>
        <w:jc w:val="both"/>
        <w:rPr>
          <w:rFonts w:ascii="Arial" w:hAnsi="Arial" w:cs="Arial"/>
          <w:b/>
          <w:sz w:val="20"/>
          <w:szCs w:val="20"/>
          <w:lang w:val="en-GB"/>
        </w:rPr>
      </w:pPr>
      <w:bookmarkStart w:id="9" w:name="_Hlk166752766"/>
      <w:r w:rsidRPr="005E5BEF">
        <w:rPr>
          <w:rFonts w:ascii="Arial" w:hAnsi="Arial" w:cs="Arial"/>
          <w:b/>
          <w:sz w:val="20"/>
          <w:szCs w:val="20"/>
          <w:lang w:val="en-GB"/>
        </w:rPr>
        <w:t xml:space="preserve">Paulette Lewis </w:t>
      </w:r>
    </w:p>
    <w:p w14:paraId="493A03F3" w14:textId="77777777" w:rsidR="00CF0342" w:rsidRPr="005E5BEF" w:rsidRDefault="001308AF" w:rsidP="008B27EF">
      <w:pPr>
        <w:jc w:val="both"/>
        <w:rPr>
          <w:rFonts w:ascii="Arial" w:hAnsi="Arial" w:cs="Arial"/>
          <w:b/>
          <w:sz w:val="20"/>
          <w:szCs w:val="20"/>
          <w:lang w:val="en-GB"/>
        </w:rPr>
      </w:pPr>
      <w:r w:rsidRPr="005E5BEF">
        <w:rPr>
          <w:rFonts w:ascii="Arial" w:hAnsi="Arial" w:cs="Arial"/>
          <w:b/>
          <w:sz w:val="20"/>
          <w:szCs w:val="20"/>
          <w:lang w:val="en-GB"/>
        </w:rPr>
        <w:t xml:space="preserve">Appointed: </w:t>
      </w:r>
      <w:r w:rsidR="00FE7423" w:rsidRPr="005E5BEF">
        <w:rPr>
          <w:rFonts w:ascii="Arial" w:hAnsi="Arial" w:cs="Arial"/>
          <w:b/>
          <w:sz w:val="20"/>
          <w:szCs w:val="20"/>
          <w:lang w:val="en-GB"/>
        </w:rPr>
        <w:t>Non-Executive Director</w:t>
      </w:r>
      <w:r w:rsidR="00BB2EC3">
        <w:rPr>
          <w:rFonts w:ascii="Arial" w:hAnsi="Arial" w:cs="Arial"/>
          <w:b/>
          <w:sz w:val="20"/>
          <w:szCs w:val="20"/>
          <w:lang w:val="en-GB"/>
        </w:rPr>
        <w:tab/>
      </w:r>
      <w:r w:rsidR="00F275E2" w:rsidRPr="005E5BEF">
        <w:rPr>
          <w:rFonts w:ascii="Arial" w:hAnsi="Arial" w:cs="Arial"/>
          <w:b/>
          <w:sz w:val="20"/>
          <w:szCs w:val="20"/>
          <w:lang w:val="en-GB"/>
        </w:rPr>
        <w:t xml:space="preserve">01 </w:t>
      </w:r>
      <w:r w:rsidRPr="005E5BEF">
        <w:rPr>
          <w:rFonts w:ascii="Arial" w:hAnsi="Arial" w:cs="Arial"/>
          <w:b/>
          <w:sz w:val="20"/>
          <w:szCs w:val="20"/>
          <w:lang w:val="en-GB"/>
        </w:rPr>
        <w:t>November 2022</w:t>
      </w:r>
    </w:p>
    <w:p w14:paraId="51B65C9D" w14:textId="77777777" w:rsidR="00CF0342" w:rsidRPr="005E5BEF" w:rsidRDefault="00CF0342" w:rsidP="008B27EF">
      <w:pPr>
        <w:jc w:val="both"/>
        <w:rPr>
          <w:rFonts w:ascii="Arial" w:hAnsi="Arial" w:cs="Arial"/>
          <w:i/>
          <w:sz w:val="20"/>
          <w:szCs w:val="20"/>
          <w:lang w:val="en-GB"/>
        </w:rPr>
      </w:pPr>
      <w:r w:rsidRPr="005E5BEF">
        <w:rPr>
          <w:rFonts w:ascii="Arial" w:hAnsi="Arial" w:cs="Arial"/>
          <w:i/>
          <w:sz w:val="20"/>
          <w:szCs w:val="20"/>
          <w:lang w:val="en-GB"/>
        </w:rPr>
        <w:t>Term: First</w:t>
      </w:r>
    </w:p>
    <w:p w14:paraId="5C0BDCFB" w14:textId="77777777" w:rsidR="00CF0342" w:rsidRPr="005E5BEF" w:rsidRDefault="00CF0342" w:rsidP="008B27EF">
      <w:pPr>
        <w:jc w:val="both"/>
        <w:rPr>
          <w:rFonts w:ascii="Arial" w:hAnsi="Arial" w:cs="Arial"/>
          <w:sz w:val="20"/>
          <w:szCs w:val="20"/>
          <w:lang w:val="en-GB"/>
        </w:rPr>
      </w:pPr>
    </w:p>
    <w:p w14:paraId="4E29833E" w14:textId="77777777" w:rsidR="00CF0342" w:rsidRPr="008B27EF" w:rsidRDefault="00BB1165" w:rsidP="008B27EF">
      <w:pPr>
        <w:pStyle w:val="NormalWeb"/>
        <w:spacing w:before="0" w:beforeAutospacing="0" w:after="0" w:afterAutospacing="0"/>
      </w:pPr>
      <w:r>
        <w:rPr>
          <w:noProof/>
        </w:rPr>
        <w:drawing>
          <wp:anchor distT="0" distB="0" distL="114300" distR="114300" simplePos="0" relativeHeight="251805696" behindDoc="0" locked="0" layoutInCell="1" allowOverlap="1" wp14:anchorId="4EA4DC7E" wp14:editId="25AB9E36">
            <wp:simplePos x="0" y="0"/>
            <wp:positionH relativeFrom="column">
              <wp:posOffset>3090545</wp:posOffset>
            </wp:positionH>
            <wp:positionV relativeFrom="paragraph">
              <wp:posOffset>68580</wp:posOffset>
            </wp:positionV>
            <wp:extent cx="2880000" cy="1756800"/>
            <wp:effectExtent l="0" t="0" r="0" b="0"/>
            <wp:wrapSquare wrapText="bothSides"/>
            <wp:docPr id="1556758574" name="Picture 1556758574" descr="Head shot of Paulette Lew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na.Almond\AppData\Local\Temp\a228b2c9-c64c-41ed-9407-d602d9a81464_NEDs and EXECS website photos (002).zip.464\Paulette Lewis.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175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0342" w:rsidRPr="005E5BEF">
        <w:rPr>
          <w:rFonts w:ascii="Arial" w:hAnsi="Arial" w:cs="Arial"/>
          <w:sz w:val="20"/>
          <w:szCs w:val="20"/>
          <w:u w:val="single"/>
        </w:rPr>
        <w:t>Experience and Qualifications</w:t>
      </w:r>
      <w:r w:rsidR="008B27EF" w:rsidRPr="008B27EF">
        <w:rPr>
          <w:noProof/>
        </w:rPr>
        <w:t xml:space="preserve"> </w:t>
      </w:r>
    </w:p>
    <w:p w14:paraId="299CB73E" w14:textId="77777777" w:rsidR="00CF0342" w:rsidRPr="005E5BEF" w:rsidRDefault="00FE7423" w:rsidP="008B27EF">
      <w:pPr>
        <w:jc w:val="both"/>
        <w:rPr>
          <w:rFonts w:ascii="Arial" w:hAnsi="Arial" w:cs="Arial"/>
          <w:sz w:val="20"/>
          <w:szCs w:val="20"/>
          <w:lang w:val="en-GB"/>
        </w:rPr>
      </w:pPr>
      <w:r w:rsidRPr="005E5BEF">
        <w:rPr>
          <w:rFonts w:ascii="Arial" w:hAnsi="Arial" w:cs="Arial"/>
          <w:sz w:val="20"/>
          <w:szCs w:val="20"/>
          <w:lang w:val="en-GB"/>
        </w:rPr>
        <w:t>W</w:t>
      </w:r>
      <w:r w:rsidR="00CF0342" w:rsidRPr="005E5BEF">
        <w:rPr>
          <w:rFonts w:ascii="Arial" w:hAnsi="Arial" w:cs="Arial"/>
          <w:sz w:val="20"/>
          <w:szCs w:val="20"/>
          <w:lang w:val="en-GB"/>
        </w:rPr>
        <w:t xml:space="preserve">orked </w:t>
      </w:r>
      <w:r w:rsidR="00C07FF4" w:rsidRPr="005E5BEF">
        <w:rPr>
          <w:rFonts w:ascii="Arial" w:hAnsi="Arial" w:cs="Arial"/>
          <w:sz w:val="20"/>
          <w:szCs w:val="20"/>
          <w:lang w:val="en-GB"/>
        </w:rPr>
        <w:t xml:space="preserve">more than </w:t>
      </w:r>
      <w:r w:rsidR="00CF0342" w:rsidRPr="005E5BEF">
        <w:rPr>
          <w:rFonts w:ascii="Arial" w:hAnsi="Arial" w:cs="Arial"/>
          <w:sz w:val="20"/>
          <w:szCs w:val="20"/>
          <w:lang w:val="en-GB"/>
        </w:rPr>
        <w:t>35 years in a variety of healthcare settings, gaining wide experience acros</w:t>
      </w:r>
      <w:r w:rsidRPr="005E5BEF">
        <w:rPr>
          <w:rFonts w:ascii="Arial" w:hAnsi="Arial" w:cs="Arial"/>
          <w:sz w:val="20"/>
          <w:szCs w:val="20"/>
          <w:lang w:val="en-GB"/>
        </w:rPr>
        <w:t>s acute and community services.  H</w:t>
      </w:r>
      <w:r w:rsidR="00CF0342" w:rsidRPr="005E5BEF">
        <w:rPr>
          <w:rFonts w:ascii="Arial" w:hAnsi="Arial" w:cs="Arial"/>
          <w:sz w:val="20"/>
          <w:szCs w:val="20"/>
          <w:lang w:val="en-GB"/>
        </w:rPr>
        <w:t xml:space="preserve">eld several senior/executive posts, including Director of Midwifery and </w:t>
      </w:r>
      <w:r w:rsidR="00FE08E8" w:rsidRPr="005E5BEF">
        <w:rPr>
          <w:rFonts w:ascii="Arial" w:hAnsi="Arial" w:cs="Arial"/>
          <w:sz w:val="20"/>
          <w:szCs w:val="20"/>
          <w:lang w:val="en-GB"/>
        </w:rPr>
        <w:t>Children’s</w:t>
      </w:r>
      <w:r w:rsidR="00F45C23" w:rsidRPr="005E5BEF">
        <w:rPr>
          <w:rFonts w:ascii="Arial" w:hAnsi="Arial" w:cs="Arial"/>
          <w:sz w:val="20"/>
          <w:szCs w:val="20"/>
          <w:lang w:val="en-GB"/>
        </w:rPr>
        <w:t>’</w:t>
      </w:r>
      <w:r w:rsidR="00CF0342" w:rsidRPr="005E5BEF">
        <w:rPr>
          <w:rFonts w:ascii="Arial" w:hAnsi="Arial" w:cs="Arial"/>
          <w:sz w:val="20"/>
          <w:szCs w:val="20"/>
          <w:lang w:val="en-GB"/>
        </w:rPr>
        <w:t xml:space="preserve"> Services, Executive Director Nursing and Director of the Pan London Maternity Service Review.</w:t>
      </w:r>
      <w:r w:rsidR="00F45C23" w:rsidRPr="005E5BEF">
        <w:rPr>
          <w:rFonts w:ascii="Arial" w:hAnsi="Arial" w:cs="Arial"/>
          <w:sz w:val="20"/>
          <w:szCs w:val="20"/>
          <w:lang w:val="en-GB"/>
        </w:rPr>
        <w:t xml:space="preserve">  </w:t>
      </w:r>
      <w:r w:rsidRPr="005E5BEF">
        <w:rPr>
          <w:rFonts w:ascii="Arial" w:hAnsi="Arial" w:cs="Arial"/>
          <w:sz w:val="20"/>
          <w:szCs w:val="20"/>
          <w:lang w:val="en-GB"/>
        </w:rPr>
        <w:t>A</w:t>
      </w:r>
      <w:r w:rsidR="00CF0342" w:rsidRPr="005E5BEF">
        <w:rPr>
          <w:rFonts w:ascii="Arial" w:hAnsi="Arial" w:cs="Arial"/>
          <w:sz w:val="20"/>
          <w:szCs w:val="20"/>
          <w:lang w:val="en-GB"/>
        </w:rPr>
        <w:t xml:space="preserve"> leadership and management consultant and has spent a great deal of time mentoring and coaching individuals to help them reach their full potential.</w:t>
      </w:r>
      <w:r w:rsidR="001308AF" w:rsidRPr="005E5BEF">
        <w:rPr>
          <w:rFonts w:ascii="Arial" w:hAnsi="Arial" w:cs="Arial"/>
          <w:sz w:val="20"/>
          <w:szCs w:val="20"/>
          <w:lang w:val="en-GB"/>
        </w:rPr>
        <w:t xml:space="preserve">  </w:t>
      </w:r>
      <w:r w:rsidRPr="005E5BEF">
        <w:rPr>
          <w:rFonts w:ascii="Arial" w:hAnsi="Arial" w:cs="Arial"/>
          <w:sz w:val="20"/>
          <w:szCs w:val="20"/>
          <w:lang w:val="en-GB"/>
        </w:rPr>
        <w:t>Re</w:t>
      </w:r>
      <w:r w:rsidR="00CF0342" w:rsidRPr="005E5BEF">
        <w:rPr>
          <w:rFonts w:ascii="Arial" w:hAnsi="Arial" w:cs="Arial"/>
          <w:sz w:val="20"/>
          <w:szCs w:val="20"/>
          <w:lang w:val="en-GB"/>
        </w:rPr>
        <w:t>ceived a Silver Awar</w:t>
      </w:r>
      <w:r w:rsidRPr="005E5BEF">
        <w:rPr>
          <w:rFonts w:ascii="Arial" w:hAnsi="Arial" w:cs="Arial"/>
          <w:sz w:val="20"/>
          <w:szCs w:val="20"/>
          <w:lang w:val="en-GB"/>
        </w:rPr>
        <w:t xml:space="preserve">d for excellence in healthcare.  </w:t>
      </w:r>
      <w:r w:rsidR="00CF0342" w:rsidRPr="005E5BEF">
        <w:rPr>
          <w:rFonts w:ascii="Arial" w:hAnsi="Arial" w:cs="Arial"/>
          <w:sz w:val="20"/>
          <w:szCs w:val="20"/>
          <w:lang w:val="en-GB"/>
        </w:rPr>
        <w:t xml:space="preserve">In 2002, her charitable and leadership work was recognised by her receiving the European Social and Humanitarian award. In </w:t>
      </w:r>
      <w:r w:rsidRPr="005E5BEF">
        <w:rPr>
          <w:rFonts w:ascii="Arial" w:hAnsi="Arial" w:cs="Arial"/>
          <w:sz w:val="20"/>
          <w:szCs w:val="20"/>
          <w:lang w:val="en-GB"/>
        </w:rPr>
        <w:t xml:space="preserve">October 2022, </w:t>
      </w:r>
      <w:r w:rsidR="00CA1963" w:rsidRPr="005E5BEF">
        <w:rPr>
          <w:rFonts w:ascii="Arial" w:hAnsi="Arial" w:cs="Arial"/>
          <w:sz w:val="20"/>
          <w:szCs w:val="20"/>
          <w:lang w:val="en-GB"/>
        </w:rPr>
        <w:t xml:space="preserve">she </w:t>
      </w:r>
      <w:r w:rsidRPr="005E5BEF">
        <w:rPr>
          <w:rFonts w:ascii="Arial" w:hAnsi="Arial" w:cs="Arial"/>
          <w:sz w:val="20"/>
          <w:szCs w:val="20"/>
          <w:lang w:val="en-GB"/>
        </w:rPr>
        <w:t>r</w:t>
      </w:r>
      <w:r w:rsidR="00CF0342" w:rsidRPr="005E5BEF">
        <w:rPr>
          <w:rFonts w:ascii="Arial" w:hAnsi="Arial" w:cs="Arial"/>
          <w:sz w:val="20"/>
          <w:szCs w:val="20"/>
          <w:lang w:val="en-GB"/>
        </w:rPr>
        <w:t>eceived the Zenith Global Healthcare Award as special recognition for global h</w:t>
      </w:r>
      <w:r w:rsidRPr="005E5BEF">
        <w:rPr>
          <w:rFonts w:ascii="Arial" w:hAnsi="Arial" w:cs="Arial"/>
          <w:sz w:val="20"/>
          <w:szCs w:val="20"/>
          <w:lang w:val="en-GB"/>
        </w:rPr>
        <w:t>ealthcare work. Nominee for Nurse of t</w:t>
      </w:r>
      <w:r w:rsidR="00CF0342" w:rsidRPr="005E5BEF">
        <w:rPr>
          <w:rFonts w:ascii="Arial" w:hAnsi="Arial" w:cs="Arial"/>
          <w:sz w:val="20"/>
          <w:szCs w:val="20"/>
          <w:lang w:val="en-GB"/>
        </w:rPr>
        <w:t xml:space="preserve">he Year by </w:t>
      </w:r>
      <w:r w:rsidR="00476AB0" w:rsidRPr="005E5BEF">
        <w:rPr>
          <w:rFonts w:ascii="Arial" w:hAnsi="Arial" w:cs="Arial"/>
          <w:sz w:val="20"/>
          <w:szCs w:val="20"/>
          <w:lang w:val="en-GB"/>
        </w:rPr>
        <w:t>the</w:t>
      </w:r>
      <w:r w:rsidR="00CF0342" w:rsidRPr="005E5BEF">
        <w:rPr>
          <w:rFonts w:ascii="Arial" w:hAnsi="Arial" w:cs="Arial"/>
          <w:sz w:val="20"/>
          <w:szCs w:val="20"/>
          <w:lang w:val="en-GB"/>
        </w:rPr>
        <w:t xml:space="preserve"> Jamaican Times UK Community Award in 2014.</w:t>
      </w:r>
      <w:r w:rsidR="001308AF" w:rsidRPr="005E5BEF">
        <w:rPr>
          <w:rFonts w:ascii="Arial" w:hAnsi="Arial" w:cs="Arial"/>
          <w:sz w:val="20"/>
          <w:szCs w:val="20"/>
          <w:lang w:val="en-GB"/>
        </w:rPr>
        <w:t xml:space="preserve">  </w:t>
      </w:r>
      <w:r w:rsidRPr="005E5BEF">
        <w:rPr>
          <w:rFonts w:ascii="Arial" w:hAnsi="Arial" w:cs="Arial"/>
          <w:sz w:val="20"/>
          <w:szCs w:val="20"/>
          <w:lang w:val="en-GB"/>
        </w:rPr>
        <w:t>A</w:t>
      </w:r>
      <w:r w:rsidR="00CF0342" w:rsidRPr="005E5BEF">
        <w:rPr>
          <w:rFonts w:ascii="Arial" w:hAnsi="Arial" w:cs="Arial"/>
          <w:sz w:val="20"/>
          <w:szCs w:val="20"/>
          <w:lang w:val="en-GB"/>
        </w:rPr>
        <w:t>warded an MBE in the Queen’s Birthday Honours List in June 2014 for work and contribution to nursing and charity work.</w:t>
      </w:r>
    </w:p>
    <w:p w14:paraId="7C2E9791" w14:textId="77777777" w:rsidR="007B488B" w:rsidRPr="005E5BEF" w:rsidRDefault="007B488B" w:rsidP="008B27EF">
      <w:pPr>
        <w:jc w:val="both"/>
        <w:rPr>
          <w:rFonts w:ascii="Arial" w:hAnsi="Arial" w:cs="Arial"/>
          <w:sz w:val="20"/>
          <w:szCs w:val="20"/>
          <w:lang w:val="en-GB"/>
        </w:rPr>
      </w:pPr>
    </w:p>
    <w:p w14:paraId="227991E9" w14:textId="77777777" w:rsidR="00C41FE3" w:rsidRPr="005E5BEF" w:rsidRDefault="00C41FE3" w:rsidP="008B27EF">
      <w:pPr>
        <w:jc w:val="both"/>
        <w:rPr>
          <w:rFonts w:ascii="Arial" w:hAnsi="Arial" w:cs="Arial"/>
          <w:sz w:val="20"/>
          <w:szCs w:val="20"/>
          <w:u w:val="single"/>
          <w:lang w:val="en-GB"/>
        </w:rPr>
      </w:pPr>
      <w:r w:rsidRPr="005E5BEF">
        <w:rPr>
          <w:rFonts w:ascii="Arial" w:hAnsi="Arial" w:cs="Arial"/>
          <w:sz w:val="20"/>
          <w:szCs w:val="20"/>
          <w:u w:val="single"/>
          <w:lang w:val="en-GB"/>
        </w:rPr>
        <w:t xml:space="preserve">Membership of </w:t>
      </w:r>
      <w:r w:rsidR="007B488B" w:rsidRPr="005E5BEF">
        <w:rPr>
          <w:rFonts w:ascii="Arial" w:hAnsi="Arial" w:cs="Arial"/>
          <w:sz w:val="20"/>
          <w:szCs w:val="20"/>
          <w:u w:val="single"/>
          <w:lang w:val="en-GB"/>
        </w:rPr>
        <w:t>C</w:t>
      </w:r>
      <w:r w:rsidRPr="005E5BEF">
        <w:rPr>
          <w:rFonts w:ascii="Arial" w:hAnsi="Arial" w:cs="Arial"/>
          <w:sz w:val="20"/>
          <w:szCs w:val="20"/>
          <w:u w:val="single"/>
          <w:lang w:val="en-GB"/>
        </w:rPr>
        <w:t>ommittees</w:t>
      </w:r>
    </w:p>
    <w:p w14:paraId="2CDF516A" w14:textId="77777777" w:rsidR="00C41FE3" w:rsidRPr="005E5BEF" w:rsidRDefault="00C41FE3" w:rsidP="002E594A">
      <w:pPr>
        <w:pStyle w:val="ListParagraph"/>
        <w:numPr>
          <w:ilvl w:val="0"/>
          <w:numId w:val="2"/>
        </w:numPr>
        <w:ind w:left="426"/>
        <w:jc w:val="both"/>
        <w:rPr>
          <w:rFonts w:ascii="Arial" w:hAnsi="Arial" w:cs="Arial"/>
          <w:sz w:val="20"/>
          <w:szCs w:val="20"/>
          <w:lang w:val="en-GB"/>
        </w:rPr>
      </w:pPr>
      <w:r w:rsidRPr="005E5BEF">
        <w:rPr>
          <w:rFonts w:ascii="Arial" w:hAnsi="Arial" w:cs="Arial"/>
          <w:sz w:val="20"/>
          <w:szCs w:val="20"/>
          <w:lang w:val="en-GB"/>
        </w:rPr>
        <w:t>Quality Assurance Committee</w:t>
      </w:r>
      <w:r w:rsidR="00FE7423" w:rsidRPr="005E5BEF">
        <w:rPr>
          <w:rFonts w:ascii="Arial" w:hAnsi="Arial" w:cs="Arial"/>
          <w:sz w:val="20"/>
          <w:szCs w:val="20"/>
          <w:lang w:val="en-GB"/>
        </w:rPr>
        <w:t xml:space="preserve"> (Chair)</w:t>
      </w:r>
    </w:p>
    <w:p w14:paraId="0E432B13" w14:textId="77777777" w:rsidR="00C41FE3" w:rsidRDefault="00C41FE3" w:rsidP="002E594A">
      <w:pPr>
        <w:pStyle w:val="ListParagraph"/>
        <w:numPr>
          <w:ilvl w:val="0"/>
          <w:numId w:val="2"/>
        </w:numPr>
        <w:ind w:left="426"/>
        <w:jc w:val="both"/>
        <w:rPr>
          <w:rFonts w:ascii="Arial" w:hAnsi="Arial" w:cs="Arial"/>
          <w:sz w:val="20"/>
          <w:szCs w:val="20"/>
          <w:lang w:val="en-GB"/>
        </w:rPr>
      </w:pPr>
      <w:r w:rsidRPr="005E5BEF">
        <w:rPr>
          <w:rFonts w:ascii="Arial" w:hAnsi="Arial" w:cs="Arial"/>
          <w:sz w:val="20"/>
          <w:szCs w:val="20"/>
          <w:lang w:val="en-GB"/>
        </w:rPr>
        <w:t xml:space="preserve">People Committee </w:t>
      </w:r>
    </w:p>
    <w:p w14:paraId="41D82A08" w14:textId="77777777" w:rsidR="00D50222" w:rsidRPr="00D50222" w:rsidRDefault="00D50222" w:rsidP="00D50222">
      <w:pPr>
        <w:jc w:val="both"/>
        <w:rPr>
          <w:rFonts w:ascii="Arial" w:hAnsi="Arial" w:cs="Arial"/>
          <w:i/>
          <w:sz w:val="20"/>
          <w:szCs w:val="20"/>
          <w:lang w:val="en-GB"/>
        </w:rPr>
      </w:pPr>
      <w:r>
        <w:rPr>
          <w:rFonts w:ascii="Arial" w:hAnsi="Arial" w:cs="Arial"/>
          <w:i/>
          <w:sz w:val="20"/>
          <w:szCs w:val="20"/>
          <w:lang w:val="en-GB"/>
        </w:rPr>
        <w:lastRenderedPageBreak/>
        <w:t>Paulette Lewis</w:t>
      </w:r>
      <w:r w:rsidRPr="00D50222">
        <w:rPr>
          <w:rFonts w:ascii="Arial" w:hAnsi="Arial" w:cs="Arial"/>
          <w:i/>
          <w:sz w:val="20"/>
          <w:szCs w:val="20"/>
          <w:lang w:val="en-GB"/>
        </w:rPr>
        <w:t xml:space="preserve"> cont.</w:t>
      </w:r>
    </w:p>
    <w:p w14:paraId="1CD13C3E" w14:textId="77777777" w:rsidR="00D50222" w:rsidRPr="00D50222" w:rsidRDefault="00D50222" w:rsidP="00D50222">
      <w:pPr>
        <w:jc w:val="both"/>
        <w:rPr>
          <w:rFonts w:ascii="Arial" w:hAnsi="Arial" w:cs="Arial"/>
          <w:sz w:val="20"/>
          <w:szCs w:val="20"/>
          <w:u w:val="single"/>
          <w:lang w:val="en-GB"/>
        </w:rPr>
      </w:pPr>
    </w:p>
    <w:p w14:paraId="2200C701" w14:textId="77777777" w:rsidR="00C41FE3" w:rsidRPr="005E5BEF" w:rsidRDefault="00C41FE3" w:rsidP="002E594A">
      <w:pPr>
        <w:pStyle w:val="ListParagraph"/>
        <w:numPr>
          <w:ilvl w:val="0"/>
          <w:numId w:val="2"/>
        </w:numPr>
        <w:ind w:left="426"/>
        <w:jc w:val="both"/>
        <w:rPr>
          <w:rFonts w:ascii="Arial" w:hAnsi="Arial" w:cs="Arial"/>
          <w:sz w:val="20"/>
          <w:szCs w:val="20"/>
          <w:lang w:val="en-GB"/>
        </w:rPr>
      </w:pPr>
      <w:r w:rsidRPr="005E5BEF">
        <w:rPr>
          <w:rFonts w:ascii="Arial" w:hAnsi="Arial" w:cs="Arial"/>
          <w:sz w:val="20"/>
          <w:szCs w:val="20"/>
          <w:lang w:val="en-GB"/>
        </w:rPr>
        <w:t>Nomination and Remuneration Committee</w:t>
      </w:r>
    </w:p>
    <w:p w14:paraId="12DF38D9" w14:textId="77777777" w:rsidR="008C3C06" w:rsidRDefault="00FE7423" w:rsidP="002E594A">
      <w:pPr>
        <w:pStyle w:val="ListParagraph"/>
        <w:numPr>
          <w:ilvl w:val="0"/>
          <w:numId w:val="2"/>
        </w:numPr>
        <w:ind w:left="426"/>
        <w:jc w:val="both"/>
        <w:rPr>
          <w:rFonts w:ascii="Arial" w:hAnsi="Arial" w:cs="Arial"/>
          <w:sz w:val="20"/>
          <w:szCs w:val="20"/>
          <w:lang w:val="en-GB"/>
        </w:rPr>
      </w:pPr>
      <w:r w:rsidRPr="005E5BEF">
        <w:rPr>
          <w:rFonts w:ascii="Arial" w:hAnsi="Arial" w:cs="Arial"/>
          <w:sz w:val="20"/>
          <w:szCs w:val="20"/>
          <w:lang w:val="en-GB"/>
        </w:rPr>
        <w:t>Corporate</w:t>
      </w:r>
      <w:r w:rsidR="00C41FE3" w:rsidRPr="005E5BEF">
        <w:rPr>
          <w:rFonts w:ascii="Arial" w:hAnsi="Arial" w:cs="Arial"/>
          <w:sz w:val="20"/>
          <w:szCs w:val="20"/>
          <w:lang w:val="en-GB"/>
        </w:rPr>
        <w:t xml:space="preserve"> Trustee</w:t>
      </w:r>
      <w:bookmarkEnd w:id="9"/>
    </w:p>
    <w:p w14:paraId="18949B40" w14:textId="77777777" w:rsidR="005E5BEF" w:rsidRDefault="005E5BEF" w:rsidP="005E5BEF">
      <w:pPr>
        <w:jc w:val="both"/>
        <w:rPr>
          <w:rFonts w:ascii="Arial" w:hAnsi="Arial" w:cs="Arial"/>
          <w:sz w:val="20"/>
          <w:szCs w:val="20"/>
          <w:lang w:val="en-GB"/>
        </w:rPr>
      </w:pPr>
    </w:p>
    <w:p w14:paraId="1814A57E" w14:textId="77777777" w:rsidR="008C3C06" w:rsidRPr="005E5BEF" w:rsidRDefault="008C3C06" w:rsidP="005E5BEF">
      <w:pPr>
        <w:jc w:val="both"/>
        <w:rPr>
          <w:rFonts w:ascii="Arial" w:hAnsi="Arial" w:cs="Arial"/>
          <w:b/>
          <w:sz w:val="20"/>
          <w:szCs w:val="20"/>
        </w:rPr>
      </w:pPr>
      <w:r w:rsidRPr="005E5BEF">
        <w:rPr>
          <w:rFonts w:ascii="Arial" w:hAnsi="Arial" w:cs="Arial"/>
          <w:b/>
          <w:sz w:val="20"/>
          <w:szCs w:val="20"/>
        </w:rPr>
        <w:t>Gary Lupton</w:t>
      </w:r>
    </w:p>
    <w:p w14:paraId="6B1D91F0" w14:textId="77777777" w:rsidR="008C3C06" w:rsidRPr="005E5BEF" w:rsidRDefault="003F2226" w:rsidP="00DD7866">
      <w:pPr>
        <w:jc w:val="both"/>
        <w:rPr>
          <w:rFonts w:ascii="Arial" w:hAnsi="Arial" w:cs="Arial"/>
          <w:b/>
          <w:sz w:val="20"/>
          <w:szCs w:val="20"/>
        </w:rPr>
      </w:pPr>
      <w:r w:rsidRPr="005E5BEF">
        <w:rPr>
          <w:rFonts w:ascii="Arial" w:hAnsi="Arial" w:cs="Arial"/>
          <w:b/>
          <w:sz w:val="20"/>
          <w:szCs w:val="20"/>
        </w:rPr>
        <w:t xml:space="preserve">Appointed: </w:t>
      </w:r>
      <w:r w:rsidR="008C3C06" w:rsidRPr="005E5BEF">
        <w:rPr>
          <w:rFonts w:ascii="Arial" w:hAnsi="Arial" w:cs="Arial"/>
          <w:b/>
          <w:sz w:val="20"/>
          <w:szCs w:val="20"/>
        </w:rPr>
        <w:t>Non-Executive Director</w:t>
      </w:r>
      <w:r w:rsidR="00BB2EC3">
        <w:rPr>
          <w:rFonts w:ascii="Arial" w:hAnsi="Arial" w:cs="Arial"/>
          <w:b/>
          <w:sz w:val="20"/>
          <w:szCs w:val="20"/>
        </w:rPr>
        <w:tab/>
      </w:r>
      <w:r w:rsidR="008C3C06" w:rsidRPr="005E5BEF">
        <w:rPr>
          <w:rFonts w:ascii="Arial" w:hAnsi="Arial" w:cs="Arial"/>
          <w:b/>
          <w:sz w:val="20"/>
          <w:szCs w:val="20"/>
        </w:rPr>
        <w:t>01 September 2023</w:t>
      </w:r>
    </w:p>
    <w:p w14:paraId="687482BF" w14:textId="77777777" w:rsidR="008C3C06" w:rsidRPr="005E5BEF" w:rsidRDefault="008C3C06" w:rsidP="00DD7866">
      <w:pPr>
        <w:jc w:val="both"/>
        <w:rPr>
          <w:rFonts w:ascii="Arial" w:hAnsi="Arial" w:cs="Arial"/>
          <w:i/>
          <w:sz w:val="20"/>
          <w:szCs w:val="20"/>
        </w:rPr>
      </w:pPr>
      <w:r w:rsidRPr="005E5BEF">
        <w:rPr>
          <w:rFonts w:ascii="Arial" w:hAnsi="Arial" w:cs="Arial"/>
          <w:i/>
          <w:sz w:val="20"/>
          <w:szCs w:val="20"/>
        </w:rPr>
        <w:t xml:space="preserve">Term: </w:t>
      </w:r>
      <w:bookmarkStart w:id="10" w:name="_Hlk166756156"/>
      <w:r w:rsidRPr="005E5BEF">
        <w:rPr>
          <w:rFonts w:ascii="Arial" w:hAnsi="Arial" w:cs="Arial"/>
          <w:i/>
          <w:sz w:val="20"/>
          <w:szCs w:val="20"/>
        </w:rPr>
        <w:t>First</w:t>
      </w:r>
    </w:p>
    <w:bookmarkEnd w:id="10"/>
    <w:p w14:paraId="58C8BC37" w14:textId="77777777" w:rsidR="008C3C06" w:rsidRPr="005E5BEF" w:rsidRDefault="008C3C06" w:rsidP="00DD7866">
      <w:pPr>
        <w:jc w:val="both"/>
        <w:rPr>
          <w:rFonts w:ascii="Arial" w:hAnsi="Arial" w:cs="Arial"/>
          <w:sz w:val="20"/>
          <w:szCs w:val="20"/>
        </w:rPr>
      </w:pPr>
    </w:p>
    <w:p w14:paraId="27E97A3A" w14:textId="77777777" w:rsidR="008C3C06" w:rsidRPr="00DD7866" w:rsidRDefault="009F27DF" w:rsidP="00DD7866">
      <w:pPr>
        <w:pStyle w:val="NormalWeb"/>
        <w:spacing w:before="0" w:beforeAutospacing="0" w:after="0" w:afterAutospacing="0"/>
      </w:pPr>
      <w:r>
        <w:rPr>
          <w:noProof/>
        </w:rPr>
        <w:drawing>
          <wp:anchor distT="0" distB="0" distL="114300" distR="114300" simplePos="0" relativeHeight="251806720" behindDoc="0" locked="0" layoutInCell="1" allowOverlap="1" wp14:anchorId="43E143E6" wp14:editId="33F6B6EE">
            <wp:simplePos x="0" y="0"/>
            <wp:positionH relativeFrom="column">
              <wp:posOffset>3114089</wp:posOffset>
            </wp:positionH>
            <wp:positionV relativeFrom="paragraph">
              <wp:posOffset>173355</wp:posOffset>
            </wp:positionV>
            <wp:extent cx="2879725" cy="1756410"/>
            <wp:effectExtent l="0" t="0" r="0" b="0"/>
            <wp:wrapSquare wrapText="bothSides"/>
            <wp:docPr id="1556758579" name="Picture 1556758579" descr="Head shot of Gary Lup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ompany Secretariat\Board Meetings\Pictures of Board Members\Gary Lupton.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79725" cy="1756410"/>
                    </a:xfrm>
                    <a:prstGeom prst="rect">
                      <a:avLst/>
                    </a:prstGeom>
                    <a:noFill/>
                    <a:ln>
                      <a:noFill/>
                    </a:ln>
                  </pic:spPr>
                </pic:pic>
              </a:graphicData>
            </a:graphic>
            <wp14:sizeRelH relativeFrom="page">
              <wp14:pctWidth>0</wp14:pctWidth>
            </wp14:sizeRelH>
            <wp14:sizeRelV relativeFrom="page">
              <wp14:pctHeight>0</wp14:pctHeight>
            </wp14:sizeRelV>
          </wp:anchor>
        </w:drawing>
      </w:r>
      <w:r w:rsidR="008C3C06" w:rsidRPr="005E5BEF">
        <w:rPr>
          <w:rFonts w:ascii="Arial" w:hAnsi="Arial" w:cs="Arial"/>
          <w:sz w:val="20"/>
          <w:szCs w:val="20"/>
          <w:u w:val="single"/>
        </w:rPr>
        <w:t>Experience and Qualifications</w:t>
      </w:r>
      <w:r w:rsidRPr="009F27DF">
        <w:rPr>
          <w:noProof/>
        </w:rPr>
        <w:t xml:space="preserve"> </w:t>
      </w:r>
    </w:p>
    <w:p w14:paraId="4302BA4B" w14:textId="77777777" w:rsidR="008C3C06" w:rsidRPr="005E5BEF" w:rsidRDefault="003F2226" w:rsidP="00DD7866">
      <w:pPr>
        <w:pStyle w:val="Default"/>
        <w:jc w:val="both"/>
        <w:rPr>
          <w:rFonts w:ascii="Arial" w:hAnsi="Arial" w:cs="Arial"/>
          <w:sz w:val="20"/>
          <w:szCs w:val="20"/>
        </w:rPr>
      </w:pPr>
      <w:bookmarkStart w:id="11" w:name="_Hlk166756196"/>
      <w:r w:rsidRPr="005E5BEF">
        <w:rPr>
          <w:rFonts w:ascii="Arial" w:hAnsi="Arial" w:cs="Arial"/>
          <w:sz w:val="20"/>
          <w:szCs w:val="20"/>
        </w:rPr>
        <w:t>Gary has a s</w:t>
      </w:r>
      <w:r w:rsidR="008C3C06" w:rsidRPr="005E5BEF">
        <w:rPr>
          <w:rFonts w:ascii="Arial" w:hAnsi="Arial" w:cs="Arial"/>
          <w:sz w:val="20"/>
          <w:szCs w:val="20"/>
        </w:rPr>
        <w:t>ignificant level of experience across both the private and public sectors with a clear understanding of the links between financial resources and how this drives quality outcomes and ultimately achieves the objectives of the organisation.</w:t>
      </w:r>
      <w:r w:rsidR="001308AF" w:rsidRPr="005E5BEF">
        <w:rPr>
          <w:rFonts w:ascii="Arial" w:hAnsi="Arial" w:cs="Arial"/>
          <w:sz w:val="20"/>
          <w:szCs w:val="20"/>
        </w:rPr>
        <w:t xml:space="preserve">  </w:t>
      </w:r>
      <w:r w:rsidR="008C3C06" w:rsidRPr="005E5BEF">
        <w:rPr>
          <w:rFonts w:ascii="Arial" w:hAnsi="Arial" w:cs="Arial"/>
          <w:sz w:val="20"/>
          <w:szCs w:val="20"/>
        </w:rPr>
        <w:t>Commercial and Board level experience within the NHS constructively challenging and helping colleagues to develop strategies to obtain best practice examples to shape the vision to achieve.</w:t>
      </w:r>
      <w:r w:rsidR="001308AF" w:rsidRPr="005E5BEF">
        <w:rPr>
          <w:rFonts w:ascii="Arial" w:hAnsi="Arial" w:cs="Arial"/>
          <w:sz w:val="20"/>
          <w:szCs w:val="20"/>
        </w:rPr>
        <w:t xml:space="preserve">  </w:t>
      </w:r>
      <w:r w:rsidR="008C3C06" w:rsidRPr="005E5BEF">
        <w:rPr>
          <w:rFonts w:ascii="Arial" w:hAnsi="Arial" w:cs="Arial"/>
          <w:sz w:val="20"/>
          <w:szCs w:val="20"/>
        </w:rPr>
        <w:t>Knowledge and understanding of what good governance looks like, understanding detail and how this links to overall performance.  Understanding the requirement to meet standards, targets and compliance with legal regulations, for example meeting environmental and fire standards.</w:t>
      </w:r>
      <w:r w:rsidR="001308AF" w:rsidRPr="005E5BEF">
        <w:rPr>
          <w:rFonts w:ascii="Arial" w:hAnsi="Arial" w:cs="Arial"/>
          <w:sz w:val="20"/>
          <w:szCs w:val="20"/>
        </w:rPr>
        <w:t xml:space="preserve">  </w:t>
      </w:r>
      <w:r w:rsidR="00F11086" w:rsidRPr="005E5BEF">
        <w:rPr>
          <w:rFonts w:ascii="Arial" w:hAnsi="Arial" w:cs="Arial"/>
          <w:sz w:val="20"/>
          <w:szCs w:val="20"/>
        </w:rPr>
        <w:t>He was a</w:t>
      </w:r>
      <w:r w:rsidR="008C3C06" w:rsidRPr="005E5BEF">
        <w:rPr>
          <w:rFonts w:ascii="Arial" w:hAnsi="Arial" w:cs="Arial"/>
          <w:sz w:val="20"/>
          <w:szCs w:val="20"/>
        </w:rPr>
        <w:t>warded the Chairman’s award for work to improve the patient environment</w:t>
      </w:r>
      <w:r w:rsidR="00F11086" w:rsidRPr="005E5BEF">
        <w:rPr>
          <w:rFonts w:ascii="Arial" w:hAnsi="Arial" w:cs="Arial"/>
          <w:sz w:val="20"/>
          <w:szCs w:val="20"/>
        </w:rPr>
        <w:t xml:space="preserve"> and has c</w:t>
      </w:r>
      <w:r w:rsidR="008C3C06" w:rsidRPr="005E5BEF">
        <w:rPr>
          <w:rFonts w:ascii="Arial" w:hAnsi="Arial" w:cs="Arial"/>
          <w:sz w:val="20"/>
          <w:szCs w:val="20"/>
        </w:rPr>
        <w:t xml:space="preserve">ompleted the Institute of Directors training. </w:t>
      </w:r>
      <w:r w:rsidR="00F11086" w:rsidRPr="005E5BEF">
        <w:rPr>
          <w:rFonts w:ascii="Arial" w:hAnsi="Arial" w:cs="Arial"/>
          <w:sz w:val="20"/>
          <w:szCs w:val="20"/>
        </w:rPr>
        <w:t>He u</w:t>
      </w:r>
      <w:r w:rsidR="00CA1963" w:rsidRPr="005E5BEF">
        <w:rPr>
          <w:rFonts w:ascii="Arial" w:hAnsi="Arial" w:cs="Arial"/>
          <w:sz w:val="20"/>
          <w:szCs w:val="20"/>
        </w:rPr>
        <w:t xml:space="preserve">ndertook the procurement of </w:t>
      </w:r>
      <w:r w:rsidR="002B5D92" w:rsidRPr="005E5BEF">
        <w:rPr>
          <w:rFonts w:ascii="Arial" w:hAnsi="Arial" w:cs="Arial"/>
          <w:sz w:val="20"/>
          <w:szCs w:val="20"/>
        </w:rPr>
        <w:t>one of the first</w:t>
      </w:r>
      <w:r w:rsidR="00CA1963" w:rsidRPr="005E5BEF">
        <w:rPr>
          <w:rFonts w:ascii="Arial" w:hAnsi="Arial" w:cs="Arial"/>
          <w:sz w:val="20"/>
          <w:szCs w:val="20"/>
        </w:rPr>
        <w:t xml:space="preserve"> </w:t>
      </w:r>
      <w:r w:rsidR="008C3C06" w:rsidRPr="005E5BEF">
        <w:rPr>
          <w:rFonts w:ascii="Arial" w:hAnsi="Arial" w:cs="Arial"/>
          <w:sz w:val="20"/>
          <w:szCs w:val="20"/>
        </w:rPr>
        <w:t>private hospital</w:t>
      </w:r>
      <w:r w:rsidR="002B5D92" w:rsidRPr="005E5BEF">
        <w:rPr>
          <w:rFonts w:ascii="Arial" w:hAnsi="Arial" w:cs="Arial"/>
          <w:sz w:val="20"/>
          <w:szCs w:val="20"/>
        </w:rPr>
        <w:t>s</w:t>
      </w:r>
      <w:r w:rsidR="008C3C06" w:rsidRPr="005E5BEF">
        <w:rPr>
          <w:rFonts w:ascii="Arial" w:hAnsi="Arial" w:cs="Arial"/>
          <w:sz w:val="20"/>
          <w:szCs w:val="20"/>
        </w:rPr>
        <w:t xml:space="preserve"> to support the delivery of NHS workloads</w:t>
      </w:r>
      <w:r w:rsidR="00CA1963" w:rsidRPr="005E5BEF">
        <w:rPr>
          <w:rFonts w:ascii="Arial" w:hAnsi="Arial" w:cs="Arial"/>
          <w:sz w:val="20"/>
          <w:szCs w:val="20"/>
        </w:rPr>
        <w:t xml:space="preserve">.  </w:t>
      </w:r>
    </w:p>
    <w:p w14:paraId="5AB1A410" w14:textId="77777777" w:rsidR="005E5BEF" w:rsidRDefault="005E5BEF" w:rsidP="00DD7866">
      <w:pPr>
        <w:pStyle w:val="Default"/>
        <w:jc w:val="both"/>
        <w:rPr>
          <w:rFonts w:ascii="Arial" w:hAnsi="Arial" w:cs="Arial"/>
          <w:i/>
          <w:sz w:val="20"/>
          <w:szCs w:val="20"/>
        </w:rPr>
      </w:pPr>
    </w:p>
    <w:p w14:paraId="6BEFEB54" w14:textId="77777777" w:rsidR="008C3C06" w:rsidRPr="005E5BEF" w:rsidRDefault="008C3C06" w:rsidP="005E5BEF">
      <w:pPr>
        <w:pStyle w:val="Default"/>
        <w:jc w:val="both"/>
        <w:rPr>
          <w:rFonts w:ascii="Arial" w:hAnsi="Arial" w:cs="Arial"/>
          <w:sz w:val="20"/>
          <w:szCs w:val="20"/>
          <w:u w:val="single"/>
        </w:rPr>
      </w:pPr>
      <w:r w:rsidRPr="005E5BEF">
        <w:rPr>
          <w:rFonts w:ascii="Arial" w:hAnsi="Arial" w:cs="Arial"/>
          <w:sz w:val="20"/>
          <w:szCs w:val="20"/>
          <w:u w:val="single"/>
        </w:rPr>
        <w:t>Membership of Committees</w:t>
      </w:r>
    </w:p>
    <w:p w14:paraId="6E23D678" w14:textId="77777777" w:rsidR="008C3C06" w:rsidRPr="005E5BEF" w:rsidRDefault="008C3C06" w:rsidP="00E00F90">
      <w:pPr>
        <w:pStyle w:val="Default"/>
        <w:numPr>
          <w:ilvl w:val="0"/>
          <w:numId w:val="19"/>
        </w:numPr>
        <w:jc w:val="both"/>
        <w:rPr>
          <w:rFonts w:ascii="Arial" w:hAnsi="Arial" w:cs="Arial"/>
          <w:sz w:val="20"/>
          <w:szCs w:val="20"/>
          <w:u w:val="single"/>
        </w:rPr>
      </w:pPr>
      <w:r w:rsidRPr="005E5BEF">
        <w:rPr>
          <w:rFonts w:ascii="Arial" w:hAnsi="Arial" w:cs="Arial"/>
          <w:sz w:val="20"/>
          <w:szCs w:val="20"/>
        </w:rPr>
        <w:t>Finance, Planning and Performance Committee (Chair)</w:t>
      </w:r>
    </w:p>
    <w:p w14:paraId="6FE7BB97" w14:textId="77777777" w:rsidR="008C3C06" w:rsidRPr="005E5BEF" w:rsidRDefault="008C3C06" w:rsidP="00E00F90">
      <w:pPr>
        <w:pStyle w:val="Default"/>
        <w:numPr>
          <w:ilvl w:val="0"/>
          <w:numId w:val="19"/>
        </w:numPr>
        <w:jc w:val="both"/>
        <w:rPr>
          <w:rFonts w:ascii="Arial" w:hAnsi="Arial" w:cs="Arial"/>
          <w:sz w:val="20"/>
          <w:szCs w:val="20"/>
          <w:u w:val="single"/>
        </w:rPr>
      </w:pPr>
      <w:r w:rsidRPr="005E5BEF">
        <w:rPr>
          <w:rFonts w:ascii="Arial" w:hAnsi="Arial" w:cs="Arial"/>
          <w:sz w:val="20"/>
          <w:szCs w:val="20"/>
        </w:rPr>
        <w:t>Audit and Risk Committee</w:t>
      </w:r>
    </w:p>
    <w:p w14:paraId="281495C1" w14:textId="77777777" w:rsidR="008C3C06" w:rsidRPr="005E5BEF" w:rsidRDefault="008C3C06" w:rsidP="00E00F90">
      <w:pPr>
        <w:pStyle w:val="ListParagraph"/>
        <w:widowControl/>
        <w:numPr>
          <w:ilvl w:val="0"/>
          <w:numId w:val="19"/>
        </w:numPr>
        <w:spacing w:line="259" w:lineRule="auto"/>
        <w:jc w:val="both"/>
        <w:rPr>
          <w:rFonts w:ascii="Arial" w:hAnsi="Arial" w:cs="Arial"/>
          <w:sz w:val="20"/>
          <w:szCs w:val="20"/>
          <w:u w:val="single"/>
        </w:rPr>
      </w:pPr>
      <w:r w:rsidRPr="005E5BEF">
        <w:rPr>
          <w:rFonts w:ascii="Arial" w:hAnsi="Arial" w:cs="Arial"/>
          <w:sz w:val="20"/>
          <w:szCs w:val="20"/>
        </w:rPr>
        <w:t>Nomination and Renumeration Committee</w:t>
      </w:r>
    </w:p>
    <w:p w14:paraId="38C1D75E" w14:textId="77777777" w:rsidR="008C3C06" w:rsidRPr="005E5BEF" w:rsidRDefault="008C3C06" w:rsidP="00E00F90">
      <w:pPr>
        <w:pStyle w:val="Default"/>
        <w:numPr>
          <w:ilvl w:val="0"/>
          <w:numId w:val="19"/>
        </w:numPr>
        <w:jc w:val="both"/>
        <w:rPr>
          <w:rFonts w:ascii="Arial" w:hAnsi="Arial" w:cs="Arial"/>
          <w:sz w:val="20"/>
          <w:szCs w:val="20"/>
          <w:u w:val="single"/>
        </w:rPr>
      </w:pPr>
      <w:r w:rsidRPr="005E5BEF">
        <w:rPr>
          <w:rFonts w:ascii="Arial" w:hAnsi="Arial" w:cs="Arial"/>
          <w:sz w:val="20"/>
          <w:szCs w:val="20"/>
        </w:rPr>
        <w:t>Corporate Trustee</w:t>
      </w:r>
    </w:p>
    <w:bookmarkEnd w:id="11"/>
    <w:p w14:paraId="7F700B35" w14:textId="77777777" w:rsidR="008C3C06" w:rsidRDefault="008C3C06" w:rsidP="005E5BEF">
      <w:pPr>
        <w:pStyle w:val="Default"/>
        <w:ind w:left="720"/>
        <w:jc w:val="both"/>
        <w:rPr>
          <w:rFonts w:ascii="Arial" w:hAnsi="Arial" w:cs="Arial"/>
          <w:sz w:val="20"/>
          <w:szCs w:val="20"/>
          <w:highlight w:val="yellow"/>
          <w:u w:val="single"/>
        </w:rPr>
      </w:pPr>
    </w:p>
    <w:p w14:paraId="086AFD33" w14:textId="77777777" w:rsidR="005E5BEF" w:rsidRPr="005E5BEF" w:rsidRDefault="005E5BEF" w:rsidP="005E5BEF">
      <w:pPr>
        <w:pStyle w:val="Default"/>
        <w:ind w:left="720"/>
        <w:jc w:val="both"/>
        <w:rPr>
          <w:rFonts w:ascii="Arial" w:hAnsi="Arial" w:cs="Arial"/>
          <w:sz w:val="20"/>
          <w:szCs w:val="20"/>
          <w:highlight w:val="yellow"/>
          <w:u w:val="single"/>
        </w:rPr>
      </w:pPr>
    </w:p>
    <w:p w14:paraId="0B803445" w14:textId="77777777" w:rsidR="008C3C06" w:rsidRPr="005E5BEF" w:rsidRDefault="008C3C06" w:rsidP="005E5BEF">
      <w:pPr>
        <w:jc w:val="both"/>
        <w:rPr>
          <w:rFonts w:ascii="Arial" w:hAnsi="Arial" w:cs="Arial"/>
          <w:b/>
          <w:sz w:val="20"/>
          <w:szCs w:val="20"/>
          <w:lang w:val="en-GB"/>
        </w:rPr>
      </w:pPr>
      <w:r w:rsidRPr="005E5BEF">
        <w:rPr>
          <w:rFonts w:ascii="Arial" w:hAnsi="Arial" w:cs="Arial"/>
          <w:b/>
          <w:sz w:val="20"/>
          <w:szCs w:val="20"/>
          <w:lang w:val="en-GB"/>
        </w:rPr>
        <w:t>Mojgan Sani</w:t>
      </w:r>
    </w:p>
    <w:p w14:paraId="5061EB05" w14:textId="77777777" w:rsidR="008C3C06" w:rsidRPr="005E5BEF" w:rsidRDefault="00F11086" w:rsidP="00DD7866">
      <w:pPr>
        <w:jc w:val="both"/>
        <w:rPr>
          <w:rFonts w:ascii="Arial" w:hAnsi="Arial" w:cs="Arial"/>
          <w:b/>
          <w:sz w:val="20"/>
          <w:szCs w:val="20"/>
          <w:lang w:val="en-GB"/>
        </w:rPr>
      </w:pPr>
      <w:r w:rsidRPr="005E5BEF">
        <w:rPr>
          <w:rFonts w:ascii="Arial" w:hAnsi="Arial" w:cs="Arial"/>
          <w:b/>
          <w:sz w:val="20"/>
          <w:szCs w:val="20"/>
          <w:lang w:val="en-GB"/>
        </w:rPr>
        <w:t xml:space="preserve">Appointed: </w:t>
      </w:r>
      <w:r w:rsidR="008C3C06" w:rsidRPr="005E5BEF">
        <w:rPr>
          <w:rFonts w:ascii="Arial" w:hAnsi="Arial" w:cs="Arial"/>
          <w:b/>
          <w:sz w:val="20"/>
          <w:szCs w:val="20"/>
          <w:lang w:val="en-GB"/>
        </w:rPr>
        <w:t>Non-Executive Director</w:t>
      </w:r>
      <w:r w:rsidR="00BB2EC3">
        <w:rPr>
          <w:rFonts w:ascii="Arial" w:hAnsi="Arial" w:cs="Arial"/>
          <w:b/>
          <w:sz w:val="20"/>
          <w:szCs w:val="20"/>
          <w:lang w:val="en-GB"/>
        </w:rPr>
        <w:tab/>
      </w:r>
      <w:r w:rsidR="008C3C06" w:rsidRPr="005E5BEF">
        <w:rPr>
          <w:rFonts w:ascii="Arial" w:hAnsi="Arial" w:cs="Arial"/>
          <w:b/>
          <w:sz w:val="20"/>
          <w:szCs w:val="20"/>
          <w:lang w:val="en-GB"/>
        </w:rPr>
        <w:t>01 September 2023</w:t>
      </w:r>
    </w:p>
    <w:p w14:paraId="5782023F" w14:textId="77777777" w:rsidR="008C3C06" w:rsidRPr="005E5BEF" w:rsidRDefault="008C3C06" w:rsidP="00DD7866">
      <w:pPr>
        <w:jc w:val="both"/>
        <w:rPr>
          <w:rFonts w:ascii="Arial" w:hAnsi="Arial" w:cs="Arial"/>
          <w:i/>
          <w:sz w:val="20"/>
          <w:szCs w:val="20"/>
          <w:lang w:val="en-GB"/>
        </w:rPr>
      </w:pPr>
      <w:r w:rsidRPr="005E5BEF">
        <w:rPr>
          <w:rFonts w:ascii="Arial" w:hAnsi="Arial" w:cs="Arial"/>
          <w:i/>
          <w:sz w:val="20"/>
          <w:szCs w:val="20"/>
          <w:lang w:val="en-GB"/>
        </w:rPr>
        <w:t>Term: First</w:t>
      </w:r>
    </w:p>
    <w:p w14:paraId="319D0627" w14:textId="77777777" w:rsidR="008C3C06" w:rsidRPr="005E5BEF" w:rsidRDefault="008C3C06" w:rsidP="00DD7866">
      <w:pPr>
        <w:jc w:val="both"/>
        <w:rPr>
          <w:rFonts w:ascii="Arial" w:hAnsi="Arial" w:cs="Arial"/>
          <w:sz w:val="20"/>
          <w:szCs w:val="20"/>
          <w:lang w:val="en-GB"/>
        </w:rPr>
      </w:pPr>
    </w:p>
    <w:p w14:paraId="7001C2C8" w14:textId="77777777" w:rsidR="008C3C06" w:rsidRPr="00DD7866" w:rsidRDefault="00DD7866" w:rsidP="00DD7866">
      <w:pPr>
        <w:pStyle w:val="NormalWeb"/>
        <w:spacing w:before="0" w:beforeAutospacing="0" w:after="0" w:afterAutospacing="0"/>
      </w:pPr>
      <w:r>
        <w:rPr>
          <w:noProof/>
        </w:rPr>
        <w:drawing>
          <wp:anchor distT="0" distB="0" distL="114300" distR="114300" simplePos="0" relativeHeight="251807744" behindDoc="0" locked="0" layoutInCell="1" allowOverlap="1" wp14:anchorId="1AD4A347" wp14:editId="6A8893F6">
            <wp:simplePos x="0" y="0"/>
            <wp:positionH relativeFrom="column">
              <wp:posOffset>3114431</wp:posOffset>
            </wp:positionH>
            <wp:positionV relativeFrom="paragraph">
              <wp:posOffset>139358</wp:posOffset>
            </wp:positionV>
            <wp:extent cx="2879725" cy="1756410"/>
            <wp:effectExtent l="0" t="0" r="0" b="0"/>
            <wp:wrapSquare wrapText="bothSides"/>
            <wp:docPr id="1556758580" name="Picture 1556758580" descr="Head shot of Mojgan San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mpany Secretariat\Board Meetings\Pictures of Board Members\Mojgan Sani.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79725" cy="1756410"/>
                    </a:xfrm>
                    <a:prstGeom prst="rect">
                      <a:avLst/>
                    </a:prstGeom>
                    <a:noFill/>
                    <a:ln>
                      <a:noFill/>
                    </a:ln>
                  </pic:spPr>
                </pic:pic>
              </a:graphicData>
            </a:graphic>
            <wp14:sizeRelH relativeFrom="page">
              <wp14:pctWidth>0</wp14:pctWidth>
            </wp14:sizeRelH>
            <wp14:sizeRelV relativeFrom="page">
              <wp14:pctHeight>0</wp14:pctHeight>
            </wp14:sizeRelV>
          </wp:anchor>
        </w:drawing>
      </w:r>
      <w:r w:rsidR="008C3C06" w:rsidRPr="005E5BEF">
        <w:rPr>
          <w:rFonts w:ascii="Arial" w:hAnsi="Arial" w:cs="Arial"/>
          <w:sz w:val="20"/>
          <w:szCs w:val="20"/>
          <w:u w:val="single"/>
        </w:rPr>
        <w:t>Experience and Qualifications</w:t>
      </w:r>
    </w:p>
    <w:p w14:paraId="0E9A70D7" w14:textId="77777777" w:rsidR="008C3C06" w:rsidRPr="005E5BEF" w:rsidRDefault="00F11086" w:rsidP="00DD7866">
      <w:pPr>
        <w:jc w:val="both"/>
        <w:rPr>
          <w:rFonts w:ascii="Arial" w:hAnsi="Arial" w:cs="Arial"/>
          <w:sz w:val="20"/>
          <w:szCs w:val="20"/>
          <w:lang w:val="en-GB"/>
        </w:rPr>
      </w:pPr>
      <w:bookmarkStart w:id="12" w:name="_Hlk166756619"/>
      <w:r w:rsidRPr="005E5BEF">
        <w:rPr>
          <w:rFonts w:ascii="Arial" w:hAnsi="Arial" w:cs="Arial"/>
          <w:sz w:val="20"/>
          <w:szCs w:val="20"/>
          <w:lang w:val="en-GB"/>
        </w:rPr>
        <w:t>Mojgan is an a</w:t>
      </w:r>
      <w:r w:rsidR="008C3C06" w:rsidRPr="005E5BEF">
        <w:rPr>
          <w:rFonts w:ascii="Arial" w:hAnsi="Arial" w:cs="Arial"/>
          <w:sz w:val="20"/>
          <w:szCs w:val="20"/>
          <w:lang w:val="en-GB"/>
        </w:rPr>
        <w:t xml:space="preserve">ccomplished and innovative NHS senior leader with professional background as Corporate Director of Clinical Outcomes and Effectiveness, Chief Pharmacist and Controlled Drugs Accountable Officer.  </w:t>
      </w:r>
      <w:r w:rsidRPr="005E5BEF">
        <w:rPr>
          <w:rFonts w:ascii="Arial" w:hAnsi="Arial" w:cs="Arial"/>
          <w:sz w:val="20"/>
          <w:szCs w:val="20"/>
          <w:lang w:val="en-GB"/>
        </w:rPr>
        <w:t>She s</w:t>
      </w:r>
      <w:r w:rsidR="008C3C06" w:rsidRPr="005E5BEF">
        <w:rPr>
          <w:rFonts w:ascii="Arial" w:hAnsi="Arial" w:cs="Arial"/>
          <w:sz w:val="20"/>
          <w:szCs w:val="20"/>
          <w:lang w:val="en-GB"/>
        </w:rPr>
        <w:t>erved the NHS as the lead director for Health Inequalities within an NHS Foundation Trust.</w:t>
      </w:r>
      <w:r w:rsidRPr="005E5BEF">
        <w:rPr>
          <w:rFonts w:ascii="Arial" w:hAnsi="Arial" w:cs="Arial"/>
          <w:sz w:val="20"/>
          <w:szCs w:val="20"/>
          <w:lang w:val="en-GB"/>
        </w:rPr>
        <w:t xml:space="preserve">  She has s</w:t>
      </w:r>
      <w:r w:rsidR="008C3C06" w:rsidRPr="005E5BEF">
        <w:rPr>
          <w:rFonts w:ascii="Arial" w:hAnsi="Arial" w:cs="Arial"/>
          <w:sz w:val="20"/>
          <w:szCs w:val="20"/>
          <w:lang w:val="en-GB"/>
        </w:rPr>
        <w:t xml:space="preserve">ignificant experience of working across acute hospitals, primary care, academia, and specialist regional responsibilities feeding into the Integrated Care System (ICS).  </w:t>
      </w:r>
      <w:r w:rsidRPr="005E5BEF">
        <w:rPr>
          <w:rFonts w:ascii="Arial" w:hAnsi="Arial" w:cs="Arial"/>
          <w:sz w:val="20"/>
          <w:szCs w:val="20"/>
          <w:lang w:val="en-GB"/>
        </w:rPr>
        <w:t>Her a</w:t>
      </w:r>
      <w:r w:rsidR="008C3C06" w:rsidRPr="005E5BEF">
        <w:rPr>
          <w:rFonts w:ascii="Arial" w:hAnsi="Arial" w:cs="Arial"/>
          <w:sz w:val="20"/>
          <w:szCs w:val="20"/>
          <w:lang w:val="en-GB"/>
        </w:rPr>
        <w:t>chievements</w:t>
      </w:r>
      <w:r w:rsidRPr="005E5BEF">
        <w:rPr>
          <w:rFonts w:ascii="Arial" w:hAnsi="Arial" w:cs="Arial"/>
          <w:sz w:val="20"/>
          <w:szCs w:val="20"/>
          <w:lang w:val="en-GB"/>
        </w:rPr>
        <w:t xml:space="preserve"> are</w:t>
      </w:r>
      <w:r w:rsidR="008C3C06" w:rsidRPr="005E5BEF">
        <w:rPr>
          <w:rFonts w:ascii="Arial" w:hAnsi="Arial" w:cs="Arial"/>
          <w:sz w:val="20"/>
          <w:szCs w:val="20"/>
          <w:lang w:val="en-GB"/>
        </w:rPr>
        <w:t xml:space="preserve"> in operational, quality and safety transformation initiatives, financial efficiencies, people engagement, service transformation, system wide engagement and bringing the NHS and academia together as a visiting professor for Medicines Optimisation for improved patient care.</w:t>
      </w:r>
      <w:r w:rsidRPr="005E5BEF">
        <w:rPr>
          <w:rFonts w:ascii="Arial" w:hAnsi="Arial" w:cs="Arial"/>
          <w:sz w:val="20"/>
          <w:szCs w:val="20"/>
          <w:lang w:val="en-GB"/>
        </w:rPr>
        <w:t xml:space="preserve">  </w:t>
      </w:r>
      <w:r w:rsidR="008C3C06" w:rsidRPr="005E5BEF">
        <w:rPr>
          <w:rFonts w:ascii="Arial" w:hAnsi="Arial" w:cs="Arial"/>
          <w:sz w:val="20"/>
          <w:szCs w:val="20"/>
          <w:lang w:val="en-GB"/>
        </w:rPr>
        <w:t>Other roles include</w:t>
      </w:r>
      <w:r w:rsidRPr="005E5BEF">
        <w:rPr>
          <w:rFonts w:ascii="Arial" w:hAnsi="Arial" w:cs="Arial"/>
          <w:sz w:val="20"/>
          <w:szCs w:val="20"/>
          <w:lang w:val="en-GB"/>
        </w:rPr>
        <w:t>;</w:t>
      </w:r>
      <w:r w:rsidR="008C3C06" w:rsidRPr="005E5BEF">
        <w:rPr>
          <w:rFonts w:ascii="Arial" w:hAnsi="Arial" w:cs="Arial"/>
          <w:sz w:val="20"/>
          <w:szCs w:val="20"/>
          <w:lang w:val="en-GB"/>
        </w:rPr>
        <w:t xml:space="preserve"> CQC Specialist Advisor, NHS Non-Executive director roles for the subsidiary companies owned by the NHS, Trustees at Charitable organisations, Public Governor for a large </w:t>
      </w:r>
      <w:r w:rsidR="00CA1963" w:rsidRPr="005E5BEF">
        <w:rPr>
          <w:rFonts w:ascii="Arial" w:hAnsi="Arial" w:cs="Arial"/>
          <w:sz w:val="20"/>
          <w:szCs w:val="20"/>
          <w:lang w:val="en-GB"/>
        </w:rPr>
        <w:t>m</w:t>
      </w:r>
      <w:r w:rsidR="008C3C06" w:rsidRPr="005E5BEF">
        <w:rPr>
          <w:rFonts w:ascii="Arial" w:hAnsi="Arial" w:cs="Arial"/>
          <w:sz w:val="20"/>
          <w:szCs w:val="20"/>
          <w:lang w:val="en-GB"/>
        </w:rPr>
        <w:t xml:space="preserve">ental </w:t>
      </w:r>
      <w:r w:rsidR="00CA1963" w:rsidRPr="005E5BEF">
        <w:rPr>
          <w:rFonts w:ascii="Arial" w:hAnsi="Arial" w:cs="Arial"/>
          <w:sz w:val="20"/>
          <w:szCs w:val="20"/>
          <w:lang w:val="en-GB"/>
        </w:rPr>
        <w:t>h</w:t>
      </w:r>
      <w:r w:rsidR="008C3C06" w:rsidRPr="005E5BEF">
        <w:rPr>
          <w:rFonts w:ascii="Arial" w:hAnsi="Arial" w:cs="Arial"/>
          <w:sz w:val="20"/>
          <w:szCs w:val="20"/>
          <w:lang w:val="en-GB"/>
        </w:rPr>
        <w:t>ealth Foundation Trust, and Non-Executive Director at acute provider level and Integrated Care Board.</w:t>
      </w:r>
      <w:r w:rsidRPr="005E5BEF">
        <w:rPr>
          <w:rFonts w:ascii="Arial" w:hAnsi="Arial" w:cs="Arial"/>
          <w:sz w:val="20"/>
          <w:szCs w:val="20"/>
          <w:lang w:val="en-GB"/>
        </w:rPr>
        <w:t xml:space="preserve">  Her </w:t>
      </w:r>
      <w:r w:rsidR="008C3C06" w:rsidRPr="005E5BEF">
        <w:rPr>
          <w:rFonts w:ascii="Arial" w:hAnsi="Arial" w:cs="Arial"/>
          <w:sz w:val="20"/>
          <w:szCs w:val="20"/>
          <w:lang w:val="en-GB"/>
        </w:rPr>
        <w:t xml:space="preserve">NHS achievements for quality improvement and transformation have led to nominations for Parliamentary award, NICE Fellowship, and appointments as a visiting professor with a number of </w:t>
      </w:r>
      <w:r w:rsidR="00CA1963" w:rsidRPr="005E5BEF">
        <w:rPr>
          <w:rFonts w:ascii="Arial" w:hAnsi="Arial" w:cs="Arial"/>
          <w:sz w:val="20"/>
          <w:szCs w:val="20"/>
          <w:lang w:val="en-GB"/>
        </w:rPr>
        <w:t>u</w:t>
      </w:r>
      <w:r w:rsidR="008C3C06" w:rsidRPr="005E5BEF">
        <w:rPr>
          <w:rFonts w:ascii="Arial" w:hAnsi="Arial" w:cs="Arial"/>
          <w:sz w:val="20"/>
          <w:szCs w:val="20"/>
          <w:lang w:val="en-GB"/>
        </w:rPr>
        <w:t xml:space="preserve">niversities. </w:t>
      </w:r>
    </w:p>
    <w:p w14:paraId="55E79716" w14:textId="77777777" w:rsidR="008C3C06" w:rsidRDefault="008C3C06" w:rsidP="005E5BEF">
      <w:pPr>
        <w:jc w:val="both"/>
        <w:rPr>
          <w:rFonts w:ascii="Arial" w:hAnsi="Arial" w:cs="Arial"/>
          <w:sz w:val="20"/>
          <w:szCs w:val="20"/>
          <w:lang w:val="en-GB"/>
        </w:rPr>
      </w:pPr>
    </w:p>
    <w:p w14:paraId="309BFC90" w14:textId="77777777" w:rsidR="00D50222" w:rsidRPr="00D50222" w:rsidRDefault="00D50222" w:rsidP="005E5BEF">
      <w:pPr>
        <w:jc w:val="both"/>
        <w:rPr>
          <w:rFonts w:ascii="Arial" w:hAnsi="Arial" w:cs="Arial"/>
          <w:i/>
          <w:sz w:val="20"/>
          <w:szCs w:val="20"/>
          <w:lang w:val="en-GB"/>
        </w:rPr>
      </w:pPr>
      <w:r w:rsidRPr="00D50222">
        <w:rPr>
          <w:rFonts w:ascii="Arial" w:hAnsi="Arial" w:cs="Arial"/>
          <w:i/>
          <w:sz w:val="20"/>
          <w:szCs w:val="20"/>
          <w:lang w:val="en-GB"/>
        </w:rPr>
        <w:lastRenderedPageBreak/>
        <w:t>Mojgan Sani cont.</w:t>
      </w:r>
    </w:p>
    <w:p w14:paraId="6B34E46C" w14:textId="77777777" w:rsidR="00D50222" w:rsidRDefault="00D50222" w:rsidP="005E5BEF">
      <w:pPr>
        <w:jc w:val="both"/>
        <w:rPr>
          <w:rFonts w:ascii="Arial" w:hAnsi="Arial" w:cs="Arial"/>
          <w:sz w:val="20"/>
          <w:szCs w:val="20"/>
          <w:u w:val="single"/>
          <w:lang w:val="en-GB"/>
        </w:rPr>
      </w:pPr>
    </w:p>
    <w:p w14:paraId="672BE158" w14:textId="77777777" w:rsidR="008C3C06" w:rsidRPr="005E5BEF" w:rsidRDefault="008C3C06" w:rsidP="005E5BEF">
      <w:pPr>
        <w:jc w:val="both"/>
        <w:rPr>
          <w:rFonts w:ascii="Arial" w:hAnsi="Arial" w:cs="Arial"/>
          <w:sz w:val="20"/>
          <w:szCs w:val="20"/>
          <w:u w:val="single"/>
          <w:lang w:val="en-GB"/>
        </w:rPr>
      </w:pPr>
      <w:r w:rsidRPr="005E5BEF">
        <w:rPr>
          <w:rFonts w:ascii="Arial" w:hAnsi="Arial" w:cs="Arial"/>
          <w:sz w:val="20"/>
          <w:szCs w:val="20"/>
          <w:u w:val="single"/>
          <w:lang w:val="en-GB"/>
        </w:rPr>
        <w:t>Membership of Committees</w:t>
      </w:r>
    </w:p>
    <w:p w14:paraId="1970CC35" w14:textId="77777777" w:rsidR="008C3C06" w:rsidRPr="005E5BEF" w:rsidRDefault="008C3C06" w:rsidP="00E00F90">
      <w:pPr>
        <w:pStyle w:val="ListParagraph"/>
        <w:numPr>
          <w:ilvl w:val="0"/>
          <w:numId w:val="20"/>
        </w:numPr>
        <w:jc w:val="both"/>
        <w:rPr>
          <w:rFonts w:ascii="Arial" w:hAnsi="Arial" w:cs="Arial"/>
          <w:sz w:val="20"/>
          <w:szCs w:val="20"/>
          <w:lang w:val="en-GB"/>
        </w:rPr>
      </w:pPr>
      <w:r w:rsidRPr="005E5BEF">
        <w:rPr>
          <w:rFonts w:ascii="Arial" w:hAnsi="Arial" w:cs="Arial"/>
          <w:sz w:val="20"/>
          <w:szCs w:val="20"/>
          <w:lang w:val="en-GB"/>
        </w:rPr>
        <w:t xml:space="preserve">Quality Assurance Committee </w:t>
      </w:r>
    </w:p>
    <w:p w14:paraId="1756BB90" w14:textId="77777777" w:rsidR="008C3C06" w:rsidRPr="005E5BEF" w:rsidRDefault="008C3C06" w:rsidP="00E00F90">
      <w:pPr>
        <w:pStyle w:val="ListParagraph"/>
        <w:numPr>
          <w:ilvl w:val="0"/>
          <w:numId w:val="20"/>
        </w:numPr>
        <w:jc w:val="both"/>
        <w:rPr>
          <w:rFonts w:ascii="Arial" w:hAnsi="Arial" w:cs="Arial"/>
          <w:sz w:val="20"/>
          <w:szCs w:val="20"/>
          <w:lang w:val="en-GB"/>
        </w:rPr>
      </w:pPr>
      <w:r w:rsidRPr="005E5BEF">
        <w:rPr>
          <w:rFonts w:ascii="Arial" w:hAnsi="Arial" w:cs="Arial"/>
          <w:sz w:val="20"/>
          <w:szCs w:val="20"/>
          <w:lang w:val="en-GB"/>
        </w:rPr>
        <w:t>Audit and Risk Committee</w:t>
      </w:r>
    </w:p>
    <w:p w14:paraId="75664087" w14:textId="77777777" w:rsidR="008C3C06" w:rsidRPr="005E5BEF" w:rsidRDefault="008C3C06" w:rsidP="00E00F90">
      <w:pPr>
        <w:pStyle w:val="ListParagraph"/>
        <w:numPr>
          <w:ilvl w:val="0"/>
          <w:numId w:val="20"/>
        </w:numPr>
        <w:jc w:val="both"/>
        <w:rPr>
          <w:rFonts w:ascii="Arial" w:hAnsi="Arial" w:cs="Arial"/>
          <w:sz w:val="20"/>
          <w:szCs w:val="20"/>
          <w:lang w:val="en-GB"/>
        </w:rPr>
      </w:pPr>
      <w:r w:rsidRPr="005E5BEF">
        <w:rPr>
          <w:rFonts w:ascii="Arial" w:hAnsi="Arial" w:cs="Arial"/>
          <w:sz w:val="20"/>
          <w:szCs w:val="20"/>
          <w:lang w:val="en-GB"/>
        </w:rPr>
        <w:t>Nomination and Renumeration Committee</w:t>
      </w:r>
    </w:p>
    <w:p w14:paraId="6EC6643D" w14:textId="77777777" w:rsidR="00203886" w:rsidRPr="005E5BEF" w:rsidRDefault="008C3C06" w:rsidP="00E00F90">
      <w:pPr>
        <w:pStyle w:val="ListParagraph"/>
        <w:numPr>
          <w:ilvl w:val="0"/>
          <w:numId w:val="20"/>
        </w:numPr>
        <w:jc w:val="both"/>
        <w:rPr>
          <w:rFonts w:ascii="Arial" w:hAnsi="Arial" w:cs="Arial"/>
          <w:sz w:val="20"/>
          <w:szCs w:val="20"/>
          <w:lang w:val="en-GB"/>
        </w:rPr>
      </w:pPr>
      <w:r w:rsidRPr="005E5BEF">
        <w:rPr>
          <w:rFonts w:ascii="Arial" w:hAnsi="Arial" w:cs="Arial"/>
          <w:sz w:val="20"/>
          <w:szCs w:val="20"/>
          <w:lang w:val="en-GB"/>
        </w:rPr>
        <w:t>Corporate Trustee</w:t>
      </w:r>
    </w:p>
    <w:bookmarkEnd w:id="12"/>
    <w:p w14:paraId="4C007943" w14:textId="77777777" w:rsidR="00FE08E8" w:rsidRPr="005E5BEF" w:rsidRDefault="00FE08E8" w:rsidP="005E5BEF">
      <w:pPr>
        <w:jc w:val="both"/>
        <w:rPr>
          <w:rFonts w:ascii="Arial" w:hAnsi="Arial" w:cs="Arial"/>
          <w:sz w:val="20"/>
          <w:szCs w:val="20"/>
          <w:lang w:val="en-GB"/>
        </w:rPr>
      </w:pPr>
    </w:p>
    <w:p w14:paraId="4938D7FB" w14:textId="77777777" w:rsidR="000E5B6E" w:rsidRDefault="000E5B6E" w:rsidP="005E5BEF">
      <w:pPr>
        <w:jc w:val="both"/>
        <w:rPr>
          <w:rFonts w:ascii="Arial" w:hAnsi="Arial" w:cs="Arial"/>
          <w:sz w:val="20"/>
          <w:szCs w:val="20"/>
          <w:lang w:val="en-GB"/>
        </w:rPr>
      </w:pPr>
    </w:p>
    <w:p w14:paraId="24C28D74" w14:textId="77777777" w:rsidR="00DD7866" w:rsidRPr="005E5BEF" w:rsidRDefault="00DD7866" w:rsidP="005E5BEF">
      <w:pPr>
        <w:jc w:val="both"/>
        <w:rPr>
          <w:rFonts w:ascii="Arial" w:hAnsi="Arial" w:cs="Arial"/>
          <w:sz w:val="20"/>
          <w:szCs w:val="20"/>
          <w:lang w:val="en-GB"/>
        </w:rPr>
      </w:pPr>
    </w:p>
    <w:p w14:paraId="56B969BD" w14:textId="77777777" w:rsidR="00B71249" w:rsidRPr="005E5BEF" w:rsidRDefault="00B71249" w:rsidP="005E5BEF">
      <w:pPr>
        <w:jc w:val="both"/>
        <w:rPr>
          <w:rFonts w:ascii="Arial" w:hAnsi="Arial" w:cs="Arial"/>
          <w:b/>
          <w:sz w:val="20"/>
          <w:szCs w:val="20"/>
          <w:u w:val="single"/>
          <w:lang w:val="en-GB"/>
        </w:rPr>
      </w:pPr>
      <w:r w:rsidRPr="005E5BEF">
        <w:rPr>
          <w:rFonts w:ascii="Arial" w:hAnsi="Arial" w:cs="Arial"/>
          <w:b/>
          <w:sz w:val="20"/>
          <w:szCs w:val="20"/>
          <w:u w:val="single"/>
          <w:lang w:val="en-GB"/>
        </w:rPr>
        <w:t>Non-voting Associate Non-Executives:</w:t>
      </w:r>
    </w:p>
    <w:p w14:paraId="221A6642" w14:textId="77777777" w:rsidR="00F275E2" w:rsidRPr="005E5BEF" w:rsidRDefault="00F275E2" w:rsidP="005E5BEF">
      <w:pPr>
        <w:pStyle w:val="NormalWeb"/>
        <w:spacing w:before="0" w:beforeAutospacing="0" w:after="0" w:afterAutospacing="0"/>
        <w:jc w:val="both"/>
        <w:rPr>
          <w:rFonts w:ascii="Arial" w:hAnsi="Arial" w:cs="Arial"/>
          <w:sz w:val="20"/>
          <w:szCs w:val="20"/>
        </w:rPr>
      </w:pPr>
    </w:p>
    <w:p w14:paraId="69D1A959" w14:textId="77777777" w:rsidR="00F275E2" w:rsidRPr="005E5BEF" w:rsidRDefault="00696EE6" w:rsidP="005E5BEF">
      <w:pPr>
        <w:pStyle w:val="NormalWeb"/>
        <w:spacing w:before="0" w:beforeAutospacing="0" w:after="0" w:afterAutospacing="0"/>
        <w:jc w:val="both"/>
        <w:rPr>
          <w:rFonts w:ascii="Arial" w:hAnsi="Arial" w:cs="Arial"/>
          <w:b/>
          <w:sz w:val="20"/>
          <w:szCs w:val="20"/>
        </w:rPr>
      </w:pPr>
      <w:r w:rsidRPr="005E5BEF">
        <w:rPr>
          <w:rFonts w:ascii="Arial" w:hAnsi="Arial" w:cs="Arial"/>
          <w:b/>
          <w:sz w:val="20"/>
          <w:szCs w:val="20"/>
        </w:rPr>
        <w:t>Jane Perry</w:t>
      </w:r>
    </w:p>
    <w:p w14:paraId="2B5A9E17" w14:textId="77777777" w:rsidR="00696EE6" w:rsidRPr="005E5BEF" w:rsidRDefault="00F11086" w:rsidP="005E5BEF">
      <w:pPr>
        <w:pStyle w:val="NormalWeb"/>
        <w:spacing w:before="0" w:beforeAutospacing="0" w:after="0" w:afterAutospacing="0"/>
        <w:jc w:val="both"/>
        <w:rPr>
          <w:rFonts w:ascii="Arial" w:hAnsi="Arial" w:cs="Arial"/>
          <w:b/>
          <w:sz w:val="20"/>
          <w:szCs w:val="20"/>
        </w:rPr>
      </w:pPr>
      <w:r w:rsidRPr="005E5BEF">
        <w:rPr>
          <w:rFonts w:ascii="Arial" w:hAnsi="Arial" w:cs="Arial"/>
          <w:b/>
          <w:sz w:val="20"/>
          <w:szCs w:val="20"/>
        </w:rPr>
        <w:t xml:space="preserve">Appointed: </w:t>
      </w:r>
      <w:r w:rsidR="00696EE6" w:rsidRPr="005E5BEF">
        <w:rPr>
          <w:rFonts w:ascii="Arial" w:hAnsi="Arial" w:cs="Arial"/>
          <w:b/>
          <w:sz w:val="20"/>
          <w:szCs w:val="20"/>
        </w:rPr>
        <w:t>Academic Non-Executive Director</w:t>
      </w:r>
      <w:r w:rsidRPr="005E5BEF">
        <w:rPr>
          <w:rFonts w:ascii="Arial" w:hAnsi="Arial" w:cs="Arial"/>
          <w:b/>
          <w:sz w:val="20"/>
          <w:szCs w:val="20"/>
        </w:rPr>
        <w:t xml:space="preserve"> - </w:t>
      </w:r>
      <w:r w:rsidR="00696EE6" w:rsidRPr="005E5BEF">
        <w:rPr>
          <w:rFonts w:ascii="Arial" w:hAnsi="Arial" w:cs="Arial"/>
          <w:b/>
          <w:sz w:val="20"/>
          <w:szCs w:val="20"/>
        </w:rPr>
        <w:t>from 01 November 2024</w:t>
      </w:r>
    </w:p>
    <w:p w14:paraId="4E6F9B44" w14:textId="77777777" w:rsidR="00F11086" w:rsidRPr="005E5BEF" w:rsidRDefault="00F11086" w:rsidP="005E5BEF">
      <w:pPr>
        <w:pStyle w:val="NormalWeb"/>
        <w:spacing w:before="0" w:beforeAutospacing="0" w:after="0" w:afterAutospacing="0"/>
        <w:jc w:val="both"/>
        <w:rPr>
          <w:rFonts w:ascii="Arial" w:hAnsi="Arial" w:cs="Arial"/>
          <w:i/>
          <w:sz w:val="20"/>
          <w:szCs w:val="20"/>
        </w:rPr>
      </w:pPr>
      <w:r w:rsidRPr="005E5BEF">
        <w:rPr>
          <w:rFonts w:ascii="Arial" w:hAnsi="Arial" w:cs="Arial"/>
          <w:i/>
          <w:sz w:val="20"/>
          <w:szCs w:val="20"/>
        </w:rPr>
        <w:t xml:space="preserve">Term: First </w:t>
      </w:r>
    </w:p>
    <w:p w14:paraId="2AA46169" w14:textId="77777777" w:rsidR="00696EE6" w:rsidRDefault="00696EE6" w:rsidP="005E5BEF">
      <w:pPr>
        <w:jc w:val="both"/>
        <w:rPr>
          <w:rFonts w:ascii="Arial" w:hAnsi="Arial" w:cs="Arial"/>
          <w:sz w:val="20"/>
          <w:szCs w:val="20"/>
          <w:lang w:val="en-GB"/>
        </w:rPr>
      </w:pPr>
    </w:p>
    <w:p w14:paraId="7F39CD96" w14:textId="77777777" w:rsidR="00DD7866" w:rsidRPr="00DD7866" w:rsidRDefault="00DD7866" w:rsidP="005E5BEF">
      <w:pPr>
        <w:jc w:val="both"/>
        <w:rPr>
          <w:rFonts w:ascii="Arial" w:hAnsi="Arial" w:cs="Arial"/>
          <w:sz w:val="20"/>
          <w:szCs w:val="20"/>
          <w:u w:val="single"/>
          <w:lang w:val="en-GB"/>
        </w:rPr>
      </w:pPr>
      <w:r>
        <w:rPr>
          <w:rFonts w:ascii="Arial" w:hAnsi="Arial" w:cs="Arial"/>
          <w:noProof/>
          <w:sz w:val="20"/>
          <w:szCs w:val="20"/>
          <w:u w:val="single"/>
          <w:lang w:val="en-GB"/>
        </w:rPr>
        <w:drawing>
          <wp:anchor distT="0" distB="0" distL="114300" distR="114300" simplePos="0" relativeHeight="251808768" behindDoc="0" locked="0" layoutInCell="1" allowOverlap="1" wp14:anchorId="14A134EA" wp14:editId="0777A1BE">
            <wp:simplePos x="0" y="0"/>
            <wp:positionH relativeFrom="column">
              <wp:posOffset>3067001</wp:posOffset>
            </wp:positionH>
            <wp:positionV relativeFrom="paragraph">
              <wp:posOffset>37465</wp:posOffset>
            </wp:positionV>
            <wp:extent cx="2879725" cy="1756410"/>
            <wp:effectExtent l="0" t="0" r="0" b="0"/>
            <wp:wrapSquare wrapText="bothSides"/>
            <wp:docPr id="1556758583" name="Picture 1556758583" descr="Head shot of Jane Per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79725" cy="1756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7866">
        <w:rPr>
          <w:rFonts w:ascii="Arial" w:hAnsi="Arial" w:cs="Arial"/>
          <w:sz w:val="20"/>
          <w:szCs w:val="20"/>
          <w:u w:val="single"/>
          <w:lang w:val="en-GB"/>
        </w:rPr>
        <w:t>Experience and Qualifications</w:t>
      </w:r>
    </w:p>
    <w:p w14:paraId="6790E887" w14:textId="77777777" w:rsidR="000E5B6E" w:rsidRPr="005E5BEF" w:rsidRDefault="00CC17A0" w:rsidP="005E5BEF">
      <w:pPr>
        <w:jc w:val="both"/>
        <w:rPr>
          <w:rFonts w:ascii="Arial" w:hAnsi="Arial" w:cs="Arial"/>
          <w:sz w:val="20"/>
          <w:szCs w:val="20"/>
          <w:lang w:val="en-GB"/>
        </w:rPr>
      </w:pPr>
      <w:r w:rsidRPr="005E5BEF">
        <w:rPr>
          <w:rFonts w:ascii="Arial" w:hAnsi="Arial" w:cs="Arial"/>
          <w:sz w:val="20"/>
          <w:szCs w:val="20"/>
          <w:lang w:val="en-GB"/>
        </w:rPr>
        <w:t>Professor Jane Perry</w:t>
      </w:r>
      <w:r w:rsidR="00F11086" w:rsidRPr="005E5BEF">
        <w:rPr>
          <w:rFonts w:ascii="Arial" w:hAnsi="Arial" w:cs="Arial"/>
          <w:sz w:val="20"/>
          <w:szCs w:val="20"/>
          <w:lang w:val="en-GB"/>
        </w:rPr>
        <w:t>, is</w:t>
      </w:r>
      <w:r w:rsidRPr="005E5BEF">
        <w:rPr>
          <w:rFonts w:ascii="Arial" w:hAnsi="Arial" w:cs="Arial"/>
          <w:sz w:val="20"/>
          <w:szCs w:val="20"/>
          <w:lang w:val="en-GB"/>
        </w:rPr>
        <w:t xml:space="preserve"> Pro-Vice Chancellor and Dean of the Faculty of Medicine Health and Social Care</w:t>
      </w:r>
      <w:r w:rsidR="00F11086" w:rsidRPr="005E5BEF">
        <w:rPr>
          <w:rFonts w:ascii="Arial" w:hAnsi="Arial" w:cs="Arial"/>
          <w:sz w:val="20"/>
          <w:szCs w:val="20"/>
          <w:lang w:val="en-GB"/>
        </w:rPr>
        <w:t xml:space="preserve"> at Canterbury Christ Church University</w:t>
      </w:r>
      <w:r w:rsidRPr="005E5BEF">
        <w:rPr>
          <w:rFonts w:ascii="Arial" w:hAnsi="Arial" w:cs="Arial"/>
          <w:sz w:val="20"/>
          <w:szCs w:val="20"/>
          <w:lang w:val="en-GB"/>
        </w:rPr>
        <w:t>.</w:t>
      </w:r>
      <w:r w:rsidR="00F11086" w:rsidRPr="005E5BEF">
        <w:rPr>
          <w:rFonts w:ascii="Arial" w:hAnsi="Arial" w:cs="Arial"/>
          <w:sz w:val="20"/>
          <w:szCs w:val="20"/>
          <w:lang w:val="en-GB"/>
        </w:rPr>
        <w:t xml:space="preserve">  She</w:t>
      </w:r>
      <w:r w:rsidRPr="005E5BEF">
        <w:rPr>
          <w:rFonts w:ascii="Arial" w:hAnsi="Arial" w:cs="Arial"/>
          <w:sz w:val="20"/>
          <w:szCs w:val="20"/>
          <w:lang w:val="en-GB"/>
        </w:rPr>
        <w:t xml:space="preserve"> is a registered nurse, specialist practitioner, independent prescriber and teacher and has over 40 years’ experience in healthcare.</w:t>
      </w:r>
      <w:r w:rsidR="00F11086" w:rsidRPr="005E5BEF">
        <w:rPr>
          <w:rFonts w:ascii="Arial" w:hAnsi="Arial" w:cs="Arial"/>
          <w:sz w:val="20"/>
          <w:szCs w:val="20"/>
          <w:lang w:val="en-GB"/>
        </w:rPr>
        <w:t xml:space="preserve">  She </w:t>
      </w:r>
      <w:r w:rsidRPr="005E5BEF">
        <w:rPr>
          <w:rFonts w:ascii="Arial" w:hAnsi="Arial" w:cs="Arial"/>
          <w:sz w:val="20"/>
          <w:szCs w:val="20"/>
          <w:lang w:val="en-GB"/>
        </w:rPr>
        <w:t xml:space="preserve">was an advanced nurse practitioner in general practice and early adopter of prescribing rights for nursing, leading the development of the role through becoming a practice educator, National </w:t>
      </w:r>
      <w:r w:rsidR="00F11086" w:rsidRPr="005E5BEF">
        <w:rPr>
          <w:rFonts w:ascii="Arial" w:hAnsi="Arial" w:cs="Arial"/>
          <w:sz w:val="20"/>
          <w:szCs w:val="20"/>
          <w:lang w:val="en-GB"/>
        </w:rPr>
        <w:t>P</w:t>
      </w:r>
      <w:r w:rsidRPr="005E5BEF">
        <w:rPr>
          <w:rFonts w:ascii="Arial" w:hAnsi="Arial" w:cs="Arial"/>
          <w:sz w:val="20"/>
          <w:szCs w:val="20"/>
          <w:lang w:val="en-GB"/>
        </w:rPr>
        <w:t xml:space="preserve">rescribing Centre trainer (now part of NICE) and a Senior Lecturer at the University of Worcester, which was the beginning of a </w:t>
      </w:r>
      <w:r w:rsidR="00F11086" w:rsidRPr="005E5BEF">
        <w:rPr>
          <w:rFonts w:ascii="Arial" w:hAnsi="Arial" w:cs="Arial"/>
          <w:sz w:val="20"/>
          <w:szCs w:val="20"/>
          <w:lang w:val="en-GB"/>
        </w:rPr>
        <w:t>20-year</w:t>
      </w:r>
      <w:r w:rsidRPr="005E5BEF">
        <w:rPr>
          <w:rFonts w:ascii="Arial" w:hAnsi="Arial" w:cs="Arial"/>
          <w:sz w:val="20"/>
          <w:szCs w:val="20"/>
          <w:lang w:val="en-GB"/>
        </w:rPr>
        <w:t xml:space="preserve"> career in Education.</w:t>
      </w:r>
      <w:r w:rsidR="00F11086" w:rsidRPr="005E5BEF">
        <w:rPr>
          <w:rFonts w:ascii="Arial" w:hAnsi="Arial" w:cs="Arial"/>
          <w:sz w:val="20"/>
          <w:szCs w:val="20"/>
          <w:lang w:val="en-GB"/>
        </w:rPr>
        <w:t xml:space="preserve">  She has </w:t>
      </w:r>
      <w:r w:rsidRPr="005E5BEF">
        <w:rPr>
          <w:rFonts w:ascii="Arial" w:hAnsi="Arial" w:cs="Arial"/>
          <w:sz w:val="20"/>
          <w:szCs w:val="20"/>
          <w:lang w:val="en-GB"/>
        </w:rPr>
        <w:t>undertaken a number of Senior Leadership roles in Education and led numerous teams across nursing, allied health and medicine.</w:t>
      </w:r>
      <w:r w:rsidR="00F11086" w:rsidRPr="005E5BEF">
        <w:rPr>
          <w:rFonts w:ascii="Arial" w:hAnsi="Arial" w:cs="Arial"/>
          <w:sz w:val="20"/>
          <w:szCs w:val="20"/>
          <w:lang w:val="en-GB"/>
        </w:rPr>
        <w:t xml:space="preserve">  </w:t>
      </w:r>
      <w:r w:rsidRPr="005E5BEF">
        <w:rPr>
          <w:rFonts w:ascii="Arial" w:hAnsi="Arial" w:cs="Arial"/>
          <w:sz w:val="20"/>
          <w:szCs w:val="20"/>
          <w:lang w:val="en-GB"/>
        </w:rPr>
        <w:t>She has held Dean roles for many years and has undertaken strategic, influential and project roles working with NHSE and the Council of Deans for Health, where she was the England Convenor for</w:t>
      </w:r>
      <w:r w:rsidR="00F11086" w:rsidRPr="005E5BEF">
        <w:rPr>
          <w:rFonts w:ascii="Arial" w:hAnsi="Arial" w:cs="Arial"/>
          <w:sz w:val="20"/>
          <w:szCs w:val="20"/>
          <w:lang w:val="en-GB"/>
        </w:rPr>
        <w:t xml:space="preserve"> four</w:t>
      </w:r>
      <w:r w:rsidRPr="005E5BEF">
        <w:rPr>
          <w:rFonts w:ascii="Arial" w:hAnsi="Arial" w:cs="Arial"/>
          <w:sz w:val="20"/>
          <w:szCs w:val="20"/>
          <w:lang w:val="en-GB"/>
        </w:rPr>
        <w:t xml:space="preserve"> years.</w:t>
      </w:r>
      <w:r w:rsidR="00F11086" w:rsidRPr="005E5BEF">
        <w:rPr>
          <w:rFonts w:ascii="Arial" w:hAnsi="Arial" w:cs="Arial"/>
          <w:sz w:val="20"/>
          <w:szCs w:val="20"/>
          <w:lang w:val="en-GB"/>
        </w:rPr>
        <w:t xml:space="preserve">  She </w:t>
      </w:r>
      <w:r w:rsidRPr="005E5BEF">
        <w:rPr>
          <w:rFonts w:ascii="Arial" w:hAnsi="Arial" w:cs="Arial"/>
          <w:sz w:val="20"/>
          <w:szCs w:val="20"/>
          <w:lang w:val="en-GB"/>
        </w:rPr>
        <w:t>has worked in Nurse Education for many years and has worked closely with the NMC in supporting high quality education.</w:t>
      </w:r>
      <w:r w:rsidR="00F11086" w:rsidRPr="005E5BEF">
        <w:rPr>
          <w:rFonts w:ascii="Arial" w:hAnsi="Arial" w:cs="Arial"/>
          <w:sz w:val="20"/>
          <w:szCs w:val="20"/>
          <w:lang w:val="en-GB"/>
        </w:rPr>
        <w:t xml:space="preserve">  </w:t>
      </w:r>
      <w:r w:rsidRPr="005E5BEF">
        <w:rPr>
          <w:rFonts w:ascii="Arial" w:hAnsi="Arial" w:cs="Arial"/>
          <w:sz w:val="20"/>
          <w:szCs w:val="20"/>
          <w:lang w:val="en-GB"/>
        </w:rPr>
        <w:t>In her most recent role, she has worked in partnership across the Kent and Medway Integrated Care Pathway to support a brand-new nursing and midwifery curriculum that meets the needs of employers, students and patients.</w:t>
      </w:r>
    </w:p>
    <w:p w14:paraId="3D3578C1" w14:textId="77777777" w:rsidR="000E5B6E" w:rsidRDefault="000E5B6E" w:rsidP="005E5BEF">
      <w:pPr>
        <w:jc w:val="both"/>
        <w:rPr>
          <w:rFonts w:ascii="Arial" w:hAnsi="Arial" w:cs="Arial"/>
          <w:sz w:val="20"/>
          <w:szCs w:val="20"/>
          <w:lang w:val="en-GB"/>
        </w:rPr>
      </w:pPr>
    </w:p>
    <w:p w14:paraId="47666BAA" w14:textId="77777777" w:rsidR="000A6E4A" w:rsidRPr="000A6E4A" w:rsidRDefault="000A6E4A" w:rsidP="005E5BEF">
      <w:pPr>
        <w:jc w:val="both"/>
        <w:rPr>
          <w:rFonts w:ascii="Arial" w:hAnsi="Arial" w:cs="Arial"/>
          <w:b/>
          <w:sz w:val="20"/>
          <w:szCs w:val="20"/>
          <w:u w:val="single"/>
          <w:lang w:val="en-GB"/>
        </w:rPr>
      </w:pPr>
      <w:r w:rsidRPr="000A6E4A">
        <w:rPr>
          <w:rFonts w:ascii="Arial" w:hAnsi="Arial" w:cs="Arial"/>
          <w:b/>
          <w:sz w:val="20"/>
          <w:szCs w:val="20"/>
          <w:u w:val="single"/>
          <w:lang w:val="en-GB"/>
        </w:rPr>
        <w:t>Recruitment for 2025/26</w:t>
      </w:r>
    </w:p>
    <w:p w14:paraId="3F3D33A5" w14:textId="77777777" w:rsidR="000A6E4A" w:rsidRPr="000A6E4A" w:rsidRDefault="000A6E4A" w:rsidP="000A6E4A">
      <w:pPr>
        <w:jc w:val="both"/>
        <w:rPr>
          <w:rFonts w:ascii="Arial" w:hAnsi="Arial" w:cs="Arial"/>
          <w:sz w:val="20"/>
          <w:szCs w:val="20"/>
          <w:lang w:val="en-GB"/>
        </w:rPr>
      </w:pPr>
      <w:r w:rsidRPr="000A6E4A">
        <w:rPr>
          <w:rFonts w:ascii="Arial" w:hAnsi="Arial" w:cs="Arial"/>
          <w:sz w:val="20"/>
          <w:szCs w:val="20"/>
          <w:lang w:val="en-GB"/>
        </w:rPr>
        <w:t xml:space="preserve">The Council of Governors, advised by the Council of Governors Nominations Committee, appointed Helen Wiseman and Peter Conway as Non-Executive Director for three years from 01 May 2025.  The roles were advertised externally through </w:t>
      </w:r>
      <w:r>
        <w:rPr>
          <w:rFonts w:ascii="Arial" w:hAnsi="Arial" w:cs="Arial"/>
          <w:sz w:val="20"/>
          <w:szCs w:val="20"/>
          <w:lang w:val="en-GB"/>
        </w:rPr>
        <w:t>‘</w:t>
      </w:r>
      <w:r w:rsidRPr="000A6E4A">
        <w:rPr>
          <w:rFonts w:ascii="Arial" w:hAnsi="Arial" w:cs="Arial"/>
          <w:sz w:val="20"/>
          <w:szCs w:val="20"/>
          <w:lang w:val="en-GB"/>
        </w:rPr>
        <w:t>Alumni Global</w:t>
      </w:r>
      <w:r>
        <w:rPr>
          <w:rFonts w:ascii="Arial" w:hAnsi="Arial" w:cs="Arial"/>
          <w:sz w:val="20"/>
          <w:szCs w:val="20"/>
          <w:lang w:val="en-GB"/>
        </w:rPr>
        <w:t>’</w:t>
      </w:r>
      <w:r w:rsidRPr="000A6E4A">
        <w:rPr>
          <w:rFonts w:ascii="Arial" w:hAnsi="Arial" w:cs="Arial"/>
          <w:sz w:val="20"/>
          <w:szCs w:val="20"/>
          <w:lang w:val="en-GB"/>
        </w:rPr>
        <w:t xml:space="preserve"> recruitment agency.</w:t>
      </w:r>
    </w:p>
    <w:p w14:paraId="29F32772" w14:textId="77777777" w:rsidR="000E5B6E" w:rsidRPr="000A6E4A" w:rsidRDefault="000E5B6E" w:rsidP="005E5BEF">
      <w:pPr>
        <w:jc w:val="both"/>
        <w:rPr>
          <w:rFonts w:ascii="Arial" w:hAnsi="Arial" w:cs="Arial"/>
          <w:sz w:val="20"/>
          <w:szCs w:val="20"/>
          <w:lang w:val="en-GB"/>
        </w:rPr>
      </w:pPr>
    </w:p>
    <w:p w14:paraId="703D0678" w14:textId="77777777" w:rsidR="00696EE6" w:rsidRPr="005E5BEF" w:rsidRDefault="001308AF" w:rsidP="005E5BEF">
      <w:pPr>
        <w:jc w:val="both"/>
        <w:rPr>
          <w:rFonts w:ascii="Arial" w:hAnsi="Arial" w:cs="Arial"/>
          <w:b/>
          <w:sz w:val="20"/>
          <w:szCs w:val="20"/>
          <w:u w:val="single"/>
          <w:lang w:val="en-GB"/>
        </w:rPr>
      </w:pPr>
      <w:r w:rsidRPr="005E5BEF">
        <w:rPr>
          <w:rFonts w:ascii="Arial" w:hAnsi="Arial" w:cs="Arial"/>
          <w:b/>
          <w:sz w:val="20"/>
          <w:szCs w:val="20"/>
          <w:u w:val="single"/>
          <w:lang w:val="en-GB"/>
        </w:rPr>
        <w:t xml:space="preserve">Non-Executive </w:t>
      </w:r>
      <w:r w:rsidR="00F66FD9" w:rsidRPr="005E5BEF">
        <w:rPr>
          <w:rFonts w:ascii="Arial" w:hAnsi="Arial" w:cs="Arial"/>
          <w:b/>
          <w:sz w:val="20"/>
          <w:szCs w:val="20"/>
          <w:u w:val="single"/>
          <w:lang w:val="en-GB"/>
        </w:rPr>
        <w:t xml:space="preserve">Leavers </w:t>
      </w:r>
    </w:p>
    <w:p w14:paraId="702E236D" w14:textId="77777777" w:rsidR="00F66FD9" w:rsidRPr="005E5BEF" w:rsidRDefault="00F66FD9" w:rsidP="005E5BEF">
      <w:pPr>
        <w:jc w:val="both"/>
        <w:rPr>
          <w:rFonts w:ascii="Arial" w:hAnsi="Arial" w:cs="Arial"/>
          <w:sz w:val="20"/>
          <w:szCs w:val="20"/>
          <w:lang w:val="en-GB"/>
        </w:rPr>
      </w:pPr>
    </w:p>
    <w:p w14:paraId="3511F3ED" w14:textId="77777777" w:rsidR="00F66FD9" w:rsidRPr="005E5BEF" w:rsidRDefault="00F66FD9" w:rsidP="005E5BEF">
      <w:pPr>
        <w:jc w:val="both"/>
        <w:rPr>
          <w:rFonts w:ascii="Arial" w:hAnsi="Arial" w:cs="Arial"/>
          <w:b/>
          <w:sz w:val="20"/>
          <w:szCs w:val="20"/>
          <w:lang w:val="en-GB"/>
        </w:rPr>
      </w:pPr>
      <w:r w:rsidRPr="005E5BEF">
        <w:rPr>
          <w:rFonts w:ascii="Arial" w:hAnsi="Arial" w:cs="Arial"/>
          <w:b/>
          <w:sz w:val="20"/>
          <w:szCs w:val="20"/>
          <w:lang w:val="en-GB"/>
        </w:rPr>
        <w:t>Adrian Ward</w:t>
      </w:r>
    </w:p>
    <w:p w14:paraId="0CC79129" w14:textId="77777777" w:rsidR="00F66FD9" w:rsidRPr="005E5BEF" w:rsidRDefault="001308AF" w:rsidP="005E5BEF">
      <w:pPr>
        <w:jc w:val="both"/>
        <w:rPr>
          <w:rFonts w:ascii="Arial" w:hAnsi="Arial" w:cs="Arial"/>
          <w:sz w:val="20"/>
          <w:szCs w:val="20"/>
          <w:lang w:val="en-GB"/>
        </w:rPr>
      </w:pPr>
      <w:r w:rsidRPr="005E5BEF">
        <w:rPr>
          <w:rFonts w:ascii="Arial" w:hAnsi="Arial" w:cs="Arial"/>
          <w:sz w:val="20"/>
          <w:szCs w:val="20"/>
          <w:lang w:val="en-GB"/>
        </w:rPr>
        <w:t xml:space="preserve">Appointed 01 August 2017, </w:t>
      </w:r>
      <w:r w:rsidR="00F66FD9" w:rsidRPr="005E5BEF">
        <w:rPr>
          <w:rFonts w:ascii="Arial" w:hAnsi="Arial" w:cs="Arial"/>
          <w:sz w:val="20"/>
          <w:szCs w:val="20"/>
          <w:lang w:val="en-GB"/>
        </w:rPr>
        <w:t>Non-Executive Director</w:t>
      </w:r>
      <w:r w:rsidR="000E5B6E" w:rsidRPr="005E5BEF">
        <w:rPr>
          <w:rFonts w:ascii="Arial" w:hAnsi="Arial" w:cs="Arial"/>
          <w:sz w:val="20"/>
          <w:szCs w:val="20"/>
          <w:lang w:val="en-GB"/>
        </w:rPr>
        <w:t xml:space="preserve"> to 31 July 2024 (term ended)</w:t>
      </w:r>
    </w:p>
    <w:p w14:paraId="5F187F00" w14:textId="77777777" w:rsidR="00F66FD9" w:rsidRPr="005E5BEF" w:rsidRDefault="00F66FD9" w:rsidP="005E5BEF">
      <w:pPr>
        <w:jc w:val="both"/>
        <w:rPr>
          <w:rFonts w:ascii="Arial" w:hAnsi="Arial" w:cs="Arial"/>
          <w:sz w:val="20"/>
          <w:szCs w:val="20"/>
          <w:lang w:val="en-GB"/>
        </w:rPr>
      </w:pPr>
      <w:r w:rsidRPr="005E5BEF">
        <w:rPr>
          <w:rFonts w:ascii="Arial" w:hAnsi="Arial" w:cs="Arial"/>
          <w:sz w:val="20"/>
          <w:szCs w:val="20"/>
          <w:lang w:val="en-GB"/>
        </w:rPr>
        <w:t>Non-Executive Director for Freedom to Speak Up</w:t>
      </w:r>
    </w:p>
    <w:p w14:paraId="49CD0A2D" w14:textId="77777777" w:rsidR="000F461C" w:rsidRPr="005E5BEF" w:rsidRDefault="000F461C" w:rsidP="005E5BEF">
      <w:pPr>
        <w:jc w:val="both"/>
        <w:rPr>
          <w:rFonts w:ascii="Arial" w:hAnsi="Arial" w:cs="Arial"/>
          <w:b/>
          <w:color w:val="FF0000"/>
          <w:sz w:val="20"/>
          <w:szCs w:val="20"/>
          <w:lang w:val="en-GB"/>
        </w:rPr>
      </w:pPr>
    </w:p>
    <w:p w14:paraId="5A0C3EC2" w14:textId="77777777" w:rsidR="0008360F" w:rsidRPr="005E5BEF" w:rsidRDefault="0008360F" w:rsidP="005E5BEF">
      <w:pPr>
        <w:jc w:val="both"/>
        <w:rPr>
          <w:rFonts w:ascii="Arial" w:hAnsi="Arial" w:cs="Arial"/>
          <w:b/>
          <w:sz w:val="20"/>
          <w:szCs w:val="20"/>
          <w:lang w:val="en-GB"/>
        </w:rPr>
      </w:pPr>
      <w:r w:rsidRPr="005E5BEF">
        <w:rPr>
          <w:rFonts w:ascii="Arial" w:hAnsi="Arial" w:cs="Arial"/>
          <w:b/>
          <w:sz w:val="20"/>
          <w:szCs w:val="20"/>
          <w:lang w:val="en-GB"/>
        </w:rPr>
        <w:t>Chris Burton</w:t>
      </w:r>
    </w:p>
    <w:p w14:paraId="22D06D39" w14:textId="77777777" w:rsidR="0008360F" w:rsidRDefault="0008360F" w:rsidP="005E5BEF">
      <w:pPr>
        <w:jc w:val="both"/>
        <w:rPr>
          <w:rFonts w:ascii="Arial" w:hAnsi="Arial" w:cs="Arial"/>
          <w:sz w:val="20"/>
          <w:szCs w:val="20"/>
          <w:lang w:val="en-GB"/>
        </w:rPr>
      </w:pPr>
      <w:r w:rsidRPr="005E5BEF">
        <w:rPr>
          <w:rFonts w:ascii="Arial" w:hAnsi="Arial" w:cs="Arial"/>
          <w:sz w:val="20"/>
          <w:szCs w:val="20"/>
          <w:lang w:val="en-GB"/>
        </w:rPr>
        <w:t>Academic Non-Executive Director (from 01 February 2024 to 31 October 2024)</w:t>
      </w:r>
    </w:p>
    <w:p w14:paraId="30FAE7E5" w14:textId="77777777" w:rsidR="00A43A2C" w:rsidRDefault="00A43A2C" w:rsidP="005E5BEF">
      <w:pPr>
        <w:jc w:val="both"/>
        <w:rPr>
          <w:rFonts w:ascii="Arial" w:hAnsi="Arial" w:cs="Arial"/>
          <w:sz w:val="20"/>
          <w:szCs w:val="20"/>
          <w:lang w:val="en-GB"/>
        </w:rPr>
      </w:pPr>
    </w:p>
    <w:p w14:paraId="249EFAE9" w14:textId="77777777" w:rsidR="00A43A2C" w:rsidRPr="005E5BEF" w:rsidRDefault="00A43A2C" w:rsidP="00A43A2C">
      <w:pPr>
        <w:jc w:val="both"/>
        <w:rPr>
          <w:rFonts w:ascii="Arial" w:hAnsi="Arial" w:cs="Arial"/>
          <w:b/>
          <w:sz w:val="20"/>
          <w:szCs w:val="20"/>
          <w:lang w:val="en-GB"/>
        </w:rPr>
      </w:pPr>
      <w:r w:rsidRPr="005E5BEF">
        <w:rPr>
          <w:rFonts w:ascii="Arial" w:hAnsi="Arial" w:cs="Arial"/>
          <w:b/>
          <w:sz w:val="20"/>
          <w:szCs w:val="20"/>
          <w:lang w:val="en-GB"/>
        </w:rPr>
        <w:t>Mark Spragg</w:t>
      </w:r>
    </w:p>
    <w:p w14:paraId="020C7166" w14:textId="77777777" w:rsidR="00A43A2C" w:rsidRPr="005E5BEF" w:rsidRDefault="00A43A2C" w:rsidP="00A43A2C">
      <w:pPr>
        <w:jc w:val="both"/>
        <w:rPr>
          <w:rFonts w:ascii="Arial" w:hAnsi="Arial" w:cs="Arial"/>
          <w:sz w:val="20"/>
          <w:szCs w:val="20"/>
          <w:lang w:val="en-GB"/>
        </w:rPr>
      </w:pPr>
      <w:r w:rsidRPr="005E5BEF">
        <w:rPr>
          <w:rFonts w:ascii="Arial" w:hAnsi="Arial" w:cs="Arial"/>
          <w:sz w:val="20"/>
          <w:szCs w:val="20"/>
          <w:lang w:val="en-GB"/>
        </w:rPr>
        <w:t>Acting Chair from 01 November 2023 to 30 June 2024 (resigned)</w:t>
      </w:r>
    </w:p>
    <w:p w14:paraId="326704BC" w14:textId="77777777" w:rsidR="00A43A2C" w:rsidRPr="005E5BEF" w:rsidRDefault="00A43A2C" w:rsidP="00A43A2C">
      <w:pPr>
        <w:jc w:val="both"/>
        <w:rPr>
          <w:rFonts w:ascii="Arial" w:hAnsi="Arial" w:cs="Arial"/>
          <w:sz w:val="20"/>
          <w:szCs w:val="20"/>
          <w:lang w:val="en-GB"/>
        </w:rPr>
      </w:pPr>
      <w:r w:rsidRPr="005E5BEF">
        <w:rPr>
          <w:rFonts w:ascii="Arial" w:hAnsi="Arial" w:cs="Arial"/>
          <w:sz w:val="20"/>
          <w:szCs w:val="20"/>
          <w:lang w:val="en-GB"/>
        </w:rPr>
        <w:t>Appointed 01 April 2017, Non-Executive Director</w:t>
      </w:r>
    </w:p>
    <w:p w14:paraId="352D805C" w14:textId="77777777" w:rsidR="00A43A2C" w:rsidRPr="005E5BEF" w:rsidRDefault="00A43A2C" w:rsidP="00A43A2C">
      <w:pPr>
        <w:jc w:val="both"/>
        <w:rPr>
          <w:rFonts w:ascii="Arial" w:hAnsi="Arial" w:cs="Arial"/>
          <w:sz w:val="20"/>
          <w:szCs w:val="20"/>
          <w:lang w:val="en-GB"/>
        </w:rPr>
      </w:pPr>
      <w:r w:rsidRPr="005E5BEF">
        <w:rPr>
          <w:rFonts w:ascii="Arial" w:hAnsi="Arial" w:cs="Arial"/>
          <w:sz w:val="20"/>
          <w:szCs w:val="20"/>
          <w:lang w:val="en-GB"/>
        </w:rPr>
        <w:t>Deputy Chair and Senior Independent Director</w:t>
      </w:r>
    </w:p>
    <w:p w14:paraId="2DA20EA8" w14:textId="77777777" w:rsidR="00A43A2C" w:rsidRPr="005E5BEF" w:rsidRDefault="00A43A2C" w:rsidP="00A43A2C">
      <w:pPr>
        <w:jc w:val="both"/>
        <w:rPr>
          <w:rFonts w:ascii="Arial" w:hAnsi="Arial" w:cs="Arial"/>
          <w:sz w:val="20"/>
          <w:szCs w:val="20"/>
          <w:lang w:val="en-GB"/>
        </w:rPr>
      </w:pPr>
    </w:p>
    <w:p w14:paraId="3D191694" w14:textId="77777777" w:rsidR="00A43A2C" w:rsidRPr="005E5BEF" w:rsidRDefault="00A43A2C" w:rsidP="00A43A2C">
      <w:pPr>
        <w:jc w:val="both"/>
        <w:rPr>
          <w:rFonts w:ascii="Arial" w:hAnsi="Arial" w:cs="Arial"/>
          <w:b/>
          <w:sz w:val="20"/>
          <w:szCs w:val="20"/>
          <w:lang w:val="en-GB"/>
        </w:rPr>
      </w:pPr>
      <w:r w:rsidRPr="005E5BEF">
        <w:rPr>
          <w:rFonts w:ascii="Arial" w:hAnsi="Arial" w:cs="Arial"/>
          <w:b/>
          <w:sz w:val="20"/>
          <w:szCs w:val="20"/>
          <w:lang w:val="en-GB"/>
        </w:rPr>
        <w:t>Sue Mackenzie</w:t>
      </w:r>
    </w:p>
    <w:p w14:paraId="0683F38D" w14:textId="77777777" w:rsidR="00A43A2C" w:rsidRPr="005E5BEF" w:rsidRDefault="00A43A2C" w:rsidP="00A43A2C">
      <w:pPr>
        <w:jc w:val="both"/>
        <w:rPr>
          <w:rFonts w:ascii="Arial" w:hAnsi="Arial" w:cs="Arial"/>
          <w:color w:val="FF0000"/>
          <w:sz w:val="20"/>
          <w:szCs w:val="20"/>
          <w:lang w:val="en-GB"/>
        </w:rPr>
      </w:pPr>
      <w:r w:rsidRPr="005E5BEF">
        <w:rPr>
          <w:rFonts w:ascii="Arial" w:hAnsi="Arial" w:cs="Arial"/>
          <w:sz w:val="20"/>
          <w:szCs w:val="20"/>
          <w:lang w:val="en-GB"/>
        </w:rPr>
        <w:t>Appointed 01 April 2020, Non-Executive Director to 31 March 2024 (resigned)</w:t>
      </w:r>
    </w:p>
    <w:p w14:paraId="0F231C27" w14:textId="77777777" w:rsidR="00A43A2C" w:rsidRPr="005E5BEF" w:rsidRDefault="00A43A2C" w:rsidP="00A43A2C">
      <w:pPr>
        <w:jc w:val="both"/>
        <w:rPr>
          <w:rFonts w:ascii="Arial" w:hAnsi="Arial" w:cs="Arial"/>
          <w:sz w:val="20"/>
          <w:szCs w:val="20"/>
          <w:lang w:val="en-GB"/>
        </w:rPr>
      </w:pPr>
      <w:r w:rsidRPr="005E5BEF">
        <w:rPr>
          <w:rFonts w:ascii="Arial" w:hAnsi="Arial" w:cs="Arial"/>
          <w:sz w:val="20"/>
          <w:szCs w:val="20"/>
          <w:lang w:val="en-GB"/>
        </w:rPr>
        <w:t>Acting Senior Independent Director from 01 November 2023</w:t>
      </w:r>
    </w:p>
    <w:p w14:paraId="50FBB2EC" w14:textId="77777777" w:rsidR="00F13EBC" w:rsidRPr="00C83699" w:rsidRDefault="00311215" w:rsidP="00C82CB3">
      <w:pPr>
        <w:jc w:val="both"/>
        <w:rPr>
          <w:rFonts w:ascii="Arial" w:hAnsi="Arial" w:cs="Arial"/>
          <w:b/>
          <w:sz w:val="20"/>
          <w:szCs w:val="20"/>
          <w:lang w:val="en-GB"/>
        </w:rPr>
      </w:pPr>
      <w:r w:rsidRPr="00C83699">
        <w:rPr>
          <w:rFonts w:ascii="Arial" w:hAnsi="Arial" w:cs="Arial"/>
          <w:b/>
          <w:sz w:val="20"/>
          <w:szCs w:val="20"/>
          <w:u w:val="single"/>
          <w:lang w:val="en-GB"/>
        </w:rPr>
        <w:lastRenderedPageBreak/>
        <w:t>Executive Directors</w:t>
      </w:r>
      <w:r w:rsidR="00EA24BF" w:rsidRPr="00C83699">
        <w:rPr>
          <w:rFonts w:ascii="Arial" w:hAnsi="Arial" w:cs="Arial"/>
          <w:b/>
          <w:sz w:val="20"/>
          <w:szCs w:val="20"/>
          <w:lang w:val="en-GB"/>
        </w:rPr>
        <w:t xml:space="preserve"> </w:t>
      </w:r>
    </w:p>
    <w:p w14:paraId="630BEEC2" w14:textId="77777777" w:rsidR="00EA24BF" w:rsidRPr="00C83699" w:rsidRDefault="00EA24BF" w:rsidP="00C82CB3">
      <w:pPr>
        <w:jc w:val="both"/>
        <w:rPr>
          <w:rFonts w:ascii="Arial" w:hAnsi="Arial" w:cs="Arial"/>
          <w:sz w:val="20"/>
          <w:szCs w:val="20"/>
          <w:lang w:val="en-GB"/>
        </w:rPr>
      </w:pPr>
    </w:p>
    <w:p w14:paraId="5BD37F50" w14:textId="77777777" w:rsidR="00CF0342" w:rsidRPr="00C83699" w:rsidRDefault="003642ED" w:rsidP="00C82CB3">
      <w:pPr>
        <w:jc w:val="both"/>
        <w:rPr>
          <w:rFonts w:ascii="Arial" w:hAnsi="Arial" w:cs="Arial"/>
          <w:b/>
          <w:color w:val="FF0000"/>
          <w:sz w:val="20"/>
          <w:szCs w:val="20"/>
          <w:u w:val="single"/>
          <w:lang w:val="en-GB"/>
        </w:rPr>
      </w:pPr>
      <w:r w:rsidRPr="00C83699">
        <w:rPr>
          <w:rFonts w:ascii="Arial" w:hAnsi="Arial" w:cs="Arial"/>
          <w:b/>
          <w:sz w:val="20"/>
          <w:szCs w:val="20"/>
          <w:lang w:val="en-GB"/>
        </w:rPr>
        <w:t>Jayne Black,</w:t>
      </w:r>
      <w:r w:rsidR="00010A15" w:rsidRPr="00C83699">
        <w:rPr>
          <w:rFonts w:ascii="Arial" w:hAnsi="Arial" w:cs="Arial"/>
          <w:b/>
          <w:sz w:val="20"/>
          <w:szCs w:val="20"/>
          <w:lang w:val="en-GB"/>
        </w:rPr>
        <w:t xml:space="preserve"> Chief Executive</w:t>
      </w:r>
      <w:r w:rsidR="00FE7423" w:rsidRPr="00C83699">
        <w:rPr>
          <w:rFonts w:ascii="Arial" w:hAnsi="Arial" w:cs="Arial"/>
          <w:sz w:val="20"/>
          <w:szCs w:val="20"/>
          <w:lang w:val="en-GB"/>
        </w:rPr>
        <w:t xml:space="preserve"> </w:t>
      </w:r>
    </w:p>
    <w:p w14:paraId="5BC7FD0C" w14:textId="77777777" w:rsidR="00C82CB3" w:rsidRDefault="00C82CB3" w:rsidP="00D50222">
      <w:pPr>
        <w:shd w:val="clear" w:color="auto" w:fill="FFFFFF"/>
        <w:jc w:val="both"/>
      </w:pPr>
      <w:r>
        <w:rPr>
          <w:noProof/>
        </w:rPr>
        <w:drawing>
          <wp:anchor distT="0" distB="0" distL="114300" distR="114300" simplePos="0" relativeHeight="251809792" behindDoc="0" locked="0" layoutInCell="1" allowOverlap="1" wp14:anchorId="1384BA5C" wp14:editId="65EE2812">
            <wp:simplePos x="0" y="0"/>
            <wp:positionH relativeFrom="column">
              <wp:posOffset>2973412</wp:posOffset>
            </wp:positionH>
            <wp:positionV relativeFrom="paragraph">
              <wp:posOffset>100575</wp:posOffset>
            </wp:positionV>
            <wp:extent cx="2879725" cy="1756410"/>
            <wp:effectExtent l="0" t="0" r="0" b="0"/>
            <wp:wrapSquare wrapText="bothSides"/>
            <wp:docPr id="1556758584" name="Picture 1556758584" descr="Head shot of Jayne Bla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ompany Secretariat\Board Meetings\Pictures of Board Members\Jayne Black.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79725" cy="1756410"/>
                    </a:xfrm>
                    <a:prstGeom prst="rect">
                      <a:avLst/>
                    </a:prstGeom>
                    <a:noFill/>
                    <a:ln>
                      <a:noFill/>
                    </a:ln>
                  </pic:spPr>
                </pic:pic>
              </a:graphicData>
            </a:graphic>
            <wp14:sizeRelH relativeFrom="page">
              <wp14:pctWidth>0</wp14:pctWidth>
            </wp14:sizeRelH>
            <wp14:sizeRelV relativeFrom="page">
              <wp14:pctHeight>0</wp14:pctHeight>
            </wp14:sizeRelV>
          </wp:anchor>
        </w:drawing>
      </w:r>
      <w:r w:rsidR="00CF0342" w:rsidRPr="00C83699">
        <w:rPr>
          <w:rFonts w:ascii="Arial" w:hAnsi="Arial" w:cs="Arial"/>
          <w:sz w:val="20"/>
          <w:szCs w:val="20"/>
          <w:u w:val="single"/>
        </w:rPr>
        <w:t>Experience and Qualifications</w:t>
      </w:r>
      <w:r w:rsidR="00CF0342" w:rsidRPr="00C83699">
        <w:rPr>
          <w:rFonts w:ascii="Arial" w:hAnsi="Arial" w:cs="Arial"/>
          <w:color w:val="231F20"/>
          <w:sz w:val="20"/>
          <w:szCs w:val="20"/>
          <w:u w:val="single"/>
        </w:rPr>
        <w:t xml:space="preserve"> </w:t>
      </w:r>
    </w:p>
    <w:p w14:paraId="22439F29" w14:textId="77777777" w:rsidR="00CF0342" w:rsidRPr="00C83699" w:rsidRDefault="00CF0342" w:rsidP="00C82CB3">
      <w:pPr>
        <w:shd w:val="clear" w:color="auto" w:fill="FFFFFF"/>
        <w:jc w:val="both"/>
        <w:rPr>
          <w:rFonts w:ascii="Arial" w:hAnsi="Arial" w:cs="Arial"/>
          <w:sz w:val="20"/>
          <w:szCs w:val="20"/>
          <w:lang w:val="en-GB" w:eastAsia="en-GB"/>
        </w:rPr>
      </w:pPr>
      <w:r w:rsidRPr="00C83699">
        <w:rPr>
          <w:rFonts w:ascii="Arial" w:hAnsi="Arial" w:cs="Arial"/>
          <w:sz w:val="20"/>
          <w:szCs w:val="20"/>
          <w:lang w:val="en-GB" w:eastAsia="en-GB"/>
        </w:rPr>
        <w:t>Jayne became the Trust’s Chief Executive in August 2022.</w:t>
      </w:r>
      <w:r w:rsidR="00506CFA">
        <w:rPr>
          <w:rFonts w:ascii="Arial" w:hAnsi="Arial" w:cs="Arial"/>
          <w:sz w:val="20"/>
          <w:szCs w:val="20"/>
          <w:lang w:val="en-GB" w:eastAsia="en-GB"/>
        </w:rPr>
        <w:t xml:space="preserve">  She</w:t>
      </w:r>
      <w:r w:rsidRPr="00C83699">
        <w:rPr>
          <w:rFonts w:ascii="Arial" w:hAnsi="Arial" w:cs="Arial"/>
          <w:sz w:val="20"/>
          <w:szCs w:val="20"/>
          <w:lang w:val="en-GB" w:eastAsia="en-GB"/>
        </w:rPr>
        <w:t xml:space="preserve"> originally joined the Trust in November 2021 as Chief Operating Officer before becoming Interim Chief Executive in June 2022.</w:t>
      </w:r>
    </w:p>
    <w:p w14:paraId="173DADA8" w14:textId="77777777" w:rsidR="00437F36" w:rsidRPr="00C83699" w:rsidRDefault="00506CFA" w:rsidP="00C82CB3">
      <w:pPr>
        <w:shd w:val="clear" w:color="auto" w:fill="FFFFFF"/>
        <w:jc w:val="both"/>
        <w:rPr>
          <w:rFonts w:ascii="Arial" w:hAnsi="Arial" w:cs="Arial"/>
          <w:sz w:val="20"/>
          <w:szCs w:val="20"/>
          <w:lang w:val="en-GB" w:eastAsia="en-GB"/>
        </w:rPr>
      </w:pPr>
      <w:r>
        <w:rPr>
          <w:rFonts w:ascii="Arial" w:hAnsi="Arial" w:cs="Arial"/>
          <w:sz w:val="20"/>
          <w:szCs w:val="20"/>
          <w:lang w:val="en-GB" w:eastAsia="en-GB"/>
        </w:rPr>
        <w:t>She</w:t>
      </w:r>
      <w:r w:rsidR="00CF0342" w:rsidRPr="00C83699">
        <w:rPr>
          <w:rFonts w:ascii="Arial" w:hAnsi="Arial" w:cs="Arial"/>
          <w:sz w:val="20"/>
          <w:szCs w:val="20"/>
          <w:lang w:val="en-GB" w:eastAsia="en-GB"/>
        </w:rPr>
        <w:t xml:space="preserve"> has considerable NHS leadership experience and is a trained nurse by background.</w:t>
      </w:r>
      <w:r>
        <w:rPr>
          <w:rFonts w:ascii="Arial" w:hAnsi="Arial" w:cs="Arial"/>
          <w:sz w:val="20"/>
          <w:szCs w:val="20"/>
          <w:lang w:val="en-GB" w:eastAsia="en-GB"/>
        </w:rPr>
        <w:t xml:space="preserve">  </w:t>
      </w:r>
      <w:r w:rsidR="00CF0342" w:rsidRPr="00C83699">
        <w:rPr>
          <w:rFonts w:ascii="Arial" w:hAnsi="Arial" w:cs="Arial"/>
          <w:sz w:val="20"/>
          <w:szCs w:val="20"/>
          <w:lang w:val="en-GB" w:eastAsia="en-GB"/>
        </w:rPr>
        <w:t>She has worked across acute, community and the wider system throughout her career, in a variety of roles</w:t>
      </w:r>
      <w:r w:rsidR="007E2F2A" w:rsidRPr="00C83699">
        <w:rPr>
          <w:rFonts w:ascii="Arial" w:hAnsi="Arial" w:cs="Arial"/>
          <w:sz w:val="20"/>
          <w:szCs w:val="20"/>
          <w:lang w:val="en-GB" w:eastAsia="en-GB"/>
        </w:rPr>
        <w:t xml:space="preserve">.  </w:t>
      </w:r>
    </w:p>
    <w:p w14:paraId="343BBDA1" w14:textId="77777777" w:rsidR="007E2F2A" w:rsidRPr="00C83699" w:rsidRDefault="007E2F2A" w:rsidP="00C82CB3">
      <w:pPr>
        <w:shd w:val="clear" w:color="auto" w:fill="FFFFFF"/>
        <w:jc w:val="both"/>
        <w:rPr>
          <w:rFonts w:ascii="Arial" w:hAnsi="Arial" w:cs="Arial"/>
          <w:sz w:val="20"/>
          <w:szCs w:val="20"/>
          <w:lang w:val="en-GB" w:eastAsia="en-GB"/>
        </w:rPr>
      </w:pPr>
    </w:p>
    <w:p w14:paraId="72E69AC8" w14:textId="77777777" w:rsidR="008C3C06" w:rsidRPr="00696EE6" w:rsidRDefault="008C3C06" w:rsidP="00C82CB3">
      <w:pPr>
        <w:shd w:val="clear" w:color="auto" w:fill="FFFFFF"/>
        <w:jc w:val="both"/>
        <w:rPr>
          <w:rFonts w:ascii="Arial" w:hAnsi="Arial" w:cs="Arial"/>
          <w:sz w:val="20"/>
          <w:szCs w:val="20"/>
          <w:highlight w:val="yellow"/>
          <w:lang w:val="en-GB" w:eastAsia="en-GB"/>
        </w:rPr>
      </w:pPr>
    </w:p>
    <w:p w14:paraId="13CCEDEF" w14:textId="77777777" w:rsidR="00CA1963" w:rsidRPr="00696EE6" w:rsidRDefault="00CA1963" w:rsidP="00C82CB3">
      <w:pPr>
        <w:jc w:val="both"/>
        <w:rPr>
          <w:rFonts w:ascii="Arial" w:hAnsi="Arial" w:cs="Arial"/>
          <w:b/>
          <w:sz w:val="20"/>
          <w:szCs w:val="20"/>
          <w:highlight w:val="yellow"/>
          <w:lang w:val="en-GB"/>
        </w:rPr>
      </w:pPr>
    </w:p>
    <w:p w14:paraId="37D0A64B" w14:textId="77777777" w:rsidR="00C82CB3" w:rsidRDefault="00C82CB3" w:rsidP="00C82CB3">
      <w:pPr>
        <w:pStyle w:val="NormalWeb"/>
        <w:spacing w:before="0" w:beforeAutospacing="0" w:after="0" w:afterAutospacing="0"/>
        <w:jc w:val="both"/>
        <w:rPr>
          <w:rFonts w:ascii="Arial" w:hAnsi="Arial" w:cs="Arial"/>
          <w:b/>
          <w:sz w:val="20"/>
          <w:szCs w:val="20"/>
        </w:rPr>
      </w:pPr>
    </w:p>
    <w:p w14:paraId="5A885520" w14:textId="77777777" w:rsidR="00B729D4" w:rsidRDefault="00B729D4" w:rsidP="00C82CB3">
      <w:pPr>
        <w:pStyle w:val="NormalWeb"/>
        <w:spacing w:before="0" w:beforeAutospacing="0" w:after="0" w:afterAutospacing="0"/>
        <w:jc w:val="both"/>
        <w:rPr>
          <w:rFonts w:ascii="Arial" w:hAnsi="Arial" w:cs="Arial"/>
          <w:sz w:val="20"/>
          <w:szCs w:val="20"/>
        </w:rPr>
      </w:pPr>
      <w:r w:rsidRPr="000859BC">
        <w:rPr>
          <w:rFonts w:ascii="Arial" w:hAnsi="Arial" w:cs="Arial"/>
          <w:b/>
          <w:sz w:val="20"/>
          <w:szCs w:val="20"/>
        </w:rPr>
        <w:t>Simon Wombwell, Chief Finance Officer – Interim</w:t>
      </w:r>
      <w:r>
        <w:rPr>
          <w:rFonts w:ascii="Arial" w:hAnsi="Arial" w:cs="Arial"/>
          <w:sz w:val="20"/>
          <w:szCs w:val="20"/>
        </w:rPr>
        <w:t xml:space="preserve"> (from 01 January 2025</w:t>
      </w:r>
      <w:r w:rsidRPr="00B729D4">
        <w:rPr>
          <w:rFonts w:ascii="Arial" w:hAnsi="Arial" w:cs="Arial"/>
          <w:sz w:val="20"/>
          <w:szCs w:val="20"/>
        </w:rPr>
        <w:t xml:space="preserve">) </w:t>
      </w:r>
    </w:p>
    <w:p w14:paraId="3B368A36" w14:textId="77777777" w:rsidR="00C82CB3" w:rsidRDefault="00C82CB3" w:rsidP="00C82CB3">
      <w:pPr>
        <w:pStyle w:val="NormalWeb"/>
        <w:spacing w:before="0" w:beforeAutospacing="0" w:after="0" w:afterAutospacing="0"/>
        <w:jc w:val="both"/>
      </w:pPr>
      <w:r>
        <w:rPr>
          <w:noProof/>
        </w:rPr>
        <w:drawing>
          <wp:anchor distT="0" distB="0" distL="114300" distR="114300" simplePos="0" relativeHeight="251810816" behindDoc="0" locked="0" layoutInCell="1" allowOverlap="1" wp14:anchorId="7C8433C5" wp14:editId="76C308B8">
            <wp:simplePos x="0" y="0"/>
            <wp:positionH relativeFrom="column">
              <wp:posOffset>2973754</wp:posOffset>
            </wp:positionH>
            <wp:positionV relativeFrom="paragraph">
              <wp:posOffset>99109</wp:posOffset>
            </wp:positionV>
            <wp:extent cx="2879725" cy="1756410"/>
            <wp:effectExtent l="0" t="0" r="0" b="0"/>
            <wp:wrapSquare wrapText="bothSides"/>
            <wp:docPr id="1556758585" name="Picture 1556758585" descr="Head shot of Simon Womb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ompany Secretariat\Board Meetings\Pictures of Board Members\Simon Wombwell.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79725" cy="1756410"/>
                    </a:xfrm>
                    <a:prstGeom prst="rect">
                      <a:avLst/>
                    </a:prstGeom>
                    <a:noFill/>
                    <a:ln>
                      <a:noFill/>
                    </a:ln>
                  </pic:spPr>
                </pic:pic>
              </a:graphicData>
            </a:graphic>
            <wp14:sizeRelH relativeFrom="page">
              <wp14:pctWidth>0</wp14:pctWidth>
            </wp14:sizeRelH>
            <wp14:sizeRelV relativeFrom="page">
              <wp14:pctHeight>0</wp14:pctHeight>
            </wp14:sizeRelV>
          </wp:anchor>
        </w:drawing>
      </w:r>
      <w:r w:rsidR="00B729D4" w:rsidRPr="00B729D4">
        <w:rPr>
          <w:rFonts w:ascii="Arial" w:hAnsi="Arial" w:cs="Arial"/>
          <w:sz w:val="20"/>
          <w:szCs w:val="20"/>
          <w:u w:val="single"/>
        </w:rPr>
        <w:t>Experience and Qualifications</w:t>
      </w:r>
    </w:p>
    <w:p w14:paraId="36610E70" w14:textId="77777777" w:rsidR="00B729D4" w:rsidRDefault="00B729D4" w:rsidP="00C82CB3">
      <w:pPr>
        <w:pStyle w:val="NormalWeb"/>
        <w:spacing w:before="0" w:beforeAutospacing="0" w:after="0" w:afterAutospacing="0"/>
        <w:jc w:val="both"/>
        <w:rPr>
          <w:rFonts w:ascii="Arial" w:hAnsi="Arial" w:cs="Arial"/>
          <w:sz w:val="20"/>
          <w:szCs w:val="20"/>
        </w:rPr>
      </w:pPr>
      <w:r w:rsidRPr="00B729D4">
        <w:rPr>
          <w:rFonts w:ascii="Arial" w:hAnsi="Arial" w:cs="Arial"/>
          <w:sz w:val="20"/>
          <w:szCs w:val="20"/>
        </w:rPr>
        <w:t>Simon</w:t>
      </w:r>
      <w:r w:rsidR="00506CFA">
        <w:rPr>
          <w:rFonts w:ascii="Arial" w:hAnsi="Arial" w:cs="Arial"/>
          <w:sz w:val="20"/>
          <w:szCs w:val="20"/>
        </w:rPr>
        <w:t xml:space="preserve"> joined the Trust in January 2025 and</w:t>
      </w:r>
      <w:r w:rsidRPr="00B729D4">
        <w:rPr>
          <w:rFonts w:ascii="Arial" w:hAnsi="Arial" w:cs="Arial"/>
          <w:sz w:val="20"/>
          <w:szCs w:val="20"/>
        </w:rPr>
        <w:t xml:space="preserve"> is a member of the Chartered Institute of Management Accountants, with over 30 years’ experience in NHS Finance.</w:t>
      </w:r>
      <w:r>
        <w:rPr>
          <w:rFonts w:ascii="Arial" w:hAnsi="Arial" w:cs="Arial"/>
          <w:sz w:val="20"/>
          <w:szCs w:val="20"/>
        </w:rPr>
        <w:t xml:space="preserve">  </w:t>
      </w:r>
      <w:r w:rsidRPr="00B729D4">
        <w:rPr>
          <w:rFonts w:ascii="Arial" w:hAnsi="Arial" w:cs="Arial"/>
          <w:sz w:val="20"/>
          <w:szCs w:val="20"/>
        </w:rPr>
        <w:t>He has previously been a Chief Finance Officer in three NHS Trusts.</w:t>
      </w:r>
      <w:r>
        <w:rPr>
          <w:rFonts w:ascii="Arial" w:hAnsi="Arial" w:cs="Arial"/>
          <w:sz w:val="20"/>
          <w:szCs w:val="20"/>
        </w:rPr>
        <w:t xml:space="preserve">  </w:t>
      </w:r>
    </w:p>
    <w:p w14:paraId="4473A9D7" w14:textId="77777777" w:rsidR="00B729D4" w:rsidRPr="00B729D4" w:rsidRDefault="00B729D4" w:rsidP="00C82CB3">
      <w:pPr>
        <w:pStyle w:val="NormalWeb"/>
        <w:spacing w:before="0" w:beforeAutospacing="0" w:after="0" w:afterAutospacing="0"/>
        <w:jc w:val="both"/>
        <w:rPr>
          <w:rFonts w:ascii="Arial" w:hAnsi="Arial" w:cs="Arial"/>
          <w:sz w:val="20"/>
          <w:szCs w:val="20"/>
        </w:rPr>
      </w:pPr>
      <w:r w:rsidRPr="00B729D4">
        <w:rPr>
          <w:rFonts w:ascii="Arial" w:hAnsi="Arial" w:cs="Arial"/>
          <w:sz w:val="20"/>
          <w:szCs w:val="20"/>
        </w:rPr>
        <w:t xml:space="preserve">Prior to joining </w:t>
      </w:r>
      <w:r>
        <w:rPr>
          <w:rFonts w:ascii="Arial" w:hAnsi="Arial" w:cs="Arial"/>
          <w:sz w:val="20"/>
          <w:szCs w:val="20"/>
        </w:rPr>
        <w:t>the Trust</w:t>
      </w:r>
      <w:r w:rsidRPr="00B729D4">
        <w:rPr>
          <w:rFonts w:ascii="Arial" w:hAnsi="Arial" w:cs="Arial"/>
          <w:sz w:val="20"/>
          <w:szCs w:val="20"/>
        </w:rPr>
        <w:t>,</w:t>
      </w:r>
      <w:r>
        <w:rPr>
          <w:rFonts w:ascii="Arial" w:hAnsi="Arial" w:cs="Arial"/>
          <w:sz w:val="20"/>
          <w:szCs w:val="20"/>
        </w:rPr>
        <w:t xml:space="preserve"> </w:t>
      </w:r>
      <w:r w:rsidRPr="00B729D4">
        <w:rPr>
          <w:rFonts w:ascii="Arial" w:hAnsi="Arial" w:cs="Arial"/>
          <w:sz w:val="20"/>
          <w:szCs w:val="20"/>
        </w:rPr>
        <w:t xml:space="preserve">Simon has spent the last </w:t>
      </w:r>
      <w:r>
        <w:rPr>
          <w:rFonts w:ascii="Arial" w:hAnsi="Arial" w:cs="Arial"/>
          <w:sz w:val="20"/>
          <w:szCs w:val="20"/>
        </w:rPr>
        <w:t>ten</w:t>
      </w:r>
      <w:r w:rsidRPr="00B729D4">
        <w:rPr>
          <w:rFonts w:ascii="Arial" w:hAnsi="Arial" w:cs="Arial"/>
          <w:sz w:val="20"/>
          <w:szCs w:val="20"/>
        </w:rPr>
        <w:t xml:space="preserve"> years working mostly with NHS trusts and systems working to address their financial and operational challenges.</w:t>
      </w:r>
    </w:p>
    <w:p w14:paraId="24477E11" w14:textId="77777777" w:rsidR="00CA1963" w:rsidRPr="00B729D4" w:rsidRDefault="00CA1963" w:rsidP="00C82CB3">
      <w:pPr>
        <w:jc w:val="both"/>
        <w:rPr>
          <w:rFonts w:ascii="Arial" w:hAnsi="Arial" w:cs="Arial"/>
          <w:b/>
          <w:color w:val="FF0000"/>
          <w:sz w:val="20"/>
          <w:szCs w:val="20"/>
          <w:highlight w:val="yellow"/>
          <w:lang w:val="en-GB"/>
        </w:rPr>
      </w:pPr>
    </w:p>
    <w:p w14:paraId="65BC074C" w14:textId="77777777" w:rsidR="00B729D4" w:rsidRPr="00B729D4" w:rsidRDefault="00B729D4" w:rsidP="00C82CB3">
      <w:pPr>
        <w:jc w:val="both"/>
        <w:rPr>
          <w:rFonts w:ascii="Arial" w:hAnsi="Arial" w:cs="Arial"/>
          <w:b/>
          <w:sz w:val="20"/>
          <w:szCs w:val="20"/>
          <w:highlight w:val="yellow"/>
          <w:lang w:val="en-GB"/>
        </w:rPr>
      </w:pPr>
    </w:p>
    <w:p w14:paraId="7970E67E" w14:textId="77777777" w:rsidR="007C1827" w:rsidRPr="00696EE6" w:rsidRDefault="007C1827" w:rsidP="00C82CB3">
      <w:pPr>
        <w:jc w:val="both"/>
        <w:rPr>
          <w:rFonts w:ascii="Arial" w:hAnsi="Arial" w:cs="Arial"/>
          <w:b/>
          <w:sz w:val="20"/>
          <w:szCs w:val="20"/>
          <w:highlight w:val="yellow"/>
          <w:lang w:val="en-GB"/>
        </w:rPr>
      </w:pPr>
    </w:p>
    <w:p w14:paraId="7B476196" w14:textId="77777777" w:rsidR="0004253F" w:rsidRPr="00C83699" w:rsidRDefault="00010A15" w:rsidP="00C82CB3">
      <w:pPr>
        <w:jc w:val="both"/>
        <w:rPr>
          <w:rFonts w:ascii="Arial" w:hAnsi="Arial" w:cs="Arial"/>
          <w:b/>
          <w:sz w:val="20"/>
          <w:szCs w:val="20"/>
          <w:lang w:val="en-GB"/>
        </w:rPr>
      </w:pPr>
      <w:r w:rsidRPr="00C83699">
        <w:rPr>
          <w:rFonts w:ascii="Arial" w:hAnsi="Arial" w:cs="Arial"/>
          <w:b/>
          <w:sz w:val="20"/>
          <w:szCs w:val="20"/>
          <w:lang w:val="en-GB"/>
        </w:rPr>
        <w:t>Leon Hinton</w:t>
      </w:r>
      <w:r w:rsidR="00FE7423" w:rsidRPr="00C83699">
        <w:rPr>
          <w:rFonts w:ascii="Arial" w:hAnsi="Arial" w:cs="Arial"/>
          <w:b/>
          <w:sz w:val="20"/>
          <w:szCs w:val="20"/>
          <w:lang w:val="en-GB"/>
        </w:rPr>
        <w:t xml:space="preserve">, </w:t>
      </w:r>
      <w:r w:rsidRPr="00C83699">
        <w:rPr>
          <w:rFonts w:ascii="Arial" w:hAnsi="Arial" w:cs="Arial"/>
          <w:b/>
          <w:sz w:val="20"/>
          <w:szCs w:val="20"/>
          <w:lang w:val="en-GB"/>
        </w:rPr>
        <w:t>Chief People Officer</w:t>
      </w:r>
      <w:r w:rsidRPr="00C83699">
        <w:rPr>
          <w:rFonts w:ascii="Arial" w:hAnsi="Arial" w:cs="Arial"/>
          <w:b/>
          <w:sz w:val="20"/>
          <w:szCs w:val="20"/>
          <w:lang w:val="en-GB"/>
        </w:rPr>
        <w:tab/>
      </w:r>
    </w:p>
    <w:p w14:paraId="7C77B465" w14:textId="77777777" w:rsidR="00C82CB3" w:rsidRDefault="00C82CB3" w:rsidP="00D50222">
      <w:pPr>
        <w:jc w:val="both"/>
      </w:pPr>
      <w:r>
        <w:rPr>
          <w:noProof/>
        </w:rPr>
        <w:drawing>
          <wp:anchor distT="0" distB="0" distL="114300" distR="114300" simplePos="0" relativeHeight="251811840" behindDoc="0" locked="0" layoutInCell="1" allowOverlap="1" wp14:anchorId="33327A4C" wp14:editId="328A8E67">
            <wp:simplePos x="0" y="0"/>
            <wp:positionH relativeFrom="column">
              <wp:posOffset>2973754</wp:posOffset>
            </wp:positionH>
            <wp:positionV relativeFrom="paragraph">
              <wp:posOffset>142240</wp:posOffset>
            </wp:positionV>
            <wp:extent cx="2879725" cy="1756410"/>
            <wp:effectExtent l="0" t="0" r="0" b="0"/>
            <wp:wrapSquare wrapText="bothSides"/>
            <wp:docPr id="4" name="Picture 4" descr="Head shot of Leon Hin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ompany Secretariat\Board Meetings\Pictures of Board Members\Leon Hinton.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79725" cy="1756410"/>
                    </a:xfrm>
                    <a:prstGeom prst="rect">
                      <a:avLst/>
                    </a:prstGeom>
                    <a:noFill/>
                    <a:ln>
                      <a:noFill/>
                    </a:ln>
                  </pic:spPr>
                </pic:pic>
              </a:graphicData>
            </a:graphic>
            <wp14:sizeRelH relativeFrom="page">
              <wp14:pctWidth>0</wp14:pctWidth>
            </wp14:sizeRelH>
            <wp14:sizeRelV relativeFrom="page">
              <wp14:pctHeight>0</wp14:pctHeight>
            </wp14:sizeRelV>
          </wp:anchor>
        </w:drawing>
      </w:r>
      <w:r w:rsidR="00010A15" w:rsidRPr="00C83699">
        <w:rPr>
          <w:rFonts w:ascii="Arial" w:hAnsi="Arial" w:cs="Arial"/>
          <w:sz w:val="20"/>
          <w:szCs w:val="20"/>
          <w:u w:val="single"/>
        </w:rPr>
        <w:t>Experience and Qualifications</w:t>
      </w:r>
    </w:p>
    <w:p w14:paraId="17507F1B" w14:textId="77777777" w:rsidR="00B71249" w:rsidRPr="00C83699" w:rsidRDefault="00F13EBC" w:rsidP="00C82CB3">
      <w:pPr>
        <w:jc w:val="both"/>
        <w:rPr>
          <w:rFonts w:ascii="Arial" w:hAnsi="Arial" w:cs="Arial"/>
          <w:sz w:val="20"/>
          <w:szCs w:val="20"/>
          <w:lang w:val="en-GB"/>
        </w:rPr>
      </w:pPr>
      <w:r w:rsidRPr="00C83699">
        <w:rPr>
          <w:rFonts w:ascii="Arial" w:hAnsi="Arial" w:cs="Arial"/>
          <w:sz w:val="20"/>
          <w:szCs w:val="20"/>
          <w:lang w:val="en-GB"/>
        </w:rPr>
        <w:t xml:space="preserve">Leon </w:t>
      </w:r>
      <w:r w:rsidR="00506CFA">
        <w:rPr>
          <w:rFonts w:ascii="Arial" w:hAnsi="Arial" w:cs="Arial"/>
          <w:sz w:val="20"/>
          <w:szCs w:val="20"/>
          <w:lang w:val="en-GB"/>
        </w:rPr>
        <w:t xml:space="preserve">joined the Trust in 2017 and </w:t>
      </w:r>
      <w:r w:rsidRPr="00C83699">
        <w:rPr>
          <w:rFonts w:ascii="Arial" w:hAnsi="Arial" w:cs="Arial"/>
          <w:sz w:val="20"/>
          <w:szCs w:val="20"/>
          <w:lang w:val="en-GB"/>
        </w:rPr>
        <w:t>brings a wealth of experience, having worked in a number of hospitals in the NHS over the past 23 years.</w:t>
      </w:r>
      <w:r w:rsidR="00506CFA">
        <w:rPr>
          <w:rFonts w:ascii="Arial" w:hAnsi="Arial" w:cs="Arial"/>
          <w:sz w:val="20"/>
          <w:szCs w:val="20"/>
          <w:lang w:val="en-GB"/>
        </w:rPr>
        <w:t xml:space="preserve">  </w:t>
      </w:r>
      <w:r w:rsidRPr="00C83699">
        <w:rPr>
          <w:rFonts w:ascii="Arial" w:hAnsi="Arial" w:cs="Arial"/>
          <w:sz w:val="20"/>
          <w:szCs w:val="20"/>
          <w:lang w:val="en-GB"/>
        </w:rPr>
        <w:t>He holds Chartered Fellow status with the Chartered Institute of Personnel and Development; a Master of Chemistry degree from the University of Warwick and postgraduate degrees in Human Resources Management (University of Wolverhampton) and Strategic Workforce Planning (University of West London).</w:t>
      </w:r>
      <w:r w:rsidR="00C82CB3">
        <w:rPr>
          <w:rFonts w:ascii="Arial" w:hAnsi="Arial" w:cs="Arial"/>
          <w:sz w:val="20"/>
          <w:szCs w:val="20"/>
          <w:lang w:val="en-GB"/>
        </w:rPr>
        <w:t xml:space="preserve">  </w:t>
      </w:r>
      <w:r w:rsidRPr="00C83699">
        <w:rPr>
          <w:rFonts w:ascii="Arial" w:hAnsi="Arial" w:cs="Arial"/>
          <w:sz w:val="20"/>
          <w:szCs w:val="20"/>
          <w:lang w:val="en-GB"/>
        </w:rPr>
        <w:t>Leon was an integral part of the leadership team at Great Ormond Street Hospital which won the national HPMA award in 2015 for improved HR capability.</w:t>
      </w:r>
    </w:p>
    <w:p w14:paraId="0628DE64" w14:textId="77777777" w:rsidR="007C1827" w:rsidRPr="00C83699" w:rsidRDefault="007C1827" w:rsidP="00C82CB3">
      <w:pPr>
        <w:jc w:val="both"/>
        <w:rPr>
          <w:rFonts w:ascii="Arial" w:hAnsi="Arial" w:cs="Arial"/>
          <w:b/>
          <w:sz w:val="20"/>
          <w:szCs w:val="20"/>
          <w:lang w:val="en-GB"/>
        </w:rPr>
      </w:pPr>
      <w:bookmarkStart w:id="13" w:name="_Hlk191376759"/>
    </w:p>
    <w:p w14:paraId="68E862EA" w14:textId="77777777" w:rsidR="00F13EBC" w:rsidRPr="00C83699" w:rsidRDefault="00F13EBC" w:rsidP="00C82CB3">
      <w:pPr>
        <w:jc w:val="both"/>
        <w:rPr>
          <w:rFonts w:ascii="Arial" w:hAnsi="Arial" w:cs="Arial"/>
          <w:b/>
          <w:sz w:val="20"/>
          <w:szCs w:val="20"/>
          <w:lang w:val="en-GB"/>
        </w:rPr>
      </w:pPr>
      <w:r w:rsidRPr="00C83699">
        <w:rPr>
          <w:rFonts w:ascii="Arial" w:hAnsi="Arial" w:cs="Arial"/>
          <w:b/>
          <w:sz w:val="20"/>
          <w:szCs w:val="20"/>
          <w:lang w:val="en-GB"/>
        </w:rPr>
        <w:t>Sarah Vaux, Chief Nursing Officer</w:t>
      </w:r>
      <w:r w:rsidR="000859BC">
        <w:rPr>
          <w:rFonts w:ascii="Arial" w:hAnsi="Arial" w:cs="Arial"/>
          <w:b/>
          <w:sz w:val="20"/>
          <w:szCs w:val="20"/>
          <w:lang w:val="en-GB"/>
        </w:rPr>
        <w:t xml:space="preserve"> - Interim</w:t>
      </w:r>
      <w:r w:rsidRPr="00C83699">
        <w:rPr>
          <w:rFonts w:ascii="Arial" w:hAnsi="Arial" w:cs="Arial"/>
          <w:b/>
          <w:sz w:val="20"/>
          <w:szCs w:val="20"/>
          <w:lang w:val="en-GB"/>
        </w:rPr>
        <w:t xml:space="preserve"> </w:t>
      </w:r>
      <w:r w:rsidRPr="00C83699">
        <w:rPr>
          <w:rFonts w:ascii="Arial" w:hAnsi="Arial" w:cs="Arial"/>
          <w:sz w:val="20"/>
          <w:szCs w:val="20"/>
          <w:lang w:val="en-GB"/>
        </w:rPr>
        <w:t>(from 01 January 2024)</w:t>
      </w:r>
    </w:p>
    <w:p w14:paraId="36279AE0" w14:textId="77777777" w:rsidR="00BA2F85" w:rsidRPr="00C83699" w:rsidRDefault="00C82CB3" w:rsidP="00C82CB3">
      <w:pPr>
        <w:jc w:val="both"/>
        <w:rPr>
          <w:rFonts w:ascii="Arial" w:hAnsi="Arial" w:cs="Arial"/>
          <w:sz w:val="20"/>
          <w:szCs w:val="20"/>
          <w:u w:val="single"/>
          <w:lang w:val="en-GB"/>
        </w:rPr>
      </w:pPr>
      <w:r>
        <w:rPr>
          <w:noProof/>
        </w:rPr>
        <w:drawing>
          <wp:anchor distT="0" distB="0" distL="114300" distR="114300" simplePos="0" relativeHeight="251812864" behindDoc="0" locked="0" layoutInCell="1" allowOverlap="1" wp14:anchorId="0885C243" wp14:editId="0E7A4AB3">
            <wp:simplePos x="0" y="0"/>
            <wp:positionH relativeFrom="column">
              <wp:posOffset>2981228</wp:posOffset>
            </wp:positionH>
            <wp:positionV relativeFrom="paragraph">
              <wp:posOffset>99158</wp:posOffset>
            </wp:positionV>
            <wp:extent cx="2879725" cy="1756410"/>
            <wp:effectExtent l="0" t="0" r="0" b="0"/>
            <wp:wrapSquare wrapText="bothSides"/>
            <wp:docPr id="5" name="Picture 5" descr="Head shot of Sarah Vau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ompany Secretariat\Board Meetings\Pictures of Board Members\Sarah Vaux.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79725" cy="1756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6D647C" w14:textId="77777777" w:rsidR="00C82CB3" w:rsidRDefault="00F13EBC" w:rsidP="00C82CB3">
      <w:pPr>
        <w:pStyle w:val="NormalWeb"/>
        <w:spacing w:before="0" w:beforeAutospacing="0" w:after="0" w:afterAutospacing="0"/>
        <w:jc w:val="both"/>
      </w:pPr>
      <w:r w:rsidRPr="00C83699">
        <w:rPr>
          <w:rFonts w:ascii="Arial" w:hAnsi="Arial" w:cs="Arial"/>
          <w:sz w:val="20"/>
          <w:szCs w:val="20"/>
          <w:u w:val="single"/>
        </w:rPr>
        <w:t>Experience and Qualifications</w:t>
      </w:r>
      <w:r w:rsidR="00C82CB3">
        <w:rPr>
          <w:rFonts w:ascii="Arial" w:hAnsi="Arial" w:cs="Arial"/>
          <w:sz w:val="20"/>
          <w:szCs w:val="20"/>
          <w:u w:val="single"/>
        </w:rPr>
        <w:t xml:space="preserve"> </w:t>
      </w:r>
    </w:p>
    <w:p w14:paraId="07B4AC1D" w14:textId="77777777" w:rsidR="00F13EBC" w:rsidRPr="00C83699" w:rsidRDefault="00F13EBC" w:rsidP="00C82CB3">
      <w:pPr>
        <w:jc w:val="both"/>
        <w:rPr>
          <w:rFonts w:ascii="Arial" w:hAnsi="Arial" w:cs="Arial"/>
          <w:sz w:val="20"/>
          <w:szCs w:val="20"/>
          <w:lang w:val="en-GB"/>
        </w:rPr>
      </w:pPr>
      <w:r w:rsidRPr="00C83699">
        <w:rPr>
          <w:rFonts w:ascii="Arial" w:hAnsi="Arial" w:cs="Arial"/>
          <w:sz w:val="20"/>
          <w:szCs w:val="20"/>
          <w:lang w:val="en-GB"/>
        </w:rPr>
        <w:t xml:space="preserve">Sarah </w:t>
      </w:r>
      <w:r w:rsidR="00BF07BD">
        <w:rPr>
          <w:rFonts w:ascii="Arial" w:hAnsi="Arial" w:cs="Arial"/>
          <w:sz w:val="20"/>
          <w:szCs w:val="20"/>
          <w:lang w:val="en-GB"/>
        </w:rPr>
        <w:t xml:space="preserve">joined the Trust in January 2024 and </w:t>
      </w:r>
      <w:r w:rsidRPr="00C83699">
        <w:rPr>
          <w:rFonts w:ascii="Arial" w:hAnsi="Arial" w:cs="Arial"/>
          <w:sz w:val="20"/>
          <w:szCs w:val="20"/>
          <w:lang w:val="en-GB"/>
        </w:rPr>
        <w:t>has worked in the NHS for more than 35 years, starting her career by training as a nurse here at Medway Maritime Hospital.</w:t>
      </w:r>
      <w:r w:rsidR="003439F4">
        <w:rPr>
          <w:rFonts w:ascii="Arial" w:hAnsi="Arial" w:cs="Arial"/>
          <w:sz w:val="20"/>
          <w:szCs w:val="20"/>
          <w:lang w:val="en-GB"/>
        </w:rPr>
        <w:t xml:space="preserve">  She</w:t>
      </w:r>
      <w:r w:rsidRPr="00C83699">
        <w:rPr>
          <w:rFonts w:ascii="Arial" w:hAnsi="Arial" w:cs="Arial"/>
          <w:sz w:val="20"/>
          <w:szCs w:val="20"/>
          <w:lang w:val="en-GB"/>
        </w:rPr>
        <w:t xml:space="preserve"> has worked as a nurse, midwife, health visitor and safeguarding specialist nurse locally and across the south east, before going on to hold a number of nursing executive and leadership positions.</w:t>
      </w:r>
    </w:p>
    <w:p w14:paraId="393B7774" w14:textId="77777777" w:rsidR="00F13EBC" w:rsidRPr="00C83699" w:rsidRDefault="00F13EBC" w:rsidP="00C82CB3">
      <w:pPr>
        <w:jc w:val="both"/>
        <w:rPr>
          <w:rFonts w:ascii="Arial" w:hAnsi="Arial" w:cs="Arial"/>
          <w:sz w:val="20"/>
          <w:szCs w:val="20"/>
          <w:lang w:val="en-GB"/>
        </w:rPr>
      </w:pPr>
      <w:r w:rsidRPr="00C83699">
        <w:rPr>
          <w:rFonts w:ascii="Arial" w:hAnsi="Arial" w:cs="Arial"/>
          <w:sz w:val="20"/>
          <w:szCs w:val="20"/>
          <w:lang w:val="en-GB"/>
        </w:rPr>
        <w:t xml:space="preserve">Before joining </w:t>
      </w:r>
      <w:r w:rsidR="003439F4">
        <w:rPr>
          <w:rFonts w:ascii="Arial" w:hAnsi="Arial" w:cs="Arial"/>
          <w:sz w:val="20"/>
          <w:szCs w:val="20"/>
          <w:lang w:val="en-GB"/>
        </w:rPr>
        <w:t>the Trust</w:t>
      </w:r>
      <w:r w:rsidRPr="00C83699">
        <w:rPr>
          <w:rFonts w:ascii="Arial" w:hAnsi="Arial" w:cs="Arial"/>
          <w:sz w:val="20"/>
          <w:szCs w:val="20"/>
          <w:lang w:val="en-GB"/>
        </w:rPr>
        <w:t xml:space="preserve">, </w:t>
      </w:r>
      <w:r w:rsidR="003439F4">
        <w:rPr>
          <w:rFonts w:ascii="Arial" w:hAnsi="Arial" w:cs="Arial"/>
          <w:sz w:val="20"/>
          <w:szCs w:val="20"/>
          <w:lang w:val="en-GB"/>
        </w:rPr>
        <w:t>her</w:t>
      </w:r>
      <w:r w:rsidRPr="00C83699">
        <w:rPr>
          <w:rFonts w:ascii="Arial" w:hAnsi="Arial" w:cs="Arial"/>
          <w:sz w:val="20"/>
          <w:szCs w:val="20"/>
          <w:lang w:val="en-GB"/>
        </w:rPr>
        <w:t xml:space="preserve"> most recent role was as Director of Nursing for NHS England South East Region.</w:t>
      </w:r>
    </w:p>
    <w:p w14:paraId="39626958" w14:textId="77777777" w:rsidR="00C82CB3" w:rsidRDefault="00C82CB3" w:rsidP="00C82CB3">
      <w:pPr>
        <w:jc w:val="both"/>
        <w:rPr>
          <w:rFonts w:ascii="Arial" w:hAnsi="Arial" w:cs="Arial"/>
          <w:i/>
          <w:sz w:val="20"/>
          <w:szCs w:val="20"/>
          <w:lang w:val="en-GB"/>
        </w:rPr>
      </w:pPr>
      <w:r w:rsidRPr="00C82CB3">
        <w:rPr>
          <w:rFonts w:ascii="Arial" w:hAnsi="Arial" w:cs="Arial"/>
          <w:i/>
          <w:sz w:val="20"/>
          <w:szCs w:val="20"/>
          <w:lang w:val="en-GB"/>
        </w:rPr>
        <w:lastRenderedPageBreak/>
        <w:t xml:space="preserve">Sarah Vaux cont. </w:t>
      </w:r>
    </w:p>
    <w:p w14:paraId="0F702465" w14:textId="77777777" w:rsidR="00C82CB3" w:rsidRPr="00C82CB3" w:rsidRDefault="00C82CB3" w:rsidP="00C82CB3">
      <w:pPr>
        <w:jc w:val="both"/>
        <w:rPr>
          <w:rFonts w:ascii="Arial" w:hAnsi="Arial" w:cs="Arial"/>
          <w:i/>
          <w:sz w:val="20"/>
          <w:szCs w:val="20"/>
          <w:lang w:val="en-GB"/>
        </w:rPr>
      </w:pPr>
    </w:p>
    <w:p w14:paraId="5C30FED9" w14:textId="77777777" w:rsidR="00506CFA" w:rsidRPr="00F275E2" w:rsidRDefault="00506CFA" w:rsidP="00C82CB3">
      <w:pPr>
        <w:jc w:val="both"/>
        <w:rPr>
          <w:rFonts w:ascii="Arial" w:hAnsi="Arial" w:cs="Arial"/>
          <w:b/>
          <w:sz w:val="20"/>
          <w:szCs w:val="20"/>
          <w:lang w:val="en-GB"/>
        </w:rPr>
      </w:pPr>
      <w:r w:rsidRPr="00506CFA">
        <w:rPr>
          <w:rFonts w:ascii="Arial" w:hAnsi="Arial" w:cs="Arial"/>
          <w:b/>
          <w:sz w:val="20"/>
          <w:szCs w:val="20"/>
          <w:lang w:val="en-GB"/>
        </w:rPr>
        <w:t>Role Adjustments to note:</w:t>
      </w:r>
    </w:p>
    <w:p w14:paraId="5EADA199" w14:textId="77777777" w:rsidR="00506CFA" w:rsidRPr="00506CFA" w:rsidRDefault="00506CFA" w:rsidP="00C82CB3">
      <w:pPr>
        <w:jc w:val="both"/>
        <w:rPr>
          <w:rFonts w:ascii="Arial" w:hAnsi="Arial" w:cs="Arial"/>
          <w:sz w:val="20"/>
          <w:szCs w:val="20"/>
          <w:u w:val="single"/>
          <w:lang w:val="en-GB"/>
        </w:rPr>
      </w:pPr>
      <w:r w:rsidRPr="00506CFA">
        <w:rPr>
          <w:rFonts w:ascii="Arial" w:hAnsi="Arial" w:cs="Arial"/>
          <w:sz w:val="20"/>
          <w:szCs w:val="20"/>
          <w:u w:val="single"/>
          <w:lang w:val="en-GB"/>
        </w:rPr>
        <w:t>Chief Nursing Officer</w:t>
      </w:r>
      <w:r w:rsidR="00C82CB3">
        <w:rPr>
          <w:rFonts w:ascii="Arial" w:hAnsi="Arial" w:cs="Arial"/>
          <w:sz w:val="20"/>
          <w:szCs w:val="20"/>
          <w:u w:val="single"/>
          <w:lang w:val="en-GB"/>
        </w:rPr>
        <w:t xml:space="preserve"> (Interim)</w:t>
      </w:r>
      <w:r w:rsidRPr="00506CFA">
        <w:rPr>
          <w:rFonts w:ascii="Arial" w:hAnsi="Arial" w:cs="Arial"/>
          <w:sz w:val="20"/>
          <w:szCs w:val="20"/>
          <w:u w:val="single"/>
          <w:lang w:val="en-GB"/>
        </w:rPr>
        <w:t xml:space="preserve"> </w:t>
      </w:r>
    </w:p>
    <w:p w14:paraId="461D5175" w14:textId="77777777" w:rsidR="00506CFA" w:rsidRPr="00506CFA" w:rsidRDefault="00506CFA" w:rsidP="00C82CB3">
      <w:pPr>
        <w:jc w:val="both"/>
        <w:rPr>
          <w:rFonts w:ascii="Arial" w:hAnsi="Arial" w:cs="Arial"/>
          <w:sz w:val="20"/>
          <w:szCs w:val="20"/>
        </w:rPr>
      </w:pPr>
      <w:r w:rsidRPr="00506CFA">
        <w:rPr>
          <w:rFonts w:ascii="Arial" w:hAnsi="Arial" w:cs="Arial"/>
          <w:sz w:val="20"/>
          <w:szCs w:val="20"/>
        </w:rPr>
        <w:t>05 January 2025</w:t>
      </w:r>
      <w:r w:rsidRPr="00506CFA">
        <w:rPr>
          <w:rFonts w:ascii="Arial" w:hAnsi="Arial" w:cs="Arial"/>
          <w:sz w:val="20"/>
          <w:szCs w:val="20"/>
        </w:rPr>
        <w:tab/>
        <w:t>Sarah Vaux retires (under ‘Retire and Return’).</w:t>
      </w:r>
    </w:p>
    <w:p w14:paraId="6DCADE67" w14:textId="77777777" w:rsidR="00506CFA" w:rsidRPr="00506CFA" w:rsidRDefault="00506CFA" w:rsidP="00C82CB3">
      <w:pPr>
        <w:jc w:val="both"/>
        <w:rPr>
          <w:rFonts w:ascii="Arial" w:hAnsi="Arial" w:cs="Arial"/>
          <w:sz w:val="20"/>
          <w:szCs w:val="20"/>
        </w:rPr>
      </w:pPr>
      <w:r w:rsidRPr="00506CFA">
        <w:rPr>
          <w:rFonts w:ascii="Arial" w:hAnsi="Arial" w:cs="Arial"/>
          <w:sz w:val="20"/>
          <w:szCs w:val="20"/>
        </w:rPr>
        <w:t>06 January 2025</w:t>
      </w:r>
      <w:r w:rsidRPr="00506CFA">
        <w:rPr>
          <w:rFonts w:ascii="Arial" w:hAnsi="Arial" w:cs="Arial"/>
          <w:sz w:val="20"/>
          <w:szCs w:val="20"/>
        </w:rPr>
        <w:tab/>
        <w:t xml:space="preserve">Steph Gorman to act as Chief Nursing Officer </w:t>
      </w:r>
      <w:r w:rsidR="00C82CB3">
        <w:rPr>
          <w:rFonts w:ascii="Arial" w:hAnsi="Arial" w:cs="Arial"/>
          <w:sz w:val="20"/>
          <w:szCs w:val="20"/>
        </w:rPr>
        <w:t>(</w:t>
      </w:r>
      <w:r w:rsidRPr="00506CFA">
        <w:rPr>
          <w:rFonts w:ascii="Arial" w:hAnsi="Arial" w:cs="Arial"/>
          <w:sz w:val="20"/>
          <w:szCs w:val="20"/>
        </w:rPr>
        <w:t>Interim</w:t>
      </w:r>
      <w:r w:rsidR="00C82CB3">
        <w:rPr>
          <w:rFonts w:ascii="Arial" w:hAnsi="Arial" w:cs="Arial"/>
          <w:sz w:val="20"/>
          <w:szCs w:val="20"/>
        </w:rPr>
        <w:t>)</w:t>
      </w:r>
    </w:p>
    <w:p w14:paraId="1AC2FAA6" w14:textId="77777777" w:rsidR="00506CFA" w:rsidRPr="00506CFA" w:rsidRDefault="00506CFA" w:rsidP="00C82CB3">
      <w:pPr>
        <w:ind w:left="2160" w:hanging="2160"/>
        <w:jc w:val="both"/>
        <w:rPr>
          <w:rFonts w:ascii="Arial" w:hAnsi="Arial" w:cs="Arial"/>
          <w:sz w:val="20"/>
          <w:szCs w:val="20"/>
        </w:rPr>
      </w:pPr>
      <w:r w:rsidRPr="00506CFA">
        <w:rPr>
          <w:rFonts w:ascii="Arial" w:hAnsi="Arial" w:cs="Arial"/>
          <w:sz w:val="20"/>
          <w:szCs w:val="20"/>
        </w:rPr>
        <w:t>13 January 2025</w:t>
      </w:r>
      <w:r w:rsidRPr="00506CFA">
        <w:rPr>
          <w:rFonts w:ascii="Arial" w:hAnsi="Arial" w:cs="Arial"/>
          <w:sz w:val="20"/>
          <w:szCs w:val="20"/>
        </w:rPr>
        <w:tab/>
        <w:t xml:space="preserve">Sarah Vaux returned from Retire and Return in accordance with NHSE rules.  Steph </w:t>
      </w:r>
      <w:r>
        <w:rPr>
          <w:rFonts w:ascii="Arial" w:hAnsi="Arial" w:cs="Arial"/>
          <w:sz w:val="20"/>
          <w:szCs w:val="20"/>
        </w:rPr>
        <w:t>to</w:t>
      </w:r>
      <w:r w:rsidRPr="00506CFA">
        <w:rPr>
          <w:rFonts w:ascii="Arial" w:hAnsi="Arial" w:cs="Arial"/>
          <w:sz w:val="20"/>
          <w:szCs w:val="20"/>
        </w:rPr>
        <w:t xml:space="preserve"> return to Acting Deputy Chief Nursing Officer from 13 January 2025</w:t>
      </w:r>
    </w:p>
    <w:bookmarkEnd w:id="13"/>
    <w:p w14:paraId="45167511" w14:textId="77777777" w:rsidR="007C1827" w:rsidRPr="00C83699" w:rsidRDefault="007C1827" w:rsidP="00C82CB3">
      <w:pPr>
        <w:jc w:val="both"/>
        <w:rPr>
          <w:rFonts w:ascii="Arial" w:hAnsi="Arial" w:cs="Arial"/>
          <w:sz w:val="20"/>
          <w:szCs w:val="20"/>
          <w:lang w:val="en-GB"/>
        </w:rPr>
      </w:pPr>
    </w:p>
    <w:p w14:paraId="0995E0F3" w14:textId="77777777" w:rsidR="006B6A04" w:rsidRDefault="006B6A04" w:rsidP="00C82CB3">
      <w:pPr>
        <w:jc w:val="both"/>
        <w:rPr>
          <w:rFonts w:ascii="Arial" w:hAnsi="Arial" w:cs="Arial"/>
          <w:b/>
          <w:sz w:val="20"/>
          <w:szCs w:val="20"/>
          <w:lang w:val="en-GB"/>
        </w:rPr>
      </w:pPr>
    </w:p>
    <w:p w14:paraId="55E38099" w14:textId="77777777" w:rsidR="00F13EBC" w:rsidRPr="00C83699" w:rsidRDefault="00F13EBC" w:rsidP="00C82CB3">
      <w:pPr>
        <w:jc w:val="both"/>
        <w:rPr>
          <w:rFonts w:ascii="Arial" w:hAnsi="Arial" w:cs="Arial"/>
          <w:b/>
          <w:sz w:val="20"/>
          <w:szCs w:val="20"/>
          <w:lang w:val="en-GB"/>
        </w:rPr>
      </w:pPr>
      <w:r w:rsidRPr="00C83699">
        <w:rPr>
          <w:rFonts w:ascii="Arial" w:hAnsi="Arial" w:cs="Arial"/>
          <w:b/>
          <w:sz w:val="20"/>
          <w:szCs w:val="20"/>
          <w:lang w:val="en-GB"/>
        </w:rPr>
        <w:t xml:space="preserve">Alison Davis, Chief Medical Officer </w:t>
      </w:r>
      <w:r w:rsidRPr="00C83699">
        <w:rPr>
          <w:rFonts w:ascii="Arial" w:hAnsi="Arial" w:cs="Arial"/>
          <w:sz w:val="20"/>
          <w:szCs w:val="20"/>
          <w:lang w:val="en-GB"/>
        </w:rPr>
        <w:t>(and Caldicott Guardian)</w:t>
      </w:r>
    </w:p>
    <w:p w14:paraId="13C961E0" w14:textId="77777777" w:rsidR="00C82CB3" w:rsidRDefault="00C82CB3" w:rsidP="00C82CB3">
      <w:pPr>
        <w:pStyle w:val="NormalWeb"/>
        <w:spacing w:before="0" w:beforeAutospacing="0" w:after="0" w:afterAutospacing="0"/>
        <w:jc w:val="both"/>
      </w:pPr>
      <w:r>
        <w:rPr>
          <w:noProof/>
        </w:rPr>
        <w:drawing>
          <wp:anchor distT="0" distB="0" distL="114300" distR="114300" simplePos="0" relativeHeight="251813888" behindDoc="0" locked="0" layoutInCell="1" allowOverlap="1" wp14:anchorId="04907E03" wp14:editId="363EE96B">
            <wp:simplePos x="0" y="0"/>
            <wp:positionH relativeFrom="column">
              <wp:posOffset>3075305</wp:posOffset>
            </wp:positionH>
            <wp:positionV relativeFrom="paragraph">
              <wp:posOffset>36977</wp:posOffset>
            </wp:positionV>
            <wp:extent cx="2879725" cy="1756410"/>
            <wp:effectExtent l="0" t="0" r="0" b="0"/>
            <wp:wrapSquare wrapText="bothSides"/>
            <wp:docPr id="1556758586" name="Picture 1556758586" descr="Head shot of Alison Dav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ompany Secretariat\Board Meetings\Pictures of Board Members\Alison Davis.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79725" cy="1756410"/>
                    </a:xfrm>
                    <a:prstGeom prst="rect">
                      <a:avLst/>
                    </a:prstGeom>
                    <a:noFill/>
                    <a:ln>
                      <a:noFill/>
                    </a:ln>
                  </pic:spPr>
                </pic:pic>
              </a:graphicData>
            </a:graphic>
            <wp14:sizeRelH relativeFrom="page">
              <wp14:pctWidth>0</wp14:pctWidth>
            </wp14:sizeRelH>
            <wp14:sizeRelV relativeFrom="page">
              <wp14:pctHeight>0</wp14:pctHeight>
            </wp14:sizeRelV>
          </wp:anchor>
        </w:drawing>
      </w:r>
      <w:r w:rsidR="00F13EBC" w:rsidRPr="00C83699">
        <w:rPr>
          <w:rFonts w:ascii="Arial" w:hAnsi="Arial" w:cs="Arial"/>
          <w:sz w:val="20"/>
          <w:szCs w:val="20"/>
          <w:u w:val="single"/>
        </w:rPr>
        <w:t>Experience and Qualifications</w:t>
      </w:r>
    </w:p>
    <w:p w14:paraId="2FBC7E41" w14:textId="77777777" w:rsidR="00F13EBC" w:rsidRPr="00C83699" w:rsidRDefault="00F13EBC" w:rsidP="00C82CB3">
      <w:pPr>
        <w:jc w:val="both"/>
        <w:rPr>
          <w:rFonts w:ascii="Arial" w:hAnsi="Arial" w:cs="Arial"/>
          <w:sz w:val="20"/>
          <w:szCs w:val="20"/>
          <w:lang w:val="en-GB"/>
        </w:rPr>
      </w:pPr>
      <w:r w:rsidRPr="00C83699">
        <w:rPr>
          <w:rFonts w:ascii="Arial" w:hAnsi="Arial" w:cs="Arial"/>
          <w:sz w:val="20"/>
          <w:szCs w:val="20"/>
          <w:lang w:val="en-GB"/>
        </w:rPr>
        <w:t>Alison</w:t>
      </w:r>
      <w:r w:rsidR="00BF07BD">
        <w:rPr>
          <w:rFonts w:ascii="Arial" w:hAnsi="Arial" w:cs="Arial"/>
          <w:sz w:val="20"/>
          <w:szCs w:val="20"/>
          <w:lang w:val="en-GB"/>
        </w:rPr>
        <w:t xml:space="preserve"> joined the Trust in </w:t>
      </w:r>
      <w:r w:rsidR="00BF07BD" w:rsidRPr="00C83699">
        <w:rPr>
          <w:rFonts w:ascii="Arial" w:hAnsi="Arial" w:cs="Arial"/>
          <w:sz w:val="20"/>
          <w:szCs w:val="20"/>
          <w:lang w:val="en-GB"/>
        </w:rPr>
        <w:t xml:space="preserve">January 2022, </w:t>
      </w:r>
      <w:r w:rsidR="00BF07BD">
        <w:rPr>
          <w:rFonts w:ascii="Arial" w:hAnsi="Arial" w:cs="Arial"/>
          <w:sz w:val="20"/>
          <w:szCs w:val="20"/>
          <w:lang w:val="en-GB"/>
        </w:rPr>
        <w:t xml:space="preserve">but </w:t>
      </w:r>
      <w:r w:rsidRPr="00C83699">
        <w:rPr>
          <w:rFonts w:ascii="Arial" w:hAnsi="Arial" w:cs="Arial"/>
          <w:sz w:val="20"/>
          <w:szCs w:val="20"/>
          <w:lang w:val="en-GB"/>
        </w:rPr>
        <w:t>started her clinical career as a paediatric ophthalmologist and has worked as a consultant at Moorfields Eye Hospital, St George’s Hospital Tooting, Croydon University Hospital and as an honorary consultant at Great Ormond Street Hospital.</w:t>
      </w:r>
    </w:p>
    <w:p w14:paraId="6D446013" w14:textId="77777777" w:rsidR="00F13EBC" w:rsidRPr="00C83699" w:rsidRDefault="00F13EBC" w:rsidP="00C82CB3">
      <w:pPr>
        <w:jc w:val="both"/>
        <w:rPr>
          <w:rFonts w:ascii="Arial" w:hAnsi="Arial" w:cs="Arial"/>
          <w:sz w:val="20"/>
          <w:szCs w:val="20"/>
          <w:lang w:val="en-GB"/>
        </w:rPr>
      </w:pPr>
      <w:r w:rsidRPr="00C83699">
        <w:rPr>
          <w:rFonts w:ascii="Arial" w:hAnsi="Arial" w:cs="Arial"/>
          <w:sz w:val="20"/>
          <w:szCs w:val="20"/>
          <w:lang w:val="en-GB"/>
        </w:rPr>
        <w:t xml:space="preserve">Recent clinical leadership experience includes </w:t>
      </w:r>
      <w:r w:rsidR="007C1827" w:rsidRPr="00C83699">
        <w:rPr>
          <w:rFonts w:ascii="Arial" w:hAnsi="Arial" w:cs="Arial"/>
          <w:sz w:val="20"/>
          <w:szCs w:val="20"/>
          <w:lang w:val="en-GB"/>
        </w:rPr>
        <w:t>D</w:t>
      </w:r>
      <w:r w:rsidRPr="00C83699">
        <w:rPr>
          <w:rFonts w:ascii="Arial" w:hAnsi="Arial" w:cs="Arial"/>
          <w:sz w:val="20"/>
          <w:szCs w:val="20"/>
          <w:lang w:val="en-GB"/>
        </w:rPr>
        <w:t xml:space="preserve">eputy </w:t>
      </w:r>
      <w:r w:rsidR="007C1827" w:rsidRPr="00C83699">
        <w:rPr>
          <w:rFonts w:ascii="Arial" w:hAnsi="Arial" w:cs="Arial"/>
          <w:sz w:val="20"/>
          <w:szCs w:val="20"/>
          <w:lang w:val="en-GB"/>
        </w:rPr>
        <w:t>M</w:t>
      </w:r>
      <w:r w:rsidRPr="00C83699">
        <w:rPr>
          <w:rFonts w:ascii="Arial" w:hAnsi="Arial" w:cs="Arial"/>
          <w:sz w:val="20"/>
          <w:szCs w:val="20"/>
          <w:lang w:val="en-GB"/>
        </w:rPr>
        <w:t xml:space="preserve">edical </w:t>
      </w:r>
      <w:r w:rsidR="007C1827" w:rsidRPr="00C83699">
        <w:rPr>
          <w:rFonts w:ascii="Arial" w:hAnsi="Arial" w:cs="Arial"/>
          <w:sz w:val="20"/>
          <w:szCs w:val="20"/>
          <w:lang w:val="en-GB"/>
        </w:rPr>
        <w:t>D</w:t>
      </w:r>
      <w:r w:rsidRPr="00C83699">
        <w:rPr>
          <w:rFonts w:ascii="Arial" w:hAnsi="Arial" w:cs="Arial"/>
          <w:sz w:val="20"/>
          <w:szCs w:val="20"/>
          <w:lang w:val="en-GB"/>
        </w:rPr>
        <w:t xml:space="preserve">irector at Moorfields and hospital </w:t>
      </w:r>
      <w:r w:rsidR="007C1827" w:rsidRPr="00C83699">
        <w:rPr>
          <w:rFonts w:ascii="Arial" w:hAnsi="Arial" w:cs="Arial"/>
          <w:sz w:val="20"/>
          <w:szCs w:val="20"/>
          <w:lang w:val="en-GB"/>
        </w:rPr>
        <w:t>M</w:t>
      </w:r>
      <w:r w:rsidRPr="00C83699">
        <w:rPr>
          <w:rFonts w:ascii="Arial" w:hAnsi="Arial" w:cs="Arial"/>
          <w:sz w:val="20"/>
          <w:szCs w:val="20"/>
          <w:lang w:val="en-GB"/>
        </w:rPr>
        <w:t xml:space="preserve">edical </w:t>
      </w:r>
      <w:r w:rsidR="007C1827" w:rsidRPr="00C83699">
        <w:rPr>
          <w:rFonts w:ascii="Arial" w:hAnsi="Arial" w:cs="Arial"/>
          <w:sz w:val="20"/>
          <w:szCs w:val="20"/>
          <w:lang w:val="en-GB"/>
        </w:rPr>
        <w:t>D</w:t>
      </w:r>
      <w:r w:rsidRPr="00C83699">
        <w:rPr>
          <w:rFonts w:ascii="Arial" w:hAnsi="Arial" w:cs="Arial"/>
          <w:sz w:val="20"/>
          <w:szCs w:val="20"/>
          <w:lang w:val="en-GB"/>
        </w:rPr>
        <w:t>irector at Kent and Canterbury Hospital.</w:t>
      </w:r>
    </w:p>
    <w:p w14:paraId="73269849" w14:textId="77777777" w:rsidR="00F13EBC" w:rsidRPr="00C83699" w:rsidRDefault="00F13EBC" w:rsidP="00C82CB3">
      <w:pPr>
        <w:jc w:val="both"/>
        <w:rPr>
          <w:rFonts w:ascii="Arial" w:hAnsi="Arial" w:cs="Arial"/>
          <w:b/>
          <w:sz w:val="20"/>
          <w:szCs w:val="20"/>
          <w:lang w:val="en-GB"/>
        </w:rPr>
      </w:pPr>
    </w:p>
    <w:p w14:paraId="2AAD0B34" w14:textId="77777777" w:rsidR="00437F36" w:rsidRPr="00C83699" w:rsidRDefault="00437F36" w:rsidP="00C82CB3">
      <w:pPr>
        <w:jc w:val="both"/>
        <w:rPr>
          <w:rFonts w:ascii="Arial" w:hAnsi="Arial" w:cs="Arial"/>
          <w:b/>
          <w:sz w:val="20"/>
          <w:szCs w:val="20"/>
          <w:lang w:val="en-GB"/>
        </w:rPr>
      </w:pPr>
    </w:p>
    <w:p w14:paraId="4B9385E8" w14:textId="77777777" w:rsidR="007C1827" w:rsidRPr="00C83699" w:rsidRDefault="007C1827" w:rsidP="00C82CB3">
      <w:pPr>
        <w:jc w:val="both"/>
        <w:rPr>
          <w:rFonts w:ascii="Arial" w:hAnsi="Arial" w:cs="Arial"/>
          <w:b/>
          <w:sz w:val="20"/>
          <w:szCs w:val="20"/>
          <w:lang w:val="en-GB"/>
        </w:rPr>
      </w:pPr>
    </w:p>
    <w:p w14:paraId="75850213" w14:textId="77777777" w:rsidR="006B6A04" w:rsidRDefault="006B6A04" w:rsidP="00C82CB3">
      <w:pPr>
        <w:jc w:val="both"/>
        <w:rPr>
          <w:rFonts w:ascii="Arial" w:hAnsi="Arial" w:cs="Arial"/>
          <w:b/>
          <w:sz w:val="20"/>
          <w:szCs w:val="20"/>
          <w:lang w:val="en-GB"/>
        </w:rPr>
      </w:pPr>
    </w:p>
    <w:p w14:paraId="0AAD8938" w14:textId="77777777" w:rsidR="00F13EBC" w:rsidRPr="00C83699" w:rsidRDefault="00F13EBC" w:rsidP="00C82CB3">
      <w:pPr>
        <w:jc w:val="both"/>
        <w:rPr>
          <w:rFonts w:ascii="Arial" w:hAnsi="Arial" w:cs="Arial"/>
          <w:sz w:val="20"/>
          <w:szCs w:val="20"/>
          <w:lang w:val="en-GB"/>
        </w:rPr>
      </w:pPr>
      <w:r w:rsidRPr="00C83699">
        <w:rPr>
          <w:rFonts w:ascii="Arial" w:hAnsi="Arial" w:cs="Arial"/>
          <w:b/>
          <w:sz w:val="20"/>
          <w:szCs w:val="20"/>
          <w:lang w:val="en-GB"/>
        </w:rPr>
        <w:t xml:space="preserve">Nick Sinclair, Chief Operating Officer </w:t>
      </w:r>
    </w:p>
    <w:p w14:paraId="3E75D5A0" w14:textId="77777777" w:rsidR="00C82CB3" w:rsidRDefault="006B6A04" w:rsidP="00C82CB3">
      <w:pPr>
        <w:pStyle w:val="NormalWeb"/>
        <w:spacing w:before="0" w:beforeAutospacing="0" w:after="0" w:afterAutospacing="0"/>
        <w:jc w:val="both"/>
      </w:pPr>
      <w:r>
        <w:rPr>
          <w:noProof/>
        </w:rPr>
        <w:drawing>
          <wp:anchor distT="0" distB="0" distL="114300" distR="114300" simplePos="0" relativeHeight="251814912" behindDoc="0" locked="0" layoutInCell="1" allowOverlap="1" wp14:anchorId="268D8DC8" wp14:editId="1F84F851">
            <wp:simplePos x="0" y="0"/>
            <wp:positionH relativeFrom="column">
              <wp:posOffset>3075354</wp:posOffset>
            </wp:positionH>
            <wp:positionV relativeFrom="paragraph">
              <wp:posOffset>67114</wp:posOffset>
            </wp:positionV>
            <wp:extent cx="2879725" cy="1756410"/>
            <wp:effectExtent l="0" t="0" r="0" b="0"/>
            <wp:wrapSquare wrapText="bothSides"/>
            <wp:docPr id="1556758587" name="Picture 1556758587" descr="Head shot of Nick Sincl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ompany Secretariat\Board Meetings\Pictures of Board Members\Nick Sinclair.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79725" cy="1756410"/>
                    </a:xfrm>
                    <a:prstGeom prst="rect">
                      <a:avLst/>
                    </a:prstGeom>
                    <a:noFill/>
                    <a:ln>
                      <a:noFill/>
                    </a:ln>
                  </pic:spPr>
                </pic:pic>
              </a:graphicData>
            </a:graphic>
            <wp14:sizeRelH relativeFrom="page">
              <wp14:pctWidth>0</wp14:pctWidth>
            </wp14:sizeRelH>
            <wp14:sizeRelV relativeFrom="page">
              <wp14:pctHeight>0</wp14:pctHeight>
            </wp14:sizeRelV>
          </wp:anchor>
        </w:drawing>
      </w:r>
      <w:r w:rsidR="00F13EBC" w:rsidRPr="00C83699">
        <w:rPr>
          <w:rFonts w:ascii="Arial" w:hAnsi="Arial" w:cs="Arial"/>
          <w:sz w:val="20"/>
          <w:szCs w:val="20"/>
          <w:u w:val="single"/>
        </w:rPr>
        <w:t>Experience and Qualifications</w:t>
      </w:r>
    </w:p>
    <w:p w14:paraId="49914260" w14:textId="77777777" w:rsidR="00F13EBC" w:rsidRPr="00C83699" w:rsidRDefault="00F13EBC" w:rsidP="00C82CB3">
      <w:pPr>
        <w:jc w:val="both"/>
        <w:rPr>
          <w:rFonts w:ascii="Arial" w:hAnsi="Arial" w:cs="Arial"/>
          <w:sz w:val="20"/>
          <w:szCs w:val="20"/>
          <w:lang w:val="en-GB"/>
        </w:rPr>
      </w:pPr>
      <w:r w:rsidRPr="00C83699">
        <w:rPr>
          <w:rFonts w:ascii="Arial" w:hAnsi="Arial" w:cs="Arial"/>
          <w:sz w:val="20"/>
          <w:szCs w:val="20"/>
          <w:lang w:val="en-GB"/>
        </w:rPr>
        <w:t xml:space="preserve">Nick </w:t>
      </w:r>
      <w:r w:rsidR="00BF07BD">
        <w:rPr>
          <w:rFonts w:ascii="Arial" w:hAnsi="Arial" w:cs="Arial"/>
          <w:sz w:val="20"/>
          <w:szCs w:val="20"/>
          <w:lang w:val="en-GB"/>
        </w:rPr>
        <w:t xml:space="preserve">joined the Trust in April 2023.  He is </w:t>
      </w:r>
      <w:r w:rsidRPr="00C83699">
        <w:rPr>
          <w:rFonts w:ascii="Arial" w:hAnsi="Arial" w:cs="Arial"/>
          <w:sz w:val="20"/>
          <w:szCs w:val="20"/>
          <w:lang w:val="en-GB"/>
        </w:rPr>
        <w:t xml:space="preserve">trained as a Paramedic in Kent in 1994 and specialised in </w:t>
      </w:r>
      <w:r w:rsidR="007C1827" w:rsidRPr="00C83699">
        <w:rPr>
          <w:rFonts w:ascii="Arial" w:hAnsi="Arial" w:cs="Arial"/>
          <w:sz w:val="20"/>
          <w:szCs w:val="20"/>
          <w:lang w:val="en-GB"/>
        </w:rPr>
        <w:t>t</w:t>
      </w:r>
      <w:r w:rsidRPr="00C83699">
        <w:rPr>
          <w:rFonts w:ascii="Arial" w:hAnsi="Arial" w:cs="Arial"/>
          <w:sz w:val="20"/>
          <w:szCs w:val="20"/>
          <w:lang w:val="en-GB"/>
        </w:rPr>
        <w:t xml:space="preserve">rauma management and urgent care.  He held several operational and educational management roles within the </w:t>
      </w:r>
      <w:r w:rsidR="007C1827" w:rsidRPr="00C83699">
        <w:rPr>
          <w:rFonts w:ascii="Arial" w:hAnsi="Arial" w:cs="Arial"/>
          <w:sz w:val="20"/>
          <w:szCs w:val="20"/>
          <w:lang w:val="en-GB"/>
        </w:rPr>
        <w:t>a</w:t>
      </w:r>
      <w:r w:rsidRPr="00C83699">
        <w:rPr>
          <w:rFonts w:ascii="Arial" w:hAnsi="Arial" w:cs="Arial"/>
          <w:sz w:val="20"/>
          <w:szCs w:val="20"/>
          <w:lang w:val="en-GB"/>
        </w:rPr>
        <w:t xml:space="preserve">mbulance </w:t>
      </w:r>
      <w:r w:rsidR="007C1827" w:rsidRPr="00C83699">
        <w:rPr>
          <w:rFonts w:ascii="Arial" w:hAnsi="Arial" w:cs="Arial"/>
          <w:sz w:val="20"/>
          <w:szCs w:val="20"/>
          <w:lang w:val="en-GB"/>
        </w:rPr>
        <w:t>s</w:t>
      </w:r>
      <w:r w:rsidRPr="00C83699">
        <w:rPr>
          <w:rFonts w:ascii="Arial" w:hAnsi="Arial" w:cs="Arial"/>
          <w:sz w:val="20"/>
          <w:szCs w:val="20"/>
          <w:lang w:val="en-GB"/>
        </w:rPr>
        <w:t xml:space="preserve">ervice.  He then moved to the </w:t>
      </w:r>
      <w:r w:rsidR="007C1827" w:rsidRPr="00C83699">
        <w:rPr>
          <w:rFonts w:ascii="Arial" w:hAnsi="Arial" w:cs="Arial"/>
          <w:sz w:val="20"/>
          <w:szCs w:val="20"/>
          <w:lang w:val="en-GB"/>
        </w:rPr>
        <w:t>a</w:t>
      </w:r>
      <w:r w:rsidRPr="00C83699">
        <w:rPr>
          <w:rFonts w:ascii="Arial" w:hAnsi="Arial" w:cs="Arial"/>
          <w:sz w:val="20"/>
          <w:szCs w:val="20"/>
          <w:lang w:val="en-GB"/>
        </w:rPr>
        <w:t>cute sector leading significant improvement in Emergency Care standards</w:t>
      </w:r>
      <w:r w:rsidR="007C1827" w:rsidRPr="00C83699">
        <w:rPr>
          <w:rFonts w:ascii="Arial" w:hAnsi="Arial" w:cs="Arial"/>
          <w:sz w:val="20"/>
          <w:szCs w:val="20"/>
          <w:lang w:val="en-GB"/>
        </w:rPr>
        <w:t xml:space="preserve"> and</w:t>
      </w:r>
      <w:r w:rsidRPr="00C83699">
        <w:rPr>
          <w:rFonts w:ascii="Arial" w:hAnsi="Arial" w:cs="Arial"/>
          <w:sz w:val="20"/>
          <w:szCs w:val="20"/>
          <w:lang w:val="en-GB"/>
        </w:rPr>
        <w:t xml:space="preserve"> RTT performance and has held various senior leadership roles in operations.</w:t>
      </w:r>
    </w:p>
    <w:p w14:paraId="64AC4240" w14:textId="77777777" w:rsidR="00F13EBC" w:rsidRPr="00C83699" w:rsidRDefault="00F13EBC" w:rsidP="00C82CB3">
      <w:pPr>
        <w:jc w:val="both"/>
        <w:rPr>
          <w:rFonts w:ascii="Arial" w:hAnsi="Arial" w:cs="Arial"/>
          <w:sz w:val="20"/>
          <w:szCs w:val="20"/>
          <w:lang w:val="en-GB"/>
        </w:rPr>
      </w:pPr>
      <w:r w:rsidRPr="00C83699">
        <w:rPr>
          <w:rFonts w:ascii="Arial" w:hAnsi="Arial" w:cs="Arial"/>
          <w:sz w:val="20"/>
          <w:szCs w:val="20"/>
          <w:lang w:val="en-GB"/>
        </w:rPr>
        <w:t>He is a graduate from the Elizabeth Garrett Anderson, Masters in Healthcare Leadership programme and has qualified as a Service Improvement Practitioner.</w:t>
      </w:r>
    </w:p>
    <w:p w14:paraId="3F76883D" w14:textId="77777777" w:rsidR="007C1827" w:rsidRPr="00C83699" w:rsidRDefault="007C1827" w:rsidP="00C82CB3">
      <w:pPr>
        <w:jc w:val="both"/>
        <w:rPr>
          <w:rFonts w:ascii="Arial" w:hAnsi="Arial" w:cs="Arial"/>
          <w:b/>
          <w:sz w:val="20"/>
          <w:szCs w:val="20"/>
          <w:lang w:val="en-GB"/>
        </w:rPr>
      </w:pPr>
    </w:p>
    <w:p w14:paraId="415550B8" w14:textId="77777777" w:rsidR="007C1827" w:rsidRDefault="007C1827" w:rsidP="00C82CB3">
      <w:pPr>
        <w:jc w:val="both"/>
        <w:rPr>
          <w:rFonts w:ascii="Arial" w:hAnsi="Arial" w:cs="Arial"/>
          <w:b/>
          <w:sz w:val="20"/>
          <w:szCs w:val="20"/>
          <w:lang w:val="en-GB"/>
        </w:rPr>
      </w:pPr>
    </w:p>
    <w:p w14:paraId="01068468" w14:textId="77777777" w:rsidR="007921A1" w:rsidRDefault="007921A1" w:rsidP="00C82CB3">
      <w:pPr>
        <w:jc w:val="both"/>
        <w:rPr>
          <w:rFonts w:ascii="Arial" w:hAnsi="Arial" w:cs="Arial"/>
          <w:b/>
          <w:sz w:val="20"/>
          <w:szCs w:val="20"/>
          <w:lang w:val="en-GB"/>
        </w:rPr>
      </w:pPr>
    </w:p>
    <w:p w14:paraId="721229EC" w14:textId="77777777" w:rsidR="007921A1" w:rsidRPr="00C83699" w:rsidRDefault="007921A1" w:rsidP="00C82CB3">
      <w:pPr>
        <w:jc w:val="both"/>
        <w:rPr>
          <w:rFonts w:ascii="Arial" w:hAnsi="Arial" w:cs="Arial"/>
          <w:b/>
          <w:sz w:val="20"/>
          <w:szCs w:val="20"/>
          <w:lang w:val="en-GB"/>
        </w:rPr>
      </w:pPr>
    </w:p>
    <w:p w14:paraId="3DDF4004" w14:textId="77777777" w:rsidR="00F13EBC" w:rsidRPr="00C83699" w:rsidRDefault="00F13EBC" w:rsidP="00C82CB3">
      <w:pPr>
        <w:jc w:val="both"/>
        <w:rPr>
          <w:rFonts w:ascii="Arial" w:hAnsi="Arial" w:cs="Arial"/>
          <w:b/>
          <w:sz w:val="20"/>
          <w:szCs w:val="20"/>
          <w:lang w:val="en-GB"/>
        </w:rPr>
      </w:pPr>
      <w:r w:rsidRPr="00C83699">
        <w:rPr>
          <w:rFonts w:ascii="Arial" w:hAnsi="Arial" w:cs="Arial"/>
          <w:b/>
          <w:sz w:val="20"/>
          <w:szCs w:val="20"/>
          <w:lang w:val="en-GB"/>
        </w:rPr>
        <w:t xml:space="preserve">Gavin MacDonald, Chief Delivery Officer and Senior Independent </w:t>
      </w:r>
      <w:r w:rsidR="00F10032" w:rsidRPr="00C83699">
        <w:rPr>
          <w:rFonts w:ascii="Arial" w:hAnsi="Arial" w:cs="Arial"/>
          <w:b/>
          <w:sz w:val="20"/>
          <w:szCs w:val="20"/>
          <w:lang w:val="en-GB"/>
        </w:rPr>
        <w:t>Risk Owner</w:t>
      </w:r>
      <w:r w:rsidRPr="00C83699">
        <w:rPr>
          <w:rFonts w:ascii="Arial" w:hAnsi="Arial" w:cs="Arial"/>
          <w:b/>
          <w:sz w:val="20"/>
          <w:szCs w:val="20"/>
          <w:lang w:val="en-GB"/>
        </w:rPr>
        <w:t xml:space="preserve"> Officer </w:t>
      </w:r>
    </w:p>
    <w:p w14:paraId="38A7B371" w14:textId="77777777" w:rsidR="00F13EBC" w:rsidRPr="006B6A04" w:rsidRDefault="002F7D8F" w:rsidP="006B6A04">
      <w:pPr>
        <w:pStyle w:val="NormalWeb"/>
        <w:spacing w:before="0" w:beforeAutospacing="0" w:after="0" w:afterAutospacing="0"/>
        <w:jc w:val="both"/>
      </w:pPr>
      <w:r w:rsidRPr="00C83699">
        <w:rPr>
          <w:rFonts w:ascii="Arial" w:hAnsi="Arial" w:cs="Arial"/>
          <w:sz w:val="20"/>
          <w:szCs w:val="20"/>
          <w:u w:val="single"/>
        </w:rPr>
        <w:t>Experience and Qualifications</w:t>
      </w:r>
    </w:p>
    <w:p w14:paraId="149BD5AA" w14:textId="77777777" w:rsidR="00F13EBC" w:rsidRDefault="006B6A04" w:rsidP="00C82CB3">
      <w:pPr>
        <w:jc w:val="both"/>
        <w:rPr>
          <w:rFonts w:ascii="Arial" w:hAnsi="Arial" w:cs="Arial"/>
          <w:sz w:val="20"/>
          <w:szCs w:val="20"/>
          <w:lang w:val="en-GB"/>
        </w:rPr>
      </w:pPr>
      <w:r>
        <w:rPr>
          <w:noProof/>
        </w:rPr>
        <w:drawing>
          <wp:anchor distT="0" distB="0" distL="114300" distR="114300" simplePos="0" relativeHeight="251815936" behindDoc="0" locked="0" layoutInCell="1" allowOverlap="1" wp14:anchorId="4B36F9EA" wp14:editId="171E7295">
            <wp:simplePos x="0" y="0"/>
            <wp:positionH relativeFrom="column">
              <wp:posOffset>3075354</wp:posOffset>
            </wp:positionH>
            <wp:positionV relativeFrom="paragraph">
              <wp:posOffset>27940</wp:posOffset>
            </wp:positionV>
            <wp:extent cx="2879725" cy="1756410"/>
            <wp:effectExtent l="0" t="0" r="0" b="0"/>
            <wp:wrapSquare wrapText="bothSides"/>
            <wp:docPr id="8" name="Picture 8" descr="Head shot of Gavin MacDona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ompany Secretariat\Board Meetings\Pictures of Board Members\Gavin MacDonald.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79725" cy="1756410"/>
                    </a:xfrm>
                    <a:prstGeom prst="rect">
                      <a:avLst/>
                    </a:prstGeom>
                    <a:noFill/>
                    <a:ln>
                      <a:noFill/>
                    </a:ln>
                  </pic:spPr>
                </pic:pic>
              </a:graphicData>
            </a:graphic>
            <wp14:sizeRelH relativeFrom="page">
              <wp14:pctWidth>0</wp14:pctWidth>
            </wp14:sizeRelH>
            <wp14:sizeRelV relativeFrom="page">
              <wp14:pctHeight>0</wp14:pctHeight>
            </wp14:sizeRelV>
          </wp:anchor>
        </w:drawing>
      </w:r>
      <w:r w:rsidR="002F7D8F" w:rsidRPr="00C83699">
        <w:rPr>
          <w:rFonts w:ascii="Arial" w:hAnsi="Arial" w:cs="Arial"/>
          <w:sz w:val="20"/>
          <w:szCs w:val="20"/>
          <w:lang w:val="en-GB"/>
        </w:rPr>
        <w:t xml:space="preserve">Gavin </w:t>
      </w:r>
      <w:r w:rsidR="00BF07BD">
        <w:rPr>
          <w:rFonts w:ascii="Arial" w:hAnsi="Arial" w:cs="Arial"/>
          <w:sz w:val="20"/>
          <w:szCs w:val="20"/>
          <w:lang w:val="en-GB"/>
        </w:rPr>
        <w:t>joined the Trust in April 2023.  He t</w:t>
      </w:r>
      <w:r w:rsidR="002F7D8F" w:rsidRPr="00C83699">
        <w:rPr>
          <w:rFonts w:ascii="Arial" w:hAnsi="Arial" w:cs="Arial"/>
          <w:sz w:val="20"/>
          <w:szCs w:val="20"/>
          <w:lang w:val="en-GB"/>
        </w:rPr>
        <w:t>rained as a registered nurse in Scotland and specialised in critical care.</w:t>
      </w:r>
      <w:r w:rsidR="00BF07BD">
        <w:rPr>
          <w:rFonts w:ascii="Arial" w:hAnsi="Arial" w:cs="Arial"/>
          <w:sz w:val="20"/>
          <w:szCs w:val="20"/>
          <w:lang w:val="en-GB"/>
        </w:rPr>
        <w:t xml:space="preserve">  </w:t>
      </w:r>
      <w:r w:rsidR="002F7D8F" w:rsidRPr="00C83699">
        <w:rPr>
          <w:rFonts w:ascii="Arial" w:hAnsi="Arial" w:cs="Arial"/>
          <w:sz w:val="20"/>
          <w:szCs w:val="20"/>
          <w:lang w:val="en-GB"/>
        </w:rPr>
        <w:t xml:space="preserve">He has held several senior management positions in England and Wales in acute hospitals, integrated care organisations and with </w:t>
      </w:r>
      <w:r w:rsidR="007C1827" w:rsidRPr="00C83699">
        <w:rPr>
          <w:rFonts w:ascii="Arial" w:hAnsi="Arial" w:cs="Arial"/>
          <w:sz w:val="20"/>
          <w:szCs w:val="20"/>
          <w:lang w:val="en-GB"/>
        </w:rPr>
        <w:t xml:space="preserve">an </w:t>
      </w:r>
      <w:r w:rsidR="002F7D8F" w:rsidRPr="00C83699">
        <w:rPr>
          <w:rFonts w:ascii="Arial" w:hAnsi="Arial" w:cs="Arial"/>
          <w:sz w:val="20"/>
          <w:szCs w:val="20"/>
          <w:lang w:val="en-GB"/>
        </w:rPr>
        <w:t>NHS regulator.</w:t>
      </w:r>
      <w:r w:rsidR="00BF07BD">
        <w:rPr>
          <w:rFonts w:ascii="Arial" w:hAnsi="Arial" w:cs="Arial"/>
          <w:sz w:val="20"/>
          <w:szCs w:val="20"/>
          <w:lang w:val="en-GB"/>
        </w:rPr>
        <w:t xml:space="preserve">  </w:t>
      </w:r>
      <w:r w:rsidR="002F7D8F" w:rsidRPr="00C83699">
        <w:rPr>
          <w:rFonts w:ascii="Arial" w:hAnsi="Arial" w:cs="Arial"/>
          <w:sz w:val="20"/>
          <w:szCs w:val="20"/>
          <w:lang w:val="en-GB"/>
        </w:rPr>
        <w:t xml:space="preserve">He is a graduate from the </w:t>
      </w:r>
      <w:r w:rsidR="00BF07BD">
        <w:rPr>
          <w:rFonts w:ascii="Arial" w:hAnsi="Arial" w:cs="Arial"/>
          <w:sz w:val="20"/>
          <w:szCs w:val="20"/>
          <w:lang w:val="en-GB"/>
        </w:rPr>
        <w:t>N</w:t>
      </w:r>
      <w:r w:rsidR="002F7D8F" w:rsidRPr="00C83699">
        <w:rPr>
          <w:rFonts w:ascii="Arial" w:hAnsi="Arial" w:cs="Arial"/>
          <w:sz w:val="20"/>
          <w:szCs w:val="20"/>
          <w:lang w:val="en-GB"/>
        </w:rPr>
        <w:t xml:space="preserve">ational </w:t>
      </w:r>
      <w:r w:rsidR="00BF07BD">
        <w:rPr>
          <w:rFonts w:ascii="Arial" w:hAnsi="Arial" w:cs="Arial"/>
          <w:sz w:val="20"/>
          <w:szCs w:val="20"/>
          <w:lang w:val="en-GB"/>
        </w:rPr>
        <w:t>C</w:t>
      </w:r>
      <w:r w:rsidR="002F7D8F" w:rsidRPr="00C83699">
        <w:rPr>
          <w:rFonts w:ascii="Arial" w:hAnsi="Arial" w:cs="Arial"/>
          <w:sz w:val="20"/>
          <w:szCs w:val="20"/>
          <w:lang w:val="en-GB"/>
        </w:rPr>
        <w:t xml:space="preserve">hief </w:t>
      </w:r>
      <w:r w:rsidR="00BF07BD">
        <w:rPr>
          <w:rFonts w:ascii="Arial" w:hAnsi="Arial" w:cs="Arial"/>
          <w:sz w:val="20"/>
          <w:szCs w:val="20"/>
          <w:lang w:val="en-GB"/>
        </w:rPr>
        <w:t>O</w:t>
      </w:r>
      <w:r w:rsidR="002F7D8F" w:rsidRPr="00C83699">
        <w:rPr>
          <w:rFonts w:ascii="Arial" w:hAnsi="Arial" w:cs="Arial"/>
          <w:sz w:val="20"/>
          <w:szCs w:val="20"/>
          <w:lang w:val="en-GB"/>
        </w:rPr>
        <w:t xml:space="preserve">perating </w:t>
      </w:r>
      <w:r w:rsidR="00BF07BD">
        <w:rPr>
          <w:rFonts w:ascii="Arial" w:hAnsi="Arial" w:cs="Arial"/>
          <w:sz w:val="20"/>
          <w:szCs w:val="20"/>
          <w:lang w:val="en-GB"/>
        </w:rPr>
        <w:t>O</w:t>
      </w:r>
      <w:r w:rsidR="002F7D8F" w:rsidRPr="00C83699">
        <w:rPr>
          <w:rFonts w:ascii="Arial" w:hAnsi="Arial" w:cs="Arial"/>
          <w:sz w:val="20"/>
          <w:szCs w:val="20"/>
          <w:lang w:val="en-GB"/>
        </w:rPr>
        <w:t xml:space="preserve">fficer </w:t>
      </w:r>
      <w:r w:rsidR="00BF07BD">
        <w:rPr>
          <w:rFonts w:ascii="Arial" w:hAnsi="Arial" w:cs="Arial"/>
          <w:sz w:val="20"/>
          <w:szCs w:val="20"/>
          <w:lang w:val="en-GB"/>
        </w:rPr>
        <w:t>P</w:t>
      </w:r>
      <w:r w:rsidR="002F7D8F" w:rsidRPr="00C83699">
        <w:rPr>
          <w:rFonts w:ascii="Arial" w:hAnsi="Arial" w:cs="Arial"/>
          <w:sz w:val="20"/>
          <w:szCs w:val="20"/>
          <w:lang w:val="en-GB"/>
        </w:rPr>
        <w:t>rogramme and has held several Board roles across England and Wales.</w:t>
      </w:r>
      <w:r w:rsidR="00C06BB3">
        <w:rPr>
          <w:rFonts w:ascii="Arial" w:hAnsi="Arial" w:cs="Arial"/>
          <w:sz w:val="20"/>
          <w:szCs w:val="20"/>
          <w:lang w:val="en-GB"/>
        </w:rPr>
        <w:t xml:space="preserve">  </w:t>
      </w:r>
      <w:r w:rsidR="002F7D8F" w:rsidRPr="00C83699">
        <w:rPr>
          <w:rFonts w:ascii="Arial" w:hAnsi="Arial" w:cs="Arial"/>
          <w:sz w:val="20"/>
          <w:szCs w:val="20"/>
          <w:lang w:val="en-GB"/>
        </w:rPr>
        <w:t xml:space="preserve">He holds a </w:t>
      </w:r>
      <w:r w:rsidR="00C06BB3" w:rsidRPr="00C83699">
        <w:rPr>
          <w:rFonts w:ascii="Arial" w:hAnsi="Arial" w:cs="Arial"/>
          <w:sz w:val="20"/>
          <w:szCs w:val="20"/>
          <w:lang w:val="en-GB"/>
        </w:rPr>
        <w:t>Master’s</w:t>
      </w:r>
      <w:r w:rsidR="002F7D8F" w:rsidRPr="00C83699">
        <w:rPr>
          <w:rFonts w:ascii="Arial" w:hAnsi="Arial" w:cs="Arial"/>
          <w:sz w:val="20"/>
          <w:szCs w:val="20"/>
          <w:lang w:val="en-GB"/>
        </w:rPr>
        <w:t xml:space="preserve"> degree in </w:t>
      </w:r>
      <w:r w:rsidR="00BF07BD">
        <w:rPr>
          <w:rFonts w:ascii="Arial" w:hAnsi="Arial" w:cs="Arial"/>
          <w:sz w:val="20"/>
          <w:szCs w:val="20"/>
          <w:lang w:val="en-GB"/>
        </w:rPr>
        <w:t>L</w:t>
      </w:r>
      <w:r w:rsidR="002F7D8F" w:rsidRPr="00C83699">
        <w:rPr>
          <w:rFonts w:ascii="Arial" w:hAnsi="Arial" w:cs="Arial"/>
          <w:sz w:val="20"/>
          <w:szCs w:val="20"/>
          <w:lang w:val="en-GB"/>
        </w:rPr>
        <w:t xml:space="preserve">eadership and </w:t>
      </w:r>
      <w:r w:rsidR="00BF07BD">
        <w:rPr>
          <w:rFonts w:ascii="Arial" w:hAnsi="Arial" w:cs="Arial"/>
          <w:sz w:val="20"/>
          <w:szCs w:val="20"/>
          <w:lang w:val="en-GB"/>
        </w:rPr>
        <w:t>M</w:t>
      </w:r>
      <w:r w:rsidR="002F7D8F" w:rsidRPr="00C83699">
        <w:rPr>
          <w:rFonts w:ascii="Arial" w:hAnsi="Arial" w:cs="Arial"/>
          <w:sz w:val="20"/>
          <w:szCs w:val="20"/>
          <w:lang w:val="en-GB"/>
        </w:rPr>
        <w:t xml:space="preserve">anagement, has a diploma in </w:t>
      </w:r>
      <w:r w:rsidR="00BF07BD">
        <w:rPr>
          <w:rFonts w:ascii="Arial" w:hAnsi="Arial" w:cs="Arial"/>
          <w:sz w:val="20"/>
          <w:szCs w:val="20"/>
          <w:lang w:val="en-GB"/>
        </w:rPr>
        <w:t>H</w:t>
      </w:r>
      <w:r w:rsidR="002F7D8F" w:rsidRPr="00C83699">
        <w:rPr>
          <w:rFonts w:ascii="Arial" w:hAnsi="Arial" w:cs="Arial"/>
          <w:sz w:val="20"/>
          <w:szCs w:val="20"/>
          <w:lang w:val="en-GB"/>
        </w:rPr>
        <w:t xml:space="preserve">ealth </w:t>
      </w:r>
      <w:r w:rsidR="00BF07BD">
        <w:rPr>
          <w:rFonts w:ascii="Arial" w:hAnsi="Arial" w:cs="Arial"/>
          <w:sz w:val="20"/>
          <w:szCs w:val="20"/>
          <w:lang w:val="en-GB"/>
        </w:rPr>
        <w:t>E</w:t>
      </w:r>
      <w:r w:rsidR="002F7D8F" w:rsidRPr="00C83699">
        <w:rPr>
          <w:rFonts w:ascii="Arial" w:hAnsi="Arial" w:cs="Arial"/>
          <w:sz w:val="20"/>
          <w:szCs w:val="20"/>
          <w:lang w:val="en-GB"/>
        </w:rPr>
        <w:t xml:space="preserve">mergency </w:t>
      </w:r>
      <w:r w:rsidR="00BF07BD">
        <w:rPr>
          <w:rFonts w:ascii="Arial" w:hAnsi="Arial" w:cs="Arial"/>
          <w:sz w:val="20"/>
          <w:szCs w:val="20"/>
          <w:lang w:val="en-GB"/>
        </w:rPr>
        <w:t>P</w:t>
      </w:r>
      <w:r w:rsidR="002F7D8F" w:rsidRPr="00C83699">
        <w:rPr>
          <w:rFonts w:ascii="Arial" w:hAnsi="Arial" w:cs="Arial"/>
          <w:sz w:val="20"/>
          <w:szCs w:val="20"/>
          <w:lang w:val="en-GB"/>
        </w:rPr>
        <w:t>lanning and is a quality improvement and service redesign practitioner.</w:t>
      </w:r>
    </w:p>
    <w:p w14:paraId="3960858B" w14:textId="77777777" w:rsidR="00C82CB3" w:rsidRDefault="00C82CB3" w:rsidP="00C82CB3">
      <w:pPr>
        <w:jc w:val="both"/>
        <w:rPr>
          <w:rFonts w:ascii="Arial" w:hAnsi="Arial" w:cs="Arial"/>
          <w:sz w:val="20"/>
          <w:szCs w:val="20"/>
          <w:lang w:val="en-GB"/>
        </w:rPr>
      </w:pPr>
    </w:p>
    <w:p w14:paraId="46EFF478" w14:textId="77777777" w:rsidR="00506CFA" w:rsidRPr="00F66FD9" w:rsidRDefault="00506CFA" w:rsidP="00C82CB3">
      <w:pPr>
        <w:jc w:val="both"/>
        <w:rPr>
          <w:rFonts w:ascii="Arial" w:hAnsi="Arial" w:cs="Arial"/>
          <w:b/>
          <w:sz w:val="20"/>
          <w:szCs w:val="20"/>
          <w:lang w:val="en-GB"/>
        </w:rPr>
      </w:pPr>
      <w:r w:rsidRPr="00F66FD9">
        <w:rPr>
          <w:rFonts w:ascii="Arial" w:hAnsi="Arial" w:cs="Arial"/>
          <w:b/>
          <w:sz w:val="20"/>
          <w:szCs w:val="20"/>
          <w:lang w:val="en-GB"/>
        </w:rPr>
        <w:lastRenderedPageBreak/>
        <w:t>Alan Davies, Chief Financ</w:t>
      </w:r>
      <w:r>
        <w:rPr>
          <w:rFonts w:ascii="Arial" w:hAnsi="Arial" w:cs="Arial"/>
          <w:b/>
          <w:sz w:val="20"/>
          <w:szCs w:val="20"/>
          <w:lang w:val="en-GB"/>
        </w:rPr>
        <w:t>e</w:t>
      </w:r>
      <w:r w:rsidRPr="00F66FD9">
        <w:rPr>
          <w:rFonts w:ascii="Arial" w:hAnsi="Arial" w:cs="Arial"/>
          <w:b/>
          <w:sz w:val="20"/>
          <w:szCs w:val="20"/>
          <w:lang w:val="en-GB"/>
        </w:rPr>
        <w:t xml:space="preserve"> Officer </w:t>
      </w:r>
      <w:r w:rsidRPr="00F66FD9">
        <w:rPr>
          <w:rFonts w:ascii="Arial" w:hAnsi="Arial" w:cs="Arial"/>
          <w:sz w:val="20"/>
          <w:szCs w:val="20"/>
          <w:lang w:val="en-GB"/>
        </w:rPr>
        <w:t>(</w:t>
      </w:r>
      <w:r w:rsidR="00F275E2">
        <w:rPr>
          <w:rFonts w:ascii="Arial" w:hAnsi="Arial" w:cs="Arial"/>
          <w:sz w:val="20"/>
          <w:szCs w:val="20"/>
          <w:lang w:val="en-GB"/>
        </w:rPr>
        <w:t xml:space="preserve">Retired - </w:t>
      </w:r>
      <w:r w:rsidRPr="00F66FD9">
        <w:rPr>
          <w:rFonts w:ascii="Arial" w:hAnsi="Arial" w:cs="Arial"/>
          <w:sz w:val="20"/>
          <w:szCs w:val="20"/>
          <w:lang w:val="en-GB"/>
        </w:rPr>
        <w:t>left the Trust 31 December 2024)</w:t>
      </w:r>
    </w:p>
    <w:p w14:paraId="7E828AAA" w14:textId="77777777" w:rsidR="00C82CB3" w:rsidRDefault="006B6A04" w:rsidP="00C82CB3">
      <w:pPr>
        <w:pStyle w:val="NormalWeb"/>
        <w:spacing w:before="0" w:beforeAutospacing="0" w:after="0" w:afterAutospacing="0"/>
        <w:jc w:val="both"/>
      </w:pPr>
      <w:r>
        <w:rPr>
          <w:noProof/>
        </w:rPr>
        <w:drawing>
          <wp:anchor distT="0" distB="0" distL="114300" distR="114300" simplePos="0" relativeHeight="251816960" behindDoc="0" locked="0" layoutInCell="1" allowOverlap="1" wp14:anchorId="061E792D" wp14:editId="5A1B6BEB">
            <wp:simplePos x="0" y="0"/>
            <wp:positionH relativeFrom="column">
              <wp:posOffset>3074670</wp:posOffset>
            </wp:positionH>
            <wp:positionV relativeFrom="paragraph">
              <wp:posOffset>33850</wp:posOffset>
            </wp:positionV>
            <wp:extent cx="2879725" cy="1756410"/>
            <wp:effectExtent l="0" t="0" r="0" b="0"/>
            <wp:wrapSquare wrapText="bothSides"/>
            <wp:docPr id="1556758588" name="Picture 1556758588" descr="Head shot of Alan Dav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mpany Secretariat\Board Meetings\Pictures of Board Members\AlanDavies.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79725" cy="1756410"/>
                    </a:xfrm>
                    <a:prstGeom prst="rect">
                      <a:avLst/>
                    </a:prstGeom>
                    <a:noFill/>
                    <a:ln>
                      <a:noFill/>
                    </a:ln>
                  </pic:spPr>
                </pic:pic>
              </a:graphicData>
            </a:graphic>
            <wp14:sizeRelH relativeFrom="page">
              <wp14:pctWidth>0</wp14:pctWidth>
            </wp14:sizeRelH>
            <wp14:sizeRelV relativeFrom="page">
              <wp14:pctHeight>0</wp14:pctHeight>
            </wp14:sizeRelV>
          </wp:anchor>
        </w:drawing>
      </w:r>
      <w:r w:rsidR="00506CFA" w:rsidRPr="00F66FD9">
        <w:rPr>
          <w:rFonts w:ascii="Arial" w:hAnsi="Arial" w:cs="Arial"/>
          <w:sz w:val="20"/>
          <w:szCs w:val="20"/>
          <w:u w:val="single"/>
        </w:rPr>
        <w:t>Experience and Qualifications</w:t>
      </w:r>
      <w:r w:rsidR="00C82CB3" w:rsidRPr="00C82CB3">
        <w:rPr>
          <w:noProof/>
        </w:rPr>
        <w:t xml:space="preserve"> </w:t>
      </w:r>
    </w:p>
    <w:p w14:paraId="710E8B40" w14:textId="77777777" w:rsidR="00506CFA" w:rsidRDefault="00506CFA" w:rsidP="00C82CB3">
      <w:pPr>
        <w:jc w:val="both"/>
        <w:rPr>
          <w:rFonts w:ascii="Arial" w:hAnsi="Arial" w:cs="Arial"/>
          <w:sz w:val="20"/>
          <w:szCs w:val="20"/>
          <w:lang w:val="en-GB"/>
        </w:rPr>
      </w:pPr>
      <w:r w:rsidRPr="00F66FD9">
        <w:rPr>
          <w:rFonts w:ascii="Arial" w:hAnsi="Arial" w:cs="Arial"/>
          <w:sz w:val="20"/>
          <w:szCs w:val="20"/>
          <w:lang w:val="en-GB"/>
        </w:rPr>
        <w:t xml:space="preserve">Alan joined the Trust in November 2020 and brings with him extensive Finance experience within the NHS, in acute, </w:t>
      </w:r>
      <w:r w:rsidR="00F275E2">
        <w:rPr>
          <w:rFonts w:ascii="Arial" w:hAnsi="Arial" w:cs="Arial"/>
          <w:sz w:val="20"/>
          <w:szCs w:val="20"/>
          <w:lang w:val="en-GB"/>
        </w:rPr>
        <w:t>C</w:t>
      </w:r>
      <w:r w:rsidRPr="00F66FD9">
        <w:rPr>
          <w:rFonts w:ascii="Arial" w:hAnsi="Arial" w:cs="Arial"/>
          <w:sz w:val="20"/>
          <w:szCs w:val="20"/>
          <w:lang w:val="en-GB"/>
        </w:rPr>
        <w:t xml:space="preserve">linical </w:t>
      </w:r>
      <w:r w:rsidR="00F275E2">
        <w:rPr>
          <w:rFonts w:ascii="Arial" w:hAnsi="Arial" w:cs="Arial"/>
          <w:sz w:val="20"/>
          <w:szCs w:val="20"/>
          <w:lang w:val="en-GB"/>
        </w:rPr>
        <w:t>C</w:t>
      </w:r>
      <w:r w:rsidRPr="00F66FD9">
        <w:rPr>
          <w:rFonts w:ascii="Arial" w:hAnsi="Arial" w:cs="Arial"/>
          <w:sz w:val="20"/>
          <w:szCs w:val="20"/>
          <w:lang w:val="en-GB"/>
        </w:rPr>
        <w:t xml:space="preserve">ommissioning </w:t>
      </w:r>
      <w:r w:rsidR="00F275E2">
        <w:rPr>
          <w:rFonts w:ascii="Arial" w:hAnsi="Arial" w:cs="Arial"/>
          <w:sz w:val="20"/>
          <w:szCs w:val="20"/>
          <w:lang w:val="en-GB"/>
        </w:rPr>
        <w:t>G</w:t>
      </w:r>
      <w:r w:rsidRPr="00F66FD9">
        <w:rPr>
          <w:rFonts w:ascii="Arial" w:hAnsi="Arial" w:cs="Arial"/>
          <w:sz w:val="20"/>
          <w:szCs w:val="20"/>
          <w:lang w:val="en-GB"/>
        </w:rPr>
        <w:t xml:space="preserve">roup and </w:t>
      </w:r>
      <w:r w:rsidR="00F275E2">
        <w:rPr>
          <w:rFonts w:ascii="Arial" w:hAnsi="Arial" w:cs="Arial"/>
          <w:sz w:val="20"/>
          <w:szCs w:val="20"/>
          <w:lang w:val="en-GB"/>
        </w:rPr>
        <w:t>s</w:t>
      </w:r>
      <w:r w:rsidRPr="00F66FD9">
        <w:rPr>
          <w:rFonts w:ascii="Arial" w:hAnsi="Arial" w:cs="Arial"/>
          <w:sz w:val="20"/>
          <w:szCs w:val="20"/>
          <w:lang w:val="en-GB"/>
        </w:rPr>
        <w:t>trategic settings.</w:t>
      </w:r>
      <w:r>
        <w:rPr>
          <w:rFonts w:ascii="Arial" w:hAnsi="Arial" w:cs="Arial"/>
          <w:sz w:val="20"/>
          <w:szCs w:val="20"/>
          <w:lang w:val="en-GB"/>
        </w:rPr>
        <w:t xml:space="preserve">  </w:t>
      </w:r>
      <w:r w:rsidRPr="00F66FD9">
        <w:rPr>
          <w:rFonts w:ascii="Arial" w:hAnsi="Arial" w:cs="Arial"/>
          <w:sz w:val="20"/>
          <w:szCs w:val="20"/>
          <w:lang w:val="en-GB"/>
        </w:rPr>
        <w:t>His last NHS role was as Chief Finance Officer for Luton CCG and before that Deputy Finance Director at Barking Havering and Redbridge Hospitals.</w:t>
      </w:r>
    </w:p>
    <w:p w14:paraId="5600FAE1" w14:textId="77777777" w:rsidR="00506CFA" w:rsidRPr="00F66FD9" w:rsidRDefault="00506CFA" w:rsidP="00C82CB3">
      <w:pPr>
        <w:jc w:val="both"/>
        <w:rPr>
          <w:rFonts w:ascii="Arial" w:hAnsi="Arial" w:cs="Arial"/>
          <w:sz w:val="20"/>
          <w:szCs w:val="20"/>
          <w:lang w:val="en-GB"/>
        </w:rPr>
      </w:pPr>
      <w:r w:rsidRPr="00F66FD9">
        <w:rPr>
          <w:rFonts w:ascii="Arial" w:hAnsi="Arial" w:cs="Arial"/>
          <w:sz w:val="20"/>
          <w:szCs w:val="20"/>
          <w:lang w:val="en-GB"/>
        </w:rPr>
        <w:t>He has a strong track record in improving financial performance and strengthening governance in NHS organisations in support of improving care for patients.</w:t>
      </w:r>
      <w:r>
        <w:rPr>
          <w:rFonts w:ascii="Arial" w:hAnsi="Arial" w:cs="Arial"/>
          <w:sz w:val="20"/>
          <w:szCs w:val="20"/>
          <w:lang w:val="en-GB"/>
        </w:rPr>
        <w:t xml:space="preserve">  He</w:t>
      </w:r>
      <w:r w:rsidRPr="00F66FD9">
        <w:rPr>
          <w:rFonts w:ascii="Arial" w:hAnsi="Arial" w:cs="Arial"/>
          <w:sz w:val="20"/>
          <w:szCs w:val="20"/>
          <w:lang w:val="en-GB"/>
        </w:rPr>
        <w:t xml:space="preserve"> is a Fellow of the Chartered Association of Certified Accountants.</w:t>
      </w:r>
    </w:p>
    <w:p w14:paraId="7EA5617A" w14:textId="77777777" w:rsidR="000859BC" w:rsidRDefault="000859BC" w:rsidP="00C82CB3">
      <w:pPr>
        <w:jc w:val="both"/>
        <w:rPr>
          <w:rFonts w:ascii="Arial" w:hAnsi="Arial" w:cs="Arial"/>
          <w:color w:val="FF0000"/>
          <w:sz w:val="20"/>
          <w:szCs w:val="20"/>
          <w:lang w:val="en-GB"/>
        </w:rPr>
      </w:pPr>
    </w:p>
    <w:p w14:paraId="29997A0F" w14:textId="77777777" w:rsidR="00C82CB3" w:rsidRDefault="00C82CB3" w:rsidP="00C82CB3">
      <w:pPr>
        <w:jc w:val="both"/>
        <w:rPr>
          <w:rFonts w:ascii="Arial" w:hAnsi="Arial" w:cs="Arial"/>
          <w:color w:val="FF0000"/>
          <w:sz w:val="20"/>
          <w:szCs w:val="20"/>
          <w:lang w:val="en-GB"/>
        </w:rPr>
      </w:pPr>
    </w:p>
    <w:p w14:paraId="7FEC6B49" w14:textId="77777777" w:rsidR="00C82CB3" w:rsidRDefault="00C82CB3" w:rsidP="00C82CB3">
      <w:pPr>
        <w:jc w:val="both"/>
        <w:rPr>
          <w:rFonts w:ascii="Arial" w:hAnsi="Arial" w:cs="Arial"/>
          <w:sz w:val="20"/>
          <w:szCs w:val="20"/>
          <w:lang w:val="en-GB"/>
        </w:rPr>
      </w:pPr>
      <w:r w:rsidRPr="00C83699">
        <w:rPr>
          <w:rFonts w:ascii="Arial" w:hAnsi="Arial" w:cs="Arial"/>
          <w:b/>
          <w:sz w:val="20"/>
          <w:szCs w:val="20"/>
          <w:lang w:val="en-GB"/>
        </w:rPr>
        <w:t xml:space="preserve">Evonne Hunt, Chief Nursing Officer </w:t>
      </w:r>
      <w:r w:rsidRPr="00C83699">
        <w:rPr>
          <w:rFonts w:ascii="Arial" w:hAnsi="Arial" w:cs="Arial"/>
          <w:sz w:val="20"/>
          <w:szCs w:val="20"/>
          <w:lang w:val="en-GB"/>
        </w:rPr>
        <w:t>(on secondment)</w:t>
      </w:r>
    </w:p>
    <w:p w14:paraId="2BDCC78E" w14:textId="77777777" w:rsidR="00C82CB3" w:rsidRPr="00C83699" w:rsidRDefault="00C82CB3" w:rsidP="00C82CB3">
      <w:pPr>
        <w:jc w:val="both"/>
        <w:rPr>
          <w:rFonts w:ascii="Arial" w:hAnsi="Arial" w:cs="Arial"/>
          <w:sz w:val="20"/>
          <w:szCs w:val="20"/>
          <w:u w:val="single"/>
          <w:lang w:val="en-GB"/>
        </w:rPr>
      </w:pPr>
      <w:r w:rsidRPr="00C83699">
        <w:rPr>
          <w:rFonts w:ascii="Arial" w:hAnsi="Arial" w:cs="Arial"/>
          <w:sz w:val="20"/>
          <w:szCs w:val="20"/>
          <w:u w:val="single"/>
          <w:lang w:val="en-GB"/>
        </w:rPr>
        <w:t>Experience and Qualifications</w:t>
      </w:r>
    </w:p>
    <w:p w14:paraId="4FE06C20" w14:textId="77777777" w:rsidR="00C82CB3" w:rsidRPr="00C83699" w:rsidRDefault="00C82CB3" w:rsidP="00C82CB3">
      <w:pPr>
        <w:jc w:val="both"/>
        <w:rPr>
          <w:rFonts w:ascii="Arial" w:hAnsi="Arial" w:cs="Arial"/>
          <w:sz w:val="20"/>
          <w:szCs w:val="20"/>
          <w:lang w:val="en-GB"/>
        </w:rPr>
      </w:pPr>
      <w:r>
        <w:rPr>
          <w:rFonts w:ascii="Arial" w:hAnsi="Arial" w:cs="Arial"/>
          <w:sz w:val="20"/>
          <w:szCs w:val="20"/>
          <w:lang w:val="en-GB"/>
        </w:rPr>
        <w:t>Evonne joined the Trust</w:t>
      </w:r>
      <w:r w:rsidRPr="00C83699">
        <w:rPr>
          <w:rFonts w:ascii="Arial" w:hAnsi="Arial" w:cs="Arial"/>
          <w:sz w:val="20"/>
          <w:szCs w:val="20"/>
          <w:lang w:val="en-GB"/>
        </w:rPr>
        <w:t xml:space="preserve"> October 2021 </w:t>
      </w:r>
      <w:r>
        <w:rPr>
          <w:rFonts w:ascii="Arial" w:hAnsi="Arial" w:cs="Arial"/>
          <w:sz w:val="20"/>
          <w:szCs w:val="20"/>
          <w:lang w:val="en-GB"/>
        </w:rPr>
        <w:t>as</w:t>
      </w:r>
      <w:r w:rsidRPr="00C83699">
        <w:rPr>
          <w:rFonts w:ascii="Arial" w:hAnsi="Arial" w:cs="Arial"/>
          <w:sz w:val="20"/>
          <w:szCs w:val="20"/>
          <w:lang w:val="en-GB"/>
        </w:rPr>
        <w:t xml:space="preserve"> Chief Nursing Officer</w:t>
      </w:r>
      <w:r>
        <w:rPr>
          <w:rFonts w:ascii="Arial" w:hAnsi="Arial" w:cs="Arial"/>
          <w:sz w:val="20"/>
          <w:szCs w:val="20"/>
          <w:lang w:val="en-GB"/>
        </w:rPr>
        <w:t xml:space="preserve">.  She has </w:t>
      </w:r>
      <w:r w:rsidRPr="00C83699">
        <w:rPr>
          <w:rFonts w:ascii="Arial" w:hAnsi="Arial" w:cs="Arial"/>
          <w:sz w:val="20"/>
          <w:szCs w:val="20"/>
          <w:lang w:val="en-GB"/>
        </w:rPr>
        <w:t xml:space="preserve">been a nurse for 24 years and has held director and senior leadership level positions in nursing, quality governance, patient safety, and risk management in acute, mental health and commissioning organisations in the NHS. </w:t>
      </w:r>
      <w:r>
        <w:rPr>
          <w:rFonts w:ascii="Arial" w:hAnsi="Arial" w:cs="Arial"/>
          <w:sz w:val="20"/>
          <w:szCs w:val="20"/>
          <w:lang w:val="en-GB"/>
        </w:rPr>
        <w:t xml:space="preserve"> </w:t>
      </w:r>
      <w:r w:rsidRPr="00C83699">
        <w:rPr>
          <w:rFonts w:ascii="Arial" w:hAnsi="Arial" w:cs="Arial"/>
          <w:sz w:val="20"/>
          <w:szCs w:val="20"/>
          <w:lang w:val="en-GB"/>
        </w:rPr>
        <w:t>She has also worked in the Department of Health and the independent/private healthcare sectors.</w:t>
      </w:r>
      <w:r>
        <w:rPr>
          <w:rFonts w:ascii="Arial" w:hAnsi="Arial" w:cs="Arial"/>
          <w:sz w:val="20"/>
          <w:szCs w:val="20"/>
          <w:lang w:val="en-GB"/>
        </w:rPr>
        <w:t xml:space="preserve">  She </w:t>
      </w:r>
      <w:r w:rsidRPr="00C83699">
        <w:rPr>
          <w:rFonts w:ascii="Arial" w:hAnsi="Arial" w:cs="Arial"/>
          <w:sz w:val="20"/>
          <w:szCs w:val="20"/>
          <w:lang w:val="en-GB"/>
        </w:rPr>
        <w:t xml:space="preserve">has </w:t>
      </w:r>
      <w:r>
        <w:rPr>
          <w:rFonts w:ascii="Arial" w:hAnsi="Arial" w:cs="Arial"/>
          <w:sz w:val="20"/>
          <w:szCs w:val="20"/>
          <w:lang w:val="en-GB"/>
        </w:rPr>
        <w:t>B</w:t>
      </w:r>
      <w:r w:rsidRPr="00C83699">
        <w:rPr>
          <w:rFonts w:ascii="Arial" w:hAnsi="Arial" w:cs="Arial"/>
          <w:sz w:val="20"/>
          <w:szCs w:val="20"/>
          <w:lang w:val="en-GB"/>
        </w:rPr>
        <w:t>oard level responsibility for professional nursing, midwifery and allied health profession</w:t>
      </w:r>
      <w:r>
        <w:rPr>
          <w:rFonts w:ascii="Arial" w:hAnsi="Arial" w:cs="Arial"/>
          <w:sz w:val="20"/>
          <w:szCs w:val="20"/>
          <w:lang w:val="en-GB"/>
        </w:rPr>
        <w:t>als</w:t>
      </w:r>
      <w:r w:rsidRPr="00C83699">
        <w:rPr>
          <w:rFonts w:ascii="Arial" w:hAnsi="Arial" w:cs="Arial"/>
          <w:sz w:val="20"/>
          <w:szCs w:val="20"/>
          <w:lang w:val="en-GB"/>
        </w:rPr>
        <w:t xml:space="preserve"> to support the delivery of high-quality compassionate care.</w:t>
      </w:r>
      <w:r>
        <w:rPr>
          <w:rFonts w:ascii="Arial" w:hAnsi="Arial" w:cs="Arial"/>
          <w:sz w:val="20"/>
          <w:szCs w:val="20"/>
          <w:lang w:val="en-GB"/>
        </w:rPr>
        <w:t xml:space="preserve">  She </w:t>
      </w:r>
      <w:r w:rsidRPr="00C83699">
        <w:rPr>
          <w:rFonts w:ascii="Arial" w:hAnsi="Arial" w:cs="Arial"/>
          <w:sz w:val="20"/>
          <w:szCs w:val="20"/>
          <w:lang w:val="en-GB"/>
        </w:rPr>
        <w:t>is on external secondment from 04 December 2023</w:t>
      </w:r>
      <w:r>
        <w:rPr>
          <w:rFonts w:ascii="Arial" w:hAnsi="Arial" w:cs="Arial"/>
          <w:sz w:val="20"/>
          <w:szCs w:val="20"/>
          <w:lang w:val="en-GB"/>
        </w:rPr>
        <w:t xml:space="preserve">.  </w:t>
      </w:r>
    </w:p>
    <w:p w14:paraId="6FA0E3C9" w14:textId="77777777" w:rsidR="00C82CB3" w:rsidRDefault="00C82CB3" w:rsidP="00C82CB3">
      <w:pPr>
        <w:jc w:val="both"/>
        <w:rPr>
          <w:rFonts w:ascii="Arial" w:hAnsi="Arial" w:cs="Arial"/>
          <w:b/>
          <w:sz w:val="20"/>
          <w:szCs w:val="20"/>
          <w:lang w:val="en-GB"/>
        </w:rPr>
      </w:pPr>
    </w:p>
    <w:p w14:paraId="0A4F7FE6" w14:textId="77777777" w:rsidR="00C82CB3" w:rsidRDefault="00C82CB3" w:rsidP="00C82CB3">
      <w:pPr>
        <w:jc w:val="both"/>
        <w:rPr>
          <w:rFonts w:ascii="Arial" w:hAnsi="Arial" w:cs="Arial"/>
          <w:b/>
          <w:sz w:val="20"/>
          <w:szCs w:val="20"/>
          <w:lang w:val="en-GB"/>
        </w:rPr>
      </w:pPr>
    </w:p>
    <w:p w14:paraId="26EA40FF" w14:textId="77777777" w:rsidR="0004253F" w:rsidRPr="00E63CA7" w:rsidRDefault="00010A15" w:rsidP="00C82CB3">
      <w:pPr>
        <w:jc w:val="both"/>
        <w:rPr>
          <w:rFonts w:ascii="Arial" w:hAnsi="Arial" w:cs="Arial"/>
          <w:sz w:val="20"/>
          <w:szCs w:val="20"/>
          <w:lang w:val="en-GB"/>
        </w:rPr>
      </w:pPr>
      <w:r w:rsidRPr="00F66FD9">
        <w:rPr>
          <w:rFonts w:ascii="Arial" w:hAnsi="Arial" w:cs="Arial"/>
          <w:b/>
          <w:sz w:val="20"/>
          <w:szCs w:val="20"/>
          <w:lang w:val="en-GB"/>
        </w:rPr>
        <w:t xml:space="preserve">Trust Board </w:t>
      </w:r>
      <w:r w:rsidR="00311215" w:rsidRPr="00F66FD9">
        <w:rPr>
          <w:rFonts w:ascii="Arial" w:hAnsi="Arial" w:cs="Arial"/>
          <w:b/>
          <w:sz w:val="20"/>
          <w:szCs w:val="20"/>
          <w:lang w:val="en-GB"/>
        </w:rPr>
        <w:t>M</w:t>
      </w:r>
      <w:r w:rsidRPr="00F66FD9">
        <w:rPr>
          <w:rFonts w:ascii="Arial" w:hAnsi="Arial" w:cs="Arial"/>
          <w:b/>
          <w:sz w:val="20"/>
          <w:szCs w:val="20"/>
          <w:lang w:val="en-GB"/>
        </w:rPr>
        <w:t>eeting</w:t>
      </w:r>
      <w:r w:rsidRPr="00E63CA7">
        <w:rPr>
          <w:rFonts w:ascii="Arial" w:hAnsi="Arial" w:cs="Arial"/>
          <w:b/>
          <w:sz w:val="20"/>
          <w:szCs w:val="20"/>
          <w:lang w:val="en-GB"/>
        </w:rPr>
        <w:t>s</w:t>
      </w:r>
      <w:r w:rsidR="002A51C5" w:rsidRPr="00E63CA7">
        <w:rPr>
          <w:rFonts w:ascii="Arial" w:hAnsi="Arial" w:cs="Arial"/>
          <w:b/>
          <w:color w:val="FF0000"/>
          <w:sz w:val="20"/>
          <w:szCs w:val="20"/>
          <w:lang w:val="en-GB"/>
        </w:rPr>
        <w:t xml:space="preserve"> </w:t>
      </w:r>
    </w:p>
    <w:p w14:paraId="03CC3116" w14:textId="77777777" w:rsidR="00010A15" w:rsidRPr="00F66FD9" w:rsidRDefault="00010A15" w:rsidP="00C82CB3">
      <w:pPr>
        <w:jc w:val="both"/>
        <w:rPr>
          <w:rFonts w:ascii="Arial" w:hAnsi="Arial" w:cs="Arial"/>
          <w:sz w:val="20"/>
          <w:szCs w:val="20"/>
          <w:lang w:val="en-GB"/>
        </w:rPr>
      </w:pPr>
      <w:r w:rsidRPr="00E63CA7">
        <w:rPr>
          <w:rFonts w:ascii="Arial" w:hAnsi="Arial" w:cs="Arial"/>
          <w:sz w:val="20"/>
          <w:szCs w:val="20"/>
          <w:lang w:val="en-GB"/>
        </w:rPr>
        <w:t xml:space="preserve">The Trust </w:t>
      </w:r>
      <w:r w:rsidR="0088779B" w:rsidRPr="00E63CA7">
        <w:rPr>
          <w:rFonts w:ascii="Arial" w:hAnsi="Arial" w:cs="Arial"/>
          <w:sz w:val="20"/>
          <w:szCs w:val="20"/>
          <w:lang w:val="en-GB"/>
        </w:rPr>
        <w:t>B</w:t>
      </w:r>
      <w:r w:rsidRPr="00E63CA7">
        <w:rPr>
          <w:rFonts w:ascii="Arial" w:hAnsi="Arial" w:cs="Arial"/>
          <w:sz w:val="20"/>
          <w:szCs w:val="20"/>
          <w:lang w:val="en-GB"/>
        </w:rPr>
        <w:t xml:space="preserve">oard held a total of </w:t>
      </w:r>
      <w:r w:rsidR="00437F36" w:rsidRPr="00E63CA7">
        <w:rPr>
          <w:rFonts w:ascii="Arial" w:hAnsi="Arial" w:cs="Arial"/>
          <w:sz w:val="20"/>
          <w:szCs w:val="20"/>
          <w:lang w:val="en-GB"/>
        </w:rPr>
        <w:t>six</w:t>
      </w:r>
      <w:r w:rsidRPr="00E63CA7">
        <w:rPr>
          <w:rFonts w:ascii="Arial" w:hAnsi="Arial" w:cs="Arial"/>
          <w:sz w:val="20"/>
          <w:szCs w:val="20"/>
          <w:lang w:val="en-GB"/>
        </w:rPr>
        <w:t xml:space="preserve"> publ</w:t>
      </w:r>
      <w:r w:rsidR="00CF0342" w:rsidRPr="00E63CA7">
        <w:rPr>
          <w:rFonts w:ascii="Arial" w:hAnsi="Arial" w:cs="Arial"/>
          <w:sz w:val="20"/>
          <w:szCs w:val="20"/>
          <w:lang w:val="en-GB"/>
        </w:rPr>
        <w:t xml:space="preserve">ic meetings between </w:t>
      </w:r>
      <w:r w:rsidR="00437F36" w:rsidRPr="00E63CA7">
        <w:rPr>
          <w:rFonts w:ascii="Arial" w:hAnsi="Arial" w:cs="Arial"/>
          <w:sz w:val="20"/>
          <w:szCs w:val="20"/>
          <w:lang w:val="en-GB"/>
        </w:rPr>
        <w:t>0</w:t>
      </w:r>
      <w:r w:rsidR="00CF0342" w:rsidRPr="00E63CA7">
        <w:rPr>
          <w:rFonts w:ascii="Arial" w:hAnsi="Arial" w:cs="Arial"/>
          <w:sz w:val="20"/>
          <w:szCs w:val="20"/>
          <w:lang w:val="en-GB"/>
        </w:rPr>
        <w:t>1 April 202</w:t>
      </w:r>
      <w:r w:rsidR="00F66FD9" w:rsidRPr="00E63CA7">
        <w:rPr>
          <w:rFonts w:ascii="Arial" w:hAnsi="Arial" w:cs="Arial"/>
          <w:sz w:val="20"/>
          <w:szCs w:val="20"/>
          <w:lang w:val="en-GB"/>
        </w:rPr>
        <w:t>4</w:t>
      </w:r>
      <w:r w:rsidR="00CF0342" w:rsidRPr="00E63CA7">
        <w:rPr>
          <w:rFonts w:ascii="Arial" w:hAnsi="Arial" w:cs="Arial"/>
          <w:sz w:val="20"/>
          <w:szCs w:val="20"/>
          <w:lang w:val="en-GB"/>
        </w:rPr>
        <w:t xml:space="preserve"> and 31 March 202</w:t>
      </w:r>
      <w:r w:rsidR="00F66FD9" w:rsidRPr="00E63CA7">
        <w:rPr>
          <w:rFonts w:ascii="Arial" w:hAnsi="Arial" w:cs="Arial"/>
          <w:sz w:val="20"/>
          <w:szCs w:val="20"/>
          <w:lang w:val="en-GB"/>
        </w:rPr>
        <w:t>5</w:t>
      </w:r>
      <w:r w:rsidRPr="00E63CA7">
        <w:rPr>
          <w:rFonts w:ascii="Arial" w:hAnsi="Arial" w:cs="Arial"/>
          <w:sz w:val="20"/>
          <w:szCs w:val="20"/>
          <w:lang w:val="en-GB"/>
        </w:rPr>
        <w:t xml:space="preserve">, and </w:t>
      </w:r>
      <w:r w:rsidR="00E63CA7" w:rsidRPr="00E63CA7">
        <w:rPr>
          <w:rFonts w:ascii="Arial" w:hAnsi="Arial" w:cs="Arial"/>
          <w:sz w:val="20"/>
          <w:szCs w:val="20"/>
          <w:lang w:val="en-GB"/>
        </w:rPr>
        <w:t>eight</w:t>
      </w:r>
      <w:r w:rsidR="00CF0342" w:rsidRPr="00E63CA7">
        <w:rPr>
          <w:rFonts w:ascii="Arial" w:hAnsi="Arial" w:cs="Arial"/>
          <w:sz w:val="20"/>
          <w:szCs w:val="20"/>
          <w:lang w:val="en-GB"/>
        </w:rPr>
        <w:t xml:space="preserve"> </w:t>
      </w:r>
      <w:r w:rsidRPr="00E63CA7">
        <w:rPr>
          <w:rFonts w:ascii="Arial" w:hAnsi="Arial" w:cs="Arial"/>
          <w:sz w:val="20"/>
          <w:szCs w:val="20"/>
          <w:lang w:val="en-GB"/>
        </w:rPr>
        <w:t>development sessions</w:t>
      </w:r>
      <w:r w:rsidR="00F13F02" w:rsidRPr="00E63CA7">
        <w:rPr>
          <w:rFonts w:ascii="Arial" w:hAnsi="Arial" w:cs="Arial"/>
          <w:sz w:val="20"/>
          <w:szCs w:val="20"/>
          <w:lang w:val="en-GB"/>
        </w:rPr>
        <w:t xml:space="preserve"> including Patient First and Strategic Development Review.</w:t>
      </w:r>
      <w:r w:rsidR="006B6A04">
        <w:rPr>
          <w:rFonts w:ascii="Arial" w:hAnsi="Arial" w:cs="Arial"/>
          <w:sz w:val="20"/>
          <w:szCs w:val="20"/>
          <w:lang w:val="en-GB"/>
        </w:rPr>
        <w:t xml:space="preserve">  </w:t>
      </w:r>
      <w:r w:rsidRPr="00E63CA7">
        <w:rPr>
          <w:rFonts w:ascii="Arial" w:hAnsi="Arial" w:cs="Arial"/>
          <w:sz w:val="20"/>
          <w:szCs w:val="20"/>
          <w:lang w:val="en-GB"/>
        </w:rPr>
        <w:t xml:space="preserve">Trust </w:t>
      </w:r>
      <w:r w:rsidR="007C1827" w:rsidRPr="00E63CA7">
        <w:rPr>
          <w:rFonts w:ascii="Arial" w:hAnsi="Arial" w:cs="Arial"/>
          <w:sz w:val="20"/>
          <w:szCs w:val="20"/>
          <w:lang w:val="en-GB"/>
        </w:rPr>
        <w:t>B</w:t>
      </w:r>
      <w:r w:rsidRPr="00E63CA7">
        <w:rPr>
          <w:rFonts w:ascii="Arial" w:hAnsi="Arial" w:cs="Arial"/>
          <w:sz w:val="20"/>
          <w:szCs w:val="20"/>
          <w:lang w:val="en-GB"/>
        </w:rPr>
        <w:t>oard meetings are held in public unless there is confidential or sensitive information to be discussed.</w:t>
      </w:r>
      <w:r w:rsidR="006B6A04">
        <w:rPr>
          <w:rFonts w:ascii="Arial" w:hAnsi="Arial" w:cs="Arial"/>
          <w:sz w:val="20"/>
          <w:szCs w:val="20"/>
          <w:lang w:val="en-GB"/>
        </w:rPr>
        <w:t xml:space="preserve">  </w:t>
      </w:r>
      <w:r w:rsidRPr="00E63CA7">
        <w:rPr>
          <w:rFonts w:ascii="Arial" w:hAnsi="Arial" w:cs="Arial"/>
          <w:sz w:val="20"/>
          <w:szCs w:val="20"/>
          <w:lang w:val="en-GB"/>
        </w:rPr>
        <w:t xml:space="preserve">This is detailed on the </w:t>
      </w:r>
      <w:r w:rsidR="006B6A04">
        <w:rPr>
          <w:rFonts w:ascii="Arial" w:hAnsi="Arial" w:cs="Arial"/>
          <w:sz w:val="20"/>
          <w:szCs w:val="20"/>
          <w:lang w:val="en-GB"/>
        </w:rPr>
        <w:t>B</w:t>
      </w:r>
      <w:r w:rsidRPr="00E63CA7">
        <w:rPr>
          <w:rFonts w:ascii="Arial" w:hAnsi="Arial" w:cs="Arial"/>
          <w:sz w:val="20"/>
          <w:szCs w:val="20"/>
          <w:lang w:val="en-GB"/>
        </w:rPr>
        <w:t>oard agenda which</w:t>
      </w:r>
      <w:r w:rsidRPr="00F66FD9">
        <w:rPr>
          <w:rFonts w:ascii="Arial" w:hAnsi="Arial" w:cs="Arial"/>
          <w:sz w:val="20"/>
          <w:szCs w:val="20"/>
          <w:lang w:val="en-GB"/>
        </w:rPr>
        <w:t xml:space="preserve"> is published, together with the meeting papers on the Trust’s website.</w:t>
      </w:r>
    </w:p>
    <w:p w14:paraId="4B83C02E" w14:textId="77777777" w:rsidR="00CF0342" w:rsidRPr="00F66FD9" w:rsidRDefault="00CF0342" w:rsidP="00C82CB3">
      <w:pPr>
        <w:jc w:val="both"/>
        <w:rPr>
          <w:rFonts w:ascii="Arial" w:hAnsi="Arial" w:cs="Arial"/>
          <w:sz w:val="20"/>
          <w:szCs w:val="20"/>
          <w:lang w:val="en-GB"/>
        </w:rPr>
      </w:pPr>
    </w:p>
    <w:p w14:paraId="18707E7A" w14:textId="77777777" w:rsidR="00010A15" w:rsidRPr="00F66FD9" w:rsidRDefault="00010A15" w:rsidP="00C82CB3">
      <w:pPr>
        <w:jc w:val="both"/>
        <w:rPr>
          <w:rFonts w:ascii="Arial" w:hAnsi="Arial" w:cs="Arial"/>
          <w:i/>
          <w:sz w:val="20"/>
          <w:szCs w:val="20"/>
          <w:lang w:val="en-GB"/>
        </w:rPr>
      </w:pPr>
      <w:r w:rsidRPr="00F66FD9">
        <w:rPr>
          <w:rFonts w:ascii="Arial" w:hAnsi="Arial" w:cs="Arial"/>
          <w:sz w:val="20"/>
          <w:szCs w:val="20"/>
          <w:lang w:val="en-GB"/>
        </w:rPr>
        <w:t xml:space="preserve">Director attendance at formal committee and public </w:t>
      </w:r>
      <w:r w:rsidR="006B6A04">
        <w:rPr>
          <w:rFonts w:ascii="Arial" w:hAnsi="Arial" w:cs="Arial"/>
          <w:sz w:val="20"/>
          <w:szCs w:val="20"/>
          <w:lang w:val="en-GB"/>
        </w:rPr>
        <w:t>B</w:t>
      </w:r>
      <w:r w:rsidRPr="00F66FD9">
        <w:rPr>
          <w:rFonts w:ascii="Arial" w:hAnsi="Arial" w:cs="Arial"/>
          <w:sz w:val="20"/>
          <w:szCs w:val="20"/>
          <w:lang w:val="en-GB"/>
        </w:rPr>
        <w:t xml:space="preserve">oard meetings is detailed under: </w:t>
      </w:r>
      <w:r w:rsidRPr="00F66FD9">
        <w:rPr>
          <w:rFonts w:ascii="Arial" w:hAnsi="Arial" w:cs="Arial"/>
          <w:i/>
          <w:sz w:val="20"/>
          <w:szCs w:val="20"/>
          <w:lang w:val="en-GB"/>
        </w:rPr>
        <w:t>Attendance at Board of Director</w:t>
      </w:r>
      <w:r w:rsidR="00CF0342" w:rsidRPr="00F66FD9">
        <w:rPr>
          <w:rFonts w:ascii="Arial" w:hAnsi="Arial" w:cs="Arial"/>
          <w:i/>
          <w:sz w:val="20"/>
          <w:szCs w:val="20"/>
          <w:lang w:val="en-GB"/>
        </w:rPr>
        <w:t>s and Committee meetings in 202</w:t>
      </w:r>
      <w:r w:rsidR="00F66FD9">
        <w:rPr>
          <w:rFonts w:ascii="Arial" w:hAnsi="Arial" w:cs="Arial"/>
          <w:i/>
          <w:sz w:val="20"/>
          <w:szCs w:val="20"/>
          <w:lang w:val="en-GB"/>
        </w:rPr>
        <w:t>4</w:t>
      </w:r>
      <w:r w:rsidRPr="00F66FD9">
        <w:rPr>
          <w:rFonts w:ascii="Arial" w:hAnsi="Arial" w:cs="Arial"/>
          <w:i/>
          <w:sz w:val="20"/>
          <w:szCs w:val="20"/>
          <w:lang w:val="en-GB"/>
        </w:rPr>
        <w:t>/2</w:t>
      </w:r>
      <w:r w:rsidR="00F66FD9">
        <w:rPr>
          <w:rFonts w:ascii="Arial" w:hAnsi="Arial" w:cs="Arial"/>
          <w:i/>
          <w:sz w:val="20"/>
          <w:szCs w:val="20"/>
          <w:lang w:val="en-GB"/>
        </w:rPr>
        <w:t>5</w:t>
      </w:r>
      <w:r w:rsidRPr="00F66FD9">
        <w:rPr>
          <w:rFonts w:ascii="Arial" w:hAnsi="Arial" w:cs="Arial"/>
          <w:i/>
          <w:sz w:val="20"/>
          <w:szCs w:val="20"/>
          <w:lang w:val="en-GB"/>
        </w:rPr>
        <w:t>.</w:t>
      </w:r>
    </w:p>
    <w:p w14:paraId="2EB0D906" w14:textId="77777777" w:rsidR="00010A15" w:rsidRPr="00F66FD9" w:rsidRDefault="00010A15" w:rsidP="00C82CB3">
      <w:pPr>
        <w:jc w:val="both"/>
        <w:rPr>
          <w:rFonts w:ascii="Arial" w:hAnsi="Arial" w:cs="Arial"/>
          <w:i/>
          <w:sz w:val="20"/>
          <w:szCs w:val="20"/>
          <w:lang w:val="en-GB"/>
        </w:rPr>
      </w:pPr>
    </w:p>
    <w:p w14:paraId="518298B0" w14:textId="77777777" w:rsidR="00CF0342" w:rsidRPr="00F66FD9" w:rsidRDefault="00010A15" w:rsidP="00C82CB3">
      <w:pPr>
        <w:jc w:val="both"/>
        <w:rPr>
          <w:rFonts w:ascii="Arial" w:hAnsi="Arial" w:cs="Arial"/>
          <w:b/>
          <w:sz w:val="20"/>
          <w:szCs w:val="20"/>
          <w:lang w:val="en-GB"/>
        </w:rPr>
      </w:pPr>
      <w:r w:rsidRPr="00F66FD9">
        <w:rPr>
          <w:rFonts w:ascii="Arial" w:hAnsi="Arial" w:cs="Arial"/>
          <w:b/>
          <w:sz w:val="20"/>
          <w:szCs w:val="20"/>
          <w:lang w:val="en-GB"/>
        </w:rPr>
        <w:t xml:space="preserve">Development of </w:t>
      </w:r>
      <w:r w:rsidR="000255EB" w:rsidRPr="00F66FD9">
        <w:rPr>
          <w:rFonts w:ascii="Arial" w:hAnsi="Arial" w:cs="Arial"/>
          <w:b/>
          <w:sz w:val="20"/>
          <w:szCs w:val="20"/>
          <w:lang w:val="en-GB"/>
        </w:rPr>
        <w:t>W</w:t>
      </w:r>
      <w:r w:rsidRPr="00F66FD9">
        <w:rPr>
          <w:rFonts w:ascii="Arial" w:hAnsi="Arial" w:cs="Arial"/>
          <w:b/>
          <w:sz w:val="20"/>
          <w:szCs w:val="20"/>
          <w:lang w:val="en-GB"/>
        </w:rPr>
        <w:t xml:space="preserve">orking </w:t>
      </w:r>
      <w:r w:rsidR="000255EB" w:rsidRPr="00F66FD9">
        <w:rPr>
          <w:rFonts w:ascii="Arial" w:hAnsi="Arial" w:cs="Arial"/>
          <w:b/>
          <w:sz w:val="20"/>
          <w:szCs w:val="20"/>
          <w:lang w:val="en-GB"/>
        </w:rPr>
        <w:t>R</w:t>
      </w:r>
      <w:r w:rsidRPr="00F66FD9">
        <w:rPr>
          <w:rFonts w:ascii="Arial" w:hAnsi="Arial" w:cs="Arial"/>
          <w:b/>
          <w:sz w:val="20"/>
          <w:szCs w:val="20"/>
          <w:lang w:val="en-GB"/>
        </w:rPr>
        <w:t>elationships with the Council of Governors</w:t>
      </w:r>
    </w:p>
    <w:p w14:paraId="1A288C27" w14:textId="77777777" w:rsidR="00010A15" w:rsidRPr="00F66FD9" w:rsidRDefault="00010A15" w:rsidP="00C82CB3">
      <w:pPr>
        <w:jc w:val="both"/>
        <w:rPr>
          <w:rFonts w:ascii="Arial" w:hAnsi="Arial" w:cs="Arial"/>
          <w:sz w:val="20"/>
          <w:szCs w:val="20"/>
          <w:lang w:val="en-GB"/>
        </w:rPr>
      </w:pPr>
      <w:r w:rsidRPr="00F66FD9">
        <w:rPr>
          <w:rFonts w:ascii="Arial" w:hAnsi="Arial" w:cs="Arial"/>
          <w:sz w:val="20"/>
          <w:szCs w:val="20"/>
          <w:lang w:val="en-GB"/>
        </w:rPr>
        <w:t>The Board of Directors and the Council of Governors have development/discussion sessions to examine particular areas of interest and concern.</w:t>
      </w:r>
      <w:r w:rsidR="006B6A04">
        <w:rPr>
          <w:rFonts w:ascii="Arial" w:hAnsi="Arial" w:cs="Arial"/>
          <w:sz w:val="20"/>
          <w:szCs w:val="20"/>
          <w:lang w:val="en-GB"/>
        </w:rPr>
        <w:t xml:space="preserve">  </w:t>
      </w:r>
      <w:r w:rsidRPr="00F66FD9">
        <w:rPr>
          <w:rFonts w:ascii="Arial" w:hAnsi="Arial" w:cs="Arial"/>
          <w:sz w:val="20"/>
          <w:szCs w:val="20"/>
          <w:lang w:val="en-GB"/>
        </w:rPr>
        <w:t>With the challenges facing the Trust, these sessions enable the views of both the Board of Directors and Council of Governors to be shared and are considered invaluable to all concerned.</w:t>
      </w:r>
    </w:p>
    <w:p w14:paraId="20958372" w14:textId="77777777" w:rsidR="00010A15" w:rsidRDefault="00010A15" w:rsidP="00C82CB3">
      <w:pPr>
        <w:jc w:val="both"/>
        <w:rPr>
          <w:rFonts w:ascii="Arial" w:hAnsi="Arial" w:cs="Arial"/>
          <w:sz w:val="20"/>
          <w:szCs w:val="20"/>
          <w:highlight w:val="yellow"/>
          <w:lang w:val="en-GB"/>
        </w:rPr>
      </w:pPr>
    </w:p>
    <w:p w14:paraId="22E066A3" w14:textId="77777777" w:rsidR="00C82CB3" w:rsidRPr="00696EE6" w:rsidRDefault="00C82CB3" w:rsidP="00C82CB3">
      <w:pPr>
        <w:jc w:val="both"/>
        <w:rPr>
          <w:rFonts w:ascii="Arial" w:hAnsi="Arial" w:cs="Arial"/>
          <w:sz w:val="20"/>
          <w:szCs w:val="20"/>
          <w:highlight w:val="yellow"/>
          <w:lang w:val="en-GB"/>
        </w:rPr>
      </w:pPr>
    </w:p>
    <w:p w14:paraId="15CE33DD" w14:textId="77777777" w:rsidR="00CF0342" w:rsidRPr="00F66FD9" w:rsidRDefault="00010A15" w:rsidP="00010A15">
      <w:pPr>
        <w:rPr>
          <w:rFonts w:ascii="Arial" w:hAnsi="Arial" w:cs="Arial"/>
          <w:b/>
          <w:sz w:val="20"/>
          <w:szCs w:val="20"/>
          <w:lang w:val="en-GB"/>
        </w:rPr>
      </w:pPr>
      <w:r w:rsidRPr="00F66FD9">
        <w:rPr>
          <w:rFonts w:ascii="Arial" w:hAnsi="Arial" w:cs="Arial"/>
          <w:b/>
          <w:sz w:val="20"/>
          <w:szCs w:val="20"/>
          <w:lang w:val="en-GB"/>
        </w:rPr>
        <w:t xml:space="preserve">Committees of the Trust </w:t>
      </w:r>
      <w:r w:rsidR="002135FD" w:rsidRPr="00F66FD9">
        <w:rPr>
          <w:rFonts w:ascii="Arial" w:hAnsi="Arial" w:cs="Arial"/>
          <w:b/>
          <w:sz w:val="20"/>
          <w:szCs w:val="20"/>
          <w:lang w:val="en-GB"/>
        </w:rPr>
        <w:t>B</w:t>
      </w:r>
      <w:r w:rsidRPr="00F66FD9">
        <w:rPr>
          <w:rFonts w:ascii="Arial" w:hAnsi="Arial" w:cs="Arial"/>
          <w:b/>
          <w:sz w:val="20"/>
          <w:szCs w:val="20"/>
          <w:lang w:val="en-GB"/>
        </w:rPr>
        <w:t>oard</w:t>
      </w:r>
    </w:p>
    <w:p w14:paraId="22A8650D" w14:textId="77777777" w:rsidR="006B6A04" w:rsidRDefault="00010A15" w:rsidP="00010A15">
      <w:pPr>
        <w:rPr>
          <w:rFonts w:ascii="Arial" w:hAnsi="Arial" w:cs="Arial"/>
          <w:sz w:val="20"/>
          <w:szCs w:val="20"/>
          <w:lang w:val="en-GB"/>
        </w:rPr>
      </w:pPr>
      <w:r w:rsidRPr="00F66FD9">
        <w:rPr>
          <w:rFonts w:ascii="Arial" w:hAnsi="Arial" w:cs="Arial"/>
          <w:sz w:val="20"/>
          <w:szCs w:val="20"/>
          <w:lang w:val="en-GB"/>
        </w:rPr>
        <w:t xml:space="preserve">The </w:t>
      </w:r>
      <w:r w:rsidR="002135FD" w:rsidRPr="00F66FD9">
        <w:rPr>
          <w:rFonts w:ascii="Arial" w:hAnsi="Arial" w:cs="Arial"/>
          <w:sz w:val="20"/>
          <w:szCs w:val="20"/>
          <w:lang w:val="en-GB"/>
        </w:rPr>
        <w:t>B</w:t>
      </w:r>
      <w:r w:rsidRPr="00F66FD9">
        <w:rPr>
          <w:rFonts w:ascii="Arial" w:hAnsi="Arial" w:cs="Arial"/>
          <w:sz w:val="20"/>
          <w:szCs w:val="20"/>
          <w:lang w:val="en-GB"/>
        </w:rPr>
        <w:t>oard delegates certain functions to committees that meet regularly.</w:t>
      </w:r>
      <w:r w:rsidR="00F66FD9" w:rsidRPr="00F66FD9">
        <w:rPr>
          <w:rFonts w:ascii="Arial" w:hAnsi="Arial" w:cs="Arial"/>
          <w:sz w:val="20"/>
          <w:szCs w:val="20"/>
          <w:lang w:val="en-GB"/>
        </w:rPr>
        <w:t xml:space="preserve">  </w:t>
      </w:r>
      <w:r w:rsidRPr="00F66FD9">
        <w:rPr>
          <w:rFonts w:ascii="Arial" w:hAnsi="Arial" w:cs="Arial"/>
          <w:sz w:val="20"/>
          <w:szCs w:val="20"/>
          <w:lang w:val="en-GB"/>
        </w:rPr>
        <w:t xml:space="preserve">The </w:t>
      </w:r>
      <w:r w:rsidR="002135FD" w:rsidRPr="00F66FD9">
        <w:rPr>
          <w:rFonts w:ascii="Arial" w:hAnsi="Arial" w:cs="Arial"/>
          <w:sz w:val="20"/>
          <w:szCs w:val="20"/>
          <w:lang w:val="en-GB"/>
        </w:rPr>
        <w:t>B</w:t>
      </w:r>
      <w:r w:rsidRPr="00F66FD9">
        <w:rPr>
          <w:rFonts w:ascii="Arial" w:hAnsi="Arial" w:cs="Arial"/>
          <w:sz w:val="20"/>
          <w:szCs w:val="20"/>
          <w:lang w:val="en-GB"/>
        </w:rPr>
        <w:t xml:space="preserve">oard receives any amendments to </w:t>
      </w:r>
      <w:r w:rsidR="006B6A04">
        <w:rPr>
          <w:rFonts w:ascii="Arial" w:hAnsi="Arial" w:cs="Arial"/>
          <w:sz w:val="20"/>
          <w:szCs w:val="20"/>
          <w:lang w:val="en-GB"/>
        </w:rPr>
        <w:t xml:space="preserve">Board </w:t>
      </w:r>
      <w:r w:rsidRPr="00F66FD9">
        <w:rPr>
          <w:rFonts w:ascii="Arial" w:hAnsi="Arial" w:cs="Arial"/>
          <w:sz w:val="20"/>
          <w:szCs w:val="20"/>
          <w:lang w:val="en-GB"/>
        </w:rPr>
        <w:t>committee terms of reference.</w:t>
      </w:r>
      <w:r w:rsidR="002135FD" w:rsidRPr="00F66FD9">
        <w:rPr>
          <w:rFonts w:ascii="Arial" w:hAnsi="Arial" w:cs="Arial"/>
          <w:sz w:val="20"/>
          <w:szCs w:val="20"/>
          <w:lang w:val="en-GB"/>
        </w:rPr>
        <w:t xml:space="preserve">  </w:t>
      </w:r>
      <w:r w:rsidRPr="00F66FD9">
        <w:rPr>
          <w:rFonts w:ascii="Arial" w:hAnsi="Arial" w:cs="Arial"/>
          <w:sz w:val="20"/>
          <w:szCs w:val="20"/>
          <w:lang w:val="en-GB"/>
        </w:rPr>
        <w:t>Non-</w:t>
      </w:r>
      <w:r w:rsidR="002135FD" w:rsidRPr="00F66FD9">
        <w:rPr>
          <w:rFonts w:ascii="Arial" w:hAnsi="Arial" w:cs="Arial"/>
          <w:sz w:val="20"/>
          <w:szCs w:val="20"/>
          <w:lang w:val="en-GB"/>
        </w:rPr>
        <w:t>E</w:t>
      </w:r>
      <w:r w:rsidRPr="00F66FD9">
        <w:rPr>
          <w:rFonts w:ascii="Arial" w:hAnsi="Arial" w:cs="Arial"/>
          <w:sz w:val="20"/>
          <w:szCs w:val="20"/>
          <w:lang w:val="en-GB"/>
        </w:rPr>
        <w:t xml:space="preserve">xecutive </w:t>
      </w:r>
      <w:r w:rsidR="002135FD" w:rsidRPr="00F66FD9">
        <w:rPr>
          <w:rFonts w:ascii="Arial" w:hAnsi="Arial" w:cs="Arial"/>
          <w:sz w:val="20"/>
          <w:szCs w:val="20"/>
          <w:lang w:val="en-GB"/>
        </w:rPr>
        <w:t>D</w:t>
      </w:r>
      <w:r w:rsidRPr="00F66FD9">
        <w:rPr>
          <w:rFonts w:ascii="Arial" w:hAnsi="Arial" w:cs="Arial"/>
          <w:sz w:val="20"/>
          <w:szCs w:val="20"/>
          <w:lang w:val="en-GB"/>
        </w:rPr>
        <w:t xml:space="preserve">irectors chair the </w:t>
      </w:r>
      <w:r w:rsidR="002135FD" w:rsidRPr="00F66FD9">
        <w:rPr>
          <w:rFonts w:ascii="Arial" w:hAnsi="Arial" w:cs="Arial"/>
          <w:sz w:val="20"/>
          <w:szCs w:val="20"/>
          <w:lang w:val="en-GB"/>
        </w:rPr>
        <w:t>B</w:t>
      </w:r>
      <w:r w:rsidRPr="00F66FD9">
        <w:rPr>
          <w:rFonts w:ascii="Arial" w:hAnsi="Arial" w:cs="Arial"/>
          <w:sz w:val="20"/>
          <w:szCs w:val="20"/>
          <w:lang w:val="en-GB"/>
        </w:rPr>
        <w:t>oard committees.</w:t>
      </w:r>
      <w:r w:rsidR="006B6A04">
        <w:rPr>
          <w:rFonts w:ascii="Arial" w:hAnsi="Arial" w:cs="Arial"/>
          <w:sz w:val="20"/>
          <w:szCs w:val="20"/>
          <w:lang w:val="en-GB"/>
        </w:rPr>
        <w:t xml:space="preserve">  </w:t>
      </w:r>
      <w:r w:rsidRPr="00F66FD9">
        <w:rPr>
          <w:rFonts w:ascii="Arial" w:hAnsi="Arial" w:cs="Arial"/>
          <w:sz w:val="20"/>
          <w:szCs w:val="20"/>
          <w:lang w:val="en-GB"/>
        </w:rPr>
        <w:t>Each committee reviews its own effectiveness annually; an up-to-date work programme, action log and terms of reference is maintained for each one.</w:t>
      </w:r>
      <w:r w:rsidR="00F66FD9" w:rsidRPr="00F66FD9">
        <w:rPr>
          <w:rFonts w:ascii="Arial" w:hAnsi="Arial" w:cs="Arial"/>
          <w:sz w:val="20"/>
          <w:szCs w:val="20"/>
          <w:lang w:val="en-GB"/>
        </w:rPr>
        <w:t xml:space="preserve">  </w:t>
      </w:r>
    </w:p>
    <w:p w14:paraId="31396D4E" w14:textId="77777777" w:rsidR="006B6A04" w:rsidRDefault="006B6A04" w:rsidP="00010A15">
      <w:pPr>
        <w:rPr>
          <w:rFonts w:ascii="Arial" w:hAnsi="Arial" w:cs="Arial"/>
          <w:sz w:val="20"/>
          <w:szCs w:val="20"/>
          <w:lang w:val="en-GB"/>
        </w:rPr>
      </w:pPr>
    </w:p>
    <w:p w14:paraId="03230B0D" w14:textId="77777777" w:rsidR="00010A15" w:rsidRPr="00F66FD9" w:rsidRDefault="002F0875" w:rsidP="00010A15">
      <w:pPr>
        <w:rPr>
          <w:rFonts w:ascii="Arial" w:hAnsi="Arial" w:cs="Arial"/>
          <w:sz w:val="20"/>
          <w:szCs w:val="20"/>
          <w:lang w:val="en-GB"/>
        </w:rPr>
      </w:pPr>
      <w:r w:rsidRPr="00F66FD9">
        <w:rPr>
          <w:rFonts w:ascii="Arial" w:hAnsi="Arial" w:cs="Arial"/>
          <w:sz w:val="20"/>
          <w:szCs w:val="20"/>
          <w:lang w:val="en-GB"/>
        </w:rPr>
        <w:t>As part of the organisation</w:t>
      </w:r>
      <w:r w:rsidR="00151035" w:rsidRPr="00F66FD9">
        <w:rPr>
          <w:rFonts w:ascii="Arial" w:hAnsi="Arial" w:cs="Arial"/>
          <w:sz w:val="20"/>
          <w:szCs w:val="20"/>
          <w:lang w:val="en-GB"/>
        </w:rPr>
        <w:t>’</w:t>
      </w:r>
      <w:r w:rsidRPr="00F66FD9">
        <w:rPr>
          <w:rFonts w:ascii="Arial" w:hAnsi="Arial" w:cs="Arial"/>
          <w:sz w:val="20"/>
          <w:szCs w:val="20"/>
          <w:lang w:val="en-GB"/>
        </w:rPr>
        <w:t xml:space="preserve">s implementation of the Patient First improvement methodology the </w:t>
      </w:r>
      <w:r w:rsidR="00151035" w:rsidRPr="00F66FD9">
        <w:rPr>
          <w:rFonts w:ascii="Arial" w:hAnsi="Arial" w:cs="Arial"/>
          <w:sz w:val="20"/>
          <w:szCs w:val="20"/>
          <w:lang w:val="en-GB"/>
        </w:rPr>
        <w:t>T</w:t>
      </w:r>
      <w:r w:rsidRPr="00F66FD9">
        <w:rPr>
          <w:rFonts w:ascii="Arial" w:hAnsi="Arial" w:cs="Arial"/>
          <w:sz w:val="20"/>
          <w:szCs w:val="20"/>
          <w:lang w:val="en-GB"/>
        </w:rPr>
        <w:t>rust has undertaken a review of its governance and has been aligning the committees</w:t>
      </w:r>
      <w:r w:rsidR="00151035" w:rsidRPr="00F66FD9">
        <w:rPr>
          <w:rFonts w:ascii="Arial" w:hAnsi="Arial" w:cs="Arial"/>
          <w:sz w:val="20"/>
          <w:szCs w:val="20"/>
          <w:lang w:val="en-GB"/>
        </w:rPr>
        <w:t>’</w:t>
      </w:r>
      <w:r w:rsidRPr="00F66FD9">
        <w:rPr>
          <w:rFonts w:ascii="Arial" w:hAnsi="Arial" w:cs="Arial"/>
          <w:sz w:val="20"/>
          <w:szCs w:val="20"/>
          <w:lang w:val="en-GB"/>
        </w:rPr>
        <w:t xml:space="preserve"> Terms of Reference and work programmes to the new approach. </w:t>
      </w:r>
    </w:p>
    <w:p w14:paraId="726BB0A9" w14:textId="77777777" w:rsidR="00437F36" w:rsidRDefault="00437F36" w:rsidP="00010A15">
      <w:pPr>
        <w:rPr>
          <w:noProof/>
        </w:rPr>
      </w:pPr>
    </w:p>
    <w:p w14:paraId="2865336B" w14:textId="77777777" w:rsidR="00D50222" w:rsidRDefault="00D50222" w:rsidP="00010A15">
      <w:pPr>
        <w:rPr>
          <w:noProof/>
        </w:rPr>
      </w:pPr>
    </w:p>
    <w:p w14:paraId="4D724931" w14:textId="77777777" w:rsidR="00D50222" w:rsidRDefault="00D50222" w:rsidP="00010A15">
      <w:pPr>
        <w:rPr>
          <w:noProof/>
        </w:rPr>
      </w:pPr>
    </w:p>
    <w:p w14:paraId="346EB4EB" w14:textId="77777777" w:rsidR="00D50222" w:rsidRDefault="00D50222" w:rsidP="00010A15">
      <w:pPr>
        <w:rPr>
          <w:noProof/>
        </w:rPr>
      </w:pPr>
    </w:p>
    <w:p w14:paraId="161F663A" w14:textId="77777777" w:rsidR="00D50222" w:rsidRDefault="00D50222" w:rsidP="00010A15">
      <w:pPr>
        <w:rPr>
          <w:noProof/>
        </w:rPr>
      </w:pPr>
    </w:p>
    <w:p w14:paraId="4DA18427" w14:textId="77777777" w:rsidR="00D50222" w:rsidRDefault="00D50222" w:rsidP="00010A15">
      <w:pPr>
        <w:rPr>
          <w:noProof/>
        </w:rPr>
      </w:pPr>
    </w:p>
    <w:p w14:paraId="4857B824" w14:textId="77777777" w:rsidR="006B6A04" w:rsidRPr="004030DB" w:rsidRDefault="006B6A04" w:rsidP="00B671D0">
      <w:pPr>
        <w:jc w:val="both"/>
        <w:rPr>
          <w:rFonts w:ascii="Arial" w:hAnsi="Arial" w:cs="Arial"/>
          <w:b/>
          <w:sz w:val="20"/>
          <w:szCs w:val="20"/>
          <w:lang w:val="en-GB"/>
        </w:rPr>
      </w:pPr>
      <w:r w:rsidRPr="004030DB">
        <w:rPr>
          <w:rFonts w:ascii="Arial" w:hAnsi="Arial" w:cs="Arial"/>
          <w:b/>
          <w:sz w:val="20"/>
          <w:szCs w:val="20"/>
          <w:lang w:val="en-GB"/>
        </w:rPr>
        <w:lastRenderedPageBreak/>
        <w:t xml:space="preserve">Governance Framework – Organisational Structure </w:t>
      </w:r>
    </w:p>
    <w:p w14:paraId="68400D19" w14:textId="77777777" w:rsidR="006B6A04" w:rsidRPr="00B671D0" w:rsidRDefault="006B6A04" w:rsidP="00B671D0">
      <w:pPr>
        <w:jc w:val="both"/>
        <w:rPr>
          <w:rFonts w:ascii="Arial" w:hAnsi="Arial" w:cs="Arial"/>
          <w:lang w:val="en-GB"/>
        </w:rPr>
      </w:pPr>
      <w:r w:rsidRPr="00B671D0">
        <w:rPr>
          <w:noProof/>
        </w:rPr>
        <w:drawing>
          <wp:anchor distT="0" distB="0" distL="114300" distR="114300" simplePos="0" relativeHeight="251817984" behindDoc="0" locked="0" layoutInCell="1" allowOverlap="1" wp14:anchorId="6907F587" wp14:editId="7163301B">
            <wp:simplePos x="0" y="0"/>
            <wp:positionH relativeFrom="column">
              <wp:posOffset>-253560</wp:posOffset>
            </wp:positionH>
            <wp:positionV relativeFrom="paragraph">
              <wp:posOffset>0</wp:posOffset>
            </wp:positionV>
            <wp:extent cx="5988050" cy="3216275"/>
            <wp:effectExtent l="0" t="0" r="0" b="3175"/>
            <wp:wrapSquare wrapText="bothSides"/>
            <wp:docPr id="1556758589" name="Picture 1556758589" descr="Image of the organisational structure - this can be audio descripted upon request.  The details of each committee and board can be found in the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988050" cy="3216275"/>
                    </a:xfrm>
                    <a:prstGeom prst="rect">
                      <a:avLst/>
                    </a:prstGeom>
                  </pic:spPr>
                </pic:pic>
              </a:graphicData>
            </a:graphic>
            <wp14:sizeRelH relativeFrom="page">
              <wp14:pctWidth>0</wp14:pctWidth>
            </wp14:sizeRelH>
            <wp14:sizeRelV relativeFrom="page">
              <wp14:pctHeight>0</wp14:pctHeight>
            </wp14:sizeRelV>
          </wp:anchor>
        </w:drawing>
      </w:r>
    </w:p>
    <w:p w14:paraId="7C4377FB" w14:textId="77777777" w:rsidR="00010A15" w:rsidRPr="004030DB" w:rsidRDefault="00010A15" w:rsidP="00B671D0">
      <w:pPr>
        <w:jc w:val="both"/>
        <w:rPr>
          <w:rFonts w:ascii="Arial" w:hAnsi="Arial" w:cs="Arial"/>
          <w:sz w:val="20"/>
          <w:szCs w:val="20"/>
          <w:lang w:val="en-GB"/>
        </w:rPr>
      </w:pPr>
    </w:p>
    <w:p w14:paraId="435EDAB5" w14:textId="77777777" w:rsidR="00010A15" w:rsidRPr="004030DB" w:rsidRDefault="00010A15" w:rsidP="00B671D0">
      <w:pPr>
        <w:jc w:val="both"/>
        <w:rPr>
          <w:rFonts w:ascii="Arial" w:hAnsi="Arial" w:cs="Arial"/>
          <w:b/>
          <w:sz w:val="20"/>
          <w:szCs w:val="20"/>
          <w:u w:val="single"/>
          <w:lang w:val="en-GB"/>
        </w:rPr>
      </w:pPr>
      <w:r w:rsidRPr="004030DB">
        <w:rPr>
          <w:rFonts w:ascii="Arial" w:hAnsi="Arial" w:cs="Arial"/>
          <w:b/>
          <w:sz w:val="20"/>
          <w:szCs w:val="20"/>
          <w:u w:val="single"/>
          <w:lang w:val="en-GB"/>
        </w:rPr>
        <w:t xml:space="preserve">Audit </w:t>
      </w:r>
      <w:r w:rsidR="00141FFE" w:rsidRPr="004030DB">
        <w:rPr>
          <w:rFonts w:ascii="Arial" w:hAnsi="Arial" w:cs="Arial"/>
          <w:b/>
          <w:sz w:val="20"/>
          <w:szCs w:val="20"/>
          <w:u w:val="single"/>
          <w:lang w:val="en-GB"/>
        </w:rPr>
        <w:t>and</w:t>
      </w:r>
      <w:r w:rsidRPr="004030DB">
        <w:rPr>
          <w:rFonts w:ascii="Arial" w:hAnsi="Arial" w:cs="Arial"/>
          <w:b/>
          <w:sz w:val="20"/>
          <w:szCs w:val="20"/>
          <w:u w:val="single"/>
          <w:lang w:val="en-GB"/>
        </w:rPr>
        <w:t xml:space="preserve"> Risk Committee</w:t>
      </w:r>
    </w:p>
    <w:p w14:paraId="28F93BC7" w14:textId="77777777" w:rsidR="00010A15" w:rsidRPr="004030DB" w:rsidRDefault="00010A15" w:rsidP="00B671D0">
      <w:pPr>
        <w:jc w:val="both"/>
        <w:rPr>
          <w:rFonts w:ascii="Arial" w:hAnsi="Arial" w:cs="Arial"/>
          <w:sz w:val="20"/>
          <w:szCs w:val="20"/>
          <w:lang w:val="en-GB"/>
        </w:rPr>
      </w:pPr>
      <w:r w:rsidRPr="004030DB">
        <w:rPr>
          <w:rFonts w:ascii="Arial" w:hAnsi="Arial" w:cs="Arial"/>
          <w:sz w:val="20"/>
          <w:szCs w:val="20"/>
          <w:lang w:val="en-GB"/>
        </w:rPr>
        <w:t xml:space="preserve">The report of the Audit </w:t>
      </w:r>
      <w:r w:rsidR="00141FFE" w:rsidRPr="004030DB">
        <w:rPr>
          <w:rFonts w:ascii="Arial" w:hAnsi="Arial" w:cs="Arial"/>
          <w:sz w:val="20"/>
          <w:szCs w:val="20"/>
          <w:lang w:val="en-GB"/>
        </w:rPr>
        <w:t>and</w:t>
      </w:r>
      <w:r w:rsidRPr="004030DB">
        <w:rPr>
          <w:rFonts w:ascii="Arial" w:hAnsi="Arial" w:cs="Arial"/>
          <w:sz w:val="20"/>
          <w:szCs w:val="20"/>
          <w:lang w:val="en-GB"/>
        </w:rPr>
        <w:t xml:space="preserve"> Risk Committee is detailed separately as required by section C.3.9 of the NHS Foundation Trust Code of Governance.</w:t>
      </w:r>
    </w:p>
    <w:p w14:paraId="7C771BF4" w14:textId="77777777" w:rsidR="00010A15" w:rsidRPr="004030DB" w:rsidRDefault="00010A15" w:rsidP="00B671D0">
      <w:pPr>
        <w:jc w:val="both"/>
        <w:rPr>
          <w:rFonts w:ascii="Arial" w:hAnsi="Arial" w:cs="Arial"/>
          <w:sz w:val="20"/>
          <w:szCs w:val="20"/>
          <w:lang w:val="en-GB"/>
        </w:rPr>
      </w:pPr>
    </w:p>
    <w:p w14:paraId="0078579B" w14:textId="77777777" w:rsidR="00010A15" w:rsidRPr="004030DB" w:rsidRDefault="00010A15" w:rsidP="00B671D0">
      <w:pPr>
        <w:jc w:val="both"/>
        <w:rPr>
          <w:rFonts w:ascii="Arial" w:hAnsi="Arial" w:cs="Arial"/>
          <w:b/>
          <w:sz w:val="20"/>
          <w:szCs w:val="20"/>
          <w:u w:val="single"/>
          <w:lang w:val="en-GB"/>
        </w:rPr>
      </w:pPr>
      <w:r w:rsidRPr="004030DB">
        <w:rPr>
          <w:rFonts w:ascii="Arial" w:hAnsi="Arial" w:cs="Arial"/>
          <w:b/>
          <w:sz w:val="20"/>
          <w:szCs w:val="20"/>
          <w:u w:val="single"/>
          <w:lang w:val="en-GB"/>
        </w:rPr>
        <w:t>Quality Assurance Committee</w:t>
      </w:r>
    </w:p>
    <w:p w14:paraId="23C58172" w14:textId="77777777" w:rsidR="00010A15" w:rsidRPr="004030DB" w:rsidRDefault="00010A15" w:rsidP="00B671D0">
      <w:pPr>
        <w:jc w:val="both"/>
        <w:rPr>
          <w:rFonts w:ascii="Arial" w:hAnsi="Arial" w:cs="Arial"/>
          <w:sz w:val="20"/>
          <w:szCs w:val="20"/>
          <w:lang w:val="en-GB"/>
        </w:rPr>
      </w:pPr>
      <w:r w:rsidRPr="004030DB">
        <w:rPr>
          <w:rFonts w:ascii="Arial" w:hAnsi="Arial" w:cs="Arial"/>
          <w:sz w:val="20"/>
          <w:szCs w:val="20"/>
          <w:lang w:val="en-GB"/>
        </w:rPr>
        <w:t xml:space="preserve">The Quality Assurance Committee is chaired by a </w:t>
      </w:r>
      <w:r w:rsidR="002135FD" w:rsidRPr="004030DB">
        <w:rPr>
          <w:rFonts w:ascii="Arial" w:hAnsi="Arial" w:cs="Arial"/>
          <w:sz w:val="20"/>
          <w:szCs w:val="20"/>
          <w:lang w:val="en-GB"/>
        </w:rPr>
        <w:t>N</w:t>
      </w:r>
      <w:r w:rsidRPr="004030DB">
        <w:rPr>
          <w:rFonts w:ascii="Arial" w:hAnsi="Arial" w:cs="Arial"/>
          <w:sz w:val="20"/>
          <w:szCs w:val="20"/>
          <w:lang w:val="en-GB"/>
        </w:rPr>
        <w:t>on-</w:t>
      </w:r>
      <w:r w:rsidR="002135FD" w:rsidRPr="004030DB">
        <w:rPr>
          <w:rFonts w:ascii="Arial" w:hAnsi="Arial" w:cs="Arial"/>
          <w:sz w:val="20"/>
          <w:szCs w:val="20"/>
          <w:lang w:val="en-GB"/>
        </w:rPr>
        <w:t>E</w:t>
      </w:r>
      <w:r w:rsidRPr="004030DB">
        <w:rPr>
          <w:rFonts w:ascii="Arial" w:hAnsi="Arial" w:cs="Arial"/>
          <w:sz w:val="20"/>
          <w:szCs w:val="20"/>
          <w:lang w:val="en-GB"/>
        </w:rPr>
        <w:t xml:space="preserve">xecutive </w:t>
      </w:r>
      <w:r w:rsidR="002135FD" w:rsidRPr="004030DB">
        <w:rPr>
          <w:rFonts w:ascii="Arial" w:hAnsi="Arial" w:cs="Arial"/>
          <w:sz w:val="20"/>
          <w:szCs w:val="20"/>
          <w:lang w:val="en-GB"/>
        </w:rPr>
        <w:t>D</w:t>
      </w:r>
      <w:r w:rsidRPr="004030DB">
        <w:rPr>
          <w:rFonts w:ascii="Arial" w:hAnsi="Arial" w:cs="Arial"/>
          <w:sz w:val="20"/>
          <w:szCs w:val="20"/>
          <w:lang w:val="en-GB"/>
        </w:rPr>
        <w:t>irector and has delegated authority from the Board to be assured that the appropriate structures, systems and processes are in place to manage quality and safety related matters, and that these are monitored appropriately.</w:t>
      </w:r>
      <w:r w:rsidR="002135FD" w:rsidRPr="004030DB">
        <w:rPr>
          <w:rFonts w:ascii="Arial" w:hAnsi="Arial" w:cs="Arial"/>
          <w:sz w:val="20"/>
          <w:szCs w:val="20"/>
          <w:lang w:val="en-GB"/>
        </w:rPr>
        <w:t xml:space="preserve">  </w:t>
      </w:r>
      <w:r w:rsidRPr="004030DB">
        <w:rPr>
          <w:rFonts w:ascii="Arial" w:hAnsi="Arial" w:cs="Arial"/>
          <w:sz w:val="20"/>
          <w:szCs w:val="20"/>
          <w:lang w:val="en-GB"/>
        </w:rPr>
        <w:t xml:space="preserve">The </w:t>
      </w:r>
      <w:r w:rsidR="00A624D7" w:rsidRPr="004030DB">
        <w:rPr>
          <w:rFonts w:ascii="Arial" w:hAnsi="Arial" w:cs="Arial"/>
          <w:sz w:val="20"/>
          <w:szCs w:val="20"/>
          <w:lang w:val="en-GB"/>
        </w:rPr>
        <w:t>C</w:t>
      </w:r>
      <w:r w:rsidRPr="004030DB">
        <w:rPr>
          <w:rFonts w:ascii="Arial" w:hAnsi="Arial" w:cs="Arial"/>
          <w:sz w:val="20"/>
          <w:szCs w:val="20"/>
          <w:lang w:val="en-GB"/>
        </w:rPr>
        <w:t xml:space="preserve">ommittee ensures an integrated and </w:t>
      </w:r>
      <w:r w:rsidR="002F0875" w:rsidRPr="004030DB">
        <w:rPr>
          <w:rFonts w:ascii="Arial" w:hAnsi="Arial" w:cs="Arial"/>
          <w:sz w:val="20"/>
          <w:szCs w:val="20"/>
          <w:lang w:val="en-GB"/>
        </w:rPr>
        <w:t>coordinated</w:t>
      </w:r>
      <w:r w:rsidRPr="004030DB">
        <w:rPr>
          <w:rFonts w:ascii="Arial" w:hAnsi="Arial" w:cs="Arial"/>
          <w:sz w:val="20"/>
          <w:szCs w:val="20"/>
          <w:lang w:val="en-GB"/>
        </w:rPr>
        <w:t xml:space="preserve"> approach to the development and monitoring of the quality metrics (patient safety, patient experience and clinical effectiveness) at a corporate level; it leads on the monitoring of quality systems within the Trust to ensure that quality is a key component of all activities within the Trust, and ensures compliance with regulatory requirements and best practice with patient safety, patient experience and clinical effectiveness.</w:t>
      </w:r>
    </w:p>
    <w:p w14:paraId="6B03A55D" w14:textId="77777777" w:rsidR="002F0875" w:rsidRPr="004030DB" w:rsidRDefault="002F0875" w:rsidP="00B671D0">
      <w:pPr>
        <w:jc w:val="both"/>
        <w:rPr>
          <w:rFonts w:ascii="Arial" w:hAnsi="Arial" w:cs="Arial"/>
          <w:sz w:val="20"/>
          <w:szCs w:val="20"/>
          <w:lang w:val="en-GB"/>
        </w:rPr>
      </w:pPr>
    </w:p>
    <w:p w14:paraId="05EBD9E9" w14:textId="77777777" w:rsidR="002F0875" w:rsidRPr="004030DB" w:rsidRDefault="002135FD" w:rsidP="00B671D0">
      <w:pPr>
        <w:jc w:val="both"/>
        <w:rPr>
          <w:rFonts w:ascii="Arial" w:hAnsi="Arial" w:cs="Arial"/>
          <w:sz w:val="20"/>
          <w:szCs w:val="20"/>
          <w:lang w:val="en-GB"/>
        </w:rPr>
      </w:pPr>
      <w:r w:rsidRPr="004030DB">
        <w:rPr>
          <w:rFonts w:ascii="Arial" w:hAnsi="Arial" w:cs="Arial"/>
          <w:sz w:val="20"/>
          <w:szCs w:val="20"/>
          <w:lang w:val="en-GB"/>
        </w:rPr>
        <w:t>T</w:t>
      </w:r>
      <w:r w:rsidR="00010A15" w:rsidRPr="004030DB">
        <w:rPr>
          <w:rFonts w:ascii="Arial" w:hAnsi="Arial" w:cs="Arial"/>
          <w:sz w:val="20"/>
          <w:szCs w:val="20"/>
          <w:lang w:val="en-GB"/>
        </w:rPr>
        <w:t xml:space="preserve">he </w:t>
      </w:r>
      <w:r w:rsidR="00A624D7" w:rsidRPr="004030DB">
        <w:rPr>
          <w:rFonts w:ascii="Arial" w:hAnsi="Arial" w:cs="Arial"/>
          <w:sz w:val="20"/>
          <w:szCs w:val="20"/>
          <w:lang w:val="en-GB"/>
        </w:rPr>
        <w:t>C</w:t>
      </w:r>
      <w:r w:rsidR="00010A15" w:rsidRPr="004030DB">
        <w:rPr>
          <w:rFonts w:ascii="Arial" w:hAnsi="Arial" w:cs="Arial"/>
          <w:sz w:val="20"/>
          <w:szCs w:val="20"/>
          <w:lang w:val="en-GB"/>
        </w:rPr>
        <w:t>ommittee regularly receives assurance (where necessary seeks further guidance or actions) on serious incidents, safeguarding, infection prevention and control, complaints and other matters relating to the experience of patients.</w:t>
      </w:r>
      <w:r w:rsidRPr="004030DB">
        <w:rPr>
          <w:rFonts w:ascii="Arial" w:hAnsi="Arial" w:cs="Arial"/>
          <w:sz w:val="20"/>
          <w:szCs w:val="20"/>
          <w:lang w:val="en-GB"/>
        </w:rPr>
        <w:t xml:space="preserve">  </w:t>
      </w:r>
      <w:r w:rsidR="00010A15" w:rsidRPr="004030DB">
        <w:rPr>
          <w:rFonts w:ascii="Arial" w:hAnsi="Arial" w:cs="Arial"/>
          <w:sz w:val="20"/>
          <w:szCs w:val="20"/>
          <w:lang w:val="en-GB"/>
        </w:rPr>
        <w:t xml:space="preserve">The </w:t>
      </w:r>
      <w:r w:rsidR="00A624D7" w:rsidRPr="004030DB">
        <w:rPr>
          <w:rFonts w:ascii="Arial" w:hAnsi="Arial" w:cs="Arial"/>
          <w:sz w:val="20"/>
          <w:szCs w:val="20"/>
          <w:lang w:val="en-GB"/>
        </w:rPr>
        <w:t>C</w:t>
      </w:r>
      <w:r w:rsidR="00010A15" w:rsidRPr="004030DB">
        <w:rPr>
          <w:rFonts w:ascii="Arial" w:hAnsi="Arial" w:cs="Arial"/>
          <w:sz w:val="20"/>
          <w:szCs w:val="20"/>
          <w:lang w:val="en-GB"/>
        </w:rPr>
        <w:t xml:space="preserve">ommittee also receives assurance from the Integrated Quality and Performance Report.  </w:t>
      </w:r>
    </w:p>
    <w:p w14:paraId="441377EA" w14:textId="77777777" w:rsidR="002F0875" w:rsidRPr="004030DB" w:rsidRDefault="002F0875" w:rsidP="00B671D0">
      <w:pPr>
        <w:jc w:val="both"/>
        <w:rPr>
          <w:rFonts w:ascii="Arial" w:hAnsi="Arial" w:cs="Arial"/>
          <w:sz w:val="20"/>
          <w:szCs w:val="20"/>
          <w:highlight w:val="yellow"/>
          <w:lang w:val="en-GB"/>
        </w:rPr>
      </w:pPr>
    </w:p>
    <w:p w14:paraId="39EC35A8" w14:textId="77777777" w:rsidR="00010A15" w:rsidRPr="004030DB" w:rsidRDefault="00010A15" w:rsidP="00B671D0">
      <w:pPr>
        <w:jc w:val="both"/>
        <w:rPr>
          <w:rFonts w:ascii="Arial" w:hAnsi="Arial" w:cs="Arial"/>
          <w:sz w:val="20"/>
          <w:szCs w:val="20"/>
          <w:lang w:val="en-GB"/>
        </w:rPr>
      </w:pPr>
      <w:r w:rsidRPr="004030DB">
        <w:rPr>
          <w:rFonts w:ascii="Arial" w:hAnsi="Arial" w:cs="Arial"/>
          <w:sz w:val="20"/>
          <w:szCs w:val="20"/>
          <w:lang w:val="en-GB"/>
        </w:rPr>
        <w:t xml:space="preserve">Outcomes from clinical audits are discussed at </w:t>
      </w:r>
      <w:r w:rsidR="00A624D7" w:rsidRPr="004030DB">
        <w:rPr>
          <w:rFonts w:ascii="Arial" w:hAnsi="Arial" w:cs="Arial"/>
          <w:sz w:val="20"/>
          <w:szCs w:val="20"/>
          <w:lang w:val="en-GB"/>
        </w:rPr>
        <w:t>C</w:t>
      </w:r>
      <w:r w:rsidRPr="004030DB">
        <w:rPr>
          <w:rFonts w:ascii="Arial" w:hAnsi="Arial" w:cs="Arial"/>
          <w:sz w:val="20"/>
          <w:szCs w:val="20"/>
          <w:lang w:val="en-GB"/>
        </w:rPr>
        <w:t>ommittee meetings.</w:t>
      </w:r>
      <w:r w:rsidR="00A624D7" w:rsidRPr="004030DB">
        <w:rPr>
          <w:rFonts w:ascii="Arial" w:hAnsi="Arial" w:cs="Arial"/>
          <w:sz w:val="20"/>
          <w:szCs w:val="20"/>
          <w:lang w:val="en-GB"/>
        </w:rPr>
        <w:t xml:space="preserve">  </w:t>
      </w:r>
      <w:r w:rsidRPr="004030DB">
        <w:rPr>
          <w:rFonts w:ascii="Arial" w:hAnsi="Arial" w:cs="Arial"/>
          <w:sz w:val="20"/>
          <w:szCs w:val="20"/>
          <w:lang w:val="en-GB"/>
        </w:rPr>
        <w:t xml:space="preserve">The </w:t>
      </w:r>
      <w:r w:rsidR="00A624D7" w:rsidRPr="004030DB">
        <w:rPr>
          <w:rFonts w:ascii="Arial" w:hAnsi="Arial" w:cs="Arial"/>
          <w:sz w:val="20"/>
          <w:szCs w:val="20"/>
          <w:lang w:val="en-GB"/>
        </w:rPr>
        <w:t>C</w:t>
      </w:r>
      <w:r w:rsidRPr="004030DB">
        <w:rPr>
          <w:rFonts w:ascii="Arial" w:hAnsi="Arial" w:cs="Arial"/>
          <w:sz w:val="20"/>
          <w:szCs w:val="20"/>
          <w:lang w:val="en-GB"/>
        </w:rPr>
        <w:t xml:space="preserve">ommittee provides </w:t>
      </w:r>
      <w:r w:rsidR="00A624D7" w:rsidRPr="004030DB">
        <w:rPr>
          <w:rFonts w:ascii="Arial" w:hAnsi="Arial" w:cs="Arial"/>
          <w:sz w:val="20"/>
          <w:szCs w:val="20"/>
          <w:lang w:val="en-GB"/>
        </w:rPr>
        <w:t>an Assurance Report</w:t>
      </w:r>
      <w:r w:rsidRPr="004030DB">
        <w:rPr>
          <w:rFonts w:ascii="Arial" w:hAnsi="Arial" w:cs="Arial"/>
          <w:sz w:val="20"/>
          <w:szCs w:val="20"/>
          <w:lang w:val="en-GB"/>
        </w:rPr>
        <w:t xml:space="preserve"> to the </w:t>
      </w:r>
      <w:r w:rsidR="00A624D7" w:rsidRPr="004030DB">
        <w:rPr>
          <w:rFonts w:ascii="Arial" w:hAnsi="Arial" w:cs="Arial"/>
          <w:sz w:val="20"/>
          <w:szCs w:val="20"/>
          <w:lang w:val="en-GB"/>
        </w:rPr>
        <w:t>B</w:t>
      </w:r>
      <w:r w:rsidRPr="004030DB">
        <w:rPr>
          <w:rFonts w:ascii="Arial" w:hAnsi="Arial" w:cs="Arial"/>
          <w:sz w:val="20"/>
          <w:szCs w:val="20"/>
          <w:lang w:val="en-GB"/>
        </w:rPr>
        <w:t xml:space="preserve">oard of </w:t>
      </w:r>
      <w:r w:rsidR="004107B3" w:rsidRPr="004030DB">
        <w:rPr>
          <w:rFonts w:ascii="Arial" w:hAnsi="Arial" w:cs="Arial"/>
          <w:sz w:val="20"/>
          <w:szCs w:val="20"/>
          <w:lang w:val="en-GB"/>
        </w:rPr>
        <w:t>d</w:t>
      </w:r>
      <w:r w:rsidRPr="004030DB">
        <w:rPr>
          <w:rFonts w:ascii="Arial" w:hAnsi="Arial" w:cs="Arial"/>
          <w:sz w:val="20"/>
          <w:szCs w:val="20"/>
          <w:lang w:val="en-GB"/>
        </w:rPr>
        <w:t>irectors after every meeting on its activities.</w:t>
      </w:r>
    </w:p>
    <w:p w14:paraId="35D34C38" w14:textId="77777777" w:rsidR="002F0875" w:rsidRPr="004030DB" w:rsidRDefault="002F0875" w:rsidP="00B671D0">
      <w:pPr>
        <w:jc w:val="both"/>
        <w:rPr>
          <w:rFonts w:ascii="Arial" w:hAnsi="Arial" w:cs="Arial"/>
          <w:sz w:val="20"/>
          <w:szCs w:val="20"/>
          <w:lang w:val="en-GB"/>
        </w:rPr>
      </w:pPr>
    </w:p>
    <w:p w14:paraId="061FC030" w14:textId="77777777" w:rsidR="00010A15" w:rsidRPr="004030DB" w:rsidRDefault="00010A15" w:rsidP="00B671D0">
      <w:pPr>
        <w:jc w:val="both"/>
        <w:rPr>
          <w:rFonts w:ascii="Arial" w:hAnsi="Arial" w:cs="Arial"/>
          <w:sz w:val="20"/>
          <w:szCs w:val="20"/>
          <w:lang w:val="en-GB"/>
        </w:rPr>
      </w:pPr>
      <w:r w:rsidRPr="004030DB">
        <w:rPr>
          <w:rFonts w:ascii="Arial" w:hAnsi="Arial" w:cs="Arial"/>
          <w:sz w:val="20"/>
          <w:szCs w:val="20"/>
          <w:lang w:val="en-GB"/>
        </w:rPr>
        <w:t xml:space="preserve">The </w:t>
      </w:r>
      <w:r w:rsidR="002135FD" w:rsidRPr="004030DB">
        <w:rPr>
          <w:rFonts w:ascii="Arial" w:hAnsi="Arial" w:cs="Arial"/>
          <w:sz w:val="20"/>
          <w:szCs w:val="20"/>
          <w:lang w:val="en-GB"/>
        </w:rPr>
        <w:t>C</w:t>
      </w:r>
      <w:r w:rsidRPr="004030DB">
        <w:rPr>
          <w:rFonts w:ascii="Arial" w:hAnsi="Arial" w:cs="Arial"/>
          <w:sz w:val="20"/>
          <w:szCs w:val="20"/>
          <w:lang w:val="en-GB"/>
        </w:rPr>
        <w:t xml:space="preserve">ommittee met </w:t>
      </w:r>
      <w:r w:rsidR="00E63CA7" w:rsidRPr="004030DB">
        <w:rPr>
          <w:rFonts w:ascii="Arial" w:hAnsi="Arial" w:cs="Arial"/>
          <w:sz w:val="20"/>
          <w:szCs w:val="20"/>
          <w:lang w:val="en-GB"/>
        </w:rPr>
        <w:t>twelve</w:t>
      </w:r>
      <w:r w:rsidRPr="004030DB">
        <w:rPr>
          <w:rFonts w:ascii="Arial" w:hAnsi="Arial" w:cs="Arial"/>
          <w:sz w:val="20"/>
          <w:szCs w:val="20"/>
          <w:lang w:val="en-GB"/>
        </w:rPr>
        <w:t xml:space="preserve"> times during 202</w:t>
      </w:r>
      <w:r w:rsidR="000E5B6E" w:rsidRPr="004030DB">
        <w:rPr>
          <w:rFonts w:ascii="Arial" w:hAnsi="Arial" w:cs="Arial"/>
          <w:sz w:val="20"/>
          <w:szCs w:val="20"/>
          <w:lang w:val="en-GB"/>
        </w:rPr>
        <w:t>4</w:t>
      </w:r>
      <w:r w:rsidR="002F0875" w:rsidRPr="004030DB">
        <w:rPr>
          <w:rFonts w:ascii="Arial" w:hAnsi="Arial" w:cs="Arial"/>
          <w:sz w:val="20"/>
          <w:szCs w:val="20"/>
          <w:lang w:val="en-GB"/>
        </w:rPr>
        <w:t>/2</w:t>
      </w:r>
      <w:r w:rsidR="000E5B6E" w:rsidRPr="004030DB">
        <w:rPr>
          <w:rFonts w:ascii="Arial" w:hAnsi="Arial" w:cs="Arial"/>
          <w:sz w:val="20"/>
          <w:szCs w:val="20"/>
          <w:lang w:val="en-GB"/>
        </w:rPr>
        <w:t>5</w:t>
      </w:r>
      <w:r w:rsidRPr="004030DB">
        <w:rPr>
          <w:rFonts w:ascii="Arial" w:hAnsi="Arial" w:cs="Arial"/>
          <w:sz w:val="20"/>
          <w:szCs w:val="20"/>
          <w:lang w:val="en-GB"/>
        </w:rPr>
        <w:t>.</w:t>
      </w:r>
      <w:r w:rsidR="002135FD" w:rsidRPr="004030DB">
        <w:rPr>
          <w:rFonts w:ascii="Arial" w:hAnsi="Arial" w:cs="Arial"/>
          <w:sz w:val="20"/>
          <w:szCs w:val="20"/>
          <w:lang w:val="en-GB"/>
        </w:rPr>
        <w:t xml:space="preserve">  </w:t>
      </w:r>
      <w:r w:rsidRPr="004030DB">
        <w:rPr>
          <w:rFonts w:ascii="Arial" w:hAnsi="Arial" w:cs="Arial"/>
          <w:sz w:val="20"/>
          <w:szCs w:val="20"/>
          <w:lang w:val="en-GB"/>
        </w:rPr>
        <w:t>Attendance record is detailed under Attendance at Board of Directors and Committee meetings in 202</w:t>
      </w:r>
      <w:r w:rsidR="000E5B6E" w:rsidRPr="004030DB">
        <w:rPr>
          <w:rFonts w:ascii="Arial" w:hAnsi="Arial" w:cs="Arial"/>
          <w:sz w:val="20"/>
          <w:szCs w:val="20"/>
          <w:lang w:val="en-GB"/>
        </w:rPr>
        <w:t>4</w:t>
      </w:r>
      <w:r w:rsidR="002F0875" w:rsidRPr="004030DB">
        <w:rPr>
          <w:rFonts w:ascii="Arial" w:hAnsi="Arial" w:cs="Arial"/>
          <w:sz w:val="20"/>
          <w:szCs w:val="20"/>
          <w:lang w:val="en-GB"/>
        </w:rPr>
        <w:t>/2</w:t>
      </w:r>
      <w:r w:rsidR="000E5B6E" w:rsidRPr="004030DB">
        <w:rPr>
          <w:rFonts w:ascii="Arial" w:hAnsi="Arial" w:cs="Arial"/>
          <w:sz w:val="20"/>
          <w:szCs w:val="20"/>
          <w:lang w:val="en-GB"/>
        </w:rPr>
        <w:t>5</w:t>
      </w:r>
      <w:r w:rsidRPr="004030DB">
        <w:rPr>
          <w:rFonts w:ascii="Arial" w:hAnsi="Arial" w:cs="Arial"/>
          <w:sz w:val="20"/>
          <w:szCs w:val="20"/>
          <w:lang w:val="en-GB"/>
        </w:rPr>
        <w:t>.</w:t>
      </w:r>
    </w:p>
    <w:p w14:paraId="0B1C9BA0" w14:textId="77777777" w:rsidR="00010A15" w:rsidRPr="004030DB" w:rsidRDefault="00010A15" w:rsidP="00B671D0">
      <w:pPr>
        <w:jc w:val="both"/>
        <w:rPr>
          <w:rFonts w:ascii="Arial" w:hAnsi="Arial" w:cs="Arial"/>
          <w:sz w:val="20"/>
          <w:szCs w:val="20"/>
          <w:lang w:val="en-GB"/>
        </w:rPr>
      </w:pPr>
    </w:p>
    <w:p w14:paraId="638B06B7" w14:textId="77777777" w:rsidR="00010A15" w:rsidRPr="004030DB" w:rsidRDefault="00010A15" w:rsidP="00B671D0">
      <w:pPr>
        <w:jc w:val="both"/>
        <w:rPr>
          <w:rFonts w:ascii="Arial" w:hAnsi="Arial" w:cs="Arial"/>
          <w:b/>
          <w:sz w:val="20"/>
          <w:szCs w:val="20"/>
          <w:u w:val="single"/>
          <w:lang w:val="en-GB"/>
        </w:rPr>
      </w:pPr>
      <w:r w:rsidRPr="004030DB">
        <w:rPr>
          <w:rFonts w:ascii="Arial" w:hAnsi="Arial" w:cs="Arial"/>
          <w:b/>
          <w:sz w:val="20"/>
          <w:szCs w:val="20"/>
          <w:u w:val="single"/>
          <w:lang w:val="en-GB"/>
        </w:rPr>
        <w:t>Finance, Planning and Performance Committee</w:t>
      </w:r>
    </w:p>
    <w:p w14:paraId="678D8028" w14:textId="77777777" w:rsidR="00A624D7" w:rsidRPr="004030DB" w:rsidRDefault="00010A15" w:rsidP="00B671D0">
      <w:pPr>
        <w:jc w:val="both"/>
        <w:rPr>
          <w:rFonts w:ascii="Arial" w:hAnsi="Arial" w:cs="Arial"/>
          <w:sz w:val="20"/>
          <w:szCs w:val="20"/>
          <w:lang w:val="en-GB"/>
        </w:rPr>
      </w:pPr>
      <w:r w:rsidRPr="004030DB">
        <w:rPr>
          <w:rFonts w:ascii="Arial" w:hAnsi="Arial" w:cs="Arial"/>
          <w:sz w:val="20"/>
          <w:szCs w:val="20"/>
          <w:lang w:val="en-GB"/>
        </w:rPr>
        <w:t xml:space="preserve">The </w:t>
      </w:r>
      <w:r w:rsidR="00A624D7" w:rsidRPr="004030DB">
        <w:rPr>
          <w:rFonts w:ascii="Arial" w:hAnsi="Arial" w:cs="Arial"/>
          <w:sz w:val="20"/>
          <w:szCs w:val="20"/>
          <w:lang w:val="en-GB"/>
        </w:rPr>
        <w:t>C</w:t>
      </w:r>
      <w:r w:rsidRPr="004030DB">
        <w:rPr>
          <w:rFonts w:ascii="Arial" w:hAnsi="Arial" w:cs="Arial"/>
          <w:sz w:val="20"/>
          <w:szCs w:val="20"/>
          <w:lang w:val="en-GB"/>
        </w:rPr>
        <w:t xml:space="preserve">ommittee is chaired by a </w:t>
      </w:r>
      <w:r w:rsidR="007C1827" w:rsidRPr="004030DB">
        <w:rPr>
          <w:rFonts w:ascii="Arial" w:hAnsi="Arial" w:cs="Arial"/>
          <w:sz w:val="20"/>
          <w:szCs w:val="20"/>
          <w:lang w:val="en-GB"/>
        </w:rPr>
        <w:t>N</w:t>
      </w:r>
      <w:r w:rsidRPr="004030DB">
        <w:rPr>
          <w:rFonts w:ascii="Arial" w:hAnsi="Arial" w:cs="Arial"/>
          <w:sz w:val="20"/>
          <w:szCs w:val="20"/>
          <w:lang w:val="en-GB"/>
        </w:rPr>
        <w:t>on-</w:t>
      </w:r>
      <w:r w:rsidR="007C1827" w:rsidRPr="004030DB">
        <w:rPr>
          <w:rFonts w:ascii="Arial" w:hAnsi="Arial" w:cs="Arial"/>
          <w:sz w:val="20"/>
          <w:szCs w:val="20"/>
          <w:lang w:val="en-GB"/>
        </w:rPr>
        <w:t>E</w:t>
      </w:r>
      <w:r w:rsidRPr="004030DB">
        <w:rPr>
          <w:rFonts w:ascii="Arial" w:hAnsi="Arial" w:cs="Arial"/>
          <w:sz w:val="20"/>
          <w:szCs w:val="20"/>
          <w:lang w:val="en-GB"/>
        </w:rPr>
        <w:t xml:space="preserve">xecutive </w:t>
      </w:r>
      <w:r w:rsidR="007C1827" w:rsidRPr="004030DB">
        <w:rPr>
          <w:rFonts w:ascii="Arial" w:hAnsi="Arial" w:cs="Arial"/>
          <w:sz w:val="20"/>
          <w:szCs w:val="20"/>
          <w:lang w:val="en-GB"/>
        </w:rPr>
        <w:t>D</w:t>
      </w:r>
      <w:r w:rsidRPr="004030DB">
        <w:rPr>
          <w:rFonts w:ascii="Arial" w:hAnsi="Arial" w:cs="Arial"/>
          <w:sz w:val="20"/>
          <w:szCs w:val="20"/>
          <w:lang w:val="en-GB"/>
        </w:rPr>
        <w:t xml:space="preserve">irector and provides assurance that the Trust’s strategy, financial forecasts, </w:t>
      </w:r>
      <w:r w:rsidR="006B6A04" w:rsidRPr="004030DB">
        <w:rPr>
          <w:rFonts w:ascii="Arial" w:hAnsi="Arial" w:cs="Arial"/>
          <w:sz w:val="20"/>
          <w:szCs w:val="20"/>
          <w:lang w:val="en-GB"/>
        </w:rPr>
        <w:t xml:space="preserve">business </w:t>
      </w:r>
      <w:r w:rsidRPr="004030DB">
        <w:rPr>
          <w:rFonts w:ascii="Arial" w:hAnsi="Arial" w:cs="Arial"/>
          <w:sz w:val="20"/>
          <w:szCs w:val="20"/>
          <w:lang w:val="en-GB"/>
        </w:rPr>
        <w:t xml:space="preserve">plans and operational performance are being considered in detail, and provides independent and objective assurance to the </w:t>
      </w:r>
      <w:r w:rsidR="002135FD" w:rsidRPr="004030DB">
        <w:rPr>
          <w:rFonts w:ascii="Arial" w:hAnsi="Arial" w:cs="Arial"/>
          <w:sz w:val="20"/>
          <w:szCs w:val="20"/>
          <w:lang w:val="en-GB"/>
        </w:rPr>
        <w:t>B</w:t>
      </w:r>
      <w:r w:rsidRPr="004030DB">
        <w:rPr>
          <w:rFonts w:ascii="Arial" w:hAnsi="Arial" w:cs="Arial"/>
          <w:sz w:val="20"/>
          <w:szCs w:val="20"/>
          <w:lang w:val="en-GB"/>
        </w:rPr>
        <w:t xml:space="preserve">oard regarding investments and significant contracts before their approval by the </w:t>
      </w:r>
      <w:r w:rsidR="002135FD" w:rsidRPr="004030DB">
        <w:rPr>
          <w:rFonts w:ascii="Arial" w:hAnsi="Arial" w:cs="Arial"/>
          <w:sz w:val="20"/>
          <w:szCs w:val="20"/>
          <w:lang w:val="en-GB"/>
        </w:rPr>
        <w:t>B</w:t>
      </w:r>
      <w:r w:rsidRPr="004030DB">
        <w:rPr>
          <w:rFonts w:ascii="Arial" w:hAnsi="Arial" w:cs="Arial"/>
          <w:sz w:val="20"/>
          <w:szCs w:val="20"/>
          <w:lang w:val="en-GB"/>
        </w:rPr>
        <w:t>oard.</w:t>
      </w:r>
      <w:r w:rsidR="000E5B6E" w:rsidRPr="004030DB">
        <w:rPr>
          <w:rFonts w:ascii="Arial" w:hAnsi="Arial" w:cs="Arial"/>
          <w:sz w:val="20"/>
          <w:szCs w:val="20"/>
          <w:lang w:val="en-GB"/>
        </w:rPr>
        <w:t xml:space="preserve">  </w:t>
      </w:r>
      <w:r w:rsidR="00A624D7" w:rsidRPr="004030DB">
        <w:rPr>
          <w:rFonts w:ascii="Arial" w:hAnsi="Arial" w:cs="Arial"/>
          <w:sz w:val="20"/>
          <w:szCs w:val="20"/>
          <w:lang w:val="en-GB"/>
        </w:rPr>
        <w:t>The Committee provides an Assurance Report to the Board of directors after every meeting on its activities.</w:t>
      </w:r>
    </w:p>
    <w:p w14:paraId="3A7A6B07" w14:textId="77777777" w:rsidR="00A624D7" w:rsidRPr="004030DB" w:rsidRDefault="00A624D7" w:rsidP="00B671D0">
      <w:pPr>
        <w:jc w:val="both"/>
        <w:rPr>
          <w:rFonts w:ascii="Arial" w:hAnsi="Arial" w:cs="Arial"/>
          <w:sz w:val="20"/>
          <w:szCs w:val="20"/>
          <w:lang w:val="en-GB"/>
        </w:rPr>
      </w:pPr>
    </w:p>
    <w:p w14:paraId="0568C5FC" w14:textId="77777777" w:rsidR="00010A15" w:rsidRPr="004030DB" w:rsidRDefault="00010A15" w:rsidP="00B671D0">
      <w:pPr>
        <w:jc w:val="both"/>
        <w:rPr>
          <w:rFonts w:ascii="Arial" w:hAnsi="Arial" w:cs="Arial"/>
          <w:sz w:val="20"/>
          <w:szCs w:val="20"/>
          <w:lang w:val="en-GB"/>
        </w:rPr>
      </w:pPr>
      <w:r w:rsidRPr="004030DB">
        <w:rPr>
          <w:rFonts w:ascii="Arial" w:hAnsi="Arial" w:cs="Arial"/>
          <w:sz w:val="20"/>
          <w:szCs w:val="20"/>
          <w:lang w:val="en-GB"/>
        </w:rPr>
        <w:t xml:space="preserve">The </w:t>
      </w:r>
      <w:r w:rsidR="002135FD" w:rsidRPr="004030DB">
        <w:rPr>
          <w:rFonts w:ascii="Arial" w:hAnsi="Arial" w:cs="Arial"/>
          <w:sz w:val="20"/>
          <w:szCs w:val="20"/>
          <w:lang w:val="en-GB"/>
        </w:rPr>
        <w:t>C</w:t>
      </w:r>
      <w:r w:rsidRPr="004030DB">
        <w:rPr>
          <w:rFonts w:ascii="Arial" w:hAnsi="Arial" w:cs="Arial"/>
          <w:sz w:val="20"/>
          <w:szCs w:val="20"/>
          <w:lang w:val="en-GB"/>
        </w:rPr>
        <w:t xml:space="preserve">ommittee met </w:t>
      </w:r>
      <w:r w:rsidR="00E63CA7" w:rsidRPr="004030DB">
        <w:rPr>
          <w:rFonts w:ascii="Arial" w:hAnsi="Arial" w:cs="Arial"/>
          <w:sz w:val="20"/>
          <w:szCs w:val="20"/>
          <w:lang w:val="en-GB"/>
        </w:rPr>
        <w:t>twelve</w:t>
      </w:r>
      <w:r w:rsidRPr="004030DB">
        <w:rPr>
          <w:rFonts w:ascii="Arial" w:hAnsi="Arial" w:cs="Arial"/>
          <w:sz w:val="20"/>
          <w:szCs w:val="20"/>
          <w:lang w:val="en-GB"/>
        </w:rPr>
        <w:t xml:space="preserve"> times during </w:t>
      </w:r>
      <w:r w:rsidR="000E5B6E" w:rsidRPr="004030DB">
        <w:rPr>
          <w:rFonts w:ascii="Arial" w:hAnsi="Arial" w:cs="Arial"/>
          <w:sz w:val="20"/>
          <w:szCs w:val="20"/>
          <w:lang w:val="en-GB"/>
        </w:rPr>
        <w:t xml:space="preserve">2024/25.  </w:t>
      </w:r>
      <w:r w:rsidR="002135FD" w:rsidRPr="004030DB">
        <w:rPr>
          <w:rFonts w:ascii="Arial" w:hAnsi="Arial" w:cs="Arial"/>
          <w:sz w:val="20"/>
          <w:szCs w:val="20"/>
          <w:lang w:val="en-GB"/>
        </w:rPr>
        <w:t>Attendance record is detailed under Attendance at Board of Directors and Committee meetings in 202</w:t>
      </w:r>
      <w:r w:rsidR="000E5B6E" w:rsidRPr="004030DB">
        <w:rPr>
          <w:rFonts w:ascii="Arial" w:hAnsi="Arial" w:cs="Arial"/>
          <w:sz w:val="20"/>
          <w:szCs w:val="20"/>
          <w:lang w:val="en-GB"/>
        </w:rPr>
        <w:t>4</w:t>
      </w:r>
      <w:r w:rsidR="002135FD" w:rsidRPr="004030DB">
        <w:rPr>
          <w:rFonts w:ascii="Arial" w:hAnsi="Arial" w:cs="Arial"/>
          <w:sz w:val="20"/>
          <w:szCs w:val="20"/>
          <w:lang w:val="en-GB"/>
        </w:rPr>
        <w:t>/2</w:t>
      </w:r>
      <w:r w:rsidR="000E5B6E" w:rsidRPr="004030DB">
        <w:rPr>
          <w:rFonts w:ascii="Arial" w:hAnsi="Arial" w:cs="Arial"/>
          <w:sz w:val="20"/>
          <w:szCs w:val="20"/>
          <w:lang w:val="en-GB"/>
        </w:rPr>
        <w:t>5</w:t>
      </w:r>
      <w:r w:rsidR="002135FD" w:rsidRPr="004030DB">
        <w:rPr>
          <w:rFonts w:ascii="Arial" w:hAnsi="Arial" w:cs="Arial"/>
          <w:sz w:val="20"/>
          <w:szCs w:val="20"/>
          <w:lang w:val="en-GB"/>
        </w:rPr>
        <w:t>.</w:t>
      </w:r>
    </w:p>
    <w:p w14:paraId="1F80113E" w14:textId="77777777" w:rsidR="00010A15" w:rsidRPr="004030DB" w:rsidRDefault="00010A15" w:rsidP="00B671D0">
      <w:pPr>
        <w:jc w:val="both"/>
        <w:rPr>
          <w:rFonts w:ascii="Arial" w:hAnsi="Arial" w:cs="Arial"/>
          <w:sz w:val="20"/>
          <w:szCs w:val="20"/>
          <w:lang w:val="en-GB"/>
        </w:rPr>
      </w:pPr>
    </w:p>
    <w:p w14:paraId="0F222FF3" w14:textId="77777777" w:rsidR="00010A15" w:rsidRPr="004030DB" w:rsidRDefault="00010A15" w:rsidP="00B671D0">
      <w:pPr>
        <w:jc w:val="both"/>
        <w:rPr>
          <w:rFonts w:ascii="Arial" w:hAnsi="Arial" w:cs="Arial"/>
          <w:b/>
          <w:sz w:val="20"/>
          <w:szCs w:val="20"/>
          <w:u w:val="single"/>
          <w:lang w:val="en-GB"/>
        </w:rPr>
      </w:pPr>
      <w:r w:rsidRPr="004030DB">
        <w:rPr>
          <w:rFonts w:ascii="Arial" w:hAnsi="Arial" w:cs="Arial"/>
          <w:b/>
          <w:sz w:val="20"/>
          <w:szCs w:val="20"/>
          <w:u w:val="single"/>
          <w:lang w:val="en-GB"/>
        </w:rPr>
        <w:lastRenderedPageBreak/>
        <w:t>People Committee</w:t>
      </w:r>
    </w:p>
    <w:p w14:paraId="2D962823" w14:textId="77777777" w:rsidR="00A624D7" w:rsidRPr="004030DB" w:rsidRDefault="002F0875" w:rsidP="00B671D0">
      <w:pPr>
        <w:jc w:val="both"/>
        <w:rPr>
          <w:rFonts w:ascii="Arial" w:hAnsi="Arial" w:cs="Arial"/>
          <w:sz w:val="20"/>
          <w:szCs w:val="20"/>
          <w:lang w:val="en-GB"/>
        </w:rPr>
      </w:pPr>
      <w:r w:rsidRPr="004030DB">
        <w:rPr>
          <w:rFonts w:ascii="Arial" w:hAnsi="Arial" w:cs="Arial"/>
          <w:sz w:val="20"/>
          <w:szCs w:val="20"/>
          <w:lang w:val="en-GB"/>
        </w:rPr>
        <w:t>C</w:t>
      </w:r>
      <w:r w:rsidR="00010A15" w:rsidRPr="004030DB">
        <w:rPr>
          <w:rFonts w:ascii="Arial" w:hAnsi="Arial" w:cs="Arial"/>
          <w:sz w:val="20"/>
          <w:szCs w:val="20"/>
          <w:lang w:val="en-GB"/>
        </w:rPr>
        <w:t xml:space="preserve">haired by a </w:t>
      </w:r>
      <w:r w:rsidR="007C1827" w:rsidRPr="004030DB">
        <w:rPr>
          <w:rFonts w:ascii="Arial" w:hAnsi="Arial" w:cs="Arial"/>
          <w:sz w:val="20"/>
          <w:szCs w:val="20"/>
          <w:lang w:val="en-GB"/>
        </w:rPr>
        <w:t>N</w:t>
      </w:r>
      <w:r w:rsidR="00010A15" w:rsidRPr="004030DB">
        <w:rPr>
          <w:rFonts w:ascii="Arial" w:hAnsi="Arial" w:cs="Arial"/>
          <w:sz w:val="20"/>
          <w:szCs w:val="20"/>
          <w:lang w:val="en-GB"/>
        </w:rPr>
        <w:t>on-</w:t>
      </w:r>
      <w:r w:rsidR="007C1827" w:rsidRPr="004030DB">
        <w:rPr>
          <w:rFonts w:ascii="Arial" w:hAnsi="Arial" w:cs="Arial"/>
          <w:sz w:val="20"/>
          <w:szCs w:val="20"/>
          <w:lang w:val="en-GB"/>
        </w:rPr>
        <w:t>E</w:t>
      </w:r>
      <w:r w:rsidR="00010A15" w:rsidRPr="004030DB">
        <w:rPr>
          <w:rFonts w:ascii="Arial" w:hAnsi="Arial" w:cs="Arial"/>
          <w:sz w:val="20"/>
          <w:szCs w:val="20"/>
          <w:lang w:val="en-GB"/>
        </w:rPr>
        <w:t xml:space="preserve">xecutive </w:t>
      </w:r>
      <w:r w:rsidR="007C1827" w:rsidRPr="004030DB">
        <w:rPr>
          <w:rFonts w:ascii="Arial" w:hAnsi="Arial" w:cs="Arial"/>
          <w:sz w:val="20"/>
          <w:szCs w:val="20"/>
          <w:lang w:val="en-GB"/>
        </w:rPr>
        <w:t>D</w:t>
      </w:r>
      <w:r w:rsidR="00010A15" w:rsidRPr="004030DB">
        <w:rPr>
          <w:rFonts w:ascii="Arial" w:hAnsi="Arial" w:cs="Arial"/>
          <w:sz w:val="20"/>
          <w:szCs w:val="20"/>
          <w:lang w:val="en-GB"/>
        </w:rPr>
        <w:t xml:space="preserve">irector, this </w:t>
      </w:r>
      <w:r w:rsidR="00A624D7" w:rsidRPr="004030DB">
        <w:rPr>
          <w:rFonts w:ascii="Arial" w:hAnsi="Arial" w:cs="Arial"/>
          <w:sz w:val="20"/>
          <w:szCs w:val="20"/>
          <w:lang w:val="en-GB"/>
        </w:rPr>
        <w:t>C</w:t>
      </w:r>
      <w:r w:rsidR="00010A15" w:rsidRPr="004030DB">
        <w:rPr>
          <w:rFonts w:ascii="Arial" w:hAnsi="Arial" w:cs="Arial"/>
          <w:sz w:val="20"/>
          <w:szCs w:val="20"/>
          <w:lang w:val="en-GB"/>
        </w:rPr>
        <w:t xml:space="preserve">ommittee has strengthened the </w:t>
      </w:r>
      <w:r w:rsidR="00BD036B" w:rsidRPr="004030DB">
        <w:rPr>
          <w:rFonts w:ascii="Arial" w:hAnsi="Arial" w:cs="Arial"/>
          <w:sz w:val="20"/>
          <w:szCs w:val="20"/>
          <w:lang w:val="en-GB"/>
        </w:rPr>
        <w:t xml:space="preserve">Board’s </w:t>
      </w:r>
      <w:r w:rsidR="00010A15" w:rsidRPr="004030DB">
        <w:rPr>
          <w:rFonts w:ascii="Arial" w:hAnsi="Arial" w:cs="Arial"/>
          <w:sz w:val="20"/>
          <w:szCs w:val="20"/>
          <w:lang w:val="en-GB"/>
        </w:rPr>
        <w:t xml:space="preserve">focus on key areas such as </w:t>
      </w:r>
      <w:r w:rsidR="000E5B6E" w:rsidRPr="004030DB">
        <w:rPr>
          <w:rFonts w:ascii="Arial" w:hAnsi="Arial" w:cs="Arial"/>
          <w:sz w:val="20"/>
          <w:szCs w:val="20"/>
          <w:lang w:val="en-GB"/>
        </w:rPr>
        <w:t xml:space="preserve">workforce, </w:t>
      </w:r>
      <w:r w:rsidR="00010A15" w:rsidRPr="004030DB">
        <w:rPr>
          <w:rFonts w:ascii="Arial" w:hAnsi="Arial" w:cs="Arial"/>
          <w:sz w:val="20"/>
          <w:szCs w:val="20"/>
          <w:lang w:val="en-GB"/>
        </w:rPr>
        <w:t>equalit</w:t>
      </w:r>
      <w:r w:rsidR="000E5B6E" w:rsidRPr="004030DB">
        <w:rPr>
          <w:rFonts w:ascii="Arial" w:hAnsi="Arial" w:cs="Arial"/>
          <w:sz w:val="20"/>
          <w:szCs w:val="20"/>
          <w:lang w:val="en-GB"/>
        </w:rPr>
        <w:t>y diversity and inclusion</w:t>
      </w:r>
      <w:r w:rsidR="00010A15" w:rsidRPr="004030DB">
        <w:rPr>
          <w:rFonts w:ascii="Arial" w:hAnsi="Arial" w:cs="Arial"/>
          <w:sz w:val="20"/>
          <w:szCs w:val="20"/>
          <w:lang w:val="en-GB"/>
        </w:rPr>
        <w:t xml:space="preserve">, </w:t>
      </w:r>
      <w:r w:rsidR="006B6A04" w:rsidRPr="004030DB">
        <w:rPr>
          <w:rFonts w:ascii="Arial" w:hAnsi="Arial" w:cs="Arial"/>
          <w:sz w:val="20"/>
          <w:szCs w:val="20"/>
          <w:lang w:val="en-GB"/>
        </w:rPr>
        <w:t xml:space="preserve">training, </w:t>
      </w:r>
      <w:r w:rsidR="00010A15" w:rsidRPr="004030DB">
        <w:rPr>
          <w:rFonts w:ascii="Arial" w:hAnsi="Arial" w:cs="Arial"/>
          <w:sz w:val="20"/>
          <w:szCs w:val="20"/>
          <w:lang w:val="en-GB"/>
        </w:rPr>
        <w:t>Freedom to Speak Up, staff well-being and recruitment.</w:t>
      </w:r>
      <w:r w:rsidR="000E5B6E" w:rsidRPr="004030DB">
        <w:rPr>
          <w:rFonts w:ascii="Arial" w:hAnsi="Arial" w:cs="Arial"/>
          <w:sz w:val="20"/>
          <w:szCs w:val="20"/>
          <w:lang w:val="en-GB"/>
        </w:rPr>
        <w:t xml:space="preserve">  </w:t>
      </w:r>
      <w:r w:rsidR="00A624D7" w:rsidRPr="004030DB">
        <w:rPr>
          <w:rFonts w:ascii="Arial" w:hAnsi="Arial" w:cs="Arial"/>
          <w:sz w:val="20"/>
          <w:szCs w:val="20"/>
          <w:lang w:val="en-GB"/>
        </w:rPr>
        <w:t>The Committee provides an Assurance Report to the Board of directors after every meeting on its activities.</w:t>
      </w:r>
    </w:p>
    <w:p w14:paraId="748E9CA8" w14:textId="77777777" w:rsidR="00076502" w:rsidRPr="004030DB" w:rsidRDefault="00076502" w:rsidP="00B671D0">
      <w:pPr>
        <w:jc w:val="both"/>
        <w:rPr>
          <w:rFonts w:ascii="Arial" w:hAnsi="Arial" w:cs="Arial"/>
          <w:sz w:val="20"/>
          <w:szCs w:val="20"/>
          <w:lang w:val="en-GB"/>
        </w:rPr>
      </w:pPr>
    </w:p>
    <w:p w14:paraId="1E1CBFFC" w14:textId="77777777" w:rsidR="00010A15" w:rsidRPr="004030DB" w:rsidRDefault="002135FD" w:rsidP="00B671D0">
      <w:pPr>
        <w:jc w:val="both"/>
        <w:rPr>
          <w:rFonts w:ascii="Arial" w:hAnsi="Arial" w:cs="Arial"/>
          <w:sz w:val="20"/>
          <w:szCs w:val="20"/>
          <w:lang w:val="en-GB"/>
        </w:rPr>
      </w:pPr>
      <w:r w:rsidRPr="004030DB">
        <w:rPr>
          <w:rFonts w:ascii="Arial" w:hAnsi="Arial" w:cs="Arial"/>
          <w:sz w:val="20"/>
          <w:szCs w:val="20"/>
          <w:lang w:val="en-GB"/>
        </w:rPr>
        <w:t xml:space="preserve">The Committee met </w:t>
      </w:r>
      <w:r w:rsidR="00D31004" w:rsidRPr="004030DB">
        <w:rPr>
          <w:rFonts w:ascii="Arial" w:hAnsi="Arial" w:cs="Arial"/>
          <w:sz w:val="20"/>
          <w:szCs w:val="20"/>
          <w:lang w:val="en-GB"/>
        </w:rPr>
        <w:t>six</w:t>
      </w:r>
      <w:r w:rsidRPr="004030DB">
        <w:rPr>
          <w:rFonts w:ascii="Arial" w:hAnsi="Arial" w:cs="Arial"/>
          <w:sz w:val="20"/>
          <w:szCs w:val="20"/>
          <w:lang w:val="en-GB"/>
        </w:rPr>
        <w:t xml:space="preserve"> times during </w:t>
      </w:r>
      <w:r w:rsidR="000E5B6E" w:rsidRPr="004030DB">
        <w:rPr>
          <w:rFonts w:ascii="Arial" w:hAnsi="Arial" w:cs="Arial"/>
          <w:sz w:val="20"/>
          <w:szCs w:val="20"/>
          <w:lang w:val="en-GB"/>
        </w:rPr>
        <w:t xml:space="preserve">2024/25.  </w:t>
      </w:r>
      <w:r w:rsidR="00076502" w:rsidRPr="004030DB">
        <w:rPr>
          <w:rFonts w:ascii="Arial" w:hAnsi="Arial" w:cs="Arial"/>
          <w:sz w:val="20"/>
          <w:szCs w:val="20"/>
          <w:lang w:val="en-GB"/>
        </w:rPr>
        <w:t>Attendance record is detailed under Attendance at Board of Directors and Committee meetings in 202</w:t>
      </w:r>
      <w:r w:rsidR="000E5B6E" w:rsidRPr="004030DB">
        <w:rPr>
          <w:rFonts w:ascii="Arial" w:hAnsi="Arial" w:cs="Arial"/>
          <w:sz w:val="20"/>
          <w:szCs w:val="20"/>
          <w:lang w:val="en-GB"/>
        </w:rPr>
        <w:t>4/25</w:t>
      </w:r>
      <w:r w:rsidR="00076502" w:rsidRPr="004030DB">
        <w:rPr>
          <w:rFonts w:ascii="Arial" w:hAnsi="Arial" w:cs="Arial"/>
          <w:sz w:val="20"/>
          <w:szCs w:val="20"/>
          <w:lang w:val="en-GB"/>
        </w:rPr>
        <w:t>.</w:t>
      </w:r>
    </w:p>
    <w:p w14:paraId="4FFDF033" w14:textId="77777777" w:rsidR="00010A15" w:rsidRPr="004030DB" w:rsidRDefault="00010A15" w:rsidP="00B671D0">
      <w:pPr>
        <w:jc w:val="both"/>
        <w:rPr>
          <w:rFonts w:ascii="Arial" w:hAnsi="Arial" w:cs="Arial"/>
          <w:sz w:val="20"/>
          <w:szCs w:val="20"/>
          <w:lang w:val="en-GB"/>
        </w:rPr>
      </w:pPr>
    </w:p>
    <w:p w14:paraId="5BF4C392" w14:textId="77777777" w:rsidR="00010A15" w:rsidRPr="004030DB" w:rsidRDefault="00010A15" w:rsidP="00B671D0">
      <w:pPr>
        <w:jc w:val="both"/>
        <w:rPr>
          <w:rFonts w:ascii="Arial" w:hAnsi="Arial" w:cs="Arial"/>
          <w:b/>
          <w:sz w:val="20"/>
          <w:szCs w:val="20"/>
          <w:u w:val="single"/>
          <w:lang w:val="en-GB"/>
        </w:rPr>
      </w:pPr>
      <w:r w:rsidRPr="004030DB">
        <w:rPr>
          <w:rFonts w:ascii="Arial" w:hAnsi="Arial" w:cs="Arial"/>
          <w:b/>
          <w:sz w:val="20"/>
          <w:szCs w:val="20"/>
          <w:u w:val="single"/>
          <w:lang w:val="en-GB"/>
        </w:rPr>
        <w:t>Nominations and Remuneration Committee</w:t>
      </w:r>
    </w:p>
    <w:p w14:paraId="57FF9938" w14:textId="77777777" w:rsidR="00010A15" w:rsidRPr="004030DB" w:rsidRDefault="00010A15" w:rsidP="00B671D0">
      <w:pPr>
        <w:jc w:val="both"/>
        <w:rPr>
          <w:rFonts w:ascii="Arial" w:hAnsi="Arial" w:cs="Arial"/>
          <w:sz w:val="20"/>
          <w:szCs w:val="20"/>
          <w:lang w:val="en-GB"/>
        </w:rPr>
      </w:pPr>
      <w:r w:rsidRPr="004030DB">
        <w:rPr>
          <w:rFonts w:ascii="Arial" w:hAnsi="Arial" w:cs="Arial"/>
          <w:sz w:val="20"/>
          <w:szCs w:val="20"/>
          <w:lang w:val="en-GB"/>
        </w:rPr>
        <w:t xml:space="preserve">The Nominations and Remuneration </w:t>
      </w:r>
      <w:r w:rsidR="004F6B27" w:rsidRPr="004030DB">
        <w:rPr>
          <w:rFonts w:ascii="Arial" w:hAnsi="Arial" w:cs="Arial"/>
          <w:sz w:val="20"/>
          <w:szCs w:val="20"/>
          <w:lang w:val="en-GB"/>
        </w:rPr>
        <w:t>Committee is</w:t>
      </w:r>
      <w:r w:rsidRPr="004030DB">
        <w:rPr>
          <w:rFonts w:ascii="Arial" w:hAnsi="Arial" w:cs="Arial"/>
          <w:sz w:val="20"/>
          <w:szCs w:val="20"/>
          <w:lang w:val="en-GB"/>
        </w:rPr>
        <w:t xml:space="preserve"> chaired by the Senior Independent Director.</w:t>
      </w:r>
      <w:r w:rsidR="000E5B6E" w:rsidRPr="004030DB">
        <w:rPr>
          <w:rFonts w:ascii="Arial" w:hAnsi="Arial" w:cs="Arial"/>
          <w:sz w:val="20"/>
          <w:szCs w:val="20"/>
          <w:lang w:val="en-GB"/>
        </w:rPr>
        <w:t xml:space="preserve">  </w:t>
      </w:r>
      <w:r w:rsidRPr="004030DB">
        <w:rPr>
          <w:rFonts w:ascii="Arial" w:hAnsi="Arial" w:cs="Arial"/>
          <w:sz w:val="20"/>
          <w:szCs w:val="20"/>
          <w:lang w:val="en-GB"/>
        </w:rPr>
        <w:t xml:space="preserve">Its membership consists of the Trust’s </w:t>
      </w:r>
      <w:r w:rsidR="00A624D7" w:rsidRPr="004030DB">
        <w:rPr>
          <w:rFonts w:ascii="Arial" w:hAnsi="Arial" w:cs="Arial"/>
          <w:sz w:val="20"/>
          <w:szCs w:val="20"/>
          <w:lang w:val="en-GB"/>
        </w:rPr>
        <w:t>C</w:t>
      </w:r>
      <w:r w:rsidRPr="004030DB">
        <w:rPr>
          <w:rFonts w:ascii="Arial" w:hAnsi="Arial" w:cs="Arial"/>
          <w:sz w:val="20"/>
          <w:szCs w:val="20"/>
          <w:lang w:val="en-GB"/>
        </w:rPr>
        <w:t xml:space="preserve">hair and </w:t>
      </w:r>
      <w:r w:rsidR="006B6A04" w:rsidRPr="004030DB">
        <w:rPr>
          <w:rFonts w:ascii="Arial" w:hAnsi="Arial" w:cs="Arial"/>
          <w:sz w:val="20"/>
          <w:szCs w:val="20"/>
          <w:lang w:val="en-GB"/>
        </w:rPr>
        <w:t>N</w:t>
      </w:r>
      <w:r w:rsidRPr="004030DB">
        <w:rPr>
          <w:rFonts w:ascii="Arial" w:hAnsi="Arial" w:cs="Arial"/>
          <w:sz w:val="20"/>
          <w:szCs w:val="20"/>
          <w:lang w:val="en-GB"/>
        </w:rPr>
        <w:t>on-</w:t>
      </w:r>
      <w:r w:rsidR="006B6A04" w:rsidRPr="004030DB">
        <w:rPr>
          <w:rFonts w:ascii="Arial" w:hAnsi="Arial" w:cs="Arial"/>
          <w:sz w:val="20"/>
          <w:szCs w:val="20"/>
          <w:lang w:val="en-GB"/>
        </w:rPr>
        <w:t>E</w:t>
      </w:r>
      <w:r w:rsidRPr="004030DB">
        <w:rPr>
          <w:rFonts w:ascii="Arial" w:hAnsi="Arial" w:cs="Arial"/>
          <w:sz w:val="20"/>
          <w:szCs w:val="20"/>
          <w:lang w:val="en-GB"/>
        </w:rPr>
        <w:t>xecutive</w:t>
      </w:r>
      <w:r w:rsidR="00A624D7" w:rsidRPr="004030DB">
        <w:rPr>
          <w:rFonts w:ascii="Arial" w:hAnsi="Arial" w:cs="Arial"/>
          <w:sz w:val="20"/>
          <w:szCs w:val="20"/>
          <w:lang w:val="en-GB"/>
        </w:rPr>
        <w:t xml:space="preserve"> director</w:t>
      </w:r>
      <w:r w:rsidRPr="004030DB">
        <w:rPr>
          <w:rFonts w:ascii="Arial" w:hAnsi="Arial" w:cs="Arial"/>
          <w:sz w:val="20"/>
          <w:szCs w:val="20"/>
          <w:lang w:val="en-GB"/>
        </w:rPr>
        <w:t>s.</w:t>
      </w:r>
      <w:r w:rsidR="006B6A04" w:rsidRPr="004030DB">
        <w:rPr>
          <w:rFonts w:ascii="Arial" w:hAnsi="Arial" w:cs="Arial"/>
          <w:sz w:val="20"/>
          <w:szCs w:val="20"/>
          <w:lang w:val="en-GB"/>
        </w:rPr>
        <w:t xml:space="preserve">  </w:t>
      </w:r>
      <w:r w:rsidRPr="004030DB">
        <w:rPr>
          <w:rFonts w:ascii="Arial" w:hAnsi="Arial" w:cs="Arial"/>
          <w:sz w:val="20"/>
          <w:szCs w:val="20"/>
          <w:lang w:val="en-GB"/>
        </w:rPr>
        <w:t xml:space="preserve">The </w:t>
      </w:r>
      <w:r w:rsidR="00A624D7" w:rsidRPr="004030DB">
        <w:rPr>
          <w:rFonts w:ascii="Arial" w:hAnsi="Arial" w:cs="Arial"/>
          <w:sz w:val="20"/>
          <w:szCs w:val="20"/>
          <w:lang w:val="en-GB"/>
        </w:rPr>
        <w:t>C</w:t>
      </w:r>
      <w:r w:rsidRPr="004030DB">
        <w:rPr>
          <w:rFonts w:ascii="Arial" w:hAnsi="Arial" w:cs="Arial"/>
          <w:sz w:val="20"/>
          <w:szCs w:val="20"/>
          <w:lang w:val="en-GB"/>
        </w:rPr>
        <w:t xml:space="preserve">ommittee is responsible for reviewing and making recommendations to the </w:t>
      </w:r>
      <w:r w:rsidR="00076502" w:rsidRPr="004030DB">
        <w:rPr>
          <w:rFonts w:ascii="Arial" w:hAnsi="Arial" w:cs="Arial"/>
          <w:sz w:val="20"/>
          <w:szCs w:val="20"/>
          <w:lang w:val="en-GB"/>
        </w:rPr>
        <w:t>B</w:t>
      </w:r>
      <w:r w:rsidR="00BD036B" w:rsidRPr="004030DB">
        <w:rPr>
          <w:rFonts w:ascii="Arial" w:hAnsi="Arial" w:cs="Arial"/>
          <w:sz w:val="20"/>
          <w:szCs w:val="20"/>
          <w:lang w:val="en-GB"/>
        </w:rPr>
        <w:t>oard</w:t>
      </w:r>
      <w:r w:rsidRPr="004030DB">
        <w:rPr>
          <w:rFonts w:ascii="Arial" w:hAnsi="Arial" w:cs="Arial"/>
          <w:sz w:val="20"/>
          <w:szCs w:val="20"/>
          <w:lang w:val="en-GB"/>
        </w:rPr>
        <w:t xml:space="preserve"> on the composition, balance, skill mix and succession planning of the </w:t>
      </w:r>
      <w:r w:rsidR="00076502" w:rsidRPr="004030DB">
        <w:rPr>
          <w:rFonts w:ascii="Arial" w:hAnsi="Arial" w:cs="Arial"/>
          <w:sz w:val="20"/>
          <w:szCs w:val="20"/>
          <w:lang w:val="en-GB"/>
        </w:rPr>
        <w:t>B</w:t>
      </w:r>
      <w:r w:rsidR="00151035" w:rsidRPr="004030DB">
        <w:rPr>
          <w:rFonts w:ascii="Arial" w:hAnsi="Arial" w:cs="Arial"/>
          <w:sz w:val="20"/>
          <w:szCs w:val="20"/>
          <w:lang w:val="en-GB"/>
        </w:rPr>
        <w:t>oard</w:t>
      </w:r>
      <w:r w:rsidRPr="004030DB">
        <w:rPr>
          <w:rFonts w:ascii="Arial" w:hAnsi="Arial" w:cs="Arial"/>
          <w:sz w:val="20"/>
          <w:szCs w:val="20"/>
          <w:lang w:val="en-GB"/>
        </w:rPr>
        <w:t xml:space="preserve">, for determining the appointment of the </w:t>
      </w:r>
      <w:r w:rsidR="006B6A04" w:rsidRPr="004030DB">
        <w:rPr>
          <w:rFonts w:ascii="Arial" w:hAnsi="Arial" w:cs="Arial"/>
          <w:sz w:val="20"/>
          <w:szCs w:val="20"/>
          <w:lang w:val="en-GB"/>
        </w:rPr>
        <w:t>E</w:t>
      </w:r>
      <w:r w:rsidRPr="004030DB">
        <w:rPr>
          <w:rFonts w:ascii="Arial" w:hAnsi="Arial" w:cs="Arial"/>
          <w:sz w:val="20"/>
          <w:szCs w:val="20"/>
          <w:lang w:val="en-GB"/>
        </w:rPr>
        <w:t xml:space="preserve">xecutive directors, and monitoring the level and structure of other </w:t>
      </w:r>
      <w:r w:rsidR="002F0875" w:rsidRPr="004030DB">
        <w:rPr>
          <w:rFonts w:ascii="Arial" w:hAnsi="Arial" w:cs="Arial"/>
          <w:sz w:val="20"/>
          <w:szCs w:val="20"/>
          <w:lang w:val="en-GB"/>
        </w:rPr>
        <w:t>senior managers</w:t>
      </w:r>
      <w:r w:rsidRPr="004030DB">
        <w:rPr>
          <w:rFonts w:ascii="Arial" w:hAnsi="Arial" w:cs="Arial"/>
          <w:sz w:val="20"/>
          <w:szCs w:val="20"/>
          <w:lang w:val="en-GB"/>
        </w:rPr>
        <w:t xml:space="preserve"> reporting directly to the </w:t>
      </w:r>
      <w:r w:rsidR="00076502" w:rsidRPr="004030DB">
        <w:rPr>
          <w:rFonts w:ascii="Arial" w:hAnsi="Arial" w:cs="Arial"/>
          <w:sz w:val="20"/>
          <w:szCs w:val="20"/>
          <w:lang w:val="en-GB"/>
        </w:rPr>
        <w:t>C</w:t>
      </w:r>
      <w:r w:rsidRPr="004030DB">
        <w:rPr>
          <w:rFonts w:ascii="Arial" w:hAnsi="Arial" w:cs="Arial"/>
          <w:sz w:val="20"/>
          <w:szCs w:val="20"/>
          <w:lang w:val="en-GB"/>
        </w:rPr>
        <w:t xml:space="preserve">hief </w:t>
      </w:r>
      <w:r w:rsidR="00076502" w:rsidRPr="004030DB">
        <w:rPr>
          <w:rFonts w:ascii="Arial" w:hAnsi="Arial" w:cs="Arial"/>
          <w:sz w:val="20"/>
          <w:szCs w:val="20"/>
          <w:lang w:val="en-GB"/>
        </w:rPr>
        <w:t>E</w:t>
      </w:r>
      <w:r w:rsidRPr="004030DB">
        <w:rPr>
          <w:rFonts w:ascii="Arial" w:hAnsi="Arial" w:cs="Arial"/>
          <w:sz w:val="20"/>
          <w:szCs w:val="20"/>
          <w:lang w:val="en-GB"/>
        </w:rPr>
        <w:t>xecutive.</w:t>
      </w:r>
    </w:p>
    <w:p w14:paraId="03A5E9BD" w14:textId="77777777" w:rsidR="002F0875" w:rsidRPr="004030DB" w:rsidRDefault="002F0875" w:rsidP="00B671D0">
      <w:pPr>
        <w:jc w:val="both"/>
        <w:rPr>
          <w:rFonts w:ascii="Arial" w:hAnsi="Arial" w:cs="Arial"/>
          <w:sz w:val="20"/>
          <w:szCs w:val="20"/>
          <w:lang w:val="en-GB"/>
        </w:rPr>
      </w:pPr>
    </w:p>
    <w:p w14:paraId="0F04BCD3" w14:textId="77777777" w:rsidR="00010A15" w:rsidRPr="004030DB" w:rsidRDefault="00010A15" w:rsidP="00B671D0">
      <w:pPr>
        <w:jc w:val="both"/>
        <w:rPr>
          <w:rFonts w:ascii="Arial" w:hAnsi="Arial" w:cs="Arial"/>
          <w:sz w:val="20"/>
          <w:szCs w:val="20"/>
          <w:lang w:val="en-GB"/>
        </w:rPr>
      </w:pPr>
      <w:r w:rsidRPr="004030DB">
        <w:rPr>
          <w:rFonts w:ascii="Arial" w:hAnsi="Arial" w:cs="Arial"/>
          <w:sz w:val="20"/>
          <w:szCs w:val="20"/>
          <w:lang w:val="en-GB"/>
        </w:rPr>
        <w:t xml:space="preserve">It is responsible for reviewing the size, structure and composition of the </w:t>
      </w:r>
      <w:r w:rsidR="00076502" w:rsidRPr="004030DB">
        <w:rPr>
          <w:rFonts w:ascii="Arial" w:hAnsi="Arial" w:cs="Arial"/>
          <w:sz w:val="20"/>
          <w:szCs w:val="20"/>
          <w:lang w:val="en-GB"/>
        </w:rPr>
        <w:t>B</w:t>
      </w:r>
      <w:r w:rsidR="00151035" w:rsidRPr="004030DB">
        <w:rPr>
          <w:rFonts w:ascii="Arial" w:hAnsi="Arial" w:cs="Arial"/>
          <w:sz w:val="20"/>
          <w:szCs w:val="20"/>
          <w:lang w:val="en-GB"/>
        </w:rPr>
        <w:t>oard</w:t>
      </w:r>
      <w:r w:rsidRPr="004030DB">
        <w:rPr>
          <w:rFonts w:ascii="Arial" w:hAnsi="Arial" w:cs="Arial"/>
          <w:sz w:val="20"/>
          <w:szCs w:val="20"/>
          <w:lang w:val="en-GB"/>
        </w:rPr>
        <w:t xml:space="preserve"> on an annual basis and makes recommendations to the </w:t>
      </w:r>
      <w:r w:rsidR="00076502" w:rsidRPr="004030DB">
        <w:rPr>
          <w:rFonts w:ascii="Arial" w:hAnsi="Arial" w:cs="Arial"/>
          <w:sz w:val="20"/>
          <w:szCs w:val="20"/>
          <w:lang w:val="en-GB"/>
        </w:rPr>
        <w:t>B</w:t>
      </w:r>
      <w:r w:rsidRPr="004030DB">
        <w:rPr>
          <w:rFonts w:ascii="Arial" w:hAnsi="Arial" w:cs="Arial"/>
          <w:sz w:val="20"/>
          <w:szCs w:val="20"/>
          <w:lang w:val="en-GB"/>
        </w:rPr>
        <w:t>oard.</w:t>
      </w:r>
      <w:r w:rsidR="006B6A04" w:rsidRPr="004030DB">
        <w:rPr>
          <w:rFonts w:ascii="Arial" w:hAnsi="Arial" w:cs="Arial"/>
          <w:sz w:val="20"/>
          <w:szCs w:val="20"/>
          <w:lang w:val="en-GB"/>
        </w:rPr>
        <w:t xml:space="preserve">  </w:t>
      </w:r>
      <w:r w:rsidRPr="004030DB">
        <w:rPr>
          <w:rFonts w:ascii="Arial" w:hAnsi="Arial" w:cs="Arial"/>
          <w:sz w:val="20"/>
          <w:szCs w:val="20"/>
          <w:lang w:val="en-GB"/>
        </w:rPr>
        <w:t>Directors have individual appraisals and professional development reviews.</w:t>
      </w:r>
    </w:p>
    <w:p w14:paraId="43CC90DE" w14:textId="77777777" w:rsidR="002F0875" w:rsidRPr="004030DB" w:rsidRDefault="002F0875" w:rsidP="00B671D0">
      <w:pPr>
        <w:jc w:val="both"/>
        <w:rPr>
          <w:rFonts w:ascii="Arial" w:hAnsi="Arial" w:cs="Arial"/>
          <w:sz w:val="20"/>
          <w:szCs w:val="20"/>
          <w:lang w:val="en-GB"/>
        </w:rPr>
      </w:pPr>
    </w:p>
    <w:p w14:paraId="19DE608E" w14:textId="77777777" w:rsidR="00076502" w:rsidRPr="004030DB" w:rsidRDefault="00010A15" w:rsidP="00B671D0">
      <w:pPr>
        <w:jc w:val="both"/>
        <w:rPr>
          <w:rFonts w:ascii="Arial" w:hAnsi="Arial" w:cs="Arial"/>
          <w:sz w:val="20"/>
          <w:szCs w:val="20"/>
          <w:lang w:val="en-GB"/>
        </w:rPr>
      </w:pPr>
      <w:r w:rsidRPr="004030DB">
        <w:rPr>
          <w:rFonts w:ascii="Arial" w:hAnsi="Arial" w:cs="Arial"/>
          <w:sz w:val="20"/>
          <w:szCs w:val="20"/>
          <w:lang w:val="en-GB"/>
        </w:rPr>
        <w:t xml:space="preserve">The </w:t>
      </w:r>
      <w:r w:rsidR="00076502" w:rsidRPr="004030DB">
        <w:rPr>
          <w:rFonts w:ascii="Arial" w:hAnsi="Arial" w:cs="Arial"/>
          <w:sz w:val="20"/>
          <w:szCs w:val="20"/>
          <w:lang w:val="en-GB"/>
        </w:rPr>
        <w:t>C</w:t>
      </w:r>
      <w:r w:rsidRPr="004030DB">
        <w:rPr>
          <w:rFonts w:ascii="Arial" w:hAnsi="Arial" w:cs="Arial"/>
          <w:sz w:val="20"/>
          <w:szCs w:val="20"/>
          <w:lang w:val="en-GB"/>
        </w:rPr>
        <w:t xml:space="preserve">ommittee met </w:t>
      </w:r>
      <w:r w:rsidR="00E63CA7" w:rsidRPr="004030DB">
        <w:rPr>
          <w:rFonts w:ascii="Arial" w:hAnsi="Arial" w:cs="Arial"/>
          <w:sz w:val="20"/>
          <w:szCs w:val="20"/>
          <w:lang w:val="en-GB"/>
        </w:rPr>
        <w:t>two</w:t>
      </w:r>
      <w:r w:rsidRPr="004030DB">
        <w:rPr>
          <w:rFonts w:ascii="Arial" w:hAnsi="Arial" w:cs="Arial"/>
          <w:sz w:val="20"/>
          <w:szCs w:val="20"/>
          <w:lang w:val="en-GB"/>
        </w:rPr>
        <w:t xml:space="preserve"> times during the year.</w:t>
      </w:r>
      <w:r w:rsidR="006B6A04" w:rsidRPr="004030DB">
        <w:rPr>
          <w:rFonts w:ascii="Arial" w:hAnsi="Arial" w:cs="Arial"/>
          <w:sz w:val="20"/>
          <w:szCs w:val="20"/>
          <w:lang w:val="en-GB"/>
        </w:rPr>
        <w:t xml:space="preserve">  </w:t>
      </w:r>
      <w:r w:rsidR="00076502" w:rsidRPr="004030DB">
        <w:rPr>
          <w:rFonts w:ascii="Arial" w:hAnsi="Arial" w:cs="Arial"/>
          <w:sz w:val="20"/>
          <w:szCs w:val="20"/>
          <w:lang w:val="en-GB"/>
        </w:rPr>
        <w:t>Attendance record is detailed under Attendance at Board of Directors and Committee meetings in 202</w:t>
      </w:r>
      <w:r w:rsidR="000E5B6E" w:rsidRPr="004030DB">
        <w:rPr>
          <w:rFonts w:ascii="Arial" w:hAnsi="Arial" w:cs="Arial"/>
          <w:sz w:val="20"/>
          <w:szCs w:val="20"/>
          <w:lang w:val="en-GB"/>
        </w:rPr>
        <w:t>4</w:t>
      </w:r>
      <w:r w:rsidR="00076502" w:rsidRPr="004030DB">
        <w:rPr>
          <w:rFonts w:ascii="Arial" w:hAnsi="Arial" w:cs="Arial"/>
          <w:sz w:val="20"/>
          <w:szCs w:val="20"/>
          <w:lang w:val="en-GB"/>
        </w:rPr>
        <w:t>/2</w:t>
      </w:r>
      <w:r w:rsidR="000E5B6E" w:rsidRPr="004030DB">
        <w:rPr>
          <w:rFonts w:ascii="Arial" w:hAnsi="Arial" w:cs="Arial"/>
          <w:sz w:val="20"/>
          <w:szCs w:val="20"/>
          <w:lang w:val="en-GB"/>
        </w:rPr>
        <w:t>5</w:t>
      </w:r>
      <w:r w:rsidR="00076502" w:rsidRPr="004030DB">
        <w:rPr>
          <w:rFonts w:ascii="Arial" w:hAnsi="Arial" w:cs="Arial"/>
          <w:sz w:val="20"/>
          <w:szCs w:val="20"/>
          <w:lang w:val="en-GB"/>
        </w:rPr>
        <w:t>.</w:t>
      </w:r>
    </w:p>
    <w:p w14:paraId="032ADB24" w14:textId="77777777" w:rsidR="002F0875" w:rsidRPr="004030DB" w:rsidRDefault="002F0875" w:rsidP="00B671D0">
      <w:pPr>
        <w:jc w:val="both"/>
        <w:rPr>
          <w:rFonts w:ascii="Arial" w:hAnsi="Arial" w:cs="Arial"/>
          <w:sz w:val="20"/>
          <w:szCs w:val="20"/>
          <w:lang w:val="en-GB"/>
        </w:rPr>
      </w:pPr>
    </w:p>
    <w:p w14:paraId="1E25A65B" w14:textId="77777777" w:rsidR="00A15DFA" w:rsidRPr="004030DB" w:rsidRDefault="00A15DFA" w:rsidP="00B671D0">
      <w:pPr>
        <w:jc w:val="both"/>
        <w:rPr>
          <w:rFonts w:ascii="Arial" w:hAnsi="Arial" w:cs="Arial"/>
          <w:b/>
          <w:sz w:val="20"/>
          <w:szCs w:val="20"/>
          <w:lang w:val="en-GB"/>
        </w:rPr>
      </w:pPr>
      <w:bookmarkStart w:id="14" w:name="_Hlk165375051"/>
    </w:p>
    <w:p w14:paraId="256BC655" w14:textId="77777777" w:rsidR="001F469C" w:rsidRPr="004030DB" w:rsidRDefault="001F469C" w:rsidP="00B671D0">
      <w:pPr>
        <w:jc w:val="both"/>
        <w:rPr>
          <w:rFonts w:ascii="Arial" w:hAnsi="Arial" w:cs="Arial"/>
          <w:b/>
          <w:sz w:val="20"/>
          <w:szCs w:val="20"/>
          <w:lang w:val="en-GB"/>
        </w:rPr>
      </w:pPr>
    </w:p>
    <w:p w14:paraId="32A46A1F" w14:textId="77777777" w:rsidR="001F469C" w:rsidRPr="004030DB" w:rsidRDefault="001F469C" w:rsidP="00B671D0">
      <w:pPr>
        <w:jc w:val="both"/>
        <w:rPr>
          <w:rFonts w:ascii="Arial" w:hAnsi="Arial" w:cs="Arial"/>
          <w:b/>
          <w:sz w:val="20"/>
          <w:szCs w:val="20"/>
          <w:highlight w:val="yellow"/>
          <w:lang w:val="en-GB"/>
        </w:rPr>
      </w:pPr>
    </w:p>
    <w:p w14:paraId="6887E66D" w14:textId="77777777" w:rsidR="001F469C" w:rsidRPr="004030DB" w:rsidRDefault="001F469C" w:rsidP="00B671D0">
      <w:pPr>
        <w:jc w:val="both"/>
        <w:rPr>
          <w:rFonts w:ascii="Arial" w:hAnsi="Arial" w:cs="Arial"/>
          <w:b/>
          <w:sz w:val="20"/>
          <w:szCs w:val="20"/>
          <w:highlight w:val="yellow"/>
          <w:lang w:val="en-GB"/>
        </w:rPr>
      </w:pPr>
    </w:p>
    <w:p w14:paraId="409FC228" w14:textId="77777777" w:rsidR="001F469C" w:rsidRPr="00696EE6" w:rsidRDefault="001F469C" w:rsidP="00076502">
      <w:pPr>
        <w:rPr>
          <w:rFonts w:ascii="Arial" w:hAnsi="Arial" w:cs="Arial"/>
          <w:b/>
          <w:sz w:val="20"/>
          <w:szCs w:val="20"/>
          <w:highlight w:val="yellow"/>
          <w:lang w:val="en-GB"/>
        </w:rPr>
      </w:pPr>
    </w:p>
    <w:p w14:paraId="4BE85B36" w14:textId="77777777" w:rsidR="001F469C" w:rsidRPr="00696EE6" w:rsidRDefault="001F469C" w:rsidP="00076502">
      <w:pPr>
        <w:rPr>
          <w:rFonts w:ascii="Arial" w:hAnsi="Arial" w:cs="Arial"/>
          <w:b/>
          <w:sz w:val="20"/>
          <w:szCs w:val="20"/>
          <w:highlight w:val="yellow"/>
          <w:lang w:val="en-GB"/>
        </w:rPr>
      </w:pPr>
    </w:p>
    <w:p w14:paraId="2C0008ED" w14:textId="77777777" w:rsidR="001F469C" w:rsidRPr="00696EE6" w:rsidRDefault="001F469C" w:rsidP="00076502">
      <w:pPr>
        <w:rPr>
          <w:rFonts w:ascii="Arial" w:hAnsi="Arial" w:cs="Arial"/>
          <w:b/>
          <w:sz w:val="20"/>
          <w:szCs w:val="20"/>
          <w:highlight w:val="yellow"/>
          <w:lang w:val="en-GB"/>
        </w:rPr>
      </w:pPr>
    </w:p>
    <w:p w14:paraId="18632B91" w14:textId="77777777" w:rsidR="001F469C" w:rsidRDefault="001F469C" w:rsidP="00076502">
      <w:pPr>
        <w:rPr>
          <w:rFonts w:ascii="Arial" w:hAnsi="Arial" w:cs="Arial"/>
          <w:b/>
          <w:sz w:val="20"/>
          <w:szCs w:val="20"/>
          <w:highlight w:val="yellow"/>
          <w:lang w:val="en-GB"/>
        </w:rPr>
      </w:pPr>
    </w:p>
    <w:p w14:paraId="2F8B0762" w14:textId="77777777" w:rsidR="000E5B6E" w:rsidRDefault="000E5B6E" w:rsidP="00076502">
      <w:pPr>
        <w:rPr>
          <w:rFonts w:ascii="Arial" w:hAnsi="Arial" w:cs="Arial"/>
          <w:b/>
          <w:sz w:val="20"/>
          <w:szCs w:val="20"/>
          <w:highlight w:val="yellow"/>
          <w:lang w:val="en-GB"/>
        </w:rPr>
      </w:pPr>
    </w:p>
    <w:p w14:paraId="03A70CCD" w14:textId="77777777" w:rsidR="000E5B6E" w:rsidRDefault="000E5B6E" w:rsidP="00076502">
      <w:pPr>
        <w:rPr>
          <w:rFonts w:ascii="Arial" w:hAnsi="Arial" w:cs="Arial"/>
          <w:b/>
          <w:sz w:val="20"/>
          <w:szCs w:val="20"/>
          <w:highlight w:val="yellow"/>
          <w:lang w:val="en-GB"/>
        </w:rPr>
      </w:pPr>
    </w:p>
    <w:p w14:paraId="3AA2D1EA" w14:textId="77777777" w:rsidR="000E5B6E" w:rsidRPr="00696EE6" w:rsidRDefault="000E5B6E" w:rsidP="00076502">
      <w:pPr>
        <w:rPr>
          <w:rFonts w:ascii="Arial" w:hAnsi="Arial" w:cs="Arial"/>
          <w:b/>
          <w:sz w:val="20"/>
          <w:szCs w:val="20"/>
          <w:highlight w:val="yellow"/>
          <w:lang w:val="en-GB"/>
        </w:rPr>
      </w:pPr>
    </w:p>
    <w:p w14:paraId="135BD5C0" w14:textId="77777777" w:rsidR="001F469C" w:rsidRDefault="001F469C" w:rsidP="00076502">
      <w:pPr>
        <w:rPr>
          <w:rFonts w:ascii="Arial" w:hAnsi="Arial" w:cs="Arial"/>
          <w:b/>
          <w:sz w:val="20"/>
          <w:szCs w:val="20"/>
          <w:lang w:val="en-GB"/>
        </w:rPr>
      </w:pPr>
    </w:p>
    <w:p w14:paraId="4523F520" w14:textId="77777777" w:rsidR="004030DB" w:rsidRDefault="004030DB" w:rsidP="00076502">
      <w:pPr>
        <w:rPr>
          <w:rFonts w:ascii="Arial" w:hAnsi="Arial" w:cs="Arial"/>
          <w:b/>
          <w:sz w:val="20"/>
          <w:szCs w:val="20"/>
          <w:lang w:val="en-GB"/>
        </w:rPr>
      </w:pPr>
    </w:p>
    <w:p w14:paraId="0F7FA651" w14:textId="77777777" w:rsidR="004030DB" w:rsidRDefault="004030DB" w:rsidP="00076502">
      <w:pPr>
        <w:rPr>
          <w:rFonts w:ascii="Arial" w:hAnsi="Arial" w:cs="Arial"/>
          <w:b/>
          <w:sz w:val="20"/>
          <w:szCs w:val="20"/>
          <w:lang w:val="en-GB"/>
        </w:rPr>
      </w:pPr>
    </w:p>
    <w:p w14:paraId="2F1C352A" w14:textId="77777777" w:rsidR="004030DB" w:rsidRDefault="004030DB" w:rsidP="00076502">
      <w:pPr>
        <w:rPr>
          <w:rFonts w:ascii="Arial" w:hAnsi="Arial" w:cs="Arial"/>
          <w:b/>
          <w:sz w:val="20"/>
          <w:szCs w:val="20"/>
          <w:lang w:val="en-GB"/>
        </w:rPr>
      </w:pPr>
    </w:p>
    <w:p w14:paraId="68304786" w14:textId="77777777" w:rsidR="004030DB" w:rsidRDefault="004030DB" w:rsidP="00076502">
      <w:pPr>
        <w:rPr>
          <w:rFonts w:ascii="Arial" w:hAnsi="Arial" w:cs="Arial"/>
          <w:b/>
          <w:sz w:val="20"/>
          <w:szCs w:val="20"/>
          <w:lang w:val="en-GB"/>
        </w:rPr>
      </w:pPr>
    </w:p>
    <w:p w14:paraId="1F34D385" w14:textId="77777777" w:rsidR="004030DB" w:rsidRDefault="004030DB" w:rsidP="00076502">
      <w:pPr>
        <w:rPr>
          <w:rFonts w:ascii="Arial" w:hAnsi="Arial" w:cs="Arial"/>
          <w:b/>
          <w:sz w:val="20"/>
          <w:szCs w:val="20"/>
          <w:lang w:val="en-GB"/>
        </w:rPr>
      </w:pPr>
    </w:p>
    <w:p w14:paraId="48A3681D" w14:textId="77777777" w:rsidR="004030DB" w:rsidRDefault="004030DB" w:rsidP="00076502">
      <w:pPr>
        <w:rPr>
          <w:rFonts w:ascii="Arial" w:hAnsi="Arial" w:cs="Arial"/>
          <w:b/>
          <w:sz w:val="20"/>
          <w:szCs w:val="20"/>
          <w:lang w:val="en-GB"/>
        </w:rPr>
      </w:pPr>
    </w:p>
    <w:p w14:paraId="3FDDEF5C" w14:textId="77777777" w:rsidR="004030DB" w:rsidRDefault="004030DB" w:rsidP="00076502">
      <w:pPr>
        <w:rPr>
          <w:rFonts w:ascii="Arial" w:hAnsi="Arial" w:cs="Arial"/>
          <w:b/>
          <w:sz w:val="20"/>
          <w:szCs w:val="20"/>
          <w:lang w:val="en-GB"/>
        </w:rPr>
      </w:pPr>
    </w:p>
    <w:p w14:paraId="4034798F" w14:textId="77777777" w:rsidR="004030DB" w:rsidRDefault="004030DB" w:rsidP="00076502">
      <w:pPr>
        <w:rPr>
          <w:rFonts w:ascii="Arial" w:hAnsi="Arial" w:cs="Arial"/>
          <w:b/>
          <w:sz w:val="20"/>
          <w:szCs w:val="20"/>
          <w:lang w:val="en-GB"/>
        </w:rPr>
      </w:pPr>
    </w:p>
    <w:p w14:paraId="38283452" w14:textId="77777777" w:rsidR="004030DB" w:rsidRDefault="004030DB" w:rsidP="00076502">
      <w:pPr>
        <w:rPr>
          <w:rFonts w:ascii="Arial" w:hAnsi="Arial" w:cs="Arial"/>
          <w:b/>
          <w:sz w:val="20"/>
          <w:szCs w:val="20"/>
          <w:lang w:val="en-GB"/>
        </w:rPr>
      </w:pPr>
    </w:p>
    <w:p w14:paraId="796C11AA" w14:textId="77777777" w:rsidR="004030DB" w:rsidRDefault="004030DB" w:rsidP="00076502">
      <w:pPr>
        <w:rPr>
          <w:rFonts w:ascii="Arial" w:hAnsi="Arial" w:cs="Arial"/>
          <w:b/>
          <w:sz w:val="20"/>
          <w:szCs w:val="20"/>
          <w:lang w:val="en-GB"/>
        </w:rPr>
      </w:pPr>
    </w:p>
    <w:p w14:paraId="41EEABD5" w14:textId="77777777" w:rsidR="004030DB" w:rsidRDefault="004030DB" w:rsidP="00076502">
      <w:pPr>
        <w:rPr>
          <w:rFonts w:ascii="Arial" w:hAnsi="Arial" w:cs="Arial"/>
          <w:b/>
          <w:sz w:val="20"/>
          <w:szCs w:val="20"/>
          <w:lang w:val="en-GB"/>
        </w:rPr>
      </w:pPr>
    </w:p>
    <w:p w14:paraId="7C42D4A1" w14:textId="77777777" w:rsidR="004030DB" w:rsidRDefault="004030DB" w:rsidP="00076502">
      <w:pPr>
        <w:rPr>
          <w:rFonts w:ascii="Arial" w:hAnsi="Arial" w:cs="Arial"/>
          <w:b/>
          <w:sz w:val="20"/>
          <w:szCs w:val="20"/>
          <w:lang w:val="en-GB"/>
        </w:rPr>
      </w:pPr>
    </w:p>
    <w:p w14:paraId="2AE424EB" w14:textId="77777777" w:rsidR="004030DB" w:rsidRDefault="004030DB" w:rsidP="00076502">
      <w:pPr>
        <w:rPr>
          <w:rFonts w:ascii="Arial" w:hAnsi="Arial" w:cs="Arial"/>
          <w:b/>
          <w:sz w:val="20"/>
          <w:szCs w:val="20"/>
          <w:lang w:val="en-GB"/>
        </w:rPr>
      </w:pPr>
    </w:p>
    <w:p w14:paraId="0D690BBD" w14:textId="77777777" w:rsidR="004030DB" w:rsidRDefault="004030DB" w:rsidP="00076502">
      <w:pPr>
        <w:rPr>
          <w:rFonts w:ascii="Arial" w:hAnsi="Arial" w:cs="Arial"/>
          <w:b/>
          <w:sz w:val="20"/>
          <w:szCs w:val="20"/>
          <w:lang w:val="en-GB"/>
        </w:rPr>
      </w:pPr>
    </w:p>
    <w:p w14:paraId="11F40643" w14:textId="77777777" w:rsidR="004030DB" w:rsidRDefault="004030DB" w:rsidP="00076502">
      <w:pPr>
        <w:rPr>
          <w:rFonts w:ascii="Arial" w:hAnsi="Arial" w:cs="Arial"/>
          <w:b/>
          <w:sz w:val="20"/>
          <w:szCs w:val="20"/>
          <w:lang w:val="en-GB"/>
        </w:rPr>
      </w:pPr>
    </w:p>
    <w:p w14:paraId="59A0FF72" w14:textId="77777777" w:rsidR="004030DB" w:rsidRDefault="004030DB" w:rsidP="00076502">
      <w:pPr>
        <w:rPr>
          <w:rFonts w:ascii="Arial" w:hAnsi="Arial" w:cs="Arial"/>
          <w:b/>
          <w:sz w:val="20"/>
          <w:szCs w:val="20"/>
          <w:lang w:val="en-GB"/>
        </w:rPr>
      </w:pPr>
    </w:p>
    <w:p w14:paraId="1074A0B8" w14:textId="77777777" w:rsidR="004030DB" w:rsidRDefault="004030DB" w:rsidP="00076502">
      <w:pPr>
        <w:rPr>
          <w:rFonts w:ascii="Arial" w:hAnsi="Arial" w:cs="Arial"/>
          <w:b/>
          <w:sz w:val="20"/>
          <w:szCs w:val="20"/>
          <w:lang w:val="en-GB"/>
        </w:rPr>
      </w:pPr>
    </w:p>
    <w:p w14:paraId="65466053" w14:textId="77777777" w:rsidR="004030DB" w:rsidRDefault="004030DB" w:rsidP="00076502">
      <w:pPr>
        <w:rPr>
          <w:rFonts w:ascii="Arial" w:hAnsi="Arial" w:cs="Arial"/>
          <w:b/>
          <w:sz w:val="20"/>
          <w:szCs w:val="20"/>
          <w:lang w:val="en-GB"/>
        </w:rPr>
      </w:pPr>
    </w:p>
    <w:p w14:paraId="57EA33CE" w14:textId="77777777" w:rsidR="004030DB" w:rsidRDefault="004030DB" w:rsidP="00076502">
      <w:pPr>
        <w:rPr>
          <w:rFonts w:ascii="Arial" w:hAnsi="Arial" w:cs="Arial"/>
          <w:b/>
          <w:sz w:val="20"/>
          <w:szCs w:val="20"/>
          <w:lang w:val="en-GB"/>
        </w:rPr>
      </w:pPr>
    </w:p>
    <w:p w14:paraId="4ED25601" w14:textId="77777777" w:rsidR="004030DB" w:rsidRDefault="004030DB" w:rsidP="00076502">
      <w:pPr>
        <w:rPr>
          <w:rFonts w:ascii="Arial" w:hAnsi="Arial" w:cs="Arial"/>
          <w:b/>
          <w:sz w:val="20"/>
          <w:szCs w:val="20"/>
          <w:lang w:val="en-GB"/>
        </w:rPr>
      </w:pPr>
    </w:p>
    <w:p w14:paraId="763A3AFA" w14:textId="77777777" w:rsidR="004030DB" w:rsidRDefault="004030DB" w:rsidP="00076502">
      <w:pPr>
        <w:rPr>
          <w:rFonts w:ascii="Arial" w:hAnsi="Arial" w:cs="Arial"/>
          <w:b/>
          <w:sz w:val="20"/>
          <w:szCs w:val="20"/>
          <w:lang w:val="en-GB"/>
        </w:rPr>
      </w:pPr>
    </w:p>
    <w:p w14:paraId="32F58820" w14:textId="77777777" w:rsidR="004030DB" w:rsidRDefault="004030DB" w:rsidP="00076502">
      <w:pPr>
        <w:rPr>
          <w:rFonts w:ascii="Arial" w:hAnsi="Arial" w:cs="Arial"/>
          <w:b/>
          <w:sz w:val="20"/>
          <w:szCs w:val="20"/>
          <w:lang w:val="en-GB"/>
        </w:rPr>
      </w:pPr>
    </w:p>
    <w:p w14:paraId="1073FE7B" w14:textId="77777777" w:rsidR="004030DB" w:rsidRPr="00982903" w:rsidRDefault="004030DB" w:rsidP="00076502">
      <w:pPr>
        <w:rPr>
          <w:rFonts w:ascii="Arial" w:hAnsi="Arial" w:cs="Arial"/>
          <w:b/>
          <w:sz w:val="20"/>
          <w:szCs w:val="20"/>
          <w:lang w:val="en-GB"/>
        </w:rPr>
      </w:pPr>
    </w:p>
    <w:p w14:paraId="4CF679C4" w14:textId="77777777" w:rsidR="001F469C" w:rsidRPr="00982903" w:rsidRDefault="001F469C" w:rsidP="00076502">
      <w:pPr>
        <w:rPr>
          <w:rFonts w:ascii="Arial" w:hAnsi="Arial" w:cs="Arial"/>
          <w:b/>
          <w:sz w:val="20"/>
          <w:szCs w:val="20"/>
          <w:lang w:val="en-GB"/>
        </w:rPr>
      </w:pPr>
    </w:p>
    <w:p w14:paraId="26AA402D" w14:textId="77777777" w:rsidR="001F469C" w:rsidRPr="00982903" w:rsidRDefault="001F469C" w:rsidP="00076502">
      <w:pPr>
        <w:rPr>
          <w:rFonts w:ascii="Arial" w:hAnsi="Arial" w:cs="Arial"/>
          <w:b/>
          <w:sz w:val="20"/>
          <w:szCs w:val="20"/>
          <w:lang w:val="en-GB"/>
        </w:rPr>
      </w:pPr>
    </w:p>
    <w:p w14:paraId="6C6CCE5E" w14:textId="77777777" w:rsidR="00076502" w:rsidRPr="00982903" w:rsidRDefault="00311215" w:rsidP="00076502">
      <w:pPr>
        <w:rPr>
          <w:rFonts w:ascii="Arial" w:hAnsi="Arial" w:cs="Arial"/>
          <w:b/>
          <w:color w:val="FF0000"/>
          <w:sz w:val="20"/>
          <w:szCs w:val="20"/>
          <w:lang w:val="en-GB"/>
        </w:rPr>
      </w:pPr>
      <w:r w:rsidRPr="00982903">
        <w:rPr>
          <w:rFonts w:ascii="Arial" w:hAnsi="Arial" w:cs="Arial"/>
          <w:b/>
          <w:sz w:val="20"/>
          <w:szCs w:val="20"/>
          <w:lang w:val="en-GB"/>
        </w:rPr>
        <w:lastRenderedPageBreak/>
        <w:t>Attendance at Board and Committee</w:t>
      </w:r>
      <w:r w:rsidR="009D0215" w:rsidRPr="00982903">
        <w:rPr>
          <w:rFonts w:ascii="Arial" w:hAnsi="Arial" w:cs="Arial"/>
          <w:b/>
          <w:sz w:val="20"/>
          <w:szCs w:val="20"/>
          <w:lang w:val="en-GB"/>
        </w:rPr>
        <w:t xml:space="preserve"> </w:t>
      </w:r>
      <w:r w:rsidR="00AF4066" w:rsidRPr="00982903">
        <w:rPr>
          <w:rFonts w:ascii="Arial" w:hAnsi="Arial" w:cs="Arial"/>
          <w:b/>
          <w:sz w:val="20"/>
          <w:szCs w:val="20"/>
          <w:lang w:val="en-GB"/>
        </w:rPr>
        <w:t>M</w:t>
      </w:r>
      <w:r w:rsidR="009D0215" w:rsidRPr="00982903">
        <w:rPr>
          <w:rFonts w:ascii="Arial" w:hAnsi="Arial" w:cs="Arial"/>
          <w:b/>
          <w:sz w:val="20"/>
          <w:szCs w:val="20"/>
          <w:lang w:val="en-GB"/>
        </w:rPr>
        <w:t>eetings</w:t>
      </w:r>
      <w:r w:rsidR="00AF4066" w:rsidRPr="00982903">
        <w:rPr>
          <w:rFonts w:ascii="Arial" w:hAnsi="Arial" w:cs="Arial"/>
          <w:b/>
          <w:sz w:val="20"/>
          <w:szCs w:val="20"/>
          <w:lang w:val="en-GB"/>
        </w:rPr>
        <w:t xml:space="preserve"> -</w:t>
      </w:r>
      <w:r w:rsidR="009D0215" w:rsidRPr="00982903">
        <w:rPr>
          <w:rFonts w:ascii="Arial" w:hAnsi="Arial" w:cs="Arial"/>
          <w:b/>
          <w:sz w:val="20"/>
          <w:szCs w:val="20"/>
          <w:lang w:val="en-GB"/>
        </w:rPr>
        <w:t xml:space="preserve"> </w:t>
      </w:r>
      <w:r w:rsidR="00A624D7" w:rsidRPr="00982903">
        <w:rPr>
          <w:rFonts w:ascii="Arial" w:hAnsi="Arial" w:cs="Arial"/>
          <w:b/>
          <w:sz w:val="20"/>
          <w:szCs w:val="20"/>
          <w:lang w:val="en-GB"/>
        </w:rPr>
        <w:t>April</w:t>
      </w:r>
      <w:r w:rsidR="009D0215" w:rsidRPr="00982903">
        <w:rPr>
          <w:rFonts w:ascii="Arial" w:hAnsi="Arial" w:cs="Arial"/>
          <w:b/>
          <w:sz w:val="20"/>
          <w:szCs w:val="20"/>
          <w:lang w:val="en-GB"/>
        </w:rPr>
        <w:t xml:space="preserve"> 202</w:t>
      </w:r>
      <w:r w:rsidR="000E5B6E" w:rsidRPr="00982903">
        <w:rPr>
          <w:rFonts w:ascii="Arial" w:hAnsi="Arial" w:cs="Arial"/>
          <w:b/>
          <w:sz w:val="20"/>
          <w:szCs w:val="20"/>
          <w:lang w:val="en-GB"/>
        </w:rPr>
        <w:t>4</w:t>
      </w:r>
      <w:r w:rsidR="009D0215" w:rsidRPr="00982903">
        <w:rPr>
          <w:rFonts w:ascii="Arial" w:hAnsi="Arial" w:cs="Arial"/>
          <w:b/>
          <w:sz w:val="20"/>
          <w:szCs w:val="20"/>
          <w:lang w:val="en-GB"/>
        </w:rPr>
        <w:t xml:space="preserve"> to </w:t>
      </w:r>
      <w:r w:rsidR="00A624D7" w:rsidRPr="00982903">
        <w:rPr>
          <w:rFonts w:ascii="Arial" w:hAnsi="Arial" w:cs="Arial"/>
          <w:b/>
          <w:sz w:val="20"/>
          <w:szCs w:val="20"/>
          <w:lang w:val="en-GB"/>
        </w:rPr>
        <w:t>March</w:t>
      </w:r>
      <w:r w:rsidR="009D0215" w:rsidRPr="00982903">
        <w:rPr>
          <w:rFonts w:ascii="Arial" w:hAnsi="Arial" w:cs="Arial"/>
          <w:b/>
          <w:sz w:val="20"/>
          <w:szCs w:val="20"/>
          <w:lang w:val="en-GB"/>
        </w:rPr>
        <w:t xml:space="preserve"> 202</w:t>
      </w:r>
      <w:r w:rsidR="000E5B6E" w:rsidRPr="00982903">
        <w:rPr>
          <w:rFonts w:ascii="Arial" w:hAnsi="Arial" w:cs="Arial"/>
          <w:b/>
          <w:sz w:val="20"/>
          <w:szCs w:val="20"/>
          <w:lang w:val="en-GB"/>
        </w:rPr>
        <w:t>5</w:t>
      </w:r>
      <w:r w:rsidRPr="00982903">
        <w:rPr>
          <w:rFonts w:ascii="Arial" w:hAnsi="Arial" w:cs="Arial"/>
          <w:b/>
          <w:sz w:val="20"/>
          <w:szCs w:val="20"/>
          <w:lang w:val="en-GB"/>
        </w:rPr>
        <w:t xml:space="preserve"> </w:t>
      </w:r>
    </w:p>
    <w:bookmarkEnd w:id="14"/>
    <w:p w14:paraId="2535EC0E" w14:textId="77777777" w:rsidR="00010A15" w:rsidRDefault="00010A15" w:rsidP="00010A15">
      <w:pPr>
        <w:rPr>
          <w:rFonts w:ascii="Arial" w:hAnsi="Arial" w:cs="Arial"/>
          <w:b/>
          <w:color w:val="FF0000"/>
          <w:sz w:val="36"/>
          <w:szCs w:val="36"/>
          <w:highlight w:val="yellow"/>
          <w:lang w:val="en-GB"/>
        </w:rPr>
      </w:pPr>
    </w:p>
    <w:tbl>
      <w:tblPr>
        <w:tblStyle w:val="TableGrid"/>
        <w:tblW w:w="11199" w:type="dxa"/>
        <w:tblInd w:w="-998" w:type="dxa"/>
        <w:tblLook w:val="04A0" w:firstRow="1" w:lastRow="0" w:firstColumn="1" w:lastColumn="0" w:noHBand="0" w:noVBand="1"/>
      </w:tblPr>
      <w:tblGrid>
        <w:gridCol w:w="1963"/>
        <w:gridCol w:w="2858"/>
        <w:gridCol w:w="992"/>
        <w:gridCol w:w="850"/>
        <w:gridCol w:w="851"/>
        <w:gridCol w:w="850"/>
        <w:gridCol w:w="993"/>
        <w:gridCol w:w="992"/>
        <w:gridCol w:w="850"/>
      </w:tblGrid>
      <w:tr w:rsidR="004E2D2F" w:rsidRPr="006E4503" w14:paraId="28773C98" w14:textId="77777777" w:rsidTr="004E2D2F">
        <w:trPr>
          <w:cantSplit/>
          <w:trHeight w:val="2967"/>
        </w:trPr>
        <w:tc>
          <w:tcPr>
            <w:tcW w:w="1963" w:type="dxa"/>
          </w:tcPr>
          <w:p w14:paraId="20AD8AF6" w14:textId="77777777" w:rsidR="004E2D2F" w:rsidRPr="006E4503" w:rsidRDefault="004E2D2F" w:rsidP="004E2D2F">
            <w:pPr>
              <w:rPr>
                <w:rFonts w:ascii="Arial" w:hAnsi="Arial" w:cs="Arial"/>
                <w:b/>
                <w:sz w:val="20"/>
                <w:szCs w:val="20"/>
              </w:rPr>
            </w:pPr>
            <w:r w:rsidRPr="006E4503">
              <w:rPr>
                <w:rFonts w:ascii="Arial" w:hAnsi="Arial" w:cs="Arial"/>
                <w:b/>
                <w:sz w:val="20"/>
                <w:szCs w:val="20"/>
              </w:rPr>
              <w:t>Voting Members and Attendees</w:t>
            </w:r>
          </w:p>
          <w:p w14:paraId="3CB8C9D9" w14:textId="77777777" w:rsidR="004E2D2F" w:rsidRPr="006E4503" w:rsidRDefault="004E2D2F" w:rsidP="004E2D2F">
            <w:pPr>
              <w:rPr>
                <w:rFonts w:ascii="Arial" w:hAnsi="Arial" w:cs="Arial"/>
                <w:sz w:val="20"/>
                <w:szCs w:val="20"/>
              </w:rPr>
            </w:pPr>
          </w:p>
          <w:p w14:paraId="18245271" w14:textId="77777777" w:rsidR="004E2D2F" w:rsidRPr="006E4503" w:rsidRDefault="004E2D2F" w:rsidP="004E2D2F">
            <w:pPr>
              <w:rPr>
                <w:rFonts w:ascii="Arial" w:hAnsi="Arial" w:cs="Arial"/>
                <w:sz w:val="20"/>
                <w:szCs w:val="20"/>
              </w:rPr>
            </w:pPr>
            <w:r w:rsidRPr="006E4503">
              <w:rPr>
                <w:rFonts w:ascii="Arial" w:hAnsi="Arial" w:cs="Arial"/>
                <w:sz w:val="20"/>
                <w:szCs w:val="20"/>
              </w:rPr>
              <w:t xml:space="preserve">(see Non-Executive Directors Biography and Committee Structure for Chair of Committees) </w:t>
            </w:r>
          </w:p>
        </w:tc>
        <w:tc>
          <w:tcPr>
            <w:tcW w:w="2858" w:type="dxa"/>
          </w:tcPr>
          <w:p w14:paraId="447B6CE7" w14:textId="77777777" w:rsidR="004E2D2F" w:rsidRPr="006E4503" w:rsidRDefault="004E2D2F" w:rsidP="004E2D2F">
            <w:pPr>
              <w:rPr>
                <w:rFonts w:ascii="Arial" w:hAnsi="Arial" w:cs="Arial"/>
                <w:b/>
                <w:sz w:val="20"/>
                <w:szCs w:val="20"/>
              </w:rPr>
            </w:pPr>
            <w:r w:rsidRPr="006E4503">
              <w:rPr>
                <w:rFonts w:ascii="Arial" w:hAnsi="Arial" w:cs="Arial"/>
                <w:b/>
                <w:sz w:val="20"/>
                <w:szCs w:val="20"/>
              </w:rPr>
              <w:t>Job Titles</w:t>
            </w:r>
          </w:p>
        </w:tc>
        <w:tc>
          <w:tcPr>
            <w:tcW w:w="992" w:type="dxa"/>
            <w:textDirection w:val="btLr"/>
          </w:tcPr>
          <w:p w14:paraId="4E0DA811" w14:textId="77777777" w:rsidR="004E2D2F" w:rsidRPr="006E4503" w:rsidRDefault="004E2D2F" w:rsidP="004E2D2F">
            <w:pPr>
              <w:ind w:left="113" w:right="113"/>
              <w:rPr>
                <w:rFonts w:ascii="Arial" w:hAnsi="Arial" w:cs="Arial"/>
                <w:b/>
                <w:sz w:val="20"/>
                <w:szCs w:val="20"/>
              </w:rPr>
            </w:pPr>
            <w:r w:rsidRPr="006E4503">
              <w:rPr>
                <w:rFonts w:ascii="Arial" w:hAnsi="Arial" w:cs="Arial"/>
                <w:b/>
                <w:sz w:val="20"/>
                <w:szCs w:val="20"/>
              </w:rPr>
              <w:t>Trust Board Private</w:t>
            </w:r>
          </w:p>
          <w:p w14:paraId="7CF57F52" w14:textId="77777777" w:rsidR="004E2D2F" w:rsidRPr="006E4503" w:rsidRDefault="004E2D2F" w:rsidP="004E2D2F">
            <w:pPr>
              <w:ind w:left="113" w:right="113"/>
              <w:rPr>
                <w:rFonts w:ascii="Arial" w:hAnsi="Arial" w:cs="Arial"/>
                <w:b/>
                <w:sz w:val="20"/>
                <w:szCs w:val="20"/>
              </w:rPr>
            </w:pPr>
            <w:r w:rsidRPr="006E4503">
              <w:rPr>
                <w:rFonts w:ascii="Arial" w:hAnsi="Arial" w:cs="Arial"/>
                <w:b/>
                <w:sz w:val="20"/>
                <w:szCs w:val="20"/>
              </w:rPr>
              <w:t>(10 Formal Meetings)</w:t>
            </w:r>
          </w:p>
        </w:tc>
        <w:tc>
          <w:tcPr>
            <w:tcW w:w="850" w:type="dxa"/>
            <w:textDirection w:val="btLr"/>
          </w:tcPr>
          <w:p w14:paraId="7122633F" w14:textId="77777777" w:rsidR="004E2D2F" w:rsidRPr="006E4503" w:rsidRDefault="004E2D2F" w:rsidP="004E2D2F">
            <w:pPr>
              <w:ind w:left="113" w:right="113"/>
              <w:rPr>
                <w:rFonts w:ascii="Arial" w:hAnsi="Arial" w:cs="Arial"/>
                <w:b/>
                <w:sz w:val="20"/>
                <w:szCs w:val="20"/>
              </w:rPr>
            </w:pPr>
            <w:r w:rsidRPr="006E4503">
              <w:rPr>
                <w:rFonts w:ascii="Arial" w:hAnsi="Arial" w:cs="Arial"/>
                <w:b/>
                <w:sz w:val="20"/>
                <w:szCs w:val="20"/>
              </w:rPr>
              <w:t>Trust Board in Public</w:t>
            </w:r>
          </w:p>
          <w:p w14:paraId="4F466ED5" w14:textId="77777777" w:rsidR="004E2D2F" w:rsidRPr="006E4503" w:rsidRDefault="004E2D2F" w:rsidP="004E2D2F">
            <w:pPr>
              <w:ind w:left="113" w:right="113"/>
              <w:rPr>
                <w:rFonts w:ascii="Arial" w:hAnsi="Arial" w:cs="Arial"/>
                <w:b/>
                <w:sz w:val="20"/>
                <w:szCs w:val="20"/>
              </w:rPr>
            </w:pPr>
            <w:r w:rsidRPr="006E4503">
              <w:rPr>
                <w:rFonts w:ascii="Arial" w:hAnsi="Arial" w:cs="Arial"/>
                <w:b/>
                <w:sz w:val="20"/>
                <w:szCs w:val="20"/>
              </w:rPr>
              <w:t>(6 Formal Meetings)</w:t>
            </w:r>
          </w:p>
        </w:tc>
        <w:tc>
          <w:tcPr>
            <w:tcW w:w="851" w:type="dxa"/>
            <w:textDirection w:val="btLr"/>
          </w:tcPr>
          <w:p w14:paraId="5C16C076" w14:textId="77777777" w:rsidR="004E2D2F" w:rsidRPr="006E4503" w:rsidRDefault="004E2D2F" w:rsidP="004E2D2F">
            <w:pPr>
              <w:ind w:left="113" w:right="113"/>
              <w:rPr>
                <w:rFonts w:ascii="Arial" w:hAnsi="Arial" w:cs="Arial"/>
                <w:b/>
                <w:sz w:val="20"/>
                <w:szCs w:val="20"/>
              </w:rPr>
            </w:pPr>
            <w:r w:rsidRPr="006E4503">
              <w:rPr>
                <w:rFonts w:ascii="Arial" w:hAnsi="Arial" w:cs="Arial"/>
                <w:b/>
                <w:sz w:val="20"/>
                <w:szCs w:val="20"/>
              </w:rPr>
              <w:t>Noms and Rems</w:t>
            </w:r>
          </w:p>
          <w:p w14:paraId="6FE25BF6" w14:textId="77777777" w:rsidR="004E2D2F" w:rsidRPr="006E4503" w:rsidRDefault="004E2D2F" w:rsidP="004E2D2F">
            <w:pPr>
              <w:ind w:left="113" w:right="113"/>
              <w:rPr>
                <w:rFonts w:ascii="Arial" w:hAnsi="Arial" w:cs="Arial"/>
                <w:b/>
                <w:sz w:val="20"/>
                <w:szCs w:val="20"/>
              </w:rPr>
            </w:pPr>
            <w:r w:rsidRPr="006E4503">
              <w:rPr>
                <w:rFonts w:ascii="Arial" w:hAnsi="Arial" w:cs="Arial"/>
                <w:b/>
                <w:sz w:val="20"/>
                <w:szCs w:val="20"/>
              </w:rPr>
              <w:t>(3 Meetings)</w:t>
            </w:r>
          </w:p>
        </w:tc>
        <w:tc>
          <w:tcPr>
            <w:tcW w:w="850" w:type="dxa"/>
            <w:textDirection w:val="btLr"/>
          </w:tcPr>
          <w:p w14:paraId="59EED830" w14:textId="77777777" w:rsidR="004E2D2F" w:rsidRPr="006E4503" w:rsidRDefault="004E2D2F" w:rsidP="004E2D2F">
            <w:pPr>
              <w:ind w:left="113" w:right="113"/>
              <w:rPr>
                <w:rFonts w:ascii="Arial" w:hAnsi="Arial" w:cs="Arial"/>
                <w:b/>
                <w:sz w:val="20"/>
                <w:szCs w:val="20"/>
              </w:rPr>
            </w:pPr>
            <w:r w:rsidRPr="006E4503">
              <w:rPr>
                <w:rFonts w:ascii="Arial" w:hAnsi="Arial" w:cs="Arial"/>
                <w:b/>
                <w:sz w:val="20"/>
                <w:szCs w:val="20"/>
              </w:rPr>
              <w:t>Audit and Risk</w:t>
            </w:r>
          </w:p>
          <w:p w14:paraId="3AE891F7" w14:textId="77777777" w:rsidR="004E2D2F" w:rsidRPr="006E4503" w:rsidRDefault="004E2D2F" w:rsidP="004E2D2F">
            <w:pPr>
              <w:ind w:left="113" w:right="113"/>
              <w:rPr>
                <w:rFonts w:ascii="Arial" w:hAnsi="Arial" w:cs="Arial"/>
                <w:b/>
                <w:sz w:val="20"/>
                <w:szCs w:val="20"/>
              </w:rPr>
            </w:pPr>
            <w:r w:rsidRPr="006E4503">
              <w:rPr>
                <w:rFonts w:ascii="Arial" w:hAnsi="Arial" w:cs="Arial"/>
                <w:b/>
                <w:sz w:val="20"/>
                <w:szCs w:val="20"/>
              </w:rPr>
              <w:t>(6 Meetings)</w:t>
            </w:r>
          </w:p>
        </w:tc>
        <w:tc>
          <w:tcPr>
            <w:tcW w:w="993" w:type="dxa"/>
            <w:textDirection w:val="btLr"/>
          </w:tcPr>
          <w:p w14:paraId="0734731F" w14:textId="77777777" w:rsidR="004E2D2F" w:rsidRPr="006E4503" w:rsidRDefault="004E2D2F" w:rsidP="004E2D2F">
            <w:pPr>
              <w:ind w:left="113" w:right="113"/>
              <w:rPr>
                <w:rFonts w:ascii="Arial" w:hAnsi="Arial" w:cs="Arial"/>
                <w:b/>
                <w:sz w:val="20"/>
                <w:szCs w:val="20"/>
              </w:rPr>
            </w:pPr>
            <w:r w:rsidRPr="006E4503">
              <w:rPr>
                <w:rFonts w:ascii="Arial" w:hAnsi="Arial" w:cs="Arial"/>
                <w:b/>
                <w:sz w:val="20"/>
                <w:szCs w:val="20"/>
              </w:rPr>
              <w:t>Finance, Planning and Performance</w:t>
            </w:r>
          </w:p>
          <w:p w14:paraId="02311D32" w14:textId="77777777" w:rsidR="004E2D2F" w:rsidRPr="006E4503" w:rsidRDefault="004E2D2F" w:rsidP="004E2D2F">
            <w:pPr>
              <w:ind w:left="113" w:right="113"/>
              <w:rPr>
                <w:rFonts w:ascii="Arial" w:hAnsi="Arial" w:cs="Arial"/>
                <w:b/>
                <w:sz w:val="20"/>
                <w:szCs w:val="20"/>
              </w:rPr>
            </w:pPr>
            <w:r w:rsidRPr="006E4503">
              <w:rPr>
                <w:rFonts w:ascii="Arial" w:hAnsi="Arial" w:cs="Arial"/>
                <w:b/>
                <w:sz w:val="20"/>
                <w:szCs w:val="20"/>
              </w:rPr>
              <w:t>(12 Meetings)</w:t>
            </w:r>
          </w:p>
        </w:tc>
        <w:tc>
          <w:tcPr>
            <w:tcW w:w="992" w:type="dxa"/>
            <w:textDirection w:val="btLr"/>
          </w:tcPr>
          <w:p w14:paraId="3139ABBB" w14:textId="77777777" w:rsidR="004E2D2F" w:rsidRPr="006E4503" w:rsidRDefault="004E2D2F" w:rsidP="004E2D2F">
            <w:pPr>
              <w:ind w:left="113" w:right="113"/>
              <w:rPr>
                <w:rFonts w:ascii="Arial" w:hAnsi="Arial" w:cs="Arial"/>
                <w:b/>
                <w:sz w:val="20"/>
                <w:szCs w:val="20"/>
              </w:rPr>
            </w:pPr>
            <w:r w:rsidRPr="006E4503">
              <w:rPr>
                <w:rFonts w:ascii="Arial" w:hAnsi="Arial" w:cs="Arial"/>
                <w:b/>
                <w:sz w:val="20"/>
                <w:szCs w:val="20"/>
              </w:rPr>
              <w:t>Quality Assurance</w:t>
            </w:r>
          </w:p>
          <w:p w14:paraId="0C7DF0FE" w14:textId="77777777" w:rsidR="004E2D2F" w:rsidRPr="006E4503" w:rsidRDefault="004E2D2F" w:rsidP="004E2D2F">
            <w:pPr>
              <w:ind w:left="113" w:right="113"/>
              <w:rPr>
                <w:rFonts w:ascii="Arial" w:hAnsi="Arial" w:cs="Arial"/>
                <w:b/>
                <w:sz w:val="20"/>
                <w:szCs w:val="20"/>
              </w:rPr>
            </w:pPr>
            <w:r w:rsidRPr="006E4503">
              <w:rPr>
                <w:rFonts w:ascii="Arial" w:hAnsi="Arial" w:cs="Arial"/>
                <w:b/>
                <w:sz w:val="20"/>
                <w:szCs w:val="20"/>
              </w:rPr>
              <w:t>(12 Meetings)</w:t>
            </w:r>
          </w:p>
        </w:tc>
        <w:tc>
          <w:tcPr>
            <w:tcW w:w="850" w:type="dxa"/>
            <w:textDirection w:val="btLr"/>
          </w:tcPr>
          <w:p w14:paraId="5692F266" w14:textId="77777777" w:rsidR="004E2D2F" w:rsidRPr="006E4503" w:rsidRDefault="004E2D2F" w:rsidP="004E2D2F">
            <w:pPr>
              <w:ind w:left="113" w:right="113"/>
              <w:rPr>
                <w:rFonts w:ascii="Arial" w:hAnsi="Arial" w:cs="Arial"/>
                <w:b/>
                <w:sz w:val="20"/>
                <w:szCs w:val="20"/>
              </w:rPr>
            </w:pPr>
            <w:r w:rsidRPr="006E4503">
              <w:rPr>
                <w:rFonts w:ascii="Arial" w:hAnsi="Arial" w:cs="Arial"/>
                <w:b/>
                <w:sz w:val="20"/>
                <w:szCs w:val="20"/>
              </w:rPr>
              <w:t>People</w:t>
            </w:r>
          </w:p>
          <w:p w14:paraId="5E6A20C0" w14:textId="77777777" w:rsidR="004E2D2F" w:rsidRPr="006E4503" w:rsidRDefault="004E2D2F" w:rsidP="004E2D2F">
            <w:pPr>
              <w:ind w:left="113" w:right="113"/>
              <w:rPr>
                <w:rFonts w:ascii="Arial" w:hAnsi="Arial" w:cs="Arial"/>
                <w:b/>
                <w:sz w:val="20"/>
                <w:szCs w:val="20"/>
              </w:rPr>
            </w:pPr>
            <w:r w:rsidRPr="006E4503">
              <w:rPr>
                <w:rFonts w:ascii="Arial" w:hAnsi="Arial" w:cs="Arial"/>
                <w:b/>
                <w:sz w:val="20"/>
                <w:szCs w:val="20"/>
              </w:rPr>
              <w:t>(6 Meetings)</w:t>
            </w:r>
          </w:p>
        </w:tc>
      </w:tr>
      <w:tr w:rsidR="004E2D2F" w:rsidRPr="006E4503" w14:paraId="72A490DB" w14:textId="77777777" w:rsidTr="004E2D2F">
        <w:tc>
          <w:tcPr>
            <w:tcW w:w="1963" w:type="dxa"/>
          </w:tcPr>
          <w:p w14:paraId="015C5AB4" w14:textId="77777777" w:rsidR="004E2D2F" w:rsidRPr="006E4503" w:rsidRDefault="004E2D2F" w:rsidP="004E2D2F">
            <w:pPr>
              <w:rPr>
                <w:rFonts w:ascii="Arial" w:hAnsi="Arial" w:cs="Arial"/>
                <w:b/>
                <w:sz w:val="20"/>
                <w:szCs w:val="20"/>
              </w:rPr>
            </w:pPr>
            <w:r w:rsidRPr="006E4503">
              <w:rPr>
                <w:rFonts w:ascii="Arial" w:hAnsi="Arial" w:cs="Arial"/>
                <w:b/>
                <w:sz w:val="20"/>
                <w:szCs w:val="20"/>
              </w:rPr>
              <w:t>Mark Spragg</w:t>
            </w:r>
          </w:p>
        </w:tc>
        <w:tc>
          <w:tcPr>
            <w:tcW w:w="2858" w:type="dxa"/>
          </w:tcPr>
          <w:p w14:paraId="4F1069CE" w14:textId="77777777" w:rsidR="004E2D2F" w:rsidRPr="006E4503" w:rsidRDefault="004E2D2F" w:rsidP="004E2D2F">
            <w:pPr>
              <w:rPr>
                <w:rFonts w:ascii="Arial" w:hAnsi="Arial" w:cs="Arial"/>
                <w:b/>
                <w:sz w:val="20"/>
                <w:szCs w:val="20"/>
              </w:rPr>
            </w:pPr>
            <w:r w:rsidRPr="006E4503">
              <w:rPr>
                <w:rFonts w:ascii="Arial" w:hAnsi="Arial" w:cs="Arial"/>
                <w:b/>
                <w:sz w:val="20"/>
                <w:szCs w:val="20"/>
              </w:rPr>
              <w:t xml:space="preserve">Chair </w:t>
            </w:r>
          </w:p>
          <w:p w14:paraId="43B7E971" w14:textId="77777777" w:rsidR="004E2D2F" w:rsidRPr="006E4503" w:rsidRDefault="004E2D2F" w:rsidP="004E2D2F">
            <w:pPr>
              <w:rPr>
                <w:rFonts w:ascii="Arial" w:hAnsi="Arial" w:cs="Arial"/>
                <w:b/>
                <w:sz w:val="20"/>
                <w:szCs w:val="20"/>
              </w:rPr>
            </w:pPr>
            <w:r w:rsidRPr="006E4503">
              <w:rPr>
                <w:rFonts w:ascii="Arial" w:hAnsi="Arial" w:cs="Arial"/>
                <w:sz w:val="20"/>
                <w:szCs w:val="20"/>
              </w:rPr>
              <w:t>(Acting until 31.03.24)</w:t>
            </w:r>
          </w:p>
        </w:tc>
        <w:tc>
          <w:tcPr>
            <w:tcW w:w="992" w:type="dxa"/>
          </w:tcPr>
          <w:p w14:paraId="01835EAF"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1 of 1</w:t>
            </w:r>
          </w:p>
        </w:tc>
        <w:tc>
          <w:tcPr>
            <w:tcW w:w="850" w:type="dxa"/>
          </w:tcPr>
          <w:p w14:paraId="27D40FC1"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1 of 1</w:t>
            </w:r>
          </w:p>
        </w:tc>
        <w:tc>
          <w:tcPr>
            <w:tcW w:w="851" w:type="dxa"/>
            <w:shd w:val="clear" w:color="auto" w:fill="BFBFBF" w:themeFill="background1" w:themeFillShade="BF"/>
          </w:tcPr>
          <w:p w14:paraId="0D6D3117" w14:textId="77777777" w:rsidR="004E2D2F" w:rsidRPr="006E4503" w:rsidRDefault="004E2D2F" w:rsidP="004E2D2F">
            <w:pPr>
              <w:jc w:val="center"/>
              <w:rPr>
                <w:rFonts w:ascii="Arial" w:hAnsi="Arial" w:cs="Arial"/>
                <w:sz w:val="20"/>
                <w:szCs w:val="20"/>
              </w:rPr>
            </w:pPr>
          </w:p>
        </w:tc>
        <w:tc>
          <w:tcPr>
            <w:tcW w:w="850" w:type="dxa"/>
            <w:shd w:val="clear" w:color="auto" w:fill="BFBFBF" w:themeFill="background1" w:themeFillShade="BF"/>
          </w:tcPr>
          <w:p w14:paraId="3100F365" w14:textId="77777777" w:rsidR="004E2D2F" w:rsidRPr="006E4503" w:rsidRDefault="004E2D2F" w:rsidP="004E2D2F">
            <w:pPr>
              <w:jc w:val="center"/>
              <w:rPr>
                <w:rFonts w:ascii="Arial" w:hAnsi="Arial" w:cs="Arial"/>
                <w:sz w:val="20"/>
                <w:szCs w:val="20"/>
              </w:rPr>
            </w:pPr>
          </w:p>
        </w:tc>
        <w:tc>
          <w:tcPr>
            <w:tcW w:w="993" w:type="dxa"/>
            <w:shd w:val="clear" w:color="auto" w:fill="BFBFBF" w:themeFill="background1" w:themeFillShade="BF"/>
          </w:tcPr>
          <w:p w14:paraId="0C863616" w14:textId="77777777" w:rsidR="004E2D2F" w:rsidRPr="006E4503" w:rsidRDefault="004E2D2F" w:rsidP="004E2D2F">
            <w:pPr>
              <w:jc w:val="center"/>
              <w:rPr>
                <w:rFonts w:ascii="Arial" w:hAnsi="Arial" w:cs="Arial"/>
                <w:sz w:val="20"/>
                <w:szCs w:val="20"/>
              </w:rPr>
            </w:pPr>
          </w:p>
        </w:tc>
        <w:tc>
          <w:tcPr>
            <w:tcW w:w="992" w:type="dxa"/>
            <w:shd w:val="clear" w:color="auto" w:fill="BFBFBF" w:themeFill="background1" w:themeFillShade="BF"/>
          </w:tcPr>
          <w:p w14:paraId="13D5914C" w14:textId="77777777" w:rsidR="004E2D2F" w:rsidRPr="006E4503" w:rsidRDefault="004E2D2F" w:rsidP="004E2D2F">
            <w:pPr>
              <w:jc w:val="center"/>
              <w:rPr>
                <w:rFonts w:ascii="Arial" w:hAnsi="Arial" w:cs="Arial"/>
                <w:sz w:val="20"/>
                <w:szCs w:val="20"/>
              </w:rPr>
            </w:pPr>
          </w:p>
        </w:tc>
        <w:tc>
          <w:tcPr>
            <w:tcW w:w="850" w:type="dxa"/>
            <w:shd w:val="clear" w:color="auto" w:fill="BFBFBF" w:themeFill="background1" w:themeFillShade="BF"/>
          </w:tcPr>
          <w:p w14:paraId="0333BB49" w14:textId="77777777" w:rsidR="004E2D2F" w:rsidRPr="006E4503" w:rsidRDefault="004E2D2F" w:rsidP="004E2D2F">
            <w:pPr>
              <w:jc w:val="center"/>
              <w:rPr>
                <w:rFonts w:ascii="Arial" w:hAnsi="Arial" w:cs="Arial"/>
                <w:sz w:val="20"/>
                <w:szCs w:val="20"/>
              </w:rPr>
            </w:pPr>
          </w:p>
        </w:tc>
      </w:tr>
      <w:tr w:rsidR="004E2D2F" w:rsidRPr="006E4503" w14:paraId="2E060A12" w14:textId="77777777" w:rsidTr="004E2D2F">
        <w:tc>
          <w:tcPr>
            <w:tcW w:w="1963" w:type="dxa"/>
          </w:tcPr>
          <w:p w14:paraId="2E562600" w14:textId="77777777" w:rsidR="004E2D2F" w:rsidRPr="006E4503" w:rsidRDefault="004E2D2F" w:rsidP="004E2D2F">
            <w:pPr>
              <w:rPr>
                <w:rFonts w:ascii="Arial" w:hAnsi="Arial" w:cs="Arial"/>
                <w:b/>
                <w:sz w:val="20"/>
                <w:szCs w:val="20"/>
              </w:rPr>
            </w:pPr>
            <w:r w:rsidRPr="006E4503">
              <w:rPr>
                <w:rFonts w:ascii="Arial" w:hAnsi="Arial" w:cs="Arial"/>
                <w:b/>
                <w:sz w:val="20"/>
                <w:szCs w:val="20"/>
              </w:rPr>
              <w:t>John Goulston</w:t>
            </w:r>
          </w:p>
        </w:tc>
        <w:tc>
          <w:tcPr>
            <w:tcW w:w="2858" w:type="dxa"/>
          </w:tcPr>
          <w:p w14:paraId="39FC8752" w14:textId="77777777" w:rsidR="004E2D2F" w:rsidRPr="006E4503" w:rsidRDefault="004E2D2F" w:rsidP="004E2D2F">
            <w:pPr>
              <w:rPr>
                <w:rFonts w:ascii="Arial" w:hAnsi="Arial" w:cs="Arial"/>
                <w:sz w:val="20"/>
                <w:szCs w:val="20"/>
              </w:rPr>
            </w:pPr>
            <w:r w:rsidRPr="006E4503">
              <w:rPr>
                <w:rFonts w:ascii="Arial" w:hAnsi="Arial" w:cs="Arial"/>
                <w:b/>
                <w:sz w:val="20"/>
                <w:szCs w:val="20"/>
              </w:rPr>
              <w:t xml:space="preserve">Chair </w:t>
            </w:r>
          </w:p>
          <w:p w14:paraId="27E02CE8" w14:textId="77777777" w:rsidR="004E2D2F" w:rsidRPr="006E4503" w:rsidRDefault="004E2D2F" w:rsidP="004E2D2F">
            <w:pPr>
              <w:rPr>
                <w:rFonts w:ascii="Arial" w:hAnsi="Arial" w:cs="Arial"/>
                <w:b/>
                <w:sz w:val="20"/>
                <w:szCs w:val="20"/>
              </w:rPr>
            </w:pPr>
            <w:r w:rsidRPr="006E4503">
              <w:rPr>
                <w:rFonts w:ascii="Arial" w:hAnsi="Arial" w:cs="Arial"/>
                <w:sz w:val="20"/>
                <w:szCs w:val="20"/>
              </w:rPr>
              <w:t>(from 01.06.24)</w:t>
            </w:r>
          </w:p>
        </w:tc>
        <w:tc>
          <w:tcPr>
            <w:tcW w:w="992" w:type="dxa"/>
          </w:tcPr>
          <w:p w14:paraId="5E278B22"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9 of 9</w:t>
            </w:r>
          </w:p>
        </w:tc>
        <w:tc>
          <w:tcPr>
            <w:tcW w:w="850" w:type="dxa"/>
          </w:tcPr>
          <w:p w14:paraId="2E1182CD"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5 of 5</w:t>
            </w:r>
          </w:p>
        </w:tc>
        <w:tc>
          <w:tcPr>
            <w:tcW w:w="851" w:type="dxa"/>
          </w:tcPr>
          <w:p w14:paraId="70D3B814"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3 of 3</w:t>
            </w:r>
          </w:p>
        </w:tc>
        <w:tc>
          <w:tcPr>
            <w:tcW w:w="850" w:type="dxa"/>
            <w:shd w:val="clear" w:color="auto" w:fill="BFBFBF" w:themeFill="background1" w:themeFillShade="BF"/>
          </w:tcPr>
          <w:p w14:paraId="0549CDA8" w14:textId="77777777" w:rsidR="004E2D2F" w:rsidRPr="006E4503" w:rsidRDefault="004E2D2F" w:rsidP="004E2D2F">
            <w:pPr>
              <w:jc w:val="center"/>
              <w:rPr>
                <w:rFonts w:ascii="Arial" w:hAnsi="Arial" w:cs="Arial"/>
                <w:sz w:val="20"/>
                <w:szCs w:val="20"/>
              </w:rPr>
            </w:pPr>
          </w:p>
        </w:tc>
        <w:tc>
          <w:tcPr>
            <w:tcW w:w="993" w:type="dxa"/>
          </w:tcPr>
          <w:p w14:paraId="7B635934"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9 of 10</w:t>
            </w:r>
          </w:p>
        </w:tc>
        <w:tc>
          <w:tcPr>
            <w:tcW w:w="992" w:type="dxa"/>
            <w:shd w:val="clear" w:color="auto" w:fill="FFFFFF" w:themeFill="background1"/>
          </w:tcPr>
          <w:p w14:paraId="2D62226B"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4 of 4</w:t>
            </w:r>
          </w:p>
        </w:tc>
        <w:tc>
          <w:tcPr>
            <w:tcW w:w="850" w:type="dxa"/>
          </w:tcPr>
          <w:p w14:paraId="28CF2688"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1 of 1</w:t>
            </w:r>
          </w:p>
        </w:tc>
      </w:tr>
      <w:tr w:rsidR="004E2D2F" w:rsidRPr="006E4503" w14:paraId="1A55F8BB" w14:textId="77777777" w:rsidTr="004E2D2F">
        <w:tc>
          <w:tcPr>
            <w:tcW w:w="1963" w:type="dxa"/>
          </w:tcPr>
          <w:p w14:paraId="38BD2623" w14:textId="77777777" w:rsidR="004E2D2F" w:rsidRPr="006E4503" w:rsidRDefault="004E2D2F" w:rsidP="004E2D2F">
            <w:pPr>
              <w:rPr>
                <w:rFonts w:ascii="Arial" w:hAnsi="Arial" w:cs="Arial"/>
                <w:b/>
                <w:sz w:val="20"/>
                <w:szCs w:val="20"/>
              </w:rPr>
            </w:pPr>
            <w:r w:rsidRPr="006E4503">
              <w:rPr>
                <w:rFonts w:ascii="Arial" w:hAnsi="Arial" w:cs="Arial"/>
                <w:b/>
                <w:sz w:val="20"/>
                <w:szCs w:val="20"/>
              </w:rPr>
              <w:t>Alan Davies</w:t>
            </w:r>
          </w:p>
        </w:tc>
        <w:tc>
          <w:tcPr>
            <w:tcW w:w="2858" w:type="dxa"/>
          </w:tcPr>
          <w:p w14:paraId="4B6CDF23" w14:textId="77777777" w:rsidR="004E2D2F" w:rsidRPr="006E4503" w:rsidRDefault="004E2D2F" w:rsidP="004E2D2F">
            <w:pPr>
              <w:rPr>
                <w:rFonts w:ascii="Arial" w:hAnsi="Arial" w:cs="Arial"/>
                <w:b/>
                <w:sz w:val="20"/>
                <w:szCs w:val="20"/>
              </w:rPr>
            </w:pPr>
            <w:r w:rsidRPr="006E4503">
              <w:rPr>
                <w:rFonts w:ascii="Arial" w:hAnsi="Arial" w:cs="Arial"/>
                <w:b/>
                <w:sz w:val="20"/>
                <w:szCs w:val="20"/>
              </w:rPr>
              <w:t xml:space="preserve">Chief Finance Officer </w:t>
            </w:r>
          </w:p>
          <w:p w14:paraId="2AB91410" w14:textId="77777777" w:rsidR="004E2D2F" w:rsidRPr="006E4503" w:rsidRDefault="004E2D2F" w:rsidP="004E2D2F">
            <w:pPr>
              <w:rPr>
                <w:rFonts w:ascii="Arial" w:hAnsi="Arial" w:cs="Arial"/>
                <w:sz w:val="20"/>
                <w:szCs w:val="20"/>
              </w:rPr>
            </w:pPr>
            <w:r w:rsidRPr="006E4503">
              <w:rPr>
                <w:rFonts w:ascii="Arial" w:hAnsi="Arial" w:cs="Arial"/>
                <w:sz w:val="20"/>
                <w:szCs w:val="20"/>
              </w:rPr>
              <w:t>(until 27.12.24)</w:t>
            </w:r>
          </w:p>
        </w:tc>
        <w:tc>
          <w:tcPr>
            <w:tcW w:w="992" w:type="dxa"/>
          </w:tcPr>
          <w:p w14:paraId="19437531"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3 of 4</w:t>
            </w:r>
          </w:p>
        </w:tc>
        <w:tc>
          <w:tcPr>
            <w:tcW w:w="850" w:type="dxa"/>
          </w:tcPr>
          <w:p w14:paraId="4BF3A84D"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3 of 4</w:t>
            </w:r>
          </w:p>
        </w:tc>
        <w:tc>
          <w:tcPr>
            <w:tcW w:w="851" w:type="dxa"/>
            <w:shd w:val="clear" w:color="auto" w:fill="BFBFBF" w:themeFill="background1" w:themeFillShade="BF"/>
          </w:tcPr>
          <w:p w14:paraId="5D8C6118" w14:textId="77777777" w:rsidR="004E2D2F" w:rsidRPr="006E4503" w:rsidRDefault="004E2D2F" w:rsidP="004E2D2F">
            <w:pPr>
              <w:jc w:val="center"/>
              <w:rPr>
                <w:rFonts w:ascii="Arial" w:hAnsi="Arial" w:cs="Arial"/>
                <w:sz w:val="20"/>
                <w:szCs w:val="20"/>
              </w:rPr>
            </w:pPr>
          </w:p>
        </w:tc>
        <w:tc>
          <w:tcPr>
            <w:tcW w:w="850" w:type="dxa"/>
          </w:tcPr>
          <w:p w14:paraId="6D75CEBA"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2 of 4</w:t>
            </w:r>
          </w:p>
        </w:tc>
        <w:tc>
          <w:tcPr>
            <w:tcW w:w="993" w:type="dxa"/>
          </w:tcPr>
          <w:p w14:paraId="5B889CD2"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5 of 9</w:t>
            </w:r>
          </w:p>
        </w:tc>
        <w:tc>
          <w:tcPr>
            <w:tcW w:w="992" w:type="dxa"/>
            <w:shd w:val="clear" w:color="auto" w:fill="BFBFBF" w:themeFill="background1" w:themeFillShade="BF"/>
          </w:tcPr>
          <w:p w14:paraId="22F509D2" w14:textId="77777777" w:rsidR="004E2D2F" w:rsidRPr="006E4503" w:rsidRDefault="004E2D2F" w:rsidP="004E2D2F">
            <w:pPr>
              <w:jc w:val="center"/>
              <w:rPr>
                <w:rFonts w:ascii="Arial" w:hAnsi="Arial" w:cs="Arial"/>
                <w:sz w:val="20"/>
                <w:szCs w:val="20"/>
              </w:rPr>
            </w:pPr>
          </w:p>
        </w:tc>
        <w:tc>
          <w:tcPr>
            <w:tcW w:w="850" w:type="dxa"/>
            <w:shd w:val="clear" w:color="auto" w:fill="BFBFBF" w:themeFill="background1" w:themeFillShade="BF"/>
          </w:tcPr>
          <w:p w14:paraId="2D86757D" w14:textId="77777777" w:rsidR="004E2D2F" w:rsidRPr="006E4503" w:rsidRDefault="004E2D2F" w:rsidP="004E2D2F">
            <w:pPr>
              <w:jc w:val="center"/>
              <w:rPr>
                <w:rFonts w:ascii="Arial" w:hAnsi="Arial" w:cs="Arial"/>
                <w:sz w:val="20"/>
                <w:szCs w:val="20"/>
              </w:rPr>
            </w:pPr>
          </w:p>
        </w:tc>
      </w:tr>
      <w:tr w:rsidR="004E2D2F" w:rsidRPr="006E4503" w14:paraId="53BD92D4" w14:textId="77777777" w:rsidTr="004E2D2F">
        <w:tc>
          <w:tcPr>
            <w:tcW w:w="1963" w:type="dxa"/>
          </w:tcPr>
          <w:p w14:paraId="6F33D9E0" w14:textId="77777777" w:rsidR="004E2D2F" w:rsidRPr="006E4503" w:rsidRDefault="004E2D2F" w:rsidP="004E2D2F">
            <w:pPr>
              <w:rPr>
                <w:rFonts w:ascii="Arial" w:hAnsi="Arial" w:cs="Arial"/>
                <w:b/>
                <w:sz w:val="20"/>
                <w:szCs w:val="20"/>
              </w:rPr>
            </w:pPr>
            <w:r w:rsidRPr="006E4503">
              <w:rPr>
                <w:rFonts w:ascii="Arial" w:hAnsi="Arial" w:cs="Arial"/>
                <w:b/>
                <w:sz w:val="20"/>
                <w:szCs w:val="20"/>
              </w:rPr>
              <w:t>Alison Davis</w:t>
            </w:r>
          </w:p>
        </w:tc>
        <w:tc>
          <w:tcPr>
            <w:tcW w:w="2858" w:type="dxa"/>
          </w:tcPr>
          <w:p w14:paraId="333A4C34" w14:textId="77777777" w:rsidR="004E2D2F" w:rsidRPr="006E4503" w:rsidRDefault="004E2D2F" w:rsidP="004E2D2F">
            <w:pPr>
              <w:rPr>
                <w:rFonts w:ascii="Arial" w:hAnsi="Arial" w:cs="Arial"/>
                <w:b/>
                <w:sz w:val="20"/>
                <w:szCs w:val="20"/>
              </w:rPr>
            </w:pPr>
            <w:r w:rsidRPr="006E4503">
              <w:rPr>
                <w:rFonts w:ascii="Arial" w:hAnsi="Arial" w:cs="Arial"/>
                <w:b/>
                <w:sz w:val="20"/>
                <w:szCs w:val="20"/>
              </w:rPr>
              <w:t>Chief Medical Officer</w:t>
            </w:r>
          </w:p>
        </w:tc>
        <w:tc>
          <w:tcPr>
            <w:tcW w:w="992" w:type="dxa"/>
          </w:tcPr>
          <w:p w14:paraId="5E8A3B09"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6 of 7</w:t>
            </w:r>
          </w:p>
        </w:tc>
        <w:tc>
          <w:tcPr>
            <w:tcW w:w="850" w:type="dxa"/>
          </w:tcPr>
          <w:p w14:paraId="7807A16E"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3 of 4</w:t>
            </w:r>
          </w:p>
        </w:tc>
        <w:tc>
          <w:tcPr>
            <w:tcW w:w="851" w:type="dxa"/>
            <w:shd w:val="clear" w:color="auto" w:fill="BFBFBF" w:themeFill="background1" w:themeFillShade="BF"/>
          </w:tcPr>
          <w:p w14:paraId="57C8FF02" w14:textId="77777777" w:rsidR="004E2D2F" w:rsidRPr="006E4503" w:rsidRDefault="004E2D2F" w:rsidP="004E2D2F">
            <w:pPr>
              <w:jc w:val="center"/>
              <w:rPr>
                <w:rFonts w:ascii="Arial" w:hAnsi="Arial" w:cs="Arial"/>
                <w:sz w:val="20"/>
                <w:szCs w:val="20"/>
              </w:rPr>
            </w:pPr>
          </w:p>
        </w:tc>
        <w:tc>
          <w:tcPr>
            <w:tcW w:w="850" w:type="dxa"/>
            <w:shd w:val="clear" w:color="auto" w:fill="BFBFBF" w:themeFill="background1" w:themeFillShade="BF"/>
          </w:tcPr>
          <w:p w14:paraId="54EBC7EB" w14:textId="77777777" w:rsidR="004E2D2F" w:rsidRPr="006E4503" w:rsidRDefault="004E2D2F" w:rsidP="004E2D2F">
            <w:pPr>
              <w:jc w:val="center"/>
              <w:rPr>
                <w:rFonts w:ascii="Arial" w:hAnsi="Arial" w:cs="Arial"/>
                <w:sz w:val="20"/>
                <w:szCs w:val="20"/>
              </w:rPr>
            </w:pPr>
          </w:p>
        </w:tc>
        <w:tc>
          <w:tcPr>
            <w:tcW w:w="993" w:type="dxa"/>
          </w:tcPr>
          <w:p w14:paraId="74615431"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9 of 12</w:t>
            </w:r>
          </w:p>
        </w:tc>
        <w:tc>
          <w:tcPr>
            <w:tcW w:w="992" w:type="dxa"/>
          </w:tcPr>
          <w:p w14:paraId="54E7C320"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9 of 12</w:t>
            </w:r>
          </w:p>
        </w:tc>
        <w:tc>
          <w:tcPr>
            <w:tcW w:w="850" w:type="dxa"/>
          </w:tcPr>
          <w:p w14:paraId="5A358F0C"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3 of 6</w:t>
            </w:r>
          </w:p>
        </w:tc>
      </w:tr>
      <w:tr w:rsidR="004E2D2F" w:rsidRPr="006E4503" w14:paraId="0C30D67B" w14:textId="77777777" w:rsidTr="004E2D2F">
        <w:tc>
          <w:tcPr>
            <w:tcW w:w="1963" w:type="dxa"/>
          </w:tcPr>
          <w:p w14:paraId="2AB6B632" w14:textId="77777777" w:rsidR="004E2D2F" w:rsidRPr="006E4503" w:rsidRDefault="004E2D2F" w:rsidP="004E2D2F">
            <w:pPr>
              <w:rPr>
                <w:rFonts w:ascii="Arial" w:hAnsi="Arial" w:cs="Arial"/>
                <w:b/>
                <w:sz w:val="20"/>
                <w:szCs w:val="20"/>
              </w:rPr>
            </w:pPr>
            <w:r w:rsidRPr="006E4503">
              <w:rPr>
                <w:rFonts w:ascii="Arial" w:hAnsi="Arial" w:cs="Arial"/>
                <w:b/>
                <w:sz w:val="20"/>
                <w:szCs w:val="20"/>
              </w:rPr>
              <w:t>Annyes Laheurte</w:t>
            </w:r>
          </w:p>
        </w:tc>
        <w:tc>
          <w:tcPr>
            <w:tcW w:w="2858" w:type="dxa"/>
          </w:tcPr>
          <w:p w14:paraId="3E785436" w14:textId="77777777" w:rsidR="004E2D2F" w:rsidRPr="006E4503" w:rsidRDefault="004E2D2F" w:rsidP="004E2D2F">
            <w:pPr>
              <w:rPr>
                <w:rFonts w:ascii="Arial" w:hAnsi="Arial" w:cs="Arial"/>
                <w:b/>
                <w:sz w:val="20"/>
                <w:szCs w:val="20"/>
              </w:rPr>
            </w:pPr>
            <w:r w:rsidRPr="006E4503">
              <w:rPr>
                <w:rFonts w:ascii="Arial" w:hAnsi="Arial" w:cs="Arial"/>
                <w:b/>
                <w:sz w:val="20"/>
                <w:szCs w:val="20"/>
              </w:rPr>
              <w:t xml:space="preserve">Non-Executive Director </w:t>
            </w:r>
          </w:p>
          <w:p w14:paraId="2943705D" w14:textId="77777777" w:rsidR="004E2D2F" w:rsidRPr="006E4503" w:rsidRDefault="004E2D2F" w:rsidP="004E2D2F">
            <w:pPr>
              <w:rPr>
                <w:rFonts w:ascii="Arial" w:hAnsi="Arial" w:cs="Arial"/>
                <w:sz w:val="20"/>
                <w:szCs w:val="20"/>
              </w:rPr>
            </w:pPr>
            <w:r w:rsidRPr="006E4503">
              <w:rPr>
                <w:rFonts w:ascii="Arial" w:hAnsi="Arial" w:cs="Arial"/>
                <w:sz w:val="20"/>
                <w:szCs w:val="20"/>
              </w:rPr>
              <w:t>(until 31.03.25)</w:t>
            </w:r>
          </w:p>
          <w:p w14:paraId="1B3A63F9" w14:textId="77777777" w:rsidR="004E2D2F" w:rsidRPr="006E4503" w:rsidRDefault="004E2D2F" w:rsidP="004E2D2F">
            <w:pPr>
              <w:rPr>
                <w:rFonts w:ascii="Arial" w:hAnsi="Arial" w:cs="Arial"/>
                <w:sz w:val="20"/>
                <w:szCs w:val="20"/>
              </w:rPr>
            </w:pPr>
            <w:r w:rsidRPr="006E4503">
              <w:rPr>
                <w:rFonts w:ascii="Arial" w:hAnsi="Arial" w:cs="Arial"/>
                <w:i/>
                <w:sz w:val="20"/>
                <w:szCs w:val="20"/>
              </w:rPr>
              <w:t>Senior Independent Director (from 01.04.24 – 30.09.24)</w:t>
            </w:r>
          </w:p>
        </w:tc>
        <w:tc>
          <w:tcPr>
            <w:tcW w:w="992" w:type="dxa"/>
          </w:tcPr>
          <w:p w14:paraId="2A1A062C"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5 of 10</w:t>
            </w:r>
          </w:p>
        </w:tc>
        <w:tc>
          <w:tcPr>
            <w:tcW w:w="850" w:type="dxa"/>
          </w:tcPr>
          <w:p w14:paraId="436BA119"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5 of 6</w:t>
            </w:r>
          </w:p>
        </w:tc>
        <w:tc>
          <w:tcPr>
            <w:tcW w:w="851" w:type="dxa"/>
          </w:tcPr>
          <w:p w14:paraId="13101121"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1 of 3</w:t>
            </w:r>
          </w:p>
        </w:tc>
        <w:tc>
          <w:tcPr>
            <w:tcW w:w="850" w:type="dxa"/>
          </w:tcPr>
          <w:p w14:paraId="6A6DD8AE"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6 of 6</w:t>
            </w:r>
          </w:p>
        </w:tc>
        <w:tc>
          <w:tcPr>
            <w:tcW w:w="993" w:type="dxa"/>
          </w:tcPr>
          <w:p w14:paraId="131E862C"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10 of 12</w:t>
            </w:r>
          </w:p>
        </w:tc>
        <w:tc>
          <w:tcPr>
            <w:tcW w:w="992" w:type="dxa"/>
            <w:shd w:val="clear" w:color="auto" w:fill="BFBFBF" w:themeFill="background1" w:themeFillShade="BF"/>
          </w:tcPr>
          <w:p w14:paraId="150DFC3C" w14:textId="77777777" w:rsidR="004E2D2F" w:rsidRPr="006E4503" w:rsidRDefault="004E2D2F" w:rsidP="004E2D2F">
            <w:pPr>
              <w:jc w:val="center"/>
              <w:rPr>
                <w:rFonts w:ascii="Arial" w:hAnsi="Arial" w:cs="Arial"/>
                <w:sz w:val="20"/>
                <w:szCs w:val="20"/>
              </w:rPr>
            </w:pPr>
          </w:p>
        </w:tc>
        <w:tc>
          <w:tcPr>
            <w:tcW w:w="850" w:type="dxa"/>
            <w:shd w:val="clear" w:color="auto" w:fill="BFBFBF" w:themeFill="background1" w:themeFillShade="BF"/>
          </w:tcPr>
          <w:p w14:paraId="549250C1" w14:textId="77777777" w:rsidR="004E2D2F" w:rsidRPr="006E4503" w:rsidRDefault="004E2D2F" w:rsidP="004E2D2F">
            <w:pPr>
              <w:jc w:val="center"/>
              <w:rPr>
                <w:rFonts w:ascii="Arial" w:hAnsi="Arial" w:cs="Arial"/>
                <w:sz w:val="20"/>
                <w:szCs w:val="20"/>
              </w:rPr>
            </w:pPr>
          </w:p>
        </w:tc>
      </w:tr>
      <w:tr w:rsidR="004E2D2F" w:rsidRPr="006E4503" w14:paraId="37A505FB" w14:textId="77777777" w:rsidTr="004E2D2F">
        <w:tc>
          <w:tcPr>
            <w:tcW w:w="1963" w:type="dxa"/>
          </w:tcPr>
          <w:p w14:paraId="48A0E268" w14:textId="77777777" w:rsidR="004E2D2F" w:rsidRPr="006E4503" w:rsidRDefault="004E2D2F" w:rsidP="004E2D2F">
            <w:pPr>
              <w:rPr>
                <w:rFonts w:ascii="Arial" w:hAnsi="Arial" w:cs="Arial"/>
                <w:b/>
                <w:sz w:val="20"/>
                <w:szCs w:val="20"/>
              </w:rPr>
            </w:pPr>
            <w:r w:rsidRPr="006E4503">
              <w:rPr>
                <w:rFonts w:ascii="Arial" w:hAnsi="Arial" w:cs="Arial"/>
                <w:b/>
                <w:sz w:val="20"/>
                <w:szCs w:val="20"/>
              </w:rPr>
              <w:t>Gary Lupton</w:t>
            </w:r>
          </w:p>
        </w:tc>
        <w:tc>
          <w:tcPr>
            <w:tcW w:w="2858" w:type="dxa"/>
          </w:tcPr>
          <w:p w14:paraId="5F1A92AF" w14:textId="77777777" w:rsidR="004E2D2F" w:rsidRPr="006E4503" w:rsidRDefault="004E2D2F" w:rsidP="004E2D2F">
            <w:pPr>
              <w:rPr>
                <w:rFonts w:ascii="Arial" w:hAnsi="Arial" w:cs="Arial"/>
                <w:b/>
                <w:sz w:val="20"/>
                <w:szCs w:val="20"/>
              </w:rPr>
            </w:pPr>
            <w:r w:rsidRPr="006E4503">
              <w:rPr>
                <w:rFonts w:ascii="Arial" w:hAnsi="Arial" w:cs="Arial"/>
                <w:b/>
                <w:sz w:val="20"/>
                <w:szCs w:val="20"/>
              </w:rPr>
              <w:t xml:space="preserve">Non-Executive Director </w:t>
            </w:r>
          </w:p>
        </w:tc>
        <w:tc>
          <w:tcPr>
            <w:tcW w:w="992" w:type="dxa"/>
          </w:tcPr>
          <w:p w14:paraId="197A3ACA"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10 of 10</w:t>
            </w:r>
          </w:p>
        </w:tc>
        <w:tc>
          <w:tcPr>
            <w:tcW w:w="850" w:type="dxa"/>
          </w:tcPr>
          <w:p w14:paraId="012E0A7D"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6 of 6</w:t>
            </w:r>
          </w:p>
        </w:tc>
        <w:tc>
          <w:tcPr>
            <w:tcW w:w="851" w:type="dxa"/>
          </w:tcPr>
          <w:p w14:paraId="5E550C3D"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3 of 3</w:t>
            </w:r>
          </w:p>
        </w:tc>
        <w:tc>
          <w:tcPr>
            <w:tcW w:w="850" w:type="dxa"/>
          </w:tcPr>
          <w:p w14:paraId="7FC36E27"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5 of 6</w:t>
            </w:r>
          </w:p>
        </w:tc>
        <w:tc>
          <w:tcPr>
            <w:tcW w:w="993" w:type="dxa"/>
          </w:tcPr>
          <w:p w14:paraId="0765CC5A"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12 of 12</w:t>
            </w:r>
          </w:p>
        </w:tc>
        <w:tc>
          <w:tcPr>
            <w:tcW w:w="992" w:type="dxa"/>
            <w:shd w:val="clear" w:color="auto" w:fill="BFBFBF" w:themeFill="background1" w:themeFillShade="BF"/>
          </w:tcPr>
          <w:p w14:paraId="675D47AC" w14:textId="77777777" w:rsidR="004E2D2F" w:rsidRPr="006E4503" w:rsidRDefault="004E2D2F" w:rsidP="004E2D2F">
            <w:pPr>
              <w:jc w:val="center"/>
              <w:rPr>
                <w:rFonts w:ascii="Arial" w:hAnsi="Arial" w:cs="Arial"/>
                <w:sz w:val="20"/>
                <w:szCs w:val="20"/>
              </w:rPr>
            </w:pPr>
          </w:p>
        </w:tc>
        <w:tc>
          <w:tcPr>
            <w:tcW w:w="850" w:type="dxa"/>
            <w:shd w:val="clear" w:color="auto" w:fill="FFFFFF" w:themeFill="background1"/>
          </w:tcPr>
          <w:p w14:paraId="00938D6C"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3 of 3</w:t>
            </w:r>
          </w:p>
        </w:tc>
      </w:tr>
      <w:tr w:rsidR="004E2D2F" w:rsidRPr="006E4503" w14:paraId="1E13EDC6" w14:textId="77777777" w:rsidTr="004E2D2F">
        <w:tc>
          <w:tcPr>
            <w:tcW w:w="1963" w:type="dxa"/>
          </w:tcPr>
          <w:p w14:paraId="50E34C4B" w14:textId="77777777" w:rsidR="004E2D2F" w:rsidRPr="006E4503" w:rsidRDefault="004E2D2F" w:rsidP="004E2D2F">
            <w:pPr>
              <w:rPr>
                <w:rFonts w:ascii="Arial" w:hAnsi="Arial" w:cs="Arial"/>
                <w:b/>
                <w:sz w:val="20"/>
                <w:szCs w:val="20"/>
              </w:rPr>
            </w:pPr>
            <w:r w:rsidRPr="006E4503">
              <w:rPr>
                <w:rFonts w:ascii="Arial" w:hAnsi="Arial" w:cs="Arial"/>
                <w:b/>
                <w:sz w:val="20"/>
                <w:szCs w:val="20"/>
              </w:rPr>
              <w:t>Gavin MacDonald</w:t>
            </w:r>
          </w:p>
        </w:tc>
        <w:tc>
          <w:tcPr>
            <w:tcW w:w="2858" w:type="dxa"/>
          </w:tcPr>
          <w:p w14:paraId="3AF2C3F2" w14:textId="77777777" w:rsidR="004E2D2F" w:rsidRPr="006E4503" w:rsidRDefault="004E2D2F" w:rsidP="004E2D2F">
            <w:pPr>
              <w:rPr>
                <w:rFonts w:ascii="Arial" w:hAnsi="Arial" w:cs="Arial"/>
                <w:b/>
                <w:sz w:val="20"/>
                <w:szCs w:val="20"/>
              </w:rPr>
            </w:pPr>
            <w:r w:rsidRPr="006E4503">
              <w:rPr>
                <w:rFonts w:ascii="Arial" w:hAnsi="Arial" w:cs="Arial"/>
                <w:b/>
                <w:sz w:val="20"/>
                <w:szCs w:val="20"/>
              </w:rPr>
              <w:t xml:space="preserve">Chief Delivery Officer </w:t>
            </w:r>
          </w:p>
        </w:tc>
        <w:tc>
          <w:tcPr>
            <w:tcW w:w="992" w:type="dxa"/>
          </w:tcPr>
          <w:p w14:paraId="0E53E792"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10 of 10</w:t>
            </w:r>
          </w:p>
        </w:tc>
        <w:tc>
          <w:tcPr>
            <w:tcW w:w="850" w:type="dxa"/>
          </w:tcPr>
          <w:p w14:paraId="43E7788C"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6 of 6</w:t>
            </w:r>
          </w:p>
        </w:tc>
        <w:tc>
          <w:tcPr>
            <w:tcW w:w="851" w:type="dxa"/>
            <w:shd w:val="clear" w:color="auto" w:fill="BFBFBF" w:themeFill="background1" w:themeFillShade="BF"/>
          </w:tcPr>
          <w:p w14:paraId="220868A8" w14:textId="77777777" w:rsidR="004E2D2F" w:rsidRPr="006E4503" w:rsidRDefault="004E2D2F" w:rsidP="004E2D2F">
            <w:pPr>
              <w:jc w:val="center"/>
              <w:rPr>
                <w:rFonts w:ascii="Arial" w:hAnsi="Arial" w:cs="Arial"/>
                <w:sz w:val="20"/>
                <w:szCs w:val="20"/>
              </w:rPr>
            </w:pPr>
          </w:p>
        </w:tc>
        <w:tc>
          <w:tcPr>
            <w:tcW w:w="850" w:type="dxa"/>
            <w:shd w:val="clear" w:color="auto" w:fill="BFBFBF" w:themeFill="background1" w:themeFillShade="BF"/>
          </w:tcPr>
          <w:p w14:paraId="37A3A7AF" w14:textId="77777777" w:rsidR="004E2D2F" w:rsidRPr="006E4503" w:rsidRDefault="004E2D2F" w:rsidP="004E2D2F">
            <w:pPr>
              <w:jc w:val="center"/>
              <w:rPr>
                <w:rFonts w:ascii="Arial" w:hAnsi="Arial" w:cs="Arial"/>
                <w:sz w:val="20"/>
                <w:szCs w:val="20"/>
              </w:rPr>
            </w:pPr>
          </w:p>
        </w:tc>
        <w:tc>
          <w:tcPr>
            <w:tcW w:w="993" w:type="dxa"/>
          </w:tcPr>
          <w:p w14:paraId="1C64B653"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11 of 12</w:t>
            </w:r>
          </w:p>
        </w:tc>
        <w:tc>
          <w:tcPr>
            <w:tcW w:w="992" w:type="dxa"/>
            <w:shd w:val="clear" w:color="auto" w:fill="BFBFBF" w:themeFill="background1" w:themeFillShade="BF"/>
          </w:tcPr>
          <w:p w14:paraId="5EB34825" w14:textId="77777777" w:rsidR="004E2D2F" w:rsidRPr="006E4503" w:rsidRDefault="004E2D2F" w:rsidP="004E2D2F">
            <w:pPr>
              <w:jc w:val="center"/>
              <w:rPr>
                <w:rFonts w:ascii="Arial" w:hAnsi="Arial" w:cs="Arial"/>
                <w:sz w:val="20"/>
                <w:szCs w:val="20"/>
              </w:rPr>
            </w:pPr>
          </w:p>
        </w:tc>
        <w:tc>
          <w:tcPr>
            <w:tcW w:w="850" w:type="dxa"/>
            <w:shd w:val="clear" w:color="auto" w:fill="BFBFBF" w:themeFill="background1" w:themeFillShade="BF"/>
          </w:tcPr>
          <w:p w14:paraId="1EE3A3E9" w14:textId="77777777" w:rsidR="004E2D2F" w:rsidRPr="006E4503" w:rsidRDefault="004E2D2F" w:rsidP="004E2D2F">
            <w:pPr>
              <w:jc w:val="center"/>
              <w:rPr>
                <w:rFonts w:ascii="Arial" w:hAnsi="Arial" w:cs="Arial"/>
                <w:sz w:val="20"/>
                <w:szCs w:val="20"/>
              </w:rPr>
            </w:pPr>
          </w:p>
        </w:tc>
      </w:tr>
      <w:tr w:rsidR="004E2D2F" w:rsidRPr="006E4503" w14:paraId="2BAE7E72" w14:textId="77777777" w:rsidTr="004E2D2F">
        <w:tc>
          <w:tcPr>
            <w:tcW w:w="1963" w:type="dxa"/>
          </w:tcPr>
          <w:p w14:paraId="7D958D62" w14:textId="77777777" w:rsidR="004E2D2F" w:rsidRPr="006E4503" w:rsidRDefault="004E2D2F" w:rsidP="004E2D2F">
            <w:pPr>
              <w:rPr>
                <w:rFonts w:ascii="Arial" w:hAnsi="Arial" w:cs="Arial"/>
                <w:b/>
                <w:sz w:val="20"/>
                <w:szCs w:val="20"/>
              </w:rPr>
            </w:pPr>
            <w:r w:rsidRPr="006E4503">
              <w:rPr>
                <w:rFonts w:ascii="Arial" w:hAnsi="Arial" w:cs="Arial"/>
                <w:b/>
                <w:sz w:val="20"/>
                <w:szCs w:val="20"/>
              </w:rPr>
              <w:t>Jayne Black</w:t>
            </w:r>
          </w:p>
        </w:tc>
        <w:tc>
          <w:tcPr>
            <w:tcW w:w="2858" w:type="dxa"/>
          </w:tcPr>
          <w:p w14:paraId="6D5DDB3D" w14:textId="77777777" w:rsidR="004E2D2F" w:rsidRPr="006E4503" w:rsidRDefault="004E2D2F" w:rsidP="004E2D2F">
            <w:pPr>
              <w:rPr>
                <w:rFonts w:ascii="Arial" w:hAnsi="Arial" w:cs="Arial"/>
                <w:b/>
                <w:sz w:val="20"/>
                <w:szCs w:val="20"/>
              </w:rPr>
            </w:pPr>
            <w:r w:rsidRPr="006E4503">
              <w:rPr>
                <w:rFonts w:ascii="Arial" w:hAnsi="Arial" w:cs="Arial"/>
                <w:b/>
                <w:sz w:val="20"/>
                <w:szCs w:val="20"/>
              </w:rPr>
              <w:t>Chief Executive</w:t>
            </w:r>
          </w:p>
        </w:tc>
        <w:tc>
          <w:tcPr>
            <w:tcW w:w="992" w:type="dxa"/>
          </w:tcPr>
          <w:p w14:paraId="44B0B011"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6 of 6</w:t>
            </w:r>
          </w:p>
        </w:tc>
        <w:tc>
          <w:tcPr>
            <w:tcW w:w="850" w:type="dxa"/>
          </w:tcPr>
          <w:p w14:paraId="495F4E39"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6 of 6</w:t>
            </w:r>
          </w:p>
        </w:tc>
        <w:tc>
          <w:tcPr>
            <w:tcW w:w="851" w:type="dxa"/>
          </w:tcPr>
          <w:p w14:paraId="6848B693"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2 of 3</w:t>
            </w:r>
          </w:p>
        </w:tc>
        <w:tc>
          <w:tcPr>
            <w:tcW w:w="850" w:type="dxa"/>
            <w:shd w:val="clear" w:color="auto" w:fill="BFBFBF" w:themeFill="background1" w:themeFillShade="BF"/>
          </w:tcPr>
          <w:p w14:paraId="48910563" w14:textId="77777777" w:rsidR="004E2D2F" w:rsidRPr="006E4503" w:rsidRDefault="004E2D2F" w:rsidP="004E2D2F">
            <w:pPr>
              <w:jc w:val="center"/>
              <w:rPr>
                <w:rFonts w:ascii="Arial" w:hAnsi="Arial" w:cs="Arial"/>
                <w:sz w:val="20"/>
                <w:szCs w:val="20"/>
              </w:rPr>
            </w:pPr>
          </w:p>
        </w:tc>
        <w:tc>
          <w:tcPr>
            <w:tcW w:w="993" w:type="dxa"/>
          </w:tcPr>
          <w:p w14:paraId="7E887496"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8 of 12</w:t>
            </w:r>
          </w:p>
        </w:tc>
        <w:tc>
          <w:tcPr>
            <w:tcW w:w="992" w:type="dxa"/>
          </w:tcPr>
          <w:p w14:paraId="53EDA596" w14:textId="77777777" w:rsidR="004E2D2F" w:rsidRPr="006E4503" w:rsidRDefault="004E2D2F" w:rsidP="004E2D2F">
            <w:pPr>
              <w:jc w:val="center"/>
              <w:rPr>
                <w:rFonts w:ascii="Arial" w:hAnsi="Arial" w:cs="Arial"/>
                <w:sz w:val="20"/>
                <w:szCs w:val="20"/>
              </w:rPr>
            </w:pPr>
          </w:p>
        </w:tc>
        <w:tc>
          <w:tcPr>
            <w:tcW w:w="850" w:type="dxa"/>
            <w:shd w:val="clear" w:color="auto" w:fill="BFBFBF" w:themeFill="background1" w:themeFillShade="BF"/>
          </w:tcPr>
          <w:p w14:paraId="5EF65883" w14:textId="77777777" w:rsidR="004E2D2F" w:rsidRPr="006E4503" w:rsidRDefault="004E2D2F" w:rsidP="004E2D2F">
            <w:pPr>
              <w:jc w:val="center"/>
              <w:rPr>
                <w:rFonts w:ascii="Arial" w:hAnsi="Arial" w:cs="Arial"/>
                <w:sz w:val="20"/>
                <w:szCs w:val="20"/>
              </w:rPr>
            </w:pPr>
          </w:p>
        </w:tc>
      </w:tr>
      <w:tr w:rsidR="004E2D2F" w:rsidRPr="006E4503" w14:paraId="480E8E17" w14:textId="77777777" w:rsidTr="004E2D2F">
        <w:tc>
          <w:tcPr>
            <w:tcW w:w="1963" w:type="dxa"/>
          </w:tcPr>
          <w:p w14:paraId="6035A19F" w14:textId="77777777" w:rsidR="004E2D2F" w:rsidRPr="006E4503" w:rsidRDefault="004E2D2F" w:rsidP="004E2D2F">
            <w:pPr>
              <w:rPr>
                <w:rFonts w:ascii="Arial" w:hAnsi="Arial" w:cs="Arial"/>
                <w:b/>
                <w:sz w:val="20"/>
                <w:szCs w:val="20"/>
              </w:rPr>
            </w:pPr>
            <w:r w:rsidRPr="006E4503">
              <w:rPr>
                <w:rFonts w:ascii="Arial" w:hAnsi="Arial" w:cs="Arial"/>
                <w:b/>
                <w:sz w:val="20"/>
                <w:szCs w:val="20"/>
              </w:rPr>
              <w:t>Jenny Chong</w:t>
            </w:r>
          </w:p>
        </w:tc>
        <w:tc>
          <w:tcPr>
            <w:tcW w:w="2858" w:type="dxa"/>
          </w:tcPr>
          <w:p w14:paraId="0486322C" w14:textId="77777777" w:rsidR="004E2D2F" w:rsidRPr="006E4503" w:rsidRDefault="004E2D2F" w:rsidP="004E2D2F">
            <w:pPr>
              <w:rPr>
                <w:rFonts w:ascii="Arial" w:hAnsi="Arial" w:cs="Arial"/>
                <w:b/>
                <w:sz w:val="20"/>
                <w:szCs w:val="20"/>
              </w:rPr>
            </w:pPr>
            <w:r w:rsidRPr="006E4503">
              <w:rPr>
                <w:rFonts w:ascii="Arial" w:hAnsi="Arial" w:cs="Arial"/>
                <w:b/>
                <w:sz w:val="20"/>
                <w:szCs w:val="20"/>
              </w:rPr>
              <w:t>Non-Executive Director</w:t>
            </w:r>
          </w:p>
          <w:p w14:paraId="2B3F7A8F" w14:textId="77777777" w:rsidR="004E2D2F" w:rsidRPr="006E4503" w:rsidRDefault="004E2D2F" w:rsidP="004E2D2F">
            <w:pPr>
              <w:rPr>
                <w:rFonts w:ascii="Arial" w:hAnsi="Arial" w:cs="Arial"/>
                <w:sz w:val="20"/>
                <w:szCs w:val="20"/>
              </w:rPr>
            </w:pPr>
            <w:r w:rsidRPr="006E4503">
              <w:rPr>
                <w:rFonts w:ascii="Arial" w:hAnsi="Arial" w:cs="Arial"/>
                <w:i/>
                <w:sz w:val="20"/>
                <w:szCs w:val="20"/>
              </w:rPr>
              <w:t>Senior Independent Director (from 01.10.24)</w:t>
            </w:r>
          </w:p>
        </w:tc>
        <w:tc>
          <w:tcPr>
            <w:tcW w:w="992" w:type="dxa"/>
          </w:tcPr>
          <w:p w14:paraId="3D4D78BF"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5 of 10</w:t>
            </w:r>
          </w:p>
        </w:tc>
        <w:tc>
          <w:tcPr>
            <w:tcW w:w="850" w:type="dxa"/>
          </w:tcPr>
          <w:p w14:paraId="601E0516"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4 of 6</w:t>
            </w:r>
          </w:p>
        </w:tc>
        <w:tc>
          <w:tcPr>
            <w:tcW w:w="851" w:type="dxa"/>
          </w:tcPr>
          <w:p w14:paraId="7AB604B1"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2 of 3</w:t>
            </w:r>
          </w:p>
        </w:tc>
        <w:tc>
          <w:tcPr>
            <w:tcW w:w="850" w:type="dxa"/>
            <w:shd w:val="clear" w:color="auto" w:fill="BFBFBF" w:themeFill="background1" w:themeFillShade="BF"/>
          </w:tcPr>
          <w:p w14:paraId="33DEE320" w14:textId="77777777" w:rsidR="004E2D2F" w:rsidRPr="006E4503" w:rsidRDefault="004E2D2F" w:rsidP="004E2D2F">
            <w:pPr>
              <w:jc w:val="center"/>
              <w:rPr>
                <w:rFonts w:ascii="Arial" w:hAnsi="Arial" w:cs="Arial"/>
                <w:sz w:val="20"/>
                <w:szCs w:val="20"/>
              </w:rPr>
            </w:pPr>
          </w:p>
        </w:tc>
        <w:tc>
          <w:tcPr>
            <w:tcW w:w="993" w:type="dxa"/>
          </w:tcPr>
          <w:p w14:paraId="08BC20F7"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6 of 12</w:t>
            </w:r>
          </w:p>
        </w:tc>
        <w:tc>
          <w:tcPr>
            <w:tcW w:w="992" w:type="dxa"/>
          </w:tcPr>
          <w:p w14:paraId="34494B25"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9 of 12</w:t>
            </w:r>
          </w:p>
        </w:tc>
        <w:tc>
          <w:tcPr>
            <w:tcW w:w="850" w:type="dxa"/>
          </w:tcPr>
          <w:p w14:paraId="7AD492BE"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6 of 6</w:t>
            </w:r>
          </w:p>
        </w:tc>
      </w:tr>
      <w:tr w:rsidR="004E2D2F" w:rsidRPr="006E4503" w14:paraId="1586D094" w14:textId="77777777" w:rsidTr="004E2D2F">
        <w:tc>
          <w:tcPr>
            <w:tcW w:w="1963" w:type="dxa"/>
          </w:tcPr>
          <w:p w14:paraId="716DE6FD" w14:textId="77777777" w:rsidR="004E2D2F" w:rsidRPr="006E4503" w:rsidRDefault="004E2D2F" w:rsidP="004E2D2F">
            <w:pPr>
              <w:rPr>
                <w:rFonts w:ascii="Arial" w:hAnsi="Arial" w:cs="Arial"/>
                <w:b/>
                <w:sz w:val="20"/>
                <w:szCs w:val="20"/>
              </w:rPr>
            </w:pPr>
            <w:r w:rsidRPr="006E4503">
              <w:rPr>
                <w:rFonts w:ascii="Arial" w:hAnsi="Arial" w:cs="Arial"/>
                <w:b/>
                <w:sz w:val="20"/>
                <w:szCs w:val="20"/>
              </w:rPr>
              <w:t>Leon Hinton</w:t>
            </w:r>
          </w:p>
        </w:tc>
        <w:tc>
          <w:tcPr>
            <w:tcW w:w="2858" w:type="dxa"/>
          </w:tcPr>
          <w:p w14:paraId="20436190" w14:textId="77777777" w:rsidR="004E2D2F" w:rsidRPr="006E4503" w:rsidRDefault="004E2D2F" w:rsidP="004E2D2F">
            <w:pPr>
              <w:rPr>
                <w:rFonts w:ascii="Arial" w:hAnsi="Arial" w:cs="Arial"/>
                <w:b/>
                <w:sz w:val="20"/>
                <w:szCs w:val="20"/>
              </w:rPr>
            </w:pPr>
            <w:r w:rsidRPr="006E4503">
              <w:rPr>
                <w:rFonts w:ascii="Arial" w:hAnsi="Arial" w:cs="Arial"/>
                <w:b/>
                <w:sz w:val="20"/>
                <w:szCs w:val="20"/>
              </w:rPr>
              <w:t>Chief People Officer</w:t>
            </w:r>
          </w:p>
        </w:tc>
        <w:tc>
          <w:tcPr>
            <w:tcW w:w="992" w:type="dxa"/>
          </w:tcPr>
          <w:p w14:paraId="54028948"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10 of 10</w:t>
            </w:r>
          </w:p>
        </w:tc>
        <w:tc>
          <w:tcPr>
            <w:tcW w:w="850" w:type="dxa"/>
          </w:tcPr>
          <w:p w14:paraId="0059834D"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6 of 6</w:t>
            </w:r>
          </w:p>
        </w:tc>
        <w:tc>
          <w:tcPr>
            <w:tcW w:w="851" w:type="dxa"/>
          </w:tcPr>
          <w:p w14:paraId="050EC2EB"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3 of 3</w:t>
            </w:r>
          </w:p>
        </w:tc>
        <w:tc>
          <w:tcPr>
            <w:tcW w:w="850" w:type="dxa"/>
            <w:shd w:val="clear" w:color="auto" w:fill="BFBFBF" w:themeFill="background1" w:themeFillShade="BF"/>
          </w:tcPr>
          <w:p w14:paraId="22586FB7" w14:textId="77777777" w:rsidR="004E2D2F" w:rsidRPr="006E4503" w:rsidRDefault="004E2D2F" w:rsidP="004E2D2F">
            <w:pPr>
              <w:jc w:val="center"/>
              <w:rPr>
                <w:rFonts w:ascii="Arial" w:hAnsi="Arial" w:cs="Arial"/>
                <w:sz w:val="20"/>
                <w:szCs w:val="20"/>
              </w:rPr>
            </w:pPr>
          </w:p>
        </w:tc>
        <w:tc>
          <w:tcPr>
            <w:tcW w:w="993" w:type="dxa"/>
            <w:shd w:val="clear" w:color="auto" w:fill="BFBFBF" w:themeFill="background1" w:themeFillShade="BF"/>
          </w:tcPr>
          <w:p w14:paraId="35C28620" w14:textId="77777777" w:rsidR="004E2D2F" w:rsidRPr="006E4503" w:rsidRDefault="004E2D2F" w:rsidP="004E2D2F">
            <w:pPr>
              <w:jc w:val="center"/>
              <w:rPr>
                <w:rFonts w:ascii="Arial" w:hAnsi="Arial" w:cs="Arial"/>
                <w:sz w:val="20"/>
                <w:szCs w:val="20"/>
              </w:rPr>
            </w:pPr>
          </w:p>
        </w:tc>
        <w:tc>
          <w:tcPr>
            <w:tcW w:w="992" w:type="dxa"/>
            <w:shd w:val="clear" w:color="auto" w:fill="BFBFBF" w:themeFill="background1" w:themeFillShade="BF"/>
          </w:tcPr>
          <w:p w14:paraId="02A04798" w14:textId="77777777" w:rsidR="004E2D2F" w:rsidRPr="006E4503" w:rsidRDefault="004E2D2F" w:rsidP="004E2D2F">
            <w:pPr>
              <w:jc w:val="center"/>
              <w:rPr>
                <w:rFonts w:ascii="Arial" w:hAnsi="Arial" w:cs="Arial"/>
                <w:sz w:val="20"/>
                <w:szCs w:val="20"/>
              </w:rPr>
            </w:pPr>
          </w:p>
        </w:tc>
        <w:tc>
          <w:tcPr>
            <w:tcW w:w="850" w:type="dxa"/>
          </w:tcPr>
          <w:p w14:paraId="59E73270"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6 of 6</w:t>
            </w:r>
          </w:p>
        </w:tc>
      </w:tr>
      <w:tr w:rsidR="004E2D2F" w:rsidRPr="006E4503" w14:paraId="600A133A" w14:textId="77777777" w:rsidTr="004E2D2F">
        <w:tc>
          <w:tcPr>
            <w:tcW w:w="1963" w:type="dxa"/>
          </w:tcPr>
          <w:p w14:paraId="6FFC78BB" w14:textId="77777777" w:rsidR="004E2D2F" w:rsidRPr="006E4503" w:rsidRDefault="004E2D2F" w:rsidP="004E2D2F">
            <w:pPr>
              <w:rPr>
                <w:rFonts w:ascii="Arial" w:hAnsi="Arial" w:cs="Arial"/>
                <w:b/>
                <w:sz w:val="20"/>
                <w:szCs w:val="20"/>
              </w:rPr>
            </w:pPr>
            <w:r w:rsidRPr="006E4503">
              <w:rPr>
                <w:rFonts w:ascii="Arial" w:hAnsi="Arial" w:cs="Arial"/>
                <w:b/>
                <w:sz w:val="20"/>
                <w:szCs w:val="20"/>
              </w:rPr>
              <w:t>Mojgan Sani</w:t>
            </w:r>
          </w:p>
        </w:tc>
        <w:tc>
          <w:tcPr>
            <w:tcW w:w="2858" w:type="dxa"/>
          </w:tcPr>
          <w:p w14:paraId="43B09C43" w14:textId="77777777" w:rsidR="004E2D2F" w:rsidRPr="006E4503" w:rsidRDefault="004E2D2F" w:rsidP="004E2D2F">
            <w:pPr>
              <w:rPr>
                <w:rFonts w:ascii="Arial" w:hAnsi="Arial" w:cs="Arial"/>
                <w:b/>
                <w:sz w:val="20"/>
                <w:szCs w:val="20"/>
              </w:rPr>
            </w:pPr>
            <w:r w:rsidRPr="006E4503">
              <w:rPr>
                <w:rFonts w:ascii="Arial" w:hAnsi="Arial" w:cs="Arial"/>
                <w:b/>
                <w:sz w:val="20"/>
                <w:szCs w:val="20"/>
              </w:rPr>
              <w:t xml:space="preserve">Non-Executive Director </w:t>
            </w:r>
          </w:p>
        </w:tc>
        <w:tc>
          <w:tcPr>
            <w:tcW w:w="992" w:type="dxa"/>
          </w:tcPr>
          <w:p w14:paraId="696799C4"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5 of 10</w:t>
            </w:r>
          </w:p>
        </w:tc>
        <w:tc>
          <w:tcPr>
            <w:tcW w:w="850" w:type="dxa"/>
          </w:tcPr>
          <w:p w14:paraId="4682F5D4"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3 of 6</w:t>
            </w:r>
          </w:p>
        </w:tc>
        <w:tc>
          <w:tcPr>
            <w:tcW w:w="851" w:type="dxa"/>
          </w:tcPr>
          <w:p w14:paraId="291DA8FF"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0 of 3</w:t>
            </w:r>
          </w:p>
        </w:tc>
        <w:tc>
          <w:tcPr>
            <w:tcW w:w="850" w:type="dxa"/>
          </w:tcPr>
          <w:p w14:paraId="71E91673"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5 of 6</w:t>
            </w:r>
          </w:p>
        </w:tc>
        <w:tc>
          <w:tcPr>
            <w:tcW w:w="993" w:type="dxa"/>
          </w:tcPr>
          <w:p w14:paraId="160F357D"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1 of 2</w:t>
            </w:r>
          </w:p>
        </w:tc>
        <w:tc>
          <w:tcPr>
            <w:tcW w:w="992" w:type="dxa"/>
          </w:tcPr>
          <w:p w14:paraId="6083ABB0"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5 of 12</w:t>
            </w:r>
          </w:p>
        </w:tc>
        <w:tc>
          <w:tcPr>
            <w:tcW w:w="850" w:type="dxa"/>
            <w:shd w:val="clear" w:color="auto" w:fill="BFBFBF" w:themeFill="background1" w:themeFillShade="BF"/>
          </w:tcPr>
          <w:p w14:paraId="365E7061" w14:textId="77777777" w:rsidR="004E2D2F" w:rsidRPr="006E4503" w:rsidRDefault="004E2D2F" w:rsidP="004E2D2F">
            <w:pPr>
              <w:jc w:val="center"/>
              <w:rPr>
                <w:rFonts w:ascii="Arial" w:hAnsi="Arial" w:cs="Arial"/>
                <w:sz w:val="20"/>
                <w:szCs w:val="20"/>
              </w:rPr>
            </w:pPr>
          </w:p>
        </w:tc>
      </w:tr>
      <w:tr w:rsidR="004E2D2F" w:rsidRPr="006E4503" w14:paraId="10D85059" w14:textId="77777777" w:rsidTr="004E2D2F">
        <w:tc>
          <w:tcPr>
            <w:tcW w:w="1963" w:type="dxa"/>
          </w:tcPr>
          <w:p w14:paraId="7D9077AD" w14:textId="77777777" w:rsidR="004E2D2F" w:rsidRPr="006E4503" w:rsidRDefault="004E2D2F" w:rsidP="004E2D2F">
            <w:pPr>
              <w:rPr>
                <w:rFonts w:ascii="Arial" w:hAnsi="Arial" w:cs="Arial"/>
                <w:b/>
                <w:sz w:val="20"/>
                <w:szCs w:val="20"/>
              </w:rPr>
            </w:pPr>
            <w:r w:rsidRPr="006E4503">
              <w:rPr>
                <w:rFonts w:ascii="Arial" w:hAnsi="Arial" w:cs="Arial"/>
                <w:b/>
                <w:sz w:val="20"/>
                <w:szCs w:val="20"/>
              </w:rPr>
              <w:t>Nick Sinclair</w:t>
            </w:r>
          </w:p>
        </w:tc>
        <w:tc>
          <w:tcPr>
            <w:tcW w:w="2858" w:type="dxa"/>
          </w:tcPr>
          <w:p w14:paraId="2A4C1F5C" w14:textId="77777777" w:rsidR="004E2D2F" w:rsidRPr="006E4503" w:rsidRDefault="004E2D2F" w:rsidP="004E2D2F">
            <w:pPr>
              <w:rPr>
                <w:rFonts w:ascii="Arial" w:hAnsi="Arial" w:cs="Arial"/>
                <w:b/>
                <w:sz w:val="20"/>
                <w:szCs w:val="20"/>
              </w:rPr>
            </w:pPr>
            <w:r w:rsidRPr="006E4503">
              <w:rPr>
                <w:rFonts w:ascii="Arial" w:hAnsi="Arial" w:cs="Arial"/>
                <w:b/>
                <w:sz w:val="20"/>
                <w:szCs w:val="20"/>
              </w:rPr>
              <w:t xml:space="preserve">Chief Operating Officer </w:t>
            </w:r>
          </w:p>
        </w:tc>
        <w:tc>
          <w:tcPr>
            <w:tcW w:w="992" w:type="dxa"/>
          </w:tcPr>
          <w:p w14:paraId="455BDB79"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7 of 10</w:t>
            </w:r>
          </w:p>
        </w:tc>
        <w:tc>
          <w:tcPr>
            <w:tcW w:w="850" w:type="dxa"/>
          </w:tcPr>
          <w:p w14:paraId="6FFF7CA2"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5 of 6</w:t>
            </w:r>
          </w:p>
        </w:tc>
        <w:tc>
          <w:tcPr>
            <w:tcW w:w="851" w:type="dxa"/>
            <w:shd w:val="clear" w:color="auto" w:fill="BFBFBF" w:themeFill="background1" w:themeFillShade="BF"/>
          </w:tcPr>
          <w:p w14:paraId="375D3E3A" w14:textId="77777777" w:rsidR="004E2D2F" w:rsidRPr="006E4503" w:rsidRDefault="004E2D2F" w:rsidP="004E2D2F">
            <w:pPr>
              <w:jc w:val="center"/>
              <w:rPr>
                <w:rFonts w:ascii="Arial" w:hAnsi="Arial" w:cs="Arial"/>
                <w:sz w:val="20"/>
                <w:szCs w:val="20"/>
              </w:rPr>
            </w:pPr>
          </w:p>
        </w:tc>
        <w:tc>
          <w:tcPr>
            <w:tcW w:w="850" w:type="dxa"/>
            <w:shd w:val="clear" w:color="auto" w:fill="BFBFBF" w:themeFill="background1" w:themeFillShade="BF"/>
          </w:tcPr>
          <w:p w14:paraId="0F28F5CA" w14:textId="77777777" w:rsidR="004E2D2F" w:rsidRPr="006E4503" w:rsidRDefault="004E2D2F" w:rsidP="004E2D2F">
            <w:pPr>
              <w:jc w:val="center"/>
              <w:rPr>
                <w:rFonts w:ascii="Arial" w:hAnsi="Arial" w:cs="Arial"/>
                <w:sz w:val="20"/>
                <w:szCs w:val="20"/>
              </w:rPr>
            </w:pPr>
          </w:p>
        </w:tc>
        <w:tc>
          <w:tcPr>
            <w:tcW w:w="993" w:type="dxa"/>
          </w:tcPr>
          <w:p w14:paraId="3169FB22"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11 of 12</w:t>
            </w:r>
          </w:p>
        </w:tc>
        <w:tc>
          <w:tcPr>
            <w:tcW w:w="992" w:type="dxa"/>
            <w:shd w:val="clear" w:color="auto" w:fill="BFBFBF" w:themeFill="background1" w:themeFillShade="BF"/>
          </w:tcPr>
          <w:p w14:paraId="49D41C65" w14:textId="77777777" w:rsidR="004E2D2F" w:rsidRPr="006E4503" w:rsidRDefault="004E2D2F" w:rsidP="004E2D2F">
            <w:pPr>
              <w:jc w:val="center"/>
              <w:rPr>
                <w:rFonts w:ascii="Arial" w:hAnsi="Arial" w:cs="Arial"/>
                <w:sz w:val="20"/>
                <w:szCs w:val="20"/>
              </w:rPr>
            </w:pPr>
          </w:p>
        </w:tc>
        <w:tc>
          <w:tcPr>
            <w:tcW w:w="850" w:type="dxa"/>
            <w:shd w:val="clear" w:color="auto" w:fill="BFBFBF" w:themeFill="background1" w:themeFillShade="BF"/>
          </w:tcPr>
          <w:p w14:paraId="69522EBF" w14:textId="77777777" w:rsidR="004E2D2F" w:rsidRPr="006E4503" w:rsidRDefault="004E2D2F" w:rsidP="004E2D2F">
            <w:pPr>
              <w:jc w:val="center"/>
              <w:rPr>
                <w:rFonts w:ascii="Arial" w:hAnsi="Arial" w:cs="Arial"/>
                <w:sz w:val="20"/>
                <w:szCs w:val="20"/>
              </w:rPr>
            </w:pPr>
          </w:p>
        </w:tc>
      </w:tr>
      <w:tr w:rsidR="004E2D2F" w:rsidRPr="006E4503" w14:paraId="1F66C499" w14:textId="77777777" w:rsidTr="004E2D2F">
        <w:tc>
          <w:tcPr>
            <w:tcW w:w="1963" w:type="dxa"/>
          </w:tcPr>
          <w:p w14:paraId="558F1C94" w14:textId="77777777" w:rsidR="004E2D2F" w:rsidRPr="006E4503" w:rsidRDefault="004E2D2F" w:rsidP="004E2D2F">
            <w:pPr>
              <w:rPr>
                <w:rFonts w:ascii="Arial" w:hAnsi="Arial" w:cs="Arial"/>
                <w:b/>
                <w:sz w:val="20"/>
                <w:szCs w:val="20"/>
              </w:rPr>
            </w:pPr>
            <w:r w:rsidRPr="006E4503">
              <w:rPr>
                <w:rFonts w:ascii="Arial" w:hAnsi="Arial" w:cs="Arial"/>
                <w:b/>
                <w:sz w:val="20"/>
                <w:szCs w:val="20"/>
              </w:rPr>
              <w:t>Paulette Lewis</w:t>
            </w:r>
          </w:p>
        </w:tc>
        <w:tc>
          <w:tcPr>
            <w:tcW w:w="2858" w:type="dxa"/>
          </w:tcPr>
          <w:p w14:paraId="6E484715" w14:textId="77777777" w:rsidR="004E2D2F" w:rsidRPr="006E4503" w:rsidRDefault="004E2D2F" w:rsidP="004E2D2F">
            <w:pPr>
              <w:rPr>
                <w:rFonts w:ascii="Arial" w:hAnsi="Arial" w:cs="Arial"/>
                <w:b/>
                <w:sz w:val="20"/>
                <w:szCs w:val="20"/>
              </w:rPr>
            </w:pPr>
            <w:r w:rsidRPr="006E4503">
              <w:rPr>
                <w:rFonts w:ascii="Arial" w:hAnsi="Arial" w:cs="Arial"/>
                <w:b/>
                <w:sz w:val="20"/>
                <w:szCs w:val="20"/>
              </w:rPr>
              <w:t>Non-Executive Director</w:t>
            </w:r>
          </w:p>
        </w:tc>
        <w:tc>
          <w:tcPr>
            <w:tcW w:w="992" w:type="dxa"/>
          </w:tcPr>
          <w:p w14:paraId="65DBF15B"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8 of 10</w:t>
            </w:r>
          </w:p>
        </w:tc>
        <w:tc>
          <w:tcPr>
            <w:tcW w:w="850" w:type="dxa"/>
          </w:tcPr>
          <w:p w14:paraId="41C70C4C"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4 of 6</w:t>
            </w:r>
          </w:p>
        </w:tc>
        <w:tc>
          <w:tcPr>
            <w:tcW w:w="851" w:type="dxa"/>
          </w:tcPr>
          <w:p w14:paraId="0C2F8A17"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1 of 3</w:t>
            </w:r>
          </w:p>
        </w:tc>
        <w:tc>
          <w:tcPr>
            <w:tcW w:w="850" w:type="dxa"/>
            <w:shd w:val="clear" w:color="auto" w:fill="BFBFBF" w:themeFill="background1" w:themeFillShade="BF"/>
          </w:tcPr>
          <w:p w14:paraId="16D15CF7" w14:textId="77777777" w:rsidR="004E2D2F" w:rsidRPr="006E4503" w:rsidRDefault="004E2D2F" w:rsidP="004E2D2F">
            <w:pPr>
              <w:jc w:val="center"/>
              <w:rPr>
                <w:rFonts w:ascii="Arial" w:hAnsi="Arial" w:cs="Arial"/>
                <w:sz w:val="20"/>
                <w:szCs w:val="20"/>
              </w:rPr>
            </w:pPr>
          </w:p>
        </w:tc>
        <w:tc>
          <w:tcPr>
            <w:tcW w:w="993" w:type="dxa"/>
            <w:shd w:val="clear" w:color="auto" w:fill="BFBFBF" w:themeFill="background1" w:themeFillShade="BF"/>
          </w:tcPr>
          <w:p w14:paraId="78E82394" w14:textId="77777777" w:rsidR="004E2D2F" w:rsidRPr="006E4503" w:rsidRDefault="004E2D2F" w:rsidP="004E2D2F">
            <w:pPr>
              <w:jc w:val="center"/>
              <w:rPr>
                <w:rFonts w:ascii="Arial" w:hAnsi="Arial" w:cs="Arial"/>
                <w:sz w:val="20"/>
                <w:szCs w:val="20"/>
              </w:rPr>
            </w:pPr>
          </w:p>
        </w:tc>
        <w:tc>
          <w:tcPr>
            <w:tcW w:w="992" w:type="dxa"/>
          </w:tcPr>
          <w:p w14:paraId="7CA9D947"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12 of 12</w:t>
            </w:r>
          </w:p>
        </w:tc>
        <w:tc>
          <w:tcPr>
            <w:tcW w:w="850" w:type="dxa"/>
          </w:tcPr>
          <w:p w14:paraId="1B016405"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5 of 6</w:t>
            </w:r>
          </w:p>
        </w:tc>
      </w:tr>
      <w:tr w:rsidR="004E2D2F" w:rsidRPr="006E4503" w14:paraId="3B46B561" w14:textId="77777777" w:rsidTr="004E2D2F">
        <w:tc>
          <w:tcPr>
            <w:tcW w:w="1963" w:type="dxa"/>
          </w:tcPr>
          <w:p w14:paraId="4490DE93" w14:textId="77777777" w:rsidR="004E2D2F" w:rsidRPr="006E4503" w:rsidRDefault="004E2D2F" w:rsidP="004E2D2F">
            <w:pPr>
              <w:rPr>
                <w:rFonts w:ascii="Arial" w:hAnsi="Arial" w:cs="Arial"/>
                <w:b/>
                <w:sz w:val="20"/>
                <w:szCs w:val="20"/>
              </w:rPr>
            </w:pPr>
            <w:r w:rsidRPr="006E4503">
              <w:rPr>
                <w:rFonts w:ascii="Arial" w:hAnsi="Arial" w:cs="Arial"/>
                <w:b/>
                <w:sz w:val="20"/>
                <w:szCs w:val="20"/>
              </w:rPr>
              <w:t>Sarah Vaux</w:t>
            </w:r>
          </w:p>
        </w:tc>
        <w:tc>
          <w:tcPr>
            <w:tcW w:w="2858" w:type="dxa"/>
          </w:tcPr>
          <w:p w14:paraId="04B781B3" w14:textId="77777777" w:rsidR="004E2D2F" w:rsidRPr="006E4503" w:rsidRDefault="004E2D2F" w:rsidP="004E2D2F">
            <w:pPr>
              <w:rPr>
                <w:rFonts w:ascii="Arial" w:hAnsi="Arial" w:cs="Arial"/>
                <w:b/>
                <w:sz w:val="20"/>
                <w:szCs w:val="20"/>
              </w:rPr>
            </w:pPr>
            <w:r w:rsidRPr="006E4503">
              <w:rPr>
                <w:rFonts w:ascii="Arial" w:hAnsi="Arial" w:cs="Arial"/>
                <w:b/>
                <w:sz w:val="20"/>
                <w:szCs w:val="20"/>
              </w:rPr>
              <w:t>Chief Nursing Officer (Interim)</w:t>
            </w:r>
          </w:p>
        </w:tc>
        <w:tc>
          <w:tcPr>
            <w:tcW w:w="992" w:type="dxa"/>
          </w:tcPr>
          <w:p w14:paraId="0EF770C5"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10 of 10</w:t>
            </w:r>
          </w:p>
        </w:tc>
        <w:tc>
          <w:tcPr>
            <w:tcW w:w="850" w:type="dxa"/>
          </w:tcPr>
          <w:p w14:paraId="45ADE6A5"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6 of 6</w:t>
            </w:r>
          </w:p>
        </w:tc>
        <w:tc>
          <w:tcPr>
            <w:tcW w:w="851" w:type="dxa"/>
            <w:shd w:val="clear" w:color="auto" w:fill="BFBFBF" w:themeFill="background1" w:themeFillShade="BF"/>
          </w:tcPr>
          <w:p w14:paraId="3B7620CF" w14:textId="77777777" w:rsidR="004E2D2F" w:rsidRPr="006E4503" w:rsidRDefault="004E2D2F" w:rsidP="004E2D2F">
            <w:pPr>
              <w:jc w:val="center"/>
              <w:rPr>
                <w:rFonts w:ascii="Arial" w:hAnsi="Arial" w:cs="Arial"/>
                <w:sz w:val="20"/>
                <w:szCs w:val="20"/>
              </w:rPr>
            </w:pPr>
          </w:p>
        </w:tc>
        <w:tc>
          <w:tcPr>
            <w:tcW w:w="850" w:type="dxa"/>
            <w:shd w:val="clear" w:color="auto" w:fill="BFBFBF" w:themeFill="background1" w:themeFillShade="BF"/>
          </w:tcPr>
          <w:p w14:paraId="3DD56903" w14:textId="77777777" w:rsidR="004E2D2F" w:rsidRPr="006E4503" w:rsidRDefault="004E2D2F" w:rsidP="004E2D2F">
            <w:pPr>
              <w:jc w:val="center"/>
              <w:rPr>
                <w:rFonts w:ascii="Arial" w:hAnsi="Arial" w:cs="Arial"/>
                <w:sz w:val="20"/>
                <w:szCs w:val="20"/>
              </w:rPr>
            </w:pPr>
          </w:p>
        </w:tc>
        <w:tc>
          <w:tcPr>
            <w:tcW w:w="993" w:type="dxa"/>
            <w:shd w:val="clear" w:color="auto" w:fill="BFBFBF" w:themeFill="background1" w:themeFillShade="BF"/>
          </w:tcPr>
          <w:p w14:paraId="3F2A5A54" w14:textId="77777777" w:rsidR="004E2D2F" w:rsidRPr="006E4503" w:rsidRDefault="004E2D2F" w:rsidP="004E2D2F">
            <w:pPr>
              <w:jc w:val="center"/>
              <w:rPr>
                <w:rFonts w:ascii="Arial" w:hAnsi="Arial" w:cs="Arial"/>
                <w:sz w:val="20"/>
                <w:szCs w:val="20"/>
              </w:rPr>
            </w:pPr>
          </w:p>
        </w:tc>
        <w:tc>
          <w:tcPr>
            <w:tcW w:w="992" w:type="dxa"/>
          </w:tcPr>
          <w:p w14:paraId="56D811DF"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10 of 12</w:t>
            </w:r>
          </w:p>
        </w:tc>
        <w:tc>
          <w:tcPr>
            <w:tcW w:w="850" w:type="dxa"/>
          </w:tcPr>
          <w:p w14:paraId="3A326B2F"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3 of 6</w:t>
            </w:r>
          </w:p>
        </w:tc>
      </w:tr>
      <w:tr w:rsidR="004E2D2F" w:rsidRPr="006E4503" w14:paraId="2E3A0AB7" w14:textId="77777777" w:rsidTr="004E2D2F">
        <w:tc>
          <w:tcPr>
            <w:tcW w:w="1963" w:type="dxa"/>
          </w:tcPr>
          <w:p w14:paraId="22A912C5" w14:textId="77777777" w:rsidR="004E2D2F" w:rsidRPr="006E4503" w:rsidRDefault="004E2D2F" w:rsidP="004E2D2F">
            <w:pPr>
              <w:rPr>
                <w:rFonts w:ascii="Arial" w:hAnsi="Arial" w:cs="Arial"/>
                <w:b/>
                <w:sz w:val="20"/>
                <w:szCs w:val="20"/>
              </w:rPr>
            </w:pPr>
            <w:r w:rsidRPr="006E4503">
              <w:rPr>
                <w:rFonts w:ascii="Arial" w:hAnsi="Arial" w:cs="Arial"/>
                <w:b/>
                <w:sz w:val="20"/>
                <w:szCs w:val="20"/>
              </w:rPr>
              <w:t>Simon Wombwell</w:t>
            </w:r>
          </w:p>
        </w:tc>
        <w:tc>
          <w:tcPr>
            <w:tcW w:w="2858" w:type="dxa"/>
          </w:tcPr>
          <w:p w14:paraId="4B41E2D0" w14:textId="77777777" w:rsidR="004E2D2F" w:rsidRPr="006E4503" w:rsidRDefault="004E2D2F" w:rsidP="004E2D2F">
            <w:pPr>
              <w:rPr>
                <w:rFonts w:ascii="Arial" w:hAnsi="Arial" w:cs="Arial"/>
                <w:b/>
                <w:sz w:val="20"/>
                <w:szCs w:val="20"/>
              </w:rPr>
            </w:pPr>
            <w:r w:rsidRPr="006E4503">
              <w:rPr>
                <w:rFonts w:ascii="Arial" w:hAnsi="Arial" w:cs="Arial"/>
                <w:b/>
                <w:sz w:val="20"/>
                <w:szCs w:val="20"/>
              </w:rPr>
              <w:t xml:space="preserve">Chief Finance Officer (Interim) </w:t>
            </w:r>
            <w:r w:rsidRPr="006E4503">
              <w:rPr>
                <w:rFonts w:ascii="Arial" w:hAnsi="Arial" w:cs="Arial"/>
                <w:sz w:val="20"/>
                <w:szCs w:val="20"/>
              </w:rPr>
              <w:t>(from 02.01.25)</w:t>
            </w:r>
          </w:p>
        </w:tc>
        <w:tc>
          <w:tcPr>
            <w:tcW w:w="992" w:type="dxa"/>
          </w:tcPr>
          <w:p w14:paraId="39A717D6"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4 of 4</w:t>
            </w:r>
          </w:p>
        </w:tc>
        <w:tc>
          <w:tcPr>
            <w:tcW w:w="850" w:type="dxa"/>
          </w:tcPr>
          <w:p w14:paraId="5A4A3127"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2 of 2</w:t>
            </w:r>
          </w:p>
        </w:tc>
        <w:tc>
          <w:tcPr>
            <w:tcW w:w="851" w:type="dxa"/>
            <w:shd w:val="clear" w:color="auto" w:fill="BFBFBF" w:themeFill="background1" w:themeFillShade="BF"/>
          </w:tcPr>
          <w:p w14:paraId="6B4C78C9" w14:textId="77777777" w:rsidR="004E2D2F" w:rsidRPr="006E4503" w:rsidRDefault="004E2D2F" w:rsidP="004E2D2F">
            <w:pPr>
              <w:jc w:val="center"/>
              <w:rPr>
                <w:rFonts w:ascii="Arial" w:hAnsi="Arial" w:cs="Arial"/>
                <w:sz w:val="20"/>
                <w:szCs w:val="20"/>
              </w:rPr>
            </w:pPr>
          </w:p>
        </w:tc>
        <w:tc>
          <w:tcPr>
            <w:tcW w:w="850" w:type="dxa"/>
          </w:tcPr>
          <w:p w14:paraId="6FC2AC21"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2 of 2</w:t>
            </w:r>
          </w:p>
        </w:tc>
        <w:tc>
          <w:tcPr>
            <w:tcW w:w="993" w:type="dxa"/>
          </w:tcPr>
          <w:p w14:paraId="1A526A99"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4 of 4</w:t>
            </w:r>
          </w:p>
        </w:tc>
        <w:tc>
          <w:tcPr>
            <w:tcW w:w="992" w:type="dxa"/>
            <w:shd w:val="clear" w:color="auto" w:fill="BFBFBF" w:themeFill="background1" w:themeFillShade="BF"/>
          </w:tcPr>
          <w:p w14:paraId="66D025C1" w14:textId="77777777" w:rsidR="004E2D2F" w:rsidRPr="006E4503" w:rsidRDefault="004E2D2F" w:rsidP="004E2D2F">
            <w:pPr>
              <w:jc w:val="center"/>
              <w:rPr>
                <w:rFonts w:ascii="Arial" w:hAnsi="Arial" w:cs="Arial"/>
                <w:sz w:val="20"/>
                <w:szCs w:val="20"/>
              </w:rPr>
            </w:pPr>
          </w:p>
        </w:tc>
        <w:tc>
          <w:tcPr>
            <w:tcW w:w="850" w:type="dxa"/>
            <w:shd w:val="clear" w:color="auto" w:fill="BFBFBF" w:themeFill="background1" w:themeFillShade="BF"/>
          </w:tcPr>
          <w:p w14:paraId="5A454377" w14:textId="77777777" w:rsidR="004E2D2F" w:rsidRPr="006E4503" w:rsidRDefault="004E2D2F" w:rsidP="004E2D2F">
            <w:pPr>
              <w:jc w:val="center"/>
              <w:rPr>
                <w:rFonts w:ascii="Arial" w:hAnsi="Arial" w:cs="Arial"/>
                <w:sz w:val="20"/>
                <w:szCs w:val="20"/>
              </w:rPr>
            </w:pPr>
          </w:p>
        </w:tc>
      </w:tr>
      <w:tr w:rsidR="004E2D2F" w:rsidRPr="006E4503" w14:paraId="7C8AEAD0" w14:textId="77777777" w:rsidTr="004E2D2F">
        <w:tc>
          <w:tcPr>
            <w:tcW w:w="1963" w:type="dxa"/>
          </w:tcPr>
          <w:p w14:paraId="03B9EA32" w14:textId="77777777" w:rsidR="004E2D2F" w:rsidRPr="006E4503" w:rsidRDefault="004E2D2F" w:rsidP="004E2D2F">
            <w:pPr>
              <w:rPr>
                <w:rFonts w:ascii="Arial" w:hAnsi="Arial" w:cs="Arial"/>
                <w:sz w:val="20"/>
                <w:szCs w:val="20"/>
              </w:rPr>
            </w:pPr>
            <w:r w:rsidRPr="006E4503">
              <w:rPr>
                <w:rFonts w:ascii="Arial" w:hAnsi="Arial" w:cs="Arial"/>
                <w:sz w:val="20"/>
                <w:szCs w:val="20"/>
              </w:rPr>
              <w:t>Evonne Hunt</w:t>
            </w:r>
          </w:p>
        </w:tc>
        <w:tc>
          <w:tcPr>
            <w:tcW w:w="2858" w:type="dxa"/>
          </w:tcPr>
          <w:p w14:paraId="0E5A403B" w14:textId="77777777" w:rsidR="004E2D2F" w:rsidRPr="006E4503" w:rsidRDefault="004E2D2F" w:rsidP="004E2D2F">
            <w:pPr>
              <w:rPr>
                <w:rFonts w:ascii="Arial" w:hAnsi="Arial" w:cs="Arial"/>
                <w:sz w:val="20"/>
                <w:szCs w:val="20"/>
              </w:rPr>
            </w:pPr>
            <w:r w:rsidRPr="006E4503">
              <w:rPr>
                <w:rFonts w:ascii="Arial" w:hAnsi="Arial" w:cs="Arial"/>
                <w:sz w:val="20"/>
                <w:szCs w:val="20"/>
              </w:rPr>
              <w:t>Chief Nursing Officer (secondment from 04.12.23)</w:t>
            </w:r>
          </w:p>
        </w:tc>
        <w:tc>
          <w:tcPr>
            <w:tcW w:w="992" w:type="dxa"/>
            <w:shd w:val="clear" w:color="auto" w:fill="BFBFBF" w:themeFill="background1" w:themeFillShade="BF"/>
          </w:tcPr>
          <w:p w14:paraId="375ED686" w14:textId="77777777" w:rsidR="004E2D2F" w:rsidRPr="006E4503" w:rsidRDefault="004E2D2F" w:rsidP="004E2D2F">
            <w:pPr>
              <w:jc w:val="center"/>
              <w:rPr>
                <w:rFonts w:ascii="Arial" w:hAnsi="Arial" w:cs="Arial"/>
                <w:sz w:val="20"/>
                <w:szCs w:val="20"/>
              </w:rPr>
            </w:pPr>
          </w:p>
        </w:tc>
        <w:tc>
          <w:tcPr>
            <w:tcW w:w="850" w:type="dxa"/>
            <w:shd w:val="clear" w:color="auto" w:fill="BFBFBF" w:themeFill="background1" w:themeFillShade="BF"/>
          </w:tcPr>
          <w:p w14:paraId="4C58AA45" w14:textId="77777777" w:rsidR="004E2D2F" w:rsidRPr="006E4503" w:rsidRDefault="004E2D2F" w:rsidP="004E2D2F">
            <w:pPr>
              <w:jc w:val="center"/>
              <w:rPr>
                <w:rFonts w:ascii="Arial" w:hAnsi="Arial" w:cs="Arial"/>
                <w:sz w:val="20"/>
                <w:szCs w:val="20"/>
              </w:rPr>
            </w:pPr>
          </w:p>
        </w:tc>
        <w:tc>
          <w:tcPr>
            <w:tcW w:w="851" w:type="dxa"/>
            <w:shd w:val="clear" w:color="auto" w:fill="BFBFBF" w:themeFill="background1" w:themeFillShade="BF"/>
          </w:tcPr>
          <w:p w14:paraId="0088FFDF" w14:textId="77777777" w:rsidR="004E2D2F" w:rsidRPr="006E4503" w:rsidRDefault="004E2D2F" w:rsidP="004E2D2F">
            <w:pPr>
              <w:jc w:val="center"/>
              <w:rPr>
                <w:rFonts w:ascii="Arial" w:hAnsi="Arial" w:cs="Arial"/>
                <w:sz w:val="20"/>
                <w:szCs w:val="20"/>
              </w:rPr>
            </w:pPr>
          </w:p>
        </w:tc>
        <w:tc>
          <w:tcPr>
            <w:tcW w:w="850" w:type="dxa"/>
            <w:shd w:val="clear" w:color="auto" w:fill="BFBFBF" w:themeFill="background1" w:themeFillShade="BF"/>
          </w:tcPr>
          <w:p w14:paraId="22CCC995" w14:textId="77777777" w:rsidR="004E2D2F" w:rsidRPr="006E4503" w:rsidRDefault="004E2D2F" w:rsidP="004E2D2F">
            <w:pPr>
              <w:jc w:val="center"/>
              <w:rPr>
                <w:rFonts w:ascii="Arial" w:hAnsi="Arial" w:cs="Arial"/>
                <w:sz w:val="20"/>
                <w:szCs w:val="20"/>
              </w:rPr>
            </w:pPr>
          </w:p>
        </w:tc>
        <w:tc>
          <w:tcPr>
            <w:tcW w:w="993" w:type="dxa"/>
            <w:shd w:val="clear" w:color="auto" w:fill="BFBFBF" w:themeFill="background1" w:themeFillShade="BF"/>
          </w:tcPr>
          <w:p w14:paraId="255E1C1E" w14:textId="77777777" w:rsidR="004E2D2F" w:rsidRPr="006E4503" w:rsidRDefault="004E2D2F" w:rsidP="004E2D2F">
            <w:pPr>
              <w:jc w:val="center"/>
              <w:rPr>
                <w:rFonts w:ascii="Arial" w:hAnsi="Arial" w:cs="Arial"/>
                <w:sz w:val="20"/>
                <w:szCs w:val="20"/>
              </w:rPr>
            </w:pPr>
          </w:p>
        </w:tc>
        <w:tc>
          <w:tcPr>
            <w:tcW w:w="992" w:type="dxa"/>
            <w:shd w:val="clear" w:color="auto" w:fill="BFBFBF" w:themeFill="background1" w:themeFillShade="BF"/>
          </w:tcPr>
          <w:p w14:paraId="266978B7" w14:textId="77777777" w:rsidR="004E2D2F" w:rsidRPr="006E4503" w:rsidRDefault="004E2D2F" w:rsidP="004E2D2F">
            <w:pPr>
              <w:jc w:val="center"/>
              <w:rPr>
                <w:rFonts w:ascii="Arial" w:hAnsi="Arial" w:cs="Arial"/>
                <w:sz w:val="20"/>
                <w:szCs w:val="20"/>
              </w:rPr>
            </w:pPr>
          </w:p>
        </w:tc>
        <w:tc>
          <w:tcPr>
            <w:tcW w:w="850" w:type="dxa"/>
            <w:shd w:val="clear" w:color="auto" w:fill="BFBFBF" w:themeFill="background1" w:themeFillShade="BF"/>
          </w:tcPr>
          <w:p w14:paraId="3748BD17" w14:textId="77777777" w:rsidR="004E2D2F" w:rsidRPr="006E4503" w:rsidRDefault="004E2D2F" w:rsidP="004E2D2F">
            <w:pPr>
              <w:jc w:val="center"/>
              <w:rPr>
                <w:rFonts w:ascii="Arial" w:hAnsi="Arial" w:cs="Arial"/>
                <w:sz w:val="20"/>
                <w:szCs w:val="20"/>
              </w:rPr>
            </w:pPr>
          </w:p>
        </w:tc>
      </w:tr>
      <w:tr w:rsidR="004E2D2F" w:rsidRPr="006E4503" w14:paraId="07FB0CD1" w14:textId="77777777" w:rsidTr="004E2D2F">
        <w:tc>
          <w:tcPr>
            <w:tcW w:w="1963" w:type="dxa"/>
            <w:shd w:val="clear" w:color="auto" w:fill="BFBFBF" w:themeFill="background1" w:themeFillShade="BF"/>
          </w:tcPr>
          <w:p w14:paraId="785F32C8" w14:textId="77777777" w:rsidR="004E2D2F" w:rsidRPr="006E4503" w:rsidRDefault="004E2D2F" w:rsidP="004E2D2F">
            <w:pPr>
              <w:rPr>
                <w:rFonts w:ascii="Arial" w:hAnsi="Arial" w:cs="Arial"/>
                <w:b/>
                <w:sz w:val="20"/>
                <w:szCs w:val="20"/>
              </w:rPr>
            </w:pPr>
          </w:p>
        </w:tc>
        <w:tc>
          <w:tcPr>
            <w:tcW w:w="2858" w:type="dxa"/>
            <w:shd w:val="clear" w:color="auto" w:fill="BFBFBF" w:themeFill="background1" w:themeFillShade="BF"/>
          </w:tcPr>
          <w:p w14:paraId="772C215B" w14:textId="77777777" w:rsidR="004E2D2F" w:rsidRPr="006E4503" w:rsidRDefault="004E2D2F" w:rsidP="004E2D2F">
            <w:pPr>
              <w:rPr>
                <w:rFonts w:ascii="Arial" w:hAnsi="Arial" w:cs="Arial"/>
                <w:b/>
                <w:sz w:val="20"/>
                <w:szCs w:val="20"/>
              </w:rPr>
            </w:pPr>
          </w:p>
        </w:tc>
        <w:tc>
          <w:tcPr>
            <w:tcW w:w="992" w:type="dxa"/>
            <w:shd w:val="clear" w:color="auto" w:fill="BFBFBF" w:themeFill="background1" w:themeFillShade="BF"/>
          </w:tcPr>
          <w:p w14:paraId="7308A641" w14:textId="77777777" w:rsidR="004E2D2F" w:rsidRPr="006E4503" w:rsidRDefault="004E2D2F" w:rsidP="004E2D2F">
            <w:pPr>
              <w:jc w:val="center"/>
              <w:rPr>
                <w:rFonts w:ascii="Arial" w:hAnsi="Arial" w:cs="Arial"/>
                <w:sz w:val="20"/>
                <w:szCs w:val="20"/>
              </w:rPr>
            </w:pPr>
          </w:p>
        </w:tc>
        <w:tc>
          <w:tcPr>
            <w:tcW w:w="850" w:type="dxa"/>
            <w:shd w:val="clear" w:color="auto" w:fill="BFBFBF" w:themeFill="background1" w:themeFillShade="BF"/>
          </w:tcPr>
          <w:p w14:paraId="2DDEF1BE" w14:textId="77777777" w:rsidR="004E2D2F" w:rsidRPr="006E4503" w:rsidRDefault="004E2D2F" w:rsidP="004E2D2F">
            <w:pPr>
              <w:jc w:val="center"/>
              <w:rPr>
                <w:rFonts w:ascii="Arial" w:hAnsi="Arial" w:cs="Arial"/>
                <w:sz w:val="20"/>
                <w:szCs w:val="20"/>
              </w:rPr>
            </w:pPr>
          </w:p>
        </w:tc>
        <w:tc>
          <w:tcPr>
            <w:tcW w:w="851" w:type="dxa"/>
            <w:shd w:val="clear" w:color="auto" w:fill="BFBFBF" w:themeFill="background1" w:themeFillShade="BF"/>
          </w:tcPr>
          <w:p w14:paraId="5CECCFAD" w14:textId="77777777" w:rsidR="004E2D2F" w:rsidRPr="006E4503" w:rsidRDefault="004E2D2F" w:rsidP="004E2D2F">
            <w:pPr>
              <w:jc w:val="center"/>
              <w:rPr>
                <w:rFonts w:ascii="Arial" w:hAnsi="Arial" w:cs="Arial"/>
                <w:sz w:val="20"/>
                <w:szCs w:val="20"/>
              </w:rPr>
            </w:pPr>
          </w:p>
        </w:tc>
        <w:tc>
          <w:tcPr>
            <w:tcW w:w="850" w:type="dxa"/>
            <w:shd w:val="clear" w:color="auto" w:fill="BFBFBF" w:themeFill="background1" w:themeFillShade="BF"/>
          </w:tcPr>
          <w:p w14:paraId="03E80EE5" w14:textId="77777777" w:rsidR="004E2D2F" w:rsidRPr="006E4503" w:rsidRDefault="004E2D2F" w:rsidP="004E2D2F">
            <w:pPr>
              <w:jc w:val="center"/>
              <w:rPr>
                <w:rFonts w:ascii="Arial" w:hAnsi="Arial" w:cs="Arial"/>
                <w:sz w:val="20"/>
                <w:szCs w:val="20"/>
              </w:rPr>
            </w:pPr>
          </w:p>
        </w:tc>
        <w:tc>
          <w:tcPr>
            <w:tcW w:w="993" w:type="dxa"/>
            <w:shd w:val="clear" w:color="auto" w:fill="BFBFBF" w:themeFill="background1" w:themeFillShade="BF"/>
          </w:tcPr>
          <w:p w14:paraId="78902202" w14:textId="77777777" w:rsidR="004E2D2F" w:rsidRPr="006E4503" w:rsidRDefault="004E2D2F" w:rsidP="004E2D2F">
            <w:pPr>
              <w:jc w:val="center"/>
              <w:rPr>
                <w:rFonts w:ascii="Arial" w:hAnsi="Arial" w:cs="Arial"/>
                <w:sz w:val="20"/>
                <w:szCs w:val="20"/>
              </w:rPr>
            </w:pPr>
          </w:p>
        </w:tc>
        <w:tc>
          <w:tcPr>
            <w:tcW w:w="992" w:type="dxa"/>
            <w:shd w:val="clear" w:color="auto" w:fill="BFBFBF" w:themeFill="background1" w:themeFillShade="BF"/>
          </w:tcPr>
          <w:p w14:paraId="4C75971E" w14:textId="77777777" w:rsidR="004E2D2F" w:rsidRPr="006E4503" w:rsidRDefault="004E2D2F" w:rsidP="004E2D2F">
            <w:pPr>
              <w:jc w:val="center"/>
              <w:rPr>
                <w:rFonts w:ascii="Arial" w:hAnsi="Arial" w:cs="Arial"/>
                <w:sz w:val="20"/>
                <w:szCs w:val="20"/>
              </w:rPr>
            </w:pPr>
          </w:p>
        </w:tc>
        <w:tc>
          <w:tcPr>
            <w:tcW w:w="850" w:type="dxa"/>
            <w:shd w:val="clear" w:color="auto" w:fill="BFBFBF" w:themeFill="background1" w:themeFillShade="BF"/>
          </w:tcPr>
          <w:p w14:paraId="5633456B" w14:textId="77777777" w:rsidR="004E2D2F" w:rsidRPr="006E4503" w:rsidRDefault="004E2D2F" w:rsidP="004E2D2F">
            <w:pPr>
              <w:jc w:val="center"/>
              <w:rPr>
                <w:rFonts w:ascii="Arial" w:hAnsi="Arial" w:cs="Arial"/>
                <w:sz w:val="20"/>
                <w:szCs w:val="20"/>
              </w:rPr>
            </w:pPr>
          </w:p>
        </w:tc>
      </w:tr>
      <w:tr w:rsidR="004E2D2F" w:rsidRPr="006E4503" w14:paraId="72287B8A" w14:textId="77777777" w:rsidTr="004E2D2F">
        <w:tc>
          <w:tcPr>
            <w:tcW w:w="1963" w:type="dxa"/>
          </w:tcPr>
          <w:p w14:paraId="45275377" w14:textId="77777777" w:rsidR="004E2D2F" w:rsidRPr="006E4503" w:rsidRDefault="004E2D2F" w:rsidP="004E2D2F">
            <w:pPr>
              <w:rPr>
                <w:rFonts w:ascii="Arial" w:hAnsi="Arial" w:cs="Arial"/>
                <w:b/>
                <w:sz w:val="20"/>
                <w:szCs w:val="20"/>
              </w:rPr>
            </w:pPr>
            <w:r w:rsidRPr="006E4503">
              <w:rPr>
                <w:rFonts w:ascii="Arial" w:hAnsi="Arial" w:cs="Arial"/>
                <w:b/>
                <w:sz w:val="20"/>
                <w:szCs w:val="20"/>
              </w:rPr>
              <w:t>Non-voting Members</w:t>
            </w:r>
          </w:p>
        </w:tc>
        <w:tc>
          <w:tcPr>
            <w:tcW w:w="2858" w:type="dxa"/>
          </w:tcPr>
          <w:p w14:paraId="10B9D626" w14:textId="77777777" w:rsidR="004E2D2F" w:rsidRPr="006E4503" w:rsidRDefault="004E2D2F" w:rsidP="004E2D2F">
            <w:pPr>
              <w:rPr>
                <w:rFonts w:ascii="Arial" w:hAnsi="Arial" w:cs="Arial"/>
                <w:b/>
                <w:sz w:val="20"/>
                <w:szCs w:val="20"/>
              </w:rPr>
            </w:pPr>
          </w:p>
        </w:tc>
        <w:tc>
          <w:tcPr>
            <w:tcW w:w="992" w:type="dxa"/>
          </w:tcPr>
          <w:p w14:paraId="44592215" w14:textId="77777777" w:rsidR="004E2D2F" w:rsidRPr="006E4503" w:rsidRDefault="004E2D2F" w:rsidP="004E2D2F">
            <w:pPr>
              <w:jc w:val="center"/>
              <w:rPr>
                <w:rFonts w:ascii="Arial" w:hAnsi="Arial" w:cs="Arial"/>
                <w:sz w:val="20"/>
                <w:szCs w:val="20"/>
              </w:rPr>
            </w:pPr>
          </w:p>
        </w:tc>
        <w:tc>
          <w:tcPr>
            <w:tcW w:w="850" w:type="dxa"/>
          </w:tcPr>
          <w:p w14:paraId="2A7D54E6" w14:textId="77777777" w:rsidR="004E2D2F" w:rsidRPr="006E4503" w:rsidRDefault="004E2D2F" w:rsidP="004E2D2F">
            <w:pPr>
              <w:jc w:val="center"/>
              <w:rPr>
                <w:rFonts w:ascii="Arial" w:hAnsi="Arial" w:cs="Arial"/>
                <w:sz w:val="20"/>
                <w:szCs w:val="20"/>
              </w:rPr>
            </w:pPr>
          </w:p>
        </w:tc>
        <w:tc>
          <w:tcPr>
            <w:tcW w:w="851" w:type="dxa"/>
          </w:tcPr>
          <w:p w14:paraId="252ECA28" w14:textId="77777777" w:rsidR="004E2D2F" w:rsidRPr="006E4503" w:rsidRDefault="004E2D2F" w:rsidP="004E2D2F">
            <w:pPr>
              <w:jc w:val="center"/>
              <w:rPr>
                <w:rFonts w:ascii="Arial" w:hAnsi="Arial" w:cs="Arial"/>
                <w:sz w:val="20"/>
                <w:szCs w:val="20"/>
              </w:rPr>
            </w:pPr>
          </w:p>
        </w:tc>
        <w:tc>
          <w:tcPr>
            <w:tcW w:w="850" w:type="dxa"/>
          </w:tcPr>
          <w:p w14:paraId="0F0E28C4" w14:textId="77777777" w:rsidR="004E2D2F" w:rsidRPr="006E4503" w:rsidRDefault="004E2D2F" w:rsidP="004E2D2F">
            <w:pPr>
              <w:jc w:val="center"/>
              <w:rPr>
                <w:rFonts w:ascii="Arial" w:hAnsi="Arial" w:cs="Arial"/>
                <w:sz w:val="20"/>
                <w:szCs w:val="20"/>
              </w:rPr>
            </w:pPr>
          </w:p>
        </w:tc>
        <w:tc>
          <w:tcPr>
            <w:tcW w:w="993" w:type="dxa"/>
          </w:tcPr>
          <w:p w14:paraId="2D3E9E94" w14:textId="77777777" w:rsidR="004E2D2F" w:rsidRPr="006E4503" w:rsidRDefault="004E2D2F" w:rsidP="004E2D2F">
            <w:pPr>
              <w:jc w:val="center"/>
              <w:rPr>
                <w:rFonts w:ascii="Arial" w:hAnsi="Arial" w:cs="Arial"/>
                <w:sz w:val="20"/>
                <w:szCs w:val="20"/>
              </w:rPr>
            </w:pPr>
          </w:p>
        </w:tc>
        <w:tc>
          <w:tcPr>
            <w:tcW w:w="992" w:type="dxa"/>
          </w:tcPr>
          <w:p w14:paraId="56565028" w14:textId="77777777" w:rsidR="004E2D2F" w:rsidRPr="006E4503" w:rsidRDefault="004E2D2F" w:rsidP="004E2D2F">
            <w:pPr>
              <w:jc w:val="center"/>
              <w:rPr>
                <w:rFonts w:ascii="Arial" w:hAnsi="Arial" w:cs="Arial"/>
                <w:sz w:val="20"/>
                <w:szCs w:val="20"/>
              </w:rPr>
            </w:pPr>
          </w:p>
        </w:tc>
        <w:tc>
          <w:tcPr>
            <w:tcW w:w="850" w:type="dxa"/>
          </w:tcPr>
          <w:p w14:paraId="484DF7CE" w14:textId="77777777" w:rsidR="004E2D2F" w:rsidRPr="006E4503" w:rsidRDefault="004E2D2F" w:rsidP="004E2D2F">
            <w:pPr>
              <w:jc w:val="center"/>
              <w:rPr>
                <w:rFonts w:ascii="Arial" w:hAnsi="Arial" w:cs="Arial"/>
                <w:sz w:val="20"/>
                <w:szCs w:val="20"/>
              </w:rPr>
            </w:pPr>
          </w:p>
        </w:tc>
      </w:tr>
      <w:tr w:rsidR="004E2D2F" w:rsidRPr="006E4503" w14:paraId="0AC9D04E" w14:textId="77777777" w:rsidTr="004E2D2F">
        <w:tc>
          <w:tcPr>
            <w:tcW w:w="1963" w:type="dxa"/>
            <w:shd w:val="clear" w:color="auto" w:fill="FFFFFF" w:themeFill="background1"/>
          </w:tcPr>
          <w:p w14:paraId="161857F1" w14:textId="77777777" w:rsidR="004E2D2F" w:rsidRPr="006E4503" w:rsidRDefault="004E2D2F" w:rsidP="004E2D2F">
            <w:pPr>
              <w:rPr>
                <w:rFonts w:ascii="Arial" w:hAnsi="Arial" w:cs="Arial"/>
                <w:b/>
                <w:sz w:val="20"/>
                <w:szCs w:val="20"/>
              </w:rPr>
            </w:pPr>
            <w:r w:rsidRPr="006E4503">
              <w:rPr>
                <w:rFonts w:ascii="Arial" w:hAnsi="Arial" w:cs="Arial"/>
                <w:b/>
                <w:sz w:val="20"/>
                <w:szCs w:val="20"/>
              </w:rPr>
              <w:t>Adrian Ward</w:t>
            </w:r>
          </w:p>
        </w:tc>
        <w:tc>
          <w:tcPr>
            <w:tcW w:w="2858" w:type="dxa"/>
            <w:shd w:val="clear" w:color="auto" w:fill="FFFFFF" w:themeFill="background1"/>
          </w:tcPr>
          <w:p w14:paraId="3EF2874D" w14:textId="77777777" w:rsidR="004E2D2F" w:rsidRPr="006E4503" w:rsidRDefault="004E2D2F" w:rsidP="004E2D2F">
            <w:pPr>
              <w:rPr>
                <w:rFonts w:ascii="Arial" w:hAnsi="Arial" w:cs="Arial"/>
                <w:b/>
                <w:sz w:val="20"/>
                <w:szCs w:val="20"/>
              </w:rPr>
            </w:pPr>
            <w:r w:rsidRPr="006E4503">
              <w:rPr>
                <w:rFonts w:ascii="Arial" w:hAnsi="Arial" w:cs="Arial"/>
                <w:b/>
                <w:sz w:val="20"/>
                <w:szCs w:val="20"/>
              </w:rPr>
              <w:t xml:space="preserve">Non-Executive Director </w:t>
            </w:r>
          </w:p>
          <w:p w14:paraId="793D6B23" w14:textId="77777777" w:rsidR="004E2D2F" w:rsidRPr="006E4503" w:rsidRDefault="004E2D2F" w:rsidP="004E2D2F">
            <w:pPr>
              <w:rPr>
                <w:rFonts w:ascii="Arial" w:hAnsi="Arial" w:cs="Arial"/>
                <w:sz w:val="20"/>
                <w:szCs w:val="20"/>
              </w:rPr>
            </w:pPr>
            <w:r w:rsidRPr="006E4503">
              <w:rPr>
                <w:rFonts w:ascii="Arial" w:hAnsi="Arial" w:cs="Arial"/>
                <w:sz w:val="20"/>
                <w:szCs w:val="20"/>
              </w:rPr>
              <w:t>(until 31.07.24)</w:t>
            </w:r>
          </w:p>
        </w:tc>
        <w:tc>
          <w:tcPr>
            <w:tcW w:w="992" w:type="dxa"/>
          </w:tcPr>
          <w:p w14:paraId="44441992"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0 of 2</w:t>
            </w:r>
          </w:p>
        </w:tc>
        <w:tc>
          <w:tcPr>
            <w:tcW w:w="850" w:type="dxa"/>
          </w:tcPr>
          <w:p w14:paraId="0395D99F"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0 of 2</w:t>
            </w:r>
          </w:p>
        </w:tc>
        <w:tc>
          <w:tcPr>
            <w:tcW w:w="851" w:type="dxa"/>
          </w:tcPr>
          <w:p w14:paraId="26CA6B9A"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1 of 1</w:t>
            </w:r>
          </w:p>
        </w:tc>
        <w:tc>
          <w:tcPr>
            <w:tcW w:w="850" w:type="dxa"/>
          </w:tcPr>
          <w:p w14:paraId="3E8EA752"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2 of 3</w:t>
            </w:r>
          </w:p>
        </w:tc>
        <w:tc>
          <w:tcPr>
            <w:tcW w:w="993" w:type="dxa"/>
            <w:shd w:val="clear" w:color="auto" w:fill="BFBFBF" w:themeFill="background1" w:themeFillShade="BF"/>
          </w:tcPr>
          <w:p w14:paraId="01B5CD5C" w14:textId="77777777" w:rsidR="004E2D2F" w:rsidRPr="006E4503" w:rsidRDefault="004E2D2F" w:rsidP="004E2D2F">
            <w:pPr>
              <w:jc w:val="center"/>
              <w:rPr>
                <w:rFonts w:ascii="Arial" w:hAnsi="Arial" w:cs="Arial"/>
                <w:sz w:val="20"/>
                <w:szCs w:val="20"/>
              </w:rPr>
            </w:pPr>
          </w:p>
        </w:tc>
        <w:tc>
          <w:tcPr>
            <w:tcW w:w="992" w:type="dxa"/>
          </w:tcPr>
          <w:p w14:paraId="3693EA5C"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4 of 4</w:t>
            </w:r>
          </w:p>
        </w:tc>
        <w:tc>
          <w:tcPr>
            <w:tcW w:w="850" w:type="dxa"/>
          </w:tcPr>
          <w:p w14:paraId="63929E25"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2 of 2</w:t>
            </w:r>
          </w:p>
        </w:tc>
      </w:tr>
      <w:tr w:rsidR="004E2D2F" w:rsidRPr="006E4503" w14:paraId="59F274FF" w14:textId="77777777" w:rsidTr="004E2D2F">
        <w:tc>
          <w:tcPr>
            <w:tcW w:w="1963" w:type="dxa"/>
            <w:shd w:val="clear" w:color="auto" w:fill="FFFFFF" w:themeFill="background1"/>
          </w:tcPr>
          <w:p w14:paraId="7B48F229" w14:textId="77777777" w:rsidR="004E2D2F" w:rsidRPr="006E4503" w:rsidRDefault="004E2D2F" w:rsidP="004E2D2F">
            <w:pPr>
              <w:rPr>
                <w:rFonts w:ascii="Arial" w:hAnsi="Arial" w:cs="Arial"/>
                <w:b/>
                <w:sz w:val="20"/>
                <w:szCs w:val="20"/>
              </w:rPr>
            </w:pPr>
            <w:r w:rsidRPr="006E4503">
              <w:rPr>
                <w:rFonts w:ascii="Arial" w:hAnsi="Arial" w:cs="Arial"/>
                <w:b/>
                <w:sz w:val="20"/>
                <w:szCs w:val="20"/>
              </w:rPr>
              <w:t>Chris Burton</w:t>
            </w:r>
          </w:p>
        </w:tc>
        <w:tc>
          <w:tcPr>
            <w:tcW w:w="2858" w:type="dxa"/>
            <w:shd w:val="clear" w:color="auto" w:fill="FFFFFF" w:themeFill="background1"/>
          </w:tcPr>
          <w:p w14:paraId="387F0715" w14:textId="77777777" w:rsidR="004E2D2F" w:rsidRPr="006E4503" w:rsidRDefault="004E2D2F" w:rsidP="004E2D2F">
            <w:pPr>
              <w:rPr>
                <w:rFonts w:ascii="Arial" w:hAnsi="Arial" w:cs="Arial"/>
                <w:b/>
                <w:sz w:val="20"/>
                <w:szCs w:val="20"/>
              </w:rPr>
            </w:pPr>
            <w:r w:rsidRPr="006E4503">
              <w:rPr>
                <w:rFonts w:ascii="Arial" w:hAnsi="Arial" w:cs="Arial"/>
                <w:b/>
                <w:sz w:val="20"/>
                <w:szCs w:val="20"/>
              </w:rPr>
              <w:t xml:space="preserve">Academic Non-Executive Director </w:t>
            </w:r>
            <w:r w:rsidRPr="006E4503">
              <w:rPr>
                <w:rFonts w:ascii="Arial" w:hAnsi="Arial" w:cs="Arial"/>
                <w:sz w:val="20"/>
                <w:szCs w:val="20"/>
              </w:rPr>
              <w:t>(until 31.07.24)</w:t>
            </w:r>
          </w:p>
        </w:tc>
        <w:tc>
          <w:tcPr>
            <w:tcW w:w="992" w:type="dxa"/>
          </w:tcPr>
          <w:p w14:paraId="7C3F7197"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1 of 1</w:t>
            </w:r>
          </w:p>
        </w:tc>
        <w:tc>
          <w:tcPr>
            <w:tcW w:w="850" w:type="dxa"/>
          </w:tcPr>
          <w:p w14:paraId="28F59A34"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1 of 1</w:t>
            </w:r>
          </w:p>
        </w:tc>
        <w:tc>
          <w:tcPr>
            <w:tcW w:w="851" w:type="dxa"/>
          </w:tcPr>
          <w:p w14:paraId="7129898A"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1 of 1</w:t>
            </w:r>
          </w:p>
        </w:tc>
        <w:tc>
          <w:tcPr>
            <w:tcW w:w="850" w:type="dxa"/>
            <w:shd w:val="clear" w:color="auto" w:fill="BFBFBF" w:themeFill="background1" w:themeFillShade="BF"/>
          </w:tcPr>
          <w:p w14:paraId="618E6C5D" w14:textId="77777777" w:rsidR="004E2D2F" w:rsidRPr="006E4503" w:rsidRDefault="004E2D2F" w:rsidP="004E2D2F">
            <w:pPr>
              <w:jc w:val="center"/>
              <w:rPr>
                <w:rFonts w:ascii="Arial" w:hAnsi="Arial" w:cs="Arial"/>
                <w:sz w:val="20"/>
                <w:szCs w:val="20"/>
              </w:rPr>
            </w:pPr>
          </w:p>
        </w:tc>
        <w:tc>
          <w:tcPr>
            <w:tcW w:w="993" w:type="dxa"/>
            <w:shd w:val="clear" w:color="auto" w:fill="BFBFBF" w:themeFill="background1" w:themeFillShade="BF"/>
          </w:tcPr>
          <w:p w14:paraId="2FE02818" w14:textId="77777777" w:rsidR="004E2D2F" w:rsidRPr="006E4503" w:rsidRDefault="004E2D2F" w:rsidP="004E2D2F">
            <w:pPr>
              <w:jc w:val="center"/>
              <w:rPr>
                <w:rFonts w:ascii="Arial" w:hAnsi="Arial" w:cs="Arial"/>
                <w:sz w:val="20"/>
                <w:szCs w:val="20"/>
              </w:rPr>
            </w:pPr>
          </w:p>
        </w:tc>
        <w:tc>
          <w:tcPr>
            <w:tcW w:w="992" w:type="dxa"/>
            <w:shd w:val="clear" w:color="auto" w:fill="BFBFBF" w:themeFill="background1" w:themeFillShade="BF"/>
          </w:tcPr>
          <w:p w14:paraId="456EE14F" w14:textId="77777777" w:rsidR="004E2D2F" w:rsidRPr="006E4503" w:rsidRDefault="004E2D2F" w:rsidP="004E2D2F">
            <w:pPr>
              <w:jc w:val="center"/>
              <w:rPr>
                <w:rFonts w:ascii="Arial" w:hAnsi="Arial" w:cs="Arial"/>
                <w:sz w:val="20"/>
                <w:szCs w:val="20"/>
              </w:rPr>
            </w:pPr>
          </w:p>
        </w:tc>
        <w:tc>
          <w:tcPr>
            <w:tcW w:w="850" w:type="dxa"/>
            <w:shd w:val="clear" w:color="auto" w:fill="BFBFBF" w:themeFill="background1" w:themeFillShade="BF"/>
          </w:tcPr>
          <w:p w14:paraId="49C65D34" w14:textId="77777777" w:rsidR="004E2D2F" w:rsidRPr="006E4503" w:rsidRDefault="004E2D2F" w:rsidP="004E2D2F">
            <w:pPr>
              <w:jc w:val="center"/>
              <w:rPr>
                <w:rFonts w:ascii="Arial" w:hAnsi="Arial" w:cs="Arial"/>
                <w:sz w:val="20"/>
                <w:szCs w:val="20"/>
              </w:rPr>
            </w:pPr>
          </w:p>
        </w:tc>
      </w:tr>
      <w:tr w:rsidR="004E2D2F" w:rsidRPr="006E4503" w14:paraId="0DB78723" w14:textId="77777777" w:rsidTr="004E2D2F">
        <w:tc>
          <w:tcPr>
            <w:tcW w:w="1963" w:type="dxa"/>
            <w:shd w:val="clear" w:color="auto" w:fill="FFFFFF" w:themeFill="background1"/>
          </w:tcPr>
          <w:p w14:paraId="457F4410" w14:textId="77777777" w:rsidR="004E2D2F" w:rsidRPr="006E4503" w:rsidRDefault="004E2D2F" w:rsidP="004E2D2F">
            <w:pPr>
              <w:rPr>
                <w:rFonts w:ascii="Arial" w:hAnsi="Arial" w:cs="Arial"/>
                <w:b/>
                <w:sz w:val="20"/>
                <w:szCs w:val="20"/>
              </w:rPr>
            </w:pPr>
            <w:r w:rsidRPr="006E4503">
              <w:rPr>
                <w:rFonts w:ascii="Arial" w:hAnsi="Arial" w:cs="Arial"/>
                <w:b/>
                <w:sz w:val="20"/>
                <w:szCs w:val="20"/>
              </w:rPr>
              <w:t>Jane Perry</w:t>
            </w:r>
          </w:p>
        </w:tc>
        <w:tc>
          <w:tcPr>
            <w:tcW w:w="2858" w:type="dxa"/>
            <w:shd w:val="clear" w:color="auto" w:fill="FFFFFF" w:themeFill="background1"/>
          </w:tcPr>
          <w:p w14:paraId="3E62E318" w14:textId="77777777" w:rsidR="004E2D2F" w:rsidRPr="006E4503" w:rsidRDefault="004E2D2F" w:rsidP="004E2D2F">
            <w:pPr>
              <w:rPr>
                <w:rFonts w:ascii="Arial" w:hAnsi="Arial" w:cs="Arial"/>
                <w:b/>
                <w:sz w:val="20"/>
                <w:szCs w:val="20"/>
              </w:rPr>
            </w:pPr>
            <w:r w:rsidRPr="006E4503">
              <w:rPr>
                <w:rFonts w:ascii="Arial" w:hAnsi="Arial" w:cs="Arial"/>
                <w:b/>
                <w:sz w:val="20"/>
                <w:szCs w:val="20"/>
              </w:rPr>
              <w:t xml:space="preserve">Academic Non-Executive Director </w:t>
            </w:r>
            <w:r w:rsidRPr="006E4503">
              <w:rPr>
                <w:rFonts w:ascii="Arial" w:hAnsi="Arial" w:cs="Arial"/>
                <w:sz w:val="20"/>
                <w:szCs w:val="20"/>
              </w:rPr>
              <w:t>(from 01.11.24)</w:t>
            </w:r>
          </w:p>
        </w:tc>
        <w:tc>
          <w:tcPr>
            <w:tcW w:w="992" w:type="dxa"/>
          </w:tcPr>
          <w:p w14:paraId="72AEDBEB"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3 of 5</w:t>
            </w:r>
          </w:p>
        </w:tc>
        <w:tc>
          <w:tcPr>
            <w:tcW w:w="850" w:type="dxa"/>
          </w:tcPr>
          <w:p w14:paraId="3937BC29"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2 of 3</w:t>
            </w:r>
          </w:p>
        </w:tc>
        <w:tc>
          <w:tcPr>
            <w:tcW w:w="851" w:type="dxa"/>
          </w:tcPr>
          <w:p w14:paraId="2A3A390D"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0 of 2</w:t>
            </w:r>
          </w:p>
        </w:tc>
        <w:tc>
          <w:tcPr>
            <w:tcW w:w="850" w:type="dxa"/>
            <w:shd w:val="clear" w:color="auto" w:fill="BFBFBF" w:themeFill="background1" w:themeFillShade="BF"/>
          </w:tcPr>
          <w:p w14:paraId="16AB7E7E" w14:textId="77777777" w:rsidR="004E2D2F" w:rsidRPr="006E4503" w:rsidRDefault="004E2D2F" w:rsidP="004E2D2F">
            <w:pPr>
              <w:jc w:val="center"/>
              <w:rPr>
                <w:rFonts w:ascii="Arial" w:hAnsi="Arial" w:cs="Arial"/>
                <w:sz w:val="20"/>
                <w:szCs w:val="20"/>
              </w:rPr>
            </w:pPr>
          </w:p>
        </w:tc>
        <w:tc>
          <w:tcPr>
            <w:tcW w:w="993" w:type="dxa"/>
            <w:shd w:val="clear" w:color="auto" w:fill="BFBFBF" w:themeFill="background1" w:themeFillShade="BF"/>
          </w:tcPr>
          <w:p w14:paraId="4C206849" w14:textId="77777777" w:rsidR="004E2D2F" w:rsidRPr="006E4503" w:rsidRDefault="004E2D2F" w:rsidP="004E2D2F">
            <w:pPr>
              <w:jc w:val="center"/>
              <w:rPr>
                <w:rFonts w:ascii="Arial" w:hAnsi="Arial" w:cs="Arial"/>
                <w:sz w:val="20"/>
                <w:szCs w:val="20"/>
              </w:rPr>
            </w:pPr>
          </w:p>
        </w:tc>
        <w:tc>
          <w:tcPr>
            <w:tcW w:w="992" w:type="dxa"/>
            <w:shd w:val="clear" w:color="auto" w:fill="BFBFBF" w:themeFill="background1" w:themeFillShade="BF"/>
          </w:tcPr>
          <w:p w14:paraId="124DA16C" w14:textId="77777777" w:rsidR="004E2D2F" w:rsidRPr="006E4503" w:rsidRDefault="004E2D2F" w:rsidP="004E2D2F">
            <w:pPr>
              <w:jc w:val="center"/>
              <w:rPr>
                <w:rFonts w:ascii="Arial" w:hAnsi="Arial" w:cs="Arial"/>
                <w:sz w:val="20"/>
                <w:szCs w:val="20"/>
              </w:rPr>
            </w:pPr>
          </w:p>
        </w:tc>
        <w:tc>
          <w:tcPr>
            <w:tcW w:w="850" w:type="dxa"/>
            <w:shd w:val="clear" w:color="auto" w:fill="BFBFBF" w:themeFill="background1" w:themeFillShade="BF"/>
          </w:tcPr>
          <w:p w14:paraId="47366B19" w14:textId="77777777" w:rsidR="004E2D2F" w:rsidRPr="006E4503" w:rsidRDefault="004E2D2F" w:rsidP="004E2D2F">
            <w:pPr>
              <w:jc w:val="center"/>
              <w:rPr>
                <w:rFonts w:ascii="Arial" w:hAnsi="Arial" w:cs="Arial"/>
                <w:sz w:val="20"/>
                <w:szCs w:val="20"/>
              </w:rPr>
            </w:pPr>
          </w:p>
        </w:tc>
      </w:tr>
    </w:tbl>
    <w:p w14:paraId="54C7F027" w14:textId="77777777" w:rsidR="004E2D2F" w:rsidRPr="00982903" w:rsidRDefault="004E2D2F" w:rsidP="00010A15">
      <w:pPr>
        <w:rPr>
          <w:rFonts w:ascii="Arial" w:hAnsi="Arial" w:cs="Arial"/>
          <w:sz w:val="20"/>
          <w:szCs w:val="20"/>
          <w:lang w:val="en-GB"/>
        </w:rPr>
      </w:pPr>
    </w:p>
    <w:p w14:paraId="1554E8FA" w14:textId="77777777" w:rsidR="005D4BF8" w:rsidRPr="00982903" w:rsidRDefault="005D4BF8" w:rsidP="00010A15">
      <w:pPr>
        <w:rPr>
          <w:rFonts w:ascii="Arial" w:hAnsi="Arial" w:cs="Arial"/>
          <w:sz w:val="20"/>
          <w:szCs w:val="20"/>
          <w:lang w:val="en-GB"/>
        </w:rPr>
      </w:pPr>
    </w:p>
    <w:p w14:paraId="757A8C5E" w14:textId="77777777" w:rsidR="005D4BF8" w:rsidRPr="00982903" w:rsidRDefault="005D4BF8" w:rsidP="00010A15">
      <w:pPr>
        <w:rPr>
          <w:rFonts w:ascii="Arial" w:hAnsi="Arial" w:cs="Arial"/>
          <w:sz w:val="20"/>
          <w:szCs w:val="20"/>
          <w:lang w:val="en-GB"/>
        </w:rPr>
      </w:pPr>
    </w:p>
    <w:p w14:paraId="7967F246" w14:textId="77777777" w:rsidR="005D4BF8" w:rsidRPr="00982903" w:rsidRDefault="005D4BF8" w:rsidP="00010A15">
      <w:pPr>
        <w:rPr>
          <w:rFonts w:ascii="Arial" w:hAnsi="Arial" w:cs="Arial"/>
          <w:sz w:val="20"/>
          <w:szCs w:val="20"/>
          <w:lang w:val="en-GB"/>
        </w:rPr>
      </w:pPr>
    </w:p>
    <w:p w14:paraId="23C658A6" w14:textId="77777777" w:rsidR="005D4BF8" w:rsidRPr="00982903" w:rsidRDefault="005D4BF8" w:rsidP="00010A15">
      <w:pPr>
        <w:rPr>
          <w:rFonts w:ascii="Arial" w:hAnsi="Arial" w:cs="Arial"/>
          <w:sz w:val="20"/>
          <w:szCs w:val="20"/>
          <w:lang w:val="en-GB"/>
        </w:rPr>
      </w:pPr>
    </w:p>
    <w:p w14:paraId="0B439D78" w14:textId="77777777" w:rsidR="005D4BF8" w:rsidRPr="00982903" w:rsidRDefault="005D4BF8" w:rsidP="00010A15">
      <w:pPr>
        <w:rPr>
          <w:rFonts w:ascii="Arial" w:hAnsi="Arial" w:cs="Arial"/>
          <w:sz w:val="20"/>
          <w:szCs w:val="20"/>
          <w:lang w:val="en-GB"/>
        </w:rPr>
      </w:pPr>
    </w:p>
    <w:p w14:paraId="3BFCAACF" w14:textId="77777777" w:rsidR="00AE66CE" w:rsidRPr="00982903" w:rsidRDefault="00AE66CE" w:rsidP="00010A15">
      <w:pPr>
        <w:rPr>
          <w:rFonts w:ascii="Arial" w:hAnsi="Arial" w:cs="Arial"/>
          <w:sz w:val="20"/>
          <w:szCs w:val="20"/>
          <w:lang w:val="en-GB"/>
        </w:rPr>
      </w:pPr>
    </w:p>
    <w:p w14:paraId="67319319" w14:textId="77777777" w:rsidR="001F469C" w:rsidRPr="00982903" w:rsidRDefault="001F469C" w:rsidP="000C0BD6">
      <w:pPr>
        <w:rPr>
          <w:rFonts w:ascii="Arial" w:hAnsi="Arial" w:cs="Arial"/>
          <w:b/>
          <w:sz w:val="20"/>
          <w:szCs w:val="20"/>
          <w:lang w:val="en-GB"/>
        </w:rPr>
      </w:pPr>
    </w:p>
    <w:p w14:paraId="73E5265B" w14:textId="77777777" w:rsidR="000C0BD6" w:rsidRPr="004030DB" w:rsidRDefault="00010A15" w:rsidP="00AD5544">
      <w:pPr>
        <w:jc w:val="both"/>
        <w:rPr>
          <w:rFonts w:ascii="Arial" w:hAnsi="Arial" w:cs="Arial"/>
          <w:b/>
          <w:color w:val="FF0000"/>
          <w:sz w:val="20"/>
          <w:szCs w:val="20"/>
          <w:lang w:val="en-GB"/>
        </w:rPr>
      </w:pPr>
      <w:r w:rsidRPr="004030DB">
        <w:rPr>
          <w:rFonts w:ascii="Arial" w:hAnsi="Arial" w:cs="Arial"/>
          <w:b/>
          <w:sz w:val="20"/>
          <w:szCs w:val="20"/>
          <w:lang w:val="en-GB"/>
        </w:rPr>
        <w:lastRenderedPageBreak/>
        <w:t xml:space="preserve">Audit </w:t>
      </w:r>
      <w:r w:rsidR="00141FFE" w:rsidRPr="004030DB">
        <w:rPr>
          <w:rFonts w:ascii="Arial" w:hAnsi="Arial" w:cs="Arial"/>
          <w:b/>
          <w:sz w:val="20"/>
          <w:szCs w:val="20"/>
          <w:lang w:val="en-GB"/>
        </w:rPr>
        <w:t>and</w:t>
      </w:r>
      <w:r w:rsidRPr="004030DB">
        <w:rPr>
          <w:rFonts w:ascii="Arial" w:hAnsi="Arial" w:cs="Arial"/>
          <w:b/>
          <w:sz w:val="20"/>
          <w:szCs w:val="20"/>
          <w:lang w:val="en-GB"/>
        </w:rPr>
        <w:t xml:space="preserve"> Risk Committee Report</w:t>
      </w:r>
      <w:r w:rsidR="000C0BD6" w:rsidRPr="004030DB">
        <w:rPr>
          <w:rFonts w:ascii="Arial" w:hAnsi="Arial" w:cs="Arial"/>
          <w:b/>
          <w:sz w:val="20"/>
          <w:szCs w:val="20"/>
          <w:lang w:val="en-GB"/>
        </w:rPr>
        <w:t xml:space="preserve"> </w:t>
      </w:r>
    </w:p>
    <w:p w14:paraId="38FD7010" w14:textId="77777777" w:rsidR="0045689C" w:rsidRPr="004030DB" w:rsidRDefault="00010A15" w:rsidP="00AD5544">
      <w:pPr>
        <w:jc w:val="both"/>
        <w:rPr>
          <w:rFonts w:ascii="Arial" w:hAnsi="Arial" w:cs="Arial"/>
          <w:sz w:val="20"/>
          <w:szCs w:val="20"/>
          <w:lang w:val="en-GB"/>
        </w:rPr>
      </w:pPr>
      <w:r w:rsidRPr="004030DB">
        <w:rPr>
          <w:rFonts w:ascii="Arial" w:hAnsi="Arial" w:cs="Arial"/>
          <w:sz w:val="20"/>
          <w:szCs w:val="20"/>
          <w:lang w:val="en-GB"/>
        </w:rPr>
        <w:t xml:space="preserve">The Audit </w:t>
      </w:r>
      <w:r w:rsidR="00BD036B" w:rsidRPr="004030DB">
        <w:rPr>
          <w:rFonts w:ascii="Arial" w:hAnsi="Arial" w:cs="Arial"/>
          <w:sz w:val="20"/>
          <w:szCs w:val="20"/>
          <w:lang w:val="en-GB"/>
        </w:rPr>
        <w:t>and</w:t>
      </w:r>
      <w:r w:rsidRPr="004030DB">
        <w:rPr>
          <w:rFonts w:ascii="Arial" w:hAnsi="Arial" w:cs="Arial"/>
          <w:sz w:val="20"/>
          <w:szCs w:val="20"/>
          <w:lang w:val="en-GB"/>
        </w:rPr>
        <w:t xml:space="preserve"> Risk </w:t>
      </w:r>
      <w:r w:rsidR="004F6B27" w:rsidRPr="004030DB">
        <w:rPr>
          <w:rFonts w:ascii="Arial" w:hAnsi="Arial" w:cs="Arial"/>
          <w:sz w:val="20"/>
          <w:szCs w:val="20"/>
          <w:lang w:val="en-GB"/>
        </w:rPr>
        <w:t>Committee’s responsibilities</w:t>
      </w:r>
      <w:r w:rsidRPr="004030DB">
        <w:rPr>
          <w:rFonts w:ascii="Arial" w:hAnsi="Arial" w:cs="Arial"/>
          <w:sz w:val="20"/>
          <w:szCs w:val="20"/>
          <w:lang w:val="en-GB"/>
        </w:rPr>
        <w:t xml:space="preserve"> and key areas discussed during 202</w:t>
      </w:r>
      <w:r w:rsidR="000E5B6E" w:rsidRPr="004030DB">
        <w:rPr>
          <w:rFonts w:ascii="Arial" w:hAnsi="Arial" w:cs="Arial"/>
          <w:sz w:val="20"/>
          <w:szCs w:val="20"/>
          <w:lang w:val="en-GB"/>
        </w:rPr>
        <w:t>4</w:t>
      </w:r>
      <w:r w:rsidR="006C06AA" w:rsidRPr="004030DB">
        <w:rPr>
          <w:rFonts w:ascii="Arial" w:hAnsi="Arial" w:cs="Arial"/>
          <w:sz w:val="20"/>
          <w:szCs w:val="20"/>
          <w:lang w:val="en-GB"/>
        </w:rPr>
        <w:t>/2</w:t>
      </w:r>
      <w:r w:rsidR="000E5B6E" w:rsidRPr="004030DB">
        <w:rPr>
          <w:rFonts w:ascii="Arial" w:hAnsi="Arial" w:cs="Arial"/>
          <w:sz w:val="20"/>
          <w:szCs w:val="20"/>
          <w:lang w:val="en-GB"/>
        </w:rPr>
        <w:t>5</w:t>
      </w:r>
      <w:r w:rsidRPr="004030DB">
        <w:rPr>
          <w:rFonts w:ascii="Arial" w:hAnsi="Arial" w:cs="Arial"/>
          <w:sz w:val="20"/>
          <w:szCs w:val="20"/>
          <w:lang w:val="en-GB"/>
        </w:rPr>
        <w:t>, whil</w:t>
      </w:r>
      <w:r w:rsidR="00BD036B" w:rsidRPr="004030DB">
        <w:rPr>
          <w:rFonts w:ascii="Arial" w:hAnsi="Arial" w:cs="Arial"/>
          <w:sz w:val="20"/>
          <w:szCs w:val="20"/>
          <w:lang w:val="en-GB"/>
        </w:rPr>
        <w:t>e</w:t>
      </w:r>
      <w:r w:rsidRPr="004030DB">
        <w:rPr>
          <w:rFonts w:ascii="Arial" w:hAnsi="Arial" w:cs="Arial"/>
          <w:sz w:val="20"/>
          <w:szCs w:val="20"/>
          <w:lang w:val="en-GB"/>
        </w:rPr>
        <w:t xml:space="preserve"> fulfilling these responsibilities, described below:</w:t>
      </w:r>
    </w:p>
    <w:p w14:paraId="6DC0EB27" w14:textId="77777777" w:rsidR="001F469C" w:rsidRPr="004030DB" w:rsidRDefault="001F469C" w:rsidP="00AD5544">
      <w:pPr>
        <w:jc w:val="both"/>
        <w:rPr>
          <w:rFonts w:ascii="Arial" w:hAnsi="Arial" w:cs="Arial"/>
          <w:sz w:val="20"/>
          <w:szCs w:val="20"/>
          <w:lang w:val="en-GB"/>
        </w:rPr>
      </w:pPr>
    </w:p>
    <w:p w14:paraId="1D0A331A" w14:textId="77777777" w:rsidR="00A818CA" w:rsidRPr="004030DB" w:rsidRDefault="0045689C" w:rsidP="00AD5544">
      <w:pPr>
        <w:jc w:val="both"/>
        <w:rPr>
          <w:rFonts w:ascii="Arial" w:hAnsi="Arial" w:cs="Arial"/>
          <w:b/>
          <w:sz w:val="20"/>
          <w:szCs w:val="20"/>
          <w:lang w:val="en-GB"/>
        </w:rPr>
      </w:pPr>
      <w:r w:rsidRPr="004030DB">
        <w:rPr>
          <w:rFonts w:ascii="Arial" w:hAnsi="Arial" w:cs="Arial"/>
          <w:b/>
          <w:sz w:val="20"/>
          <w:szCs w:val="20"/>
          <w:lang w:val="en-GB"/>
        </w:rPr>
        <w:t>PRINCIPLES OF RESPONSIBILITY</w:t>
      </w:r>
    </w:p>
    <w:p w14:paraId="2B5730B5" w14:textId="77777777" w:rsidR="00A818CA" w:rsidRPr="004030DB" w:rsidRDefault="0045689C" w:rsidP="00AD5544">
      <w:pPr>
        <w:jc w:val="both"/>
        <w:rPr>
          <w:rFonts w:ascii="Arial" w:hAnsi="Arial" w:cs="Arial"/>
          <w:sz w:val="20"/>
          <w:szCs w:val="20"/>
          <w:u w:val="single"/>
          <w:lang w:val="en-GB"/>
        </w:rPr>
      </w:pPr>
      <w:r w:rsidRPr="004030DB">
        <w:rPr>
          <w:rFonts w:ascii="Arial" w:hAnsi="Arial" w:cs="Arial"/>
          <w:sz w:val="20"/>
          <w:szCs w:val="20"/>
          <w:u w:val="single"/>
          <w:lang w:val="en-GB"/>
        </w:rPr>
        <w:t>Review of the Trusts Risk Management Processes</w:t>
      </w:r>
    </w:p>
    <w:p w14:paraId="4AF45570" w14:textId="77777777" w:rsidR="00A818CA" w:rsidRPr="004030DB" w:rsidRDefault="00A818CA" w:rsidP="00E00F90">
      <w:pPr>
        <w:pStyle w:val="ListParagraph"/>
        <w:numPr>
          <w:ilvl w:val="0"/>
          <w:numId w:val="11"/>
        </w:numPr>
        <w:ind w:left="360"/>
        <w:jc w:val="both"/>
        <w:rPr>
          <w:rFonts w:ascii="Arial" w:hAnsi="Arial" w:cs="Arial"/>
          <w:sz w:val="20"/>
          <w:szCs w:val="20"/>
          <w:lang w:val="en-GB"/>
        </w:rPr>
      </w:pPr>
      <w:r w:rsidRPr="004030DB">
        <w:rPr>
          <w:rFonts w:ascii="Arial" w:hAnsi="Arial" w:cs="Arial"/>
          <w:sz w:val="20"/>
          <w:szCs w:val="20"/>
          <w:lang w:val="en-GB"/>
        </w:rPr>
        <w:t>Reviewing the Trust’s internal financial controls, its compliance with national guidance for foundation trusts, including the Code of Governance, and the effectiveness of its internal control and risk management systems.</w:t>
      </w:r>
    </w:p>
    <w:p w14:paraId="1A7E80AF" w14:textId="77777777" w:rsidR="00A818CA" w:rsidRPr="004030DB" w:rsidRDefault="00A818CA" w:rsidP="00E00F90">
      <w:pPr>
        <w:pStyle w:val="ListParagraph"/>
        <w:numPr>
          <w:ilvl w:val="0"/>
          <w:numId w:val="11"/>
        </w:numPr>
        <w:ind w:left="360"/>
        <w:jc w:val="both"/>
        <w:rPr>
          <w:rFonts w:ascii="Arial" w:hAnsi="Arial" w:cs="Arial"/>
          <w:sz w:val="20"/>
          <w:szCs w:val="20"/>
          <w:lang w:val="en-GB"/>
        </w:rPr>
      </w:pPr>
      <w:r w:rsidRPr="004030DB">
        <w:rPr>
          <w:rFonts w:ascii="Arial" w:hAnsi="Arial" w:cs="Arial"/>
          <w:sz w:val="20"/>
          <w:szCs w:val="20"/>
          <w:lang w:val="en-GB"/>
        </w:rPr>
        <w:t>Reviewing the principal non-clinical risks and uncertainties of the business and associated annual report risk management disclosures.</w:t>
      </w:r>
      <w:r w:rsidR="000E5B6E" w:rsidRPr="004030DB">
        <w:rPr>
          <w:rFonts w:ascii="Arial" w:hAnsi="Arial" w:cs="Arial"/>
          <w:sz w:val="20"/>
          <w:szCs w:val="20"/>
          <w:lang w:val="en-GB"/>
        </w:rPr>
        <w:t xml:space="preserve">  </w:t>
      </w:r>
      <w:r w:rsidRPr="004030DB">
        <w:rPr>
          <w:rFonts w:ascii="Arial" w:hAnsi="Arial" w:cs="Arial"/>
          <w:sz w:val="20"/>
          <w:szCs w:val="20"/>
          <w:lang w:val="en-GB"/>
        </w:rPr>
        <w:t xml:space="preserve">(Clinical risks are </w:t>
      </w:r>
      <w:r w:rsidR="000E5B6E" w:rsidRPr="004030DB">
        <w:rPr>
          <w:rFonts w:ascii="Arial" w:hAnsi="Arial" w:cs="Arial"/>
          <w:sz w:val="20"/>
          <w:szCs w:val="20"/>
          <w:lang w:val="en-GB"/>
        </w:rPr>
        <w:t xml:space="preserve">also </w:t>
      </w:r>
      <w:r w:rsidRPr="004030DB">
        <w:rPr>
          <w:rFonts w:ascii="Arial" w:hAnsi="Arial" w:cs="Arial"/>
          <w:sz w:val="20"/>
          <w:szCs w:val="20"/>
          <w:lang w:val="en-GB"/>
        </w:rPr>
        <w:t>reviewed by the Quality Assurance Committee).</w:t>
      </w:r>
    </w:p>
    <w:p w14:paraId="021B68A2" w14:textId="77777777" w:rsidR="00A818CA" w:rsidRPr="004030DB" w:rsidRDefault="00A818CA" w:rsidP="00AD5544">
      <w:pPr>
        <w:jc w:val="both"/>
        <w:rPr>
          <w:rFonts w:ascii="Arial" w:hAnsi="Arial" w:cs="Arial"/>
          <w:sz w:val="20"/>
          <w:szCs w:val="20"/>
          <w:lang w:val="en-GB"/>
        </w:rPr>
      </w:pPr>
    </w:p>
    <w:p w14:paraId="7089C506" w14:textId="77777777" w:rsidR="00A818CA" w:rsidRPr="004030DB" w:rsidRDefault="00A818CA" w:rsidP="00AD5544">
      <w:pPr>
        <w:jc w:val="both"/>
        <w:rPr>
          <w:rFonts w:ascii="Arial" w:hAnsi="Arial" w:cs="Arial"/>
          <w:sz w:val="20"/>
          <w:szCs w:val="20"/>
          <w:u w:val="single"/>
          <w:lang w:val="en-GB"/>
        </w:rPr>
      </w:pPr>
      <w:r w:rsidRPr="004030DB">
        <w:rPr>
          <w:rFonts w:ascii="Arial" w:hAnsi="Arial" w:cs="Arial"/>
          <w:sz w:val="20"/>
          <w:szCs w:val="20"/>
          <w:u w:val="single"/>
          <w:lang w:val="en-GB"/>
        </w:rPr>
        <w:t>Key areas discussed and reviewed by the Committee during 202</w:t>
      </w:r>
      <w:r w:rsidR="000E5B6E" w:rsidRPr="004030DB">
        <w:rPr>
          <w:rFonts w:ascii="Arial" w:hAnsi="Arial" w:cs="Arial"/>
          <w:sz w:val="20"/>
          <w:szCs w:val="20"/>
          <w:u w:val="single"/>
          <w:lang w:val="en-GB"/>
        </w:rPr>
        <w:t>4</w:t>
      </w:r>
      <w:r w:rsidRPr="004030DB">
        <w:rPr>
          <w:rFonts w:ascii="Arial" w:hAnsi="Arial" w:cs="Arial"/>
          <w:sz w:val="20"/>
          <w:szCs w:val="20"/>
          <w:u w:val="single"/>
          <w:lang w:val="en-GB"/>
        </w:rPr>
        <w:t>/2</w:t>
      </w:r>
      <w:r w:rsidR="000E5B6E" w:rsidRPr="004030DB">
        <w:rPr>
          <w:rFonts w:ascii="Arial" w:hAnsi="Arial" w:cs="Arial"/>
          <w:sz w:val="20"/>
          <w:szCs w:val="20"/>
          <w:u w:val="single"/>
          <w:lang w:val="en-GB"/>
        </w:rPr>
        <w:t>5</w:t>
      </w:r>
      <w:r w:rsidRPr="004030DB">
        <w:rPr>
          <w:rFonts w:ascii="Arial" w:hAnsi="Arial" w:cs="Arial"/>
          <w:sz w:val="20"/>
          <w:szCs w:val="20"/>
          <w:u w:val="single"/>
          <w:lang w:val="en-GB"/>
        </w:rPr>
        <w:t>:</w:t>
      </w:r>
    </w:p>
    <w:p w14:paraId="70585D88" w14:textId="77777777" w:rsidR="00DA603E" w:rsidRPr="004030DB" w:rsidRDefault="00A818CA" w:rsidP="00AD5544">
      <w:pPr>
        <w:jc w:val="both"/>
        <w:rPr>
          <w:rFonts w:ascii="Arial" w:hAnsi="Arial" w:cs="Arial"/>
          <w:sz w:val="20"/>
          <w:szCs w:val="20"/>
          <w:lang w:val="en-GB"/>
        </w:rPr>
      </w:pPr>
      <w:r w:rsidRPr="004030DB">
        <w:rPr>
          <w:rFonts w:ascii="Arial" w:hAnsi="Arial" w:cs="Arial"/>
          <w:sz w:val="20"/>
          <w:szCs w:val="20"/>
          <w:lang w:val="en-GB"/>
        </w:rPr>
        <w:t>The outputs of the Trust’s risk management processes including reviews of:</w:t>
      </w:r>
    </w:p>
    <w:p w14:paraId="09091FF9" w14:textId="77777777" w:rsidR="00A818CA" w:rsidRPr="004030DB" w:rsidRDefault="00A818CA" w:rsidP="00E00F90">
      <w:pPr>
        <w:pStyle w:val="ListParagraph"/>
        <w:numPr>
          <w:ilvl w:val="0"/>
          <w:numId w:val="12"/>
        </w:numPr>
        <w:jc w:val="both"/>
        <w:rPr>
          <w:rFonts w:ascii="Arial" w:hAnsi="Arial" w:cs="Arial"/>
          <w:sz w:val="20"/>
          <w:szCs w:val="20"/>
          <w:lang w:val="en-GB"/>
        </w:rPr>
      </w:pPr>
      <w:r w:rsidRPr="004030DB">
        <w:rPr>
          <w:rFonts w:ascii="Arial" w:hAnsi="Arial" w:cs="Arial"/>
          <w:sz w:val="20"/>
          <w:szCs w:val="20"/>
          <w:lang w:val="en-GB"/>
        </w:rPr>
        <w:t>The Board Assurance Framework – the principal risks and uncertainties identified by the Trust’s executive directors and movement in the impact and likelihood of these risks and assurances on controls.</w:t>
      </w:r>
    </w:p>
    <w:p w14:paraId="3E1C46C9" w14:textId="77777777" w:rsidR="00753D65" w:rsidRPr="004030DB" w:rsidRDefault="00753D65" w:rsidP="00E00F90">
      <w:pPr>
        <w:pStyle w:val="ListParagraph"/>
        <w:numPr>
          <w:ilvl w:val="0"/>
          <w:numId w:val="12"/>
        </w:numPr>
        <w:jc w:val="both"/>
        <w:rPr>
          <w:rFonts w:ascii="Arial" w:hAnsi="Arial" w:cs="Arial"/>
          <w:sz w:val="20"/>
          <w:szCs w:val="20"/>
          <w:lang w:val="en-GB"/>
        </w:rPr>
      </w:pPr>
      <w:r w:rsidRPr="004030DB">
        <w:rPr>
          <w:rFonts w:ascii="Arial" w:hAnsi="Arial" w:cs="Arial"/>
          <w:sz w:val="20"/>
          <w:szCs w:val="20"/>
          <w:lang w:val="en-GB"/>
        </w:rPr>
        <w:t xml:space="preserve">Risk Register and Issues Log </w:t>
      </w:r>
    </w:p>
    <w:p w14:paraId="5DD450C1" w14:textId="77777777" w:rsidR="00A818CA" w:rsidRPr="004030DB" w:rsidRDefault="00A818CA" w:rsidP="00E00F90">
      <w:pPr>
        <w:pStyle w:val="ListParagraph"/>
        <w:numPr>
          <w:ilvl w:val="0"/>
          <w:numId w:val="12"/>
        </w:numPr>
        <w:jc w:val="both"/>
        <w:rPr>
          <w:rFonts w:ascii="Arial" w:hAnsi="Arial" w:cs="Arial"/>
          <w:sz w:val="20"/>
          <w:szCs w:val="20"/>
          <w:lang w:val="en-GB"/>
        </w:rPr>
      </w:pPr>
      <w:r w:rsidRPr="004030DB">
        <w:rPr>
          <w:rFonts w:ascii="Arial" w:hAnsi="Arial" w:cs="Arial"/>
          <w:sz w:val="20"/>
          <w:szCs w:val="20"/>
          <w:lang w:val="en-GB"/>
        </w:rPr>
        <w:t>Work continuing on the Trust’s risk management processes and risk reporting.  Annual assessment of the effectiveness of internal control systems taking account of the findings from internal and external audit reports.</w:t>
      </w:r>
    </w:p>
    <w:p w14:paraId="352ADDBF" w14:textId="77777777" w:rsidR="00A818CA" w:rsidRPr="004030DB" w:rsidRDefault="00A818CA" w:rsidP="00E00F90">
      <w:pPr>
        <w:pStyle w:val="ListParagraph"/>
        <w:numPr>
          <w:ilvl w:val="0"/>
          <w:numId w:val="12"/>
        </w:numPr>
        <w:jc w:val="both"/>
        <w:rPr>
          <w:rFonts w:ascii="Arial" w:hAnsi="Arial" w:cs="Arial"/>
          <w:sz w:val="20"/>
          <w:szCs w:val="20"/>
          <w:lang w:val="en-GB"/>
        </w:rPr>
      </w:pPr>
      <w:r w:rsidRPr="004030DB">
        <w:rPr>
          <w:rFonts w:ascii="Arial" w:hAnsi="Arial" w:cs="Arial"/>
          <w:sz w:val="20"/>
          <w:szCs w:val="20"/>
          <w:lang w:val="en-GB"/>
        </w:rPr>
        <w:t>Internal</w:t>
      </w:r>
      <w:r w:rsidR="00753D65" w:rsidRPr="004030DB">
        <w:rPr>
          <w:rFonts w:ascii="Arial" w:hAnsi="Arial" w:cs="Arial"/>
          <w:sz w:val="20"/>
          <w:szCs w:val="20"/>
          <w:lang w:val="en-GB"/>
        </w:rPr>
        <w:t xml:space="preserve"> and external </w:t>
      </w:r>
      <w:r w:rsidRPr="004030DB">
        <w:rPr>
          <w:rFonts w:ascii="Arial" w:hAnsi="Arial" w:cs="Arial"/>
          <w:sz w:val="20"/>
          <w:szCs w:val="20"/>
          <w:lang w:val="en-GB"/>
        </w:rPr>
        <w:t>audit</w:t>
      </w:r>
      <w:r w:rsidR="00753D65" w:rsidRPr="004030DB">
        <w:rPr>
          <w:rFonts w:ascii="Arial" w:hAnsi="Arial" w:cs="Arial"/>
          <w:sz w:val="20"/>
          <w:szCs w:val="20"/>
          <w:lang w:val="en-GB"/>
        </w:rPr>
        <w:t>or reports plus local</w:t>
      </w:r>
      <w:r w:rsidRPr="004030DB">
        <w:rPr>
          <w:rFonts w:ascii="Arial" w:hAnsi="Arial" w:cs="Arial"/>
          <w:sz w:val="20"/>
          <w:szCs w:val="20"/>
          <w:lang w:val="en-GB"/>
        </w:rPr>
        <w:t xml:space="preserve"> counter fraud updates.</w:t>
      </w:r>
    </w:p>
    <w:p w14:paraId="4889B5DD" w14:textId="77777777" w:rsidR="00A818CA" w:rsidRPr="004030DB" w:rsidRDefault="00A818CA" w:rsidP="00E00F90">
      <w:pPr>
        <w:pStyle w:val="ListParagraph"/>
        <w:numPr>
          <w:ilvl w:val="0"/>
          <w:numId w:val="12"/>
        </w:numPr>
        <w:jc w:val="both"/>
        <w:rPr>
          <w:rFonts w:ascii="Arial" w:hAnsi="Arial" w:cs="Arial"/>
          <w:sz w:val="20"/>
          <w:szCs w:val="20"/>
          <w:lang w:val="en-GB"/>
        </w:rPr>
      </w:pPr>
      <w:r w:rsidRPr="004030DB">
        <w:rPr>
          <w:rFonts w:ascii="Arial" w:hAnsi="Arial" w:cs="Arial"/>
          <w:sz w:val="20"/>
          <w:szCs w:val="20"/>
          <w:lang w:val="en-GB"/>
        </w:rPr>
        <w:t xml:space="preserve">Interests, gifts, hospitality </w:t>
      </w:r>
      <w:r w:rsidR="00753D65" w:rsidRPr="004030DB">
        <w:rPr>
          <w:rFonts w:ascii="Arial" w:hAnsi="Arial" w:cs="Arial"/>
          <w:sz w:val="20"/>
          <w:szCs w:val="20"/>
          <w:lang w:val="en-GB"/>
        </w:rPr>
        <w:t xml:space="preserve">register </w:t>
      </w:r>
      <w:r w:rsidRPr="004030DB">
        <w:rPr>
          <w:rFonts w:ascii="Arial" w:hAnsi="Arial" w:cs="Arial"/>
          <w:sz w:val="20"/>
          <w:szCs w:val="20"/>
          <w:lang w:val="en-GB"/>
        </w:rPr>
        <w:t>and sponsorship quarterly declarations.</w:t>
      </w:r>
    </w:p>
    <w:p w14:paraId="6612B214" w14:textId="77777777" w:rsidR="00A818CA" w:rsidRPr="004030DB" w:rsidRDefault="00A818CA" w:rsidP="00E00F90">
      <w:pPr>
        <w:pStyle w:val="ListParagraph"/>
        <w:numPr>
          <w:ilvl w:val="0"/>
          <w:numId w:val="12"/>
        </w:numPr>
        <w:jc w:val="both"/>
        <w:rPr>
          <w:rFonts w:ascii="Arial" w:hAnsi="Arial" w:cs="Arial"/>
          <w:sz w:val="20"/>
          <w:szCs w:val="20"/>
          <w:lang w:val="en-GB"/>
        </w:rPr>
      </w:pPr>
      <w:r w:rsidRPr="004030DB">
        <w:rPr>
          <w:rFonts w:ascii="Arial" w:hAnsi="Arial" w:cs="Arial"/>
          <w:sz w:val="20"/>
          <w:szCs w:val="20"/>
          <w:lang w:val="en-GB"/>
        </w:rPr>
        <w:t>Losses and special payments</w:t>
      </w:r>
    </w:p>
    <w:p w14:paraId="76469E73" w14:textId="77777777" w:rsidR="00A818CA" w:rsidRPr="004030DB" w:rsidRDefault="00A818CA" w:rsidP="00E00F90">
      <w:pPr>
        <w:pStyle w:val="ListParagraph"/>
        <w:numPr>
          <w:ilvl w:val="0"/>
          <w:numId w:val="12"/>
        </w:numPr>
        <w:jc w:val="both"/>
        <w:rPr>
          <w:rFonts w:ascii="Arial" w:hAnsi="Arial" w:cs="Arial"/>
          <w:sz w:val="20"/>
          <w:szCs w:val="20"/>
          <w:lang w:val="en-GB"/>
        </w:rPr>
      </w:pPr>
      <w:r w:rsidRPr="004030DB">
        <w:rPr>
          <w:rFonts w:ascii="Arial" w:hAnsi="Arial" w:cs="Arial"/>
          <w:sz w:val="20"/>
          <w:szCs w:val="20"/>
          <w:lang w:val="en-GB"/>
        </w:rPr>
        <w:t>Waivers of standing financial instructions</w:t>
      </w:r>
    </w:p>
    <w:p w14:paraId="0E39A548" w14:textId="77777777" w:rsidR="00A818CA" w:rsidRPr="004030DB" w:rsidRDefault="00A818CA" w:rsidP="00AD5544">
      <w:pPr>
        <w:jc w:val="both"/>
        <w:rPr>
          <w:rFonts w:ascii="Arial" w:hAnsi="Arial" w:cs="Arial"/>
          <w:sz w:val="20"/>
          <w:szCs w:val="20"/>
          <w:lang w:val="en-GB"/>
        </w:rPr>
      </w:pPr>
    </w:p>
    <w:p w14:paraId="5486663D" w14:textId="77777777" w:rsidR="00BE2099" w:rsidRPr="004030DB" w:rsidRDefault="00A818CA" w:rsidP="00AD5544">
      <w:pPr>
        <w:jc w:val="both"/>
        <w:rPr>
          <w:rFonts w:ascii="Arial" w:hAnsi="Arial" w:cs="Arial"/>
          <w:sz w:val="20"/>
          <w:szCs w:val="20"/>
          <w:u w:val="single"/>
          <w:lang w:val="en-GB"/>
        </w:rPr>
      </w:pPr>
      <w:r w:rsidRPr="004030DB">
        <w:rPr>
          <w:rFonts w:ascii="Arial" w:hAnsi="Arial" w:cs="Arial"/>
          <w:sz w:val="20"/>
          <w:szCs w:val="20"/>
          <w:u w:val="single"/>
          <w:lang w:val="en-GB"/>
        </w:rPr>
        <w:t xml:space="preserve">Financial Matters </w:t>
      </w:r>
    </w:p>
    <w:p w14:paraId="430D1D02" w14:textId="77777777" w:rsidR="00BE2099" w:rsidRPr="004030DB" w:rsidRDefault="00BE2099" w:rsidP="00E00F90">
      <w:pPr>
        <w:pStyle w:val="ListParagraph"/>
        <w:numPr>
          <w:ilvl w:val="0"/>
          <w:numId w:val="13"/>
        </w:numPr>
        <w:ind w:left="360"/>
        <w:jc w:val="both"/>
        <w:rPr>
          <w:rFonts w:ascii="Arial" w:hAnsi="Arial" w:cs="Arial"/>
          <w:sz w:val="20"/>
          <w:szCs w:val="20"/>
          <w:lang w:val="en-GB"/>
        </w:rPr>
      </w:pPr>
      <w:r w:rsidRPr="004030DB">
        <w:rPr>
          <w:rFonts w:ascii="Arial" w:hAnsi="Arial" w:cs="Arial"/>
          <w:sz w:val="20"/>
          <w:szCs w:val="20"/>
          <w:lang w:val="en-GB"/>
        </w:rPr>
        <w:t>Monitor the integrity of the financial statements of the organisation and any formal announcements relating to its financial performance</w:t>
      </w:r>
    </w:p>
    <w:p w14:paraId="691EB050" w14:textId="77777777" w:rsidR="00A818CA" w:rsidRPr="004030DB" w:rsidRDefault="00BE2099" w:rsidP="00E00F90">
      <w:pPr>
        <w:pStyle w:val="ListParagraph"/>
        <w:numPr>
          <w:ilvl w:val="0"/>
          <w:numId w:val="13"/>
        </w:numPr>
        <w:ind w:left="360"/>
        <w:jc w:val="both"/>
        <w:rPr>
          <w:rFonts w:ascii="Arial" w:hAnsi="Arial" w:cs="Arial"/>
          <w:sz w:val="20"/>
          <w:szCs w:val="20"/>
          <w:lang w:val="en-GB"/>
        </w:rPr>
      </w:pPr>
      <w:r w:rsidRPr="004030DB">
        <w:rPr>
          <w:rFonts w:ascii="Arial" w:hAnsi="Arial" w:cs="Arial"/>
          <w:sz w:val="20"/>
          <w:szCs w:val="20"/>
          <w:lang w:val="en-GB"/>
        </w:rPr>
        <w:t>Review the annual report and financial statements before submission to the Board, to determine their objectivity, integrity and accuracy</w:t>
      </w:r>
    </w:p>
    <w:p w14:paraId="595EDE0E" w14:textId="77777777" w:rsidR="00BE2099" w:rsidRPr="004030DB" w:rsidRDefault="00BE2099" w:rsidP="00AD5544">
      <w:pPr>
        <w:jc w:val="both"/>
        <w:rPr>
          <w:rFonts w:ascii="Arial" w:hAnsi="Arial" w:cs="Arial"/>
          <w:sz w:val="20"/>
          <w:szCs w:val="20"/>
          <w:lang w:val="en-GB"/>
        </w:rPr>
      </w:pPr>
    </w:p>
    <w:p w14:paraId="277995A1" w14:textId="77777777" w:rsidR="00DA603E" w:rsidRPr="004030DB" w:rsidRDefault="00BE2099" w:rsidP="00AD5544">
      <w:pPr>
        <w:jc w:val="both"/>
        <w:rPr>
          <w:rFonts w:ascii="Arial" w:hAnsi="Arial" w:cs="Arial"/>
          <w:sz w:val="20"/>
          <w:szCs w:val="20"/>
          <w:u w:val="single"/>
          <w:lang w:val="en-GB"/>
        </w:rPr>
      </w:pPr>
      <w:r w:rsidRPr="004030DB">
        <w:rPr>
          <w:rFonts w:ascii="Arial" w:hAnsi="Arial" w:cs="Arial"/>
          <w:sz w:val="20"/>
          <w:szCs w:val="20"/>
          <w:u w:val="single"/>
          <w:lang w:val="en-GB"/>
        </w:rPr>
        <w:t>Key areas discussed and reviewed by the Committee during 202</w:t>
      </w:r>
      <w:r w:rsidR="000E5B6E" w:rsidRPr="004030DB">
        <w:rPr>
          <w:rFonts w:ascii="Arial" w:hAnsi="Arial" w:cs="Arial"/>
          <w:sz w:val="20"/>
          <w:szCs w:val="20"/>
          <w:u w:val="single"/>
          <w:lang w:val="en-GB"/>
        </w:rPr>
        <w:t>4</w:t>
      </w:r>
      <w:r w:rsidRPr="004030DB">
        <w:rPr>
          <w:rFonts w:ascii="Arial" w:hAnsi="Arial" w:cs="Arial"/>
          <w:sz w:val="20"/>
          <w:szCs w:val="20"/>
          <w:u w:val="single"/>
          <w:lang w:val="en-GB"/>
        </w:rPr>
        <w:t>/2</w:t>
      </w:r>
      <w:r w:rsidR="000E5B6E" w:rsidRPr="004030DB">
        <w:rPr>
          <w:rFonts w:ascii="Arial" w:hAnsi="Arial" w:cs="Arial"/>
          <w:sz w:val="20"/>
          <w:szCs w:val="20"/>
          <w:u w:val="single"/>
          <w:lang w:val="en-GB"/>
        </w:rPr>
        <w:t>5</w:t>
      </w:r>
      <w:r w:rsidRPr="004030DB">
        <w:rPr>
          <w:rFonts w:ascii="Arial" w:hAnsi="Arial" w:cs="Arial"/>
          <w:sz w:val="20"/>
          <w:szCs w:val="20"/>
          <w:u w:val="single"/>
          <w:lang w:val="en-GB"/>
        </w:rPr>
        <w:t>:</w:t>
      </w:r>
    </w:p>
    <w:p w14:paraId="7E6E1375" w14:textId="77777777" w:rsidR="00BE2099" w:rsidRPr="004030DB" w:rsidRDefault="00BE2099" w:rsidP="00E00F90">
      <w:pPr>
        <w:pStyle w:val="ListParagraph"/>
        <w:numPr>
          <w:ilvl w:val="0"/>
          <w:numId w:val="14"/>
        </w:numPr>
        <w:jc w:val="both"/>
        <w:rPr>
          <w:rFonts w:ascii="Arial" w:hAnsi="Arial" w:cs="Arial"/>
          <w:sz w:val="20"/>
          <w:szCs w:val="20"/>
          <w:lang w:val="en-GB"/>
        </w:rPr>
      </w:pPr>
      <w:r w:rsidRPr="004030DB">
        <w:rPr>
          <w:rFonts w:ascii="Arial" w:hAnsi="Arial" w:cs="Arial"/>
          <w:sz w:val="20"/>
          <w:szCs w:val="20"/>
          <w:lang w:val="en-GB"/>
        </w:rPr>
        <w:t>Annual report and financial statements, including the Head of Internal Audit Opinion, the Annual Governance Statement, the Annual Internal Audit Report, the Annual Counter Fraud Report and the External Audit Opinions on the Financial Accounts and recommended acceptance to the Trust Board.</w:t>
      </w:r>
    </w:p>
    <w:p w14:paraId="5FED64C4" w14:textId="77777777" w:rsidR="00BE2099" w:rsidRPr="004030DB" w:rsidRDefault="00BE2099" w:rsidP="00E00F90">
      <w:pPr>
        <w:pStyle w:val="ListParagraph"/>
        <w:numPr>
          <w:ilvl w:val="0"/>
          <w:numId w:val="14"/>
        </w:numPr>
        <w:jc w:val="both"/>
        <w:rPr>
          <w:rFonts w:ascii="Arial" w:hAnsi="Arial" w:cs="Arial"/>
          <w:sz w:val="20"/>
          <w:szCs w:val="20"/>
          <w:lang w:val="en-GB"/>
        </w:rPr>
      </w:pPr>
      <w:r w:rsidRPr="004030DB">
        <w:rPr>
          <w:rFonts w:ascii="Arial" w:hAnsi="Arial" w:cs="Arial"/>
          <w:sz w:val="20"/>
          <w:szCs w:val="20"/>
          <w:lang w:val="en-GB"/>
        </w:rPr>
        <w:t>Key accounting policy judgements, including valuations.</w:t>
      </w:r>
    </w:p>
    <w:p w14:paraId="313F9762" w14:textId="77777777" w:rsidR="00BE2099" w:rsidRPr="004030DB" w:rsidRDefault="00BE2099" w:rsidP="00E00F90">
      <w:pPr>
        <w:pStyle w:val="ListParagraph"/>
        <w:numPr>
          <w:ilvl w:val="0"/>
          <w:numId w:val="14"/>
        </w:numPr>
        <w:jc w:val="both"/>
        <w:rPr>
          <w:rFonts w:ascii="Arial" w:hAnsi="Arial" w:cs="Arial"/>
          <w:sz w:val="20"/>
          <w:szCs w:val="20"/>
          <w:lang w:val="en-GB"/>
        </w:rPr>
      </w:pPr>
      <w:r w:rsidRPr="004030DB">
        <w:rPr>
          <w:rFonts w:ascii="Arial" w:hAnsi="Arial" w:cs="Arial"/>
          <w:sz w:val="20"/>
          <w:szCs w:val="20"/>
          <w:lang w:val="en-GB"/>
        </w:rPr>
        <w:t>Impact of changes in financial reporting standards where relevant.</w:t>
      </w:r>
    </w:p>
    <w:p w14:paraId="6F9F5ED2" w14:textId="77777777" w:rsidR="00BE2099" w:rsidRPr="004030DB" w:rsidRDefault="00BE2099" w:rsidP="00E00F90">
      <w:pPr>
        <w:pStyle w:val="ListParagraph"/>
        <w:numPr>
          <w:ilvl w:val="0"/>
          <w:numId w:val="14"/>
        </w:numPr>
        <w:jc w:val="both"/>
        <w:rPr>
          <w:rFonts w:ascii="Arial" w:hAnsi="Arial" w:cs="Arial"/>
          <w:sz w:val="20"/>
          <w:szCs w:val="20"/>
          <w:lang w:val="en-GB"/>
        </w:rPr>
      </w:pPr>
      <w:r w:rsidRPr="004030DB">
        <w:rPr>
          <w:rFonts w:ascii="Arial" w:hAnsi="Arial" w:cs="Arial"/>
          <w:sz w:val="20"/>
          <w:szCs w:val="20"/>
          <w:lang w:val="en-GB"/>
        </w:rPr>
        <w:t>Single tender waivers</w:t>
      </w:r>
    </w:p>
    <w:p w14:paraId="50057E6C" w14:textId="77777777" w:rsidR="00BE2099" w:rsidRPr="004030DB" w:rsidRDefault="00BE2099" w:rsidP="00E00F90">
      <w:pPr>
        <w:pStyle w:val="ListParagraph"/>
        <w:numPr>
          <w:ilvl w:val="0"/>
          <w:numId w:val="14"/>
        </w:numPr>
        <w:jc w:val="both"/>
        <w:rPr>
          <w:rFonts w:ascii="Arial" w:hAnsi="Arial" w:cs="Arial"/>
          <w:sz w:val="20"/>
          <w:szCs w:val="20"/>
          <w:lang w:val="en-GB"/>
        </w:rPr>
      </w:pPr>
      <w:r w:rsidRPr="004030DB">
        <w:rPr>
          <w:rFonts w:ascii="Arial" w:hAnsi="Arial" w:cs="Arial"/>
          <w:sz w:val="20"/>
          <w:szCs w:val="20"/>
          <w:lang w:val="en-GB"/>
        </w:rPr>
        <w:t xml:space="preserve">Losses and </w:t>
      </w:r>
      <w:r w:rsidR="00C94B08" w:rsidRPr="004030DB">
        <w:rPr>
          <w:rFonts w:ascii="Arial" w:hAnsi="Arial" w:cs="Arial"/>
          <w:sz w:val="20"/>
          <w:szCs w:val="20"/>
          <w:lang w:val="en-GB"/>
        </w:rPr>
        <w:t>s</w:t>
      </w:r>
      <w:r w:rsidRPr="004030DB">
        <w:rPr>
          <w:rFonts w:ascii="Arial" w:hAnsi="Arial" w:cs="Arial"/>
          <w:sz w:val="20"/>
          <w:szCs w:val="20"/>
          <w:lang w:val="en-GB"/>
        </w:rPr>
        <w:t xml:space="preserve">pecial </w:t>
      </w:r>
      <w:r w:rsidR="00C94B08" w:rsidRPr="004030DB">
        <w:rPr>
          <w:rFonts w:ascii="Arial" w:hAnsi="Arial" w:cs="Arial"/>
          <w:sz w:val="20"/>
          <w:szCs w:val="20"/>
          <w:lang w:val="en-GB"/>
        </w:rPr>
        <w:t>p</w:t>
      </w:r>
      <w:r w:rsidRPr="004030DB">
        <w:rPr>
          <w:rFonts w:ascii="Arial" w:hAnsi="Arial" w:cs="Arial"/>
          <w:sz w:val="20"/>
          <w:szCs w:val="20"/>
          <w:lang w:val="en-GB"/>
        </w:rPr>
        <w:t>ayments</w:t>
      </w:r>
    </w:p>
    <w:p w14:paraId="7DCFD0DE" w14:textId="77777777" w:rsidR="00BE2099" w:rsidRPr="004030DB" w:rsidRDefault="00BE2099" w:rsidP="00AD5544">
      <w:pPr>
        <w:jc w:val="both"/>
        <w:rPr>
          <w:rFonts w:ascii="Arial" w:hAnsi="Arial" w:cs="Arial"/>
          <w:sz w:val="20"/>
          <w:szCs w:val="20"/>
          <w:lang w:val="en-GB"/>
        </w:rPr>
      </w:pPr>
    </w:p>
    <w:p w14:paraId="288CDA79" w14:textId="77777777" w:rsidR="007A6163" w:rsidRPr="004030DB" w:rsidRDefault="00A818CA" w:rsidP="00AD5544">
      <w:pPr>
        <w:jc w:val="both"/>
        <w:rPr>
          <w:rFonts w:ascii="Arial" w:hAnsi="Arial" w:cs="Arial"/>
          <w:sz w:val="20"/>
          <w:szCs w:val="20"/>
          <w:u w:val="single"/>
          <w:lang w:val="en-GB"/>
        </w:rPr>
      </w:pPr>
      <w:r w:rsidRPr="004030DB">
        <w:rPr>
          <w:rFonts w:ascii="Arial" w:hAnsi="Arial" w:cs="Arial"/>
          <w:sz w:val="20"/>
          <w:szCs w:val="20"/>
          <w:u w:val="single"/>
          <w:lang w:val="en-GB"/>
        </w:rPr>
        <w:t xml:space="preserve">External Audit </w:t>
      </w:r>
    </w:p>
    <w:p w14:paraId="3EA61751" w14:textId="77777777" w:rsidR="007A6163" w:rsidRPr="004030DB" w:rsidRDefault="007A6163" w:rsidP="00E00F90">
      <w:pPr>
        <w:pStyle w:val="ListParagraph"/>
        <w:numPr>
          <w:ilvl w:val="0"/>
          <w:numId w:val="15"/>
        </w:numPr>
        <w:jc w:val="both"/>
        <w:rPr>
          <w:rFonts w:ascii="Arial" w:hAnsi="Arial" w:cs="Arial"/>
          <w:sz w:val="20"/>
          <w:szCs w:val="20"/>
          <w:lang w:val="en-GB"/>
        </w:rPr>
      </w:pPr>
      <w:r w:rsidRPr="004030DB">
        <w:rPr>
          <w:rFonts w:ascii="Arial" w:hAnsi="Arial" w:cs="Arial"/>
          <w:sz w:val="20"/>
          <w:szCs w:val="20"/>
          <w:lang w:val="en-GB"/>
        </w:rPr>
        <w:t>Monitoring and reviewing the external auditor’s independence, objectivity and effectiveness.</w:t>
      </w:r>
    </w:p>
    <w:p w14:paraId="04D96395" w14:textId="77777777" w:rsidR="007A6163" w:rsidRPr="004030DB" w:rsidRDefault="007A6163" w:rsidP="00E00F90">
      <w:pPr>
        <w:pStyle w:val="ListParagraph"/>
        <w:numPr>
          <w:ilvl w:val="0"/>
          <w:numId w:val="15"/>
        </w:numPr>
        <w:jc w:val="both"/>
        <w:rPr>
          <w:rFonts w:ascii="Arial" w:hAnsi="Arial" w:cs="Arial"/>
          <w:sz w:val="20"/>
          <w:szCs w:val="20"/>
          <w:lang w:val="en-GB"/>
        </w:rPr>
      </w:pPr>
      <w:r w:rsidRPr="004030DB">
        <w:rPr>
          <w:rFonts w:ascii="Arial" w:hAnsi="Arial" w:cs="Arial"/>
          <w:sz w:val="20"/>
          <w:szCs w:val="20"/>
          <w:lang w:val="en-GB"/>
        </w:rPr>
        <w:t xml:space="preserve">Developing and implementing policy on the engagement of the external auditor to supply </w:t>
      </w:r>
      <w:r w:rsidR="007F4041" w:rsidRPr="004030DB">
        <w:rPr>
          <w:rFonts w:ascii="Arial" w:hAnsi="Arial" w:cs="Arial"/>
          <w:sz w:val="20"/>
          <w:szCs w:val="20"/>
          <w:lang w:val="en-GB"/>
        </w:rPr>
        <w:t>non-audit</w:t>
      </w:r>
      <w:r w:rsidRPr="004030DB">
        <w:rPr>
          <w:rFonts w:ascii="Arial" w:hAnsi="Arial" w:cs="Arial"/>
          <w:sz w:val="20"/>
          <w:szCs w:val="20"/>
          <w:lang w:val="en-GB"/>
        </w:rPr>
        <w:t xml:space="preserve"> services, </w:t>
      </w:r>
      <w:r w:rsidR="007F4041" w:rsidRPr="004030DB">
        <w:rPr>
          <w:rFonts w:ascii="Arial" w:hAnsi="Arial" w:cs="Arial"/>
          <w:sz w:val="20"/>
          <w:szCs w:val="20"/>
          <w:lang w:val="en-GB"/>
        </w:rPr>
        <w:t>considering</w:t>
      </w:r>
      <w:r w:rsidRPr="004030DB">
        <w:rPr>
          <w:rFonts w:ascii="Arial" w:hAnsi="Arial" w:cs="Arial"/>
          <w:sz w:val="20"/>
          <w:szCs w:val="20"/>
          <w:lang w:val="en-GB"/>
        </w:rPr>
        <w:t xml:space="preserve"> relevant ethical guidance.</w:t>
      </w:r>
    </w:p>
    <w:p w14:paraId="22CE06D9" w14:textId="77777777" w:rsidR="001F469C" w:rsidRPr="004030DB" w:rsidRDefault="001F469C" w:rsidP="00AD5544">
      <w:pPr>
        <w:jc w:val="both"/>
        <w:rPr>
          <w:rFonts w:ascii="Arial" w:hAnsi="Arial" w:cs="Arial"/>
          <w:sz w:val="20"/>
          <w:szCs w:val="20"/>
          <w:lang w:val="en-GB"/>
        </w:rPr>
      </w:pPr>
    </w:p>
    <w:p w14:paraId="54E983C1" w14:textId="77777777" w:rsidR="007A6163" w:rsidRPr="004030DB" w:rsidRDefault="007A6163" w:rsidP="00AD5544">
      <w:pPr>
        <w:jc w:val="both"/>
        <w:rPr>
          <w:rFonts w:ascii="Arial" w:hAnsi="Arial" w:cs="Arial"/>
          <w:sz w:val="20"/>
          <w:szCs w:val="20"/>
          <w:u w:val="single"/>
          <w:lang w:val="en-GB"/>
        </w:rPr>
      </w:pPr>
      <w:r w:rsidRPr="004030DB">
        <w:rPr>
          <w:rFonts w:ascii="Arial" w:hAnsi="Arial" w:cs="Arial"/>
          <w:sz w:val="20"/>
          <w:szCs w:val="20"/>
          <w:u w:val="single"/>
          <w:lang w:val="en-GB"/>
        </w:rPr>
        <w:t>Key areas discussed and reviewed by the Committee during 202</w:t>
      </w:r>
      <w:r w:rsidR="000E5B6E" w:rsidRPr="004030DB">
        <w:rPr>
          <w:rFonts w:ascii="Arial" w:hAnsi="Arial" w:cs="Arial"/>
          <w:sz w:val="20"/>
          <w:szCs w:val="20"/>
          <w:u w:val="single"/>
          <w:lang w:val="en-GB"/>
        </w:rPr>
        <w:t>4</w:t>
      </w:r>
      <w:r w:rsidRPr="004030DB">
        <w:rPr>
          <w:rFonts w:ascii="Arial" w:hAnsi="Arial" w:cs="Arial"/>
          <w:sz w:val="20"/>
          <w:szCs w:val="20"/>
          <w:u w:val="single"/>
          <w:lang w:val="en-GB"/>
        </w:rPr>
        <w:t>/2</w:t>
      </w:r>
      <w:r w:rsidR="000E5B6E" w:rsidRPr="004030DB">
        <w:rPr>
          <w:rFonts w:ascii="Arial" w:hAnsi="Arial" w:cs="Arial"/>
          <w:sz w:val="20"/>
          <w:szCs w:val="20"/>
          <w:u w:val="single"/>
          <w:lang w:val="en-GB"/>
        </w:rPr>
        <w:t>5</w:t>
      </w:r>
      <w:r w:rsidRPr="004030DB">
        <w:rPr>
          <w:rFonts w:ascii="Arial" w:hAnsi="Arial" w:cs="Arial"/>
          <w:sz w:val="20"/>
          <w:szCs w:val="20"/>
          <w:u w:val="single"/>
          <w:lang w:val="en-GB"/>
        </w:rPr>
        <w:t>:</w:t>
      </w:r>
    </w:p>
    <w:p w14:paraId="1D70638C" w14:textId="77777777" w:rsidR="007A6163" w:rsidRPr="004030DB" w:rsidRDefault="007A6163" w:rsidP="00E00F90">
      <w:pPr>
        <w:pStyle w:val="ListParagraph"/>
        <w:numPr>
          <w:ilvl w:val="0"/>
          <w:numId w:val="16"/>
        </w:numPr>
        <w:jc w:val="both"/>
        <w:rPr>
          <w:rFonts w:ascii="Arial" w:hAnsi="Arial" w:cs="Arial"/>
          <w:sz w:val="20"/>
          <w:szCs w:val="20"/>
          <w:lang w:val="en-GB"/>
        </w:rPr>
      </w:pPr>
      <w:r w:rsidRPr="004030DB">
        <w:rPr>
          <w:rFonts w:ascii="Arial" w:hAnsi="Arial" w:cs="Arial"/>
          <w:sz w:val="20"/>
          <w:szCs w:val="20"/>
          <w:lang w:val="en-GB"/>
        </w:rPr>
        <w:t>Basis for concluding that the Trust is a going concern.</w:t>
      </w:r>
      <w:r w:rsidR="00C94B08" w:rsidRPr="004030DB">
        <w:rPr>
          <w:rFonts w:ascii="Arial" w:hAnsi="Arial" w:cs="Arial"/>
          <w:sz w:val="20"/>
          <w:szCs w:val="20"/>
          <w:lang w:val="en-GB"/>
        </w:rPr>
        <w:t xml:space="preserve">  </w:t>
      </w:r>
    </w:p>
    <w:p w14:paraId="7BA7C2EE" w14:textId="77777777" w:rsidR="007A6163" w:rsidRPr="004030DB" w:rsidRDefault="007A6163" w:rsidP="00E00F90">
      <w:pPr>
        <w:pStyle w:val="ListParagraph"/>
        <w:numPr>
          <w:ilvl w:val="0"/>
          <w:numId w:val="16"/>
        </w:numPr>
        <w:jc w:val="both"/>
        <w:rPr>
          <w:rFonts w:ascii="Arial" w:hAnsi="Arial" w:cs="Arial"/>
          <w:sz w:val="20"/>
          <w:szCs w:val="20"/>
          <w:lang w:val="en-GB"/>
        </w:rPr>
      </w:pPr>
      <w:r w:rsidRPr="004030DB">
        <w:rPr>
          <w:rFonts w:ascii="Arial" w:hAnsi="Arial" w:cs="Arial"/>
          <w:sz w:val="20"/>
          <w:szCs w:val="20"/>
          <w:lang w:val="en-GB"/>
        </w:rPr>
        <w:t>External auditor effectiveness and independence.</w:t>
      </w:r>
    </w:p>
    <w:p w14:paraId="6DEE12D4" w14:textId="77777777" w:rsidR="007A6163" w:rsidRPr="004030DB" w:rsidRDefault="007A6163" w:rsidP="00E00F90">
      <w:pPr>
        <w:pStyle w:val="ListParagraph"/>
        <w:numPr>
          <w:ilvl w:val="0"/>
          <w:numId w:val="16"/>
        </w:numPr>
        <w:jc w:val="both"/>
        <w:rPr>
          <w:rFonts w:ascii="Arial" w:hAnsi="Arial" w:cs="Arial"/>
          <w:sz w:val="20"/>
          <w:szCs w:val="20"/>
          <w:lang w:val="en-GB"/>
        </w:rPr>
      </w:pPr>
      <w:r w:rsidRPr="004030DB">
        <w:rPr>
          <w:rFonts w:ascii="Arial" w:hAnsi="Arial" w:cs="Arial"/>
          <w:sz w:val="20"/>
          <w:szCs w:val="20"/>
          <w:lang w:val="en-GB"/>
        </w:rPr>
        <w:t>External auditor reports on planning, a risk assessment, internal control and value for money reviews.</w:t>
      </w:r>
    </w:p>
    <w:p w14:paraId="61553E48" w14:textId="77777777" w:rsidR="007A6163" w:rsidRPr="004030DB" w:rsidRDefault="007A6163" w:rsidP="00E00F90">
      <w:pPr>
        <w:pStyle w:val="ListParagraph"/>
        <w:numPr>
          <w:ilvl w:val="0"/>
          <w:numId w:val="16"/>
        </w:numPr>
        <w:jc w:val="both"/>
        <w:rPr>
          <w:rFonts w:ascii="Arial" w:hAnsi="Arial" w:cs="Arial"/>
          <w:sz w:val="20"/>
          <w:szCs w:val="20"/>
          <w:lang w:val="en-GB"/>
        </w:rPr>
      </w:pPr>
      <w:r w:rsidRPr="004030DB">
        <w:rPr>
          <w:rFonts w:ascii="Arial" w:hAnsi="Arial" w:cs="Arial"/>
          <w:sz w:val="20"/>
          <w:szCs w:val="20"/>
          <w:lang w:val="en-GB"/>
        </w:rPr>
        <w:t>External auditor recommendations for improving the financial systems or internal controls.</w:t>
      </w:r>
    </w:p>
    <w:p w14:paraId="1E434652" w14:textId="77777777" w:rsidR="007A6163" w:rsidRPr="004030DB" w:rsidRDefault="007A6163" w:rsidP="00E00F90">
      <w:pPr>
        <w:pStyle w:val="ListParagraph"/>
        <w:numPr>
          <w:ilvl w:val="0"/>
          <w:numId w:val="16"/>
        </w:numPr>
        <w:jc w:val="both"/>
        <w:rPr>
          <w:rFonts w:ascii="Arial" w:hAnsi="Arial" w:cs="Arial"/>
          <w:sz w:val="20"/>
          <w:szCs w:val="20"/>
          <w:lang w:val="en-GB"/>
        </w:rPr>
      </w:pPr>
      <w:r w:rsidRPr="004030DB">
        <w:rPr>
          <w:rFonts w:ascii="Arial" w:hAnsi="Arial" w:cs="Arial"/>
          <w:sz w:val="20"/>
          <w:szCs w:val="20"/>
          <w:lang w:val="en-GB"/>
        </w:rPr>
        <w:t>Changes to Accounting Standards.</w:t>
      </w:r>
    </w:p>
    <w:p w14:paraId="15ED7C6D" w14:textId="77777777" w:rsidR="005208D9" w:rsidRPr="004030DB" w:rsidRDefault="005208D9" w:rsidP="005208D9">
      <w:pPr>
        <w:pStyle w:val="ListParagraph"/>
        <w:jc w:val="both"/>
        <w:rPr>
          <w:rFonts w:ascii="Arial" w:hAnsi="Arial" w:cs="Arial"/>
          <w:sz w:val="20"/>
          <w:szCs w:val="20"/>
          <w:lang w:val="en-GB"/>
        </w:rPr>
      </w:pPr>
    </w:p>
    <w:p w14:paraId="52CB23C2" w14:textId="77777777" w:rsidR="00753D65" w:rsidRPr="004030DB" w:rsidRDefault="00753D65" w:rsidP="00AD5544">
      <w:pPr>
        <w:jc w:val="both"/>
        <w:rPr>
          <w:rFonts w:ascii="Arial" w:hAnsi="Arial" w:cs="Arial"/>
          <w:sz w:val="20"/>
          <w:szCs w:val="20"/>
          <w:lang w:val="en-GB"/>
        </w:rPr>
      </w:pPr>
    </w:p>
    <w:p w14:paraId="5627B23A" w14:textId="77777777" w:rsidR="007F4041" w:rsidRPr="004030DB" w:rsidRDefault="00A818CA" w:rsidP="00AD5544">
      <w:pPr>
        <w:jc w:val="both"/>
        <w:rPr>
          <w:rFonts w:ascii="Arial" w:hAnsi="Arial" w:cs="Arial"/>
          <w:sz w:val="20"/>
          <w:szCs w:val="20"/>
          <w:u w:val="single"/>
          <w:lang w:val="en-GB"/>
        </w:rPr>
      </w:pPr>
      <w:r w:rsidRPr="004030DB">
        <w:rPr>
          <w:rFonts w:ascii="Arial" w:hAnsi="Arial" w:cs="Arial"/>
          <w:sz w:val="20"/>
          <w:szCs w:val="20"/>
          <w:u w:val="single"/>
          <w:lang w:val="en-GB"/>
        </w:rPr>
        <w:t xml:space="preserve">Internal Audit </w:t>
      </w:r>
    </w:p>
    <w:p w14:paraId="4BED325D" w14:textId="77777777" w:rsidR="007F4041" w:rsidRPr="004030DB" w:rsidRDefault="007F4041" w:rsidP="00E00F90">
      <w:pPr>
        <w:pStyle w:val="ListParagraph"/>
        <w:numPr>
          <w:ilvl w:val="0"/>
          <w:numId w:val="17"/>
        </w:numPr>
        <w:ind w:left="720"/>
        <w:jc w:val="both"/>
        <w:rPr>
          <w:rFonts w:ascii="Arial" w:hAnsi="Arial" w:cs="Arial"/>
          <w:sz w:val="20"/>
          <w:szCs w:val="20"/>
          <w:lang w:val="en-GB"/>
        </w:rPr>
      </w:pPr>
      <w:r w:rsidRPr="004030DB">
        <w:rPr>
          <w:rFonts w:ascii="Arial" w:hAnsi="Arial" w:cs="Arial"/>
          <w:sz w:val="20"/>
          <w:szCs w:val="20"/>
          <w:lang w:val="en-GB"/>
        </w:rPr>
        <w:t>Monitoring and reviewing the effectiveness of the Trust’s internal audit function that meets National</w:t>
      </w:r>
      <w:r w:rsidR="00907F63" w:rsidRPr="004030DB">
        <w:rPr>
          <w:rFonts w:ascii="Arial" w:hAnsi="Arial" w:cs="Arial"/>
          <w:sz w:val="20"/>
          <w:szCs w:val="20"/>
          <w:lang w:val="en-GB"/>
        </w:rPr>
        <w:t xml:space="preserve"> </w:t>
      </w:r>
      <w:r w:rsidRPr="004030DB">
        <w:rPr>
          <w:rFonts w:ascii="Arial" w:hAnsi="Arial" w:cs="Arial"/>
          <w:sz w:val="20"/>
          <w:szCs w:val="20"/>
          <w:lang w:val="en-GB"/>
        </w:rPr>
        <w:t xml:space="preserve">Audit Office 2015 Code of Audit Practice and provides appropriate independent </w:t>
      </w:r>
      <w:r w:rsidRPr="004030DB">
        <w:rPr>
          <w:rFonts w:ascii="Arial" w:hAnsi="Arial" w:cs="Arial"/>
          <w:sz w:val="20"/>
          <w:szCs w:val="20"/>
          <w:lang w:val="en-GB"/>
        </w:rPr>
        <w:lastRenderedPageBreak/>
        <w:t>assurance to the</w:t>
      </w:r>
      <w:r w:rsidR="00907F63" w:rsidRPr="004030DB">
        <w:rPr>
          <w:rFonts w:ascii="Arial" w:hAnsi="Arial" w:cs="Arial"/>
          <w:sz w:val="20"/>
          <w:szCs w:val="20"/>
          <w:lang w:val="en-GB"/>
        </w:rPr>
        <w:t xml:space="preserve"> </w:t>
      </w:r>
      <w:r w:rsidRPr="004030DB">
        <w:rPr>
          <w:rFonts w:ascii="Arial" w:hAnsi="Arial" w:cs="Arial"/>
          <w:sz w:val="20"/>
          <w:szCs w:val="20"/>
          <w:lang w:val="en-GB"/>
        </w:rPr>
        <w:t>Committee.</w:t>
      </w:r>
    </w:p>
    <w:p w14:paraId="65B1E4B6" w14:textId="77777777" w:rsidR="007F4041" w:rsidRPr="004030DB" w:rsidRDefault="007F4041" w:rsidP="00E00F90">
      <w:pPr>
        <w:pStyle w:val="ListParagraph"/>
        <w:numPr>
          <w:ilvl w:val="0"/>
          <w:numId w:val="17"/>
        </w:numPr>
        <w:ind w:left="720"/>
        <w:jc w:val="both"/>
        <w:rPr>
          <w:rFonts w:ascii="Arial" w:hAnsi="Arial" w:cs="Arial"/>
          <w:sz w:val="20"/>
          <w:szCs w:val="20"/>
          <w:lang w:val="en-GB"/>
        </w:rPr>
      </w:pPr>
      <w:r w:rsidRPr="004030DB">
        <w:rPr>
          <w:rFonts w:ascii="Arial" w:hAnsi="Arial" w:cs="Arial"/>
          <w:sz w:val="20"/>
          <w:szCs w:val="20"/>
          <w:lang w:val="en-GB"/>
        </w:rPr>
        <w:t>Satisfying itself that the Trust has adequate arrangements in place for counter fraud and security that meet NHS Counter Fraud Authority’s standards and reviewing the outcomes of work in these areas.</w:t>
      </w:r>
    </w:p>
    <w:p w14:paraId="74A00C88" w14:textId="77777777" w:rsidR="00907F63" w:rsidRPr="004030DB" w:rsidRDefault="00907F63" w:rsidP="00AD5544">
      <w:pPr>
        <w:jc w:val="both"/>
        <w:rPr>
          <w:rFonts w:ascii="Arial" w:hAnsi="Arial" w:cs="Arial"/>
          <w:sz w:val="20"/>
          <w:szCs w:val="20"/>
          <w:lang w:val="en-GB"/>
        </w:rPr>
      </w:pPr>
    </w:p>
    <w:p w14:paraId="3B0DA542" w14:textId="77777777" w:rsidR="00907F63" w:rsidRPr="004030DB" w:rsidRDefault="00907F63" w:rsidP="00AD5544">
      <w:pPr>
        <w:jc w:val="both"/>
        <w:rPr>
          <w:rFonts w:ascii="Arial" w:hAnsi="Arial" w:cs="Arial"/>
          <w:sz w:val="20"/>
          <w:szCs w:val="20"/>
          <w:u w:val="single"/>
          <w:lang w:val="en-GB"/>
        </w:rPr>
      </w:pPr>
      <w:r w:rsidRPr="004030DB">
        <w:rPr>
          <w:rFonts w:ascii="Arial" w:hAnsi="Arial" w:cs="Arial"/>
          <w:sz w:val="20"/>
          <w:szCs w:val="20"/>
          <w:u w:val="single"/>
          <w:lang w:val="en-GB"/>
        </w:rPr>
        <w:t>Key areas discussed and reviewed by the Committee during 202</w:t>
      </w:r>
      <w:r w:rsidR="000E5B6E" w:rsidRPr="004030DB">
        <w:rPr>
          <w:rFonts w:ascii="Arial" w:hAnsi="Arial" w:cs="Arial"/>
          <w:sz w:val="20"/>
          <w:szCs w:val="20"/>
          <w:u w:val="single"/>
          <w:lang w:val="en-GB"/>
        </w:rPr>
        <w:t>4</w:t>
      </w:r>
      <w:r w:rsidRPr="004030DB">
        <w:rPr>
          <w:rFonts w:ascii="Arial" w:hAnsi="Arial" w:cs="Arial"/>
          <w:sz w:val="20"/>
          <w:szCs w:val="20"/>
          <w:u w:val="single"/>
          <w:lang w:val="en-GB"/>
        </w:rPr>
        <w:t>/2</w:t>
      </w:r>
      <w:r w:rsidR="000E5B6E" w:rsidRPr="004030DB">
        <w:rPr>
          <w:rFonts w:ascii="Arial" w:hAnsi="Arial" w:cs="Arial"/>
          <w:sz w:val="20"/>
          <w:szCs w:val="20"/>
          <w:u w:val="single"/>
          <w:lang w:val="en-GB"/>
        </w:rPr>
        <w:t>5</w:t>
      </w:r>
      <w:r w:rsidRPr="004030DB">
        <w:rPr>
          <w:rFonts w:ascii="Arial" w:hAnsi="Arial" w:cs="Arial"/>
          <w:sz w:val="20"/>
          <w:szCs w:val="20"/>
          <w:u w:val="single"/>
          <w:lang w:val="en-GB"/>
        </w:rPr>
        <w:t>:</w:t>
      </w:r>
    </w:p>
    <w:p w14:paraId="1589A587" w14:textId="77777777" w:rsidR="00907F63" w:rsidRPr="004030DB" w:rsidRDefault="00907F63" w:rsidP="00E00F90">
      <w:pPr>
        <w:pStyle w:val="ListParagraph"/>
        <w:numPr>
          <w:ilvl w:val="0"/>
          <w:numId w:val="18"/>
        </w:numPr>
        <w:jc w:val="both"/>
        <w:rPr>
          <w:rFonts w:ascii="Arial" w:hAnsi="Arial" w:cs="Arial"/>
          <w:sz w:val="20"/>
          <w:szCs w:val="20"/>
          <w:lang w:val="en-GB"/>
        </w:rPr>
      </w:pPr>
      <w:r w:rsidRPr="004030DB">
        <w:rPr>
          <w:rFonts w:ascii="Arial" w:hAnsi="Arial" w:cs="Arial"/>
          <w:sz w:val="20"/>
          <w:szCs w:val="20"/>
          <w:lang w:val="en-GB"/>
        </w:rPr>
        <w:t>High priority internal audit recommendations with progress report covering 18 months.</w:t>
      </w:r>
    </w:p>
    <w:p w14:paraId="5C9FE9A2" w14:textId="77777777" w:rsidR="002917AC" w:rsidRPr="004030DB" w:rsidRDefault="00907F63" w:rsidP="00E00F90">
      <w:pPr>
        <w:pStyle w:val="ListParagraph"/>
        <w:numPr>
          <w:ilvl w:val="0"/>
          <w:numId w:val="18"/>
        </w:numPr>
        <w:jc w:val="both"/>
        <w:rPr>
          <w:rFonts w:ascii="Arial" w:hAnsi="Arial" w:cs="Arial"/>
          <w:sz w:val="20"/>
          <w:szCs w:val="20"/>
          <w:lang w:val="en-GB"/>
        </w:rPr>
      </w:pPr>
      <w:r w:rsidRPr="004030DB">
        <w:rPr>
          <w:rFonts w:ascii="Arial" w:hAnsi="Arial" w:cs="Arial"/>
          <w:sz w:val="20"/>
          <w:szCs w:val="20"/>
          <w:lang w:val="en-GB"/>
        </w:rPr>
        <w:t>The internal audit reports</w:t>
      </w:r>
      <w:r w:rsidR="00753D65" w:rsidRPr="004030DB">
        <w:rPr>
          <w:rFonts w:ascii="Arial" w:hAnsi="Arial" w:cs="Arial"/>
          <w:sz w:val="20"/>
          <w:szCs w:val="20"/>
          <w:lang w:val="en-GB"/>
        </w:rPr>
        <w:t xml:space="preserve">.  </w:t>
      </w:r>
    </w:p>
    <w:p w14:paraId="7DD2D187" w14:textId="77777777" w:rsidR="00907F63" w:rsidRPr="004030DB" w:rsidRDefault="00907F63" w:rsidP="00E00F90">
      <w:pPr>
        <w:pStyle w:val="ListParagraph"/>
        <w:numPr>
          <w:ilvl w:val="0"/>
          <w:numId w:val="18"/>
        </w:numPr>
        <w:jc w:val="both"/>
        <w:rPr>
          <w:rFonts w:ascii="Arial" w:hAnsi="Arial" w:cs="Arial"/>
          <w:sz w:val="20"/>
          <w:szCs w:val="20"/>
          <w:lang w:val="en-GB"/>
        </w:rPr>
      </w:pPr>
      <w:r w:rsidRPr="004030DB">
        <w:rPr>
          <w:rFonts w:ascii="Arial" w:hAnsi="Arial" w:cs="Arial"/>
          <w:sz w:val="20"/>
          <w:szCs w:val="20"/>
          <w:lang w:val="en-GB"/>
        </w:rPr>
        <w:t>The reports identified recommendations for improvement that have been accepted by the executive directors.</w:t>
      </w:r>
    </w:p>
    <w:p w14:paraId="1BBD148B" w14:textId="77777777" w:rsidR="00753D65" w:rsidRPr="004030DB" w:rsidRDefault="00907F63" w:rsidP="00E00F90">
      <w:pPr>
        <w:pStyle w:val="ListParagraph"/>
        <w:numPr>
          <w:ilvl w:val="0"/>
          <w:numId w:val="18"/>
        </w:numPr>
        <w:jc w:val="both"/>
        <w:rPr>
          <w:rFonts w:ascii="Arial" w:hAnsi="Arial" w:cs="Arial"/>
          <w:b/>
          <w:sz w:val="20"/>
          <w:szCs w:val="20"/>
          <w:lang w:val="en-GB"/>
        </w:rPr>
      </w:pPr>
      <w:r w:rsidRPr="004030DB">
        <w:rPr>
          <w:rFonts w:ascii="Arial" w:hAnsi="Arial" w:cs="Arial"/>
          <w:sz w:val="20"/>
          <w:szCs w:val="20"/>
          <w:lang w:val="en-GB"/>
        </w:rPr>
        <w:t>There have been regular reports and updates from the Local Counter Fraud Specialist throughout the year.</w:t>
      </w:r>
      <w:r w:rsidR="0073107A" w:rsidRPr="004030DB">
        <w:rPr>
          <w:rFonts w:ascii="Arial" w:hAnsi="Arial" w:cs="Arial"/>
          <w:sz w:val="20"/>
          <w:szCs w:val="20"/>
          <w:lang w:val="en-GB"/>
        </w:rPr>
        <w:t xml:space="preserve">  </w:t>
      </w:r>
    </w:p>
    <w:p w14:paraId="3FC9CC92" w14:textId="77777777" w:rsidR="00753D65" w:rsidRPr="004030DB" w:rsidRDefault="00753D65" w:rsidP="00AD5544">
      <w:pPr>
        <w:pStyle w:val="ListParagraph"/>
        <w:jc w:val="both"/>
        <w:rPr>
          <w:rFonts w:ascii="Arial" w:hAnsi="Arial" w:cs="Arial"/>
          <w:b/>
          <w:sz w:val="20"/>
          <w:szCs w:val="20"/>
          <w:lang w:val="en-GB"/>
        </w:rPr>
      </w:pPr>
    </w:p>
    <w:p w14:paraId="3BB9E018" w14:textId="77777777" w:rsidR="00010A15" w:rsidRPr="004030DB" w:rsidRDefault="00010A15" w:rsidP="00AD5544">
      <w:pPr>
        <w:jc w:val="both"/>
        <w:rPr>
          <w:rFonts w:ascii="Arial" w:hAnsi="Arial" w:cs="Arial"/>
          <w:b/>
          <w:sz w:val="20"/>
          <w:szCs w:val="20"/>
          <w:lang w:val="en-GB"/>
        </w:rPr>
      </w:pPr>
      <w:r w:rsidRPr="004030DB">
        <w:rPr>
          <w:rFonts w:ascii="Arial" w:hAnsi="Arial" w:cs="Arial"/>
          <w:b/>
          <w:sz w:val="20"/>
          <w:szCs w:val="20"/>
          <w:lang w:val="en-GB"/>
        </w:rPr>
        <w:t xml:space="preserve">Composition and </w:t>
      </w:r>
      <w:r w:rsidR="00A624D7" w:rsidRPr="004030DB">
        <w:rPr>
          <w:rFonts w:ascii="Arial" w:hAnsi="Arial" w:cs="Arial"/>
          <w:b/>
          <w:sz w:val="20"/>
          <w:szCs w:val="20"/>
          <w:lang w:val="en-GB"/>
        </w:rPr>
        <w:t>M</w:t>
      </w:r>
      <w:r w:rsidRPr="004030DB">
        <w:rPr>
          <w:rFonts w:ascii="Arial" w:hAnsi="Arial" w:cs="Arial"/>
          <w:b/>
          <w:sz w:val="20"/>
          <w:szCs w:val="20"/>
          <w:lang w:val="en-GB"/>
        </w:rPr>
        <w:t>eetings</w:t>
      </w:r>
    </w:p>
    <w:p w14:paraId="64D6D780" w14:textId="77777777" w:rsidR="00010A15" w:rsidRPr="004030DB" w:rsidRDefault="00010A15" w:rsidP="00AD5544">
      <w:pPr>
        <w:jc w:val="both"/>
        <w:rPr>
          <w:rFonts w:ascii="Arial" w:hAnsi="Arial" w:cs="Arial"/>
          <w:sz w:val="20"/>
          <w:szCs w:val="20"/>
          <w:lang w:val="en-GB"/>
        </w:rPr>
      </w:pPr>
      <w:r w:rsidRPr="004030DB">
        <w:rPr>
          <w:rFonts w:ascii="Arial" w:hAnsi="Arial" w:cs="Arial"/>
          <w:sz w:val="20"/>
          <w:szCs w:val="20"/>
          <w:lang w:val="en-GB"/>
        </w:rPr>
        <w:t xml:space="preserve">The </w:t>
      </w:r>
      <w:r w:rsidR="00A624D7" w:rsidRPr="004030DB">
        <w:rPr>
          <w:rFonts w:ascii="Arial" w:hAnsi="Arial" w:cs="Arial"/>
          <w:sz w:val="20"/>
          <w:szCs w:val="20"/>
          <w:lang w:val="en-GB"/>
        </w:rPr>
        <w:t>C</w:t>
      </w:r>
      <w:r w:rsidRPr="004030DB">
        <w:rPr>
          <w:rFonts w:ascii="Arial" w:hAnsi="Arial" w:cs="Arial"/>
          <w:sz w:val="20"/>
          <w:szCs w:val="20"/>
          <w:lang w:val="en-GB"/>
        </w:rPr>
        <w:t>ommittee is a non-ex</w:t>
      </w:r>
      <w:r w:rsidR="00BC58FD" w:rsidRPr="004030DB">
        <w:rPr>
          <w:rFonts w:ascii="Arial" w:hAnsi="Arial" w:cs="Arial"/>
          <w:sz w:val="20"/>
          <w:szCs w:val="20"/>
          <w:lang w:val="en-GB"/>
        </w:rPr>
        <w:t>ecutive committee of the B</w:t>
      </w:r>
      <w:r w:rsidRPr="004030DB">
        <w:rPr>
          <w:rFonts w:ascii="Arial" w:hAnsi="Arial" w:cs="Arial"/>
          <w:sz w:val="20"/>
          <w:szCs w:val="20"/>
          <w:lang w:val="en-GB"/>
        </w:rPr>
        <w:t xml:space="preserve">oard, established in accordance with the Trust’s </w:t>
      </w:r>
      <w:r w:rsidR="00076502" w:rsidRPr="004030DB">
        <w:rPr>
          <w:rFonts w:ascii="Arial" w:hAnsi="Arial" w:cs="Arial"/>
          <w:sz w:val="20"/>
          <w:szCs w:val="20"/>
          <w:lang w:val="en-GB"/>
        </w:rPr>
        <w:t>C</w:t>
      </w:r>
      <w:r w:rsidRPr="004030DB">
        <w:rPr>
          <w:rFonts w:ascii="Arial" w:hAnsi="Arial" w:cs="Arial"/>
          <w:sz w:val="20"/>
          <w:szCs w:val="20"/>
          <w:lang w:val="en-GB"/>
        </w:rPr>
        <w:t xml:space="preserve">onstitution and has delegated authority to review the adequacy and effectiveness of </w:t>
      </w:r>
      <w:r w:rsidR="00A624D7" w:rsidRPr="004030DB">
        <w:rPr>
          <w:rFonts w:ascii="Arial" w:hAnsi="Arial" w:cs="Arial"/>
          <w:sz w:val="20"/>
          <w:szCs w:val="20"/>
          <w:lang w:val="en-GB"/>
        </w:rPr>
        <w:t xml:space="preserve">the Trusts </w:t>
      </w:r>
      <w:r w:rsidRPr="004030DB">
        <w:rPr>
          <w:rFonts w:ascii="Arial" w:hAnsi="Arial" w:cs="Arial"/>
          <w:sz w:val="20"/>
          <w:szCs w:val="20"/>
          <w:lang w:val="en-GB"/>
        </w:rPr>
        <w:t xml:space="preserve">systems of internal control and </w:t>
      </w:r>
      <w:r w:rsidR="00A624D7" w:rsidRPr="004030DB">
        <w:rPr>
          <w:rFonts w:ascii="Arial" w:hAnsi="Arial" w:cs="Arial"/>
          <w:sz w:val="20"/>
          <w:szCs w:val="20"/>
          <w:lang w:val="en-GB"/>
        </w:rPr>
        <w:t xml:space="preserve">the </w:t>
      </w:r>
      <w:r w:rsidRPr="004030DB">
        <w:rPr>
          <w:rFonts w:ascii="Arial" w:hAnsi="Arial" w:cs="Arial"/>
          <w:sz w:val="20"/>
          <w:szCs w:val="20"/>
          <w:lang w:val="en-GB"/>
        </w:rPr>
        <w:t xml:space="preserve">arrangements for risk management, control and governance processes to support </w:t>
      </w:r>
      <w:r w:rsidR="00A624D7" w:rsidRPr="004030DB">
        <w:rPr>
          <w:rFonts w:ascii="Arial" w:hAnsi="Arial" w:cs="Arial"/>
          <w:sz w:val="20"/>
          <w:szCs w:val="20"/>
          <w:lang w:val="en-GB"/>
        </w:rPr>
        <w:t>Trust</w:t>
      </w:r>
      <w:r w:rsidRPr="004030DB">
        <w:rPr>
          <w:rFonts w:ascii="Arial" w:hAnsi="Arial" w:cs="Arial"/>
          <w:sz w:val="20"/>
          <w:szCs w:val="20"/>
          <w:lang w:val="en-GB"/>
        </w:rPr>
        <w:t xml:space="preserve"> objectives.</w:t>
      </w:r>
    </w:p>
    <w:p w14:paraId="21164116" w14:textId="77777777" w:rsidR="00BD036B" w:rsidRPr="004030DB" w:rsidRDefault="00BD036B" w:rsidP="00AD5544">
      <w:pPr>
        <w:jc w:val="both"/>
        <w:rPr>
          <w:rFonts w:ascii="Arial" w:hAnsi="Arial" w:cs="Arial"/>
          <w:sz w:val="20"/>
          <w:szCs w:val="20"/>
          <w:lang w:val="en-GB"/>
        </w:rPr>
      </w:pPr>
    </w:p>
    <w:p w14:paraId="6DCBBEEF" w14:textId="77777777" w:rsidR="00010A15" w:rsidRPr="004030DB" w:rsidRDefault="00010A15" w:rsidP="00AD5544">
      <w:pPr>
        <w:jc w:val="both"/>
        <w:rPr>
          <w:rFonts w:ascii="Arial" w:hAnsi="Arial" w:cs="Arial"/>
          <w:sz w:val="20"/>
          <w:szCs w:val="20"/>
          <w:lang w:val="en-GB"/>
        </w:rPr>
      </w:pPr>
      <w:r w:rsidRPr="004030DB">
        <w:rPr>
          <w:rFonts w:ascii="Arial" w:hAnsi="Arial" w:cs="Arial"/>
          <w:sz w:val="20"/>
          <w:szCs w:val="20"/>
          <w:lang w:val="en-GB"/>
        </w:rPr>
        <w:t xml:space="preserve">Executive directors attend by invitation, and the Chief Executive and Chief </w:t>
      </w:r>
      <w:r w:rsidR="004F6B27" w:rsidRPr="004030DB">
        <w:rPr>
          <w:rFonts w:ascii="Arial" w:hAnsi="Arial" w:cs="Arial"/>
          <w:sz w:val="20"/>
          <w:szCs w:val="20"/>
          <w:lang w:val="en-GB"/>
        </w:rPr>
        <w:t>Financ</w:t>
      </w:r>
      <w:r w:rsidR="00CD5FBD" w:rsidRPr="004030DB">
        <w:rPr>
          <w:rFonts w:ascii="Arial" w:hAnsi="Arial" w:cs="Arial"/>
          <w:sz w:val="20"/>
          <w:szCs w:val="20"/>
          <w:lang w:val="en-GB"/>
        </w:rPr>
        <w:t>e</w:t>
      </w:r>
      <w:r w:rsidR="004F6B27" w:rsidRPr="004030DB">
        <w:rPr>
          <w:rFonts w:ascii="Arial" w:hAnsi="Arial" w:cs="Arial"/>
          <w:sz w:val="20"/>
          <w:szCs w:val="20"/>
          <w:lang w:val="en-GB"/>
        </w:rPr>
        <w:t xml:space="preserve"> </w:t>
      </w:r>
      <w:r w:rsidRPr="004030DB">
        <w:rPr>
          <w:rFonts w:ascii="Arial" w:hAnsi="Arial" w:cs="Arial"/>
          <w:sz w:val="20"/>
          <w:szCs w:val="20"/>
          <w:lang w:val="en-GB"/>
        </w:rPr>
        <w:t>Officer are generally in attendance.</w:t>
      </w:r>
      <w:r w:rsidR="00076502" w:rsidRPr="004030DB">
        <w:rPr>
          <w:rFonts w:ascii="Arial" w:hAnsi="Arial" w:cs="Arial"/>
          <w:sz w:val="20"/>
          <w:szCs w:val="20"/>
          <w:lang w:val="en-GB"/>
        </w:rPr>
        <w:t xml:space="preserve">  </w:t>
      </w:r>
      <w:r w:rsidRPr="004030DB">
        <w:rPr>
          <w:rFonts w:ascii="Arial" w:hAnsi="Arial" w:cs="Arial"/>
          <w:sz w:val="20"/>
          <w:szCs w:val="20"/>
          <w:lang w:val="en-GB"/>
        </w:rPr>
        <w:t>Other executive directors and staff with specialist expertise attend by invitation.</w:t>
      </w:r>
      <w:r w:rsidR="005208D9" w:rsidRPr="004030DB">
        <w:rPr>
          <w:rFonts w:ascii="Arial" w:hAnsi="Arial" w:cs="Arial"/>
          <w:sz w:val="20"/>
          <w:szCs w:val="20"/>
          <w:lang w:val="en-GB"/>
        </w:rPr>
        <w:t xml:space="preserve">  </w:t>
      </w:r>
      <w:r w:rsidRPr="004030DB">
        <w:rPr>
          <w:rFonts w:ascii="Arial" w:hAnsi="Arial" w:cs="Arial"/>
          <w:sz w:val="20"/>
          <w:szCs w:val="20"/>
          <w:lang w:val="en-GB"/>
        </w:rPr>
        <w:t xml:space="preserve">The Committee met </w:t>
      </w:r>
      <w:r w:rsidR="00E63CA7" w:rsidRPr="004030DB">
        <w:rPr>
          <w:rFonts w:ascii="Arial" w:hAnsi="Arial" w:cs="Arial"/>
          <w:sz w:val="20"/>
          <w:szCs w:val="20"/>
          <w:lang w:val="en-GB"/>
        </w:rPr>
        <w:t>six</w:t>
      </w:r>
      <w:r w:rsidRPr="004030DB">
        <w:rPr>
          <w:rFonts w:ascii="Arial" w:hAnsi="Arial" w:cs="Arial"/>
          <w:sz w:val="20"/>
          <w:szCs w:val="20"/>
          <w:lang w:val="en-GB"/>
        </w:rPr>
        <w:t xml:space="preserve"> times during the financial year.</w:t>
      </w:r>
    </w:p>
    <w:p w14:paraId="3C68BDC7" w14:textId="77777777" w:rsidR="00010A15" w:rsidRPr="004030DB" w:rsidRDefault="00010A15" w:rsidP="00AD5544">
      <w:pPr>
        <w:jc w:val="both"/>
        <w:rPr>
          <w:rFonts w:ascii="Arial" w:hAnsi="Arial" w:cs="Arial"/>
          <w:sz w:val="20"/>
          <w:szCs w:val="20"/>
          <w:lang w:val="en-GB"/>
        </w:rPr>
      </w:pPr>
    </w:p>
    <w:p w14:paraId="194544F3" w14:textId="77777777" w:rsidR="005D4BF8" w:rsidRPr="004030DB" w:rsidRDefault="00010A15" w:rsidP="00AD5544">
      <w:pPr>
        <w:jc w:val="both"/>
        <w:rPr>
          <w:rFonts w:ascii="Arial" w:hAnsi="Arial" w:cs="Arial"/>
          <w:b/>
          <w:sz w:val="20"/>
          <w:szCs w:val="20"/>
          <w:lang w:val="en-GB"/>
        </w:rPr>
      </w:pPr>
      <w:r w:rsidRPr="004030DB">
        <w:rPr>
          <w:rFonts w:ascii="Arial" w:hAnsi="Arial" w:cs="Arial"/>
          <w:b/>
          <w:sz w:val="20"/>
          <w:szCs w:val="20"/>
          <w:lang w:val="en-GB"/>
        </w:rPr>
        <w:t>Code of Governance</w:t>
      </w:r>
    </w:p>
    <w:p w14:paraId="1172E6F6" w14:textId="77777777" w:rsidR="00010A15" w:rsidRPr="004030DB" w:rsidRDefault="00A624D7" w:rsidP="00AD5544">
      <w:pPr>
        <w:jc w:val="both"/>
        <w:rPr>
          <w:rFonts w:ascii="Arial" w:hAnsi="Arial" w:cs="Arial"/>
          <w:sz w:val="20"/>
          <w:szCs w:val="20"/>
          <w:lang w:val="en-GB"/>
        </w:rPr>
      </w:pPr>
      <w:r w:rsidRPr="004030DB">
        <w:rPr>
          <w:rFonts w:ascii="Arial" w:hAnsi="Arial" w:cs="Arial"/>
          <w:sz w:val="20"/>
          <w:szCs w:val="20"/>
          <w:lang w:val="en-GB"/>
        </w:rPr>
        <w:t xml:space="preserve">Medway NHS Foundation Trust has applied the principles of the Code of Governance for NHS Provider Trusts (the Code) on a comply or explain basis.  </w:t>
      </w:r>
      <w:r w:rsidR="00CD5FBD" w:rsidRPr="004030DB">
        <w:rPr>
          <w:rFonts w:ascii="Arial" w:hAnsi="Arial" w:cs="Arial"/>
          <w:sz w:val="20"/>
          <w:szCs w:val="20"/>
          <w:lang w:val="en-GB"/>
        </w:rPr>
        <w:t xml:space="preserve">The code came into effect from 1 April 2023 and replaced the 2014 NHS foundation trust code of governance.  </w:t>
      </w:r>
      <w:r w:rsidRPr="004030DB">
        <w:rPr>
          <w:rFonts w:ascii="Arial" w:hAnsi="Arial" w:cs="Arial"/>
          <w:sz w:val="20"/>
          <w:szCs w:val="20"/>
          <w:lang w:val="en-GB"/>
        </w:rPr>
        <w:t xml:space="preserve">The Code brings together best practice from both the public and private sector in order to help NHS Foundation Trust Boards maintain good quality corporate governance.  </w:t>
      </w:r>
      <w:r w:rsidR="00010A15" w:rsidRPr="004030DB">
        <w:rPr>
          <w:rFonts w:ascii="Arial" w:hAnsi="Arial" w:cs="Arial"/>
          <w:sz w:val="20"/>
          <w:szCs w:val="20"/>
          <w:lang w:val="en-GB"/>
        </w:rPr>
        <w:t xml:space="preserve">In so far as the </w:t>
      </w:r>
      <w:r w:rsidR="00D011E8" w:rsidRPr="004030DB">
        <w:rPr>
          <w:rFonts w:ascii="Arial" w:hAnsi="Arial" w:cs="Arial"/>
          <w:sz w:val="20"/>
          <w:szCs w:val="20"/>
          <w:lang w:val="en-GB"/>
        </w:rPr>
        <w:t>B</w:t>
      </w:r>
      <w:r w:rsidR="00010A15" w:rsidRPr="004030DB">
        <w:rPr>
          <w:rFonts w:ascii="Arial" w:hAnsi="Arial" w:cs="Arial"/>
          <w:sz w:val="20"/>
          <w:szCs w:val="20"/>
          <w:lang w:val="en-GB"/>
        </w:rPr>
        <w:t xml:space="preserve">oard </w:t>
      </w:r>
      <w:r w:rsidR="00D011E8" w:rsidRPr="004030DB">
        <w:rPr>
          <w:rFonts w:ascii="Arial" w:hAnsi="Arial" w:cs="Arial"/>
          <w:sz w:val="20"/>
          <w:szCs w:val="20"/>
          <w:lang w:val="en-GB"/>
        </w:rPr>
        <w:t>are</w:t>
      </w:r>
      <w:r w:rsidR="00010A15" w:rsidRPr="004030DB">
        <w:rPr>
          <w:rFonts w:ascii="Arial" w:hAnsi="Arial" w:cs="Arial"/>
          <w:sz w:val="20"/>
          <w:szCs w:val="20"/>
          <w:lang w:val="en-GB"/>
        </w:rPr>
        <w:t xml:space="preserve"> aware, all possible steps have been taken to ensure that all relevant audit information has been disclosed in full to the auditors.</w:t>
      </w:r>
    </w:p>
    <w:p w14:paraId="00132631" w14:textId="77777777" w:rsidR="00010A15" w:rsidRPr="004030DB" w:rsidRDefault="00010A15" w:rsidP="00AD5544">
      <w:pPr>
        <w:jc w:val="both"/>
        <w:rPr>
          <w:rFonts w:ascii="Arial" w:hAnsi="Arial" w:cs="Arial"/>
          <w:sz w:val="20"/>
          <w:szCs w:val="20"/>
          <w:lang w:val="en-GB"/>
        </w:rPr>
      </w:pPr>
    </w:p>
    <w:p w14:paraId="79ACC977" w14:textId="77777777" w:rsidR="005D4BF8" w:rsidRPr="004030DB" w:rsidRDefault="00010A15" w:rsidP="00AD5544">
      <w:pPr>
        <w:jc w:val="both"/>
        <w:rPr>
          <w:rFonts w:ascii="Arial" w:hAnsi="Arial" w:cs="Arial"/>
          <w:b/>
          <w:sz w:val="20"/>
          <w:szCs w:val="20"/>
          <w:lang w:val="en-GB"/>
        </w:rPr>
      </w:pPr>
      <w:r w:rsidRPr="004030DB">
        <w:rPr>
          <w:rFonts w:ascii="Arial" w:hAnsi="Arial" w:cs="Arial"/>
          <w:b/>
          <w:sz w:val="20"/>
          <w:szCs w:val="20"/>
          <w:lang w:val="en-GB"/>
        </w:rPr>
        <w:t xml:space="preserve">Effectiveness of the </w:t>
      </w:r>
      <w:r w:rsidR="00384531" w:rsidRPr="004030DB">
        <w:rPr>
          <w:rFonts w:ascii="Arial" w:hAnsi="Arial" w:cs="Arial"/>
          <w:b/>
          <w:sz w:val="20"/>
          <w:szCs w:val="20"/>
          <w:lang w:val="en-GB"/>
        </w:rPr>
        <w:t>C</w:t>
      </w:r>
      <w:r w:rsidRPr="004030DB">
        <w:rPr>
          <w:rFonts w:ascii="Arial" w:hAnsi="Arial" w:cs="Arial"/>
          <w:b/>
          <w:sz w:val="20"/>
          <w:szCs w:val="20"/>
          <w:lang w:val="en-GB"/>
        </w:rPr>
        <w:t>ommittee</w:t>
      </w:r>
    </w:p>
    <w:p w14:paraId="74B9C5C0" w14:textId="77777777" w:rsidR="00010A15" w:rsidRPr="004030DB" w:rsidRDefault="00010A15" w:rsidP="00AD5544">
      <w:pPr>
        <w:jc w:val="both"/>
        <w:rPr>
          <w:rFonts w:ascii="Arial" w:hAnsi="Arial" w:cs="Arial"/>
          <w:sz w:val="20"/>
          <w:szCs w:val="20"/>
          <w:lang w:val="en-GB"/>
        </w:rPr>
      </w:pPr>
      <w:r w:rsidRPr="004030DB">
        <w:rPr>
          <w:rFonts w:ascii="Arial" w:hAnsi="Arial" w:cs="Arial"/>
          <w:sz w:val="20"/>
          <w:szCs w:val="20"/>
          <w:lang w:val="en-GB"/>
        </w:rPr>
        <w:t xml:space="preserve">The </w:t>
      </w:r>
      <w:r w:rsidR="00A624D7" w:rsidRPr="004030DB">
        <w:rPr>
          <w:rFonts w:ascii="Arial" w:hAnsi="Arial" w:cs="Arial"/>
          <w:sz w:val="20"/>
          <w:szCs w:val="20"/>
          <w:lang w:val="en-GB"/>
        </w:rPr>
        <w:t>C</w:t>
      </w:r>
      <w:r w:rsidRPr="004030DB">
        <w:rPr>
          <w:rFonts w:ascii="Arial" w:hAnsi="Arial" w:cs="Arial"/>
          <w:sz w:val="20"/>
          <w:szCs w:val="20"/>
          <w:lang w:val="en-GB"/>
        </w:rPr>
        <w:t>ommittee reviews its effectiveness and impact annually using best practice guidance, and ensures that any matters arising from this review are addressed.</w:t>
      </w:r>
      <w:r w:rsidR="005208D9" w:rsidRPr="004030DB">
        <w:rPr>
          <w:rFonts w:ascii="Arial" w:hAnsi="Arial" w:cs="Arial"/>
          <w:sz w:val="20"/>
          <w:szCs w:val="20"/>
          <w:lang w:val="en-GB"/>
        </w:rPr>
        <w:t xml:space="preserve">  </w:t>
      </w:r>
      <w:r w:rsidRPr="004030DB">
        <w:rPr>
          <w:rFonts w:ascii="Arial" w:hAnsi="Arial" w:cs="Arial"/>
          <w:sz w:val="20"/>
          <w:szCs w:val="20"/>
          <w:lang w:val="en-GB"/>
        </w:rPr>
        <w:t xml:space="preserve">The Non-Executive Directors were satisfied that </w:t>
      </w:r>
      <w:r w:rsidR="00BD036B" w:rsidRPr="004030DB">
        <w:rPr>
          <w:rFonts w:ascii="Arial" w:hAnsi="Arial" w:cs="Arial"/>
          <w:sz w:val="20"/>
          <w:szCs w:val="20"/>
          <w:lang w:val="en-GB"/>
        </w:rPr>
        <w:t>in 202</w:t>
      </w:r>
      <w:r w:rsidR="00047BAD" w:rsidRPr="004030DB">
        <w:rPr>
          <w:rFonts w:ascii="Arial" w:hAnsi="Arial" w:cs="Arial"/>
          <w:sz w:val="20"/>
          <w:szCs w:val="20"/>
          <w:lang w:val="en-GB"/>
        </w:rPr>
        <w:t>4</w:t>
      </w:r>
      <w:r w:rsidR="00BD036B" w:rsidRPr="004030DB">
        <w:rPr>
          <w:rFonts w:ascii="Arial" w:hAnsi="Arial" w:cs="Arial"/>
          <w:sz w:val="20"/>
          <w:szCs w:val="20"/>
          <w:lang w:val="en-GB"/>
        </w:rPr>
        <w:t>/2</w:t>
      </w:r>
      <w:r w:rsidR="00047BAD" w:rsidRPr="004030DB">
        <w:rPr>
          <w:rFonts w:ascii="Arial" w:hAnsi="Arial" w:cs="Arial"/>
          <w:sz w:val="20"/>
          <w:szCs w:val="20"/>
          <w:lang w:val="en-GB"/>
        </w:rPr>
        <w:t>5</w:t>
      </w:r>
      <w:r w:rsidR="00BD036B" w:rsidRPr="004030DB">
        <w:rPr>
          <w:rFonts w:ascii="Arial" w:hAnsi="Arial" w:cs="Arial"/>
          <w:sz w:val="20"/>
          <w:szCs w:val="20"/>
          <w:lang w:val="en-GB"/>
        </w:rPr>
        <w:t xml:space="preserve"> </w:t>
      </w:r>
      <w:r w:rsidRPr="004030DB">
        <w:rPr>
          <w:rFonts w:ascii="Arial" w:hAnsi="Arial" w:cs="Arial"/>
          <w:sz w:val="20"/>
          <w:szCs w:val="20"/>
          <w:lang w:val="en-GB"/>
        </w:rPr>
        <w:t xml:space="preserve">the </w:t>
      </w:r>
      <w:r w:rsidR="004B0844" w:rsidRPr="004030DB">
        <w:rPr>
          <w:rFonts w:ascii="Arial" w:hAnsi="Arial" w:cs="Arial"/>
          <w:sz w:val="20"/>
          <w:szCs w:val="20"/>
          <w:lang w:val="en-GB"/>
        </w:rPr>
        <w:t>C</w:t>
      </w:r>
      <w:r w:rsidRPr="004030DB">
        <w:rPr>
          <w:rFonts w:ascii="Arial" w:hAnsi="Arial" w:cs="Arial"/>
          <w:sz w:val="20"/>
          <w:szCs w:val="20"/>
          <w:lang w:val="en-GB"/>
        </w:rPr>
        <w:t>ommittee had</w:t>
      </w:r>
      <w:r w:rsidR="0084620F" w:rsidRPr="004030DB">
        <w:rPr>
          <w:rFonts w:ascii="Arial" w:hAnsi="Arial" w:cs="Arial"/>
          <w:sz w:val="20"/>
          <w:szCs w:val="20"/>
          <w:lang w:val="en-GB"/>
        </w:rPr>
        <w:t xml:space="preserve"> </w:t>
      </w:r>
      <w:r w:rsidRPr="004030DB">
        <w:rPr>
          <w:rFonts w:ascii="Arial" w:hAnsi="Arial" w:cs="Arial"/>
          <w:sz w:val="20"/>
          <w:szCs w:val="20"/>
          <w:lang w:val="en-GB"/>
        </w:rPr>
        <w:t>complied with its obligations and expectations as noted in its terms of reference, with steady progress being made on improving processes, with further improvement required.</w:t>
      </w:r>
      <w:r w:rsidR="004B0844" w:rsidRPr="004030DB">
        <w:rPr>
          <w:rFonts w:ascii="Arial" w:hAnsi="Arial" w:cs="Arial"/>
          <w:sz w:val="20"/>
          <w:szCs w:val="20"/>
          <w:lang w:val="en-GB"/>
        </w:rPr>
        <w:t xml:space="preserve"> </w:t>
      </w:r>
    </w:p>
    <w:p w14:paraId="15E45768" w14:textId="77777777" w:rsidR="005D4BF8" w:rsidRPr="004030DB" w:rsidRDefault="005D4BF8" w:rsidP="00AD5544">
      <w:pPr>
        <w:jc w:val="both"/>
        <w:rPr>
          <w:rFonts w:ascii="Arial" w:hAnsi="Arial" w:cs="Arial"/>
          <w:sz w:val="20"/>
          <w:szCs w:val="20"/>
          <w:lang w:val="en-GB"/>
        </w:rPr>
      </w:pPr>
    </w:p>
    <w:p w14:paraId="73F9DF9C" w14:textId="4C9A14DE" w:rsidR="00010A15" w:rsidRPr="004030DB" w:rsidRDefault="00010A15" w:rsidP="00AD5544">
      <w:pPr>
        <w:jc w:val="both"/>
        <w:rPr>
          <w:rFonts w:ascii="Arial" w:hAnsi="Arial" w:cs="Arial"/>
          <w:sz w:val="20"/>
          <w:szCs w:val="20"/>
          <w:lang w:val="en-GB"/>
        </w:rPr>
      </w:pPr>
      <w:r w:rsidRPr="004030DB">
        <w:rPr>
          <w:rFonts w:ascii="Arial" w:hAnsi="Arial" w:cs="Arial"/>
          <w:sz w:val="20"/>
          <w:szCs w:val="20"/>
          <w:lang w:val="en-GB"/>
        </w:rPr>
        <w:t xml:space="preserve">The </w:t>
      </w:r>
      <w:r w:rsidR="00A624D7" w:rsidRPr="004030DB">
        <w:rPr>
          <w:rFonts w:ascii="Arial" w:hAnsi="Arial" w:cs="Arial"/>
          <w:sz w:val="20"/>
          <w:szCs w:val="20"/>
          <w:lang w:val="en-GB"/>
        </w:rPr>
        <w:t>C</w:t>
      </w:r>
      <w:r w:rsidRPr="004030DB">
        <w:rPr>
          <w:rFonts w:ascii="Arial" w:hAnsi="Arial" w:cs="Arial"/>
          <w:sz w:val="20"/>
          <w:szCs w:val="20"/>
          <w:lang w:val="en-GB"/>
        </w:rPr>
        <w:t xml:space="preserve">ommittee </w:t>
      </w:r>
      <w:r w:rsidR="002C322D">
        <w:rPr>
          <w:rFonts w:ascii="Arial" w:hAnsi="Arial" w:cs="Arial"/>
          <w:sz w:val="20"/>
          <w:szCs w:val="20"/>
          <w:lang w:val="en-GB"/>
        </w:rPr>
        <w:t xml:space="preserve">annually </w:t>
      </w:r>
      <w:r w:rsidRPr="004030DB">
        <w:rPr>
          <w:rFonts w:ascii="Arial" w:hAnsi="Arial" w:cs="Arial"/>
          <w:sz w:val="20"/>
          <w:szCs w:val="20"/>
          <w:lang w:val="en-GB"/>
        </w:rPr>
        <w:t>reviewed its terms of reference</w:t>
      </w:r>
      <w:r w:rsidR="005D4BF8" w:rsidRPr="004030DB">
        <w:rPr>
          <w:rFonts w:ascii="Arial" w:hAnsi="Arial" w:cs="Arial"/>
          <w:sz w:val="20"/>
          <w:szCs w:val="20"/>
          <w:lang w:val="en-GB"/>
        </w:rPr>
        <w:t>.</w:t>
      </w:r>
      <w:r w:rsidR="004B0844" w:rsidRPr="004030DB">
        <w:rPr>
          <w:rFonts w:ascii="Arial" w:hAnsi="Arial" w:cs="Arial"/>
          <w:sz w:val="20"/>
          <w:szCs w:val="20"/>
          <w:lang w:val="en-GB"/>
        </w:rPr>
        <w:t xml:space="preserve">  </w:t>
      </w:r>
      <w:r w:rsidR="002C322D">
        <w:rPr>
          <w:rFonts w:ascii="Arial" w:hAnsi="Arial" w:cs="Arial"/>
          <w:sz w:val="20"/>
          <w:szCs w:val="20"/>
          <w:lang w:val="en-GB"/>
        </w:rPr>
        <w:t>A further review is planned with the arrival of a new Committee Chair in May 2025, where the document will be</w:t>
      </w:r>
      <w:r w:rsidRPr="004030DB">
        <w:rPr>
          <w:rFonts w:ascii="Arial" w:hAnsi="Arial" w:cs="Arial"/>
          <w:sz w:val="20"/>
          <w:szCs w:val="20"/>
          <w:lang w:val="en-GB"/>
        </w:rPr>
        <w:t xml:space="preserve"> revised with changes to adhere to best practice</w:t>
      </w:r>
      <w:r w:rsidR="005D4BF8" w:rsidRPr="004030DB">
        <w:rPr>
          <w:rFonts w:ascii="Arial" w:hAnsi="Arial" w:cs="Arial"/>
          <w:sz w:val="20"/>
          <w:szCs w:val="20"/>
          <w:lang w:val="en-GB"/>
        </w:rPr>
        <w:t xml:space="preserve"> and amendments to the Trust</w:t>
      </w:r>
      <w:r w:rsidR="00BD036B" w:rsidRPr="004030DB">
        <w:rPr>
          <w:rFonts w:ascii="Arial" w:hAnsi="Arial" w:cs="Arial"/>
          <w:sz w:val="20"/>
          <w:szCs w:val="20"/>
          <w:lang w:val="en-GB"/>
        </w:rPr>
        <w:t>’</w:t>
      </w:r>
      <w:r w:rsidR="005D4BF8" w:rsidRPr="004030DB">
        <w:rPr>
          <w:rFonts w:ascii="Arial" w:hAnsi="Arial" w:cs="Arial"/>
          <w:sz w:val="20"/>
          <w:szCs w:val="20"/>
          <w:lang w:val="en-GB"/>
        </w:rPr>
        <w:t>s approach to risk management</w:t>
      </w:r>
      <w:r w:rsidRPr="004030DB">
        <w:rPr>
          <w:rFonts w:ascii="Arial" w:hAnsi="Arial" w:cs="Arial"/>
          <w:sz w:val="20"/>
          <w:szCs w:val="20"/>
          <w:lang w:val="en-GB"/>
        </w:rPr>
        <w:t>.</w:t>
      </w:r>
      <w:r w:rsidR="00C94B08" w:rsidRPr="004030DB">
        <w:rPr>
          <w:rFonts w:ascii="Arial" w:hAnsi="Arial" w:cs="Arial"/>
          <w:sz w:val="20"/>
          <w:szCs w:val="20"/>
          <w:lang w:val="en-GB"/>
        </w:rPr>
        <w:t xml:space="preserve"> </w:t>
      </w:r>
    </w:p>
    <w:p w14:paraId="540451AA" w14:textId="77777777" w:rsidR="005D4BF8" w:rsidRPr="004030DB" w:rsidRDefault="005D4BF8" w:rsidP="00AD5544">
      <w:pPr>
        <w:jc w:val="both"/>
        <w:rPr>
          <w:rFonts w:ascii="Arial" w:hAnsi="Arial" w:cs="Arial"/>
          <w:sz w:val="20"/>
          <w:szCs w:val="20"/>
          <w:lang w:val="en-GB"/>
        </w:rPr>
      </w:pPr>
    </w:p>
    <w:p w14:paraId="44BDD979" w14:textId="77777777" w:rsidR="00010A15" w:rsidRPr="004030DB" w:rsidRDefault="00010A15" w:rsidP="00AD5544">
      <w:pPr>
        <w:jc w:val="both"/>
        <w:rPr>
          <w:rFonts w:ascii="Arial" w:hAnsi="Arial" w:cs="Arial"/>
          <w:sz w:val="20"/>
          <w:szCs w:val="20"/>
          <w:lang w:val="en-GB"/>
        </w:rPr>
      </w:pPr>
      <w:r w:rsidRPr="004030DB">
        <w:rPr>
          <w:rFonts w:ascii="Arial" w:hAnsi="Arial" w:cs="Arial"/>
          <w:sz w:val="20"/>
          <w:szCs w:val="20"/>
          <w:lang w:val="en-GB"/>
        </w:rPr>
        <w:t xml:space="preserve">The </w:t>
      </w:r>
      <w:r w:rsidR="004B0844" w:rsidRPr="004030DB">
        <w:rPr>
          <w:rFonts w:ascii="Arial" w:hAnsi="Arial" w:cs="Arial"/>
          <w:sz w:val="20"/>
          <w:szCs w:val="20"/>
          <w:lang w:val="en-GB"/>
        </w:rPr>
        <w:t>C</w:t>
      </w:r>
      <w:r w:rsidRPr="004030DB">
        <w:rPr>
          <w:rFonts w:ascii="Arial" w:hAnsi="Arial" w:cs="Arial"/>
          <w:sz w:val="20"/>
          <w:szCs w:val="20"/>
          <w:lang w:val="en-GB"/>
        </w:rPr>
        <w:t>ommittee also review</w:t>
      </w:r>
      <w:r w:rsidR="00C94B08" w:rsidRPr="004030DB">
        <w:rPr>
          <w:rFonts w:ascii="Arial" w:hAnsi="Arial" w:cs="Arial"/>
          <w:sz w:val="20"/>
          <w:szCs w:val="20"/>
          <w:lang w:val="en-GB"/>
        </w:rPr>
        <w:t>ed</w:t>
      </w:r>
      <w:r w:rsidRPr="004030DB">
        <w:rPr>
          <w:rFonts w:ascii="Arial" w:hAnsi="Arial" w:cs="Arial"/>
          <w:sz w:val="20"/>
          <w:szCs w:val="20"/>
          <w:lang w:val="en-GB"/>
        </w:rPr>
        <w:t xml:space="preserve"> the performance of its internal and external auditors’ service against best practice criteria as detailed in th</w:t>
      </w:r>
      <w:r w:rsidR="009D0215" w:rsidRPr="004030DB">
        <w:rPr>
          <w:rFonts w:ascii="Arial" w:hAnsi="Arial" w:cs="Arial"/>
          <w:sz w:val="20"/>
          <w:szCs w:val="20"/>
          <w:lang w:val="en-GB"/>
        </w:rPr>
        <w:t>e NHS Audit Committee Handbook.</w:t>
      </w:r>
      <w:r w:rsidR="00C94B08" w:rsidRPr="004030DB">
        <w:rPr>
          <w:rFonts w:ascii="Arial" w:hAnsi="Arial" w:cs="Arial"/>
          <w:sz w:val="20"/>
          <w:szCs w:val="20"/>
          <w:lang w:val="en-GB"/>
        </w:rPr>
        <w:t xml:space="preserve">  </w:t>
      </w:r>
    </w:p>
    <w:p w14:paraId="424CD451" w14:textId="77777777" w:rsidR="0030012F" w:rsidRPr="004030DB" w:rsidRDefault="0030012F" w:rsidP="00AD5544">
      <w:pPr>
        <w:jc w:val="both"/>
        <w:rPr>
          <w:rFonts w:ascii="Arial" w:hAnsi="Arial" w:cs="Arial"/>
          <w:b/>
          <w:sz w:val="20"/>
          <w:szCs w:val="20"/>
          <w:lang w:val="en-GB"/>
        </w:rPr>
      </w:pPr>
    </w:p>
    <w:p w14:paraId="187A0DB5" w14:textId="77777777" w:rsidR="00EA24BF" w:rsidRPr="004030DB" w:rsidRDefault="00EA24BF" w:rsidP="00AD5544">
      <w:pPr>
        <w:jc w:val="both"/>
        <w:rPr>
          <w:rFonts w:ascii="Arial" w:hAnsi="Arial" w:cs="Arial"/>
          <w:b/>
          <w:sz w:val="20"/>
          <w:szCs w:val="20"/>
          <w:lang w:val="en-GB"/>
        </w:rPr>
      </w:pPr>
      <w:bookmarkStart w:id="15" w:name="_Hlk166572589"/>
      <w:r w:rsidRPr="004030DB">
        <w:rPr>
          <w:rFonts w:ascii="Arial" w:hAnsi="Arial" w:cs="Arial"/>
          <w:b/>
          <w:sz w:val="20"/>
          <w:szCs w:val="20"/>
          <w:lang w:val="en-GB"/>
        </w:rPr>
        <w:t xml:space="preserve">External Audit </w:t>
      </w:r>
    </w:p>
    <w:p w14:paraId="1D6C89E9" w14:textId="77777777" w:rsidR="00EA24BF" w:rsidRPr="004030DB" w:rsidRDefault="007E69A7" w:rsidP="00AD5544">
      <w:pPr>
        <w:jc w:val="both"/>
        <w:rPr>
          <w:rFonts w:ascii="Arial" w:hAnsi="Arial" w:cs="Arial"/>
          <w:sz w:val="20"/>
          <w:szCs w:val="20"/>
          <w:lang w:val="en-GB"/>
        </w:rPr>
      </w:pPr>
      <w:r w:rsidRPr="004030DB">
        <w:rPr>
          <w:rFonts w:ascii="Arial" w:hAnsi="Arial" w:cs="Arial"/>
          <w:sz w:val="20"/>
          <w:szCs w:val="20"/>
          <w:lang w:val="en-GB"/>
        </w:rPr>
        <w:t xml:space="preserve">The Trust explored the market to ascertain future options for External Auditors following the end of Grant Thornton’s term concluding.  The Council of Governors Nomination and Remuneration Committee approved the recommendation to retain Grant Thornton and appoint for a three-year period starting 2025/26.  This meeting took place on 05 February 2025.  </w:t>
      </w:r>
      <w:r w:rsidR="00EA24BF" w:rsidRPr="004030DB">
        <w:rPr>
          <w:rFonts w:ascii="Arial" w:hAnsi="Arial" w:cs="Arial"/>
          <w:sz w:val="20"/>
          <w:szCs w:val="20"/>
          <w:lang w:val="en-GB"/>
        </w:rPr>
        <w:t>This year’s fee was £1</w:t>
      </w:r>
      <w:r w:rsidR="003D41B9" w:rsidRPr="004030DB">
        <w:rPr>
          <w:rFonts w:ascii="Arial" w:hAnsi="Arial" w:cs="Arial"/>
          <w:sz w:val="20"/>
          <w:szCs w:val="20"/>
          <w:lang w:val="en-GB"/>
        </w:rPr>
        <w:t>45</w:t>
      </w:r>
      <w:r w:rsidR="00EA24BF" w:rsidRPr="004030DB">
        <w:rPr>
          <w:rFonts w:ascii="Arial" w:hAnsi="Arial" w:cs="Arial"/>
          <w:sz w:val="20"/>
          <w:szCs w:val="20"/>
          <w:lang w:val="en-GB"/>
        </w:rPr>
        <w:t>,000 before VAT</w:t>
      </w:r>
      <w:r w:rsidR="001C3ACB" w:rsidRPr="004030DB">
        <w:rPr>
          <w:rFonts w:ascii="Arial" w:hAnsi="Arial" w:cs="Arial"/>
          <w:sz w:val="20"/>
          <w:szCs w:val="20"/>
          <w:lang w:val="en-GB"/>
        </w:rPr>
        <w:t xml:space="preserve">.  </w:t>
      </w:r>
    </w:p>
    <w:p w14:paraId="67F3691D" w14:textId="77777777" w:rsidR="00EA24BF" w:rsidRPr="004030DB" w:rsidRDefault="00EA24BF" w:rsidP="00AD5544">
      <w:pPr>
        <w:jc w:val="both"/>
        <w:rPr>
          <w:rFonts w:ascii="Arial" w:hAnsi="Arial" w:cs="Arial"/>
          <w:sz w:val="20"/>
          <w:szCs w:val="20"/>
          <w:lang w:val="en-GB"/>
        </w:rPr>
      </w:pPr>
    </w:p>
    <w:p w14:paraId="00146397" w14:textId="77777777" w:rsidR="00EA24BF" w:rsidRDefault="00EA24BF" w:rsidP="00AD5544">
      <w:pPr>
        <w:jc w:val="both"/>
        <w:rPr>
          <w:rFonts w:ascii="Arial" w:hAnsi="Arial" w:cs="Arial"/>
          <w:sz w:val="20"/>
          <w:szCs w:val="20"/>
          <w:lang w:val="en-GB"/>
        </w:rPr>
      </w:pPr>
      <w:r w:rsidRPr="004030DB">
        <w:rPr>
          <w:rFonts w:ascii="Arial" w:hAnsi="Arial" w:cs="Arial"/>
          <w:sz w:val="20"/>
          <w:szCs w:val="20"/>
          <w:lang w:val="en-GB"/>
        </w:rPr>
        <w:t>Their audit and non-audit fees are set, monitored and reviewed throughout the year and are included in the notes to the accounts.</w:t>
      </w:r>
    </w:p>
    <w:p w14:paraId="293D5A78" w14:textId="77777777" w:rsidR="004030DB" w:rsidRPr="004030DB" w:rsidRDefault="004030DB" w:rsidP="00AD5544">
      <w:pPr>
        <w:jc w:val="both"/>
        <w:rPr>
          <w:rFonts w:ascii="Arial" w:hAnsi="Arial" w:cs="Arial"/>
          <w:sz w:val="20"/>
          <w:szCs w:val="20"/>
          <w:lang w:val="en-GB"/>
        </w:rPr>
      </w:pPr>
    </w:p>
    <w:bookmarkEnd w:id="15"/>
    <w:p w14:paraId="31C4736E" w14:textId="77777777" w:rsidR="00EA24BF" w:rsidRPr="004030DB" w:rsidRDefault="00EA24BF" w:rsidP="00AD5544">
      <w:pPr>
        <w:jc w:val="both"/>
        <w:rPr>
          <w:rFonts w:ascii="Arial" w:hAnsi="Arial" w:cs="Arial"/>
          <w:b/>
          <w:sz w:val="20"/>
          <w:szCs w:val="20"/>
          <w:lang w:val="en-GB"/>
        </w:rPr>
      </w:pPr>
      <w:r w:rsidRPr="004030DB">
        <w:rPr>
          <w:rFonts w:ascii="Arial" w:hAnsi="Arial" w:cs="Arial"/>
          <w:b/>
          <w:sz w:val="20"/>
          <w:szCs w:val="20"/>
          <w:lang w:val="en-GB"/>
        </w:rPr>
        <w:t xml:space="preserve">Independence of External Auditor </w:t>
      </w:r>
    </w:p>
    <w:p w14:paraId="588D0F29" w14:textId="77777777" w:rsidR="00010A15" w:rsidRPr="004030DB" w:rsidRDefault="00EA24BF" w:rsidP="00AD5544">
      <w:pPr>
        <w:jc w:val="both"/>
        <w:rPr>
          <w:rFonts w:ascii="Arial" w:hAnsi="Arial" w:cs="Arial"/>
          <w:sz w:val="20"/>
          <w:szCs w:val="20"/>
          <w:lang w:val="en-GB"/>
        </w:rPr>
      </w:pPr>
      <w:r w:rsidRPr="004030DB">
        <w:rPr>
          <w:rFonts w:ascii="Arial" w:hAnsi="Arial" w:cs="Arial"/>
          <w:sz w:val="20"/>
          <w:szCs w:val="20"/>
          <w:lang w:val="en-GB"/>
        </w:rPr>
        <w:t xml:space="preserve">The Audit and Risk Committee considered the independence of </w:t>
      </w:r>
      <w:r w:rsidR="00C32C30" w:rsidRPr="004030DB">
        <w:rPr>
          <w:rFonts w:ascii="Arial" w:hAnsi="Arial" w:cs="Arial"/>
          <w:sz w:val="20"/>
          <w:szCs w:val="20"/>
          <w:lang w:val="en-GB"/>
        </w:rPr>
        <w:t>the</w:t>
      </w:r>
      <w:r w:rsidRPr="004030DB">
        <w:rPr>
          <w:rFonts w:ascii="Arial" w:hAnsi="Arial" w:cs="Arial"/>
          <w:sz w:val="20"/>
          <w:szCs w:val="20"/>
          <w:lang w:val="en-GB"/>
        </w:rPr>
        <w:t xml:space="preserve"> external auditor undertaking non-audit work.  No risks were identified in this respect, particularly in relation to self-review and familiarity.  The Trust auditors will not be relying on any additional work undertaken when forming their opinion and the Trust does not believe there to be a threat of familiarity.</w:t>
      </w:r>
    </w:p>
    <w:p w14:paraId="368B8DAF" w14:textId="77777777" w:rsidR="001A26E7" w:rsidRPr="004030DB" w:rsidRDefault="00010A15" w:rsidP="00AD5544">
      <w:pPr>
        <w:jc w:val="both"/>
        <w:rPr>
          <w:rFonts w:ascii="Arial" w:hAnsi="Arial" w:cs="Arial"/>
          <w:b/>
          <w:sz w:val="20"/>
          <w:szCs w:val="20"/>
          <w:lang w:val="en-GB"/>
        </w:rPr>
      </w:pPr>
      <w:r w:rsidRPr="004030DB">
        <w:rPr>
          <w:rFonts w:ascii="Arial" w:hAnsi="Arial" w:cs="Arial"/>
          <w:b/>
          <w:sz w:val="20"/>
          <w:szCs w:val="20"/>
          <w:lang w:val="en-GB"/>
        </w:rPr>
        <w:lastRenderedPageBreak/>
        <w:t xml:space="preserve">Internal </w:t>
      </w:r>
      <w:r w:rsidR="00076502" w:rsidRPr="004030DB">
        <w:rPr>
          <w:rFonts w:ascii="Arial" w:hAnsi="Arial" w:cs="Arial"/>
          <w:b/>
          <w:sz w:val="20"/>
          <w:szCs w:val="20"/>
          <w:lang w:val="en-GB"/>
        </w:rPr>
        <w:t>C</w:t>
      </w:r>
      <w:r w:rsidRPr="004030DB">
        <w:rPr>
          <w:rFonts w:ascii="Arial" w:hAnsi="Arial" w:cs="Arial"/>
          <w:b/>
          <w:sz w:val="20"/>
          <w:szCs w:val="20"/>
          <w:lang w:val="en-GB"/>
        </w:rPr>
        <w:t xml:space="preserve">ontrols, </w:t>
      </w:r>
      <w:r w:rsidR="00076502" w:rsidRPr="004030DB">
        <w:rPr>
          <w:rFonts w:ascii="Arial" w:hAnsi="Arial" w:cs="Arial"/>
          <w:b/>
          <w:sz w:val="20"/>
          <w:szCs w:val="20"/>
          <w:lang w:val="en-GB"/>
        </w:rPr>
        <w:t>I</w:t>
      </w:r>
      <w:r w:rsidRPr="004030DB">
        <w:rPr>
          <w:rFonts w:ascii="Arial" w:hAnsi="Arial" w:cs="Arial"/>
          <w:b/>
          <w:sz w:val="20"/>
          <w:szCs w:val="20"/>
          <w:lang w:val="en-GB"/>
        </w:rPr>
        <w:t xml:space="preserve">nternal </w:t>
      </w:r>
      <w:r w:rsidR="00076502" w:rsidRPr="004030DB">
        <w:rPr>
          <w:rFonts w:ascii="Arial" w:hAnsi="Arial" w:cs="Arial"/>
          <w:b/>
          <w:sz w:val="20"/>
          <w:szCs w:val="20"/>
          <w:lang w:val="en-GB"/>
        </w:rPr>
        <w:t>A</w:t>
      </w:r>
      <w:r w:rsidRPr="004030DB">
        <w:rPr>
          <w:rFonts w:ascii="Arial" w:hAnsi="Arial" w:cs="Arial"/>
          <w:b/>
          <w:sz w:val="20"/>
          <w:szCs w:val="20"/>
          <w:lang w:val="en-GB"/>
        </w:rPr>
        <w:t xml:space="preserve">udit and </w:t>
      </w:r>
      <w:r w:rsidR="00076502" w:rsidRPr="004030DB">
        <w:rPr>
          <w:rFonts w:ascii="Arial" w:hAnsi="Arial" w:cs="Arial"/>
          <w:b/>
          <w:sz w:val="20"/>
          <w:szCs w:val="20"/>
          <w:lang w:val="en-GB"/>
        </w:rPr>
        <w:t>C</w:t>
      </w:r>
      <w:r w:rsidRPr="004030DB">
        <w:rPr>
          <w:rFonts w:ascii="Arial" w:hAnsi="Arial" w:cs="Arial"/>
          <w:b/>
          <w:sz w:val="20"/>
          <w:szCs w:val="20"/>
          <w:lang w:val="en-GB"/>
        </w:rPr>
        <w:t>ounter-</w:t>
      </w:r>
      <w:r w:rsidR="00076502" w:rsidRPr="004030DB">
        <w:rPr>
          <w:rFonts w:ascii="Arial" w:hAnsi="Arial" w:cs="Arial"/>
          <w:b/>
          <w:sz w:val="20"/>
          <w:szCs w:val="20"/>
          <w:lang w:val="en-GB"/>
        </w:rPr>
        <w:t>F</w:t>
      </w:r>
      <w:r w:rsidRPr="004030DB">
        <w:rPr>
          <w:rFonts w:ascii="Arial" w:hAnsi="Arial" w:cs="Arial"/>
          <w:b/>
          <w:sz w:val="20"/>
          <w:szCs w:val="20"/>
          <w:lang w:val="en-GB"/>
        </w:rPr>
        <w:t xml:space="preserve">raud </w:t>
      </w:r>
      <w:r w:rsidR="00076502" w:rsidRPr="004030DB">
        <w:rPr>
          <w:rFonts w:ascii="Arial" w:hAnsi="Arial" w:cs="Arial"/>
          <w:b/>
          <w:sz w:val="20"/>
          <w:szCs w:val="20"/>
          <w:lang w:val="en-GB"/>
        </w:rPr>
        <w:t>S</w:t>
      </w:r>
      <w:r w:rsidRPr="004030DB">
        <w:rPr>
          <w:rFonts w:ascii="Arial" w:hAnsi="Arial" w:cs="Arial"/>
          <w:b/>
          <w:sz w:val="20"/>
          <w:szCs w:val="20"/>
          <w:lang w:val="en-GB"/>
        </w:rPr>
        <w:t>ervices</w:t>
      </w:r>
    </w:p>
    <w:p w14:paraId="22C73ABB" w14:textId="77777777" w:rsidR="0095744E" w:rsidRPr="004030DB" w:rsidRDefault="0095744E" w:rsidP="00AD5544">
      <w:pPr>
        <w:jc w:val="both"/>
        <w:rPr>
          <w:rFonts w:ascii="Arial" w:hAnsi="Arial" w:cs="Arial"/>
          <w:sz w:val="20"/>
          <w:szCs w:val="20"/>
          <w:lang w:val="en-GB"/>
        </w:rPr>
      </w:pPr>
      <w:r w:rsidRPr="004030DB">
        <w:rPr>
          <w:rFonts w:ascii="Arial" w:hAnsi="Arial" w:cs="Arial"/>
          <w:sz w:val="20"/>
          <w:szCs w:val="20"/>
          <w:lang w:val="en-GB"/>
        </w:rPr>
        <w:t xml:space="preserve">Counter </w:t>
      </w:r>
      <w:r w:rsidR="004B0844" w:rsidRPr="004030DB">
        <w:rPr>
          <w:rFonts w:ascii="Arial" w:hAnsi="Arial" w:cs="Arial"/>
          <w:sz w:val="20"/>
          <w:szCs w:val="20"/>
          <w:lang w:val="en-GB"/>
        </w:rPr>
        <w:t>F</w:t>
      </w:r>
      <w:r w:rsidRPr="004030DB">
        <w:rPr>
          <w:rFonts w:ascii="Arial" w:hAnsi="Arial" w:cs="Arial"/>
          <w:sz w:val="20"/>
          <w:szCs w:val="20"/>
          <w:lang w:val="en-GB"/>
        </w:rPr>
        <w:t xml:space="preserve">raud </w:t>
      </w:r>
      <w:r w:rsidR="004B0844" w:rsidRPr="004030DB">
        <w:rPr>
          <w:rFonts w:ascii="Arial" w:hAnsi="Arial" w:cs="Arial"/>
          <w:sz w:val="20"/>
          <w:szCs w:val="20"/>
          <w:lang w:val="en-GB"/>
        </w:rPr>
        <w:t>S</w:t>
      </w:r>
      <w:r w:rsidRPr="004030DB">
        <w:rPr>
          <w:rFonts w:ascii="Arial" w:hAnsi="Arial" w:cs="Arial"/>
          <w:sz w:val="20"/>
          <w:szCs w:val="20"/>
          <w:lang w:val="en-GB"/>
        </w:rPr>
        <w:t>ervices, provided by RSM</w:t>
      </w:r>
      <w:r w:rsidR="00BD036B" w:rsidRPr="004030DB">
        <w:rPr>
          <w:rFonts w:ascii="Arial" w:hAnsi="Arial" w:cs="Arial"/>
          <w:sz w:val="20"/>
          <w:szCs w:val="20"/>
          <w:lang w:val="en-GB"/>
        </w:rPr>
        <w:t>,</w:t>
      </w:r>
      <w:r w:rsidRPr="004030DB">
        <w:rPr>
          <w:rFonts w:ascii="Arial" w:hAnsi="Arial" w:cs="Arial"/>
          <w:sz w:val="20"/>
          <w:szCs w:val="20"/>
          <w:lang w:val="en-GB"/>
        </w:rPr>
        <w:t xml:space="preserve"> carry out reviews of areas at risk of fraud and investigate any reported frauds.</w:t>
      </w:r>
    </w:p>
    <w:p w14:paraId="5024EEB3" w14:textId="77777777" w:rsidR="0095744E" w:rsidRPr="004030DB" w:rsidRDefault="0095744E" w:rsidP="00AD5544">
      <w:pPr>
        <w:jc w:val="both"/>
        <w:rPr>
          <w:rFonts w:ascii="Arial" w:hAnsi="Arial" w:cs="Arial"/>
          <w:sz w:val="20"/>
          <w:szCs w:val="20"/>
          <w:lang w:val="en-GB"/>
        </w:rPr>
      </w:pPr>
    </w:p>
    <w:p w14:paraId="33E62FE8" w14:textId="77777777" w:rsidR="00010A15" w:rsidRPr="00983279" w:rsidRDefault="0095744E" w:rsidP="00AD5544">
      <w:pPr>
        <w:jc w:val="both"/>
        <w:rPr>
          <w:rFonts w:ascii="Arial" w:hAnsi="Arial" w:cs="Arial"/>
          <w:sz w:val="20"/>
          <w:szCs w:val="20"/>
          <w:lang w:val="en-GB"/>
        </w:rPr>
      </w:pPr>
      <w:r w:rsidRPr="004030DB">
        <w:rPr>
          <w:rFonts w:ascii="Arial" w:hAnsi="Arial" w:cs="Arial"/>
          <w:sz w:val="20"/>
          <w:szCs w:val="20"/>
          <w:lang w:val="en-GB"/>
        </w:rPr>
        <w:t xml:space="preserve">Internal </w:t>
      </w:r>
      <w:r w:rsidR="004B0844" w:rsidRPr="004030DB">
        <w:rPr>
          <w:rFonts w:ascii="Arial" w:hAnsi="Arial" w:cs="Arial"/>
          <w:sz w:val="20"/>
          <w:szCs w:val="20"/>
          <w:lang w:val="en-GB"/>
        </w:rPr>
        <w:t>A</w:t>
      </w:r>
      <w:r w:rsidRPr="004030DB">
        <w:rPr>
          <w:rFonts w:ascii="Arial" w:hAnsi="Arial" w:cs="Arial"/>
          <w:sz w:val="20"/>
          <w:szCs w:val="20"/>
          <w:lang w:val="en-GB"/>
        </w:rPr>
        <w:t xml:space="preserve">udit </w:t>
      </w:r>
      <w:r w:rsidR="004B0844" w:rsidRPr="004030DB">
        <w:rPr>
          <w:rFonts w:ascii="Arial" w:hAnsi="Arial" w:cs="Arial"/>
          <w:sz w:val="20"/>
          <w:szCs w:val="20"/>
          <w:lang w:val="en-GB"/>
        </w:rPr>
        <w:t>S</w:t>
      </w:r>
      <w:r w:rsidRPr="004030DB">
        <w:rPr>
          <w:rFonts w:ascii="Arial" w:hAnsi="Arial" w:cs="Arial"/>
          <w:sz w:val="20"/>
          <w:szCs w:val="20"/>
          <w:lang w:val="en-GB"/>
        </w:rPr>
        <w:t>ervices are provided by KPMG</w:t>
      </w:r>
      <w:r w:rsidR="00010A15" w:rsidRPr="004030DB">
        <w:rPr>
          <w:rFonts w:ascii="Arial" w:hAnsi="Arial" w:cs="Arial"/>
          <w:sz w:val="20"/>
          <w:szCs w:val="20"/>
          <w:lang w:val="en-GB"/>
        </w:rPr>
        <w:t>.</w:t>
      </w:r>
      <w:r w:rsidR="004B0844" w:rsidRPr="004030DB">
        <w:rPr>
          <w:rFonts w:ascii="Arial" w:hAnsi="Arial" w:cs="Arial"/>
          <w:sz w:val="20"/>
          <w:szCs w:val="20"/>
          <w:lang w:val="en-GB"/>
        </w:rPr>
        <w:t xml:space="preserve">  </w:t>
      </w:r>
      <w:r w:rsidR="00010A15" w:rsidRPr="004030DB">
        <w:rPr>
          <w:rFonts w:ascii="Arial" w:hAnsi="Arial" w:cs="Arial"/>
          <w:sz w:val="20"/>
          <w:szCs w:val="20"/>
          <w:lang w:val="en-GB"/>
        </w:rPr>
        <w:t xml:space="preserve">Internal audit cover financial and non-financial audits according to a risk-based plan agreed with the Audit </w:t>
      </w:r>
      <w:r w:rsidR="00BD036B" w:rsidRPr="004030DB">
        <w:rPr>
          <w:rFonts w:ascii="Arial" w:hAnsi="Arial" w:cs="Arial"/>
          <w:sz w:val="20"/>
          <w:szCs w:val="20"/>
          <w:lang w:val="en-GB"/>
        </w:rPr>
        <w:t>and</w:t>
      </w:r>
      <w:r w:rsidR="00010A15" w:rsidRPr="004030DB">
        <w:rPr>
          <w:rFonts w:ascii="Arial" w:hAnsi="Arial" w:cs="Arial"/>
          <w:sz w:val="20"/>
          <w:szCs w:val="20"/>
          <w:lang w:val="en-GB"/>
        </w:rPr>
        <w:t xml:space="preserve"> Risk Committee.</w:t>
      </w:r>
      <w:r w:rsidR="00753D65" w:rsidRPr="004030DB">
        <w:rPr>
          <w:rFonts w:ascii="Arial" w:hAnsi="Arial" w:cs="Arial"/>
          <w:sz w:val="20"/>
          <w:szCs w:val="20"/>
          <w:lang w:val="en-GB"/>
        </w:rPr>
        <w:t xml:space="preserve">  </w:t>
      </w:r>
      <w:r w:rsidR="00010A15" w:rsidRPr="004030DB">
        <w:rPr>
          <w:rFonts w:ascii="Arial" w:hAnsi="Arial" w:cs="Arial"/>
          <w:sz w:val="20"/>
          <w:szCs w:val="20"/>
          <w:lang w:val="en-GB"/>
        </w:rPr>
        <w:t xml:space="preserve">The audit plan of the internal auditors is risk-based, and the </w:t>
      </w:r>
      <w:r w:rsidR="004B0844" w:rsidRPr="004030DB">
        <w:rPr>
          <w:rFonts w:ascii="Arial" w:hAnsi="Arial" w:cs="Arial"/>
          <w:sz w:val="20"/>
          <w:szCs w:val="20"/>
          <w:lang w:val="en-GB"/>
        </w:rPr>
        <w:t>E</w:t>
      </w:r>
      <w:r w:rsidR="00010A15" w:rsidRPr="004030DB">
        <w:rPr>
          <w:rFonts w:ascii="Arial" w:hAnsi="Arial" w:cs="Arial"/>
          <w:sz w:val="20"/>
          <w:szCs w:val="20"/>
          <w:lang w:val="en-GB"/>
        </w:rPr>
        <w:t xml:space="preserve">xecutive </w:t>
      </w:r>
      <w:r w:rsidR="004B0844" w:rsidRPr="004030DB">
        <w:rPr>
          <w:rFonts w:ascii="Arial" w:hAnsi="Arial" w:cs="Arial"/>
          <w:sz w:val="20"/>
          <w:szCs w:val="20"/>
          <w:lang w:val="en-GB"/>
        </w:rPr>
        <w:t>T</w:t>
      </w:r>
      <w:r w:rsidR="00010A15" w:rsidRPr="004030DB">
        <w:rPr>
          <w:rFonts w:ascii="Arial" w:hAnsi="Arial" w:cs="Arial"/>
          <w:sz w:val="20"/>
          <w:szCs w:val="20"/>
          <w:lang w:val="en-GB"/>
        </w:rPr>
        <w:t>eam work with the auditors to identify key risks to inform the audit plan.</w:t>
      </w:r>
      <w:r w:rsidR="004B0844" w:rsidRPr="004030DB">
        <w:rPr>
          <w:rFonts w:ascii="Arial" w:hAnsi="Arial" w:cs="Arial"/>
          <w:sz w:val="20"/>
          <w:szCs w:val="20"/>
          <w:lang w:val="en-GB"/>
        </w:rPr>
        <w:t xml:space="preserve">  </w:t>
      </w:r>
      <w:r w:rsidR="00010A15" w:rsidRPr="004030DB">
        <w:rPr>
          <w:rFonts w:ascii="Arial" w:hAnsi="Arial" w:cs="Arial"/>
          <w:sz w:val="20"/>
          <w:szCs w:val="20"/>
          <w:lang w:val="en-GB"/>
        </w:rPr>
        <w:t xml:space="preserve">The </w:t>
      </w:r>
      <w:r w:rsidR="004B0844" w:rsidRPr="004030DB">
        <w:rPr>
          <w:rFonts w:ascii="Arial" w:hAnsi="Arial" w:cs="Arial"/>
          <w:sz w:val="20"/>
          <w:szCs w:val="20"/>
          <w:lang w:val="en-GB"/>
        </w:rPr>
        <w:t>C</w:t>
      </w:r>
      <w:r w:rsidR="00010A15" w:rsidRPr="004030DB">
        <w:rPr>
          <w:rFonts w:ascii="Arial" w:hAnsi="Arial" w:cs="Arial"/>
          <w:sz w:val="20"/>
          <w:szCs w:val="20"/>
          <w:lang w:val="en-GB"/>
        </w:rPr>
        <w:t>ommittee considers the links between the audit plan and the Board Assurance Framework.</w:t>
      </w:r>
      <w:r w:rsidR="004B0844" w:rsidRPr="004030DB">
        <w:rPr>
          <w:rFonts w:ascii="Arial" w:hAnsi="Arial" w:cs="Arial"/>
          <w:sz w:val="20"/>
          <w:szCs w:val="20"/>
          <w:lang w:val="en-GB"/>
        </w:rPr>
        <w:t xml:space="preserve">  </w:t>
      </w:r>
      <w:r w:rsidR="00010A15" w:rsidRPr="004030DB">
        <w:rPr>
          <w:rFonts w:ascii="Arial" w:hAnsi="Arial" w:cs="Arial"/>
          <w:sz w:val="20"/>
          <w:szCs w:val="20"/>
          <w:lang w:val="en-GB"/>
        </w:rPr>
        <w:t xml:space="preserve">The </w:t>
      </w:r>
      <w:r w:rsidR="004B0844" w:rsidRPr="004030DB">
        <w:rPr>
          <w:rFonts w:ascii="Arial" w:hAnsi="Arial" w:cs="Arial"/>
          <w:sz w:val="20"/>
          <w:szCs w:val="20"/>
          <w:lang w:val="en-GB"/>
        </w:rPr>
        <w:t>C</w:t>
      </w:r>
      <w:r w:rsidR="00010A15" w:rsidRPr="004030DB">
        <w:rPr>
          <w:rFonts w:ascii="Arial" w:hAnsi="Arial" w:cs="Arial"/>
          <w:sz w:val="20"/>
          <w:szCs w:val="20"/>
          <w:lang w:val="en-GB"/>
        </w:rPr>
        <w:t>ommittee</w:t>
      </w:r>
      <w:r w:rsidR="001A26E7" w:rsidRPr="004030DB">
        <w:rPr>
          <w:rFonts w:ascii="Arial" w:hAnsi="Arial" w:cs="Arial"/>
          <w:sz w:val="20"/>
          <w:szCs w:val="20"/>
          <w:lang w:val="en-GB"/>
        </w:rPr>
        <w:t xml:space="preserve"> </w:t>
      </w:r>
      <w:r w:rsidR="00010A15" w:rsidRPr="004030DB">
        <w:rPr>
          <w:rFonts w:ascii="Arial" w:hAnsi="Arial" w:cs="Arial"/>
          <w:sz w:val="20"/>
          <w:szCs w:val="20"/>
          <w:lang w:val="en-GB"/>
        </w:rPr>
        <w:t>approves the internal audit plan and monitors the resources required for delivery.</w:t>
      </w:r>
      <w:r w:rsidR="00753D65" w:rsidRPr="004030DB">
        <w:rPr>
          <w:rFonts w:ascii="Arial" w:hAnsi="Arial" w:cs="Arial"/>
          <w:sz w:val="20"/>
          <w:szCs w:val="20"/>
          <w:lang w:val="en-GB"/>
        </w:rPr>
        <w:t xml:space="preserve">  </w:t>
      </w:r>
      <w:r w:rsidR="00010A15" w:rsidRPr="004030DB">
        <w:rPr>
          <w:rFonts w:ascii="Arial" w:hAnsi="Arial" w:cs="Arial"/>
          <w:sz w:val="20"/>
          <w:szCs w:val="20"/>
          <w:lang w:val="en-GB"/>
        </w:rPr>
        <w:t xml:space="preserve">During the year, the </w:t>
      </w:r>
      <w:r w:rsidR="004B0844" w:rsidRPr="004030DB">
        <w:rPr>
          <w:rFonts w:ascii="Arial" w:hAnsi="Arial" w:cs="Arial"/>
          <w:sz w:val="20"/>
          <w:szCs w:val="20"/>
          <w:lang w:val="en-GB"/>
        </w:rPr>
        <w:t>C</w:t>
      </w:r>
      <w:r w:rsidR="00010A15" w:rsidRPr="004030DB">
        <w:rPr>
          <w:rFonts w:ascii="Arial" w:hAnsi="Arial" w:cs="Arial"/>
          <w:sz w:val="20"/>
          <w:szCs w:val="20"/>
          <w:lang w:val="en-GB"/>
        </w:rPr>
        <w:t>ommittee considers any proposed changes to the audit plan and monitors delivery against the p</w:t>
      </w:r>
      <w:r w:rsidR="00010A15" w:rsidRPr="00983279">
        <w:rPr>
          <w:rFonts w:ascii="Arial" w:hAnsi="Arial" w:cs="Arial"/>
          <w:sz w:val="20"/>
          <w:szCs w:val="20"/>
          <w:lang w:val="en-GB"/>
        </w:rPr>
        <w:t>lan approved at the start of the financial year.</w:t>
      </w:r>
    </w:p>
    <w:p w14:paraId="20C899D2" w14:textId="77777777" w:rsidR="001A26E7" w:rsidRPr="00983279" w:rsidRDefault="001A26E7" w:rsidP="00AD5544">
      <w:pPr>
        <w:jc w:val="both"/>
        <w:rPr>
          <w:rFonts w:ascii="Arial" w:hAnsi="Arial" w:cs="Arial"/>
          <w:sz w:val="20"/>
          <w:szCs w:val="20"/>
          <w:lang w:val="en-GB"/>
        </w:rPr>
      </w:pPr>
    </w:p>
    <w:p w14:paraId="4AC1CC27" w14:textId="581E5DB5" w:rsidR="00010A15" w:rsidRPr="004030DB" w:rsidRDefault="00010A15" w:rsidP="00AD5544">
      <w:pPr>
        <w:jc w:val="both"/>
        <w:rPr>
          <w:rFonts w:ascii="Arial" w:hAnsi="Arial" w:cs="Arial"/>
          <w:b/>
          <w:sz w:val="20"/>
          <w:szCs w:val="20"/>
          <w:highlight w:val="yellow"/>
          <w:lang w:val="en-GB"/>
        </w:rPr>
      </w:pPr>
      <w:bookmarkStart w:id="16" w:name="_Hlk166572627"/>
      <w:r w:rsidRPr="00983279">
        <w:rPr>
          <w:rFonts w:ascii="Arial" w:hAnsi="Arial" w:cs="Arial"/>
          <w:sz w:val="20"/>
          <w:szCs w:val="20"/>
          <w:lang w:val="en-GB"/>
        </w:rPr>
        <w:t>The Head of Internal Audit Opinion 202</w:t>
      </w:r>
      <w:r w:rsidR="00047BAD" w:rsidRPr="00983279">
        <w:rPr>
          <w:rFonts w:ascii="Arial" w:hAnsi="Arial" w:cs="Arial"/>
          <w:sz w:val="20"/>
          <w:szCs w:val="20"/>
          <w:lang w:val="en-GB"/>
        </w:rPr>
        <w:t>4</w:t>
      </w:r>
      <w:r w:rsidRPr="00983279">
        <w:rPr>
          <w:rFonts w:ascii="Arial" w:hAnsi="Arial" w:cs="Arial"/>
          <w:sz w:val="20"/>
          <w:szCs w:val="20"/>
          <w:lang w:val="en-GB"/>
        </w:rPr>
        <w:t>/2</w:t>
      </w:r>
      <w:r w:rsidR="00047BAD" w:rsidRPr="00983279">
        <w:rPr>
          <w:rFonts w:ascii="Arial" w:hAnsi="Arial" w:cs="Arial"/>
          <w:sz w:val="20"/>
          <w:szCs w:val="20"/>
          <w:lang w:val="en-GB"/>
        </w:rPr>
        <w:t>5</w:t>
      </w:r>
      <w:r w:rsidRPr="00983279">
        <w:rPr>
          <w:rFonts w:ascii="Arial" w:hAnsi="Arial" w:cs="Arial"/>
          <w:sz w:val="20"/>
          <w:szCs w:val="20"/>
          <w:lang w:val="en-GB"/>
        </w:rPr>
        <w:t xml:space="preserve"> was pr</w:t>
      </w:r>
      <w:r w:rsidRPr="00616288">
        <w:rPr>
          <w:rFonts w:ascii="Arial" w:hAnsi="Arial" w:cs="Arial"/>
          <w:sz w:val="20"/>
          <w:szCs w:val="20"/>
          <w:lang w:val="en-GB"/>
        </w:rPr>
        <w:t>esented t</w:t>
      </w:r>
      <w:r w:rsidR="001A26E7" w:rsidRPr="00616288">
        <w:rPr>
          <w:rFonts w:ascii="Arial" w:hAnsi="Arial" w:cs="Arial"/>
          <w:sz w:val="20"/>
          <w:szCs w:val="20"/>
          <w:lang w:val="en-GB"/>
        </w:rPr>
        <w:t xml:space="preserve">o the Audit </w:t>
      </w:r>
      <w:r w:rsidR="00BD036B" w:rsidRPr="00616288">
        <w:rPr>
          <w:rFonts w:ascii="Arial" w:hAnsi="Arial" w:cs="Arial"/>
          <w:sz w:val="20"/>
          <w:szCs w:val="20"/>
          <w:lang w:val="en-GB"/>
        </w:rPr>
        <w:t>and</w:t>
      </w:r>
      <w:r w:rsidR="001A26E7" w:rsidRPr="00616288">
        <w:rPr>
          <w:rFonts w:ascii="Arial" w:hAnsi="Arial" w:cs="Arial"/>
          <w:sz w:val="20"/>
          <w:szCs w:val="20"/>
          <w:lang w:val="en-GB"/>
        </w:rPr>
        <w:t xml:space="preserve"> Risk Committee on </w:t>
      </w:r>
      <w:r w:rsidR="00983279" w:rsidRPr="00616288">
        <w:rPr>
          <w:rFonts w:ascii="Arial" w:hAnsi="Arial" w:cs="Arial"/>
          <w:sz w:val="20"/>
          <w:szCs w:val="20"/>
          <w:lang w:val="en-GB"/>
        </w:rPr>
        <w:t>19 June 2025</w:t>
      </w:r>
      <w:r w:rsidR="001A26E7" w:rsidRPr="00616288">
        <w:rPr>
          <w:rFonts w:ascii="Arial" w:hAnsi="Arial" w:cs="Arial"/>
          <w:sz w:val="20"/>
          <w:szCs w:val="20"/>
          <w:lang w:val="en-GB"/>
        </w:rPr>
        <w:t xml:space="preserve"> </w:t>
      </w:r>
      <w:r w:rsidRPr="00616288">
        <w:rPr>
          <w:rFonts w:ascii="Arial" w:hAnsi="Arial" w:cs="Arial"/>
          <w:sz w:val="20"/>
          <w:szCs w:val="20"/>
          <w:lang w:val="en-GB"/>
        </w:rPr>
        <w:t xml:space="preserve">for the period </w:t>
      </w:r>
      <w:r w:rsidR="002C0B6C" w:rsidRPr="00616288">
        <w:rPr>
          <w:rFonts w:ascii="Arial" w:hAnsi="Arial" w:cs="Arial"/>
          <w:sz w:val="20"/>
          <w:szCs w:val="20"/>
          <w:lang w:val="en-GB"/>
        </w:rPr>
        <w:t>0</w:t>
      </w:r>
      <w:r w:rsidRPr="00616288">
        <w:rPr>
          <w:rFonts w:ascii="Arial" w:hAnsi="Arial" w:cs="Arial"/>
          <w:sz w:val="20"/>
          <w:szCs w:val="20"/>
          <w:lang w:val="en-GB"/>
        </w:rPr>
        <w:t>1 April 202</w:t>
      </w:r>
      <w:r w:rsidR="00047BAD" w:rsidRPr="00616288">
        <w:rPr>
          <w:rFonts w:ascii="Arial" w:hAnsi="Arial" w:cs="Arial"/>
          <w:sz w:val="20"/>
          <w:szCs w:val="20"/>
          <w:lang w:val="en-GB"/>
        </w:rPr>
        <w:t>4</w:t>
      </w:r>
      <w:r w:rsidR="001A26E7" w:rsidRPr="00616288">
        <w:rPr>
          <w:rFonts w:ascii="Arial" w:hAnsi="Arial" w:cs="Arial"/>
          <w:sz w:val="20"/>
          <w:szCs w:val="20"/>
          <w:lang w:val="en-GB"/>
        </w:rPr>
        <w:t xml:space="preserve"> to 31 March 202</w:t>
      </w:r>
      <w:r w:rsidR="00047BAD" w:rsidRPr="00616288">
        <w:rPr>
          <w:rFonts w:ascii="Arial" w:hAnsi="Arial" w:cs="Arial"/>
          <w:sz w:val="20"/>
          <w:szCs w:val="20"/>
          <w:lang w:val="en-GB"/>
        </w:rPr>
        <w:t>5</w:t>
      </w:r>
      <w:r w:rsidR="00DB0F59" w:rsidRPr="00616288">
        <w:rPr>
          <w:rFonts w:ascii="Arial" w:hAnsi="Arial" w:cs="Arial"/>
          <w:sz w:val="20"/>
          <w:szCs w:val="20"/>
          <w:lang w:val="en-GB"/>
        </w:rPr>
        <w:t xml:space="preserve">.  </w:t>
      </w:r>
      <w:r w:rsidR="00BD036B" w:rsidRPr="00616288">
        <w:rPr>
          <w:rFonts w:ascii="Arial" w:hAnsi="Arial" w:cs="Arial"/>
          <w:sz w:val="20"/>
          <w:szCs w:val="20"/>
          <w:lang w:val="en-GB"/>
        </w:rPr>
        <w:t>A</w:t>
      </w:r>
      <w:r w:rsidRPr="00616288">
        <w:rPr>
          <w:rFonts w:ascii="Arial" w:hAnsi="Arial" w:cs="Arial"/>
          <w:sz w:val="20"/>
          <w:szCs w:val="20"/>
          <w:lang w:val="en-GB"/>
        </w:rPr>
        <w:t>n overall rating of ‘‘</w:t>
      </w:r>
      <w:r w:rsidR="00117579" w:rsidRPr="00616288">
        <w:rPr>
          <w:rFonts w:ascii="Arial" w:hAnsi="Arial" w:cs="Arial"/>
          <w:sz w:val="20"/>
          <w:szCs w:val="20"/>
          <w:lang w:val="en-GB"/>
        </w:rPr>
        <w:t>partial assurance with improvements required (Amber/Red)</w:t>
      </w:r>
      <w:r w:rsidR="00E50EF8" w:rsidRPr="00616288">
        <w:rPr>
          <w:rFonts w:ascii="Arial" w:hAnsi="Arial" w:cs="Arial"/>
          <w:sz w:val="20"/>
          <w:szCs w:val="20"/>
          <w:lang w:val="en-GB"/>
        </w:rPr>
        <w:t>”</w:t>
      </w:r>
      <w:r w:rsidRPr="00616288">
        <w:rPr>
          <w:rFonts w:ascii="Arial" w:hAnsi="Arial" w:cs="Arial"/>
          <w:sz w:val="20"/>
          <w:szCs w:val="20"/>
          <w:lang w:val="en-GB"/>
        </w:rPr>
        <w:t xml:space="preserve"> can be given on the overall adequacy and effectiveness of the organisation’s framework of governance, risk management and control.</w:t>
      </w:r>
      <w:r w:rsidR="004B0844" w:rsidRPr="00616288">
        <w:rPr>
          <w:rFonts w:ascii="Arial" w:hAnsi="Arial" w:cs="Arial"/>
          <w:b/>
          <w:color w:val="FF0000"/>
          <w:sz w:val="20"/>
          <w:szCs w:val="20"/>
          <w:lang w:val="en-GB"/>
        </w:rPr>
        <w:t xml:space="preserve"> </w:t>
      </w:r>
    </w:p>
    <w:bookmarkEnd w:id="16"/>
    <w:p w14:paraId="07C1DD39" w14:textId="77777777" w:rsidR="001A26E7" w:rsidRPr="004030DB" w:rsidRDefault="001A26E7" w:rsidP="00AD5544">
      <w:pPr>
        <w:jc w:val="both"/>
        <w:rPr>
          <w:rFonts w:ascii="Arial" w:hAnsi="Arial" w:cs="Arial"/>
          <w:sz w:val="20"/>
          <w:szCs w:val="20"/>
          <w:highlight w:val="yellow"/>
          <w:lang w:val="en-GB"/>
        </w:rPr>
      </w:pPr>
    </w:p>
    <w:p w14:paraId="33507A25" w14:textId="77777777" w:rsidR="00010A15" w:rsidRPr="004030DB" w:rsidRDefault="00010A15" w:rsidP="00AD5544">
      <w:pPr>
        <w:jc w:val="both"/>
        <w:rPr>
          <w:rFonts w:ascii="Arial" w:hAnsi="Arial" w:cs="Arial"/>
          <w:sz w:val="20"/>
          <w:szCs w:val="20"/>
          <w:lang w:val="en-GB"/>
        </w:rPr>
      </w:pPr>
      <w:r w:rsidRPr="004030DB">
        <w:rPr>
          <w:rFonts w:ascii="Arial" w:hAnsi="Arial" w:cs="Arial"/>
          <w:sz w:val="20"/>
          <w:szCs w:val="20"/>
          <w:lang w:val="en-GB"/>
        </w:rPr>
        <w:t xml:space="preserve">The </w:t>
      </w:r>
      <w:r w:rsidR="004B0844" w:rsidRPr="004030DB">
        <w:rPr>
          <w:rFonts w:ascii="Arial" w:hAnsi="Arial" w:cs="Arial"/>
          <w:sz w:val="20"/>
          <w:szCs w:val="20"/>
          <w:lang w:val="en-GB"/>
        </w:rPr>
        <w:t>C</w:t>
      </w:r>
      <w:r w:rsidRPr="004030DB">
        <w:rPr>
          <w:rFonts w:ascii="Arial" w:hAnsi="Arial" w:cs="Arial"/>
          <w:sz w:val="20"/>
          <w:szCs w:val="20"/>
          <w:lang w:val="en-GB"/>
        </w:rPr>
        <w:t>ommittee has reviewed the content of the annual report and accounts and taken as a whole:</w:t>
      </w:r>
    </w:p>
    <w:p w14:paraId="316ABE40" w14:textId="77777777" w:rsidR="00010A15" w:rsidRPr="004030DB" w:rsidRDefault="00010A15" w:rsidP="00E00F90">
      <w:pPr>
        <w:pStyle w:val="ListParagraph"/>
        <w:numPr>
          <w:ilvl w:val="0"/>
          <w:numId w:val="25"/>
        </w:numPr>
        <w:jc w:val="both"/>
        <w:rPr>
          <w:rFonts w:ascii="Arial" w:hAnsi="Arial" w:cs="Arial"/>
          <w:sz w:val="20"/>
          <w:szCs w:val="20"/>
          <w:lang w:val="en-GB"/>
        </w:rPr>
      </w:pPr>
      <w:r w:rsidRPr="004030DB">
        <w:rPr>
          <w:rFonts w:ascii="Arial" w:hAnsi="Arial" w:cs="Arial"/>
          <w:sz w:val="20"/>
          <w:szCs w:val="20"/>
          <w:lang w:val="en-GB"/>
        </w:rPr>
        <w:t>It is fair, balanced and understandable and provides the necessary information for stakeholders to assess the Trust’s performance</w:t>
      </w:r>
    </w:p>
    <w:p w14:paraId="67116ACC" w14:textId="77777777" w:rsidR="00B00FE2" w:rsidRPr="004030DB" w:rsidRDefault="00010A15" w:rsidP="00E00F90">
      <w:pPr>
        <w:pStyle w:val="ListParagraph"/>
        <w:numPr>
          <w:ilvl w:val="0"/>
          <w:numId w:val="25"/>
        </w:numPr>
        <w:jc w:val="both"/>
        <w:rPr>
          <w:rFonts w:ascii="Arial" w:hAnsi="Arial" w:cs="Arial"/>
          <w:sz w:val="20"/>
          <w:szCs w:val="20"/>
          <w:lang w:val="en-GB"/>
        </w:rPr>
      </w:pPr>
      <w:r w:rsidRPr="004030DB">
        <w:rPr>
          <w:rFonts w:ascii="Arial" w:hAnsi="Arial" w:cs="Arial"/>
          <w:sz w:val="20"/>
          <w:szCs w:val="20"/>
          <w:lang w:val="en-GB"/>
        </w:rPr>
        <w:t>It is consistent with the annual governance statement, head of internal audit opinion and feedback received from the external auditors, and there are no matters that the Committee is aware of at this time that have not been disclosed appropriately</w:t>
      </w:r>
      <w:r w:rsidR="000950D0" w:rsidRPr="004030DB">
        <w:rPr>
          <w:rFonts w:ascii="Arial" w:hAnsi="Arial" w:cs="Arial"/>
          <w:sz w:val="20"/>
          <w:szCs w:val="20"/>
          <w:lang w:val="en-GB"/>
        </w:rPr>
        <w:t xml:space="preserve">.  </w:t>
      </w:r>
    </w:p>
    <w:p w14:paraId="223B143D" w14:textId="77777777" w:rsidR="00010A15" w:rsidRPr="004030DB" w:rsidRDefault="00010A15" w:rsidP="00E00F90">
      <w:pPr>
        <w:pStyle w:val="ListParagraph"/>
        <w:numPr>
          <w:ilvl w:val="0"/>
          <w:numId w:val="25"/>
        </w:numPr>
        <w:jc w:val="both"/>
        <w:rPr>
          <w:rFonts w:ascii="Arial" w:hAnsi="Arial" w:cs="Arial"/>
          <w:sz w:val="20"/>
          <w:szCs w:val="20"/>
          <w:lang w:val="en-GB"/>
        </w:rPr>
      </w:pPr>
      <w:r w:rsidRPr="004030DB">
        <w:rPr>
          <w:rFonts w:ascii="Arial" w:hAnsi="Arial" w:cs="Arial"/>
          <w:sz w:val="20"/>
          <w:szCs w:val="20"/>
          <w:lang w:val="en-GB"/>
        </w:rPr>
        <w:t>It is appropriate to prepare the accounts on a going concern basis</w:t>
      </w:r>
      <w:r w:rsidR="00BD036B" w:rsidRPr="004030DB">
        <w:rPr>
          <w:rFonts w:ascii="Arial" w:hAnsi="Arial" w:cs="Arial"/>
          <w:sz w:val="20"/>
          <w:szCs w:val="20"/>
          <w:lang w:val="en-GB"/>
        </w:rPr>
        <w:t>.</w:t>
      </w:r>
    </w:p>
    <w:p w14:paraId="4F8432DD" w14:textId="77777777" w:rsidR="00010A15" w:rsidRPr="004030DB" w:rsidRDefault="00010A15" w:rsidP="00AD5544">
      <w:pPr>
        <w:jc w:val="both"/>
        <w:rPr>
          <w:rFonts w:ascii="Arial" w:hAnsi="Arial" w:cs="Arial"/>
          <w:sz w:val="20"/>
          <w:szCs w:val="20"/>
          <w:lang w:val="en-GB"/>
        </w:rPr>
      </w:pPr>
    </w:p>
    <w:p w14:paraId="1DA025CC" w14:textId="105A9D77" w:rsidR="00010A15" w:rsidRPr="004030DB" w:rsidRDefault="00010A15" w:rsidP="00AD5544">
      <w:pPr>
        <w:jc w:val="both"/>
        <w:rPr>
          <w:rFonts w:ascii="Arial" w:hAnsi="Arial" w:cs="Arial"/>
          <w:sz w:val="20"/>
          <w:szCs w:val="20"/>
          <w:lang w:val="en-GB"/>
        </w:rPr>
      </w:pPr>
      <w:r w:rsidRPr="004030DB">
        <w:rPr>
          <w:rFonts w:ascii="Arial" w:hAnsi="Arial" w:cs="Arial"/>
          <w:sz w:val="20"/>
          <w:szCs w:val="20"/>
          <w:lang w:val="en-GB"/>
        </w:rPr>
        <w:t xml:space="preserve">The </w:t>
      </w:r>
      <w:r w:rsidR="004B0844" w:rsidRPr="004030DB">
        <w:rPr>
          <w:rFonts w:ascii="Arial" w:hAnsi="Arial" w:cs="Arial"/>
          <w:sz w:val="20"/>
          <w:szCs w:val="20"/>
          <w:lang w:val="en-GB"/>
        </w:rPr>
        <w:t>C</w:t>
      </w:r>
      <w:r w:rsidRPr="004030DB">
        <w:rPr>
          <w:rFonts w:ascii="Arial" w:hAnsi="Arial" w:cs="Arial"/>
          <w:sz w:val="20"/>
          <w:szCs w:val="20"/>
          <w:lang w:val="en-GB"/>
        </w:rPr>
        <w:t xml:space="preserve">ommittee </w:t>
      </w:r>
      <w:r w:rsidR="002C322D">
        <w:rPr>
          <w:rFonts w:ascii="Arial" w:hAnsi="Arial" w:cs="Arial"/>
          <w:sz w:val="20"/>
          <w:szCs w:val="20"/>
          <w:lang w:val="en-GB"/>
        </w:rPr>
        <w:t xml:space="preserve">review the annual accounts, with onward approval at an Extraordinary Board in June 2025.  </w:t>
      </w:r>
    </w:p>
    <w:p w14:paraId="23D6D0F6" w14:textId="77777777" w:rsidR="00DE120E" w:rsidRPr="004030DB" w:rsidRDefault="00DE120E" w:rsidP="00AD5544">
      <w:pPr>
        <w:jc w:val="both"/>
        <w:rPr>
          <w:rFonts w:ascii="Arial" w:hAnsi="Arial" w:cs="Arial"/>
          <w:b/>
          <w:sz w:val="20"/>
          <w:szCs w:val="20"/>
          <w:lang w:val="en-GB"/>
        </w:rPr>
      </w:pPr>
      <w:bookmarkStart w:id="17" w:name="_Hlk163209029"/>
      <w:bookmarkStart w:id="18" w:name="_Hlk163126572"/>
    </w:p>
    <w:p w14:paraId="031B3CA5" w14:textId="77777777" w:rsidR="00DE120E" w:rsidRPr="004030DB" w:rsidRDefault="00DE120E" w:rsidP="00AD5544">
      <w:pPr>
        <w:jc w:val="both"/>
        <w:rPr>
          <w:rFonts w:ascii="Arial" w:hAnsi="Arial" w:cs="Arial"/>
          <w:b/>
          <w:sz w:val="20"/>
          <w:szCs w:val="20"/>
          <w:highlight w:val="yellow"/>
          <w:lang w:val="en-GB"/>
        </w:rPr>
      </w:pPr>
    </w:p>
    <w:p w14:paraId="46F24029" w14:textId="77777777" w:rsidR="00DE120E" w:rsidRPr="004030DB" w:rsidRDefault="00DE120E" w:rsidP="00AD5544">
      <w:pPr>
        <w:jc w:val="both"/>
        <w:rPr>
          <w:rFonts w:ascii="Arial" w:hAnsi="Arial" w:cs="Arial"/>
          <w:b/>
          <w:sz w:val="20"/>
          <w:szCs w:val="20"/>
          <w:highlight w:val="yellow"/>
          <w:lang w:val="en-GB"/>
        </w:rPr>
      </w:pPr>
    </w:p>
    <w:p w14:paraId="569443E8" w14:textId="77777777" w:rsidR="00DE120E" w:rsidRPr="004030DB" w:rsidRDefault="00DE120E" w:rsidP="00D31004">
      <w:pPr>
        <w:rPr>
          <w:rFonts w:ascii="Arial" w:hAnsi="Arial" w:cs="Arial"/>
          <w:b/>
          <w:sz w:val="20"/>
          <w:szCs w:val="20"/>
          <w:highlight w:val="yellow"/>
          <w:lang w:val="en-GB"/>
        </w:rPr>
      </w:pPr>
    </w:p>
    <w:p w14:paraId="10FDF20D" w14:textId="77777777" w:rsidR="00DE120E" w:rsidRPr="004030DB" w:rsidRDefault="00DE120E" w:rsidP="00D31004">
      <w:pPr>
        <w:rPr>
          <w:rFonts w:ascii="Arial" w:hAnsi="Arial" w:cs="Arial"/>
          <w:b/>
          <w:sz w:val="20"/>
          <w:szCs w:val="20"/>
          <w:highlight w:val="yellow"/>
          <w:lang w:val="en-GB"/>
        </w:rPr>
      </w:pPr>
    </w:p>
    <w:p w14:paraId="793B9D3C" w14:textId="77777777" w:rsidR="00DE120E" w:rsidRPr="004030DB" w:rsidRDefault="00DE120E" w:rsidP="00D31004">
      <w:pPr>
        <w:rPr>
          <w:rFonts w:ascii="Arial" w:hAnsi="Arial" w:cs="Arial"/>
          <w:b/>
          <w:sz w:val="20"/>
          <w:szCs w:val="20"/>
          <w:highlight w:val="yellow"/>
          <w:lang w:val="en-GB"/>
        </w:rPr>
      </w:pPr>
    </w:p>
    <w:p w14:paraId="7F0BEFB1" w14:textId="77777777" w:rsidR="00753D65" w:rsidRDefault="00753D65" w:rsidP="00D31004">
      <w:pPr>
        <w:rPr>
          <w:rFonts w:ascii="Arial" w:hAnsi="Arial" w:cs="Arial"/>
          <w:b/>
          <w:sz w:val="20"/>
          <w:szCs w:val="20"/>
          <w:highlight w:val="yellow"/>
          <w:lang w:val="en-GB"/>
        </w:rPr>
      </w:pPr>
    </w:p>
    <w:p w14:paraId="07F764E5" w14:textId="77777777" w:rsidR="004030DB" w:rsidRDefault="004030DB" w:rsidP="00D31004">
      <w:pPr>
        <w:rPr>
          <w:rFonts w:ascii="Arial" w:hAnsi="Arial" w:cs="Arial"/>
          <w:b/>
          <w:sz w:val="20"/>
          <w:szCs w:val="20"/>
          <w:highlight w:val="yellow"/>
          <w:lang w:val="en-GB"/>
        </w:rPr>
      </w:pPr>
    </w:p>
    <w:p w14:paraId="38E667F4" w14:textId="77777777" w:rsidR="004030DB" w:rsidRDefault="004030DB" w:rsidP="00D31004">
      <w:pPr>
        <w:rPr>
          <w:rFonts w:ascii="Arial" w:hAnsi="Arial" w:cs="Arial"/>
          <w:b/>
          <w:sz w:val="20"/>
          <w:szCs w:val="20"/>
          <w:highlight w:val="yellow"/>
          <w:lang w:val="en-GB"/>
        </w:rPr>
      </w:pPr>
    </w:p>
    <w:p w14:paraId="7A2ECF68" w14:textId="77777777" w:rsidR="004030DB" w:rsidRDefault="004030DB" w:rsidP="00D31004">
      <w:pPr>
        <w:rPr>
          <w:rFonts w:ascii="Arial" w:hAnsi="Arial" w:cs="Arial"/>
          <w:b/>
          <w:sz w:val="20"/>
          <w:szCs w:val="20"/>
          <w:highlight w:val="yellow"/>
          <w:lang w:val="en-GB"/>
        </w:rPr>
      </w:pPr>
    </w:p>
    <w:p w14:paraId="70D7CBD4" w14:textId="77777777" w:rsidR="004030DB" w:rsidRDefault="004030DB" w:rsidP="00D31004">
      <w:pPr>
        <w:rPr>
          <w:rFonts w:ascii="Arial" w:hAnsi="Arial" w:cs="Arial"/>
          <w:b/>
          <w:sz w:val="20"/>
          <w:szCs w:val="20"/>
          <w:highlight w:val="yellow"/>
          <w:lang w:val="en-GB"/>
        </w:rPr>
      </w:pPr>
    </w:p>
    <w:p w14:paraId="21B37862" w14:textId="77777777" w:rsidR="004030DB" w:rsidRDefault="004030DB" w:rsidP="00D31004">
      <w:pPr>
        <w:rPr>
          <w:rFonts w:ascii="Arial" w:hAnsi="Arial" w:cs="Arial"/>
          <w:b/>
          <w:sz w:val="20"/>
          <w:szCs w:val="20"/>
          <w:highlight w:val="yellow"/>
          <w:lang w:val="en-GB"/>
        </w:rPr>
      </w:pPr>
    </w:p>
    <w:p w14:paraId="7D1DFE85" w14:textId="77777777" w:rsidR="004030DB" w:rsidRDefault="004030DB" w:rsidP="00D31004">
      <w:pPr>
        <w:rPr>
          <w:rFonts w:ascii="Arial" w:hAnsi="Arial" w:cs="Arial"/>
          <w:b/>
          <w:sz w:val="20"/>
          <w:szCs w:val="20"/>
          <w:highlight w:val="yellow"/>
          <w:lang w:val="en-GB"/>
        </w:rPr>
      </w:pPr>
    </w:p>
    <w:p w14:paraId="02BA39FE" w14:textId="77777777" w:rsidR="004030DB" w:rsidRDefault="004030DB" w:rsidP="00D31004">
      <w:pPr>
        <w:rPr>
          <w:rFonts w:ascii="Arial" w:hAnsi="Arial" w:cs="Arial"/>
          <w:b/>
          <w:sz w:val="20"/>
          <w:szCs w:val="20"/>
          <w:highlight w:val="yellow"/>
          <w:lang w:val="en-GB"/>
        </w:rPr>
      </w:pPr>
    </w:p>
    <w:p w14:paraId="3D4F7A8C" w14:textId="77777777" w:rsidR="004030DB" w:rsidRDefault="004030DB" w:rsidP="00D31004">
      <w:pPr>
        <w:rPr>
          <w:rFonts w:ascii="Arial" w:hAnsi="Arial" w:cs="Arial"/>
          <w:b/>
          <w:sz w:val="20"/>
          <w:szCs w:val="20"/>
          <w:highlight w:val="yellow"/>
          <w:lang w:val="en-GB"/>
        </w:rPr>
      </w:pPr>
    </w:p>
    <w:p w14:paraId="2D1D2C52" w14:textId="77777777" w:rsidR="004030DB" w:rsidRDefault="004030DB" w:rsidP="00D31004">
      <w:pPr>
        <w:rPr>
          <w:rFonts w:ascii="Arial" w:hAnsi="Arial" w:cs="Arial"/>
          <w:b/>
          <w:sz w:val="20"/>
          <w:szCs w:val="20"/>
          <w:highlight w:val="yellow"/>
          <w:lang w:val="en-GB"/>
        </w:rPr>
      </w:pPr>
    </w:p>
    <w:p w14:paraId="533A2000" w14:textId="77777777" w:rsidR="004030DB" w:rsidRDefault="004030DB" w:rsidP="00D31004">
      <w:pPr>
        <w:rPr>
          <w:rFonts w:ascii="Arial" w:hAnsi="Arial" w:cs="Arial"/>
          <w:b/>
          <w:sz w:val="20"/>
          <w:szCs w:val="20"/>
          <w:highlight w:val="yellow"/>
          <w:lang w:val="en-GB"/>
        </w:rPr>
      </w:pPr>
    </w:p>
    <w:p w14:paraId="77EA9483" w14:textId="77777777" w:rsidR="004030DB" w:rsidRDefault="004030DB" w:rsidP="00D31004">
      <w:pPr>
        <w:rPr>
          <w:rFonts w:ascii="Arial" w:hAnsi="Arial" w:cs="Arial"/>
          <w:b/>
          <w:sz w:val="20"/>
          <w:szCs w:val="20"/>
          <w:highlight w:val="yellow"/>
          <w:lang w:val="en-GB"/>
        </w:rPr>
      </w:pPr>
    </w:p>
    <w:p w14:paraId="7D5050BC" w14:textId="77777777" w:rsidR="004030DB" w:rsidRDefault="004030DB" w:rsidP="00D31004">
      <w:pPr>
        <w:rPr>
          <w:rFonts w:ascii="Arial" w:hAnsi="Arial" w:cs="Arial"/>
          <w:b/>
          <w:sz w:val="20"/>
          <w:szCs w:val="20"/>
          <w:highlight w:val="yellow"/>
          <w:lang w:val="en-GB"/>
        </w:rPr>
      </w:pPr>
    </w:p>
    <w:p w14:paraId="0D3632E9" w14:textId="77777777" w:rsidR="004030DB" w:rsidRDefault="004030DB" w:rsidP="00D31004">
      <w:pPr>
        <w:rPr>
          <w:rFonts w:ascii="Arial" w:hAnsi="Arial" w:cs="Arial"/>
          <w:b/>
          <w:sz w:val="20"/>
          <w:szCs w:val="20"/>
          <w:highlight w:val="yellow"/>
          <w:lang w:val="en-GB"/>
        </w:rPr>
      </w:pPr>
    </w:p>
    <w:p w14:paraId="734BDCCC" w14:textId="77777777" w:rsidR="004030DB" w:rsidRDefault="004030DB" w:rsidP="00D31004">
      <w:pPr>
        <w:rPr>
          <w:rFonts w:ascii="Arial" w:hAnsi="Arial" w:cs="Arial"/>
          <w:b/>
          <w:sz w:val="20"/>
          <w:szCs w:val="20"/>
          <w:highlight w:val="yellow"/>
          <w:lang w:val="en-GB"/>
        </w:rPr>
      </w:pPr>
    </w:p>
    <w:p w14:paraId="40627B3D" w14:textId="77777777" w:rsidR="004030DB" w:rsidRDefault="004030DB" w:rsidP="00D31004">
      <w:pPr>
        <w:rPr>
          <w:rFonts w:ascii="Arial" w:hAnsi="Arial" w:cs="Arial"/>
          <w:b/>
          <w:sz w:val="20"/>
          <w:szCs w:val="20"/>
          <w:highlight w:val="yellow"/>
          <w:lang w:val="en-GB"/>
        </w:rPr>
      </w:pPr>
    </w:p>
    <w:p w14:paraId="1D1EBA30" w14:textId="77777777" w:rsidR="004030DB" w:rsidRDefault="004030DB" w:rsidP="00D31004">
      <w:pPr>
        <w:rPr>
          <w:rFonts w:ascii="Arial" w:hAnsi="Arial" w:cs="Arial"/>
          <w:b/>
          <w:sz w:val="20"/>
          <w:szCs w:val="20"/>
          <w:highlight w:val="yellow"/>
          <w:lang w:val="en-GB"/>
        </w:rPr>
      </w:pPr>
    </w:p>
    <w:p w14:paraId="3ED993E9" w14:textId="77777777" w:rsidR="004030DB" w:rsidRDefault="004030DB" w:rsidP="00D31004">
      <w:pPr>
        <w:rPr>
          <w:rFonts w:ascii="Arial" w:hAnsi="Arial" w:cs="Arial"/>
          <w:b/>
          <w:sz w:val="20"/>
          <w:szCs w:val="20"/>
          <w:highlight w:val="yellow"/>
          <w:lang w:val="en-GB"/>
        </w:rPr>
      </w:pPr>
    </w:p>
    <w:p w14:paraId="3C0C2EA2" w14:textId="77777777" w:rsidR="004030DB" w:rsidRDefault="004030DB" w:rsidP="00D31004">
      <w:pPr>
        <w:rPr>
          <w:rFonts w:ascii="Arial" w:hAnsi="Arial" w:cs="Arial"/>
          <w:b/>
          <w:sz w:val="20"/>
          <w:szCs w:val="20"/>
          <w:highlight w:val="yellow"/>
          <w:lang w:val="en-GB"/>
        </w:rPr>
      </w:pPr>
    </w:p>
    <w:p w14:paraId="3A65C04A" w14:textId="77777777" w:rsidR="004030DB" w:rsidRDefault="004030DB" w:rsidP="00D31004">
      <w:pPr>
        <w:rPr>
          <w:rFonts w:ascii="Arial" w:hAnsi="Arial" w:cs="Arial"/>
          <w:b/>
          <w:sz w:val="20"/>
          <w:szCs w:val="20"/>
          <w:highlight w:val="yellow"/>
          <w:lang w:val="en-GB"/>
        </w:rPr>
      </w:pPr>
    </w:p>
    <w:p w14:paraId="6C8E9CA3" w14:textId="77777777" w:rsidR="004030DB" w:rsidRDefault="004030DB" w:rsidP="00D31004">
      <w:pPr>
        <w:rPr>
          <w:rFonts w:ascii="Arial" w:hAnsi="Arial" w:cs="Arial"/>
          <w:b/>
          <w:sz w:val="20"/>
          <w:szCs w:val="20"/>
          <w:highlight w:val="yellow"/>
          <w:lang w:val="en-GB"/>
        </w:rPr>
      </w:pPr>
    </w:p>
    <w:p w14:paraId="361C1D8A" w14:textId="77777777" w:rsidR="004030DB" w:rsidRDefault="004030DB" w:rsidP="00D31004">
      <w:pPr>
        <w:rPr>
          <w:rFonts w:ascii="Arial" w:hAnsi="Arial" w:cs="Arial"/>
          <w:b/>
          <w:sz w:val="20"/>
          <w:szCs w:val="20"/>
          <w:highlight w:val="yellow"/>
          <w:lang w:val="en-GB"/>
        </w:rPr>
      </w:pPr>
    </w:p>
    <w:p w14:paraId="6FA60894" w14:textId="77777777" w:rsidR="004030DB" w:rsidRDefault="004030DB" w:rsidP="00D31004">
      <w:pPr>
        <w:rPr>
          <w:rFonts w:ascii="Arial" w:hAnsi="Arial" w:cs="Arial"/>
          <w:b/>
          <w:sz w:val="20"/>
          <w:szCs w:val="20"/>
          <w:highlight w:val="yellow"/>
          <w:lang w:val="en-GB"/>
        </w:rPr>
      </w:pPr>
    </w:p>
    <w:p w14:paraId="4FA4009D" w14:textId="77777777" w:rsidR="004030DB" w:rsidRDefault="004030DB" w:rsidP="00D31004">
      <w:pPr>
        <w:rPr>
          <w:rFonts w:ascii="Arial" w:hAnsi="Arial" w:cs="Arial"/>
          <w:b/>
          <w:sz w:val="20"/>
          <w:szCs w:val="20"/>
          <w:highlight w:val="yellow"/>
          <w:lang w:val="en-GB"/>
        </w:rPr>
      </w:pPr>
    </w:p>
    <w:p w14:paraId="61B861C6" w14:textId="77777777" w:rsidR="004030DB" w:rsidRPr="004030DB" w:rsidRDefault="004030DB" w:rsidP="00D31004">
      <w:pPr>
        <w:rPr>
          <w:rFonts w:ascii="Arial" w:hAnsi="Arial" w:cs="Arial"/>
          <w:b/>
          <w:sz w:val="20"/>
          <w:szCs w:val="20"/>
          <w:highlight w:val="yellow"/>
          <w:lang w:val="en-GB"/>
        </w:rPr>
      </w:pPr>
    </w:p>
    <w:p w14:paraId="798BC17E" w14:textId="77777777" w:rsidR="00753D65" w:rsidRPr="004030DB" w:rsidRDefault="00753D65" w:rsidP="00D31004">
      <w:pPr>
        <w:rPr>
          <w:rFonts w:ascii="Arial" w:hAnsi="Arial" w:cs="Arial"/>
          <w:b/>
          <w:sz w:val="20"/>
          <w:szCs w:val="20"/>
          <w:highlight w:val="yellow"/>
          <w:lang w:val="en-GB"/>
        </w:rPr>
      </w:pPr>
    </w:p>
    <w:p w14:paraId="018AF371" w14:textId="77777777" w:rsidR="00753D65" w:rsidRPr="004030DB" w:rsidRDefault="00753D65" w:rsidP="00D31004">
      <w:pPr>
        <w:rPr>
          <w:rFonts w:ascii="Arial" w:hAnsi="Arial" w:cs="Arial"/>
          <w:b/>
          <w:sz w:val="20"/>
          <w:szCs w:val="20"/>
          <w:highlight w:val="yellow"/>
          <w:lang w:val="en-GB"/>
        </w:rPr>
      </w:pPr>
    </w:p>
    <w:p w14:paraId="4AA9E27C" w14:textId="77777777" w:rsidR="007921A1" w:rsidRPr="004030DB" w:rsidRDefault="007921A1" w:rsidP="007921A1">
      <w:pPr>
        <w:jc w:val="both"/>
        <w:rPr>
          <w:rFonts w:ascii="Arial" w:hAnsi="Arial" w:cs="Arial"/>
          <w:b/>
          <w:sz w:val="20"/>
          <w:szCs w:val="20"/>
          <w:u w:val="single"/>
          <w:lang w:val="en-GB"/>
        </w:rPr>
      </w:pPr>
      <w:r w:rsidRPr="004030DB">
        <w:rPr>
          <w:rFonts w:ascii="Arial" w:hAnsi="Arial" w:cs="Arial"/>
          <w:b/>
          <w:sz w:val="20"/>
          <w:szCs w:val="20"/>
          <w:u w:val="single"/>
          <w:lang w:val="en-GB"/>
        </w:rPr>
        <w:lastRenderedPageBreak/>
        <w:t xml:space="preserve">Medway NHS Foundation Trust Volunteer Services </w:t>
      </w:r>
    </w:p>
    <w:p w14:paraId="72627DDF" w14:textId="77777777" w:rsidR="007921A1" w:rsidRPr="004030DB" w:rsidRDefault="007921A1" w:rsidP="007921A1">
      <w:pPr>
        <w:jc w:val="both"/>
        <w:rPr>
          <w:rFonts w:ascii="Arial" w:hAnsi="Arial" w:cs="Arial"/>
          <w:b/>
          <w:sz w:val="20"/>
          <w:szCs w:val="20"/>
          <w:lang w:val="en-GB"/>
        </w:rPr>
      </w:pPr>
    </w:p>
    <w:p w14:paraId="4783BC9D" w14:textId="77777777" w:rsidR="007921A1" w:rsidRPr="004030DB" w:rsidRDefault="007921A1" w:rsidP="007921A1">
      <w:pPr>
        <w:jc w:val="both"/>
        <w:rPr>
          <w:rFonts w:ascii="Arial" w:hAnsi="Arial" w:cs="Arial"/>
          <w:sz w:val="20"/>
          <w:szCs w:val="20"/>
          <w:lang w:val="en-GB"/>
        </w:rPr>
      </w:pPr>
      <w:r w:rsidRPr="004030DB">
        <w:rPr>
          <w:rFonts w:ascii="Arial" w:hAnsi="Arial" w:cs="Arial"/>
          <w:sz w:val="20"/>
          <w:szCs w:val="20"/>
          <w:lang w:val="en-GB"/>
        </w:rPr>
        <w:t xml:space="preserve">Over 300 volunteers provide invaluable support to the Trust, amounting to over 4,500 hours a month across the following voluntary services: Voluntary Services Department and the Medway League of Friends, Hospital Radio that operate independently alongside them.  Volunteers give their time to help support patients and visitors and assist the Trust in providing high-quality, compassionate care to the people of Medway and Swale. </w:t>
      </w:r>
    </w:p>
    <w:p w14:paraId="23E79C64" w14:textId="77777777" w:rsidR="007921A1" w:rsidRPr="004030DB" w:rsidRDefault="007921A1" w:rsidP="007921A1">
      <w:pPr>
        <w:jc w:val="both"/>
        <w:rPr>
          <w:rFonts w:ascii="Arial" w:hAnsi="Arial" w:cs="Arial"/>
          <w:sz w:val="20"/>
          <w:szCs w:val="20"/>
          <w:lang w:val="en-GB"/>
        </w:rPr>
      </w:pPr>
    </w:p>
    <w:p w14:paraId="07677B81" w14:textId="77777777" w:rsidR="007921A1" w:rsidRPr="004030DB" w:rsidRDefault="007921A1" w:rsidP="007921A1">
      <w:pPr>
        <w:jc w:val="both"/>
        <w:rPr>
          <w:rFonts w:ascii="Arial" w:hAnsi="Arial" w:cs="Arial"/>
          <w:sz w:val="20"/>
          <w:szCs w:val="20"/>
          <w:lang w:val="en-GB"/>
        </w:rPr>
      </w:pPr>
      <w:r w:rsidRPr="004030DB">
        <w:rPr>
          <w:rFonts w:ascii="Arial" w:hAnsi="Arial" w:cs="Arial"/>
          <w:sz w:val="20"/>
          <w:szCs w:val="20"/>
          <w:lang w:val="en-GB"/>
        </w:rPr>
        <w:t>The Trust volunteers offer their time in a variety of roles including:</w:t>
      </w:r>
    </w:p>
    <w:p w14:paraId="27F9A8CE" w14:textId="77777777" w:rsidR="007921A1" w:rsidRPr="004030DB" w:rsidRDefault="007921A1" w:rsidP="007921A1">
      <w:pPr>
        <w:jc w:val="both"/>
        <w:rPr>
          <w:rFonts w:ascii="Arial" w:hAnsi="Arial" w:cs="Arial"/>
          <w:sz w:val="20"/>
          <w:szCs w:val="20"/>
          <w:lang w:val="en-GB"/>
        </w:rPr>
      </w:pPr>
    </w:p>
    <w:p w14:paraId="2FCDAF5E" w14:textId="77777777" w:rsidR="007921A1" w:rsidRPr="004030DB" w:rsidRDefault="007921A1" w:rsidP="00E00F90">
      <w:pPr>
        <w:pStyle w:val="ListParagraph"/>
        <w:numPr>
          <w:ilvl w:val="0"/>
          <w:numId w:val="54"/>
        </w:numPr>
        <w:jc w:val="both"/>
        <w:rPr>
          <w:rFonts w:ascii="Arial" w:hAnsi="Arial" w:cs="Arial"/>
          <w:sz w:val="20"/>
          <w:szCs w:val="20"/>
          <w:lang w:val="en-GB"/>
        </w:rPr>
      </w:pPr>
      <w:r w:rsidRPr="004030DB">
        <w:rPr>
          <w:rFonts w:ascii="Arial" w:hAnsi="Arial" w:cs="Arial"/>
          <w:sz w:val="20"/>
          <w:szCs w:val="20"/>
          <w:lang w:val="en-GB"/>
        </w:rPr>
        <w:t>On wards</w:t>
      </w:r>
    </w:p>
    <w:p w14:paraId="00CD7C66" w14:textId="77777777" w:rsidR="007921A1" w:rsidRPr="004030DB" w:rsidRDefault="007921A1" w:rsidP="00E00F90">
      <w:pPr>
        <w:pStyle w:val="ListParagraph"/>
        <w:numPr>
          <w:ilvl w:val="0"/>
          <w:numId w:val="54"/>
        </w:numPr>
        <w:jc w:val="both"/>
        <w:rPr>
          <w:rFonts w:ascii="Arial" w:hAnsi="Arial" w:cs="Arial"/>
          <w:sz w:val="20"/>
          <w:szCs w:val="20"/>
          <w:lang w:val="en-GB"/>
        </w:rPr>
      </w:pPr>
      <w:r w:rsidRPr="004030DB">
        <w:rPr>
          <w:rFonts w:ascii="Arial" w:hAnsi="Arial" w:cs="Arial"/>
          <w:sz w:val="20"/>
          <w:szCs w:val="20"/>
          <w:lang w:val="en-GB"/>
        </w:rPr>
        <w:t>Reception areas and guiding</w:t>
      </w:r>
    </w:p>
    <w:p w14:paraId="662A00F6" w14:textId="77777777" w:rsidR="007921A1" w:rsidRPr="004030DB" w:rsidRDefault="007921A1" w:rsidP="00E00F90">
      <w:pPr>
        <w:pStyle w:val="ListParagraph"/>
        <w:numPr>
          <w:ilvl w:val="0"/>
          <w:numId w:val="54"/>
        </w:numPr>
        <w:jc w:val="both"/>
        <w:rPr>
          <w:rFonts w:ascii="Arial" w:hAnsi="Arial" w:cs="Arial"/>
          <w:sz w:val="20"/>
          <w:szCs w:val="20"/>
          <w:lang w:val="en-GB"/>
        </w:rPr>
      </w:pPr>
      <w:r w:rsidRPr="004030DB">
        <w:rPr>
          <w:rFonts w:ascii="Arial" w:hAnsi="Arial" w:cs="Arial"/>
          <w:sz w:val="20"/>
          <w:szCs w:val="20"/>
          <w:lang w:val="en-GB"/>
        </w:rPr>
        <w:t>Administration and clerical roles</w:t>
      </w:r>
    </w:p>
    <w:p w14:paraId="7473C823" w14:textId="77777777" w:rsidR="007921A1" w:rsidRPr="004030DB" w:rsidRDefault="007921A1" w:rsidP="00E00F90">
      <w:pPr>
        <w:pStyle w:val="ListParagraph"/>
        <w:numPr>
          <w:ilvl w:val="0"/>
          <w:numId w:val="54"/>
        </w:numPr>
        <w:jc w:val="both"/>
        <w:rPr>
          <w:rFonts w:ascii="Arial" w:hAnsi="Arial" w:cs="Arial"/>
          <w:sz w:val="20"/>
          <w:szCs w:val="20"/>
          <w:lang w:val="en-GB"/>
        </w:rPr>
      </w:pPr>
      <w:r w:rsidRPr="004030DB">
        <w:rPr>
          <w:rFonts w:ascii="Arial" w:hAnsi="Arial" w:cs="Arial"/>
          <w:sz w:val="20"/>
          <w:szCs w:val="20"/>
          <w:lang w:val="en-GB"/>
        </w:rPr>
        <w:t>Chaplaincy</w:t>
      </w:r>
    </w:p>
    <w:p w14:paraId="18D1EC2A" w14:textId="77777777" w:rsidR="007921A1" w:rsidRPr="004030DB" w:rsidRDefault="007921A1" w:rsidP="00E00F90">
      <w:pPr>
        <w:pStyle w:val="ListParagraph"/>
        <w:numPr>
          <w:ilvl w:val="0"/>
          <w:numId w:val="54"/>
        </w:numPr>
        <w:jc w:val="both"/>
        <w:rPr>
          <w:rFonts w:ascii="Arial" w:hAnsi="Arial" w:cs="Arial"/>
          <w:sz w:val="20"/>
          <w:szCs w:val="20"/>
          <w:lang w:val="en-GB"/>
        </w:rPr>
      </w:pPr>
      <w:r w:rsidRPr="004030DB">
        <w:rPr>
          <w:rFonts w:ascii="Arial" w:hAnsi="Arial" w:cs="Arial"/>
          <w:sz w:val="20"/>
          <w:szCs w:val="20"/>
          <w:lang w:val="en-GB"/>
        </w:rPr>
        <w:t>Gardening</w:t>
      </w:r>
    </w:p>
    <w:p w14:paraId="485DCE11" w14:textId="77777777" w:rsidR="007921A1" w:rsidRPr="004030DB" w:rsidRDefault="007921A1" w:rsidP="00E00F90">
      <w:pPr>
        <w:pStyle w:val="ListParagraph"/>
        <w:numPr>
          <w:ilvl w:val="0"/>
          <w:numId w:val="54"/>
        </w:numPr>
        <w:jc w:val="both"/>
        <w:rPr>
          <w:rFonts w:ascii="Arial" w:hAnsi="Arial" w:cs="Arial"/>
          <w:sz w:val="20"/>
          <w:szCs w:val="20"/>
          <w:lang w:val="en-GB"/>
        </w:rPr>
      </w:pPr>
      <w:r w:rsidRPr="004030DB">
        <w:rPr>
          <w:rFonts w:ascii="Arial" w:hAnsi="Arial" w:cs="Arial"/>
          <w:sz w:val="20"/>
          <w:szCs w:val="20"/>
          <w:lang w:val="en-GB"/>
        </w:rPr>
        <w:t>Therapy dogs</w:t>
      </w:r>
    </w:p>
    <w:p w14:paraId="51B72E9A" w14:textId="77777777" w:rsidR="007921A1" w:rsidRPr="004030DB" w:rsidRDefault="007921A1" w:rsidP="00E00F90">
      <w:pPr>
        <w:pStyle w:val="ListParagraph"/>
        <w:numPr>
          <w:ilvl w:val="0"/>
          <w:numId w:val="54"/>
        </w:numPr>
        <w:jc w:val="both"/>
        <w:rPr>
          <w:rFonts w:ascii="Arial" w:hAnsi="Arial" w:cs="Arial"/>
          <w:sz w:val="20"/>
          <w:szCs w:val="20"/>
          <w:lang w:val="en-GB"/>
        </w:rPr>
      </w:pPr>
      <w:r w:rsidRPr="004030DB">
        <w:rPr>
          <w:rFonts w:ascii="Arial" w:hAnsi="Arial" w:cs="Arial"/>
          <w:sz w:val="20"/>
          <w:szCs w:val="20"/>
          <w:lang w:val="en-GB"/>
        </w:rPr>
        <w:t xml:space="preserve">Café and Shop </w:t>
      </w:r>
    </w:p>
    <w:p w14:paraId="7B83AE45" w14:textId="77777777" w:rsidR="007921A1" w:rsidRPr="004030DB" w:rsidRDefault="007921A1" w:rsidP="00E00F90">
      <w:pPr>
        <w:pStyle w:val="ListParagraph"/>
        <w:numPr>
          <w:ilvl w:val="0"/>
          <w:numId w:val="54"/>
        </w:numPr>
        <w:jc w:val="both"/>
        <w:rPr>
          <w:rFonts w:ascii="Arial" w:hAnsi="Arial" w:cs="Arial"/>
          <w:sz w:val="20"/>
          <w:szCs w:val="20"/>
          <w:lang w:val="en-GB"/>
        </w:rPr>
      </w:pPr>
      <w:r w:rsidRPr="004030DB">
        <w:rPr>
          <w:rFonts w:ascii="Arial" w:hAnsi="Arial" w:cs="Arial"/>
          <w:sz w:val="20"/>
          <w:szCs w:val="20"/>
          <w:lang w:val="en-GB"/>
        </w:rPr>
        <w:t>Pharmacy</w:t>
      </w:r>
    </w:p>
    <w:p w14:paraId="05C19597" w14:textId="77777777" w:rsidR="007921A1" w:rsidRPr="004030DB" w:rsidRDefault="007921A1" w:rsidP="007921A1">
      <w:pPr>
        <w:jc w:val="both"/>
        <w:rPr>
          <w:rFonts w:ascii="Arial" w:hAnsi="Arial" w:cs="Arial"/>
          <w:sz w:val="20"/>
          <w:szCs w:val="20"/>
          <w:lang w:val="en-GB"/>
        </w:rPr>
      </w:pPr>
    </w:p>
    <w:p w14:paraId="6E947388" w14:textId="77777777" w:rsidR="007921A1" w:rsidRPr="004030DB" w:rsidRDefault="007921A1" w:rsidP="007921A1">
      <w:pPr>
        <w:jc w:val="both"/>
        <w:rPr>
          <w:rFonts w:ascii="Arial" w:hAnsi="Arial" w:cs="Arial"/>
          <w:sz w:val="20"/>
          <w:szCs w:val="20"/>
          <w:lang w:val="en-GB"/>
        </w:rPr>
      </w:pPr>
      <w:r w:rsidRPr="004030DB">
        <w:rPr>
          <w:rFonts w:ascii="Arial" w:hAnsi="Arial" w:cs="Arial"/>
          <w:sz w:val="20"/>
          <w:szCs w:val="20"/>
          <w:lang w:val="en-GB"/>
        </w:rPr>
        <w:t>The Trust’s longest serving volunteers are Dot Rust and Pat Windsor who have both been volunteering here for nearly 30 years.  Zoe Goodman, the Trust’s Voluntary Services Manager said: “Volunteering at a hospital can be a highly rewarding experience, and a great way to connect with the local Medway community.  Our volunteers do a fantastic job helping patients and visitors, always with a smile on their faces.”</w:t>
      </w:r>
    </w:p>
    <w:p w14:paraId="502112A7" w14:textId="77777777" w:rsidR="007921A1" w:rsidRPr="004030DB" w:rsidRDefault="007921A1" w:rsidP="007921A1">
      <w:pPr>
        <w:jc w:val="both"/>
        <w:rPr>
          <w:rFonts w:ascii="Arial" w:hAnsi="Arial" w:cs="Arial"/>
          <w:sz w:val="20"/>
          <w:szCs w:val="20"/>
          <w:lang w:val="en-GB"/>
        </w:rPr>
      </w:pPr>
    </w:p>
    <w:p w14:paraId="1FD58063" w14:textId="77777777" w:rsidR="007921A1" w:rsidRPr="004030DB" w:rsidRDefault="007921A1" w:rsidP="007921A1">
      <w:pPr>
        <w:jc w:val="both"/>
        <w:rPr>
          <w:rFonts w:ascii="Arial" w:hAnsi="Arial" w:cs="Arial"/>
          <w:sz w:val="20"/>
          <w:szCs w:val="20"/>
          <w:lang w:val="en-GB"/>
        </w:rPr>
      </w:pPr>
      <w:r w:rsidRPr="004030DB">
        <w:rPr>
          <w:rFonts w:ascii="Arial" w:hAnsi="Arial" w:cs="Arial"/>
          <w:sz w:val="20"/>
          <w:szCs w:val="20"/>
          <w:lang w:val="en-GB"/>
        </w:rPr>
        <w:t>The Trust will recognise the National Volunteers Week in June 2025, marked with a celebratory afternoon tea for all volunteers.  Jayne Black, Chief Executive said: “Our volunteers work tirelessly in contributing to the smooth running of our hospital, including wards, reception areas and as guides.  On behalf of everyone here at the Trust, we would like to thank our volunteers for the time they give to support the delivery of the best of care to our patients.”</w:t>
      </w:r>
    </w:p>
    <w:p w14:paraId="5CAB2922" w14:textId="77777777" w:rsidR="007921A1" w:rsidRPr="004030DB" w:rsidRDefault="007921A1" w:rsidP="007921A1">
      <w:pPr>
        <w:jc w:val="both"/>
        <w:rPr>
          <w:rFonts w:ascii="Arial" w:hAnsi="Arial" w:cs="Arial"/>
          <w:sz w:val="20"/>
          <w:szCs w:val="20"/>
          <w:lang w:val="en-GB"/>
        </w:rPr>
      </w:pPr>
    </w:p>
    <w:p w14:paraId="2D55EF05" w14:textId="77777777" w:rsidR="007921A1" w:rsidRPr="004030DB" w:rsidRDefault="007921A1" w:rsidP="007921A1">
      <w:pPr>
        <w:jc w:val="both"/>
        <w:rPr>
          <w:rFonts w:ascii="Arial" w:hAnsi="Arial" w:cs="Arial"/>
          <w:sz w:val="20"/>
          <w:szCs w:val="20"/>
          <w:lang w:val="en-GB"/>
        </w:rPr>
      </w:pPr>
      <w:r w:rsidRPr="004030DB">
        <w:rPr>
          <w:rFonts w:ascii="Arial" w:hAnsi="Arial" w:cs="Arial"/>
          <w:sz w:val="20"/>
          <w:szCs w:val="20"/>
          <w:lang w:val="en-GB"/>
        </w:rPr>
        <w:t xml:space="preserve">Anyone with an interest in Volunteering who is over the age of 16 years old or over, is welcome to apply to become a Trust volunteer at: </w:t>
      </w:r>
      <w:hyperlink r:id="rId37" w:history="1">
        <w:r w:rsidRPr="004030DB">
          <w:rPr>
            <w:rStyle w:val="Hyperlink"/>
            <w:rFonts w:ascii="Arial" w:hAnsi="Arial" w:cs="Arial"/>
            <w:sz w:val="20"/>
            <w:szCs w:val="20"/>
            <w:lang w:val="en-GB"/>
          </w:rPr>
          <w:t>https://www.medway.nhs.uk/work-with-us/volunteering/</w:t>
        </w:r>
      </w:hyperlink>
      <w:r w:rsidRPr="004030DB">
        <w:rPr>
          <w:rFonts w:ascii="Arial" w:hAnsi="Arial" w:cs="Arial"/>
          <w:sz w:val="20"/>
          <w:szCs w:val="20"/>
          <w:lang w:val="en-GB"/>
        </w:rPr>
        <w:t xml:space="preserve">   </w:t>
      </w:r>
    </w:p>
    <w:p w14:paraId="54BF5B59" w14:textId="77777777" w:rsidR="00D31004" w:rsidRPr="004030DB" w:rsidRDefault="00D31004" w:rsidP="00D31004">
      <w:pPr>
        <w:rPr>
          <w:rFonts w:ascii="Arial" w:hAnsi="Arial" w:cs="Arial"/>
          <w:b/>
          <w:sz w:val="20"/>
          <w:szCs w:val="20"/>
          <w:highlight w:val="yellow"/>
          <w:lang w:val="en-GB"/>
        </w:rPr>
      </w:pPr>
    </w:p>
    <w:p w14:paraId="4C203894" w14:textId="77777777" w:rsidR="00D31004" w:rsidRPr="004030DB" w:rsidRDefault="00D31004" w:rsidP="00F57924">
      <w:pPr>
        <w:jc w:val="both"/>
        <w:rPr>
          <w:rFonts w:ascii="Arial" w:hAnsi="Arial" w:cs="Arial"/>
          <w:b/>
          <w:color w:val="FF0000"/>
          <w:sz w:val="20"/>
          <w:szCs w:val="20"/>
          <w:lang w:val="en-GB"/>
        </w:rPr>
      </w:pPr>
      <w:r w:rsidRPr="004030DB">
        <w:rPr>
          <w:rFonts w:ascii="Arial" w:hAnsi="Arial" w:cs="Arial"/>
          <w:b/>
          <w:sz w:val="20"/>
          <w:szCs w:val="20"/>
          <w:u w:val="single"/>
          <w:lang w:val="en-GB"/>
        </w:rPr>
        <w:t>The Medway League of Friends</w:t>
      </w:r>
      <w:r w:rsidRPr="004030DB">
        <w:rPr>
          <w:rFonts w:ascii="Arial" w:hAnsi="Arial" w:cs="Arial"/>
          <w:b/>
          <w:sz w:val="20"/>
          <w:szCs w:val="20"/>
          <w:lang w:val="en-GB"/>
        </w:rPr>
        <w:t xml:space="preserve"> </w:t>
      </w:r>
    </w:p>
    <w:p w14:paraId="0B27580A" w14:textId="77777777" w:rsidR="00F82F43" w:rsidRPr="004030DB" w:rsidRDefault="00F82F43" w:rsidP="00F57924">
      <w:pPr>
        <w:jc w:val="both"/>
        <w:rPr>
          <w:rFonts w:ascii="Arial" w:hAnsi="Arial" w:cs="Arial"/>
          <w:sz w:val="20"/>
          <w:szCs w:val="20"/>
          <w:highlight w:val="yellow"/>
          <w:lang w:val="en-GB"/>
        </w:rPr>
      </w:pPr>
    </w:p>
    <w:p w14:paraId="7F693C0A" w14:textId="77777777" w:rsidR="00F57924" w:rsidRPr="004030DB" w:rsidRDefault="00F57924" w:rsidP="00F57924">
      <w:pPr>
        <w:pStyle w:val="NoSpacing"/>
        <w:jc w:val="both"/>
        <w:rPr>
          <w:rFonts w:ascii="Arial" w:hAnsi="Arial" w:cs="Arial"/>
          <w:sz w:val="20"/>
          <w:szCs w:val="20"/>
        </w:rPr>
      </w:pPr>
      <w:r w:rsidRPr="004030DB">
        <w:rPr>
          <w:rFonts w:ascii="Arial" w:hAnsi="Arial" w:cs="Arial"/>
          <w:sz w:val="20"/>
          <w:szCs w:val="20"/>
        </w:rPr>
        <w:t>The new shop and cafe have been open for nearly two years and the additional space has enabled the Medway League of Friends (LOF) to increase the range of items on offer and trading has been continuous 24/7.</w:t>
      </w:r>
    </w:p>
    <w:p w14:paraId="0331459F" w14:textId="77777777" w:rsidR="00F57924" w:rsidRPr="004030DB" w:rsidRDefault="00F57924" w:rsidP="00F57924">
      <w:pPr>
        <w:pStyle w:val="NoSpacing"/>
        <w:jc w:val="both"/>
        <w:rPr>
          <w:rFonts w:ascii="Arial" w:hAnsi="Arial" w:cs="Arial"/>
          <w:sz w:val="20"/>
          <w:szCs w:val="20"/>
        </w:rPr>
      </w:pPr>
    </w:p>
    <w:p w14:paraId="14488D27" w14:textId="77777777" w:rsidR="00F57924" w:rsidRPr="004030DB" w:rsidRDefault="00F57924" w:rsidP="00F57924">
      <w:pPr>
        <w:pStyle w:val="NoSpacing"/>
        <w:jc w:val="both"/>
        <w:rPr>
          <w:rFonts w:ascii="Arial" w:hAnsi="Arial" w:cs="Arial"/>
          <w:sz w:val="20"/>
          <w:szCs w:val="20"/>
        </w:rPr>
      </w:pPr>
      <w:r w:rsidRPr="004030DB">
        <w:rPr>
          <w:rFonts w:ascii="Arial" w:hAnsi="Arial" w:cs="Arial"/>
          <w:sz w:val="20"/>
          <w:szCs w:val="20"/>
        </w:rPr>
        <w:t xml:space="preserve">The LOF has 193 volunteers across the Medway Shop, Hospital Radio Medway and the outlet in Wainscott.  Many of these have been with the LOF for a considerable number of years and this achievement is recognised with long service awards presented twice yearly.   </w:t>
      </w:r>
    </w:p>
    <w:p w14:paraId="3E5BC0FA" w14:textId="77777777" w:rsidR="00F57924" w:rsidRPr="004030DB" w:rsidRDefault="00F57924" w:rsidP="00F57924">
      <w:pPr>
        <w:pStyle w:val="NoSpacing"/>
        <w:jc w:val="both"/>
        <w:rPr>
          <w:rFonts w:ascii="Arial" w:hAnsi="Arial" w:cs="Arial"/>
          <w:sz w:val="20"/>
          <w:szCs w:val="20"/>
        </w:rPr>
      </w:pPr>
    </w:p>
    <w:p w14:paraId="6106FCF4" w14:textId="77777777" w:rsidR="00F57924" w:rsidRPr="004030DB" w:rsidRDefault="00F57924" w:rsidP="00F57924">
      <w:pPr>
        <w:pStyle w:val="NoSpacing"/>
        <w:jc w:val="both"/>
        <w:rPr>
          <w:rFonts w:ascii="Arial" w:hAnsi="Arial" w:cs="Arial"/>
          <w:sz w:val="20"/>
          <w:szCs w:val="20"/>
        </w:rPr>
      </w:pPr>
      <w:r w:rsidRPr="004030DB">
        <w:rPr>
          <w:rFonts w:ascii="Arial" w:hAnsi="Arial" w:cs="Arial"/>
          <w:sz w:val="20"/>
          <w:szCs w:val="20"/>
        </w:rPr>
        <w:t xml:space="preserve">The LOF has recently introduced an on-line ordering and payment system via their website for patients to purchase non-perishable items including puzzle books, toiletries, sweets, drinks, pens, amongst others and these are then delivered to the patient on site.     </w:t>
      </w:r>
    </w:p>
    <w:p w14:paraId="6422F714" w14:textId="77777777" w:rsidR="00F57924" w:rsidRPr="004030DB" w:rsidRDefault="00F57924" w:rsidP="00F57924">
      <w:pPr>
        <w:pStyle w:val="NoSpacing"/>
        <w:jc w:val="both"/>
        <w:rPr>
          <w:rFonts w:ascii="Arial" w:hAnsi="Arial" w:cs="Arial"/>
          <w:sz w:val="20"/>
          <w:szCs w:val="20"/>
        </w:rPr>
      </w:pPr>
    </w:p>
    <w:p w14:paraId="2C6D9D53" w14:textId="77777777" w:rsidR="00F57924" w:rsidRPr="004030DB" w:rsidRDefault="00F57924" w:rsidP="00F57924">
      <w:pPr>
        <w:pStyle w:val="NoSpacing"/>
        <w:jc w:val="both"/>
        <w:rPr>
          <w:rFonts w:ascii="Arial" w:hAnsi="Arial" w:cs="Arial"/>
          <w:sz w:val="20"/>
          <w:szCs w:val="20"/>
        </w:rPr>
      </w:pPr>
      <w:r w:rsidRPr="004030DB">
        <w:rPr>
          <w:rFonts w:ascii="Arial" w:hAnsi="Arial" w:cs="Arial"/>
          <w:sz w:val="20"/>
          <w:szCs w:val="20"/>
        </w:rPr>
        <w:t xml:space="preserve">Thanks to the support of volunteers and customers during the period April 2024 to March 2025, the LOF has been able to fund items for the hospital totalling </w:t>
      </w:r>
      <w:r w:rsidRPr="004030DB">
        <w:rPr>
          <w:rFonts w:ascii="Arial" w:hAnsi="Arial" w:cs="Arial"/>
          <w:b/>
          <w:bCs/>
          <w:sz w:val="20"/>
          <w:szCs w:val="20"/>
        </w:rPr>
        <w:t>£268,772</w:t>
      </w:r>
      <w:r w:rsidRPr="004030DB">
        <w:rPr>
          <w:rFonts w:ascii="Arial" w:hAnsi="Arial" w:cs="Arial"/>
          <w:sz w:val="20"/>
          <w:szCs w:val="20"/>
        </w:rPr>
        <w:t xml:space="preserve">.  These items include recliner chairs, patient monitors, bladder scanners, ECG machines, electrolarynx machines and much more, a fantastic achievement and greatly appreciated by the Trust.  An annual detailed report is submitted to the Board on purchased items.  </w:t>
      </w:r>
    </w:p>
    <w:p w14:paraId="04393194" w14:textId="77777777" w:rsidR="00F57924" w:rsidRPr="004030DB" w:rsidRDefault="00F57924" w:rsidP="00F57924">
      <w:pPr>
        <w:pStyle w:val="NoSpacing"/>
        <w:jc w:val="both"/>
        <w:rPr>
          <w:rFonts w:ascii="Arial" w:hAnsi="Arial" w:cs="Arial"/>
          <w:sz w:val="20"/>
          <w:szCs w:val="20"/>
        </w:rPr>
      </w:pPr>
    </w:p>
    <w:p w14:paraId="212FA5A0" w14:textId="77777777" w:rsidR="00F57924" w:rsidRPr="004030DB" w:rsidRDefault="00F57924" w:rsidP="00F57924">
      <w:pPr>
        <w:jc w:val="both"/>
        <w:rPr>
          <w:rFonts w:ascii="Arial" w:hAnsi="Arial" w:cs="Arial"/>
          <w:sz w:val="20"/>
          <w:szCs w:val="20"/>
        </w:rPr>
      </w:pPr>
      <w:r w:rsidRPr="004030DB">
        <w:rPr>
          <w:rFonts w:ascii="Arial" w:hAnsi="Arial" w:cs="Arial"/>
          <w:sz w:val="20"/>
          <w:szCs w:val="20"/>
        </w:rPr>
        <w:t xml:space="preserve">The LOF regularly provides items for Attend (National Association of League of Friends) to include in their newsletters either highlighting items purchased, acknowledgement of sustainability initiatives for the LOF to become a Carbon Neutral charity and that the LOF is a Living Wage Employer.  </w:t>
      </w:r>
    </w:p>
    <w:p w14:paraId="3BF1C111" w14:textId="77777777" w:rsidR="00F57924" w:rsidRPr="004030DB" w:rsidRDefault="00F57924" w:rsidP="00F57924">
      <w:pPr>
        <w:jc w:val="both"/>
        <w:rPr>
          <w:rFonts w:ascii="Arial" w:hAnsi="Arial" w:cs="Arial"/>
          <w:sz w:val="20"/>
          <w:szCs w:val="20"/>
        </w:rPr>
      </w:pPr>
    </w:p>
    <w:p w14:paraId="44889021" w14:textId="77777777" w:rsidR="00F57924" w:rsidRPr="004030DB" w:rsidRDefault="00F57924" w:rsidP="00F57924">
      <w:pPr>
        <w:jc w:val="both"/>
        <w:rPr>
          <w:rFonts w:ascii="Arial" w:hAnsi="Arial" w:cs="Arial"/>
          <w:sz w:val="20"/>
          <w:szCs w:val="20"/>
        </w:rPr>
      </w:pPr>
      <w:r w:rsidRPr="004030DB">
        <w:rPr>
          <w:rFonts w:ascii="Arial" w:hAnsi="Arial" w:cs="Arial"/>
          <w:sz w:val="20"/>
          <w:szCs w:val="20"/>
        </w:rPr>
        <w:t xml:space="preserve">The LOF currently has 11 Trustees including the role of President (Stephen Clark) and Chair (Janet Harsent), each Trustee has a particular area of responsibility.  Behind the scenes the LOF Secretary </w:t>
      </w:r>
      <w:r w:rsidRPr="004030DB">
        <w:rPr>
          <w:rFonts w:ascii="Arial" w:hAnsi="Arial" w:cs="Arial"/>
          <w:sz w:val="20"/>
          <w:szCs w:val="20"/>
        </w:rPr>
        <w:lastRenderedPageBreak/>
        <w:t>works closely with Dawn Farry in the Clinical Engineering Department, who processes bids and places orders, as well as Debbie Omole in the Finance Department, who reviews the company invoices and arrange reimbursement by the LOF.</w:t>
      </w:r>
    </w:p>
    <w:p w14:paraId="460E0B7E" w14:textId="77777777" w:rsidR="00F57924" w:rsidRPr="004030DB" w:rsidRDefault="00F57924" w:rsidP="00F57924">
      <w:pPr>
        <w:ind w:left="360"/>
        <w:jc w:val="both"/>
        <w:rPr>
          <w:rFonts w:ascii="Arial" w:hAnsi="Arial" w:cs="Arial"/>
          <w:sz w:val="20"/>
          <w:szCs w:val="20"/>
        </w:rPr>
      </w:pPr>
    </w:p>
    <w:p w14:paraId="23DBC1E2" w14:textId="77777777" w:rsidR="008C628B" w:rsidRPr="004030DB" w:rsidRDefault="00F57924" w:rsidP="00F57924">
      <w:pPr>
        <w:jc w:val="both"/>
        <w:rPr>
          <w:rFonts w:ascii="Arial" w:hAnsi="Arial" w:cs="Arial"/>
          <w:sz w:val="20"/>
          <w:szCs w:val="20"/>
        </w:rPr>
      </w:pPr>
      <w:r w:rsidRPr="004030DB">
        <w:rPr>
          <w:rFonts w:ascii="Arial" w:hAnsi="Arial" w:cs="Arial"/>
          <w:sz w:val="20"/>
          <w:szCs w:val="20"/>
        </w:rPr>
        <w:t xml:space="preserve">Hospital Radio Medway (HRM) continues to provide a valuable service to in-patients with radio programmes.  HRM volunteers visit wards to collect requests from patients which are then incorporated into their broadcasting schedules.   HRM also organises events such as their Quiz Night and outside broadcasts for other organisations.   HRM is in the process of renewing its licence with Ofcom.  </w:t>
      </w:r>
    </w:p>
    <w:p w14:paraId="40A9BE2A" w14:textId="77777777" w:rsidR="00F57924" w:rsidRPr="004030DB" w:rsidRDefault="00F57924" w:rsidP="00F57924">
      <w:pPr>
        <w:jc w:val="both"/>
        <w:rPr>
          <w:rFonts w:ascii="Arial" w:hAnsi="Arial" w:cs="Arial"/>
          <w:sz w:val="20"/>
          <w:szCs w:val="20"/>
          <w:highlight w:val="yellow"/>
          <w:lang w:val="en-GB"/>
        </w:rPr>
      </w:pPr>
    </w:p>
    <w:bookmarkEnd w:id="17"/>
    <w:p w14:paraId="4AF11A8A" w14:textId="77777777" w:rsidR="002E6E55" w:rsidRPr="004030DB" w:rsidRDefault="002E6E55" w:rsidP="00F57924">
      <w:pPr>
        <w:jc w:val="both"/>
        <w:rPr>
          <w:rFonts w:ascii="Arial" w:hAnsi="Arial" w:cs="Arial"/>
          <w:sz w:val="20"/>
          <w:szCs w:val="20"/>
          <w:lang w:val="en-GB"/>
        </w:rPr>
      </w:pPr>
      <w:r w:rsidRPr="004030DB">
        <w:rPr>
          <w:rFonts w:ascii="Arial" w:hAnsi="Arial" w:cs="Arial"/>
          <w:sz w:val="20"/>
          <w:szCs w:val="20"/>
          <w:lang w:val="en-GB"/>
        </w:rPr>
        <w:t>Anyone with an interest in health and wellbeing who is over the age of 16</w:t>
      </w:r>
      <w:r w:rsidR="0025080C" w:rsidRPr="004030DB">
        <w:rPr>
          <w:rFonts w:ascii="Arial" w:hAnsi="Arial" w:cs="Arial"/>
          <w:sz w:val="20"/>
          <w:szCs w:val="20"/>
          <w:lang w:val="en-GB"/>
        </w:rPr>
        <w:t xml:space="preserve"> years old</w:t>
      </w:r>
      <w:r w:rsidRPr="004030DB">
        <w:rPr>
          <w:rFonts w:ascii="Arial" w:hAnsi="Arial" w:cs="Arial"/>
          <w:sz w:val="20"/>
          <w:szCs w:val="20"/>
          <w:lang w:val="en-GB"/>
        </w:rPr>
        <w:t xml:space="preserve"> or over, is welcome to apply to become a League of Friends volunteer at: </w:t>
      </w:r>
      <w:hyperlink r:id="rId38" w:history="1">
        <w:r w:rsidRPr="004030DB">
          <w:rPr>
            <w:rStyle w:val="Hyperlink"/>
            <w:rFonts w:ascii="Arial" w:hAnsi="Arial" w:cs="Arial"/>
            <w:sz w:val="20"/>
            <w:szCs w:val="20"/>
            <w:lang w:val="en-GB"/>
          </w:rPr>
          <w:t>https://www.medway.nhs.uk/work-with-us/volunteering/</w:t>
        </w:r>
      </w:hyperlink>
      <w:r w:rsidRPr="004030DB">
        <w:rPr>
          <w:rFonts w:ascii="Arial" w:hAnsi="Arial" w:cs="Arial"/>
          <w:sz w:val="20"/>
          <w:szCs w:val="20"/>
          <w:lang w:val="en-GB"/>
        </w:rPr>
        <w:t xml:space="preserve">  </w:t>
      </w:r>
    </w:p>
    <w:p w14:paraId="1E93EC56" w14:textId="77777777" w:rsidR="002E6E55" w:rsidRPr="004030DB" w:rsidRDefault="002E6E55" w:rsidP="00F57924">
      <w:pPr>
        <w:jc w:val="both"/>
        <w:rPr>
          <w:rFonts w:ascii="Arial" w:hAnsi="Arial" w:cs="Arial"/>
          <w:sz w:val="20"/>
          <w:szCs w:val="20"/>
          <w:highlight w:val="yellow"/>
          <w:lang w:val="en-GB"/>
        </w:rPr>
      </w:pPr>
    </w:p>
    <w:p w14:paraId="2BDE6EAB" w14:textId="77777777" w:rsidR="00F52143" w:rsidRPr="004030DB" w:rsidRDefault="00F52143" w:rsidP="00F57924">
      <w:pPr>
        <w:jc w:val="both"/>
        <w:rPr>
          <w:rFonts w:ascii="Arial" w:hAnsi="Arial" w:cs="Arial"/>
          <w:sz w:val="20"/>
          <w:szCs w:val="20"/>
          <w:highlight w:val="yellow"/>
          <w:lang w:val="en-GB"/>
        </w:rPr>
      </w:pPr>
    </w:p>
    <w:p w14:paraId="0F485E48" w14:textId="77777777" w:rsidR="00F52143" w:rsidRPr="00F57924" w:rsidRDefault="00F52143" w:rsidP="00F57924">
      <w:pPr>
        <w:jc w:val="both"/>
        <w:rPr>
          <w:rFonts w:ascii="Arial" w:hAnsi="Arial" w:cs="Arial"/>
          <w:highlight w:val="yellow"/>
          <w:lang w:val="en-GB"/>
        </w:rPr>
      </w:pPr>
    </w:p>
    <w:p w14:paraId="6655A08F" w14:textId="77777777" w:rsidR="00FE08E8" w:rsidRPr="00F57924" w:rsidRDefault="00FE08E8" w:rsidP="00F57924">
      <w:pPr>
        <w:jc w:val="both"/>
        <w:rPr>
          <w:rFonts w:ascii="Arial" w:hAnsi="Arial" w:cs="Arial"/>
          <w:highlight w:val="yellow"/>
          <w:lang w:val="en-GB"/>
        </w:rPr>
      </w:pPr>
    </w:p>
    <w:p w14:paraId="7DFD74D3" w14:textId="77777777" w:rsidR="00FE08E8" w:rsidRPr="00696EE6" w:rsidRDefault="00FE08E8" w:rsidP="00F57924">
      <w:pPr>
        <w:rPr>
          <w:rFonts w:ascii="Arial" w:hAnsi="Arial" w:cs="Arial"/>
          <w:sz w:val="20"/>
          <w:szCs w:val="20"/>
          <w:highlight w:val="yellow"/>
          <w:lang w:val="en-GB"/>
        </w:rPr>
      </w:pPr>
    </w:p>
    <w:p w14:paraId="7F77AB8C" w14:textId="77777777" w:rsidR="00FE08E8" w:rsidRDefault="00FE08E8" w:rsidP="00D31004">
      <w:pPr>
        <w:rPr>
          <w:rFonts w:ascii="Arial" w:hAnsi="Arial" w:cs="Arial"/>
          <w:sz w:val="20"/>
          <w:szCs w:val="20"/>
          <w:highlight w:val="yellow"/>
          <w:lang w:val="en-GB"/>
        </w:rPr>
      </w:pPr>
    </w:p>
    <w:p w14:paraId="2CFD2574" w14:textId="77777777" w:rsidR="00F57924" w:rsidRDefault="00F57924" w:rsidP="00D31004">
      <w:pPr>
        <w:rPr>
          <w:rFonts w:ascii="Arial" w:hAnsi="Arial" w:cs="Arial"/>
          <w:sz w:val="20"/>
          <w:szCs w:val="20"/>
          <w:highlight w:val="yellow"/>
          <w:lang w:val="en-GB"/>
        </w:rPr>
      </w:pPr>
    </w:p>
    <w:p w14:paraId="069295E8" w14:textId="77777777" w:rsidR="00F57924" w:rsidRDefault="00F57924" w:rsidP="00D31004">
      <w:pPr>
        <w:rPr>
          <w:rFonts w:ascii="Arial" w:hAnsi="Arial" w:cs="Arial"/>
          <w:sz w:val="20"/>
          <w:szCs w:val="20"/>
          <w:highlight w:val="yellow"/>
          <w:lang w:val="en-GB"/>
        </w:rPr>
      </w:pPr>
    </w:p>
    <w:p w14:paraId="408D92B0" w14:textId="77777777" w:rsidR="00F57924" w:rsidRDefault="00F57924" w:rsidP="00D31004">
      <w:pPr>
        <w:rPr>
          <w:rFonts w:ascii="Arial" w:hAnsi="Arial" w:cs="Arial"/>
          <w:sz w:val="20"/>
          <w:szCs w:val="20"/>
          <w:highlight w:val="yellow"/>
          <w:lang w:val="en-GB"/>
        </w:rPr>
      </w:pPr>
    </w:p>
    <w:p w14:paraId="124146A0" w14:textId="77777777" w:rsidR="00F57924" w:rsidRDefault="00F57924" w:rsidP="00D31004">
      <w:pPr>
        <w:rPr>
          <w:rFonts w:ascii="Arial" w:hAnsi="Arial" w:cs="Arial"/>
          <w:sz w:val="20"/>
          <w:szCs w:val="20"/>
          <w:highlight w:val="yellow"/>
          <w:lang w:val="en-GB"/>
        </w:rPr>
      </w:pPr>
    </w:p>
    <w:p w14:paraId="6D3F360C" w14:textId="77777777" w:rsidR="00F57924" w:rsidRDefault="00F57924" w:rsidP="00D31004">
      <w:pPr>
        <w:rPr>
          <w:rFonts w:ascii="Arial" w:hAnsi="Arial" w:cs="Arial"/>
          <w:sz w:val="20"/>
          <w:szCs w:val="20"/>
          <w:highlight w:val="yellow"/>
          <w:lang w:val="en-GB"/>
        </w:rPr>
      </w:pPr>
    </w:p>
    <w:p w14:paraId="2D0966F7" w14:textId="77777777" w:rsidR="00F57924" w:rsidRDefault="00F57924" w:rsidP="00D31004">
      <w:pPr>
        <w:rPr>
          <w:rFonts w:ascii="Arial" w:hAnsi="Arial" w:cs="Arial"/>
          <w:sz w:val="20"/>
          <w:szCs w:val="20"/>
          <w:highlight w:val="yellow"/>
          <w:lang w:val="en-GB"/>
        </w:rPr>
      </w:pPr>
    </w:p>
    <w:p w14:paraId="5CBFEE44" w14:textId="77777777" w:rsidR="00F57924" w:rsidRDefault="00F57924" w:rsidP="00D31004">
      <w:pPr>
        <w:rPr>
          <w:rFonts w:ascii="Arial" w:hAnsi="Arial" w:cs="Arial"/>
          <w:sz w:val="20"/>
          <w:szCs w:val="20"/>
          <w:highlight w:val="yellow"/>
          <w:lang w:val="en-GB"/>
        </w:rPr>
      </w:pPr>
    </w:p>
    <w:p w14:paraId="4A248D0E" w14:textId="77777777" w:rsidR="00F57924" w:rsidRDefault="00F57924" w:rsidP="00D31004">
      <w:pPr>
        <w:rPr>
          <w:rFonts w:ascii="Arial" w:hAnsi="Arial" w:cs="Arial"/>
          <w:sz w:val="20"/>
          <w:szCs w:val="20"/>
          <w:highlight w:val="yellow"/>
          <w:lang w:val="en-GB"/>
        </w:rPr>
      </w:pPr>
    </w:p>
    <w:p w14:paraId="77443091" w14:textId="77777777" w:rsidR="00F57924" w:rsidRDefault="00F57924" w:rsidP="00D31004">
      <w:pPr>
        <w:rPr>
          <w:rFonts w:ascii="Arial" w:hAnsi="Arial" w:cs="Arial"/>
          <w:sz w:val="20"/>
          <w:szCs w:val="20"/>
          <w:highlight w:val="yellow"/>
          <w:lang w:val="en-GB"/>
        </w:rPr>
      </w:pPr>
    </w:p>
    <w:p w14:paraId="0E082CC1" w14:textId="77777777" w:rsidR="00F57924" w:rsidRDefault="00F57924" w:rsidP="00D31004">
      <w:pPr>
        <w:rPr>
          <w:rFonts w:ascii="Arial" w:hAnsi="Arial" w:cs="Arial"/>
          <w:sz w:val="20"/>
          <w:szCs w:val="20"/>
          <w:highlight w:val="yellow"/>
          <w:lang w:val="en-GB"/>
        </w:rPr>
      </w:pPr>
    </w:p>
    <w:p w14:paraId="6AA9A82D" w14:textId="77777777" w:rsidR="00F57924" w:rsidRDefault="00F57924" w:rsidP="00D31004">
      <w:pPr>
        <w:rPr>
          <w:rFonts w:ascii="Arial" w:hAnsi="Arial" w:cs="Arial"/>
          <w:sz w:val="20"/>
          <w:szCs w:val="20"/>
          <w:highlight w:val="yellow"/>
          <w:lang w:val="en-GB"/>
        </w:rPr>
      </w:pPr>
    </w:p>
    <w:p w14:paraId="09A5ABCE" w14:textId="77777777" w:rsidR="00F57924" w:rsidRDefault="00F57924" w:rsidP="00D31004">
      <w:pPr>
        <w:rPr>
          <w:rFonts w:ascii="Arial" w:hAnsi="Arial" w:cs="Arial"/>
          <w:sz w:val="20"/>
          <w:szCs w:val="20"/>
          <w:highlight w:val="yellow"/>
          <w:lang w:val="en-GB"/>
        </w:rPr>
      </w:pPr>
    </w:p>
    <w:p w14:paraId="33BCAF11" w14:textId="77777777" w:rsidR="00F57924" w:rsidRDefault="00F57924" w:rsidP="00D31004">
      <w:pPr>
        <w:rPr>
          <w:rFonts w:ascii="Arial" w:hAnsi="Arial" w:cs="Arial"/>
          <w:sz w:val="20"/>
          <w:szCs w:val="20"/>
          <w:highlight w:val="yellow"/>
          <w:lang w:val="en-GB"/>
        </w:rPr>
      </w:pPr>
    </w:p>
    <w:p w14:paraId="6894DF9D" w14:textId="77777777" w:rsidR="00F57924" w:rsidRDefault="00F57924" w:rsidP="00D31004">
      <w:pPr>
        <w:rPr>
          <w:rFonts w:ascii="Arial" w:hAnsi="Arial" w:cs="Arial"/>
          <w:sz w:val="20"/>
          <w:szCs w:val="20"/>
          <w:highlight w:val="yellow"/>
          <w:lang w:val="en-GB"/>
        </w:rPr>
      </w:pPr>
    </w:p>
    <w:p w14:paraId="32536BF8" w14:textId="77777777" w:rsidR="00F57924" w:rsidRDefault="00F57924" w:rsidP="00D31004">
      <w:pPr>
        <w:rPr>
          <w:rFonts w:ascii="Arial" w:hAnsi="Arial" w:cs="Arial"/>
          <w:sz w:val="20"/>
          <w:szCs w:val="20"/>
          <w:highlight w:val="yellow"/>
          <w:lang w:val="en-GB"/>
        </w:rPr>
      </w:pPr>
    </w:p>
    <w:p w14:paraId="4561CC14" w14:textId="77777777" w:rsidR="00F57924" w:rsidRDefault="00F57924" w:rsidP="00D31004">
      <w:pPr>
        <w:rPr>
          <w:rFonts w:ascii="Arial" w:hAnsi="Arial" w:cs="Arial"/>
          <w:sz w:val="20"/>
          <w:szCs w:val="20"/>
          <w:highlight w:val="yellow"/>
          <w:lang w:val="en-GB"/>
        </w:rPr>
      </w:pPr>
    </w:p>
    <w:p w14:paraId="53DF03F1" w14:textId="77777777" w:rsidR="00F57924" w:rsidRDefault="00F57924" w:rsidP="00D31004">
      <w:pPr>
        <w:rPr>
          <w:rFonts w:ascii="Arial" w:hAnsi="Arial" w:cs="Arial"/>
          <w:sz w:val="20"/>
          <w:szCs w:val="20"/>
          <w:highlight w:val="yellow"/>
          <w:lang w:val="en-GB"/>
        </w:rPr>
      </w:pPr>
    </w:p>
    <w:p w14:paraId="2DA704E0" w14:textId="77777777" w:rsidR="00F57924" w:rsidRDefault="00F57924" w:rsidP="00D31004">
      <w:pPr>
        <w:rPr>
          <w:rFonts w:ascii="Arial" w:hAnsi="Arial" w:cs="Arial"/>
          <w:sz w:val="20"/>
          <w:szCs w:val="20"/>
          <w:highlight w:val="yellow"/>
          <w:lang w:val="en-GB"/>
        </w:rPr>
      </w:pPr>
    </w:p>
    <w:p w14:paraId="7B72D46C" w14:textId="77777777" w:rsidR="00F57924" w:rsidRDefault="00F57924" w:rsidP="00D31004">
      <w:pPr>
        <w:rPr>
          <w:rFonts w:ascii="Arial" w:hAnsi="Arial" w:cs="Arial"/>
          <w:sz w:val="20"/>
          <w:szCs w:val="20"/>
          <w:highlight w:val="yellow"/>
          <w:lang w:val="en-GB"/>
        </w:rPr>
      </w:pPr>
    </w:p>
    <w:p w14:paraId="7F4C2546" w14:textId="77777777" w:rsidR="00F57924" w:rsidRDefault="00F57924" w:rsidP="00D31004">
      <w:pPr>
        <w:rPr>
          <w:rFonts w:ascii="Arial" w:hAnsi="Arial" w:cs="Arial"/>
          <w:sz w:val="20"/>
          <w:szCs w:val="20"/>
          <w:highlight w:val="yellow"/>
          <w:lang w:val="en-GB"/>
        </w:rPr>
      </w:pPr>
    </w:p>
    <w:p w14:paraId="273ED9F4" w14:textId="77777777" w:rsidR="00F57924" w:rsidRDefault="00F57924" w:rsidP="00D31004">
      <w:pPr>
        <w:rPr>
          <w:rFonts w:ascii="Arial" w:hAnsi="Arial" w:cs="Arial"/>
          <w:sz w:val="20"/>
          <w:szCs w:val="20"/>
          <w:highlight w:val="yellow"/>
          <w:lang w:val="en-GB"/>
        </w:rPr>
      </w:pPr>
    </w:p>
    <w:p w14:paraId="313C324B" w14:textId="77777777" w:rsidR="00F57924" w:rsidRDefault="00F57924" w:rsidP="00D31004">
      <w:pPr>
        <w:rPr>
          <w:rFonts w:ascii="Arial" w:hAnsi="Arial" w:cs="Arial"/>
          <w:sz w:val="20"/>
          <w:szCs w:val="20"/>
          <w:highlight w:val="yellow"/>
          <w:lang w:val="en-GB"/>
        </w:rPr>
      </w:pPr>
    </w:p>
    <w:p w14:paraId="6D623A1D" w14:textId="77777777" w:rsidR="00F57924" w:rsidRDefault="00F57924" w:rsidP="00D31004">
      <w:pPr>
        <w:rPr>
          <w:rFonts w:ascii="Arial" w:hAnsi="Arial" w:cs="Arial"/>
          <w:sz w:val="20"/>
          <w:szCs w:val="20"/>
          <w:highlight w:val="yellow"/>
          <w:lang w:val="en-GB"/>
        </w:rPr>
      </w:pPr>
    </w:p>
    <w:p w14:paraId="6C5C66B0" w14:textId="77777777" w:rsidR="00F57924" w:rsidRDefault="00F57924" w:rsidP="00D31004">
      <w:pPr>
        <w:rPr>
          <w:rFonts w:ascii="Arial" w:hAnsi="Arial" w:cs="Arial"/>
          <w:sz w:val="20"/>
          <w:szCs w:val="20"/>
          <w:highlight w:val="yellow"/>
          <w:lang w:val="en-GB"/>
        </w:rPr>
      </w:pPr>
    </w:p>
    <w:p w14:paraId="2FDC6D64" w14:textId="77777777" w:rsidR="00F57924" w:rsidRDefault="00F57924" w:rsidP="00D31004">
      <w:pPr>
        <w:rPr>
          <w:rFonts w:ascii="Arial" w:hAnsi="Arial" w:cs="Arial"/>
          <w:sz w:val="20"/>
          <w:szCs w:val="20"/>
          <w:highlight w:val="yellow"/>
          <w:lang w:val="en-GB"/>
        </w:rPr>
      </w:pPr>
    </w:p>
    <w:p w14:paraId="365D6E1E" w14:textId="77777777" w:rsidR="00F57924" w:rsidRDefault="00F57924" w:rsidP="00D31004">
      <w:pPr>
        <w:rPr>
          <w:rFonts w:ascii="Arial" w:hAnsi="Arial" w:cs="Arial"/>
          <w:sz w:val="20"/>
          <w:szCs w:val="20"/>
          <w:highlight w:val="yellow"/>
          <w:lang w:val="en-GB"/>
        </w:rPr>
      </w:pPr>
    </w:p>
    <w:p w14:paraId="3956581B" w14:textId="77777777" w:rsidR="00F57924" w:rsidRDefault="00F57924" w:rsidP="00D31004">
      <w:pPr>
        <w:rPr>
          <w:rFonts w:ascii="Arial" w:hAnsi="Arial" w:cs="Arial"/>
          <w:sz w:val="20"/>
          <w:szCs w:val="20"/>
          <w:highlight w:val="yellow"/>
          <w:lang w:val="en-GB"/>
        </w:rPr>
      </w:pPr>
    </w:p>
    <w:p w14:paraId="407ECA2B" w14:textId="77777777" w:rsidR="00F57924" w:rsidRDefault="00F57924" w:rsidP="00D31004">
      <w:pPr>
        <w:rPr>
          <w:rFonts w:ascii="Arial" w:hAnsi="Arial" w:cs="Arial"/>
          <w:sz w:val="20"/>
          <w:szCs w:val="20"/>
          <w:highlight w:val="yellow"/>
          <w:lang w:val="en-GB"/>
        </w:rPr>
      </w:pPr>
    </w:p>
    <w:p w14:paraId="5B1E9C9A" w14:textId="77777777" w:rsidR="00F57924" w:rsidRDefault="00F57924" w:rsidP="00D31004">
      <w:pPr>
        <w:rPr>
          <w:rFonts w:ascii="Arial" w:hAnsi="Arial" w:cs="Arial"/>
          <w:sz w:val="20"/>
          <w:szCs w:val="20"/>
          <w:highlight w:val="yellow"/>
          <w:lang w:val="en-GB"/>
        </w:rPr>
      </w:pPr>
    </w:p>
    <w:bookmarkEnd w:id="18"/>
    <w:p w14:paraId="406A96A3" w14:textId="77777777" w:rsidR="004030DB" w:rsidRDefault="004030DB" w:rsidP="0066611D">
      <w:pPr>
        <w:jc w:val="both"/>
        <w:rPr>
          <w:rFonts w:ascii="Arial" w:hAnsi="Arial" w:cs="Arial"/>
          <w:b/>
          <w:lang w:val="en-GB"/>
        </w:rPr>
      </w:pPr>
    </w:p>
    <w:p w14:paraId="5421CB1F" w14:textId="77777777" w:rsidR="004030DB" w:rsidRDefault="004030DB" w:rsidP="0066611D">
      <w:pPr>
        <w:jc w:val="both"/>
        <w:rPr>
          <w:rFonts w:ascii="Arial" w:hAnsi="Arial" w:cs="Arial"/>
          <w:b/>
          <w:lang w:val="en-GB"/>
        </w:rPr>
      </w:pPr>
    </w:p>
    <w:p w14:paraId="2F7A5149" w14:textId="77777777" w:rsidR="004030DB" w:rsidRDefault="004030DB" w:rsidP="0066611D">
      <w:pPr>
        <w:jc w:val="both"/>
        <w:rPr>
          <w:rFonts w:ascii="Arial" w:hAnsi="Arial" w:cs="Arial"/>
          <w:b/>
          <w:lang w:val="en-GB"/>
        </w:rPr>
      </w:pPr>
    </w:p>
    <w:p w14:paraId="028D1C04" w14:textId="77777777" w:rsidR="004030DB" w:rsidRDefault="004030DB" w:rsidP="0066611D">
      <w:pPr>
        <w:jc w:val="both"/>
        <w:rPr>
          <w:rFonts w:ascii="Arial" w:hAnsi="Arial" w:cs="Arial"/>
          <w:b/>
          <w:lang w:val="en-GB"/>
        </w:rPr>
      </w:pPr>
    </w:p>
    <w:p w14:paraId="7A78654B" w14:textId="77777777" w:rsidR="004030DB" w:rsidRDefault="004030DB" w:rsidP="0066611D">
      <w:pPr>
        <w:jc w:val="both"/>
        <w:rPr>
          <w:rFonts w:ascii="Arial" w:hAnsi="Arial" w:cs="Arial"/>
          <w:b/>
          <w:lang w:val="en-GB"/>
        </w:rPr>
      </w:pPr>
    </w:p>
    <w:p w14:paraId="77D2F604" w14:textId="77777777" w:rsidR="004030DB" w:rsidRDefault="004030DB" w:rsidP="0066611D">
      <w:pPr>
        <w:jc w:val="both"/>
        <w:rPr>
          <w:rFonts w:ascii="Arial" w:hAnsi="Arial" w:cs="Arial"/>
          <w:b/>
          <w:lang w:val="en-GB"/>
        </w:rPr>
      </w:pPr>
    </w:p>
    <w:p w14:paraId="7334ED76" w14:textId="77777777" w:rsidR="004030DB" w:rsidRDefault="004030DB" w:rsidP="0066611D">
      <w:pPr>
        <w:jc w:val="both"/>
        <w:rPr>
          <w:rFonts w:ascii="Arial" w:hAnsi="Arial" w:cs="Arial"/>
          <w:b/>
          <w:lang w:val="en-GB"/>
        </w:rPr>
      </w:pPr>
    </w:p>
    <w:p w14:paraId="5086CB5E" w14:textId="77777777" w:rsidR="004030DB" w:rsidRDefault="004030DB" w:rsidP="0066611D">
      <w:pPr>
        <w:jc w:val="both"/>
        <w:rPr>
          <w:rFonts w:ascii="Arial" w:hAnsi="Arial" w:cs="Arial"/>
          <w:b/>
          <w:lang w:val="en-GB"/>
        </w:rPr>
      </w:pPr>
    </w:p>
    <w:p w14:paraId="5E34A698" w14:textId="77777777" w:rsidR="004030DB" w:rsidRDefault="004030DB" w:rsidP="0066611D">
      <w:pPr>
        <w:jc w:val="both"/>
        <w:rPr>
          <w:rFonts w:ascii="Arial" w:hAnsi="Arial" w:cs="Arial"/>
          <w:b/>
          <w:lang w:val="en-GB"/>
        </w:rPr>
      </w:pPr>
    </w:p>
    <w:p w14:paraId="24E80012" w14:textId="77777777" w:rsidR="004030DB" w:rsidRDefault="004030DB" w:rsidP="0066611D">
      <w:pPr>
        <w:jc w:val="both"/>
        <w:rPr>
          <w:rFonts w:ascii="Arial" w:hAnsi="Arial" w:cs="Arial"/>
          <w:b/>
          <w:lang w:val="en-GB"/>
        </w:rPr>
      </w:pPr>
    </w:p>
    <w:p w14:paraId="735766C3" w14:textId="77777777" w:rsidR="004030DB" w:rsidRDefault="004030DB" w:rsidP="0066611D">
      <w:pPr>
        <w:jc w:val="both"/>
        <w:rPr>
          <w:rFonts w:ascii="Arial" w:hAnsi="Arial" w:cs="Arial"/>
          <w:b/>
          <w:lang w:val="en-GB"/>
        </w:rPr>
      </w:pPr>
    </w:p>
    <w:p w14:paraId="7B0E37D4" w14:textId="77777777" w:rsidR="004030DB" w:rsidRDefault="004030DB" w:rsidP="0066611D">
      <w:pPr>
        <w:jc w:val="both"/>
        <w:rPr>
          <w:rFonts w:ascii="Arial" w:hAnsi="Arial" w:cs="Arial"/>
          <w:b/>
          <w:lang w:val="en-GB"/>
        </w:rPr>
      </w:pPr>
    </w:p>
    <w:p w14:paraId="6B80BCEB" w14:textId="77777777" w:rsidR="00010A15" w:rsidRPr="004030DB" w:rsidRDefault="003D5141" w:rsidP="0066611D">
      <w:pPr>
        <w:jc w:val="both"/>
        <w:rPr>
          <w:rFonts w:ascii="Arial" w:hAnsi="Arial" w:cs="Arial"/>
          <w:sz w:val="20"/>
          <w:szCs w:val="20"/>
          <w:lang w:val="en-GB"/>
        </w:rPr>
      </w:pPr>
      <w:r w:rsidRPr="004030DB">
        <w:rPr>
          <w:rFonts w:ascii="Arial" w:hAnsi="Arial" w:cs="Arial"/>
          <w:b/>
          <w:sz w:val="20"/>
          <w:szCs w:val="20"/>
          <w:lang w:val="en-GB"/>
        </w:rPr>
        <w:lastRenderedPageBreak/>
        <w:t>G</w:t>
      </w:r>
      <w:r w:rsidR="00010A15" w:rsidRPr="004030DB">
        <w:rPr>
          <w:rFonts w:ascii="Arial" w:hAnsi="Arial" w:cs="Arial"/>
          <w:b/>
          <w:sz w:val="20"/>
          <w:szCs w:val="20"/>
          <w:lang w:val="en-GB"/>
        </w:rPr>
        <w:t xml:space="preserve">overnors’ </w:t>
      </w:r>
      <w:r w:rsidR="00076502" w:rsidRPr="004030DB">
        <w:rPr>
          <w:rFonts w:ascii="Arial" w:hAnsi="Arial" w:cs="Arial"/>
          <w:b/>
          <w:sz w:val="20"/>
          <w:szCs w:val="20"/>
          <w:lang w:val="en-GB"/>
        </w:rPr>
        <w:t>R</w:t>
      </w:r>
      <w:r w:rsidR="00010A15" w:rsidRPr="004030DB">
        <w:rPr>
          <w:rFonts w:ascii="Arial" w:hAnsi="Arial" w:cs="Arial"/>
          <w:b/>
          <w:sz w:val="20"/>
          <w:szCs w:val="20"/>
          <w:lang w:val="en-GB"/>
        </w:rPr>
        <w:t>eport</w:t>
      </w:r>
      <w:r w:rsidR="000D7EA5" w:rsidRPr="004030DB">
        <w:rPr>
          <w:rFonts w:ascii="Arial" w:hAnsi="Arial" w:cs="Arial"/>
          <w:b/>
          <w:sz w:val="20"/>
          <w:szCs w:val="20"/>
          <w:lang w:val="en-GB"/>
        </w:rPr>
        <w:t xml:space="preserve"> </w:t>
      </w:r>
    </w:p>
    <w:p w14:paraId="44DC7BC8" w14:textId="77777777" w:rsidR="00C63875" w:rsidRPr="004030DB" w:rsidRDefault="00C63875" w:rsidP="0066611D">
      <w:pPr>
        <w:jc w:val="both"/>
        <w:rPr>
          <w:rFonts w:ascii="Arial" w:hAnsi="Arial" w:cs="Arial"/>
          <w:sz w:val="20"/>
          <w:szCs w:val="20"/>
          <w:lang w:val="en-GB"/>
        </w:rPr>
      </w:pPr>
    </w:p>
    <w:p w14:paraId="59857D99" w14:textId="77777777" w:rsidR="00010A15" w:rsidRPr="004030DB" w:rsidRDefault="00010A15" w:rsidP="0066611D">
      <w:pPr>
        <w:jc w:val="both"/>
        <w:rPr>
          <w:rFonts w:ascii="Arial" w:hAnsi="Arial" w:cs="Arial"/>
          <w:sz w:val="20"/>
          <w:szCs w:val="20"/>
          <w:u w:val="single"/>
          <w:lang w:val="en-GB"/>
        </w:rPr>
      </w:pPr>
      <w:r w:rsidRPr="004030DB">
        <w:rPr>
          <w:rFonts w:ascii="Arial" w:hAnsi="Arial" w:cs="Arial"/>
          <w:sz w:val="20"/>
          <w:szCs w:val="20"/>
          <w:u w:val="single"/>
          <w:lang w:val="en-GB"/>
        </w:rPr>
        <w:t>Council of Governors</w:t>
      </w:r>
    </w:p>
    <w:p w14:paraId="71303D88" w14:textId="77777777" w:rsidR="00C63875" w:rsidRPr="004030DB" w:rsidRDefault="00C63875" w:rsidP="0066611D">
      <w:pPr>
        <w:jc w:val="both"/>
        <w:rPr>
          <w:rFonts w:ascii="Arial" w:hAnsi="Arial" w:cs="Arial"/>
          <w:sz w:val="20"/>
          <w:szCs w:val="20"/>
          <w:lang w:val="en-GB"/>
        </w:rPr>
      </w:pPr>
    </w:p>
    <w:p w14:paraId="62B57A46" w14:textId="77777777" w:rsidR="00010A15" w:rsidRPr="004030DB" w:rsidRDefault="00010A15" w:rsidP="0066611D">
      <w:pPr>
        <w:jc w:val="both"/>
        <w:rPr>
          <w:rFonts w:ascii="Arial" w:hAnsi="Arial" w:cs="Arial"/>
          <w:sz w:val="20"/>
          <w:szCs w:val="20"/>
          <w:lang w:val="en-GB"/>
        </w:rPr>
      </w:pPr>
      <w:r w:rsidRPr="004030DB">
        <w:rPr>
          <w:rFonts w:ascii="Arial" w:hAnsi="Arial" w:cs="Arial"/>
          <w:sz w:val="20"/>
          <w:szCs w:val="20"/>
          <w:lang w:val="en-GB"/>
        </w:rPr>
        <w:t xml:space="preserve">The Council of </w:t>
      </w:r>
      <w:r w:rsidR="004F6B27" w:rsidRPr="004030DB">
        <w:rPr>
          <w:rFonts w:ascii="Arial" w:hAnsi="Arial" w:cs="Arial"/>
          <w:sz w:val="20"/>
          <w:szCs w:val="20"/>
          <w:lang w:val="en-GB"/>
        </w:rPr>
        <w:t>Governors is</w:t>
      </w:r>
      <w:r w:rsidRPr="004030DB">
        <w:rPr>
          <w:rFonts w:ascii="Arial" w:hAnsi="Arial" w:cs="Arial"/>
          <w:sz w:val="20"/>
          <w:szCs w:val="20"/>
          <w:lang w:val="en-GB"/>
        </w:rPr>
        <w:t xml:space="preserve"> made up of elected and appointed governors who provide an important link between the Trust, local people and key stakeholder organisations.</w:t>
      </w:r>
      <w:r w:rsidR="0066611D" w:rsidRPr="004030DB">
        <w:rPr>
          <w:rFonts w:ascii="Arial" w:hAnsi="Arial" w:cs="Arial"/>
          <w:sz w:val="20"/>
          <w:szCs w:val="20"/>
          <w:lang w:val="en-GB"/>
        </w:rPr>
        <w:t xml:space="preserve">  </w:t>
      </w:r>
      <w:r w:rsidRPr="004030DB">
        <w:rPr>
          <w:rFonts w:ascii="Arial" w:hAnsi="Arial" w:cs="Arial"/>
          <w:sz w:val="20"/>
          <w:szCs w:val="20"/>
          <w:lang w:val="en-GB"/>
        </w:rPr>
        <w:t>They share information and views that can influence and shape the way that services are provided by the Trust and they work together with the Board of Directors to ensure that the Trust delivers a high quality of healthcare within a strict framework of governance while achieving financial balance and planning for the future.</w:t>
      </w:r>
    </w:p>
    <w:p w14:paraId="6720B09C" w14:textId="77777777" w:rsidR="00C63875" w:rsidRPr="004030DB" w:rsidRDefault="00C63875" w:rsidP="0066611D">
      <w:pPr>
        <w:jc w:val="both"/>
        <w:rPr>
          <w:rFonts w:ascii="Arial" w:hAnsi="Arial" w:cs="Arial"/>
          <w:sz w:val="20"/>
          <w:szCs w:val="20"/>
          <w:lang w:val="en-GB"/>
        </w:rPr>
      </w:pPr>
    </w:p>
    <w:p w14:paraId="6C244110" w14:textId="77777777" w:rsidR="00C63875" w:rsidRPr="004030DB" w:rsidRDefault="00010A15" w:rsidP="0066611D">
      <w:pPr>
        <w:jc w:val="both"/>
        <w:rPr>
          <w:rFonts w:ascii="Arial" w:hAnsi="Arial" w:cs="Arial"/>
          <w:sz w:val="20"/>
          <w:szCs w:val="20"/>
          <w:lang w:val="en-GB"/>
        </w:rPr>
      </w:pPr>
      <w:r w:rsidRPr="004030DB">
        <w:rPr>
          <w:rFonts w:ascii="Arial" w:hAnsi="Arial" w:cs="Arial"/>
          <w:sz w:val="20"/>
          <w:szCs w:val="20"/>
          <w:lang w:val="en-GB"/>
        </w:rPr>
        <w:t xml:space="preserve">The Trust’s </w:t>
      </w:r>
      <w:r w:rsidR="00076502" w:rsidRPr="004030DB">
        <w:rPr>
          <w:rFonts w:ascii="Arial" w:hAnsi="Arial" w:cs="Arial"/>
          <w:sz w:val="20"/>
          <w:szCs w:val="20"/>
          <w:lang w:val="en-GB"/>
        </w:rPr>
        <w:t>C</w:t>
      </w:r>
      <w:r w:rsidRPr="004030DB">
        <w:rPr>
          <w:rFonts w:ascii="Arial" w:hAnsi="Arial" w:cs="Arial"/>
          <w:sz w:val="20"/>
          <w:szCs w:val="20"/>
          <w:lang w:val="en-GB"/>
        </w:rPr>
        <w:t>onstitution sets out the key responsibilities of the Council.</w:t>
      </w:r>
      <w:r w:rsidR="00076502" w:rsidRPr="004030DB">
        <w:rPr>
          <w:rFonts w:ascii="Arial" w:hAnsi="Arial" w:cs="Arial"/>
          <w:sz w:val="20"/>
          <w:szCs w:val="20"/>
          <w:lang w:val="en-GB"/>
        </w:rPr>
        <w:t xml:space="preserve">  </w:t>
      </w:r>
      <w:r w:rsidRPr="004030DB">
        <w:rPr>
          <w:rFonts w:ascii="Arial" w:hAnsi="Arial" w:cs="Arial"/>
          <w:sz w:val="20"/>
          <w:szCs w:val="20"/>
          <w:lang w:val="en-GB"/>
        </w:rPr>
        <w:t>Its general functions are to:</w:t>
      </w:r>
    </w:p>
    <w:p w14:paraId="45E0EE56" w14:textId="77777777" w:rsidR="00C63875" w:rsidRPr="004030DB" w:rsidRDefault="00C63875" w:rsidP="002E594A">
      <w:pPr>
        <w:pStyle w:val="ListParagraph"/>
        <w:numPr>
          <w:ilvl w:val="0"/>
          <w:numId w:val="3"/>
        </w:numPr>
        <w:ind w:left="426"/>
        <w:jc w:val="both"/>
        <w:rPr>
          <w:rFonts w:ascii="Arial" w:hAnsi="Arial" w:cs="Arial"/>
          <w:sz w:val="20"/>
          <w:szCs w:val="20"/>
          <w:lang w:val="en-GB"/>
        </w:rPr>
      </w:pPr>
      <w:r w:rsidRPr="004030DB">
        <w:rPr>
          <w:rFonts w:ascii="Arial" w:hAnsi="Arial" w:cs="Arial"/>
          <w:sz w:val="20"/>
          <w:szCs w:val="20"/>
          <w:lang w:val="en-GB"/>
        </w:rPr>
        <w:t>H</w:t>
      </w:r>
      <w:r w:rsidR="00010A15" w:rsidRPr="004030DB">
        <w:rPr>
          <w:rFonts w:ascii="Arial" w:hAnsi="Arial" w:cs="Arial"/>
          <w:sz w:val="20"/>
          <w:szCs w:val="20"/>
          <w:lang w:val="en-GB"/>
        </w:rPr>
        <w:t>old the non-executive directors individually and collectively to account for the perfor</w:t>
      </w:r>
      <w:r w:rsidRPr="004030DB">
        <w:rPr>
          <w:rFonts w:ascii="Arial" w:hAnsi="Arial" w:cs="Arial"/>
          <w:sz w:val="20"/>
          <w:szCs w:val="20"/>
          <w:lang w:val="en-GB"/>
        </w:rPr>
        <w:t xml:space="preserve">mance of the </w:t>
      </w:r>
      <w:r w:rsidR="00EA35E7" w:rsidRPr="004030DB">
        <w:rPr>
          <w:rFonts w:ascii="Arial" w:hAnsi="Arial" w:cs="Arial"/>
          <w:sz w:val="20"/>
          <w:szCs w:val="20"/>
          <w:lang w:val="en-GB"/>
        </w:rPr>
        <w:t>B</w:t>
      </w:r>
      <w:r w:rsidRPr="004030DB">
        <w:rPr>
          <w:rFonts w:ascii="Arial" w:hAnsi="Arial" w:cs="Arial"/>
          <w:sz w:val="20"/>
          <w:szCs w:val="20"/>
          <w:lang w:val="en-GB"/>
        </w:rPr>
        <w:t xml:space="preserve">oard of </w:t>
      </w:r>
      <w:r w:rsidR="00EA35E7" w:rsidRPr="004030DB">
        <w:rPr>
          <w:rFonts w:ascii="Arial" w:hAnsi="Arial" w:cs="Arial"/>
          <w:sz w:val="20"/>
          <w:szCs w:val="20"/>
          <w:lang w:val="en-GB"/>
        </w:rPr>
        <w:t>D</w:t>
      </w:r>
      <w:r w:rsidRPr="004030DB">
        <w:rPr>
          <w:rFonts w:ascii="Arial" w:hAnsi="Arial" w:cs="Arial"/>
          <w:sz w:val="20"/>
          <w:szCs w:val="20"/>
          <w:lang w:val="en-GB"/>
        </w:rPr>
        <w:t>irectors.</w:t>
      </w:r>
    </w:p>
    <w:p w14:paraId="612425E4" w14:textId="77777777" w:rsidR="00010A15" w:rsidRPr="004030DB" w:rsidRDefault="00C63875" w:rsidP="002E594A">
      <w:pPr>
        <w:pStyle w:val="ListParagraph"/>
        <w:numPr>
          <w:ilvl w:val="0"/>
          <w:numId w:val="3"/>
        </w:numPr>
        <w:ind w:left="426"/>
        <w:jc w:val="both"/>
        <w:rPr>
          <w:rFonts w:ascii="Arial" w:hAnsi="Arial" w:cs="Arial"/>
          <w:sz w:val="20"/>
          <w:szCs w:val="20"/>
          <w:lang w:val="en-GB"/>
        </w:rPr>
      </w:pPr>
      <w:r w:rsidRPr="004030DB">
        <w:rPr>
          <w:rFonts w:ascii="Arial" w:hAnsi="Arial" w:cs="Arial"/>
          <w:sz w:val="20"/>
          <w:szCs w:val="20"/>
          <w:lang w:val="en-GB"/>
        </w:rPr>
        <w:t>R</w:t>
      </w:r>
      <w:r w:rsidR="00010A15" w:rsidRPr="004030DB">
        <w:rPr>
          <w:rFonts w:ascii="Arial" w:hAnsi="Arial" w:cs="Arial"/>
          <w:sz w:val="20"/>
          <w:szCs w:val="20"/>
          <w:lang w:val="en-GB"/>
        </w:rPr>
        <w:t>epresent the interests of the members of the Trust as a whole and the interests of the public</w:t>
      </w:r>
      <w:r w:rsidRPr="004030DB">
        <w:rPr>
          <w:rFonts w:ascii="Arial" w:hAnsi="Arial" w:cs="Arial"/>
          <w:sz w:val="20"/>
          <w:szCs w:val="20"/>
          <w:lang w:val="en-GB"/>
        </w:rPr>
        <w:t>.</w:t>
      </w:r>
    </w:p>
    <w:p w14:paraId="42CE9510" w14:textId="77777777" w:rsidR="00010A15" w:rsidRPr="004030DB" w:rsidRDefault="00C63875" w:rsidP="002E594A">
      <w:pPr>
        <w:pStyle w:val="ListParagraph"/>
        <w:numPr>
          <w:ilvl w:val="0"/>
          <w:numId w:val="3"/>
        </w:numPr>
        <w:ind w:left="426"/>
        <w:jc w:val="both"/>
        <w:rPr>
          <w:rFonts w:ascii="Arial" w:hAnsi="Arial" w:cs="Arial"/>
          <w:sz w:val="20"/>
          <w:szCs w:val="20"/>
          <w:lang w:val="en-GB"/>
        </w:rPr>
      </w:pPr>
      <w:r w:rsidRPr="004030DB">
        <w:rPr>
          <w:rFonts w:ascii="Arial" w:hAnsi="Arial" w:cs="Arial"/>
          <w:sz w:val="20"/>
          <w:szCs w:val="20"/>
          <w:lang w:val="en-GB"/>
        </w:rPr>
        <w:t>A</w:t>
      </w:r>
      <w:r w:rsidR="00010A15" w:rsidRPr="004030DB">
        <w:rPr>
          <w:rFonts w:ascii="Arial" w:hAnsi="Arial" w:cs="Arial"/>
          <w:sz w:val="20"/>
          <w:szCs w:val="20"/>
          <w:lang w:val="en-GB"/>
        </w:rPr>
        <w:t>ppoint and, if appropriate, remove the Chair and non-executive directors</w:t>
      </w:r>
      <w:r w:rsidRPr="004030DB">
        <w:rPr>
          <w:rFonts w:ascii="Arial" w:hAnsi="Arial" w:cs="Arial"/>
          <w:sz w:val="20"/>
          <w:szCs w:val="20"/>
          <w:lang w:val="en-GB"/>
        </w:rPr>
        <w:t>.</w:t>
      </w:r>
    </w:p>
    <w:p w14:paraId="0A395C9C" w14:textId="77777777" w:rsidR="00010A15" w:rsidRPr="004030DB" w:rsidRDefault="00C63875" w:rsidP="002E594A">
      <w:pPr>
        <w:pStyle w:val="ListParagraph"/>
        <w:numPr>
          <w:ilvl w:val="0"/>
          <w:numId w:val="3"/>
        </w:numPr>
        <w:ind w:left="426"/>
        <w:jc w:val="both"/>
        <w:rPr>
          <w:rFonts w:ascii="Arial" w:hAnsi="Arial" w:cs="Arial"/>
          <w:sz w:val="20"/>
          <w:szCs w:val="20"/>
          <w:lang w:val="en-GB"/>
        </w:rPr>
      </w:pPr>
      <w:r w:rsidRPr="004030DB">
        <w:rPr>
          <w:rFonts w:ascii="Arial" w:hAnsi="Arial" w:cs="Arial"/>
          <w:sz w:val="20"/>
          <w:szCs w:val="20"/>
          <w:lang w:val="en-GB"/>
        </w:rPr>
        <w:t>A</w:t>
      </w:r>
      <w:r w:rsidR="00010A15" w:rsidRPr="004030DB">
        <w:rPr>
          <w:rFonts w:ascii="Arial" w:hAnsi="Arial" w:cs="Arial"/>
          <w:sz w:val="20"/>
          <w:szCs w:val="20"/>
          <w:lang w:val="en-GB"/>
        </w:rPr>
        <w:t xml:space="preserve">pprove (or not) the appointment of any new </w:t>
      </w:r>
      <w:r w:rsidR="00076502" w:rsidRPr="004030DB">
        <w:rPr>
          <w:rFonts w:ascii="Arial" w:hAnsi="Arial" w:cs="Arial"/>
          <w:sz w:val="20"/>
          <w:szCs w:val="20"/>
          <w:lang w:val="en-GB"/>
        </w:rPr>
        <w:t>C</w:t>
      </w:r>
      <w:r w:rsidR="00010A15" w:rsidRPr="004030DB">
        <w:rPr>
          <w:rFonts w:ascii="Arial" w:hAnsi="Arial" w:cs="Arial"/>
          <w:sz w:val="20"/>
          <w:szCs w:val="20"/>
          <w:lang w:val="en-GB"/>
        </w:rPr>
        <w:t xml:space="preserve">hief </w:t>
      </w:r>
      <w:r w:rsidR="00076502" w:rsidRPr="004030DB">
        <w:rPr>
          <w:rFonts w:ascii="Arial" w:hAnsi="Arial" w:cs="Arial"/>
          <w:sz w:val="20"/>
          <w:szCs w:val="20"/>
          <w:lang w:val="en-GB"/>
        </w:rPr>
        <w:t>E</w:t>
      </w:r>
      <w:r w:rsidR="00010A15" w:rsidRPr="004030DB">
        <w:rPr>
          <w:rFonts w:ascii="Arial" w:hAnsi="Arial" w:cs="Arial"/>
          <w:sz w:val="20"/>
          <w:szCs w:val="20"/>
          <w:lang w:val="en-GB"/>
        </w:rPr>
        <w:t>xecutive</w:t>
      </w:r>
      <w:r w:rsidRPr="004030DB">
        <w:rPr>
          <w:rFonts w:ascii="Arial" w:hAnsi="Arial" w:cs="Arial"/>
          <w:sz w:val="20"/>
          <w:szCs w:val="20"/>
          <w:lang w:val="en-GB"/>
        </w:rPr>
        <w:t>.</w:t>
      </w:r>
    </w:p>
    <w:p w14:paraId="55A27F53" w14:textId="77777777" w:rsidR="00010A15" w:rsidRPr="004030DB" w:rsidRDefault="00C63875" w:rsidP="002E594A">
      <w:pPr>
        <w:pStyle w:val="ListParagraph"/>
        <w:numPr>
          <w:ilvl w:val="0"/>
          <w:numId w:val="3"/>
        </w:numPr>
        <w:ind w:left="426"/>
        <w:jc w:val="both"/>
        <w:rPr>
          <w:rFonts w:ascii="Arial" w:hAnsi="Arial" w:cs="Arial"/>
          <w:sz w:val="20"/>
          <w:szCs w:val="20"/>
          <w:lang w:val="en-GB"/>
        </w:rPr>
      </w:pPr>
      <w:r w:rsidRPr="004030DB">
        <w:rPr>
          <w:rFonts w:ascii="Arial" w:hAnsi="Arial" w:cs="Arial"/>
          <w:sz w:val="20"/>
          <w:szCs w:val="20"/>
          <w:lang w:val="en-GB"/>
        </w:rPr>
        <w:t>D</w:t>
      </w:r>
      <w:r w:rsidR="00010A15" w:rsidRPr="004030DB">
        <w:rPr>
          <w:rFonts w:ascii="Arial" w:hAnsi="Arial" w:cs="Arial"/>
          <w:sz w:val="20"/>
          <w:szCs w:val="20"/>
          <w:lang w:val="en-GB"/>
        </w:rPr>
        <w:t>ecide on remuneration and allowances and other terms and conditions of office of the Chair and non-executive directors</w:t>
      </w:r>
      <w:r w:rsidRPr="004030DB">
        <w:rPr>
          <w:rFonts w:ascii="Arial" w:hAnsi="Arial" w:cs="Arial"/>
          <w:sz w:val="20"/>
          <w:szCs w:val="20"/>
          <w:lang w:val="en-GB"/>
        </w:rPr>
        <w:t>.</w:t>
      </w:r>
    </w:p>
    <w:p w14:paraId="55FB64E6" w14:textId="77777777" w:rsidR="00E2746B" w:rsidRPr="004030DB" w:rsidRDefault="00C63875" w:rsidP="002E594A">
      <w:pPr>
        <w:pStyle w:val="ListParagraph"/>
        <w:numPr>
          <w:ilvl w:val="0"/>
          <w:numId w:val="3"/>
        </w:numPr>
        <w:ind w:left="426"/>
        <w:jc w:val="both"/>
        <w:rPr>
          <w:rFonts w:ascii="Arial" w:hAnsi="Arial" w:cs="Arial"/>
          <w:sz w:val="20"/>
          <w:szCs w:val="20"/>
          <w:lang w:val="en-GB"/>
        </w:rPr>
      </w:pPr>
      <w:bookmarkStart w:id="19" w:name="_Hlk164756094"/>
      <w:r w:rsidRPr="004030DB">
        <w:rPr>
          <w:rFonts w:ascii="Arial" w:hAnsi="Arial" w:cs="Arial"/>
          <w:sz w:val="20"/>
          <w:szCs w:val="20"/>
          <w:lang w:val="en-GB"/>
        </w:rPr>
        <w:t>R</w:t>
      </w:r>
      <w:r w:rsidR="00010A15" w:rsidRPr="004030DB">
        <w:rPr>
          <w:rFonts w:ascii="Arial" w:hAnsi="Arial" w:cs="Arial"/>
          <w:sz w:val="20"/>
          <w:szCs w:val="20"/>
          <w:lang w:val="en-GB"/>
        </w:rPr>
        <w:t>eceive the annual accounts, any report of the auditor, and the annual report at a general meeting of the Council of Governors</w:t>
      </w:r>
      <w:r w:rsidRPr="004030DB">
        <w:rPr>
          <w:rFonts w:ascii="Arial" w:hAnsi="Arial" w:cs="Arial"/>
          <w:sz w:val="20"/>
          <w:szCs w:val="20"/>
          <w:lang w:val="en-GB"/>
        </w:rPr>
        <w:t>.</w:t>
      </w:r>
      <w:r w:rsidR="00CC39D8" w:rsidRPr="004030DB">
        <w:rPr>
          <w:rFonts w:ascii="Arial" w:hAnsi="Arial" w:cs="Arial"/>
          <w:sz w:val="20"/>
          <w:szCs w:val="20"/>
          <w:lang w:val="en-GB"/>
        </w:rPr>
        <w:t xml:space="preserve">  </w:t>
      </w:r>
      <w:bookmarkEnd w:id="19"/>
    </w:p>
    <w:p w14:paraId="285AABEA" w14:textId="77777777" w:rsidR="00010A15" w:rsidRPr="004030DB" w:rsidRDefault="00C63875" w:rsidP="002E594A">
      <w:pPr>
        <w:pStyle w:val="ListParagraph"/>
        <w:numPr>
          <w:ilvl w:val="0"/>
          <w:numId w:val="3"/>
        </w:numPr>
        <w:ind w:left="426"/>
        <w:jc w:val="both"/>
        <w:rPr>
          <w:rFonts w:ascii="Arial" w:hAnsi="Arial" w:cs="Arial"/>
          <w:sz w:val="20"/>
          <w:szCs w:val="20"/>
          <w:lang w:val="en-GB"/>
        </w:rPr>
      </w:pPr>
      <w:r w:rsidRPr="004030DB">
        <w:rPr>
          <w:rFonts w:ascii="Arial" w:hAnsi="Arial" w:cs="Arial"/>
          <w:sz w:val="20"/>
          <w:szCs w:val="20"/>
          <w:lang w:val="en-GB"/>
        </w:rPr>
        <w:t>A</w:t>
      </w:r>
      <w:r w:rsidR="00010A15" w:rsidRPr="004030DB">
        <w:rPr>
          <w:rFonts w:ascii="Arial" w:hAnsi="Arial" w:cs="Arial"/>
          <w:sz w:val="20"/>
          <w:szCs w:val="20"/>
          <w:lang w:val="en-GB"/>
        </w:rPr>
        <w:t>ppoint and, if appropriate, remove the</w:t>
      </w:r>
      <w:r w:rsidRPr="004030DB">
        <w:rPr>
          <w:rFonts w:ascii="Arial" w:hAnsi="Arial" w:cs="Arial"/>
          <w:sz w:val="20"/>
          <w:szCs w:val="20"/>
          <w:lang w:val="en-GB"/>
        </w:rPr>
        <w:t xml:space="preserve"> </w:t>
      </w:r>
      <w:r w:rsidR="00CC39D8" w:rsidRPr="004030DB">
        <w:rPr>
          <w:rFonts w:ascii="Arial" w:hAnsi="Arial" w:cs="Arial"/>
          <w:sz w:val="20"/>
          <w:szCs w:val="20"/>
          <w:lang w:val="en-GB"/>
        </w:rPr>
        <w:t>Trust’s</w:t>
      </w:r>
      <w:r w:rsidR="00010A15" w:rsidRPr="004030DB">
        <w:rPr>
          <w:rFonts w:ascii="Arial" w:hAnsi="Arial" w:cs="Arial"/>
          <w:sz w:val="20"/>
          <w:szCs w:val="20"/>
          <w:lang w:val="en-GB"/>
        </w:rPr>
        <w:t xml:space="preserve"> auditor</w:t>
      </w:r>
      <w:r w:rsidR="00CC39D8" w:rsidRPr="004030DB">
        <w:rPr>
          <w:rFonts w:ascii="Arial" w:hAnsi="Arial" w:cs="Arial"/>
          <w:sz w:val="20"/>
          <w:szCs w:val="20"/>
          <w:lang w:val="en-GB"/>
        </w:rPr>
        <w:t>s</w:t>
      </w:r>
      <w:r w:rsidRPr="004030DB">
        <w:rPr>
          <w:rFonts w:ascii="Arial" w:hAnsi="Arial" w:cs="Arial"/>
          <w:sz w:val="20"/>
          <w:szCs w:val="20"/>
          <w:lang w:val="en-GB"/>
        </w:rPr>
        <w:t>.</w:t>
      </w:r>
    </w:p>
    <w:p w14:paraId="3981FA1D" w14:textId="77777777" w:rsidR="00010A15" w:rsidRPr="004030DB" w:rsidRDefault="00C63875" w:rsidP="002E594A">
      <w:pPr>
        <w:pStyle w:val="ListParagraph"/>
        <w:numPr>
          <w:ilvl w:val="0"/>
          <w:numId w:val="3"/>
        </w:numPr>
        <w:ind w:left="426"/>
        <w:jc w:val="both"/>
        <w:rPr>
          <w:rFonts w:ascii="Arial" w:hAnsi="Arial" w:cs="Arial"/>
          <w:sz w:val="20"/>
          <w:szCs w:val="20"/>
          <w:lang w:val="en-GB"/>
        </w:rPr>
      </w:pPr>
      <w:r w:rsidRPr="004030DB">
        <w:rPr>
          <w:rFonts w:ascii="Arial" w:hAnsi="Arial" w:cs="Arial"/>
          <w:sz w:val="20"/>
          <w:szCs w:val="20"/>
          <w:lang w:val="en-GB"/>
        </w:rPr>
        <w:t>A</w:t>
      </w:r>
      <w:r w:rsidR="00010A15" w:rsidRPr="004030DB">
        <w:rPr>
          <w:rFonts w:ascii="Arial" w:hAnsi="Arial" w:cs="Arial"/>
          <w:sz w:val="20"/>
          <w:szCs w:val="20"/>
          <w:lang w:val="en-GB"/>
        </w:rPr>
        <w:t xml:space="preserve">pprove ‘significant </w:t>
      </w:r>
      <w:proofErr w:type="gramStart"/>
      <w:r w:rsidR="00AF396E" w:rsidRPr="004030DB">
        <w:rPr>
          <w:rFonts w:ascii="Arial" w:hAnsi="Arial" w:cs="Arial"/>
          <w:sz w:val="20"/>
          <w:szCs w:val="20"/>
          <w:lang w:val="en-GB"/>
        </w:rPr>
        <w:t>transactions’</w:t>
      </w:r>
      <w:proofErr w:type="gramEnd"/>
      <w:r w:rsidRPr="004030DB">
        <w:rPr>
          <w:rFonts w:ascii="Arial" w:hAnsi="Arial" w:cs="Arial"/>
          <w:sz w:val="20"/>
          <w:szCs w:val="20"/>
          <w:lang w:val="en-GB"/>
        </w:rPr>
        <w:t>.</w:t>
      </w:r>
    </w:p>
    <w:p w14:paraId="4A64F6A9" w14:textId="77777777" w:rsidR="00010A15" w:rsidRPr="004030DB" w:rsidRDefault="00C63875" w:rsidP="002E594A">
      <w:pPr>
        <w:pStyle w:val="ListParagraph"/>
        <w:numPr>
          <w:ilvl w:val="0"/>
          <w:numId w:val="3"/>
        </w:numPr>
        <w:ind w:left="426"/>
        <w:jc w:val="both"/>
        <w:rPr>
          <w:rFonts w:ascii="Arial" w:hAnsi="Arial" w:cs="Arial"/>
          <w:sz w:val="20"/>
          <w:szCs w:val="20"/>
          <w:lang w:val="en-GB"/>
        </w:rPr>
      </w:pPr>
      <w:r w:rsidRPr="004030DB">
        <w:rPr>
          <w:rFonts w:ascii="Arial" w:hAnsi="Arial" w:cs="Arial"/>
          <w:sz w:val="20"/>
          <w:szCs w:val="20"/>
          <w:lang w:val="en-GB"/>
        </w:rPr>
        <w:t>A</w:t>
      </w:r>
      <w:r w:rsidR="00010A15" w:rsidRPr="004030DB">
        <w:rPr>
          <w:rFonts w:ascii="Arial" w:hAnsi="Arial" w:cs="Arial"/>
          <w:sz w:val="20"/>
          <w:szCs w:val="20"/>
          <w:lang w:val="en-GB"/>
        </w:rPr>
        <w:t>pprove an application by the Trust to enter into a merger, acquisition, separation or dissolution</w:t>
      </w:r>
      <w:r w:rsidRPr="004030DB">
        <w:rPr>
          <w:rFonts w:ascii="Arial" w:hAnsi="Arial" w:cs="Arial"/>
          <w:sz w:val="20"/>
          <w:szCs w:val="20"/>
          <w:lang w:val="en-GB"/>
        </w:rPr>
        <w:t>.</w:t>
      </w:r>
    </w:p>
    <w:p w14:paraId="1E57A037" w14:textId="77777777" w:rsidR="00010A15" w:rsidRPr="004030DB" w:rsidRDefault="00C63875" w:rsidP="002E594A">
      <w:pPr>
        <w:pStyle w:val="ListParagraph"/>
        <w:numPr>
          <w:ilvl w:val="0"/>
          <w:numId w:val="3"/>
        </w:numPr>
        <w:ind w:left="426"/>
        <w:jc w:val="both"/>
        <w:rPr>
          <w:rFonts w:ascii="Arial" w:hAnsi="Arial" w:cs="Arial"/>
          <w:sz w:val="20"/>
          <w:szCs w:val="20"/>
          <w:lang w:val="en-GB"/>
        </w:rPr>
      </w:pPr>
      <w:r w:rsidRPr="004030DB">
        <w:rPr>
          <w:rFonts w:ascii="Arial" w:hAnsi="Arial" w:cs="Arial"/>
          <w:sz w:val="20"/>
          <w:szCs w:val="20"/>
          <w:lang w:val="en-GB"/>
        </w:rPr>
        <w:t>D</w:t>
      </w:r>
      <w:r w:rsidR="00010A15" w:rsidRPr="004030DB">
        <w:rPr>
          <w:rFonts w:ascii="Arial" w:hAnsi="Arial" w:cs="Arial"/>
          <w:sz w:val="20"/>
          <w:szCs w:val="20"/>
          <w:lang w:val="en-GB"/>
        </w:rPr>
        <w:t>ecide whether the Trust’s non-NHS work would significantly interfere with its principal purpose, which is to provide goods and services for the health service in England, or performing its other functions</w:t>
      </w:r>
      <w:r w:rsidRPr="004030DB">
        <w:rPr>
          <w:rFonts w:ascii="Arial" w:hAnsi="Arial" w:cs="Arial"/>
          <w:sz w:val="20"/>
          <w:szCs w:val="20"/>
          <w:lang w:val="en-GB"/>
        </w:rPr>
        <w:t>.</w:t>
      </w:r>
    </w:p>
    <w:p w14:paraId="22AA2A42" w14:textId="77777777" w:rsidR="00010A15" w:rsidRPr="004030DB" w:rsidRDefault="00C63875" w:rsidP="002E594A">
      <w:pPr>
        <w:pStyle w:val="ListParagraph"/>
        <w:numPr>
          <w:ilvl w:val="0"/>
          <w:numId w:val="3"/>
        </w:numPr>
        <w:ind w:left="426"/>
        <w:jc w:val="both"/>
        <w:rPr>
          <w:rFonts w:ascii="Arial" w:hAnsi="Arial" w:cs="Arial"/>
          <w:sz w:val="20"/>
          <w:szCs w:val="20"/>
          <w:lang w:val="en-GB"/>
        </w:rPr>
      </w:pPr>
      <w:r w:rsidRPr="004030DB">
        <w:rPr>
          <w:rFonts w:ascii="Arial" w:hAnsi="Arial" w:cs="Arial"/>
          <w:sz w:val="20"/>
          <w:szCs w:val="20"/>
          <w:lang w:val="en-GB"/>
        </w:rPr>
        <w:t>A</w:t>
      </w:r>
      <w:r w:rsidR="00010A15" w:rsidRPr="004030DB">
        <w:rPr>
          <w:rFonts w:ascii="Arial" w:hAnsi="Arial" w:cs="Arial"/>
          <w:sz w:val="20"/>
          <w:szCs w:val="20"/>
          <w:lang w:val="en-GB"/>
        </w:rPr>
        <w:t>pprove amendments to the Trust’s</w:t>
      </w:r>
      <w:r w:rsidRPr="004030DB">
        <w:rPr>
          <w:rFonts w:ascii="Arial" w:hAnsi="Arial" w:cs="Arial"/>
          <w:sz w:val="20"/>
          <w:szCs w:val="20"/>
          <w:lang w:val="en-GB"/>
        </w:rPr>
        <w:t xml:space="preserve"> </w:t>
      </w:r>
      <w:r w:rsidR="00A870BF" w:rsidRPr="004030DB">
        <w:rPr>
          <w:rFonts w:ascii="Arial" w:hAnsi="Arial" w:cs="Arial"/>
          <w:sz w:val="20"/>
          <w:szCs w:val="20"/>
          <w:lang w:val="en-GB"/>
        </w:rPr>
        <w:t>C</w:t>
      </w:r>
      <w:r w:rsidR="00010A15" w:rsidRPr="004030DB">
        <w:rPr>
          <w:rFonts w:ascii="Arial" w:hAnsi="Arial" w:cs="Arial"/>
          <w:sz w:val="20"/>
          <w:szCs w:val="20"/>
          <w:lang w:val="en-GB"/>
        </w:rPr>
        <w:t>onstitution.</w:t>
      </w:r>
    </w:p>
    <w:p w14:paraId="7523FC5E" w14:textId="77777777" w:rsidR="00C63875" w:rsidRPr="004030DB" w:rsidRDefault="00C63875" w:rsidP="0066611D">
      <w:pPr>
        <w:pStyle w:val="ListParagraph"/>
        <w:ind w:left="426"/>
        <w:jc w:val="both"/>
        <w:rPr>
          <w:rFonts w:ascii="Arial" w:hAnsi="Arial" w:cs="Arial"/>
          <w:sz w:val="20"/>
          <w:szCs w:val="20"/>
          <w:highlight w:val="yellow"/>
          <w:lang w:val="en-GB"/>
        </w:rPr>
      </w:pPr>
    </w:p>
    <w:p w14:paraId="00958C8D" w14:textId="77777777" w:rsidR="00010A15" w:rsidRPr="004030DB" w:rsidRDefault="00010A15" w:rsidP="0066611D">
      <w:pPr>
        <w:jc w:val="both"/>
        <w:rPr>
          <w:rFonts w:ascii="Arial" w:hAnsi="Arial" w:cs="Arial"/>
          <w:b/>
          <w:sz w:val="20"/>
          <w:szCs w:val="20"/>
          <w:lang w:val="en-GB"/>
        </w:rPr>
      </w:pPr>
      <w:r w:rsidRPr="004030DB">
        <w:rPr>
          <w:rFonts w:ascii="Arial" w:hAnsi="Arial" w:cs="Arial"/>
          <w:b/>
          <w:sz w:val="20"/>
          <w:szCs w:val="20"/>
          <w:lang w:val="en-GB"/>
        </w:rPr>
        <w:t>Membership of the Council of Governors</w:t>
      </w:r>
    </w:p>
    <w:p w14:paraId="043DAE01" w14:textId="77777777" w:rsidR="001A2921" w:rsidRPr="004030DB" w:rsidRDefault="001A2921" w:rsidP="0066611D">
      <w:pPr>
        <w:jc w:val="both"/>
        <w:rPr>
          <w:rFonts w:ascii="Arial" w:hAnsi="Arial" w:cs="Arial"/>
          <w:sz w:val="20"/>
          <w:szCs w:val="20"/>
          <w:lang w:val="en-GB"/>
        </w:rPr>
      </w:pPr>
    </w:p>
    <w:p w14:paraId="4D49195B" w14:textId="77777777" w:rsidR="00010A15" w:rsidRPr="004030DB" w:rsidRDefault="00010A15" w:rsidP="0066611D">
      <w:pPr>
        <w:jc w:val="both"/>
        <w:rPr>
          <w:rFonts w:ascii="Arial" w:hAnsi="Arial" w:cs="Arial"/>
          <w:sz w:val="20"/>
          <w:szCs w:val="20"/>
          <w:lang w:val="en-GB"/>
        </w:rPr>
      </w:pPr>
      <w:r w:rsidRPr="004030DB">
        <w:rPr>
          <w:rFonts w:ascii="Arial" w:hAnsi="Arial" w:cs="Arial"/>
          <w:sz w:val="20"/>
          <w:szCs w:val="20"/>
          <w:lang w:val="en-GB"/>
        </w:rPr>
        <w:t xml:space="preserve">Members of the Trust, </w:t>
      </w:r>
      <w:r w:rsidR="00BD036B" w:rsidRPr="004030DB">
        <w:rPr>
          <w:rFonts w:ascii="Arial" w:hAnsi="Arial" w:cs="Arial"/>
          <w:sz w:val="20"/>
          <w:szCs w:val="20"/>
          <w:lang w:val="en-GB"/>
        </w:rPr>
        <w:t>whether they are</w:t>
      </w:r>
      <w:r w:rsidRPr="004030DB">
        <w:rPr>
          <w:rFonts w:ascii="Arial" w:hAnsi="Arial" w:cs="Arial"/>
          <w:sz w:val="20"/>
          <w:szCs w:val="20"/>
          <w:lang w:val="en-GB"/>
        </w:rPr>
        <w:t xml:space="preserve"> public or staff</w:t>
      </w:r>
      <w:r w:rsidR="00BD036B" w:rsidRPr="004030DB">
        <w:rPr>
          <w:rFonts w:ascii="Arial" w:hAnsi="Arial" w:cs="Arial"/>
          <w:sz w:val="20"/>
          <w:szCs w:val="20"/>
          <w:lang w:val="en-GB"/>
        </w:rPr>
        <w:t>,</w:t>
      </w:r>
      <w:r w:rsidRPr="004030DB">
        <w:rPr>
          <w:rFonts w:ascii="Arial" w:hAnsi="Arial" w:cs="Arial"/>
          <w:sz w:val="20"/>
          <w:szCs w:val="20"/>
          <w:lang w:val="en-GB"/>
        </w:rPr>
        <w:t xml:space="preserve"> are all able to stand for election to the Council provided they are 16 years of age</w:t>
      </w:r>
      <w:r w:rsidR="00CC39D8" w:rsidRPr="004030DB">
        <w:rPr>
          <w:rFonts w:ascii="Arial" w:hAnsi="Arial" w:cs="Arial"/>
          <w:sz w:val="20"/>
          <w:szCs w:val="20"/>
          <w:lang w:val="en-GB"/>
        </w:rPr>
        <w:t xml:space="preserve"> or over,</w:t>
      </w:r>
      <w:r w:rsidRPr="004030DB">
        <w:rPr>
          <w:rFonts w:ascii="Arial" w:hAnsi="Arial" w:cs="Arial"/>
          <w:sz w:val="20"/>
          <w:szCs w:val="20"/>
          <w:lang w:val="en-GB"/>
        </w:rPr>
        <w:t xml:space="preserve"> and are resident in the public constituency for which they are standing.</w:t>
      </w:r>
      <w:r w:rsidR="00F84B3A" w:rsidRPr="004030DB">
        <w:rPr>
          <w:rFonts w:ascii="Arial" w:hAnsi="Arial" w:cs="Arial"/>
          <w:sz w:val="20"/>
          <w:szCs w:val="20"/>
          <w:lang w:val="en-GB"/>
        </w:rPr>
        <w:t xml:space="preserve">  </w:t>
      </w:r>
      <w:r w:rsidRPr="004030DB">
        <w:rPr>
          <w:rFonts w:ascii="Arial" w:hAnsi="Arial" w:cs="Arial"/>
          <w:sz w:val="20"/>
          <w:szCs w:val="20"/>
          <w:lang w:val="en-GB"/>
        </w:rPr>
        <w:t>Elected members of the Council are chosen by their constituency.</w:t>
      </w:r>
      <w:r w:rsidR="00F84B3A" w:rsidRPr="004030DB">
        <w:rPr>
          <w:rFonts w:ascii="Arial" w:hAnsi="Arial" w:cs="Arial"/>
          <w:sz w:val="20"/>
          <w:szCs w:val="20"/>
          <w:lang w:val="en-GB"/>
        </w:rPr>
        <w:t xml:space="preserve">  </w:t>
      </w:r>
      <w:r w:rsidRPr="004030DB">
        <w:rPr>
          <w:rFonts w:ascii="Arial" w:hAnsi="Arial" w:cs="Arial"/>
          <w:sz w:val="20"/>
          <w:szCs w:val="20"/>
          <w:lang w:val="en-GB"/>
        </w:rPr>
        <w:t>The Council also includes appointed representatives from partner organisations and stakeholders from the local area to ensure a representation of views from the communities we serve.</w:t>
      </w:r>
    </w:p>
    <w:p w14:paraId="085E97DA" w14:textId="77777777" w:rsidR="001A2921" w:rsidRPr="004030DB" w:rsidRDefault="001A2921" w:rsidP="0066611D">
      <w:pPr>
        <w:jc w:val="both"/>
        <w:rPr>
          <w:rFonts w:ascii="Arial" w:hAnsi="Arial" w:cs="Arial"/>
          <w:sz w:val="20"/>
          <w:szCs w:val="20"/>
          <w:lang w:val="en-GB"/>
        </w:rPr>
      </w:pPr>
    </w:p>
    <w:p w14:paraId="2FF44DFA" w14:textId="77777777" w:rsidR="001A2921" w:rsidRPr="004030DB" w:rsidRDefault="00010A15" w:rsidP="0066611D">
      <w:pPr>
        <w:jc w:val="both"/>
        <w:rPr>
          <w:rFonts w:ascii="Arial" w:hAnsi="Arial" w:cs="Arial"/>
          <w:b/>
          <w:color w:val="FF0000"/>
          <w:sz w:val="20"/>
          <w:szCs w:val="20"/>
          <w:lang w:val="en-GB"/>
        </w:rPr>
      </w:pPr>
      <w:bookmarkStart w:id="20" w:name="_Hlk197076038"/>
      <w:r w:rsidRPr="004030DB">
        <w:rPr>
          <w:rFonts w:ascii="Arial" w:hAnsi="Arial" w:cs="Arial"/>
          <w:sz w:val="20"/>
          <w:szCs w:val="20"/>
          <w:lang w:val="en-GB"/>
        </w:rPr>
        <w:t xml:space="preserve">The Chair of the Council is also the Chair of the </w:t>
      </w:r>
      <w:r w:rsidR="00151035" w:rsidRPr="004030DB">
        <w:rPr>
          <w:rFonts w:ascii="Arial" w:hAnsi="Arial" w:cs="Arial"/>
          <w:sz w:val="20"/>
          <w:szCs w:val="20"/>
          <w:lang w:val="en-GB"/>
        </w:rPr>
        <w:t>Board</w:t>
      </w:r>
      <w:r w:rsidRPr="004030DB">
        <w:rPr>
          <w:rFonts w:ascii="Arial" w:hAnsi="Arial" w:cs="Arial"/>
          <w:sz w:val="20"/>
          <w:szCs w:val="20"/>
          <w:lang w:val="en-GB"/>
        </w:rPr>
        <w:t xml:space="preserve">, which promotes transparency and encourages the flow of information between the </w:t>
      </w:r>
      <w:r w:rsidR="00151035" w:rsidRPr="004030DB">
        <w:rPr>
          <w:rFonts w:ascii="Arial" w:hAnsi="Arial" w:cs="Arial"/>
          <w:sz w:val="20"/>
          <w:szCs w:val="20"/>
          <w:lang w:val="en-GB"/>
        </w:rPr>
        <w:t>Board</w:t>
      </w:r>
      <w:r w:rsidRPr="004030DB">
        <w:rPr>
          <w:rFonts w:ascii="Arial" w:hAnsi="Arial" w:cs="Arial"/>
          <w:sz w:val="20"/>
          <w:szCs w:val="20"/>
          <w:lang w:val="en-GB"/>
        </w:rPr>
        <w:t xml:space="preserve"> and the Council.</w:t>
      </w:r>
      <w:r w:rsidR="00F84B3A" w:rsidRPr="004030DB">
        <w:rPr>
          <w:rFonts w:ascii="Arial" w:hAnsi="Arial" w:cs="Arial"/>
          <w:sz w:val="20"/>
          <w:szCs w:val="20"/>
          <w:lang w:val="en-GB"/>
        </w:rPr>
        <w:t xml:space="preserve">  </w:t>
      </w:r>
      <w:r w:rsidR="001A2921" w:rsidRPr="004030DB">
        <w:rPr>
          <w:rFonts w:ascii="Arial" w:hAnsi="Arial" w:cs="Arial"/>
          <w:sz w:val="20"/>
          <w:szCs w:val="20"/>
          <w:lang w:val="en-GB"/>
        </w:rPr>
        <w:t>The Council of Governors</w:t>
      </w:r>
      <w:r w:rsidR="009A51AE" w:rsidRPr="004030DB">
        <w:rPr>
          <w:rFonts w:ascii="Arial" w:hAnsi="Arial" w:cs="Arial"/>
          <w:sz w:val="20"/>
          <w:szCs w:val="20"/>
          <w:lang w:val="en-GB"/>
        </w:rPr>
        <w:t xml:space="preserve"> consists of 2</w:t>
      </w:r>
      <w:r w:rsidR="001A1E34" w:rsidRPr="004030DB">
        <w:rPr>
          <w:rFonts w:ascii="Arial" w:hAnsi="Arial" w:cs="Arial"/>
          <w:sz w:val="20"/>
          <w:szCs w:val="20"/>
          <w:lang w:val="en-GB"/>
        </w:rPr>
        <w:t>6</w:t>
      </w:r>
      <w:r w:rsidR="009A51AE" w:rsidRPr="004030DB">
        <w:rPr>
          <w:rFonts w:ascii="Arial" w:hAnsi="Arial" w:cs="Arial"/>
          <w:sz w:val="20"/>
          <w:szCs w:val="20"/>
          <w:lang w:val="en-GB"/>
        </w:rPr>
        <w:t xml:space="preserve"> Governors and is composed of the following </w:t>
      </w:r>
      <w:r w:rsidR="00CC39D8" w:rsidRPr="004030DB">
        <w:rPr>
          <w:rFonts w:ascii="Arial" w:hAnsi="Arial" w:cs="Arial"/>
          <w:sz w:val="20"/>
          <w:szCs w:val="20"/>
          <w:lang w:val="en-GB"/>
        </w:rPr>
        <w:t>seats</w:t>
      </w:r>
      <w:r w:rsidR="00005CEF" w:rsidRPr="004030DB">
        <w:rPr>
          <w:rFonts w:ascii="Arial" w:hAnsi="Arial" w:cs="Arial"/>
          <w:sz w:val="20"/>
          <w:szCs w:val="20"/>
          <w:lang w:val="en-GB"/>
        </w:rPr>
        <w:t>:</w:t>
      </w:r>
    </w:p>
    <w:p w14:paraId="4A604A1C" w14:textId="77777777" w:rsidR="006A52D9" w:rsidRPr="004030DB" w:rsidRDefault="006A52D9" w:rsidP="0066611D">
      <w:pPr>
        <w:jc w:val="both"/>
        <w:rPr>
          <w:rFonts w:ascii="Arial" w:hAnsi="Arial" w:cs="Arial"/>
          <w:sz w:val="20"/>
          <w:szCs w:val="20"/>
          <w:lang w:val="en-GB"/>
        </w:rPr>
      </w:pPr>
    </w:p>
    <w:tbl>
      <w:tblPr>
        <w:tblW w:w="9540" w:type="dxa"/>
        <w:tblInd w:w="118" w:type="dxa"/>
        <w:tblCellMar>
          <w:left w:w="0" w:type="dxa"/>
          <w:right w:w="0" w:type="dxa"/>
        </w:tblCellMar>
        <w:tblLook w:val="04A0" w:firstRow="1" w:lastRow="0" w:firstColumn="1" w:lastColumn="0" w:noHBand="0" w:noVBand="1"/>
      </w:tblPr>
      <w:tblGrid>
        <w:gridCol w:w="4753"/>
        <w:gridCol w:w="4787"/>
      </w:tblGrid>
      <w:tr w:rsidR="006A52D9" w:rsidRPr="004030DB" w14:paraId="09223DCB" w14:textId="77777777" w:rsidTr="00005CEF">
        <w:trPr>
          <w:trHeight w:hRule="exact" w:val="610"/>
        </w:trPr>
        <w:tc>
          <w:tcPr>
            <w:tcW w:w="4753" w:type="dxa"/>
            <w:tcBorders>
              <w:top w:val="single" w:sz="8" w:space="0" w:color="000000"/>
              <w:left w:val="single" w:sz="8" w:space="0" w:color="000000"/>
              <w:bottom w:val="single" w:sz="8" w:space="0" w:color="000000"/>
              <w:right w:val="single" w:sz="8" w:space="0" w:color="000000"/>
            </w:tcBorders>
            <w:hideMark/>
          </w:tcPr>
          <w:p w14:paraId="6B07E94A" w14:textId="77777777" w:rsidR="006A52D9" w:rsidRPr="004030DB" w:rsidRDefault="006A52D9">
            <w:pPr>
              <w:pStyle w:val="TableParagraph"/>
              <w:spacing w:line="224" w:lineRule="exact"/>
              <w:ind w:left="102"/>
              <w:jc w:val="center"/>
              <w:rPr>
                <w:rFonts w:ascii="Arial" w:hAnsi="Arial" w:cs="Arial"/>
                <w:b/>
                <w:bCs/>
                <w:spacing w:val="-1"/>
                <w:sz w:val="20"/>
                <w:szCs w:val="20"/>
              </w:rPr>
            </w:pPr>
            <w:r w:rsidRPr="004030DB">
              <w:rPr>
                <w:rFonts w:ascii="Arial" w:hAnsi="Arial" w:cs="Arial"/>
                <w:b/>
                <w:bCs/>
                <w:spacing w:val="-1"/>
                <w:sz w:val="20"/>
                <w:szCs w:val="20"/>
              </w:rPr>
              <w:t>Appointed Governors</w:t>
            </w:r>
          </w:p>
          <w:p w14:paraId="298DA2E9" w14:textId="77777777" w:rsidR="00005CEF" w:rsidRPr="004030DB" w:rsidRDefault="00005CEF">
            <w:pPr>
              <w:pStyle w:val="TableParagraph"/>
              <w:spacing w:line="224" w:lineRule="exact"/>
              <w:ind w:left="102"/>
              <w:jc w:val="center"/>
              <w:rPr>
                <w:rFonts w:ascii="Arial" w:hAnsi="Arial" w:cs="Arial"/>
                <w:sz w:val="20"/>
                <w:szCs w:val="20"/>
                <w:lang w:val="en-GB"/>
              </w:rPr>
            </w:pPr>
          </w:p>
        </w:tc>
        <w:tc>
          <w:tcPr>
            <w:tcW w:w="4787" w:type="dxa"/>
            <w:tcBorders>
              <w:top w:val="single" w:sz="8" w:space="0" w:color="000000"/>
              <w:left w:val="nil"/>
              <w:bottom w:val="single" w:sz="8" w:space="0" w:color="000000"/>
              <w:right w:val="single" w:sz="8" w:space="0" w:color="000000"/>
            </w:tcBorders>
            <w:hideMark/>
          </w:tcPr>
          <w:p w14:paraId="39AF9531" w14:textId="77777777" w:rsidR="006A52D9" w:rsidRPr="004030DB" w:rsidRDefault="006A52D9">
            <w:pPr>
              <w:pStyle w:val="TableParagraph"/>
              <w:spacing w:line="224" w:lineRule="exact"/>
              <w:ind w:left="102"/>
              <w:jc w:val="center"/>
              <w:rPr>
                <w:rFonts w:ascii="Arial" w:hAnsi="Arial" w:cs="Arial"/>
                <w:b/>
                <w:bCs/>
                <w:spacing w:val="-1"/>
                <w:sz w:val="20"/>
                <w:szCs w:val="20"/>
              </w:rPr>
            </w:pPr>
            <w:r w:rsidRPr="004030DB">
              <w:rPr>
                <w:rFonts w:ascii="Arial" w:hAnsi="Arial" w:cs="Arial"/>
                <w:b/>
                <w:bCs/>
                <w:spacing w:val="-1"/>
                <w:sz w:val="20"/>
                <w:szCs w:val="20"/>
              </w:rPr>
              <w:t>Number</w:t>
            </w:r>
          </w:p>
          <w:p w14:paraId="1FFB5CC2" w14:textId="77777777" w:rsidR="00005CEF" w:rsidRPr="004030DB" w:rsidRDefault="00005CEF">
            <w:pPr>
              <w:pStyle w:val="TableParagraph"/>
              <w:spacing w:line="224" w:lineRule="exact"/>
              <w:ind w:left="102"/>
              <w:jc w:val="center"/>
              <w:rPr>
                <w:rFonts w:ascii="Arial" w:hAnsi="Arial" w:cs="Arial"/>
                <w:sz w:val="20"/>
                <w:szCs w:val="20"/>
              </w:rPr>
            </w:pPr>
          </w:p>
        </w:tc>
      </w:tr>
      <w:tr w:rsidR="006A52D9" w:rsidRPr="004030DB" w14:paraId="60145567" w14:textId="77777777" w:rsidTr="006A52D9">
        <w:trPr>
          <w:trHeight w:val="340"/>
        </w:trPr>
        <w:tc>
          <w:tcPr>
            <w:tcW w:w="4753" w:type="dxa"/>
            <w:tcBorders>
              <w:top w:val="nil"/>
              <w:left w:val="single" w:sz="8" w:space="0" w:color="000000"/>
              <w:bottom w:val="single" w:sz="8" w:space="0" w:color="000000"/>
              <w:right w:val="single" w:sz="8" w:space="0" w:color="000000"/>
            </w:tcBorders>
            <w:hideMark/>
          </w:tcPr>
          <w:p w14:paraId="01A95AE2" w14:textId="77777777" w:rsidR="006A52D9" w:rsidRPr="004030DB" w:rsidRDefault="006A52D9">
            <w:pPr>
              <w:pStyle w:val="TableParagraph"/>
              <w:spacing w:before="1"/>
              <w:ind w:left="102"/>
              <w:rPr>
                <w:rFonts w:ascii="Arial" w:hAnsi="Arial" w:cs="Arial"/>
                <w:sz w:val="20"/>
                <w:szCs w:val="20"/>
              </w:rPr>
            </w:pPr>
            <w:r w:rsidRPr="004030DB">
              <w:rPr>
                <w:rFonts w:ascii="Arial" w:hAnsi="Arial" w:cs="Arial"/>
                <w:sz w:val="20"/>
                <w:szCs w:val="20"/>
              </w:rPr>
              <w:t>Local Authority (represented by a member of the Kent Health and Wellbeing Board)</w:t>
            </w:r>
          </w:p>
        </w:tc>
        <w:tc>
          <w:tcPr>
            <w:tcW w:w="4787" w:type="dxa"/>
            <w:tcBorders>
              <w:top w:val="nil"/>
              <w:left w:val="nil"/>
              <w:bottom w:val="single" w:sz="8" w:space="0" w:color="000000"/>
              <w:right w:val="single" w:sz="8" w:space="0" w:color="000000"/>
            </w:tcBorders>
            <w:hideMark/>
          </w:tcPr>
          <w:p w14:paraId="5910442D" w14:textId="77777777" w:rsidR="006A52D9" w:rsidRPr="004030DB" w:rsidRDefault="006A52D9">
            <w:pPr>
              <w:pStyle w:val="TableParagraph"/>
              <w:spacing w:before="1"/>
              <w:ind w:left="102"/>
              <w:jc w:val="center"/>
              <w:rPr>
                <w:rFonts w:ascii="Arial" w:hAnsi="Arial" w:cs="Arial"/>
                <w:sz w:val="20"/>
                <w:szCs w:val="20"/>
              </w:rPr>
            </w:pPr>
            <w:r w:rsidRPr="004030DB">
              <w:rPr>
                <w:rFonts w:ascii="Arial" w:hAnsi="Arial" w:cs="Arial"/>
                <w:sz w:val="20"/>
                <w:szCs w:val="20"/>
              </w:rPr>
              <w:t>1 (awaiting new appointment)</w:t>
            </w:r>
          </w:p>
        </w:tc>
      </w:tr>
      <w:tr w:rsidR="006A52D9" w:rsidRPr="004030DB" w14:paraId="1B680AC0" w14:textId="77777777" w:rsidTr="006A52D9">
        <w:trPr>
          <w:trHeight w:val="340"/>
        </w:trPr>
        <w:tc>
          <w:tcPr>
            <w:tcW w:w="4753" w:type="dxa"/>
            <w:tcBorders>
              <w:top w:val="nil"/>
              <w:left w:val="single" w:sz="8" w:space="0" w:color="000000"/>
              <w:bottom w:val="single" w:sz="8" w:space="0" w:color="000000"/>
              <w:right w:val="single" w:sz="8" w:space="0" w:color="000000"/>
            </w:tcBorders>
            <w:hideMark/>
          </w:tcPr>
          <w:p w14:paraId="071D3AAC" w14:textId="77777777" w:rsidR="006A52D9" w:rsidRPr="004030DB" w:rsidRDefault="006A52D9">
            <w:pPr>
              <w:pStyle w:val="TableParagraph"/>
              <w:spacing w:before="1"/>
              <w:ind w:left="102"/>
              <w:rPr>
                <w:rFonts w:ascii="Arial" w:hAnsi="Arial" w:cs="Arial"/>
                <w:sz w:val="20"/>
                <w:szCs w:val="20"/>
              </w:rPr>
            </w:pPr>
            <w:r w:rsidRPr="004030DB">
              <w:rPr>
                <w:rFonts w:ascii="Arial" w:hAnsi="Arial" w:cs="Arial"/>
                <w:sz w:val="20"/>
                <w:szCs w:val="20"/>
              </w:rPr>
              <w:t>Local Authority (represented by a member of the Medway Health and Wellbeing Board)</w:t>
            </w:r>
          </w:p>
        </w:tc>
        <w:tc>
          <w:tcPr>
            <w:tcW w:w="4787" w:type="dxa"/>
            <w:tcBorders>
              <w:top w:val="nil"/>
              <w:left w:val="nil"/>
              <w:bottom w:val="single" w:sz="8" w:space="0" w:color="000000"/>
              <w:right w:val="single" w:sz="8" w:space="0" w:color="000000"/>
            </w:tcBorders>
            <w:hideMark/>
          </w:tcPr>
          <w:p w14:paraId="07607B54" w14:textId="77777777" w:rsidR="006A52D9" w:rsidRPr="004030DB" w:rsidRDefault="006A52D9">
            <w:pPr>
              <w:pStyle w:val="TableParagraph"/>
              <w:spacing w:before="1"/>
              <w:ind w:left="102"/>
              <w:jc w:val="center"/>
              <w:rPr>
                <w:rFonts w:ascii="Arial" w:hAnsi="Arial" w:cs="Arial"/>
                <w:sz w:val="20"/>
                <w:szCs w:val="20"/>
              </w:rPr>
            </w:pPr>
            <w:r w:rsidRPr="004030DB">
              <w:rPr>
                <w:rFonts w:ascii="Arial" w:hAnsi="Arial" w:cs="Arial"/>
                <w:sz w:val="20"/>
                <w:szCs w:val="20"/>
              </w:rPr>
              <w:t>1</w:t>
            </w:r>
          </w:p>
        </w:tc>
      </w:tr>
      <w:tr w:rsidR="006A52D9" w:rsidRPr="004030DB" w14:paraId="48BBC89E" w14:textId="77777777" w:rsidTr="006A52D9">
        <w:trPr>
          <w:trHeight w:val="340"/>
        </w:trPr>
        <w:tc>
          <w:tcPr>
            <w:tcW w:w="4753" w:type="dxa"/>
            <w:tcBorders>
              <w:top w:val="nil"/>
              <w:left w:val="single" w:sz="8" w:space="0" w:color="000000"/>
              <w:bottom w:val="single" w:sz="8" w:space="0" w:color="000000"/>
              <w:right w:val="single" w:sz="8" w:space="0" w:color="000000"/>
            </w:tcBorders>
            <w:hideMark/>
          </w:tcPr>
          <w:p w14:paraId="01713B4D" w14:textId="77777777" w:rsidR="006A52D9" w:rsidRPr="004030DB" w:rsidRDefault="006A52D9">
            <w:pPr>
              <w:pStyle w:val="TableParagraph"/>
              <w:spacing w:before="1"/>
              <w:ind w:left="102"/>
              <w:rPr>
                <w:rFonts w:ascii="Arial" w:hAnsi="Arial" w:cs="Arial"/>
                <w:sz w:val="20"/>
                <w:szCs w:val="20"/>
              </w:rPr>
            </w:pPr>
            <w:r w:rsidRPr="004030DB">
              <w:rPr>
                <w:rFonts w:ascii="Arial" w:hAnsi="Arial" w:cs="Arial"/>
                <w:sz w:val="20"/>
                <w:szCs w:val="20"/>
              </w:rPr>
              <w:t>Local Authority – Swale Borough Council</w:t>
            </w:r>
          </w:p>
        </w:tc>
        <w:tc>
          <w:tcPr>
            <w:tcW w:w="4787" w:type="dxa"/>
            <w:tcBorders>
              <w:top w:val="nil"/>
              <w:left w:val="nil"/>
              <w:bottom w:val="single" w:sz="8" w:space="0" w:color="000000"/>
              <w:right w:val="single" w:sz="8" w:space="0" w:color="000000"/>
            </w:tcBorders>
            <w:hideMark/>
          </w:tcPr>
          <w:p w14:paraId="6FFC9A63" w14:textId="77777777" w:rsidR="006A52D9" w:rsidRPr="004030DB" w:rsidRDefault="006A52D9">
            <w:pPr>
              <w:pStyle w:val="TableParagraph"/>
              <w:spacing w:before="1"/>
              <w:ind w:left="102"/>
              <w:jc w:val="center"/>
              <w:rPr>
                <w:rFonts w:ascii="Arial" w:hAnsi="Arial" w:cs="Arial"/>
                <w:sz w:val="20"/>
                <w:szCs w:val="20"/>
              </w:rPr>
            </w:pPr>
            <w:r w:rsidRPr="004030DB">
              <w:rPr>
                <w:rFonts w:ascii="Arial" w:hAnsi="Arial" w:cs="Arial"/>
                <w:sz w:val="20"/>
                <w:szCs w:val="20"/>
              </w:rPr>
              <w:t>1</w:t>
            </w:r>
          </w:p>
        </w:tc>
      </w:tr>
      <w:tr w:rsidR="006A52D9" w:rsidRPr="004030DB" w14:paraId="4E16BAB5" w14:textId="77777777" w:rsidTr="006A52D9">
        <w:trPr>
          <w:trHeight w:val="340"/>
        </w:trPr>
        <w:tc>
          <w:tcPr>
            <w:tcW w:w="4753" w:type="dxa"/>
            <w:tcBorders>
              <w:top w:val="nil"/>
              <w:left w:val="single" w:sz="8" w:space="0" w:color="000000"/>
              <w:bottom w:val="single" w:sz="8" w:space="0" w:color="000000"/>
              <w:right w:val="single" w:sz="8" w:space="0" w:color="000000"/>
            </w:tcBorders>
            <w:hideMark/>
          </w:tcPr>
          <w:p w14:paraId="670C3621" w14:textId="77777777" w:rsidR="006A52D9" w:rsidRPr="004030DB" w:rsidRDefault="006A52D9">
            <w:pPr>
              <w:pStyle w:val="TableParagraph"/>
              <w:spacing w:before="1"/>
              <w:ind w:left="102"/>
              <w:rPr>
                <w:rFonts w:ascii="Arial" w:hAnsi="Arial" w:cs="Arial"/>
                <w:sz w:val="20"/>
                <w:szCs w:val="20"/>
              </w:rPr>
            </w:pPr>
            <w:r w:rsidRPr="004030DB">
              <w:rPr>
                <w:rFonts w:ascii="Arial" w:hAnsi="Arial" w:cs="Arial"/>
                <w:sz w:val="20"/>
                <w:szCs w:val="20"/>
              </w:rPr>
              <w:t>University of Kent</w:t>
            </w:r>
          </w:p>
        </w:tc>
        <w:tc>
          <w:tcPr>
            <w:tcW w:w="4787" w:type="dxa"/>
            <w:tcBorders>
              <w:top w:val="nil"/>
              <w:left w:val="nil"/>
              <w:bottom w:val="single" w:sz="8" w:space="0" w:color="000000"/>
              <w:right w:val="single" w:sz="8" w:space="0" w:color="000000"/>
            </w:tcBorders>
            <w:hideMark/>
          </w:tcPr>
          <w:p w14:paraId="5A857CEF" w14:textId="77777777" w:rsidR="006A52D9" w:rsidRPr="004030DB" w:rsidRDefault="006A52D9">
            <w:pPr>
              <w:pStyle w:val="TableParagraph"/>
              <w:spacing w:before="1"/>
              <w:ind w:left="102"/>
              <w:jc w:val="center"/>
              <w:rPr>
                <w:rFonts w:ascii="Arial" w:hAnsi="Arial" w:cs="Arial"/>
                <w:sz w:val="20"/>
                <w:szCs w:val="20"/>
              </w:rPr>
            </w:pPr>
            <w:r w:rsidRPr="004030DB">
              <w:rPr>
                <w:rFonts w:ascii="Arial" w:hAnsi="Arial" w:cs="Arial"/>
                <w:sz w:val="20"/>
                <w:szCs w:val="20"/>
              </w:rPr>
              <w:t>1 (awaiting new appointment)</w:t>
            </w:r>
          </w:p>
        </w:tc>
      </w:tr>
      <w:tr w:rsidR="006A52D9" w:rsidRPr="004030DB" w14:paraId="538A87DE" w14:textId="77777777" w:rsidTr="006A52D9">
        <w:trPr>
          <w:trHeight w:val="340"/>
        </w:trPr>
        <w:tc>
          <w:tcPr>
            <w:tcW w:w="4753" w:type="dxa"/>
            <w:tcBorders>
              <w:top w:val="nil"/>
              <w:left w:val="single" w:sz="8" w:space="0" w:color="000000"/>
              <w:bottom w:val="single" w:sz="8" w:space="0" w:color="000000"/>
              <w:right w:val="single" w:sz="8" w:space="0" w:color="000000"/>
            </w:tcBorders>
            <w:hideMark/>
          </w:tcPr>
          <w:p w14:paraId="5905A272" w14:textId="77777777" w:rsidR="006A52D9" w:rsidRPr="004030DB" w:rsidRDefault="006A52D9">
            <w:pPr>
              <w:pStyle w:val="TableParagraph"/>
              <w:spacing w:before="1"/>
              <w:ind w:left="102"/>
              <w:rPr>
                <w:rFonts w:ascii="Arial" w:hAnsi="Arial" w:cs="Arial"/>
                <w:sz w:val="20"/>
                <w:szCs w:val="20"/>
              </w:rPr>
            </w:pPr>
            <w:r w:rsidRPr="004030DB">
              <w:rPr>
                <w:rFonts w:ascii="Arial" w:hAnsi="Arial" w:cs="Arial"/>
                <w:sz w:val="20"/>
                <w:szCs w:val="20"/>
              </w:rPr>
              <w:t xml:space="preserve">Canterbury Christ Church University </w:t>
            </w:r>
          </w:p>
        </w:tc>
        <w:tc>
          <w:tcPr>
            <w:tcW w:w="4787" w:type="dxa"/>
            <w:tcBorders>
              <w:top w:val="nil"/>
              <w:left w:val="nil"/>
              <w:bottom w:val="single" w:sz="8" w:space="0" w:color="000000"/>
              <w:right w:val="single" w:sz="8" w:space="0" w:color="000000"/>
            </w:tcBorders>
            <w:hideMark/>
          </w:tcPr>
          <w:p w14:paraId="4835D072" w14:textId="77777777" w:rsidR="006A52D9" w:rsidRPr="004030DB" w:rsidRDefault="006A52D9">
            <w:pPr>
              <w:pStyle w:val="TableParagraph"/>
              <w:spacing w:before="1"/>
              <w:ind w:left="102"/>
              <w:jc w:val="center"/>
              <w:rPr>
                <w:rFonts w:ascii="Arial" w:hAnsi="Arial" w:cs="Arial"/>
                <w:sz w:val="20"/>
                <w:szCs w:val="20"/>
              </w:rPr>
            </w:pPr>
            <w:r w:rsidRPr="004030DB">
              <w:rPr>
                <w:rFonts w:ascii="Arial" w:hAnsi="Arial" w:cs="Arial"/>
                <w:sz w:val="20"/>
                <w:szCs w:val="20"/>
              </w:rPr>
              <w:t>1</w:t>
            </w:r>
          </w:p>
        </w:tc>
      </w:tr>
      <w:tr w:rsidR="006A52D9" w:rsidRPr="004030DB" w14:paraId="15278731" w14:textId="77777777" w:rsidTr="006A52D9">
        <w:trPr>
          <w:trHeight w:val="340"/>
        </w:trPr>
        <w:tc>
          <w:tcPr>
            <w:tcW w:w="4753" w:type="dxa"/>
            <w:tcBorders>
              <w:top w:val="nil"/>
              <w:left w:val="single" w:sz="8" w:space="0" w:color="000000"/>
              <w:bottom w:val="single" w:sz="8" w:space="0" w:color="000000"/>
              <w:right w:val="single" w:sz="8" w:space="0" w:color="000000"/>
            </w:tcBorders>
            <w:hideMark/>
          </w:tcPr>
          <w:p w14:paraId="048B436B" w14:textId="77777777" w:rsidR="006A52D9" w:rsidRPr="004030DB" w:rsidRDefault="006A52D9">
            <w:pPr>
              <w:pStyle w:val="TableParagraph"/>
              <w:spacing w:before="1"/>
              <w:ind w:left="102"/>
              <w:rPr>
                <w:rFonts w:ascii="Arial" w:hAnsi="Arial" w:cs="Arial"/>
                <w:sz w:val="20"/>
                <w:szCs w:val="20"/>
              </w:rPr>
            </w:pPr>
            <w:r w:rsidRPr="004030DB">
              <w:rPr>
                <w:rFonts w:ascii="Arial" w:hAnsi="Arial" w:cs="Arial"/>
                <w:sz w:val="20"/>
                <w:szCs w:val="20"/>
              </w:rPr>
              <w:t xml:space="preserve">University of Greenwich </w:t>
            </w:r>
          </w:p>
        </w:tc>
        <w:tc>
          <w:tcPr>
            <w:tcW w:w="4787" w:type="dxa"/>
            <w:tcBorders>
              <w:top w:val="nil"/>
              <w:left w:val="nil"/>
              <w:bottom w:val="single" w:sz="8" w:space="0" w:color="000000"/>
              <w:right w:val="single" w:sz="8" w:space="0" w:color="000000"/>
            </w:tcBorders>
            <w:hideMark/>
          </w:tcPr>
          <w:p w14:paraId="6DA60555" w14:textId="77777777" w:rsidR="006A52D9" w:rsidRPr="004030DB" w:rsidRDefault="006A52D9">
            <w:pPr>
              <w:pStyle w:val="TableParagraph"/>
              <w:spacing w:before="1"/>
              <w:ind w:left="102"/>
              <w:jc w:val="center"/>
              <w:rPr>
                <w:rFonts w:ascii="Arial" w:hAnsi="Arial" w:cs="Arial"/>
                <w:sz w:val="20"/>
                <w:szCs w:val="20"/>
              </w:rPr>
            </w:pPr>
            <w:r w:rsidRPr="004030DB">
              <w:rPr>
                <w:rFonts w:ascii="Arial" w:hAnsi="Arial" w:cs="Arial"/>
                <w:sz w:val="20"/>
                <w:szCs w:val="20"/>
              </w:rPr>
              <w:t>1 (awaiting new appointment)</w:t>
            </w:r>
          </w:p>
        </w:tc>
      </w:tr>
      <w:tr w:rsidR="006A52D9" w:rsidRPr="004030DB" w14:paraId="7D1C013E" w14:textId="77777777" w:rsidTr="00005CEF">
        <w:trPr>
          <w:trHeight w:val="445"/>
        </w:trPr>
        <w:tc>
          <w:tcPr>
            <w:tcW w:w="4753" w:type="dxa"/>
            <w:tcBorders>
              <w:top w:val="nil"/>
              <w:left w:val="single" w:sz="8" w:space="0" w:color="000000"/>
              <w:bottom w:val="single" w:sz="4" w:space="0" w:color="auto"/>
              <w:right w:val="single" w:sz="8" w:space="0" w:color="000000"/>
            </w:tcBorders>
            <w:hideMark/>
          </w:tcPr>
          <w:p w14:paraId="287A1947" w14:textId="77777777" w:rsidR="006A52D9" w:rsidRPr="004030DB" w:rsidRDefault="006A52D9">
            <w:pPr>
              <w:pStyle w:val="TableParagraph"/>
              <w:spacing w:before="1"/>
              <w:ind w:left="102"/>
              <w:rPr>
                <w:rFonts w:ascii="Arial" w:hAnsi="Arial" w:cs="Arial"/>
                <w:sz w:val="20"/>
                <w:szCs w:val="20"/>
              </w:rPr>
            </w:pPr>
            <w:r w:rsidRPr="004030DB">
              <w:rPr>
                <w:rFonts w:ascii="Arial" w:hAnsi="Arial" w:cs="Arial"/>
                <w:sz w:val="20"/>
                <w:szCs w:val="20"/>
              </w:rPr>
              <w:t>Charity Representative (League of Friends)</w:t>
            </w:r>
          </w:p>
        </w:tc>
        <w:tc>
          <w:tcPr>
            <w:tcW w:w="4787" w:type="dxa"/>
            <w:tcBorders>
              <w:top w:val="nil"/>
              <w:left w:val="nil"/>
              <w:bottom w:val="single" w:sz="4" w:space="0" w:color="auto"/>
              <w:right w:val="single" w:sz="8" w:space="0" w:color="000000"/>
            </w:tcBorders>
            <w:hideMark/>
          </w:tcPr>
          <w:p w14:paraId="6F286E4A" w14:textId="77777777" w:rsidR="006A52D9" w:rsidRPr="004030DB" w:rsidRDefault="006A52D9">
            <w:pPr>
              <w:pStyle w:val="TableParagraph"/>
              <w:spacing w:before="1"/>
              <w:ind w:left="102"/>
              <w:jc w:val="center"/>
              <w:rPr>
                <w:rFonts w:ascii="Arial" w:hAnsi="Arial" w:cs="Arial"/>
                <w:sz w:val="20"/>
                <w:szCs w:val="20"/>
              </w:rPr>
            </w:pPr>
            <w:r w:rsidRPr="004030DB">
              <w:rPr>
                <w:rFonts w:ascii="Arial" w:hAnsi="Arial" w:cs="Arial"/>
                <w:sz w:val="20"/>
                <w:szCs w:val="20"/>
              </w:rPr>
              <w:t>1</w:t>
            </w:r>
          </w:p>
        </w:tc>
      </w:tr>
      <w:tr w:rsidR="006A52D9" w:rsidRPr="004030DB" w14:paraId="684476C0" w14:textId="77777777" w:rsidTr="00005CEF">
        <w:trPr>
          <w:trHeight w:hRule="exact" w:val="430"/>
        </w:trPr>
        <w:tc>
          <w:tcPr>
            <w:tcW w:w="4753" w:type="dxa"/>
            <w:tcBorders>
              <w:top w:val="single" w:sz="4" w:space="0" w:color="auto"/>
              <w:left w:val="single" w:sz="4" w:space="0" w:color="auto"/>
              <w:bottom w:val="single" w:sz="4" w:space="0" w:color="auto"/>
              <w:right w:val="single" w:sz="4" w:space="0" w:color="auto"/>
            </w:tcBorders>
            <w:hideMark/>
          </w:tcPr>
          <w:p w14:paraId="3668AB2C" w14:textId="77777777" w:rsidR="006A52D9" w:rsidRPr="004030DB" w:rsidRDefault="006A52D9">
            <w:pPr>
              <w:pStyle w:val="TableParagraph"/>
              <w:spacing w:before="1"/>
              <w:ind w:left="102"/>
              <w:jc w:val="center"/>
              <w:rPr>
                <w:rFonts w:ascii="Arial" w:hAnsi="Arial" w:cs="Arial"/>
                <w:b/>
                <w:bCs/>
                <w:sz w:val="20"/>
                <w:szCs w:val="20"/>
              </w:rPr>
            </w:pPr>
            <w:r w:rsidRPr="004030DB">
              <w:rPr>
                <w:rFonts w:ascii="Arial" w:hAnsi="Arial" w:cs="Arial"/>
                <w:b/>
                <w:bCs/>
                <w:sz w:val="20"/>
                <w:szCs w:val="20"/>
              </w:rPr>
              <w:t>Elected Staff Governors</w:t>
            </w:r>
          </w:p>
        </w:tc>
        <w:tc>
          <w:tcPr>
            <w:tcW w:w="4787" w:type="dxa"/>
            <w:tcBorders>
              <w:top w:val="single" w:sz="4" w:space="0" w:color="auto"/>
              <w:left w:val="single" w:sz="4" w:space="0" w:color="auto"/>
              <w:bottom w:val="single" w:sz="4" w:space="0" w:color="auto"/>
              <w:right w:val="single" w:sz="4" w:space="0" w:color="auto"/>
            </w:tcBorders>
            <w:hideMark/>
          </w:tcPr>
          <w:p w14:paraId="687B965E" w14:textId="77777777" w:rsidR="006A52D9" w:rsidRPr="004030DB" w:rsidRDefault="006A52D9">
            <w:pPr>
              <w:pStyle w:val="TableParagraph"/>
              <w:spacing w:before="1"/>
              <w:ind w:left="102"/>
              <w:jc w:val="center"/>
              <w:rPr>
                <w:rFonts w:ascii="Arial" w:hAnsi="Arial" w:cs="Arial"/>
                <w:b/>
                <w:bCs/>
                <w:sz w:val="20"/>
                <w:szCs w:val="20"/>
              </w:rPr>
            </w:pPr>
            <w:r w:rsidRPr="004030DB">
              <w:rPr>
                <w:rFonts w:ascii="Arial" w:hAnsi="Arial" w:cs="Arial"/>
                <w:b/>
                <w:bCs/>
                <w:sz w:val="20"/>
                <w:szCs w:val="20"/>
              </w:rPr>
              <w:t>Number</w:t>
            </w:r>
          </w:p>
        </w:tc>
      </w:tr>
      <w:tr w:rsidR="006A52D9" w:rsidRPr="004030DB" w14:paraId="5AD8B144" w14:textId="77777777" w:rsidTr="00005CEF">
        <w:trPr>
          <w:trHeight w:hRule="exact" w:val="340"/>
        </w:trPr>
        <w:tc>
          <w:tcPr>
            <w:tcW w:w="4753" w:type="dxa"/>
            <w:tcBorders>
              <w:top w:val="single" w:sz="4" w:space="0" w:color="auto"/>
              <w:left w:val="single" w:sz="4" w:space="0" w:color="auto"/>
              <w:bottom w:val="single" w:sz="4" w:space="0" w:color="auto"/>
              <w:right w:val="single" w:sz="4" w:space="0" w:color="auto"/>
            </w:tcBorders>
            <w:hideMark/>
          </w:tcPr>
          <w:p w14:paraId="258CA574" w14:textId="77777777" w:rsidR="006A52D9" w:rsidRPr="004030DB" w:rsidRDefault="006A52D9">
            <w:pPr>
              <w:pStyle w:val="TableParagraph"/>
              <w:spacing w:before="1"/>
              <w:ind w:left="102"/>
              <w:rPr>
                <w:rFonts w:ascii="Arial" w:hAnsi="Arial" w:cs="Arial"/>
                <w:sz w:val="20"/>
                <w:szCs w:val="20"/>
              </w:rPr>
            </w:pPr>
            <w:r w:rsidRPr="004030DB">
              <w:rPr>
                <w:rFonts w:ascii="Arial" w:hAnsi="Arial" w:cs="Arial"/>
                <w:sz w:val="20"/>
                <w:szCs w:val="20"/>
              </w:rPr>
              <w:t>Staff members</w:t>
            </w:r>
          </w:p>
        </w:tc>
        <w:tc>
          <w:tcPr>
            <w:tcW w:w="4787" w:type="dxa"/>
            <w:tcBorders>
              <w:top w:val="single" w:sz="4" w:space="0" w:color="auto"/>
              <w:left w:val="single" w:sz="4" w:space="0" w:color="auto"/>
              <w:bottom w:val="single" w:sz="4" w:space="0" w:color="auto"/>
              <w:right w:val="single" w:sz="4" w:space="0" w:color="auto"/>
            </w:tcBorders>
            <w:hideMark/>
          </w:tcPr>
          <w:p w14:paraId="1FB416BA" w14:textId="77777777" w:rsidR="006A52D9" w:rsidRPr="004030DB" w:rsidRDefault="006A52D9">
            <w:pPr>
              <w:pStyle w:val="TableParagraph"/>
              <w:spacing w:before="1"/>
              <w:ind w:left="102"/>
              <w:jc w:val="center"/>
              <w:rPr>
                <w:rFonts w:ascii="Arial" w:hAnsi="Arial" w:cs="Arial"/>
                <w:sz w:val="20"/>
                <w:szCs w:val="20"/>
              </w:rPr>
            </w:pPr>
            <w:r w:rsidRPr="004030DB">
              <w:rPr>
                <w:rFonts w:ascii="Arial" w:hAnsi="Arial" w:cs="Arial"/>
                <w:sz w:val="20"/>
                <w:szCs w:val="20"/>
              </w:rPr>
              <w:t>5</w:t>
            </w:r>
          </w:p>
        </w:tc>
      </w:tr>
      <w:tr w:rsidR="006A52D9" w:rsidRPr="004030DB" w14:paraId="74CC2805" w14:textId="77777777" w:rsidTr="00005CEF">
        <w:trPr>
          <w:trHeight w:hRule="exact" w:val="401"/>
        </w:trPr>
        <w:tc>
          <w:tcPr>
            <w:tcW w:w="4753" w:type="dxa"/>
            <w:tcBorders>
              <w:top w:val="single" w:sz="4" w:space="0" w:color="auto"/>
              <w:left w:val="single" w:sz="8" w:space="0" w:color="000000"/>
              <w:bottom w:val="single" w:sz="8" w:space="0" w:color="000000"/>
              <w:right w:val="single" w:sz="8" w:space="0" w:color="000000"/>
            </w:tcBorders>
            <w:hideMark/>
          </w:tcPr>
          <w:p w14:paraId="4615536C" w14:textId="77777777" w:rsidR="006A52D9" w:rsidRPr="004030DB" w:rsidRDefault="006A52D9">
            <w:pPr>
              <w:pStyle w:val="TableParagraph"/>
              <w:spacing w:before="1"/>
              <w:ind w:left="102"/>
              <w:jc w:val="center"/>
              <w:rPr>
                <w:rFonts w:ascii="Arial" w:hAnsi="Arial" w:cs="Arial"/>
                <w:b/>
                <w:bCs/>
                <w:sz w:val="20"/>
                <w:szCs w:val="20"/>
              </w:rPr>
            </w:pPr>
            <w:r w:rsidRPr="004030DB">
              <w:rPr>
                <w:rFonts w:ascii="Arial" w:hAnsi="Arial" w:cs="Arial"/>
                <w:b/>
                <w:bCs/>
                <w:sz w:val="20"/>
                <w:szCs w:val="20"/>
              </w:rPr>
              <w:lastRenderedPageBreak/>
              <w:t>Elected Public Governors</w:t>
            </w:r>
          </w:p>
        </w:tc>
        <w:tc>
          <w:tcPr>
            <w:tcW w:w="4787" w:type="dxa"/>
            <w:tcBorders>
              <w:top w:val="single" w:sz="4" w:space="0" w:color="auto"/>
              <w:left w:val="nil"/>
              <w:bottom w:val="single" w:sz="8" w:space="0" w:color="000000"/>
              <w:right w:val="single" w:sz="8" w:space="0" w:color="000000"/>
            </w:tcBorders>
            <w:hideMark/>
          </w:tcPr>
          <w:p w14:paraId="3B2E2848" w14:textId="77777777" w:rsidR="006A52D9" w:rsidRPr="004030DB" w:rsidRDefault="006A52D9">
            <w:pPr>
              <w:pStyle w:val="TableParagraph"/>
              <w:spacing w:before="1"/>
              <w:ind w:left="102"/>
              <w:jc w:val="center"/>
              <w:rPr>
                <w:rFonts w:ascii="Arial" w:hAnsi="Arial" w:cs="Arial"/>
                <w:b/>
                <w:bCs/>
                <w:sz w:val="20"/>
                <w:szCs w:val="20"/>
              </w:rPr>
            </w:pPr>
            <w:r w:rsidRPr="004030DB">
              <w:rPr>
                <w:rFonts w:ascii="Arial" w:hAnsi="Arial" w:cs="Arial"/>
                <w:b/>
                <w:bCs/>
                <w:sz w:val="20"/>
                <w:szCs w:val="20"/>
              </w:rPr>
              <w:t>Number</w:t>
            </w:r>
          </w:p>
        </w:tc>
      </w:tr>
      <w:tr w:rsidR="006A52D9" w:rsidRPr="004030DB" w14:paraId="28EC94B5" w14:textId="77777777" w:rsidTr="006A52D9">
        <w:trPr>
          <w:trHeight w:hRule="exact" w:val="340"/>
        </w:trPr>
        <w:tc>
          <w:tcPr>
            <w:tcW w:w="4753" w:type="dxa"/>
            <w:tcBorders>
              <w:top w:val="nil"/>
              <w:left w:val="single" w:sz="8" w:space="0" w:color="000000"/>
              <w:bottom w:val="single" w:sz="8" w:space="0" w:color="000000"/>
              <w:right w:val="single" w:sz="8" w:space="0" w:color="000000"/>
            </w:tcBorders>
            <w:hideMark/>
          </w:tcPr>
          <w:p w14:paraId="57284E29" w14:textId="77777777" w:rsidR="006A52D9" w:rsidRPr="004030DB" w:rsidRDefault="006A52D9">
            <w:pPr>
              <w:pStyle w:val="TableParagraph"/>
              <w:spacing w:before="1"/>
              <w:ind w:left="102"/>
              <w:rPr>
                <w:rFonts w:ascii="Arial" w:hAnsi="Arial" w:cs="Arial"/>
                <w:sz w:val="20"/>
                <w:szCs w:val="20"/>
              </w:rPr>
            </w:pPr>
            <w:r w:rsidRPr="004030DB">
              <w:rPr>
                <w:rFonts w:ascii="Arial" w:hAnsi="Arial" w:cs="Arial"/>
                <w:sz w:val="20"/>
                <w:szCs w:val="20"/>
              </w:rPr>
              <w:t xml:space="preserve">Medway </w:t>
            </w:r>
          </w:p>
        </w:tc>
        <w:tc>
          <w:tcPr>
            <w:tcW w:w="4787" w:type="dxa"/>
            <w:tcBorders>
              <w:top w:val="nil"/>
              <w:left w:val="nil"/>
              <w:bottom w:val="single" w:sz="8" w:space="0" w:color="000000"/>
              <w:right w:val="single" w:sz="8" w:space="0" w:color="000000"/>
            </w:tcBorders>
            <w:hideMark/>
          </w:tcPr>
          <w:p w14:paraId="404B6EF5" w14:textId="77777777" w:rsidR="006A52D9" w:rsidRPr="004030DB" w:rsidRDefault="006A52D9">
            <w:pPr>
              <w:pStyle w:val="TableParagraph"/>
              <w:spacing w:before="1"/>
              <w:ind w:left="102"/>
              <w:jc w:val="center"/>
              <w:rPr>
                <w:rFonts w:ascii="Arial" w:hAnsi="Arial" w:cs="Arial"/>
                <w:sz w:val="20"/>
                <w:szCs w:val="20"/>
              </w:rPr>
            </w:pPr>
            <w:r w:rsidRPr="004030DB">
              <w:rPr>
                <w:rFonts w:ascii="Arial" w:hAnsi="Arial" w:cs="Arial"/>
                <w:sz w:val="20"/>
                <w:szCs w:val="20"/>
              </w:rPr>
              <w:t>9 (one vacancy)</w:t>
            </w:r>
          </w:p>
        </w:tc>
      </w:tr>
      <w:tr w:rsidR="006A52D9" w:rsidRPr="004030DB" w14:paraId="12529355" w14:textId="77777777" w:rsidTr="006A52D9">
        <w:trPr>
          <w:trHeight w:hRule="exact" w:val="340"/>
        </w:trPr>
        <w:tc>
          <w:tcPr>
            <w:tcW w:w="4753" w:type="dxa"/>
            <w:tcBorders>
              <w:top w:val="nil"/>
              <w:left w:val="single" w:sz="8" w:space="0" w:color="000000"/>
              <w:bottom w:val="single" w:sz="8" w:space="0" w:color="000000"/>
              <w:right w:val="single" w:sz="8" w:space="0" w:color="000000"/>
            </w:tcBorders>
            <w:hideMark/>
          </w:tcPr>
          <w:p w14:paraId="1711A638" w14:textId="77777777" w:rsidR="006A52D9" w:rsidRPr="004030DB" w:rsidRDefault="006A52D9">
            <w:pPr>
              <w:pStyle w:val="TableParagraph"/>
              <w:spacing w:before="1"/>
              <w:ind w:left="102"/>
              <w:rPr>
                <w:rFonts w:ascii="Arial" w:hAnsi="Arial" w:cs="Arial"/>
                <w:sz w:val="20"/>
                <w:szCs w:val="20"/>
              </w:rPr>
            </w:pPr>
            <w:r w:rsidRPr="004030DB">
              <w:rPr>
                <w:rFonts w:ascii="Arial" w:hAnsi="Arial" w:cs="Arial"/>
                <w:sz w:val="20"/>
                <w:szCs w:val="20"/>
              </w:rPr>
              <w:t>Swale</w:t>
            </w:r>
          </w:p>
        </w:tc>
        <w:tc>
          <w:tcPr>
            <w:tcW w:w="4787" w:type="dxa"/>
            <w:tcBorders>
              <w:top w:val="nil"/>
              <w:left w:val="nil"/>
              <w:bottom w:val="single" w:sz="8" w:space="0" w:color="000000"/>
              <w:right w:val="single" w:sz="8" w:space="0" w:color="000000"/>
            </w:tcBorders>
            <w:hideMark/>
          </w:tcPr>
          <w:p w14:paraId="1B226A3E" w14:textId="77777777" w:rsidR="006A52D9" w:rsidRPr="004030DB" w:rsidRDefault="006A52D9">
            <w:pPr>
              <w:pStyle w:val="TableParagraph"/>
              <w:spacing w:before="1"/>
              <w:ind w:left="102"/>
              <w:jc w:val="center"/>
              <w:rPr>
                <w:rFonts w:ascii="Arial" w:hAnsi="Arial" w:cs="Arial"/>
                <w:sz w:val="20"/>
                <w:szCs w:val="20"/>
              </w:rPr>
            </w:pPr>
            <w:r w:rsidRPr="004030DB">
              <w:rPr>
                <w:rFonts w:ascii="Arial" w:hAnsi="Arial" w:cs="Arial"/>
                <w:sz w:val="20"/>
                <w:szCs w:val="20"/>
              </w:rPr>
              <w:t>4</w:t>
            </w:r>
          </w:p>
        </w:tc>
      </w:tr>
      <w:tr w:rsidR="006A52D9" w:rsidRPr="004030DB" w14:paraId="78B28FE9" w14:textId="77777777" w:rsidTr="006A52D9">
        <w:trPr>
          <w:trHeight w:hRule="exact" w:val="340"/>
        </w:trPr>
        <w:tc>
          <w:tcPr>
            <w:tcW w:w="4753" w:type="dxa"/>
            <w:tcBorders>
              <w:top w:val="nil"/>
              <w:left w:val="single" w:sz="8" w:space="0" w:color="000000"/>
              <w:bottom w:val="single" w:sz="8" w:space="0" w:color="000000"/>
              <w:right w:val="single" w:sz="8" w:space="0" w:color="000000"/>
            </w:tcBorders>
            <w:hideMark/>
          </w:tcPr>
          <w:p w14:paraId="04EAF04F" w14:textId="77777777" w:rsidR="006A52D9" w:rsidRPr="004030DB" w:rsidRDefault="006A52D9">
            <w:pPr>
              <w:pStyle w:val="TableParagraph"/>
              <w:spacing w:before="1"/>
              <w:ind w:left="102"/>
              <w:rPr>
                <w:rFonts w:ascii="Arial" w:hAnsi="Arial" w:cs="Arial"/>
                <w:sz w:val="20"/>
                <w:szCs w:val="20"/>
              </w:rPr>
            </w:pPr>
            <w:r w:rsidRPr="004030DB">
              <w:rPr>
                <w:rFonts w:ascii="Arial" w:hAnsi="Arial" w:cs="Arial"/>
                <w:sz w:val="20"/>
                <w:szCs w:val="20"/>
              </w:rPr>
              <w:t>Rest of England and Wales</w:t>
            </w:r>
          </w:p>
        </w:tc>
        <w:tc>
          <w:tcPr>
            <w:tcW w:w="4787" w:type="dxa"/>
            <w:tcBorders>
              <w:top w:val="nil"/>
              <w:left w:val="nil"/>
              <w:bottom w:val="single" w:sz="8" w:space="0" w:color="000000"/>
              <w:right w:val="single" w:sz="8" w:space="0" w:color="000000"/>
            </w:tcBorders>
            <w:hideMark/>
          </w:tcPr>
          <w:p w14:paraId="4411C4AA" w14:textId="77777777" w:rsidR="006A52D9" w:rsidRPr="004030DB" w:rsidRDefault="006A52D9">
            <w:pPr>
              <w:pStyle w:val="TableParagraph"/>
              <w:spacing w:before="1"/>
              <w:ind w:left="102"/>
              <w:jc w:val="center"/>
              <w:rPr>
                <w:rFonts w:ascii="Arial" w:hAnsi="Arial" w:cs="Arial"/>
                <w:sz w:val="20"/>
                <w:szCs w:val="20"/>
              </w:rPr>
            </w:pPr>
            <w:r w:rsidRPr="004030DB">
              <w:rPr>
                <w:rFonts w:ascii="Arial" w:hAnsi="Arial" w:cs="Arial"/>
                <w:sz w:val="20"/>
                <w:szCs w:val="20"/>
              </w:rPr>
              <w:t>1</w:t>
            </w:r>
          </w:p>
        </w:tc>
      </w:tr>
    </w:tbl>
    <w:p w14:paraId="7547DBE5" w14:textId="77777777" w:rsidR="001A2921" w:rsidRPr="004030DB" w:rsidRDefault="001A2921" w:rsidP="0066611D">
      <w:pPr>
        <w:jc w:val="both"/>
        <w:rPr>
          <w:rFonts w:ascii="Arial" w:hAnsi="Arial" w:cs="Arial"/>
          <w:sz w:val="20"/>
          <w:szCs w:val="20"/>
          <w:highlight w:val="yellow"/>
          <w:lang w:val="en-GB"/>
        </w:rPr>
      </w:pPr>
    </w:p>
    <w:bookmarkEnd w:id="20"/>
    <w:p w14:paraId="60CBE2F1" w14:textId="77777777" w:rsidR="00010A15" w:rsidRPr="004030DB" w:rsidRDefault="00010A15" w:rsidP="0066611D">
      <w:pPr>
        <w:jc w:val="both"/>
        <w:rPr>
          <w:rFonts w:ascii="Arial" w:hAnsi="Arial" w:cs="Arial"/>
          <w:sz w:val="20"/>
          <w:szCs w:val="20"/>
          <w:lang w:val="en-GB"/>
        </w:rPr>
      </w:pPr>
      <w:r w:rsidRPr="004030DB">
        <w:rPr>
          <w:rFonts w:ascii="Arial" w:hAnsi="Arial" w:cs="Arial"/>
          <w:sz w:val="20"/>
          <w:szCs w:val="20"/>
          <w:lang w:val="en-GB"/>
        </w:rPr>
        <w:t xml:space="preserve">Public and </w:t>
      </w:r>
      <w:r w:rsidR="00141FFE" w:rsidRPr="004030DB">
        <w:rPr>
          <w:rFonts w:ascii="Arial" w:hAnsi="Arial" w:cs="Arial"/>
          <w:sz w:val="20"/>
          <w:szCs w:val="20"/>
          <w:lang w:val="en-GB"/>
        </w:rPr>
        <w:t>s</w:t>
      </w:r>
      <w:r w:rsidRPr="004030DB">
        <w:rPr>
          <w:rFonts w:ascii="Arial" w:hAnsi="Arial" w:cs="Arial"/>
          <w:sz w:val="20"/>
          <w:szCs w:val="20"/>
          <w:lang w:val="en-GB"/>
        </w:rPr>
        <w:t>taff governors are elected for a maximum term of three years and are able to seek re-election for a further term.</w:t>
      </w:r>
      <w:r w:rsidR="00A870BF" w:rsidRPr="004030DB">
        <w:rPr>
          <w:rFonts w:ascii="Arial" w:hAnsi="Arial" w:cs="Arial"/>
          <w:sz w:val="20"/>
          <w:szCs w:val="20"/>
          <w:lang w:val="en-GB"/>
        </w:rPr>
        <w:t xml:space="preserve">  </w:t>
      </w:r>
    </w:p>
    <w:p w14:paraId="08CE100B" w14:textId="77777777" w:rsidR="001A1E34" w:rsidRPr="004030DB" w:rsidRDefault="001A1E34" w:rsidP="0066611D">
      <w:pPr>
        <w:jc w:val="both"/>
        <w:rPr>
          <w:rFonts w:ascii="Arial" w:hAnsi="Arial" w:cs="Arial"/>
          <w:sz w:val="20"/>
          <w:szCs w:val="20"/>
          <w:lang w:val="en-GB"/>
        </w:rPr>
      </w:pPr>
    </w:p>
    <w:p w14:paraId="644A3D53" w14:textId="77777777" w:rsidR="00010A15" w:rsidRPr="004030DB" w:rsidRDefault="00010A15" w:rsidP="0066611D">
      <w:pPr>
        <w:jc w:val="both"/>
        <w:rPr>
          <w:rFonts w:ascii="Arial" w:hAnsi="Arial" w:cs="Arial"/>
          <w:sz w:val="20"/>
          <w:szCs w:val="20"/>
          <w:lang w:val="en-GB"/>
        </w:rPr>
      </w:pPr>
      <w:r w:rsidRPr="004030DB">
        <w:rPr>
          <w:rFonts w:ascii="Arial" w:hAnsi="Arial" w:cs="Arial"/>
          <w:sz w:val="20"/>
          <w:szCs w:val="20"/>
          <w:lang w:val="en-GB"/>
        </w:rPr>
        <w:t>Partner governors are nominated by their organisation and serve a term of office of</w:t>
      </w:r>
      <w:r w:rsidR="001A1E34" w:rsidRPr="004030DB">
        <w:rPr>
          <w:rFonts w:ascii="Arial" w:hAnsi="Arial" w:cs="Arial"/>
          <w:sz w:val="20"/>
          <w:szCs w:val="20"/>
          <w:lang w:val="en-GB"/>
        </w:rPr>
        <w:t xml:space="preserve"> </w:t>
      </w:r>
      <w:r w:rsidRPr="004030DB">
        <w:rPr>
          <w:rFonts w:ascii="Arial" w:hAnsi="Arial" w:cs="Arial"/>
          <w:sz w:val="20"/>
          <w:szCs w:val="20"/>
          <w:lang w:val="en-GB"/>
        </w:rPr>
        <w:t xml:space="preserve">three years. These governors can be replaced by their organisation during this time. </w:t>
      </w:r>
      <w:r w:rsidR="00CC39D8" w:rsidRPr="004030DB">
        <w:rPr>
          <w:rFonts w:ascii="Arial" w:hAnsi="Arial" w:cs="Arial"/>
          <w:sz w:val="20"/>
          <w:szCs w:val="20"/>
          <w:lang w:val="en-GB"/>
        </w:rPr>
        <w:t xml:space="preserve"> </w:t>
      </w:r>
      <w:r w:rsidRPr="004030DB">
        <w:rPr>
          <w:rFonts w:ascii="Arial" w:hAnsi="Arial" w:cs="Arial"/>
          <w:sz w:val="20"/>
          <w:szCs w:val="20"/>
          <w:lang w:val="en-GB"/>
        </w:rPr>
        <w:t>An appointed governor is eligible for re-appointment at the end of their term.</w:t>
      </w:r>
      <w:r w:rsidR="00CC39D8" w:rsidRPr="004030DB">
        <w:rPr>
          <w:rFonts w:ascii="Arial" w:hAnsi="Arial" w:cs="Arial"/>
          <w:sz w:val="20"/>
          <w:szCs w:val="20"/>
          <w:lang w:val="en-GB"/>
        </w:rPr>
        <w:t xml:space="preserve">  </w:t>
      </w:r>
    </w:p>
    <w:p w14:paraId="0F1F965C" w14:textId="77777777" w:rsidR="001A1E34" w:rsidRPr="004030DB" w:rsidRDefault="001A1E34" w:rsidP="0066611D">
      <w:pPr>
        <w:jc w:val="both"/>
        <w:rPr>
          <w:rFonts w:ascii="Arial" w:hAnsi="Arial" w:cs="Arial"/>
          <w:sz w:val="20"/>
          <w:szCs w:val="20"/>
          <w:lang w:val="en-GB"/>
        </w:rPr>
      </w:pPr>
    </w:p>
    <w:p w14:paraId="49D80EE7" w14:textId="77777777" w:rsidR="001A1E34" w:rsidRPr="004030DB" w:rsidRDefault="00010A15" w:rsidP="0066611D">
      <w:pPr>
        <w:jc w:val="both"/>
        <w:rPr>
          <w:rFonts w:ascii="Arial" w:hAnsi="Arial" w:cs="Arial"/>
          <w:b/>
          <w:sz w:val="20"/>
          <w:szCs w:val="20"/>
          <w:lang w:val="en-GB"/>
        </w:rPr>
      </w:pPr>
      <w:r w:rsidRPr="004030DB">
        <w:rPr>
          <w:rFonts w:ascii="Arial" w:hAnsi="Arial" w:cs="Arial"/>
          <w:b/>
          <w:sz w:val="20"/>
          <w:szCs w:val="20"/>
          <w:lang w:val="en-GB"/>
        </w:rPr>
        <w:t>Meetings of the Council of Governors</w:t>
      </w:r>
      <w:r w:rsidR="00A870BF" w:rsidRPr="004030DB">
        <w:rPr>
          <w:rFonts w:ascii="Arial" w:hAnsi="Arial" w:cs="Arial"/>
          <w:b/>
          <w:color w:val="FF0000"/>
          <w:sz w:val="20"/>
          <w:szCs w:val="20"/>
          <w:lang w:val="en-GB"/>
        </w:rPr>
        <w:t xml:space="preserve"> </w:t>
      </w:r>
    </w:p>
    <w:p w14:paraId="00C098B3" w14:textId="77777777" w:rsidR="001A1E34" w:rsidRPr="004030DB" w:rsidRDefault="00010A15" w:rsidP="0066611D">
      <w:pPr>
        <w:jc w:val="both"/>
        <w:rPr>
          <w:rFonts w:ascii="Arial" w:hAnsi="Arial" w:cs="Arial"/>
          <w:b/>
          <w:color w:val="FF0000"/>
          <w:sz w:val="20"/>
          <w:szCs w:val="20"/>
          <w:lang w:val="en-GB"/>
        </w:rPr>
      </w:pPr>
      <w:r w:rsidRPr="004030DB">
        <w:rPr>
          <w:rFonts w:ascii="Arial" w:hAnsi="Arial" w:cs="Arial"/>
          <w:sz w:val="20"/>
          <w:szCs w:val="20"/>
          <w:lang w:val="en-GB"/>
        </w:rPr>
        <w:t xml:space="preserve">The Council held </w:t>
      </w:r>
      <w:r w:rsidR="00CC39D8" w:rsidRPr="004030DB">
        <w:rPr>
          <w:rFonts w:ascii="Arial" w:hAnsi="Arial" w:cs="Arial"/>
          <w:sz w:val="20"/>
          <w:szCs w:val="20"/>
          <w:lang w:val="en-GB"/>
        </w:rPr>
        <w:t>four</w:t>
      </w:r>
      <w:r w:rsidRPr="004030DB">
        <w:rPr>
          <w:rFonts w:ascii="Arial" w:hAnsi="Arial" w:cs="Arial"/>
          <w:sz w:val="20"/>
          <w:szCs w:val="20"/>
          <w:lang w:val="en-GB"/>
        </w:rPr>
        <w:t xml:space="preserve"> ordinary meetings during 202</w:t>
      </w:r>
      <w:r w:rsidR="00047BAD" w:rsidRPr="004030DB">
        <w:rPr>
          <w:rFonts w:ascii="Arial" w:hAnsi="Arial" w:cs="Arial"/>
          <w:sz w:val="20"/>
          <w:szCs w:val="20"/>
          <w:lang w:val="en-GB"/>
        </w:rPr>
        <w:t>4</w:t>
      </w:r>
      <w:r w:rsidR="001A1E34" w:rsidRPr="004030DB">
        <w:rPr>
          <w:rFonts w:ascii="Arial" w:hAnsi="Arial" w:cs="Arial"/>
          <w:sz w:val="20"/>
          <w:szCs w:val="20"/>
          <w:lang w:val="en-GB"/>
        </w:rPr>
        <w:t>/2</w:t>
      </w:r>
      <w:r w:rsidR="00047BAD" w:rsidRPr="004030DB">
        <w:rPr>
          <w:rFonts w:ascii="Arial" w:hAnsi="Arial" w:cs="Arial"/>
          <w:sz w:val="20"/>
          <w:szCs w:val="20"/>
          <w:lang w:val="en-GB"/>
        </w:rPr>
        <w:t>5</w:t>
      </w:r>
      <w:r w:rsidRPr="004030DB">
        <w:rPr>
          <w:rFonts w:ascii="Arial" w:hAnsi="Arial" w:cs="Arial"/>
          <w:sz w:val="20"/>
          <w:szCs w:val="20"/>
          <w:lang w:val="en-GB"/>
        </w:rPr>
        <w:t xml:space="preserve">.  Extraordinary meetings are also held from time to time when a decision is required outside of </w:t>
      </w:r>
      <w:r w:rsidR="001A1E34" w:rsidRPr="004030DB">
        <w:rPr>
          <w:rFonts w:ascii="Arial" w:hAnsi="Arial" w:cs="Arial"/>
          <w:sz w:val="20"/>
          <w:szCs w:val="20"/>
          <w:lang w:val="en-GB"/>
        </w:rPr>
        <w:t>the normal schedule of meetings.</w:t>
      </w:r>
      <w:r w:rsidR="00CC39D8" w:rsidRPr="004030DB">
        <w:rPr>
          <w:rFonts w:ascii="Arial" w:hAnsi="Arial" w:cs="Arial"/>
          <w:sz w:val="20"/>
          <w:szCs w:val="20"/>
          <w:lang w:val="en-GB"/>
        </w:rPr>
        <w:t xml:space="preserve">  </w:t>
      </w:r>
      <w:r w:rsidR="001A1E34" w:rsidRPr="004030DB">
        <w:rPr>
          <w:rFonts w:ascii="Arial" w:hAnsi="Arial" w:cs="Arial"/>
          <w:sz w:val="20"/>
          <w:szCs w:val="20"/>
          <w:lang w:val="en-GB"/>
        </w:rPr>
        <w:t xml:space="preserve">For this reporting period </w:t>
      </w:r>
      <w:r w:rsidR="00CC39D8" w:rsidRPr="004030DB">
        <w:rPr>
          <w:rFonts w:ascii="Arial" w:hAnsi="Arial" w:cs="Arial"/>
          <w:sz w:val="20"/>
          <w:szCs w:val="20"/>
          <w:lang w:val="en-GB"/>
        </w:rPr>
        <w:t xml:space="preserve">there were </w:t>
      </w:r>
      <w:r w:rsidR="0066611D" w:rsidRPr="004030DB">
        <w:rPr>
          <w:rFonts w:ascii="Arial" w:hAnsi="Arial" w:cs="Arial"/>
          <w:sz w:val="20"/>
          <w:szCs w:val="20"/>
          <w:lang w:val="en-GB"/>
        </w:rPr>
        <w:t>three</w:t>
      </w:r>
      <w:r w:rsidR="001A1E34" w:rsidRPr="004030DB">
        <w:rPr>
          <w:rFonts w:ascii="Arial" w:hAnsi="Arial" w:cs="Arial"/>
          <w:sz w:val="20"/>
          <w:szCs w:val="20"/>
          <w:lang w:val="en-GB"/>
        </w:rPr>
        <w:t xml:space="preserve"> </w:t>
      </w:r>
      <w:r w:rsidR="0066611D" w:rsidRPr="004030DB">
        <w:rPr>
          <w:rFonts w:ascii="Arial" w:hAnsi="Arial" w:cs="Arial"/>
          <w:sz w:val="20"/>
          <w:szCs w:val="20"/>
          <w:lang w:val="en-GB"/>
        </w:rPr>
        <w:t xml:space="preserve">Council of Governors Nomination and Remunerations Committee meetings </w:t>
      </w:r>
      <w:r w:rsidR="00CC39D8" w:rsidRPr="004030DB">
        <w:rPr>
          <w:rFonts w:ascii="Arial" w:hAnsi="Arial" w:cs="Arial"/>
          <w:sz w:val="20"/>
          <w:szCs w:val="20"/>
          <w:lang w:val="en-GB"/>
        </w:rPr>
        <w:t>held;</w:t>
      </w:r>
      <w:r w:rsidR="0045760F" w:rsidRPr="004030DB">
        <w:rPr>
          <w:rFonts w:ascii="Arial" w:hAnsi="Arial" w:cs="Arial"/>
          <w:sz w:val="20"/>
          <w:szCs w:val="20"/>
          <w:lang w:val="en-GB"/>
        </w:rPr>
        <w:t xml:space="preserve"> </w:t>
      </w:r>
      <w:r w:rsidR="004A729A" w:rsidRPr="004030DB">
        <w:rPr>
          <w:rFonts w:ascii="Arial" w:hAnsi="Arial" w:cs="Arial"/>
          <w:sz w:val="20"/>
          <w:szCs w:val="20"/>
          <w:lang w:val="en-GB"/>
        </w:rPr>
        <w:t>May 2024 – Recruitment of a Substantive Chair</w:t>
      </w:r>
      <w:r w:rsidR="0066611D" w:rsidRPr="004030DB">
        <w:rPr>
          <w:rFonts w:ascii="Arial" w:hAnsi="Arial" w:cs="Arial"/>
          <w:sz w:val="20"/>
          <w:szCs w:val="20"/>
          <w:lang w:val="en-GB"/>
        </w:rPr>
        <w:t xml:space="preserve">, </w:t>
      </w:r>
      <w:r w:rsidR="004A729A" w:rsidRPr="004030DB">
        <w:rPr>
          <w:rFonts w:ascii="Arial" w:hAnsi="Arial" w:cs="Arial"/>
          <w:sz w:val="20"/>
          <w:szCs w:val="20"/>
          <w:lang w:val="en-GB"/>
        </w:rPr>
        <w:t>February 2025 – External Auditor Recommendation and Relinquish of Assets</w:t>
      </w:r>
      <w:r w:rsidR="0066611D" w:rsidRPr="004030DB">
        <w:rPr>
          <w:rFonts w:ascii="Arial" w:hAnsi="Arial" w:cs="Arial"/>
          <w:sz w:val="20"/>
          <w:szCs w:val="20"/>
          <w:lang w:val="en-GB"/>
        </w:rPr>
        <w:t xml:space="preserve"> plus March 2025 - NED Recruitment</w:t>
      </w:r>
      <w:r w:rsidR="00F84B3A" w:rsidRPr="004030DB">
        <w:rPr>
          <w:rFonts w:ascii="Arial" w:hAnsi="Arial" w:cs="Arial"/>
          <w:sz w:val="20"/>
          <w:szCs w:val="20"/>
          <w:lang w:val="en-GB"/>
        </w:rPr>
        <w:t xml:space="preserve"> and Joint Chief Executive Role</w:t>
      </w:r>
      <w:r w:rsidR="0066611D" w:rsidRPr="004030DB">
        <w:rPr>
          <w:rFonts w:ascii="Arial" w:hAnsi="Arial" w:cs="Arial"/>
          <w:sz w:val="20"/>
          <w:szCs w:val="20"/>
          <w:lang w:val="en-GB"/>
        </w:rPr>
        <w:t xml:space="preserve">. </w:t>
      </w:r>
      <w:r w:rsidR="004A729A" w:rsidRPr="004030DB">
        <w:rPr>
          <w:rFonts w:ascii="Arial" w:hAnsi="Arial" w:cs="Arial"/>
          <w:sz w:val="20"/>
          <w:szCs w:val="20"/>
          <w:lang w:val="en-GB"/>
        </w:rPr>
        <w:t xml:space="preserve"> </w:t>
      </w:r>
    </w:p>
    <w:p w14:paraId="77AECA44" w14:textId="77777777" w:rsidR="00CC39D8" w:rsidRPr="004030DB" w:rsidRDefault="00CC39D8" w:rsidP="0066611D">
      <w:pPr>
        <w:jc w:val="both"/>
        <w:rPr>
          <w:rFonts w:ascii="Arial" w:hAnsi="Arial" w:cs="Arial"/>
          <w:sz w:val="20"/>
          <w:szCs w:val="20"/>
          <w:highlight w:val="yellow"/>
          <w:lang w:val="en-GB"/>
        </w:rPr>
      </w:pPr>
    </w:p>
    <w:p w14:paraId="0792783C" w14:textId="77777777" w:rsidR="001A1E34" w:rsidRPr="004030DB" w:rsidRDefault="001A1E34" w:rsidP="0066611D">
      <w:pPr>
        <w:jc w:val="both"/>
        <w:rPr>
          <w:rFonts w:ascii="Arial" w:hAnsi="Arial" w:cs="Arial"/>
          <w:sz w:val="20"/>
          <w:szCs w:val="20"/>
          <w:lang w:val="en-GB"/>
        </w:rPr>
      </w:pPr>
      <w:r w:rsidRPr="004030DB">
        <w:rPr>
          <w:rFonts w:ascii="Arial" w:hAnsi="Arial" w:cs="Arial"/>
          <w:sz w:val="20"/>
          <w:szCs w:val="20"/>
          <w:lang w:val="en-GB"/>
        </w:rPr>
        <w:t>Council of Governor</w:t>
      </w:r>
      <w:r w:rsidR="00141FFE" w:rsidRPr="004030DB">
        <w:rPr>
          <w:rFonts w:ascii="Arial" w:hAnsi="Arial" w:cs="Arial"/>
          <w:sz w:val="20"/>
          <w:szCs w:val="20"/>
          <w:lang w:val="en-GB"/>
        </w:rPr>
        <w:t>s</w:t>
      </w:r>
      <w:r w:rsidRPr="004030DB">
        <w:rPr>
          <w:rFonts w:ascii="Arial" w:hAnsi="Arial" w:cs="Arial"/>
          <w:sz w:val="20"/>
          <w:szCs w:val="20"/>
          <w:lang w:val="en-GB"/>
        </w:rPr>
        <w:t xml:space="preserve"> members also attended the Trust annual general meeting in </w:t>
      </w:r>
      <w:r w:rsidR="00EA35E7" w:rsidRPr="004030DB">
        <w:rPr>
          <w:rFonts w:ascii="Arial" w:hAnsi="Arial" w:cs="Arial"/>
          <w:sz w:val="20"/>
          <w:szCs w:val="20"/>
          <w:lang w:val="en-GB"/>
        </w:rPr>
        <w:t>September 202</w:t>
      </w:r>
      <w:r w:rsidR="00047BAD" w:rsidRPr="004030DB">
        <w:rPr>
          <w:rFonts w:ascii="Arial" w:hAnsi="Arial" w:cs="Arial"/>
          <w:sz w:val="20"/>
          <w:szCs w:val="20"/>
          <w:lang w:val="en-GB"/>
        </w:rPr>
        <w:t>4</w:t>
      </w:r>
      <w:r w:rsidRPr="004030DB">
        <w:rPr>
          <w:rFonts w:ascii="Arial" w:hAnsi="Arial" w:cs="Arial"/>
          <w:sz w:val="20"/>
          <w:szCs w:val="20"/>
          <w:lang w:val="en-GB"/>
        </w:rPr>
        <w:t>.</w:t>
      </w:r>
    </w:p>
    <w:p w14:paraId="191B599C" w14:textId="77777777" w:rsidR="001A1E34" w:rsidRPr="004030DB" w:rsidRDefault="001A1E34" w:rsidP="0066611D">
      <w:pPr>
        <w:jc w:val="both"/>
        <w:rPr>
          <w:rFonts w:ascii="Arial" w:hAnsi="Arial" w:cs="Arial"/>
          <w:sz w:val="20"/>
          <w:szCs w:val="20"/>
          <w:lang w:val="en-GB"/>
        </w:rPr>
      </w:pPr>
    </w:p>
    <w:p w14:paraId="494977E9" w14:textId="77777777" w:rsidR="00010A15" w:rsidRPr="004030DB" w:rsidRDefault="00010A15" w:rsidP="0066611D">
      <w:pPr>
        <w:jc w:val="both"/>
        <w:rPr>
          <w:rFonts w:ascii="Arial" w:hAnsi="Arial" w:cs="Arial"/>
          <w:sz w:val="20"/>
          <w:szCs w:val="20"/>
          <w:lang w:val="en-GB"/>
        </w:rPr>
      </w:pPr>
      <w:r w:rsidRPr="004030DB">
        <w:rPr>
          <w:rFonts w:ascii="Arial" w:hAnsi="Arial" w:cs="Arial"/>
          <w:sz w:val="20"/>
          <w:szCs w:val="20"/>
          <w:lang w:val="en-GB"/>
        </w:rPr>
        <w:t>Individual attendance at Council meetings by governors and directors is detailed under Attendance at Council of Governors’ meetings.</w:t>
      </w:r>
    </w:p>
    <w:p w14:paraId="2289EF00" w14:textId="77777777" w:rsidR="002F1AFE" w:rsidRPr="004030DB" w:rsidRDefault="002F1AFE" w:rsidP="0066611D">
      <w:pPr>
        <w:jc w:val="both"/>
        <w:rPr>
          <w:rFonts w:ascii="Arial" w:hAnsi="Arial" w:cs="Arial"/>
          <w:sz w:val="20"/>
          <w:szCs w:val="20"/>
          <w:lang w:val="en-GB"/>
        </w:rPr>
      </w:pPr>
    </w:p>
    <w:p w14:paraId="20A2A62C" w14:textId="77777777" w:rsidR="002F1AFE" w:rsidRPr="004030DB" w:rsidRDefault="002F1AFE" w:rsidP="0066611D">
      <w:pPr>
        <w:jc w:val="both"/>
        <w:rPr>
          <w:rFonts w:ascii="Arial" w:hAnsi="Arial" w:cs="Arial"/>
          <w:sz w:val="20"/>
          <w:szCs w:val="20"/>
          <w:lang w:val="en-GB"/>
        </w:rPr>
      </w:pPr>
      <w:r w:rsidRPr="004030DB">
        <w:rPr>
          <w:rFonts w:ascii="Arial" w:hAnsi="Arial" w:cs="Arial"/>
          <w:sz w:val="20"/>
          <w:szCs w:val="20"/>
          <w:lang w:val="en-GB"/>
        </w:rPr>
        <w:t xml:space="preserve">Governors canvass the opinion of the Trust’s members and the public, including the Trust’s forward plan; its objectives, priorities and strategies.  Their views are communicated to the Board </w:t>
      </w:r>
      <w:r w:rsidR="0025080C" w:rsidRPr="004030DB">
        <w:rPr>
          <w:rFonts w:ascii="Arial" w:hAnsi="Arial" w:cs="Arial"/>
          <w:sz w:val="20"/>
          <w:szCs w:val="20"/>
          <w:lang w:val="en-GB"/>
        </w:rPr>
        <w:t xml:space="preserve">through </w:t>
      </w:r>
      <w:r w:rsidRPr="004030DB">
        <w:rPr>
          <w:rFonts w:ascii="Arial" w:hAnsi="Arial" w:cs="Arial"/>
          <w:sz w:val="20"/>
          <w:szCs w:val="20"/>
          <w:lang w:val="en-GB"/>
        </w:rPr>
        <w:t>a Council of Governors Work Plan that links to the Board</w:t>
      </w:r>
      <w:r w:rsidR="0025080C" w:rsidRPr="004030DB">
        <w:rPr>
          <w:rFonts w:ascii="Arial" w:hAnsi="Arial" w:cs="Arial"/>
          <w:sz w:val="20"/>
          <w:szCs w:val="20"/>
          <w:lang w:val="en-GB"/>
        </w:rPr>
        <w:t xml:space="preserve"> work plan</w:t>
      </w:r>
      <w:r w:rsidRPr="004030DB">
        <w:rPr>
          <w:rFonts w:ascii="Arial" w:hAnsi="Arial" w:cs="Arial"/>
          <w:sz w:val="20"/>
          <w:szCs w:val="20"/>
          <w:lang w:val="en-GB"/>
        </w:rPr>
        <w:t xml:space="preserve">.  The </w:t>
      </w:r>
      <w:r w:rsidR="0025080C" w:rsidRPr="004030DB">
        <w:rPr>
          <w:rFonts w:ascii="Arial" w:hAnsi="Arial" w:cs="Arial"/>
          <w:sz w:val="20"/>
          <w:szCs w:val="20"/>
          <w:lang w:val="en-GB"/>
        </w:rPr>
        <w:t>L</w:t>
      </w:r>
      <w:r w:rsidRPr="004030DB">
        <w:rPr>
          <w:rFonts w:ascii="Arial" w:hAnsi="Arial" w:cs="Arial"/>
          <w:sz w:val="20"/>
          <w:szCs w:val="20"/>
          <w:lang w:val="en-GB"/>
        </w:rPr>
        <w:t xml:space="preserve">ead Governor provides the Board with </w:t>
      </w:r>
      <w:r w:rsidR="002F65E9" w:rsidRPr="004030DB">
        <w:rPr>
          <w:rFonts w:ascii="Arial" w:hAnsi="Arial" w:cs="Arial"/>
          <w:sz w:val="20"/>
          <w:szCs w:val="20"/>
          <w:lang w:val="en-GB"/>
        </w:rPr>
        <w:t>Council of Governors update to every Board meeting in Public</w:t>
      </w:r>
      <w:r w:rsidRPr="004030DB">
        <w:rPr>
          <w:rFonts w:ascii="Arial" w:hAnsi="Arial" w:cs="Arial"/>
          <w:sz w:val="20"/>
          <w:szCs w:val="20"/>
          <w:lang w:val="en-GB"/>
        </w:rPr>
        <w:t xml:space="preserve">.  The Board sub-committees have Governor representation.  </w:t>
      </w:r>
    </w:p>
    <w:p w14:paraId="1ACDB14A" w14:textId="77777777" w:rsidR="001A1E34" w:rsidRPr="004030DB" w:rsidRDefault="001A1E34" w:rsidP="0066611D">
      <w:pPr>
        <w:jc w:val="both"/>
        <w:rPr>
          <w:rFonts w:ascii="Arial" w:hAnsi="Arial" w:cs="Arial"/>
          <w:sz w:val="20"/>
          <w:szCs w:val="20"/>
          <w:lang w:val="en-GB"/>
        </w:rPr>
      </w:pPr>
    </w:p>
    <w:p w14:paraId="60172C69" w14:textId="77777777" w:rsidR="001A1E34" w:rsidRPr="004030DB" w:rsidRDefault="00010A15" w:rsidP="0066611D">
      <w:pPr>
        <w:jc w:val="both"/>
        <w:rPr>
          <w:rFonts w:ascii="Arial" w:hAnsi="Arial" w:cs="Arial"/>
          <w:b/>
          <w:sz w:val="20"/>
          <w:szCs w:val="20"/>
          <w:lang w:val="en-GB"/>
        </w:rPr>
      </w:pPr>
      <w:r w:rsidRPr="004030DB">
        <w:rPr>
          <w:rFonts w:ascii="Arial" w:hAnsi="Arial" w:cs="Arial"/>
          <w:b/>
          <w:sz w:val="20"/>
          <w:szCs w:val="20"/>
          <w:lang w:val="en-GB"/>
        </w:rPr>
        <w:t>Lead Governor</w:t>
      </w:r>
    </w:p>
    <w:p w14:paraId="740FB1C0" w14:textId="77777777" w:rsidR="00010A15" w:rsidRPr="004030DB" w:rsidRDefault="00010A15" w:rsidP="0066611D">
      <w:pPr>
        <w:jc w:val="both"/>
        <w:rPr>
          <w:rFonts w:ascii="Arial" w:hAnsi="Arial" w:cs="Arial"/>
          <w:sz w:val="20"/>
          <w:szCs w:val="20"/>
          <w:lang w:val="en-GB"/>
        </w:rPr>
      </w:pPr>
      <w:r w:rsidRPr="004030DB">
        <w:rPr>
          <w:rFonts w:ascii="Arial" w:hAnsi="Arial" w:cs="Arial"/>
          <w:sz w:val="20"/>
          <w:szCs w:val="20"/>
          <w:lang w:val="en-GB"/>
        </w:rPr>
        <w:t>The Council elects one of its members to be the Lead Governor who acts as the main point of contact for the Chair and Company Secretary, and between NHS England and the other governors, when communication is necessary.</w:t>
      </w:r>
    </w:p>
    <w:p w14:paraId="19230B63" w14:textId="77777777" w:rsidR="001A1E34" w:rsidRPr="004030DB" w:rsidRDefault="001A1E34" w:rsidP="0066611D">
      <w:pPr>
        <w:jc w:val="both"/>
        <w:rPr>
          <w:rFonts w:ascii="Arial" w:hAnsi="Arial" w:cs="Arial"/>
          <w:sz w:val="20"/>
          <w:szCs w:val="20"/>
          <w:lang w:val="en-GB"/>
        </w:rPr>
      </w:pPr>
    </w:p>
    <w:p w14:paraId="70789986" w14:textId="77777777" w:rsidR="00010A15" w:rsidRPr="004030DB" w:rsidRDefault="00010A15" w:rsidP="0066611D">
      <w:pPr>
        <w:jc w:val="both"/>
        <w:rPr>
          <w:rFonts w:ascii="Arial" w:hAnsi="Arial" w:cs="Arial"/>
          <w:sz w:val="20"/>
          <w:szCs w:val="20"/>
          <w:lang w:val="en-GB"/>
        </w:rPr>
      </w:pPr>
      <w:r w:rsidRPr="004030DB">
        <w:rPr>
          <w:rFonts w:ascii="Arial" w:hAnsi="Arial" w:cs="Arial"/>
          <w:sz w:val="20"/>
          <w:szCs w:val="20"/>
          <w:lang w:val="en-GB"/>
        </w:rPr>
        <w:t>The Lead Governor is responsible for communicating to the Chair any comments, observations or concerns expressed by governors regarding the performance of the Trust or any other serious or material matter relating to the Trust or its business.</w:t>
      </w:r>
    </w:p>
    <w:p w14:paraId="5DA68B3C" w14:textId="77777777" w:rsidR="001A1E34" w:rsidRPr="004030DB" w:rsidRDefault="001A1E34" w:rsidP="0066611D">
      <w:pPr>
        <w:jc w:val="both"/>
        <w:rPr>
          <w:rFonts w:ascii="Arial" w:hAnsi="Arial" w:cs="Arial"/>
          <w:sz w:val="20"/>
          <w:szCs w:val="20"/>
          <w:lang w:val="en-GB"/>
        </w:rPr>
      </w:pPr>
    </w:p>
    <w:p w14:paraId="593869D1" w14:textId="77777777" w:rsidR="00010A15" w:rsidRPr="004030DB" w:rsidRDefault="00010A15" w:rsidP="0066611D">
      <w:pPr>
        <w:jc w:val="both"/>
        <w:rPr>
          <w:rFonts w:ascii="Arial" w:hAnsi="Arial" w:cs="Arial"/>
          <w:sz w:val="20"/>
          <w:szCs w:val="20"/>
          <w:lang w:val="en-GB"/>
        </w:rPr>
      </w:pPr>
      <w:r w:rsidRPr="004030DB">
        <w:rPr>
          <w:rFonts w:ascii="Arial" w:hAnsi="Arial" w:cs="Arial"/>
          <w:sz w:val="20"/>
          <w:szCs w:val="20"/>
          <w:lang w:val="en-GB"/>
        </w:rPr>
        <w:t xml:space="preserve">Cllr David Brake </w:t>
      </w:r>
      <w:r w:rsidR="001A1E34" w:rsidRPr="004030DB">
        <w:rPr>
          <w:rFonts w:ascii="Arial" w:hAnsi="Arial" w:cs="Arial"/>
          <w:sz w:val="20"/>
          <w:szCs w:val="20"/>
          <w:lang w:val="en-GB"/>
        </w:rPr>
        <w:t xml:space="preserve">continued in the role as </w:t>
      </w:r>
      <w:r w:rsidRPr="004030DB">
        <w:rPr>
          <w:rFonts w:ascii="Arial" w:hAnsi="Arial" w:cs="Arial"/>
          <w:sz w:val="20"/>
          <w:szCs w:val="20"/>
          <w:lang w:val="en-GB"/>
        </w:rPr>
        <w:t xml:space="preserve">lead governor </w:t>
      </w:r>
      <w:r w:rsidR="001A1E34" w:rsidRPr="004030DB">
        <w:rPr>
          <w:rFonts w:ascii="Arial" w:hAnsi="Arial" w:cs="Arial"/>
          <w:sz w:val="20"/>
          <w:szCs w:val="20"/>
          <w:lang w:val="en-GB"/>
        </w:rPr>
        <w:t>for the entire 202</w:t>
      </w:r>
      <w:r w:rsidR="0066611D" w:rsidRPr="004030DB">
        <w:rPr>
          <w:rFonts w:ascii="Arial" w:hAnsi="Arial" w:cs="Arial"/>
          <w:sz w:val="20"/>
          <w:szCs w:val="20"/>
          <w:lang w:val="en-GB"/>
        </w:rPr>
        <w:t>4</w:t>
      </w:r>
      <w:r w:rsidR="00EA35E7" w:rsidRPr="004030DB">
        <w:rPr>
          <w:rFonts w:ascii="Arial" w:hAnsi="Arial" w:cs="Arial"/>
          <w:sz w:val="20"/>
          <w:szCs w:val="20"/>
          <w:lang w:val="en-GB"/>
        </w:rPr>
        <w:t>/2</w:t>
      </w:r>
      <w:r w:rsidR="0066611D" w:rsidRPr="004030DB">
        <w:rPr>
          <w:rFonts w:ascii="Arial" w:hAnsi="Arial" w:cs="Arial"/>
          <w:sz w:val="20"/>
          <w:szCs w:val="20"/>
          <w:lang w:val="en-GB"/>
        </w:rPr>
        <w:t>5</w:t>
      </w:r>
      <w:r w:rsidR="001A1E34" w:rsidRPr="004030DB">
        <w:rPr>
          <w:rFonts w:ascii="Arial" w:hAnsi="Arial" w:cs="Arial"/>
          <w:sz w:val="20"/>
          <w:szCs w:val="20"/>
          <w:lang w:val="en-GB"/>
        </w:rPr>
        <w:t xml:space="preserve"> reporting period</w:t>
      </w:r>
      <w:r w:rsidRPr="004030DB">
        <w:rPr>
          <w:rFonts w:ascii="Arial" w:hAnsi="Arial" w:cs="Arial"/>
          <w:sz w:val="20"/>
          <w:szCs w:val="20"/>
          <w:lang w:val="en-GB"/>
        </w:rPr>
        <w:t>.</w:t>
      </w:r>
    </w:p>
    <w:p w14:paraId="64405BC7" w14:textId="77777777" w:rsidR="001A1E34" w:rsidRPr="004030DB" w:rsidRDefault="001A1E34" w:rsidP="0066611D">
      <w:pPr>
        <w:jc w:val="both"/>
        <w:rPr>
          <w:rFonts w:ascii="Arial" w:hAnsi="Arial" w:cs="Arial"/>
          <w:sz w:val="20"/>
          <w:szCs w:val="20"/>
          <w:lang w:val="en-GB"/>
        </w:rPr>
      </w:pPr>
    </w:p>
    <w:p w14:paraId="140DCDDE" w14:textId="77777777" w:rsidR="001A1E34" w:rsidRPr="004030DB" w:rsidRDefault="00010A15" w:rsidP="0066611D">
      <w:pPr>
        <w:jc w:val="both"/>
        <w:rPr>
          <w:rFonts w:ascii="Arial" w:hAnsi="Arial" w:cs="Arial"/>
          <w:b/>
          <w:sz w:val="20"/>
          <w:szCs w:val="20"/>
          <w:lang w:val="en-GB"/>
        </w:rPr>
      </w:pPr>
      <w:r w:rsidRPr="004030DB">
        <w:rPr>
          <w:rFonts w:ascii="Arial" w:hAnsi="Arial" w:cs="Arial"/>
          <w:b/>
          <w:sz w:val="20"/>
          <w:szCs w:val="20"/>
          <w:lang w:val="en-GB"/>
        </w:rPr>
        <w:t>Committee of the Council of Governors</w:t>
      </w:r>
    </w:p>
    <w:p w14:paraId="709F78B0" w14:textId="77777777" w:rsidR="00872BCC" w:rsidRPr="004030DB" w:rsidRDefault="00010A15" w:rsidP="0066611D">
      <w:pPr>
        <w:jc w:val="both"/>
        <w:rPr>
          <w:rFonts w:ascii="Arial" w:hAnsi="Arial" w:cs="Arial"/>
          <w:sz w:val="20"/>
          <w:szCs w:val="20"/>
          <w:lang w:val="en-GB"/>
        </w:rPr>
      </w:pPr>
      <w:r w:rsidRPr="004030DB">
        <w:rPr>
          <w:rFonts w:ascii="Arial" w:hAnsi="Arial" w:cs="Arial"/>
          <w:sz w:val="20"/>
          <w:szCs w:val="20"/>
          <w:lang w:val="en-GB"/>
        </w:rPr>
        <w:t xml:space="preserve">The Council has one committee, which is the </w:t>
      </w:r>
      <w:r w:rsidR="00CC39D8" w:rsidRPr="004030DB">
        <w:rPr>
          <w:rFonts w:ascii="Arial" w:hAnsi="Arial" w:cs="Arial"/>
          <w:sz w:val="20"/>
          <w:szCs w:val="20"/>
          <w:lang w:val="en-GB"/>
        </w:rPr>
        <w:t xml:space="preserve">Council of </w:t>
      </w:r>
      <w:r w:rsidRPr="004030DB">
        <w:rPr>
          <w:rFonts w:ascii="Arial" w:hAnsi="Arial" w:cs="Arial"/>
          <w:sz w:val="20"/>
          <w:szCs w:val="20"/>
          <w:lang w:val="en-GB"/>
        </w:rPr>
        <w:t>Governor</w:t>
      </w:r>
      <w:r w:rsidR="00CC39D8" w:rsidRPr="004030DB">
        <w:rPr>
          <w:rFonts w:ascii="Arial" w:hAnsi="Arial" w:cs="Arial"/>
          <w:sz w:val="20"/>
          <w:szCs w:val="20"/>
          <w:lang w:val="en-GB"/>
        </w:rPr>
        <w:t>s</w:t>
      </w:r>
      <w:r w:rsidRPr="004030DB">
        <w:rPr>
          <w:rFonts w:ascii="Arial" w:hAnsi="Arial" w:cs="Arial"/>
          <w:sz w:val="20"/>
          <w:szCs w:val="20"/>
          <w:lang w:val="en-GB"/>
        </w:rPr>
        <w:t xml:space="preserve"> Nomination and Remuneration Committee.</w:t>
      </w:r>
      <w:r w:rsidR="00CC39D8" w:rsidRPr="004030DB">
        <w:rPr>
          <w:rFonts w:ascii="Arial" w:hAnsi="Arial" w:cs="Arial"/>
          <w:sz w:val="20"/>
          <w:szCs w:val="20"/>
          <w:lang w:val="en-GB"/>
        </w:rPr>
        <w:t xml:space="preserve">  </w:t>
      </w:r>
      <w:r w:rsidRPr="004030DB">
        <w:rPr>
          <w:rFonts w:ascii="Arial" w:hAnsi="Arial" w:cs="Arial"/>
          <w:sz w:val="20"/>
          <w:szCs w:val="20"/>
          <w:lang w:val="en-GB"/>
        </w:rPr>
        <w:t>The Committee has a number of responsibilities, including to review the remuneration of the non-executive directors each year; to be involved in the nomination process for all non-executive directors including the Chair; and to receive confirmation that appraisals have been carried out for the Chair and non-executive directors.</w:t>
      </w:r>
    </w:p>
    <w:p w14:paraId="30E5FD3C" w14:textId="77777777" w:rsidR="0045760F" w:rsidRPr="004030DB" w:rsidRDefault="0045760F" w:rsidP="0066611D">
      <w:pPr>
        <w:jc w:val="both"/>
        <w:rPr>
          <w:rFonts w:ascii="Arial" w:hAnsi="Arial" w:cs="Arial"/>
          <w:sz w:val="20"/>
          <w:szCs w:val="20"/>
          <w:lang w:val="en-GB"/>
        </w:rPr>
      </w:pPr>
    </w:p>
    <w:p w14:paraId="0230C609" w14:textId="77777777" w:rsidR="0045760F" w:rsidRPr="00F84B3A" w:rsidRDefault="0045760F" w:rsidP="0066611D">
      <w:pPr>
        <w:widowControl/>
        <w:spacing w:after="160" w:line="259" w:lineRule="auto"/>
        <w:jc w:val="both"/>
        <w:rPr>
          <w:rFonts w:ascii="Arial" w:hAnsi="Arial" w:cs="Arial"/>
          <w:highlight w:val="yellow"/>
          <w:lang w:val="en-GB"/>
        </w:rPr>
      </w:pPr>
      <w:r w:rsidRPr="00F84B3A">
        <w:rPr>
          <w:rFonts w:ascii="Arial" w:hAnsi="Arial" w:cs="Arial"/>
          <w:highlight w:val="yellow"/>
          <w:lang w:val="en-GB"/>
        </w:rPr>
        <w:br w:type="page"/>
      </w:r>
    </w:p>
    <w:p w14:paraId="2429F594" w14:textId="77777777" w:rsidR="00D0514B" w:rsidRPr="004030DB" w:rsidRDefault="00010A15" w:rsidP="0066611D">
      <w:pPr>
        <w:jc w:val="both"/>
        <w:rPr>
          <w:rFonts w:ascii="Arial" w:hAnsi="Arial" w:cs="Arial"/>
          <w:b/>
          <w:sz w:val="20"/>
          <w:szCs w:val="20"/>
          <w:lang w:val="en-GB"/>
        </w:rPr>
      </w:pPr>
      <w:r w:rsidRPr="004030DB">
        <w:rPr>
          <w:rFonts w:ascii="Arial" w:hAnsi="Arial" w:cs="Arial"/>
          <w:b/>
          <w:sz w:val="20"/>
          <w:szCs w:val="20"/>
          <w:lang w:val="en-GB"/>
        </w:rPr>
        <w:lastRenderedPageBreak/>
        <w:t xml:space="preserve">Attendance at Public Council of Governor </w:t>
      </w:r>
      <w:r w:rsidR="00A870BF" w:rsidRPr="004030DB">
        <w:rPr>
          <w:rFonts w:ascii="Arial" w:hAnsi="Arial" w:cs="Arial"/>
          <w:b/>
          <w:sz w:val="20"/>
          <w:szCs w:val="20"/>
          <w:lang w:val="en-GB"/>
        </w:rPr>
        <w:t>M</w:t>
      </w:r>
      <w:r w:rsidRPr="004030DB">
        <w:rPr>
          <w:rFonts w:ascii="Arial" w:hAnsi="Arial" w:cs="Arial"/>
          <w:b/>
          <w:sz w:val="20"/>
          <w:szCs w:val="20"/>
          <w:lang w:val="en-GB"/>
        </w:rPr>
        <w:t>eetings</w:t>
      </w:r>
      <w:r w:rsidR="002A51C5" w:rsidRPr="004030DB">
        <w:rPr>
          <w:rFonts w:ascii="Arial" w:hAnsi="Arial" w:cs="Arial"/>
          <w:b/>
          <w:sz w:val="20"/>
          <w:szCs w:val="20"/>
          <w:lang w:val="en-GB"/>
        </w:rPr>
        <w:t xml:space="preserve"> </w:t>
      </w:r>
    </w:p>
    <w:p w14:paraId="78BEEBFB" w14:textId="77777777" w:rsidR="00010A15" w:rsidRPr="004030DB" w:rsidRDefault="00010A15" w:rsidP="0066611D">
      <w:pPr>
        <w:jc w:val="both"/>
        <w:rPr>
          <w:rFonts w:ascii="Arial" w:hAnsi="Arial" w:cs="Arial"/>
          <w:sz w:val="20"/>
          <w:szCs w:val="20"/>
          <w:lang w:val="en-GB"/>
        </w:rPr>
      </w:pPr>
      <w:r w:rsidRPr="004030DB">
        <w:rPr>
          <w:rFonts w:ascii="Arial" w:hAnsi="Arial" w:cs="Arial"/>
          <w:sz w:val="20"/>
          <w:szCs w:val="20"/>
          <w:lang w:val="en-GB"/>
        </w:rPr>
        <w:t>The information below outlines governors o</w:t>
      </w:r>
      <w:r w:rsidR="001433B5" w:rsidRPr="004030DB">
        <w:rPr>
          <w:rFonts w:ascii="Arial" w:hAnsi="Arial" w:cs="Arial"/>
          <w:sz w:val="20"/>
          <w:szCs w:val="20"/>
          <w:lang w:val="en-GB"/>
        </w:rPr>
        <w:t>n the Council during 202</w:t>
      </w:r>
      <w:r w:rsidR="002F65E9" w:rsidRPr="004030DB">
        <w:rPr>
          <w:rFonts w:ascii="Arial" w:hAnsi="Arial" w:cs="Arial"/>
          <w:sz w:val="20"/>
          <w:szCs w:val="20"/>
          <w:lang w:val="en-GB"/>
        </w:rPr>
        <w:t>4/25</w:t>
      </w:r>
      <w:r w:rsidRPr="004030DB">
        <w:rPr>
          <w:rFonts w:ascii="Arial" w:hAnsi="Arial" w:cs="Arial"/>
          <w:sz w:val="20"/>
          <w:szCs w:val="20"/>
          <w:lang w:val="en-GB"/>
        </w:rPr>
        <w:t>, with record of attendance.</w:t>
      </w:r>
    </w:p>
    <w:p w14:paraId="4F6FFC63" w14:textId="77777777" w:rsidR="00010A15" w:rsidRPr="004030DB" w:rsidRDefault="00010A15" w:rsidP="0066611D">
      <w:pPr>
        <w:jc w:val="both"/>
        <w:rPr>
          <w:rFonts w:ascii="Arial" w:hAnsi="Arial" w:cs="Arial"/>
          <w:sz w:val="20"/>
          <w:szCs w:val="20"/>
          <w:highlight w:val="yellow"/>
          <w:lang w:val="en-GB"/>
        </w:rPr>
      </w:pPr>
    </w:p>
    <w:tbl>
      <w:tblPr>
        <w:tblStyle w:val="TableGrid"/>
        <w:tblW w:w="10207" w:type="dxa"/>
        <w:tblInd w:w="-431" w:type="dxa"/>
        <w:tblLook w:val="04A0" w:firstRow="1" w:lastRow="0" w:firstColumn="1" w:lastColumn="0" w:noHBand="0" w:noVBand="1"/>
      </w:tblPr>
      <w:tblGrid>
        <w:gridCol w:w="3452"/>
        <w:gridCol w:w="1073"/>
        <w:gridCol w:w="1073"/>
        <w:gridCol w:w="1073"/>
        <w:gridCol w:w="1073"/>
        <w:gridCol w:w="2463"/>
      </w:tblGrid>
      <w:tr w:rsidR="00F84B3A" w:rsidRPr="004030DB" w14:paraId="74972EAE" w14:textId="77777777" w:rsidTr="00186516">
        <w:trPr>
          <w:trHeight w:val="283"/>
        </w:trPr>
        <w:tc>
          <w:tcPr>
            <w:tcW w:w="3452" w:type="dxa"/>
            <w:tcBorders>
              <w:bottom w:val="single" w:sz="4" w:space="0" w:color="auto"/>
            </w:tcBorders>
          </w:tcPr>
          <w:p w14:paraId="163233B7" w14:textId="77777777" w:rsidR="00F84B3A" w:rsidRPr="004030DB" w:rsidRDefault="00F84B3A" w:rsidP="00186516">
            <w:pPr>
              <w:jc w:val="right"/>
              <w:rPr>
                <w:rFonts w:ascii="Arial" w:hAnsi="Arial" w:cs="Arial"/>
                <w:b/>
                <w:sz w:val="20"/>
                <w:szCs w:val="20"/>
              </w:rPr>
            </w:pPr>
            <w:r w:rsidRPr="004030DB">
              <w:rPr>
                <w:rFonts w:ascii="Arial" w:hAnsi="Arial" w:cs="Arial"/>
                <w:b/>
                <w:sz w:val="20"/>
                <w:szCs w:val="20"/>
              </w:rPr>
              <w:t>Date of Meeting</w:t>
            </w:r>
          </w:p>
        </w:tc>
        <w:tc>
          <w:tcPr>
            <w:tcW w:w="1073" w:type="dxa"/>
            <w:tcBorders>
              <w:bottom w:val="single" w:sz="4" w:space="0" w:color="auto"/>
            </w:tcBorders>
          </w:tcPr>
          <w:p w14:paraId="1EF6AD7A" w14:textId="77777777" w:rsidR="00F84B3A" w:rsidRPr="004030DB" w:rsidRDefault="00F84B3A" w:rsidP="00186516">
            <w:pPr>
              <w:jc w:val="center"/>
              <w:rPr>
                <w:rFonts w:ascii="Arial" w:hAnsi="Arial" w:cs="Arial"/>
                <w:b/>
                <w:sz w:val="20"/>
                <w:szCs w:val="20"/>
              </w:rPr>
            </w:pPr>
            <w:r w:rsidRPr="004030DB">
              <w:rPr>
                <w:rFonts w:ascii="Arial" w:hAnsi="Arial" w:cs="Arial"/>
                <w:b/>
                <w:sz w:val="20"/>
                <w:szCs w:val="20"/>
              </w:rPr>
              <w:t>22.05.24</w:t>
            </w:r>
          </w:p>
        </w:tc>
        <w:tc>
          <w:tcPr>
            <w:tcW w:w="1073" w:type="dxa"/>
            <w:tcBorders>
              <w:bottom w:val="single" w:sz="4" w:space="0" w:color="auto"/>
            </w:tcBorders>
          </w:tcPr>
          <w:p w14:paraId="7869EB6C" w14:textId="77777777" w:rsidR="00F84B3A" w:rsidRPr="004030DB" w:rsidRDefault="00F84B3A" w:rsidP="00186516">
            <w:pPr>
              <w:jc w:val="center"/>
              <w:rPr>
                <w:rFonts w:ascii="Arial" w:hAnsi="Arial" w:cs="Arial"/>
                <w:b/>
                <w:sz w:val="20"/>
                <w:szCs w:val="20"/>
              </w:rPr>
            </w:pPr>
            <w:r w:rsidRPr="004030DB">
              <w:rPr>
                <w:rFonts w:ascii="Arial" w:hAnsi="Arial" w:cs="Arial"/>
                <w:b/>
                <w:sz w:val="20"/>
                <w:szCs w:val="20"/>
              </w:rPr>
              <w:t>14.08.24</w:t>
            </w:r>
          </w:p>
        </w:tc>
        <w:tc>
          <w:tcPr>
            <w:tcW w:w="1073" w:type="dxa"/>
            <w:tcBorders>
              <w:bottom w:val="single" w:sz="4" w:space="0" w:color="auto"/>
            </w:tcBorders>
          </w:tcPr>
          <w:p w14:paraId="127980BA" w14:textId="77777777" w:rsidR="00F84B3A" w:rsidRPr="004030DB" w:rsidRDefault="00F84B3A" w:rsidP="00186516">
            <w:pPr>
              <w:jc w:val="center"/>
              <w:rPr>
                <w:rFonts w:ascii="Arial" w:hAnsi="Arial" w:cs="Arial"/>
                <w:b/>
                <w:sz w:val="20"/>
                <w:szCs w:val="20"/>
              </w:rPr>
            </w:pPr>
            <w:r w:rsidRPr="004030DB">
              <w:rPr>
                <w:rFonts w:ascii="Arial" w:hAnsi="Arial" w:cs="Arial"/>
                <w:b/>
                <w:sz w:val="20"/>
                <w:szCs w:val="20"/>
              </w:rPr>
              <w:t>20.11.24</w:t>
            </w:r>
          </w:p>
        </w:tc>
        <w:tc>
          <w:tcPr>
            <w:tcW w:w="1073" w:type="dxa"/>
            <w:tcBorders>
              <w:bottom w:val="single" w:sz="4" w:space="0" w:color="auto"/>
            </w:tcBorders>
          </w:tcPr>
          <w:p w14:paraId="5A4C2806" w14:textId="77777777" w:rsidR="00F84B3A" w:rsidRPr="004030DB" w:rsidRDefault="00F84B3A" w:rsidP="00186516">
            <w:pPr>
              <w:jc w:val="center"/>
              <w:rPr>
                <w:rFonts w:ascii="Arial" w:hAnsi="Arial" w:cs="Arial"/>
                <w:b/>
                <w:sz w:val="20"/>
                <w:szCs w:val="20"/>
              </w:rPr>
            </w:pPr>
            <w:r w:rsidRPr="004030DB">
              <w:rPr>
                <w:rFonts w:ascii="Arial" w:hAnsi="Arial" w:cs="Arial"/>
                <w:b/>
                <w:sz w:val="20"/>
                <w:szCs w:val="20"/>
              </w:rPr>
              <w:t>20.02.25</w:t>
            </w:r>
          </w:p>
        </w:tc>
        <w:tc>
          <w:tcPr>
            <w:tcW w:w="2463" w:type="dxa"/>
            <w:tcBorders>
              <w:bottom w:val="single" w:sz="4" w:space="0" w:color="auto"/>
            </w:tcBorders>
          </w:tcPr>
          <w:p w14:paraId="36A860D2" w14:textId="77777777" w:rsidR="00F84B3A" w:rsidRPr="004030DB" w:rsidRDefault="00F84B3A" w:rsidP="00186516">
            <w:pPr>
              <w:jc w:val="right"/>
              <w:rPr>
                <w:rFonts w:ascii="Arial" w:hAnsi="Arial" w:cs="Arial"/>
                <w:b/>
                <w:sz w:val="20"/>
                <w:szCs w:val="20"/>
              </w:rPr>
            </w:pPr>
            <w:r w:rsidRPr="004030DB">
              <w:rPr>
                <w:rFonts w:ascii="Arial" w:hAnsi="Arial" w:cs="Arial"/>
                <w:b/>
                <w:sz w:val="20"/>
                <w:szCs w:val="20"/>
              </w:rPr>
              <w:t>Total (2024</w:t>
            </w:r>
            <w:r w:rsidR="00186516" w:rsidRPr="004030DB">
              <w:rPr>
                <w:rFonts w:ascii="Arial" w:hAnsi="Arial" w:cs="Arial"/>
                <w:b/>
                <w:sz w:val="20"/>
                <w:szCs w:val="20"/>
              </w:rPr>
              <w:t>/</w:t>
            </w:r>
            <w:r w:rsidRPr="004030DB">
              <w:rPr>
                <w:rFonts w:ascii="Arial" w:hAnsi="Arial" w:cs="Arial"/>
                <w:b/>
                <w:sz w:val="20"/>
                <w:szCs w:val="20"/>
              </w:rPr>
              <w:t>25)</w:t>
            </w:r>
          </w:p>
        </w:tc>
      </w:tr>
      <w:tr w:rsidR="00F84B3A" w:rsidRPr="004030DB" w14:paraId="72F0DEF2" w14:textId="77777777" w:rsidTr="00186516">
        <w:tc>
          <w:tcPr>
            <w:tcW w:w="3452" w:type="dxa"/>
            <w:tcBorders>
              <w:top w:val="single" w:sz="4" w:space="0" w:color="auto"/>
              <w:left w:val="single" w:sz="4" w:space="0" w:color="auto"/>
              <w:bottom w:val="single" w:sz="4" w:space="0" w:color="auto"/>
              <w:right w:val="nil"/>
            </w:tcBorders>
          </w:tcPr>
          <w:p w14:paraId="66E6B39B" w14:textId="77777777" w:rsidR="00F84B3A" w:rsidRPr="004030DB" w:rsidRDefault="00F84B3A" w:rsidP="00186516">
            <w:pPr>
              <w:rPr>
                <w:rFonts w:ascii="Arial" w:hAnsi="Arial" w:cs="Arial"/>
                <w:b/>
                <w:sz w:val="20"/>
                <w:szCs w:val="20"/>
              </w:rPr>
            </w:pPr>
            <w:r w:rsidRPr="004030DB">
              <w:rPr>
                <w:rFonts w:ascii="Arial" w:hAnsi="Arial" w:cs="Arial"/>
                <w:b/>
                <w:sz w:val="20"/>
                <w:szCs w:val="20"/>
              </w:rPr>
              <w:t>Medway Governors</w:t>
            </w:r>
          </w:p>
        </w:tc>
        <w:tc>
          <w:tcPr>
            <w:tcW w:w="1073" w:type="dxa"/>
            <w:tcBorders>
              <w:top w:val="single" w:sz="4" w:space="0" w:color="auto"/>
              <w:left w:val="nil"/>
              <w:bottom w:val="single" w:sz="4" w:space="0" w:color="auto"/>
              <w:right w:val="nil"/>
            </w:tcBorders>
          </w:tcPr>
          <w:p w14:paraId="3B853ED0" w14:textId="77777777" w:rsidR="00F84B3A" w:rsidRPr="004030DB" w:rsidRDefault="00F84B3A" w:rsidP="00186516">
            <w:pPr>
              <w:jc w:val="center"/>
              <w:rPr>
                <w:rFonts w:ascii="Arial" w:hAnsi="Arial" w:cs="Arial"/>
                <w:sz w:val="20"/>
                <w:szCs w:val="20"/>
              </w:rPr>
            </w:pPr>
          </w:p>
        </w:tc>
        <w:tc>
          <w:tcPr>
            <w:tcW w:w="1073" w:type="dxa"/>
            <w:tcBorders>
              <w:top w:val="single" w:sz="4" w:space="0" w:color="auto"/>
              <w:left w:val="nil"/>
              <w:bottom w:val="single" w:sz="4" w:space="0" w:color="auto"/>
              <w:right w:val="nil"/>
            </w:tcBorders>
          </w:tcPr>
          <w:p w14:paraId="01C794EC" w14:textId="77777777" w:rsidR="00F84B3A" w:rsidRPr="004030DB" w:rsidRDefault="00F84B3A" w:rsidP="00186516">
            <w:pPr>
              <w:jc w:val="center"/>
              <w:rPr>
                <w:rFonts w:ascii="Arial" w:hAnsi="Arial" w:cs="Arial"/>
                <w:sz w:val="20"/>
                <w:szCs w:val="20"/>
              </w:rPr>
            </w:pPr>
          </w:p>
        </w:tc>
        <w:tc>
          <w:tcPr>
            <w:tcW w:w="1073" w:type="dxa"/>
            <w:tcBorders>
              <w:top w:val="single" w:sz="4" w:space="0" w:color="auto"/>
              <w:left w:val="nil"/>
              <w:bottom w:val="single" w:sz="4" w:space="0" w:color="auto"/>
              <w:right w:val="nil"/>
            </w:tcBorders>
          </w:tcPr>
          <w:p w14:paraId="60A8CFAA" w14:textId="77777777" w:rsidR="00F84B3A" w:rsidRPr="004030DB" w:rsidRDefault="00F84B3A" w:rsidP="00186516">
            <w:pPr>
              <w:jc w:val="center"/>
              <w:rPr>
                <w:rFonts w:ascii="Arial" w:hAnsi="Arial" w:cs="Arial"/>
                <w:sz w:val="20"/>
                <w:szCs w:val="20"/>
              </w:rPr>
            </w:pPr>
          </w:p>
        </w:tc>
        <w:tc>
          <w:tcPr>
            <w:tcW w:w="1073" w:type="dxa"/>
            <w:tcBorders>
              <w:top w:val="single" w:sz="4" w:space="0" w:color="auto"/>
              <w:left w:val="nil"/>
              <w:bottom w:val="single" w:sz="4" w:space="0" w:color="auto"/>
              <w:right w:val="nil"/>
            </w:tcBorders>
          </w:tcPr>
          <w:p w14:paraId="473393DD" w14:textId="77777777" w:rsidR="00F84B3A" w:rsidRPr="004030DB" w:rsidRDefault="00F84B3A" w:rsidP="00186516">
            <w:pPr>
              <w:jc w:val="center"/>
              <w:rPr>
                <w:rFonts w:ascii="Arial" w:hAnsi="Arial" w:cs="Arial"/>
                <w:sz w:val="20"/>
                <w:szCs w:val="20"/>
              </w:rPr>
            </w:pPr>
          </w:p>
        </w:tc>
        <w:tc>
          <w:tcPr>
            <w:tcW w:w="2463" w:type="dxa"/>
            <w:tcBorders>
              <w:top w:val="single" w:sz="4" w:space="0" w:color="auto"/>
              <w:left w:val="nil"/>
              <w:bottom w:val="single" w:sz="4" w:space="0" w:color="auto"/>
              <w:right w:val="single" w:sz="4" w:space="0" w:color="auto"/>
            </w:tcBorders>
          </w:tcPr>
          <w:p w14:paraId="20BC4D5E" w14:textId="77777777" w:rsidR="00F84B3A" w:rsidRPr="004030DB" w:rsidRDefault="00F84B3A" w:rsidP="00186516">
            <w:pPr>
              <w:jc w:val="right"/>
              <w:rPr>
                <w:rFonts w:ascii="Arial" w:hAnsi="Arial" w:cs="Arial"/>
                <w:b/>
                <w:sz w:val="20"/>
                <w:szCs w:val="20"/>
              </w:rPr>
            </w:pPr>
          </w:p>
        </w:tc>
      </w:tr>
      <w:tr w:rsidR="00F84B3A" w:rsidRPr="004030DB" w14:paraId="4DC3E3C2" w14:textId="77777777" w:rsidTr="00186516">
        <w:tc>
          <w:tcPr>
            <w:tcW w:w="3452" w:type="dxa"/>
            <w:tcBorders>
              <w:top w:val="single" w:sz="4" w:space="0" w:color="auto"/>
            </w:tcBorders>
          </w:tcPr>
          <w:p w14:paraId="1DA5D4EA" w14:textId="77777777" w:rsidR="00F84B3A" w:rsidRPr="004030DB" w:rsidRDefault="00F84B3A" w:rsidP="00186516">
            <w:pPr>
              <w:rPr>
                <w:rFonts w:ascii="Arial" w:hAnsi="Arial" w:cs="Arial"/>
                <w:sz w:val="20"/>
                <w:szCs w:val="20"/>
              </w:rPr>
            </w:pPr>
            <w:r w:rsidRPr="004030DB">
              <w:rPr>
                <w:rFonts w:ascii="Arial" w:hAnsi="Arial" w:cs="Arial"/>
                <w:sz w:val="20"/>
                <w:szCs w:val="20"/>
              </w:rPr>
              <w:t>Anan Shetty</w:t>
            </w:r>
          </w:p>
        </w:tc>
        <w:tc>
          <w:tcPr>
            <w:tcW w:w="1073" w:type="dxa"/>
            <w:tcBorders>
              <w:top w:val="single" w:sz="4" w:space="0" w:color="auto"/>
            </w:tcBorders>
          </w:tcPr>
          <w:p w14:paraId="7DE5D72B" w14:textId="77777777" w:rsidR="00F84B3A" w:rsidRPr="004030DB" w:rsidRDefault="00F84B3A" w:rsidP="00F84B3A">
            <w:pPr>
              <w:jc w:val="center"/>
              <w:rPr>
                <w:rFonts w:ascii="Arial" w:hAnsi="Arial" w:cs="Arial"/>
                <w:sz w:val="20"/>
                <w:szCs w:val="20"/>
              </w:rPr>
            </w:pPr>
            <w:r w:rsidRPr="004030DB">
              <w:rPr>
                <w:rFonts w:ascii="Arial" w:hAnsi="Arial" w:cs="Arial"/>
                <w:sz w:val="20"/>
                <w:szCs w:val="20"/>
              </w:rPr>
              <w:t>Yes</w:t>
            </w:r>
          </w:p>
        </w:tc>
        <w:tc>
          <w:tcPr>
            <w:tcW w:w="1073" w:type="dxa"/>
            <w:tcBorders>
              <w:top w:val="single" w:sz="4" w:space="0" w:color="auto"/>
            </w:tcBorders>
          </w:tcPr>
          <w:p w14:paraId="757C755E" w14:textId="77777777" w:rsidR="00F84B3A" w:rsidRPr="004030DB" w:rsidRDefault="00F84B3A" w:rsidP="00F84B3A">
            <w:pPr>
              <w:jc w:val="center"/>
              <w:rPr>
                <w:rFonts w:ascii="Arial" w:hAnsi="Arial" w:cs="Arial"/>
                <w:sz w:val="20"/>
                <w:szCs w:val="20"/>
              </w:rPr>
            </w:pPr>
            <w:r w:rsidRPr="004030DB">
              <w:rPr>
                <w:rFonts w:ascii="Arial" w:hAnsi="Arial" w:cs="Arial"/>
                <w:sz w:val="20"/>
                <w:szCs w:val="20"/>
              </w:rPr>
              <w:t>Yes</w:t>
            </w:r>
          </w:p>
        </w:tc>
        <w:tc>
          <w:tcPr>
            <w:tcW w:w="1073" w:type="dxa"/>
            <w:tcBorders>
              <w:top w:val="single" w:sz="4" w:space="0" w:color="auto"/>
            </w:tcBorders>
          </w:tcPr>
          <w:p w14:paraId="42AF94F4" w14:textId="77777777" w:rsidR="00F84B3A" w:rsidRPr="004030DB" w:rsidRDefault="00F84B3A" w:rsidP="00F84B3A">
            <w:pPr>
              <w:jc w:val="center"/>
              <w:rPr>
                <w:rFonts w:ascii="Arial" w:hAnsi="Arial" w:cs="Arial"/>
                <w:sz w:val="20"/>
                <w:szCs w:val="20"/>
              </w:rPr>
            </w:pPr>
            <w:r w:rsidRPr="004030DB">
              <w:rPr>
                <w:rFonts w:ascii="Arial" w:hAnsi="Arial" w:cs="Arial"/>
                <w:sz w:val="20"/>
                <w:szCs w:val="20"/>
              </w:rPr>
              <w:t>No</w:t>
            </w:r>
          </w:p>
        </w:tc>
        <w:tc>
          <w:tcPr>
            <w:tcW w:w="1073" w:type="dxa"/>
            <w:tcBorders>
              <w:top w:val="single" w:sz="4" w:space="0" w:color="auto"/>
            </w:tcBorders>
          </w:tcPr>
          <w:p w14:paraId="64F22D94" w14:textId="77777777" w:rsidR="00F84B3A" w:rsidRPr="004030DB" w:rsidRDefault="00F84B3A" w:rsidP="00F84B3A">
            <w:pPr>
              <w:jc w:val="center"/>
              <w:rPr>
                <w:rFonts w:ascii="Arial" w:hAnsi="Arial" w:cs="Arial"/>
                <w:sz w:val="20"/>
                <w:szCs w:val="20"/>
              </w:rPr>
            </w:pPr>
            <w:r w:rsidRPr="004030DB">
              <w:rPr>
                <w:rFonts w:ascii="Arial" w:hAnsi="Arial" w:cs="Arial"/>
                <w:sz w:val="20"/>
                <w:szCs w:val="20"/>
              </w:rPr>
              <w:t>Yes</w:t>
            </w:r>
          </w:p>
        </w:tc>
        <w:tc>
          <w:tcPr>
            <w:tcW w:w="2463" w:type="dxa"/>
            <w:tcBorders>
              <w:top w:val="single" w:sz="4" w:space="0" w:color="auto"/>
            </w:tcBorders>
          </w:tcPr>
          <w:p w14:paraId="39CB77E8" w14:textId="77777777" w:rsidR="00F84B3A" w:rsidRPr="004030DB" w:rsidRDefault="00F84B3A" w:rsidP="00186516">
            <w:pPr>
              <w:jc w:val="right"/>
              <w:rPr>
                <w:rFonts w:ascii="Arial" w:hAnsi="Arial" w:cs="Arial"/>
                <w:b/>
                <w:sz w:val="20"/>
                <w:szCs w:val="20"/>
              </w:rPr>
            </w:pPr>
            <w:r w:rsidRPr="004030DB">
              <w:rPr>
                <w:rFonts w:ascii="Arial" w:hAnsi="Arial" w:cs="Arial"/>
                <w:b/>
                <w:sz w:val="20"/>
                <w:szCs w:val="20"/>
              </w:rPr>
              <w:t>3 out of 4</w:t>
            </w:r>
          </w:p>
        </w:tc>
      </w:tr>
      <w:tr w:rsidR="00F84B3A" w:rsidRPr="004030DB" w14:paraId="5AD45066" w14:textId="77777777" w:rsidTr="00186516">
        <w:tc>
          <w:tcPr>
            <w:tcW w:w="3452" w:type="dxa"/>
          </w:tcPr>
          <w:p w14:paraId="6F057991" w14:textId="77777777" w:rsidR="00F84B3A" w:rsidRPr="004030DB" w:rsidRDefault="00F84B3A" w:rsidP="00186516">
            <w:pPr>
              <w:rPr>
                <w:rFonts w:ascii="Arial" w:hAnsi="Arial" w:cs="Arial"/>
                <w:sz w:val="20"/>
                <w:szCs w:val="20"/>
              </w:rPr>
            </w:pPr>
            <w:r w:rsidRPr="004030DB">
              <w:rPr>
                <w:rFonts w:ascii="Arial" w:hAnsi="Arial" w:cs="Arial"/>
                <w:sz w:val="20"/>
                <w:szCs w:val="20"/>
              </w:rPr>
              <w:t>Diana Hill</w:t>
            </w:r>
          </w:p>
        </w:tc>
        <w:tc>
          <w:tcPr>
            <w:tcW w:w="1073" w:type="dxa"/>
          </w:tcPr>
          <w:p w14:paraId="4015A5B0" w14:textId="77777777" w:rsidR="00F84B3A" w:rsidRPr="004030DB" w:rsidRDefault="00F84B3A" w:rsidP="00F84B3A">
            <w:pPr>
              <w:jc w:val="center"/>
              <w:rPr>
                <w:rFonts w:ascii="Arial" w:hAnsi="Arial" w:cs="Arial"/>
                <w:sz w:val="20"/>
                <w:szCs w:val="20"/>
              </w:rPr>
            </w:pPr>
            <w:r w:rsidRPr="004030DB">
              <w:rPr>
                <w:rFonts w:ascii="Arial" w:hAnsi="Arial" w:cs="Arial"/>
                <w:sz w:val="20"/>
                <w:szCs w:val="20"/>
              </w:rPr>
              <w:t>No</w:t>
            </w:r>
          </w:p>
        </w:tc>
        <w:tc>
          <w:tcPr>
            <w:tcW w:w="1073" w:type="dxa"/>
            <w:shd w:val="clear" w:color="auto" w:fill="000000" w:themeFill="text1"/>
          </w:tcPr>
          <w:p w14:paraId="19822E13" w14:textId="77777777" w:rsidR="00F84B3A" w:rsidRPr="004030DB" w:rsidRDefault="00F84B3A" w:rsidP="00F84B3A">
            <w:pPr>
              <w:jc w:val="center"/>
              <w:rPr>
                <w:rFonts w:ascii="Arial" w:hAnsi="Arial" w:cs="Arial"/>
                <w:sz w:val="20"/>
                <w:szCs w:val="20"/>
              </w:rPr>
            </w:pPr>
          </w:p>
        </w:tc>
        <w:tc>
          <w:tcPr>
            <w:tcW w:w="1073" w:type="dxa"/>
            <w:shd w:val="clear" w:color="auto" w:fill="000000" w:themeFill="text1"/>
          </w:tcPr>
          <w:p w14:paraId="322E6047" w14:textId="77777777" w:rsidR="00F84B3A" w:rsidRPr="004030DB" w:rsidRDefault="00F84B3A" w:rsidP="00F84B3A">
            <w:pPr>
              <w:jc w:val="center"/>
              <w:rPr>
                <w:rFonts w:ascii="Arial" w:hAnsi="Arial" w:cs="Arial"/>
                <w:sz w:val="20"/>
                <w:szCs w:val="20"/>
              </w:rPr>
            </w:pPr>
          </w:p>
        </w:tc>
        <w:tc>
          <w:tcPr>
            <w:tcW w:w="1073" w:type="dxa"/>
            <w:shd w:val="clear" w:color="auto" w:fill="000000" w:themeFill="text1"/>
          </w:tcPr>
          <w:p w14:paraId="3830414F" w14:textId="77777777" w:rsidR="00F84B3A" w:rsidRPr="004030DB" w:rsidRDefault="00F84B3A" w:rsidP="00F84B3A">
            <w:pPr>
              <w:jc w:val="center"/>
              <w:rPr>
                <w:rFonts w:ascii="Arial" w:hAnsi="Arial" w:cs="Arial"/>
                <w:sz w:val="20"/>
                <w:szCs w:val="20"/>
              </w:rPr>
            </w:pPr>
          </w:p>
        </w:tc>
        <w:tc>
          <w:tcPr>
            <w:tcW w:w="2463" w:type="dxa"/>
          </w:tcPr>
          <w:p w14:paraId="2E465269" w14:textId="77777777" w:rsidR="00F84B3A" w:rsidRPr="004030DB" w:rsidRDefault="00F84B3A" w:rsidP="00186516">
            <w:pPr>
              <w:jc w:val="right"/>
              <w:rPr>
                <w:rFonts w:ascii="Arial" w:hAnsi="Arial" w:cs="Arial"/>
                <w:b/>
                <w:sz w:val="20"/>
                <w:szCs w:val="20"/>
              </w:rPr>
            </w:pPr>
            <w:r w:rsidRPr="004030DB">
              <w:rPr>
                <w:rFonts w:ascii="Arial" w:hAnsi="Arial" w:cs="Arial"/>
                <w:b/>
                <w:sz w:val="20"/>
                <w:szCs w:val="20"/>
              </w:rPr>
              <w:t>0 out of 1</w:t>
            </w:r>
          </w:p>
        </w:tc>
      </w:tr>
      <w:tr w:rsidR="00F84B3A" w:rsidRPr="004030DB" w14:paraId="344410D1" w14:textId="77777777" w:rsidTr="00186516">
        <w:tc>
          <w:tcPr>
            <w:tcW w:w="3452" w:type="dxa"/>
          </w:tcPr>
          <w:p w14:paraId="1E1D331F" w14:textId="77777777" w:rsidR="00F84B3A" w:rsidRPr="004030DB" w:rsidRDefault="00F84B3A" w:rsidP="00186516">
            <w:pPr>
              <w:rPr>
                <w:rFonts w:ascii="Arial" w:hAnsi="Arial" w:cs="Arial"/>
                <w:sz w:val="20"/>
                <w:szCs w:val="20"/>
              </w:rPr>
            </w:pPr>
            <w:r w:rsidRPr="004030DB">
              <w:rPr>
                <w:rFonts w:ascii="Arial" w:hAnsi="Arial" w:cs="Arial"/>
                <w:sz w:val="20"/>
                <w:szCs w:val="20"/>
              </w:rPr>
              <w:t>Hari Aggarwal</w:t>
            </w:r>
          </w:p>
        </w:tc>
        <w:tc>
          <w:tcPr>
            <w:tcW w:w="1073" w:type="dxa"/>
          </w:tcPr>
          <w:p w14:paraId="613EEC79" w14:textId="77777777" w:rsidR="00F84B3A" w:rsidRPr="004030DB" w:rsidRDefault="00F84B3A" w:rsidP="00F84B3A">
            <w:pPr>
              <w:jc w:val="center"/>
              <w:rPr>
                <w:rFonts w:ascii="Arial" w:hAnsi="Arial" w:cs="Arial"/>
                <w:sz w:val="20"/>
                <w:szCs w:val="20"/>
              </w:rPr>
            </w:pPr>
            <w:r w:rsidRPr="004030DB">
              <w:rPr>
                <w:rFonts w:ascii="Arial" w:hAnsi="Arial" w:cs="Arial"/>
                <w:sz w:val="20"/>
                <w:szCs w:val="20"/>
              </w:rPr>
              <w:t>Yes</w:t>
            </w:r>
          </w:p>
        </w:tc>
        <w:tc>
          <w:tcPr>
            <w:tcW w:w="1073" w:type="dxa"/>
          </w:tcPr>
          <w:p w14:paraId="4602D159" w14:textId="77777777" w:rsidR="00F84B3A" w:rsidRPr="004030DB" w:rsidRDefault="00F84B3A" w:rsidP="00F84B3A">
            <w:pPr>
              <w:jc w:val="center"/>
              <w:rPr>
                <w:rFonts w:ascii="Arial" w:hAnsi="Arial" w:cs="Arial"/>
                <w:sz w:val="20"/>
                <w:szCs w:val="20"/>
              </w:rPr>
            </w:pPr>
            <w:r w:rsidRPr="004030DB">
              <w:rPr>
                <w:rFonts w:ascii="Arial" w:hAnsi="Arial" w:cs="Arial"/>
                <w:sz w:val="20"/>
                <w:szCs w:val="20"/>
              </w:rPr>
              <w:t>Yes</w:t>
            </w:r>
          </w:p>
        </w:tc>
        <w:tc>
          <w:tcPr>
            <w:tcW w:w="1073" w:type="dxa"/>
          </w:tcPr>
          <w:p w14:paraId="752612AE" w14:textId="77777777" w:rsidR="00F84B3A" w:rsidRPr="004030DB" w:rsidRDefault="00F84B3A" w:rsidP="00F84B3A">
            <w:pPr>
              <w:jc w:val="center"/>
              <w:rPr>
                <w:rFonts w:ascii="Arial" w:hAnsi="Arial" w:cs="Arial"/>
                <w:sz w:val="20"/>
                <w:szCs w:val="20"/>
              </w:rPr>
            </w:pPr>
            <w:r w:rsidRPr="004030DB">
              <w:rPr>
                <w:rFonts w:ascii="Arial" w:hAnsi="Arial" w:cs="Arial"/>
                <w:sz w:val="20"/>
                <w:szCs w:val="20"/>
              </w:rPr>
              <w:t>Yes</w:t>
            </w:r>
          </w:p>
        </w:tc>
        <w:tc>
          <w:tcPr>
            <w:tcW w:w="1073" w:type="dxa"/>
          </w:tcPr>
          <w:p w14:paraId="50A784C3" w14:textId="77777777" w:rsidR="00F84B3A" w:rsidRPr="004030DB" w:rsidRDefault="00F84B3A" w:rsidP="00F84B3A">
            <w:pPr>
              <w:jc w:val="center"/>
              <w:rPr>
                <w:rFonts w:ascii="Arial" w:hAnsi="Arial" w:cs="Arial"/>
                <w:sz w:val="20"/>
                <w:szCs w:val="20"/>
              </w:rPr>
            </w:pPr>
            <w:r w:rsidRPr="004030DB">
              <w:rPr>
                <w:rFonts w:ascii="Arial" w:hAnsi="Arial" w:cs="Arial"/>
                <w:sz w:val="20"/>
                <w:szCs w:val="20"/>
              </w:rPr>
              <w:t>Yes</w:t>
            </w:r>
          </w:p>
        </w:tc>
        <w:tc>
          <w:tcPr>
            <w:tcW w:w="2463" w:type="dxa"/>
          </w:tcPr>
          <w:p w14:paraId="459D07E1" w14:textId="77777777" w:rsidR="00F84B3A" w:rsidRPr="004030DB" w:rsidRDefault="00F84B3A" w:rsidP="00186516">
            <w:pPr>
              <w:jc w:val="right"/>
              <w:rPr>
                <w:rFonts w:ascii="Arial" w:hAnsi="Arial" w:cs="Arial"/>
                <w:b/>
                <w:sz w:val="20"/>
                <w:szCs w:val="20"/>
              </w:rPr>
            </w:pPr>
            <w:r w:rsidRPr="004030DB">
              <w:rPr>
                <w:rFonts w:ascii="Arial" w:hAnsi="Arial" w:cs="Arial"/>
                <w:b/>
                <w:sz w:val="20"/>
                <w:szCs w:val="20"/>
              </w:rPr>
              <w:t>4 out of 4</w:t>
            </w:r>
          </w:p>
        </w:tc>
      </w:tr>
      <w:tr w:rsidR="00F84B3A" w:rsidRPr="004030DB" w14:paraId="1DBB249F" w14:textId="77777777" w:rsidTr="00186516">
        <w:tc>
          <w:tcPr>
            <w:tcW w:w="3452" w:type="dxa"/>
          </w:tcPr>
          <w:p w14:paraId="3245DFBE" w14:textId="77777777" w:rsidR="00F84B3A" w:rsidRPr="004030DB" w:rsidRDefault="00F84B3A" w:rsidP="00186516">
            <w:pPr>
              <w:rPr>
                <w:rFonts w:ascii="Arial" w:hAnsi="Arial" w:cs="Arial"/>
                <w:sz w:val="20"/>
                <w:szCs w:val="20"/>
              </w:rPr>
            </w:pPr>
            <w:r w:rsidRPr="004030DB">
              <w:rPr>
                <w:rFonts w:ascii="Arial" w:hAnsi="Arial" w:cs="Arial"/>
                <w:sz w:val="20"/>
                <w:szCs w:val="20"/>
              </w:rPr>
              <w:t>Martina Rowe</w:t>
            </w:r>
          </w:p>
        </w:tc>
        <w:tc>
          <w:tcPr>
            <w:tcW w:w="1073" w:type="dxa"/>
          </w:tcPr>
          <w:p w14:paraId="3DA5503E" w14:textId="77777777" w:rsidR="00F84B3A" w:rsidRPr="004030DB" w:rsidRDefault="00F84B3A" w:rsidP="00F84B3A">
            <w:pPr>
              <w:jc w:val="center"/>
              <w:rPr>
                <w:rFonts w:ascii="Arial" w:hAnsi="Arial" w:cs="Arial"/>
                <w:sz w:val="20"/>
                <w:szCs w:val="20"/>
              </w:rPr>
            </w:pPr>
            <w:r w:rsidRPr="004030DB">
              <w:rPr>
                <w:rFonts w:ascii="Arial" w:hAnsi="Arial" w:cs="Arial"/>
                <w:sz w:val="20"/>
                <w:szCs w:val="20"/>
              </w:rPr>
              <w:t>Yes</w:t>
            </w:r>
          </w:p>
        </w:tc>
        <w:tc>
          <w:tcPr>
            <w:tcW w:w="1073" w:type="dxa"/>
          </w:tcPr>
          <w:p w14:paraId="0A043AA9" w14:textId="77777777" w:rsidR="00F84B3A" w:rsidRPr="004030DB" w:rsidRDefault="00F84B3A" w:rsidP="00F84B3A">
            <w:pPr>
              <w:jc w:val="center"/>
              <w:rPr>
                <w:rFonts w:ascii="Arial" w:hAnsi="Arial" w:cs="Arial"/>
                <w:sz w:val="20"/>
                <w:szCs w:val="20"/>
              </w:rPr>
            </w:pPr>
            <w:r w:rsidRPr="004030DB">
              <w:rPr>
                <w:rFonts w:ascii="Arial" w:hAnsi="Arial" w:cs="Arial"/>
                <w:sz w:val="20"/>
                <w:szCs w:val="20"/>
              </w:rPr>
              <w:t>No</w:t>
            </w:r>
          </w:p>
        </w:tc>
        <w:tc>
          <w:tcPr>
            <w:tcW w:w="1073" w:type="dxa"/>
          </w:tcPr>
          <w:p w14:paraId="5F4B1A98" w14:textId="77777777" w:rsidR="00F84B3A" w:rsidRPr="004030DB" w:rsidRDefault="00F84B3A" w:rsidP="00F84B3A">
            <w:pPr>
              <w:jc w:val="center"/>
              <w:rPr>
                <w:rFonts w:ascii="Arial" w:hAnsi="Arial" w:cs="Arial"/>
                <w:sz w:val="20"/>
                <w:szCs w:val="20"/>
              </w:rPr>
            </w:pPr>
            <w:r w:rsidRPr="004030DB">
              <w:rPr>
                <w:rFonts w:ascii="Arial" w:hAnsi="Arial" w:cs="Arial"/>
                <w:sz w:val="20"/>
                <w:szCs w:val="20"/>
              </w:rPr>
              <w:t>Yes</w:t>
            </w:r>
          </w:p>
        </w:tc>
        <w:tc>
          <w:tcPr>
            <w:tcW w:w="1073" w:type="dxa"/>
          </w:tcPr>
          <w:p w14:paraId="5F4811B5" w14:textId="77777777" w:rsidR="00F84B3A" w:rsidRPr="004030DB" w:rsidRDefault="00F84B3A" w:rsidP="00F84B3A">
            <w:pPr>
              <w:jc w:val="center"/>
              <w:rPr>
                <w:rFonts w:ascii="Arial" w:hAnsi="Arial" w:cs="Arial"/>
                <w:sz w:val="20"/>
                <w:szCs w:val="20"/>
              </w:rPr>
            </w:pPr>
            <w:r w:rsidRPr="004030DB">
              <w:rPr>
                <w:rFonts w:ascii="Arial" w:hAnsi="Arial" w:cs="Arial"/>
                <w:sz w:val="20"/>
                <w:szCs w:val="20"/>
              </w:rPr>
              <w:t>Yes</w:t>
            </w:r>
          </w:p>
        </w:tc>
        <w:tc>
          <w:tcPr>
            <w:tcW w:w="2463" w:type="dxa"/>
          </w:tcPr>
          <w:p w14:paraId="6ADC3A72" w14:textId="77777777" w:rsidR="00F84B3A" w:rsidRPr="004030DB" w:rsidRDefault="00F84B3A" w:rsidP="00186516">
            <w:pPr>
              <w:jc w:val="right"/>
              <w:rPr>
                <w:rFonts w:ascii="Arial" w:hAnsi="Arial" w:cs="Arial"/>
                <w:b/>
                <w:sz w:val="20"/>
                <w:szCs w:val="20"/>
              </w:rPr>
            </w:pPr>
            <w:r w:rsidRPr="004030DB">
              <w:rPr>
                <w:rFonts w:ascii="Arial" w:hAnsi="Arial" w:cs="Arial"/>
                <w:b/>
                <w:sz w:val="20"/>
                <w:szCs w:val="20"/>
              </w:rPr>
              <w:t>3 out of 4</w:t>
            </w:r>
          </w:p>
        </w:tc>
      </w:tr>
      <w:tr w:rsidR="00F84B3A" w:rsidRPr="004030DB" w14:paraId="6925EA98" w14:textId="77777777" w:rsidTr="00186516">
        <w:tc>
          <w:tcPr>
            <w:tcW w:w="3452" w:type="dxa"/>
          </w:tcPr>
          <w:p w14:paraId="2F78AF52" w14:textId="77777777" w:rsidR="00F84B3A" w:rsidRPr="004030DB" w:rsidRDefault="00F84B3A" w:rsidP="00186516">
            <w:pPr>
              <w:rPr>
                <w:rFonts w:ascii="Arial" w:hAnsi="Arial" w:cs="Arial"/>
                <w:sz w:val="20"/>
                <w:szCs w:val="20"/>
              </w:rPr>
            </w:pPr>
            <w:r w:rsidRPr="004030DB">
              <w:rPr>
                <w:rFonts w:ascii="Arial" w:hAnsi="Arial" w:cs="Arial"/>
                <w:sz w:val="20"/>
                <w:szCs w:val="20"/>
              </w:rPr>
              <w:t>Olaide Kazeem</w:t>
            </w:r>
          </w:p>
        </w:tc>
        <w:tc>
          <w:tcPr>
            <w:tcW w:w="1073" w:type="dxa"/>
          </w:tcPr>
          <w:p w14:paraId="43EAA22C" w14:textId="77777777" w:rsidR="00F84B3A" w:rsidRPr="004030DB" w:rsidRDefault="00F84B3A" w:rsidP="00F84B3A">
            <w:pPr>
              <w:jc w:val="center"/>
              <w:rPr>
                <w:rFonts w:ascii="Arial" w:hAnsi="Arial" w:cs="Arial"/>
                <w:sz w:val="20"/>
                <w:szCs w:val="20"/>
              </w:rPr>
            </w:pPr>
            <w:r w:rsidRPr="004030DB">
              <w:rPr>
                <w:rFonts w:ascii="Arial" w:hAnsi="Arial" w:cs="Arial"/>
                <w:sz w:val="20"/>
                <w:szCs w:val="20"/>
              </w:rPr>
              <w:t>No</w:t>
            </w:r>
          </w:p>
        </w:tc>
        <w:tc>
          <w:tcPr>
            <w:tcW w:w="1073" w:type="dxa"/>
            <w:shd w:val="clear" w:color="auto" w:fill="000000" w:themeFill="text1"/>
          </w:tcPr>
          <w:p w14:paraId="1B5C5378" w14:textId="77777777" w:rsidR="00F84B3A" w:rsidRPr="004030DB" w:rsidRDefault="00F84B3A" w:rsidP="00F84B3A">
            <w:pPr>
              <w:jc w:val="center"/>
              <w:rPr>
                <w:rFonts w:ascii="Arial" w:hAnsi="Arial" w:cs="Arial"/>
                <w:sz w:val="20"/>
                <w:szCs w:val="20"/>
              </w:rPr>
            </w:pPr>
          </w:p>
        </w:tc>
        <w:tc>
          <w:tcPr>
            <w:tcW w:w="1073" w:type="dxa"/>
            <w:shd w:val="clear" w:color="auto" w:fill="000000" w:themeFill="text1"/>
          </w:tcPr>
          <w:p w14:paraId="3FFAE222" w14:textId="77777777" w:rsidR="00F84B3A" w:rsidRPr="004030DB" w:rsidRDefault="00F84B3A" w:rsidP="00F84B3A">
            <w:pPr>
              <w:jc w:val="center"/>
              <w:rPr>
                <w:rFonts w:ascii="Arial" w:hAnsi="Arial" w:cs="Arial"/>
                <w:sz w:val="20"/>
                <w:szCs w:val="20"/>
              </w:rPr>
            </w:pPr>
          </w:p>
        </w:tc>
        <w:tc>
          <w:tcPr>
            <w:tcW w:w="1073" w:type="dxa"/>
            <w:shd w:val="clear" w:color="auto" w:fill="000000" w:themeFill="text1"/>
          </w:tcPr>
          <w:p w14:paraId="16C20D64" w14:textId="77777777" w:rsidR="00F84B3A" w:rsidRPr="004030DB" w:rsidRDefault="00F84B3A" w:rsidP="00F84B3A">
            <w:pPr>
              <w:jc w:val="center"/>
              <w:rPr>
                <w:rFonts w:ascii="Arial" w:hAnsi="Arial" w:cs="Arial"/>
                <w:sz w:val="20"/>
                <w:szCs w:val="20"/>
              </w:rPr>
            </w:pPr>
          </w:p>
        </w:tc>
        <w:tc>
          <w:tcPr>
            <w:tcW w:w="2463" w:type="dxa"/>
          </w:tcPr>
          <w:p w14:paraId="2D888368" w14:textId="77777777" w:rsidR="00F84B3A" w:rsidRPr="004030DB" w:rsidRDefault="00F84B3A" w:rsidP="00186516">
            <w:pPr>
              <w:jc w:val="right"/>
              <w:rPr>
                <w:rFonts w:ascii="Arial" w:hAnsi="Arial" w:cs="Arial"/>
                <w:sz w:val="20"/>
                <w:szCs w:val="20"/>
              </w:rPr>
            </w:pPr>
            <w:r w:rsidRPr="004030DB">
              <w:rPr>
                <w:rFonts w:ascii="Arial" w:hAnsi="Arial" w:cs="Arial"/>
                <w:b/>
                <w:sz w:val="20"/>
                <w:szCs w:val="20"/>
              </w:rPr>
              <w:t>0 out of 1</w:t>
            </w:r>
          </w:p>
        </w:tc>
      </w:tr>
      <w:tr w:rsidR="00F84B3A" w:rsidRPr="004030DB" w14:paraId="5A53FF93" w14:textId="77777777" w:rsidTr="00186516">
        <w:tc>
          <w:tcPr>
            <w:tcW w:w="3452" w:type="dxa"/>
            <w:tcBorders>
              <w:bottom w:val="single" w:sz="4" w:space="0" w:color="auto"/>
            </w:tcBorders>
          </w:tcPr>
          <w:p w14:paraId="6EA5C3CD" w14:textId="77777777" w:rsidR="00F84B3A" w:rsidRPr="004030DB" w:rsidRDefault="00F84B3A" w:rsidP="00186516">
            <w:pPr>
              <w:rPr>
                <w:rFonts w:ascii="Arial" w:hAnsi="Arial" w:cs="Arial"/>
                <w:sz w:val="20"/>
                <w:szCs w:val="20"/>
              </w:rPr>
            </w:pPr>
            <w:r w:rsidRPr="004030DB">
              <w:rPr>
                <w:rFonts w:ascii="Arial" w:hAnsi="Arial" w:cs="Arial"/>
                <w:sz w:val="20"/>
                <w:szCs w:val="20"/>
              </w:rPr>
              <w:t>Penny Reid</w:t>
            </w:r>
          </w:p>
        </w:tc>
        <w:tc>
          <w:tcPr>
            <w:tcW w:w="1073" w:type="dxa"/>
            <w:tcBorders>
              <w:bottom w:val="single" w:sz="4" w:space="0" w:color="auto"/>
            </w:tcBorders>
          </w:tcPr>
          <w:p w14:paraId="68556F9B" w14:textId="77777777" w:rsidR="00F84B3A" w:rsidRPr="004030DB" w:rsidRDefault="00F84B3A" w:rsidP="00F84B3A">
            <w:pPr>
              <w:jc w:val="center"/>
              <w:rPr>
                <w:rFonts w:ascii="Arial" w:hAnsi="Arial" w:cs="Arial"/>
                <w:sz w:val="20"/>
                <w:szCs w:val="20"/>
              </w:rPr>
            </w:pPr>
            <w:r w:rsidRPr="004030DB">
              <w:rPr>
                <w:rFonts w:ascii="Arial" w:hAnsi="Arial" w:cs="Arial"/>
                <w:sz w:val="20"/>
                <w:szCs w:val="20"/>
              </w:rPr>
              <w:t>No</w:t>
            </w:r>
          </w:p>
        </w:tc>
        <w:tc>
          <w:tcPr>
            <w:tcW w:w="1073" w:type="dxa"/>
            <w:tcBorders>
              <w:bottom w:val="single" w:sz="4" w:space="0" w:color="auto"/>
            </w:tcBorders>
            <w:shd w:val="clear" w:color="auto" w:fill="000000" w:themeFill="text1"/>
          </w:tcPr>
          <w:p w14:paraId="30A768F2" w14:textId="77777777" w:rsidR="00F84B3A" w:rsidRPr="004030DB" w:rsidRDefault="00F84B3A" w:rsidP="00F84B3A">
            <w:pPr>
              <w:jc w:val="center"/>
              <w:rPr>
                <w:rFonts w:ascii="Arial" w:hAnsi="Arial" w:cs="Arial"/>
                <w:sz w:val="20"/>
                <w:szCs w:val="20"/>
              </w:rPr>
            </w:pPr>
          </w:p>
        </w:tc>
        <w:tc>
          <w:tcPr>
            <w:tcW w:w="1073" w:type="dxa"/>
            <w:tcBorders>
              <w:bottom w:val="single" w:sz="4" w:space="0" w:color="auto"/>
            </w:tcBorders>
            <w:shd w:val="clear" w:color="auto" w:fill="000000" w:themeFill="text1"/>
          </w:tcPr>
          <w:p w14:paraId="2171EB60" w14:textId="77777777" w:rsidR="00F84B3A" w:rsidRPr="004030DB" w:rsidRDefault="00F84B3A" w:rsidP="00F84B3A">
            <w:pPr>
              <w:jc w:val="center"/>
              <w:rPr>
                <w:rFonts w:ascii="Arial" w:hAnsi="Arial" w:cs="Arial"/>
                <w:sz w:val="20"/>
                <w:szCs w:val="20"/>
              </w:rPr>
            </w:pPr>
          </w:p>
        </w:tc>
        <w:tc>
          <w:tcPr>
            <w:tcW w:w="1073" w:type="dxa"/>
            <w:tcBorders>
              <w:bottom w:val="single" w:sz="4" w:space="0" w:color="auto"/>
            </w:tcBorders>
            <w:shd w:val="clear" w:color="auto" w:fill="000000" w:themeFill="text1"/>
          </w:tcPr>
          <w:p w14:paraId="2A5F8516" w14:textId="77777777" w:rsidR="00F84B3A" w:rsidRPr="004030DB" w:rsidRDefault="00F84B3A" w:rsidP="00F84B3A">
            <w:pPr>
              <w:jc w:val="center"/>
              <w:rPr>
                <w:rFonts w:ascii="Arial" w:hAnsi="Arial" w:cs="Arial"/>
                <w:sz w:val="20"/>
                <w:szCs w:val="20"/>
              </w:rPr>
            </w:pPr>
          </w:p>
        </w:tc>
        <w:tc>
          <w:tcPr>
            <w:tcW w:w="2463" w:type="dxa"/>
            <w:tcBorders>
              <w:bottom w:val="single" w:sz="4" w:space="0" w:color="auto"/>
            </w:tcBorders>
          </w:tcPr>
          <w:p w14:paraId="2D817436" w14:textId="77777777" w:rsidR="00F84B3A" w:rsidRPr="004030DB" w:rsidRDefault="00F84B3A" w:rsidP="00186516">
            <w:pPr>
              <w:jc w:val="right"/>
              <w:rPr>
                <w:rFonts w:ascii="Arial" w:hAnsi="Arial" w:cs="Arial"/>
                <w:sz w:val="20"/>
                <w:szCs w:val="20"/>
              </w:rPr>
            </w:pPr>
            <w:r w:rsidRPr="004030DB">
              <w:rPr>
                <w:rFonts w:ascii="Arial" w:hAnsi="Arial" w:cs="Arial"/>
                <w:b/>
                <w:sz w:val="20"/>
                <w:szCs w:val="20"/>
              </w:rPr>
              <w:t>0 out of 1</w:t>
            </w:r>
          </w:p>
        </w:tc>
      </w:tr>
      <w:tr w:rsidR="00F84B3A" w:rsidRPr="004030DB" w14:paraId="0F13CD89" w14:textId="77777777" w:rsidTr="00186516">
        <w:tc>
          <w:tcPr>
            <w:tcW w:w="3452" w:type="dxa"/>
          </w:tcPr>
          <w:p w14:paraId="6380A0F0" w14:textId="77777777" w:rsidR="00F84B3A" w:rsidRPr="004030DB" w:rsidRDefault="00F84B3A" w:rsidP="00186516">
            <w:pPr>
              <w:rPr>
                <w:rFonts w:ascii="Arial" w:hAnsi="Arial" w:cs="Arial"/>
                <w:sz w:val="20"/>
                <w:szCs w:val="20"/>
              </w:rPr>
            </w:pPr>
            <w:r w:rsidRPr="004030DB">
              <w:rPr>
                <w:rFonts w:ascii="Arial" w:hAnsi="Arial" w:cs="Arial"/>
                <w:sz w:val="20"/>
                <w:szCs w:val="20"/>
              </w:rPr>
              <w:t>Timothy Newman</w:t>
            </w:r>
          </w:p>
        </w:tc>
        <w:tc>
          <w:tcPr>
            <w:tcW w:w="1073" w:type="dxa"/>
          </w:tcPr>
          <w:p w14:paraId="58AAFEAA" w14:textId="77777777" w:rsidR="00F84B3A" w:rsidRPr="004030DB" w:rsidRDefault="00F84B3A" w:rsidP="00F84B3A">
            <w:pPr>
              <w:jc w:val="center"/>
              <w:rPr>
                <w:rFonts w:ascii="Arial" w:hAnsi="Arial" w:cs="Arial"/>
                <w:sz w:val="20"/>
                <w:szCs w:val="20"/>
              </w:rPr>
            </w:pPr>
            <w:r w:rsidRPr="004030DB">
              <w:rPr>
                <w:rFonts w:ascii="Arial" w:hAnsi="Arial" w:cs="Arial"/>
                <w:sz w:val="20"/>
                <w:szCs w:val="20"/>
              </w:rPr>
              <w:t>Yes</w:t>
            </w:r>
          </w:p>
        </w:tc>
        <w:tc>
          <w:tcPr>
            <w:tcW w:w="1073" w:type="dxa"/>
            <w:shd w:val="clear" w:color="auto" w:fill="000000" w:themeFill="text1"/>
          </w:tcPr>
          <w:p w14:paraId="32F893AE" w14:textId="77777777" w:rsidR="00F84B3A" w:rsidRPr="004030DB" w:rsidRDefault="00F84B3A" w:rsidP="00F84B3A">
            <w:pPr>
              <w:jc w:val="center"/>
              <w:rPr>
                <w:rFonts w:ascii="Arial" w:hAnsi="Arial" w:cs="Arial"/>
                <w:sz w:val="20"/>
                <w:szCs w:val="20"/>
              </w:rPr>
            </w:pPr>
          </w:p>
        </w:tc>
        <w:tc>
          <w:tcPr>
            <w:tcW w:w="1073" w:type="dxa"/>
            <w:shd w:val="clear" w:color="auto" w:fill="000000" w:themeFill="text1"/>
          </w:tcPr>
          <w:p w14:paraId="05463E79" w14:textId="77777777" w:rsidR="00F84B3A" w:rsidRPr="004030DB" w:rsidRDefault="00F84B3A" w:rsidP="00F84B3A">
            <w:pPr>
              <w:jc w:val="center"/>
              <w:rPr>
                <w:rFonts w:ascii="Arial" w:hAnsi="Arial" w:cs="Arial"/>
                <w:sz w:val="20"/>
                <w:szCs w:val="20"/>
              </w:rPr>
            </w:pPr>
          </w:p>
        </w:tc>
        <w:tc>
          <w:tcPr>
            <w:tcW w:w="1073" w:type="dxa"/>
            <w:shd w:val="clear" w:color="auto" w:fill="000000" w:themeFill="text1"/>
          </w:tcPr>
          <w:p w14:paraId="72D76DA3" w14:textId="77777777" w:rsidR="00F84B3A" w:rsidRPr="004030DB" w:rsidRDefault="00F84B3A" w:rsidP="00F84B3A">
            <w:pPr>
              <w:jc w:val="center"/>
              <w:rPr>
                <w:rFonts w:ascii="Arial" w:hAnsi="Arial" w:cs="Arial"/>
                <w:sz w:val="20"/>
                <w:szCs w:val="20"/>
              </w:rPr>
            </w:pPr>
          </w:p>
        </w:tc>
        <w:tc>
          <w:tcPr>
            <w:tcW w:w="2463" w:type="dxa"/>
          </w:tcPr>
          <w:p w14:paraId="4D960392" w14:textId="77777777" w:rsidR="00F84B3A" w:rsidRPr="004030DB" w:rsidRDefault="00F84B3A" w:rsidP="00186516">
            <w:pPr>
              <w:jc w:val="right"/>
              <w:rPr>
                <w:rFonts w:ascii="Arial" w:hAnsi="Arial" w:cs="Arial"/>
                <w:b/>
                <w:sz w:val="20"/>
                <w:szCs w:val="20"/>
              </w:rPr>
            </w:pPr>
            <w:r w:rsidRPr="004030DB">
              <w:rPr>
                <w:rFonts w:ascii="Arial" w:hAnsi="Arial" w:cs="Arial"/>
                <w:b/>
                <w:sz w:val="20"/>
                <w:szCs w:val="20"/>
              </w:rPr>
              <w:t xml:space="preserve">1 out of 1 </w:t>
            </w:r>
          </w:p>
        </w:tc>
      </w:tr>
      <w:tr w:rsidR="00F84B3A" w:rsidRPr="004030DB" w14:paraId="2C47A653" w14:textId="77777777" w:rsidTr="00186516">
        <w:tc>
          <w:tcPr>
            <w:tcW w:w="3452" w:type="dxa"/>
          </w:tcPr>
          <w:p w14:paraId="05C0BDEA" w14:textId="77777777" w:rsidR="00F84B3A" w:rsidRPr="004030DB" w:rsidRDefault="00F84B3A" w:rsidP="00186516">
            <w:pPr>
              <w:rPr>
                <w:rFonts w:ascii="Arial" w:hAnsi="Arial" w:cs="Arial"/>
                <w:sz w:val="20"/>
                <w:szCs w:val="20"/>
              </w:rPr>
            </w:pPr>
            <w:r w:rsidRPr="004030DB">
              <w:rPr>
                <w:rFonts w:ascii="Arial" w:hAnsi="Arial" w:cs="Arial"/>
                <w:sz w:val="20"/>
                <w:szCs w:val="20"/>
              </w:rPr>
              <w:t>Anna Krzyzanowska</w:t>
            </w:r>
          </w:p>
        </w:tc>
        <w:tc>
          <w:tcPr>
            <w:tcW w:w="1073" w:type="dxa"/>
            <w:shd w:val="clear" w:color="auto" w:fill="000000" w:themeFill="text1"/>
          </w:tcPr>
          <w:p w14:paraId="4E4275E0" w14:textId="77777777" w:rsidR="00F84B3A" w:rsidRPr="004030DB" w:rsidRDefault="00F84B3A" w:rsidP="00F84B3A">
            <w:pPr>
              <w:jc w:val="center"/>
              <w:rPr>
                <w:rFonts w:ascii="Arial" w:hAnsi="Arial" w:cs="Arial"/>
                <w:sz w:val="20"/>
                <w:szCs w:val="20"/>
              </w:rPr>
            </w:pPr>
          </w:p>
        </w:tc>
        <w:tc>
          <w:tcPr>
            <w:tcW w:w="1073" w:type="dxa"/>
            <w:shd w:val="clear" w:color="auto" w:fill="FFFFFF" w:themeFill="background1"/>
          </w:tcPr>
          <w:p w14:paraId="66B0F13B" w14:textId="77777777" w:rsidR="00F84B3A" w:rsidRPr="004030DB" w:rsidRDefault="00F84B3A" w:rsidP="00F84B3A">
            <w:pPr>
              <w:jc w:val="center"/>
              <w:rPr>
                <w:rFonts w:ascii="Arial" w:hAnsi="Arial" w:cs="Arial"/>
                <w:sz w:val="20"/>
                <w:szCs w:val="20"/>
              </w:rPr>
            </w:pPr>
            <w:r w:rsidRPr="004030DB">
              <w:rPr>
                <w:rFonts w:ascii="Arial" w:hAnsi="Arial" w:cs="Arial"/>
                <w:sz w:val="20"/>
                <w:szCs w:val="20"/>
              </w:rPr>
              <w:t>Yes</w:t>
            </w:r>
          </w:p>
        </w:tc>
        <w:tc>
          <w:tcPr>
            <w:tcW w:w="1073" w:type="dxa"/>
            <w:shd w:val="clear" w:color="auto" w:fill="FFFFFF" w:themeFill="background1"/>
          </w:tcPr>
          <w:p w14:paraId="2D2362FD" w14:textId="77777777" w:rsidR="00F84B3A" w:rsidRPr="004030DB" w:rsidRDefault="00F84B3A" w:rsidP="00F84B3A">
            <w:pPr>
              <w:jc w:val="center"/>
              <w:rPr>
                <w:rFonts w:ascii="Arial" w:hAnsi="Arial" w:cs="Arial"/>
                <w:sz w:val="20"/>
                <w:szCs w:val="20"/>
              </w:rPr>
            </w:pPr>
            <w:r w:rsidRPr="004030DB">
              <w:rPr>
                <w:rFonts w:ascii="Arial" w:hAnsi="Arial" w:cs="Arial"/>
                <w:sz w:val="20"/>
                <w:szCs w:val="20"/>
              </w:rPr>
              <w:t>Yes</w:t>
            </w:r>
          </w:p>
        </w:tc>
        <w:tc>
          <w:tcPr>
            <w:tcW w:w="1073" w:type="dxa"/>
            <w:shd w:val="clear" w:color="auto" w:fill="FFFFFF" w:themeFill="background1"/>
          </w:tcPr>
          <w:p w14:paraId="419955BB" w14:textId="77777777" w:rsidR="00F84B3A" w:rsidRPr="004030DB" w:rsidRDefault="00F84B3A" w:rsidP="00F84B3A">
            <w:pPr>
              <w:jc w:val="center"/>
              <w:rPr>
                <w:rFonts w:ascii="Arial" w:hAnsi="Arial" w:cs="Arial"/>
                <w:sz w:val="20"/>
                <w:szCs w:val="20"/>
              </w:rPr>
            </w:pPr>
            <w:r w:rsidRPr="004030DB">
              <w:rPr>
                <w:rFonts w:ascii="Arial" w:hAnsi="Arial" w:cs="Arial"/>
                <w:sz w:val="20"/>
                <w:szCs w:val="20"/>
              </w:rPr>
              <w:t>No</w:t>
            </w:r>
          </w:p>
        </w:tc>
        <w:tc>
          <w:tcPr>
            <w:tcW w:w="2463" w:type="dxa"/>
          </w:tcPr>
          <w:p w14:paraId="327ACE43" w14:textId="77777777" w:rsidR="00F84B3A" w:rsidRPr="004030DB" w:rsidRDefault="00F84B3A" w:rsidP="00186516">
            <w:pPr>
              <w:jc w:val="right"/>
              <w:rPr>
                <w:rFonts w:ascii="Arial" w:hAnsi="Arial" w:cs="Arial"/>
                <w:b/>
                <w:sz w:val="20"/>
                <w:szCs w:val="20"/>
              </w:rPr>
            </w:pPr>
            <w:r w:rsidRPr="004030DB">
              <w:rPr>
                <w:rFonts w:ascii="Arial" w:hAnsi="Arial" w:cs="Arial"/>
                <w:b/>
                <w:sz w:val="20"/>
                <w:szCs w:val="20"/>
              </w:rPr>
              <w:t>2 out of 3</w:t>
            </w:r>
          </w:p>
        </w:tc>
      </w:tr>
      <w:tr w:rsidR="00F84B3A" w:rsidRPr="004030DB" w14:paraId="3C9C5836" w14:textId="77777777" w:rsidTr="00186516">
        <w:tc>
          <w:tcPr>
            <w:tcW w:w="3452" w:type="dxa"/>
          </w:tcPr>
          <w:p w14:paraId="53C48AA7" w14:textId="77777777" w:rsidR="00F84B3A" w:rsidRPr="004030DB" w:rsidRDefault="00F84B3A" w:rsidP="00186516">
            <w:pPr>
              <w:rPr>
                <w:rFonts w:ascii="Arial" w:hAnsi="Arial" w:cs="Arial"/>
                <w:sz w:val="20"/>
                <w:szCs w:val="20"/>
              </w:rPr>
            </w:pPr>
            <w:r w:rsidRPr="004030DB">
              <w:rPr>
                <w:rFonts w:ascii="Arial" w:hAnsi="Arial" w:cs="Arial"/>
                <w:sz w:val="20"/>
                <w:szCs w:val="20"/>
              </w:rPr>
              <w:t>Carol O’Meara</w:t>
            </w:r>
          </w:p>
        </w:tc>
        <w:tc>
          <w:tcPr>
            <w:tcW w:w="1073" w:type="dxa"/>
            <w:shd w:val="clear" w:color="auto" w:fill="000000" w:themeFill="text1"/>
          </w:tcPr>
          <w:p w14:paraId="360813F7" w14:textId="77777777" w:rsidR="00F84B3A" w:rsidRPr="004030DB" w:rsidRDefault="00F84B3A" w:rsidP="00F84B3A">
            <w:pPr>
              <w:jc w:val="center"/>
              <w:rPr>
                <w:rFonts w:ascii="Arial" w:hAnsi="Arial" w:cs="Arial"/>
                <w:sz w:val="20"/>
                <w:szCs w:val="20"/>
              </w:rPr>
            </w:pPr>
          </w:p>
        </w:tc>
        <w:tc>
          <w:tcPr>
            <w:tcW w:w="1073" w:type="dxa"/>
            <w:shd w:val="clear" w:color="auto" w:fill="FFFFFF" w:themeFill="background1"/>
          </w:tcPr>
          <w:p w14:paraId="6EF2C8C3" w14:textId="77777777" w:rsidR="00F84B3A" w:rsidRPr="004030DB" w:rsidRDefault="00F84B3A" w:rsidP="00F84B3A">
            <w:pPr>
              <w:jc w:val="center"/>
              <w:rPr>
                <w:rFonts w:ascii="Arial" w:hAnsi="Arial" w:cs="Arial"/>
                <w:sz w:val="20"/>
                <w:szCs w:val="20"/>
              </w:rPr>
            </w:pPr>
            <w:r w:rsidRPr="004030DB">
              <w:rPr>
                <w:rFonts w:ascii="Arial" w:hAnsi="Arial" w:cs="Arial"/>
                <w:sz w:val="20"/>
                <w:szCs w:val="20"/>
              </w:rPr>
              <w:t>Yes</w:t>
            </w:r>
          </w:p>
        </w:tc>
        <w:tc>
          <w:tcPr>
            <w:tcW w:w="1073" w:type="dxa"/>
            <w:shd w:val="clear" w:color="auto" w:fill="FFFFFF" w:themeFill="background1"/>
          </w:tcPr>
          <w:p w14:paraId="730CDF77" w14:textId="77777777" w:rsidR="00F84B3A" w:rsidRPr="004030DB" w:rsidRDefault="00F84B3A" w:rsidP="00F84B3A">
            <w:pPr>
              <w:jc w:val="center"/>
              <w:rPr>
                <w:rFonts w:ascii="Arial" w:hAnsi="Arial" w:cs="Arial"/>
                <w:sz w:val="20"/>
                <w:szCs w:val="20"/>
              </w:rPr>
            </w:pPr>
            <w:r w:rsidRPr="004030DB">
              <w:rPr>
                <w:rFonts w:ascii="Arial" w:hAnsi="Arial" w:cs="Arial"/>
                <w:sz w:val="20"/>
                <w:szCs w:val="20"/>
              </w:rPr>
              <w:t>Yes</w:t>
            </w:r>
          </w:p>
        </w:tc>
        <w:tc>
          <w:tcPr>
            <w:tcW w:w="1073" w:type="dxa"/>
            <w:shd w:val="clear" w:color="auto" w:fill="FFFFFF" w:themeFill="background1"/>
          </w:tcPr>
          <w:p w14:paraId="4FE5D788" w14:textId="77777777" w:rsidR="00F84B3A" w:rsidRPr="004030DB" w:rsidRDefault="00F84B3A" w:rsidP="00F84B3A">
            <w:pPr>
              <w:jc w:val="center"/>
              <w:rPr>
                <w:rFonts w:ascii="Arial" w:hAnsi="Arial" w:cs="Arial"/>
                <w:sz w:val="20"/>
                <w:szCs w:val="20"/>
              </w:rPr>
            </w:pPr>
            <w:r w:rsidRPr="004030DB">
              <w:rPr>
                <w:rFonts w:ascii="Arial" w:hAnsi="Arial" w:cs="Arial"/>
                <w:sz w:val="20"/>
                <w:szCs w:val="20"/>
              </w:rPr>
              <w:t>Yes</w:t>
            </w:r>
          </w:p>
        </w:tc>
        <w:tc>
          <w:tcPr>
            <w:tcW w:w="2463" w:type="dxa"/>
          </w:tcPr>
          <w:p w14:paraId="3F8A6DA0" w14:textId="77777777" w:rsidR="00F84B3A" w:rsidRPr="004030DB" w:rsidRDefault="00F84B3A" w:rsidP="00186516">
            <w:pPr>
              <w:jc w:val="right"/>
              <w:rPr>
                <w:rFonts w:ascii="Arial" w:hAnsi="Arial" w:cs="Arial"/>
                <w:b/>
                <w:sz w:val="20"/>
                <w:szCs w:val="20"/>
              </w:rPr>
            </w:pPr>
            <w:r w:rsidRPr="004030DB">
              <w:rPr>
                <w:rFonts w:ascii="Arial" w:hAnsi="Arial" w:cs="Arial"/>
                <w:b/>
                <w:sz w:val="20"/>
                <w:szCs w:val="20"/>
              </w:rPr>
              <w:t>3 out of 3</w:t>
            </w:r>
          </w:p>
        </w:tc>
      </w:tr>
      <w:tr w:rsidR="00F84B3A" w:rsidRPr="004030DB" w14:paraId="6AEF3AF7" w14:textId="77777777" w:rsidTr="00186516">
        <w:tc>
          <w:tcPr>
            <w:tcW w:w="3452" w:type="dxa"/>
          </w:tcPr>
          <w:p w14:paraId="54F0D53A" w14:textId="77777777" w:rsidR="00F84B3A" w:rsidRPr="004030DB" w:rsidRDefault="00F84B3A" w:rsidP="00186516">
            <w:pPr>
              <w:rPr>
                <w:rFonts w:ascii="Arial" w:hAnsi="Arial" w:cs="Arial"/>
                <w:sz w:val="20"/>
                <w:szCs w:val="20"/>
              </w:rPr>
            </w:pPr>
            <w:r w:rsidRPr="004030DB">
              <w:rPr>
                <w:rFonts w:ascii="Arial" w:hAnsi="Arial" w:cs="Arial"/>
                <w:sz w:val="20"/>
                <w:szCs w:val="20"/>
              </w:rPr>
              <w:t>Stephen Worth</w:t>
            </w:r>
          </w:p>
        </w:tc>
        <w:tc>
          <w:tcPr>
            <w:tcW w:w="1073" w:type="dxa"/>
            <w:shd w:val="clear" w:color="auto" w:fill="000000" w:themeFill="text1"/>
          </w:tcPr>
          <w:p w14:paraId="3630E218" w14:textId="77777777" w:rsidR="00F84B3A" w:rsidRPr="004030DB" w:rsidRDefault="00F84B3A" w:rsidP="00F84B3A">
            <w:pPr>
              <w:jc w:val="center"/>
              <w:rPr>
                <w:rFonts w:ascii="Arial" w:hAnsi="Arial" w:cs="Arial"/>
                <w:sz w:val="20"/>
                <w:szCs w:val="20"/>
              </w:rPr>
            </w:pPr>
          </w:p>
        </w:tc>
        <w:tc>
          <w:tcPr>
            <w:tcW w:w="1073" w:type="dxa"/>
            <w:shd w:val="clear" w:color="auto" w:fill="FFFFFF" w:themeFill="background1"/>
          </w:tcPr>
          <w:p w14:paraId="0C5E8C43" w14:textId="77777777" w:rsidR="00F84B3A" w:rsidRPr="004030DB" w:rsidRDefault="00F84B3A" w:rsidP="00F84B3A">
            <w:pPr>
              <w:jc w:val="center"/>
              <w:rPr>
                <w:rFonts w:ascii="Arial" w:hAnsi="Arial" w:cs="Arial"/>
                <w:sz w:val="20"/>
                <w:szCs w:val="20"/>
              </w:rPr>
            </w:pPr>
            <w:r w:rsidRPr="004030DB">
              <w:rPr>
                <w:rFonts w:ascii="Arial" w:hAnsi="Arial" w:cs="Arial"/>
                <w:sz w:val="20"/>
                <w:szCs w:val="20"/>
              </w:rPr>
              <w:t>Yes</w:t>
            </w:r>
          </w:p>
        </w:tc>
        <w:tc>
          <w:tcPr>
            <w:tcW w:w="1073" w:type="dxa"/>
            <w:shd w:val="clear" w:color="auto" w:fill="FFFFFF" w:themeFill="background1"/>
          </w:tcPr>
          <w:p w14:paraId="22379C24" w14:textId="77777777" w:rsidR="00F84B3A" w:rsidRPr="004030DB" w:rsidRDefault="00F84B3A" w:rsidP="00F84B3A">
            <w:pPr>
              <w:jc w:val="center"/>
              <w:rPr>
                <w:rFonts w:ascii="Arial" w:hAnsi="Arial" w:cs="Arial"/>
                <w:sz w:val="20"/>
                <w:szCs w:val="20"/>
              </w:rPr>
            </w:pPr>
            <w:r w:rsidRPr="004030DB">
              <w:rPr>
                <w:rFonts w:ascii="Arial" w:hAnsi="Arial" w:cs="Arial"/>
                <w:sz w:val="20"/>
                <w:szCs w:val="20"/>
              </w:rPr>
              <w:t>Yes</w:t>
            </w:r>
          </w:p>
        </w:tc>
        <w:tc>
          <w:tcPr>
            <w:tcW w:w="1073" w:type="dxa"/>
            <w:shd w:val="clear" w:color="auto" w:fill="FFFFFF" w:themeFill="background1"/>
          </w:tcPr>
          <w:p w14:paraId="4A6DD497" w14:textId="77777777" w:rsidR="00F84B3A" w:rsidRPr="004030DB" w:rsidRDefault="00F84B3A" w:rsidP="00F84B3A">
            <w:pPr>
              <w:jc w:val="center"/>
              <w:rPr>
                <w:rFonts w:ascii="Arial" w:hAnsi="Arial" w:cs="Arial"/>
                <w:sz w:val="20"/>
                <w:szCs w:val="20"/>
              </w:rPr>
            </w:pPr>
            <w:r w:rsidRPr="004030DB">
              <w:rPr>
                <w:rFonts w:ascii="Arial" w:hAnsi="Arial" w:cs="Arial"/>
                <w:sz w:val="20"/>
                <w:szCs w:val="20"/>
              </w:rPr>
              <w:t>Yes</w:t>
            </w:r>
          </w:p>
        </w:tc>
        <w:tc>
          <w:tcPr>
            <w:tcW w:w="2463" w:type="dxa"/>
          </w:tcPr>
          <w:p w14:paraId="72817194" w14:textId="77777777" w:rsidR="00F84B3A" w:rsidRPr="004030DB" w:rsidRDefault="00F84B3A" w:rsidP="00186516">
            <w:pPr>
              <w:jc w:val="right"/>
              <w:rPr>
                <w:rFonts w:ascii="Arial" w:hAnsi="Arial" w:cs="Arial"/>
                <w:b/>
                <w:sz w:val="20"/>
                <w:szCs w:val="20"/>
              </w:rPr>
            </w:pPr>
            <w:r w:rsidRPr="004030DB">
              <w:rPr>
                <w:rFonts w:ascii="Arial" w:hAnsi="Arial" w:cs="Arial"/>
                <w:b/>
                <w:sz w:val="20"/>
                <w:szCs w:val="20"/>
              </w:rPr>
              <w:t>3 out of 3</w:t>
            </w:r>
          </w:p>
        </w:tc>
      </w:tr>
      <w:tr w:rsidR="00F84B3A" w:rsidRPr="004030DB" w14:paraId="4D6B39F6" w14:textId="77777777" w:rsidTr="00186516">
        <w:tc>
          <w:tcPr>
            <w:tcW w:w="3452" w:type="dxa"/>
          </w:tcPr>
          <w:p w14:paraId="76B60DD6" w14:textId="77777777" w:rsidR="00F84B3A" w:rsidRPr="004030DB" w:rsidRDefault="00F84B3A" w:rsidP="00186516">
            <w:pPr>
              <w:rPr>
                <w:rFonts w:ascii="Arial" w:hAnsi="Arial" w:cs="Arial"/>
                <w:sz w:val="20"/>
                <w:szCs w:val="20"/>
              </w:rPr>
            </w:pPr>
            <w:r w:rsidRPr="004030DB">
              <w:rPr>
                <w:rFonts w:ascii="Arial" w:hAnsi="Arial" w:cs="Arial"/>
                <w:sz w:val="20"/>
                <w:szCs w:val="20"/>
              </w:rPr>
              <w:t>William Ruscoe</w:t>
            </w:r>
          </w:p>
        </w:tc>
        <w:tc>
          <w:tcPr>
            <w:tcW w:w="1073" w:type="dxa"/>
            <w:shd w:val="clear" w:color="auto" w:fill="000000" w:themeFill="text1"/>
          </w:tcPr>
          <w:p w14:paraId="413DD18A" w14:textId="77777777" w:rsidR="00F84B3A" w:rsidRPr="004030DB" w:rsidRDefault="00F84B3A" w:rsidP="00F84B3A">
            <w:pPr>
              <w:jc w:val="center"/>
              <w:rPr>
                <w:rFonts w:ascii="Arial" w:hAnsi="Arial" w:cs="Arial"/>
                <w:sz w:val="20"/>
                <w:szCs w:val="20"/>
              </w:rPr>
            </w:pPr>
          </w:p>
        </w:tc>
        <w:tc>
          <w:tcPr>
            <w:tcW w:w="1073" w:type="dxa"/>
            <w:shd w:val="clear" w:color="auto" w:fill="FFFFFF" w:themeFill="background1"/>
          </w:tcPr>
          <w:p w14:paraId="7B9C6C47" w14:textId="77777777" w:rsidR="00F84B3A" w:rsidRPr="004030DB" w:rsidRDefault="00F84B3A" w:rsidP="00F84B3A">
            <w:pPr>
              <w:jc w:val="center"/>
              <w:rPr>
                <w:rFonts w:ascii="Arial" w:hAnsi="Arial" w:cs="Arial"/>
                <w:sz w:val="20"/>
                <w:szCs w:val="20"/>
              </w:rPr>
            </w:pPr>
            <w:r w:rsidRPr="004030DB">
              <w:rPr>
                <w:rFonts w:ascii="Arial" w:hAnsi="Arial" w:cs="Arial"/>
                <w:sz w:val="20"/>
                <w:szCs w:val="20"/>
              </w:rPr>
              <w:t>Yes</w:t>
            </w:r>
          </w:p>
        </w:tc>
        <w:tc>
          <w:tcPr>
            <w:tcW w:w="1073" w:type="dxa"/>
            <w:shd w:val="clear" w:color="auto" w:fill="FFFFFF" w:themeFill="background1"/>
          </w:tcPr>
          <w:p w14:paraId="3AF2D522" w14:textId="77777777" w:rsidR="00F84B3A" w:rsidRPr="004030DB" w:rsidRDefault="00F84B3A" w:rsidP="00F84B3A">
            <w:pPr>
              <w:jc w:val="center"/>
              <w:rPr>
                <w:rFonts w:ascii="Arial" w:hAnsi="Arial" w:cs="Arial"/>
                <w:sz w:val="20"/>
                <w:szCs w:val="20"/>
              </w:rPr>
            </w:pPr>
            <w:r w:rsidRPr="004030DB">
              <w:rPr>
                <w:rFonts w:ascii="Arial" w:hAnsi="Arial" w:cs="Arial"/>
                <w:sz w:val="20"/>
                <w:szCs w:val="20"/>
              </w:rPr>
              <w:t>Yes</w:t>
            </w:r>
          </w:p>
        </w:tc>
        <w:tc>
          <w:tcPr>
            <w:tcW w:w="1073" w:type="dxa"/>
            <w:shd w:val="clear" w:color="auto" w:fill="FFFFFF" w:themeFill="background1"/>
          </w:tcPr>
          <w:p w14:paraId="10E73E37" w14:textId="77777777" w:rsidR="00F84B3A" w:rsidRPr="004030DB" w:rsidRDefault="00F84B3A" w:rsidP="00F84B3A">
            <w:pPr>
              <w:jc w:val="center"/>
              <w:rPr>
                <w:rFonts w:ascii="Arial" w:hAnsi="Arial" w:cs="Arial"/>
                <w:sz w:val="20"/>
                <w:szCs w:val="20"/>
              </w:rPr>
            </w:pPr>
            <w:r w:rsidRPr="004030DB">
              <w:rPr>
                <w:rFonts w:ascii="Arial" w:hAnsi="Arial" w:cs="Arial"/>
                <w:sz w:val="20"/>
                <w:szCs w:val="20"/>
              </w:rPr>
              <w:t>Yes</w:t>
            </w:r>
          </w:p>
        </w:tc>
        <w:tc>
          <w:tcPr>
            <w:tcW w:w="2463" w:type="dxa"/>
          </w:tcPr>
          <w:p w14:paraId="124A74B0" w14:textId="77777777" w:rsidR="00F84B3A" w:rsidRPr="004030DB" w:rsidRDefault="00F84B3A" w:rsidP="00186516">
            <w:pPr>
              <w:jc w:val="right"/>
              <w:rPr>
                <w:rFonts w:ascii="Arial" w:hAnsi="Arial" w:cs="Arial"/>
                <w:b/>
                <w:sz w:val="20"/>
                <w:szCs w:val="20"/>
              </w:rPr>
            </w:pPr>
            <w:r w:rsidRPr="004030DB">
              <w:rPr>
                <w:rFonts w:ascii="Arial" w:hAnsi="Arial" w:cs="Arial"/>
                <w:b/>
                <w:sz w:val="20"/>
                <w:szCs w:val="20"/>
              </w:rPr>
              <w:t>3 out of 3</w:t>
            </w:r>
          </w:p>
        </w:tc>
      </w:tr>
      <w:tr w:rsidR="00F84B3A" w:rsidRPr="004030DB" w14:paraId="70EA668F" w14:textId="77777777" w:rsidTr="00186516">
        <w:tc>
          <w:tcPr>
            <w:tcW w:w="3452" w:type="dxa"/>
          </w:tcPr>
          <w:p w14:paraId="259B6AC9" w14:textId="77777777" w:rsidR="00F84B3A" w:rsidRPr="004030DB" w:rsidRDefault="00F84B3A" w:rsidP="00186516">
            <w:pPr>
              <w:rPr>
                <w:rFonts w:ascii="Arial" w:hAnsi="Arial" w:cs="Arial"/>
                <w:sz w:val="20"/>
                <w:szCs w:val="20"/>
              </w:rPr>
            </w:pPr>
            <w:r w:rsidRPr="004030DB">
              <w:rPr>
                <w:rFonts w:ascii="Arial" w:hAnsi="Arial" w:cs="Arial"/>
                <w:sz w:val="20"/>
                <w:szCs w:val="20"/>
              </w:rPr>
              <w:t>Christine Palmer</w:t>
            </w:r>
          </w:p>
        </w:tc>
        <w:tc>
          <w:tcPr>
            <w:tcW w:w="1073" w:type="dxa"/>
            <w:shd w:val="clear" w:color="auto" w:fill="000000" w:themeFill="text1"/>
          </w:tcPr>
          <w:p w14:paraId="565C6162" w14:textId="77777777" w:rsidR="00F84B3A" w:rsidRPr="004030DB" w:rsidRDefault="00F84B3A" w:rsidP="00F84B3A">
            <w:pPr>
              <w:jc w:val="center"/>
              <w:rPr>
                <w:rFonts w:ascii="Arial" w:hAnsi="Arial" w:cs="Arial"/>
                <w:sz w:val="20"/>
                <w:szCs w:val="20"/>
              </w:rPr>
            </w:pPr>
          </w:p>
        </w:tc>
        <w:tc>
          <w:tcPr>
            <w:tcW w:w="1073" w:type="dxa"/>
            <w:shd w:val="clear" w:color="auto" w:fill="FFFFFF" w:themeFill="background1"/>
          </w:tcPr>
          <w:p w14:paraId="3110C791" w14:textId="77777777" w:rsidR="00F84B3A" w:rsidRPr="004030DB" w:rsidRDefault="00F84B3A" w:rsidP="00F84B3A">
            <w:pPr>
              <w:jc w:val="center"/>
              <w:rPr>
                <w:rFonts w:ascii="Arial" w:hAnsi="Arial" w:cs="Arial"/>
                <w:sz w:val="20"/>
                <w:szCs w:val="20"/>
              </w:rPr>
            </w:pPr>
            <w:r w:rsidRPr="004030DB">
              <w:rPr>
                <w:rFonts w:ascii="Arial" w:hAnsi="Arial" w:cs="Arial"/>
                <w:sz w:val="20"/>
                <w:szCs w:val="20"/>
              </w:rPr>
              <w:t>No</w:t>
            </w:r>
          </w:p>
        </w:tc>
        <w:tc>
          <w:tcPr>
            <w:tcW w:w="1073" w:type="dxa"/>
            <w:shd w:val="clear" w:color="auto" w:fill="FFFFFF" w:themeFill="background1"/>
          </w:tcPr>
          <w:p w14:paraId="6BC4CCC8" w14:textId="77777777" w:rsidR="00F84B3A" w:rsidRPr="004030DB" w:rsidRDefault="00F84B3A" w:rsidP="00F84B3A">
            <w:pPr>
              <w:jc w:val="center"/>
              <w:rPr>
                <w:rFonts w:ascii="Arial" w:hAnsi="Arial" w:cs="Arial"/>
                <w:sz w:val="20"/>
                <w:szCs w:val="20"/>
              </w:rPr>
            </w:pPr>
            <w:r w:rsidRPr="004030DB">
              <w:rPr>
                <w:rFonts w:ascii="Arial" w:hAnsi="Arial" w:cs="Arial"/>
                <w:sz w:val="20"/>
                <w:szCs w:val="20"/>
              </w:rPr>
              <w:t>Yes</w:t>
            </w:r>
          </w:p>
        </w:tc>
        <w:tc>
          <w:tcPr>
            <w:tcW w:w="1073" w:type="dxa"/>
            <w:shd w:val="clear" w:color="auto" w:fill="FFFFFF" w:themeFill="background1"/>
          </w:tcPr>
          <w:p w14:paraId="77F0FCF4" w14:textId="77777777" w:rsidR="00F84B3A" w:rsidRPr="004030DB" w:rsidRDefault="00186516" w:rsidP="00F84B3A">
            <w:pPr>
              <w:jc w:val="center"/>
              <w:rPr>
                <w:rFonts w:ascii="Arial" w:hAnsi="Arial" w:cs="Arial"/>
                <w:sz w:val="20"/>
                <w:szCs w:val="20"/>
              </w:rPr>
            </w:pPr>
            <w:r w:rsidRPr="004030DB">
              <w:rPr>
                <w:rFonts w:ascii="Arial" w:hAnsi="Arial" w:cs="Arial"/>
                <w:sz w:val="20"/>
                <w:szCs w:val="20"/>
              </w:rPr>
              <w:t>No</w:t>
            </w:r>
          </w:p>
        </w:tc>
        <w:tc>
          <w:tcPr>
            <w:tcW w:w="2463" w:type="dxa"/>
          </w:tcPr>
          <w:p w14:paraId="732516D9" w14:textId="77777777" w:rsidR="00F84B3A" w:rsidRPr="004030DB" w:rsidRDefault="00F84B3A" w:rsidP="00186516">
            <w:pPr>
              <w:jc w:val="right"/>
              <w:rPr>
                <w:rFonts w:ascii="Arial" w:hAnsi="Arial" w:cs="Arial"/>
                <w:b/>
                <w:sz w:val="20"/>
                <w:szCs w:val="20"/>
              </w:rPr>
            </w:pPr>
            <w:r w:rsidRPr="004030DB">
              <w:rPr>
                <w:rFonts w:ascii="Arial" w:hAnsi="Arial" w:cs="Arial"/>
                <w:b/>
                <w:sz w:val="20"/>
                <w:szCs w:val="20"/>
              </w:rPr>
              <w:t>1 out of 3</w:t>
            </w:r>
          </w:p>
        </w:tc>
      </w:tr>
      <w:tr w:rsidR="00F84B3A" w:rsidRPr="004030DB" w14:paraId="4FF3F6DF" w14:textId="77777777" w:rsidTr="00186516">
        <w:tc>
          <w:tcPr>
            <w:tcW w:w="3452" w:type="dxa"/>
          </w:tcPr>
          <w:p w14:paraId="6B6D7328" w14:textId="77777777" w:rsidR="00F84B3A" w:rsidRPr="004030DB" w:rsidRDefault="00F84B3A" w:rsidP="00186516">
            <w:pPr>
              <w:rPr>
                <w:rFonts w:ascii="Arial" w:hAnsi="Arial" w:cs="Arial"/>
                <w:sz w:val="20"/>
                <w:szCs w:val="20"/>
              </w:rPr>
            </w:pPr>
            <w:r w:rsidRPr="004030DB">
              <w:rPr>
                <w:rFonts w:ascii="Arial" w:hAnsi="Arial" w:cs="Arial"/>
                <w:sz w:val="20"/>
                <w:szCs w:val="20"/>
              </w:rPr>
              <w:t xml:space="preserve">Natasha Turner </w:t>
            </w:r>
          </w:p>
        </w:tc>
        <w:tc>
          <w:tcPr>
            <w:tcW w:w="1073" w:type="dxa"/>
            <w:shd w:val="clear" w:color="auto" w:fill="000000" w:themeFill="text1"/>
          </w:tcPr>
          <w:p w14:paraId="60E7C56F" w14:textId="77777777" w:rsidR="00F84B3A" w:rsidRPr="004030DB" w:rsidRDefault="00F84B3A" w:rsidP="00F84B3A">
            <w:pPr>
              <w:jc w:val="center"/>
              <w:rPr>
                <w:rFonts w:ascii="Arial" w:hAnsi="Arial" w:cs="Arial"/>
                <w:sz w:val="20"/>
                <w:szCs w:val="20"/>
              </w:rPr>
            </w:pPr>
          </w:p>
        </w:tc>
        <w:tc>
          <w:tcPr>
            <w:tcW w:w="1073" w:type="dxa"/>
            <w:shd w:val="clear" w:color="auto" w:fill="FFFFFF" w:themeFill="background1"/>
          </w:tcPr>
          <w:p w14:paraId="368E0F90" w14:textId="77777777" w:rsidR="00F84B3A" w:rsidRPr="004030DB" w:rsidRDefault="00F84B3A" w:rsidP="00F84B3A">
            <w:pPr>
              <w:jc w:val="center"/>
              <w:rPr>
                <w:rFonts w:ascii="Arial" w:hAnsi="Arial" w:cs="Arial"/>
                <w:sz w:val="20"/>
                <w:szCs w:val="20"/>
              </w:rPr>
            </w:pPr>
            <w:r w:rsidRPr="004030DB">
              <w:rPr>
                <w:rFonts w:ascii="Arial" w:hAnsi="Arial" w:cs="Arial"/>
                <w:sz w:val="20"/>
                <w:szCs w:val="20"/>
              </w:rPr>
              <w:t>No</w:t>
            </w:r>
          </w:p>
        </w:tc>
        <w:tc>
          <w:tcPr>
            <w:tcW w:w="1073" w:type="dxa"/>
            <w:shd w:val="clear" w:color="auto" w:fill="FFFFFF" w:themeFill="background1"/>
          </w:tcPr>
          <w:p w14:paraId="02F7D1CC" w14:textId="77777777" w:rsidR="00F84B3A" w:rsidRPr="004030DB" w:rsidRDefault="00F84B3A" w:rsidP="00F84B3A">
            <w:pPr>
              <w:jc w:val="center"/>
              <w:rPr>
                <w:rFonts w:ascii="Arial" w:hAnsi="Arial" w:cs="Arial"/>
                <w:sz w:val="20"/>
                <w:szCs w:val="20"/>
              </w:rPr>
            </w:pPr>
            <w:r w:rsidRPr="004030DB">
              <w:rPr>
                <w:rFonts w:ascii="Arial" w:hAnsi="Arial" w:cs="Arial"/>
                <w:sz w:val="20"/>
                <w:szCs w:val="20"/>
              </w:rPr>
              <w:t>Yes</w:t>
            </w:r>
          </w:p>
        </w:tc>
        <w:tc>
          <w:tcPr>
            <w:tcW w:w="1073" w:type="dxa"/>
            <w:shd w:val="clear" w:color="auto" w:fill="FFFFFF" w:themeFill="background1"/>
          </w:tcPr>
          <w:p w14:paraId="78382159" w14:textId="77777777" w:rsidR="00F84B3A" w:rsidRPr="004030DB" w:rsidRDefault="00186516" w:rsidP="00F84B3A">
            <w:pPr>
              <w:jc w:val="center"/>
              <w:rPr>
                <w:rFonts w:ascii="Arial" w:hAnsi="Arial" w:cs="Arial"/>
                <w:sz w:val="20"/>
                <w:szCs w:val="20"/>
              </w:rPr>
            </w:pPr>
            <w:r w:rsidRPr="004030DB">
              <w:rPr>
                <w:rFonts w:ascii="Arial" w:hAnsi="Arial" w:cs="Arial"/>
                <w:sz w:val="20"/>
                <w:szCs w:val="20"/>
              </w:rPr>
              <w:t xml:space="preserve">No </w:t>
            </w:r>
          </w:p>
        </w:tc>
        <w:tc>
          <w:tcPr>
            <w:tcW w:w="2463" w:type="dxa"/>
          </w:tcPr>
          <w:p w14:paraId="1C6453EA" w14:textId="77777777" w:rsidR="00F84B3A" w:rsidRPr="004030DB" w:rsidRDefault="00F84B3A" w:rsidP="00186516">
            <w:pPr>
              <w:jc w:val="right"/>
              <w:rPr>
                <w:rFonts w:ascii="Arial" w:hAnsi="Arial" w:cs="Arial"/>
                <w:b/>
                <w:sz w:val="20"/>
                <w:szCs w:val="20"/>
              </w:rPr>
            </w:pPr>
            <w:r w:rsidRPr="004030DB">
              <w:rPr>
                <w:rFonts w:ascii="Arial" w:hAnsi="Arial" w:cs="Arial"/>
                <w:b/>
                <w:sz w:val="20"/>
                <w:szCs w:val="20"/>
              </w:rPr>
              <w:t>1 out of 3</w:t>
            </w:r>
          </w:p>
        </w:tc>
      </w:tr>
      <w:tr w:rsidR="00F84B3A" w:rsidRPr="004030DB" w14:paraId="59EC6EE3" w14:textId="77777777" w:rsidTr="00186516">
        <w:tc>
          <w:tcPr>
            <w:tcW w:w="3452" w:type="dxa"/>
          </w:tcPr>
          <w:p w14:paraId="5D52B20F" w14:textId="77777777" w:rsidR="00F84B3A" w:rsidRPr="004030DB" w:rsidRDefault="00F84B3A" w:rsidP="00186516">
            <w:pPr>
              <w:rPr>
                <w:rFonts w:ascii="Arial" w:hAnsi="Arial" w:cs="Arial"/>
                <w:sz w:val="20"/>
                <w:szCs w:val="20"/>
              </w:rPr>
            </w:pPr>
            <w:r w:rsidRPr="004030DB">
              <w:rPr>
                <w:rFonts w:ascii="Arial" w:hAnsi="Arial" w:cs="Arial"/>
                <w:sz w:val="20"/>
                <w:szCs w:val="20"/>
              </w:rPr>
              <w:t xml:space="preserve">Candice Penfold </w:t>
            </w:r>
            <w:r w:rsidRPr="004030DB">
              <w:rPr>
                <w:rFonts w:ascii="Arial" w:hAnsi="Arial" w:cs="Arial"/>
                <w:i/>
                <w:sz w:val="20"/>
                <w:szCs w:val="20"/>
              </w:rPr>
              <w:t>(resigned)</w:t>
            </w:r>
          </w:p>
        </w:tc>
        <w:tc>
          <w:tcPr>
            <w:tcW w:w="1073" w:type="dxa"/>
            <w:shd w:val="clear" w:color="auto" w:fill="000000" w:themeFill="text1"/>
          </w:tcPr>
          <w:p w14:paraId="4885DC9D" w14:textId="77777777" w:rsidR="00F84B3A" w:rsidRPr="004030DB" w:rsidRDefault="00F84B3A" w:rsidP="00F84B3A">
            <w:pPr>
              <w:jc w:val="center"/>
              <w:rPr>
                <w:rFonts w:ascii="Arial" w:hAnsi="Arial" w:cs="Arial"/>
                <w:sz w:val="20"/>
                <w:szCs w:val="20"/>
              </w:rPr>
            </w:pPr>
          </w:p>
        </w:tc>
        <w:tc>
          <w:tcPr>
            <w:tcW w:w="1073" w:type="dxa"/>
            <w:shd w:val="clear" w:color="auto" w:fill="FFFFFF" w:themeFill="background1"/>
          </w:tcPr>
          <w:p w14:paraId="526D53D7" w14:textId="77777777" w:rsidR="00F84B3A" w:rsidRPr="004030DB" w:rsidRDefault="00186516" w:rsidP="00F84B3A">
            <w:pPr>
              <w:jc w:val="center"/>
              <w:rPr>
                <w:rFonts w:ascii="Arial" w:hAnsi="Arial" w:cs="Arial"/>
                <w:sz w:val="20"/>
                <w:szCs w:val="20"/>
              </w:rPr>
            </w:pPr>
            <w:r w:rsidRPr="004030DB">
              <w:rPr>
                <w:rFonts w:ascii="Arial" w:hAnsi="Arial" w:cs="Arial"/>
                <w:sz w:val="20"/>
                <w:szCs w:val="20"/>
              </w:rPr>
              <w:t xml:space="preserve">No </w:t>
            </w:r>
          </w:p>
        </w:tc>
        <w:tc>
          <w:tcPr>
            <w:tcW w:w="1073" w:type="dxa"/>
            <w:shd w:val="clear" w:color="auto" w:fill="FFFFFF" w:themeFill="background1"/>
          </w:tcPr>
          <w:p w14:paraId="47365305" w14:textId="77777777" w:rsidR="00F84B3A" w:rsidRPr="004030DB" w:rsidRDefault="00186516" w:rsidP="00F84B3A">
            <w:pPr>
              <w:jc w:val="center"/>
              <w:rPr>
                <w:rFonts w:ascii="Arial" w:hAnsi="Arial" w:cs="Arial"/>
                <w:sz w:val="20"/>
                <w:szCs w:val="20"/>
              </w:rPr>
            </w:pPr>
            <w:r w:rsidRPr="004030DB">
              <w:rPr>
                <w:rFonts w:ascii="Arial" w:hAnsi="Arial" w:cs="Arial"/>
                <w:sz w:val="20"/>
                <w:szCs w:val="20"/>
              </w:rPr>
              <w:t xml:space="preserve">No </w:t>
            </w:r>
          </w:p>
        </w:tc>
        <w:tc>
          <w:tcPr>
            <w:tcW w:w="1073" w:type="dxa"/>
            <w:shd w:val="clear" w:color="auto" w:fill="FFFFFF" w:themeFill="background1"/>
          </w:tcPr>
          <w:p w14:paraId="0A1BC096" w14:textId="77777777" w:rsidR="00F84B3A" w:rsidRPr="004030DB" w:rsidRDefault="00186516" w:rsidP="00F84B3A">
            <w:pPr>
              <w:jc w:val="center"/>
              <w:rPr>
                <w:rFonts w:ascii="Arial" w:hAnsi="Arial" w:cs="Arial"/>
                <w:sz w:val="20"/>
                <w:szCs w:val="20"/>
              </w:rPr>
            </w:pPr>
            <w:r w:rsidRPr="004030DB">
              <w:rPr>
                <w:rFonts w:ascii="Arial" w:hAnsi="Arial" w:cs="Arial"/>
                <w:sz w:val="20"/>
                <w:szCs w:val="20"/>
              </w:rPr>
              <w:t>No</w:t>
            </w:r>
          </w:p>
        </w:tc>
        <w:tc>
          <w:tcPr>
            <w:tcW w:w="2463" w:type="dxa"/>
          </w:tcPr>
          <w:p w14:paraId="65B7DED5" w14:textId="77777777" w:rsidR="00F84B3A" w:rsidRPr="004030DB" w:rsidRDefault="00F84B3A" w:rsidP="00186516">
            <w:pPr>
              <w:jc w:val="right"/>
              <w:rPr>
                <w:rFonts w:ascii="Arial" w:hAnsi="Arial" w:cs="Arial"/>
                <w:b/>
                <w:color w:val="FF0000"/>
                <w:sz w:val="20"/>
                <w:szCs w:val="20"/>
              </w:rPr>
            </w:pPr>
            <w:r w:rsidRPr="00C440BD">
              <w:rPr>
                <w:rFonts w:ascii="Arial" w:hAnsi="Arial" w:cs="Arial"/>
                <w:b/>
                <w:color w:val="EE0000"/>
                <w:sz w:val="20"/>
                <w:szCs w:val="20"/>
              </w:rPr>
              <w:t>No Attendance</w:t>
            </w:r>
          </w:p>
        </w:tc>
      </w:tr>
      <w:tr w:rsidR="00F84B3A" w:rsidRPr="004030DB" w14:paraId="216B5A3C" w14:textId="77777777" w:rsidTr="00186516">
        <w:tc>
          <w:tcPr>
            <w:tcW w:w="3452" w:type="dxa"/>
            <w:tcBorders>
              <w:top w:val="single" w:sz="4" w:space="0" w:color="auto"/>
              <w:left w:val="single" w:sz="4" w:space="0" w:color="auto"/>
              <w:bottom w:val="single" w:sz="4" w:space="0" w:color="auto"/>
              <w:right w:val="nil"/>
            </w:tcBorders>
          </w:tcPr>
          <w:p w14:paraId="5E66EEAD" w14:textId="77777777" w:rsidR="00F84B3A" w:rsidRPr="004030DB" w:rsidRDefault="00F84B3A" w:rsidP="00186516">
            <w:pPr>
              <w:rPr>
                <w:rFonts w:ascii="Arial" w:hAnsi="Arial" w:cs="Arial"/>
                <w:b/>
                <w:sz w:val="20"/>
                <w:szCs w:val="20"/>
              </w:rPr>
            </w:pPr>
            <w:r w:rsidRPr="004030DB">
              <w:rPr>
                <w:rFonts w:ascii="Arial" w:hAnsi="Arial" w:cs="Arial"/>
                <w:b/>
                <w:sz w:val="20"/>
                <w:szCs w:val="20"/>
              </w:rPr>
              <w:t>Swale Governors</w:t>
            </w:r>
          </w:p>
        </w:tc>
        <w:tc>
          <w:tcPr>
            <w:tcW w:w="1073" w:type="dxa"/>
            <w:tcBorders>
              <w:top w:val="single" w:sz="4" w:space="0" w:color="auto"/>
              <w:left w:val="nil"/>
              <w:bottom w:val="single" w:sz="4" w:space="0" w:color="auto"/>
              <w:right w:val="nil"/>
            </w:tcBorders>
          </w:tcPr>
          <w:p w14:paraId="2DDF587D" w14:textId="77777777" w:rsidR="00F84B3A" w:rsidRPr="004030DB" w:rsidRDefault="00F84B3A" w:rsidP="00F84B3A">
            <w:pPr>
              <w:jc w:val="center"/>
              <w:rPr>
                <w:rFonts w:ascii="Arial" w:hAnsi="Arial" w:cs="Arial"/>
                <w:sz w:val="20"/>
                <w:szCs w:val="20"/>
              </w:rPr>
            </w:pPr>
          </w:p>
        </w:tc>
        <w:tc>
          <w:tcPr>
            <w:tcW w:w="1073" w:type="dxa"/>
            <w:tcBorders>
              <w:top w:val="single" w:sz="4" w:space="0" w:color="auto"/>
              <w:left w:val="nil"/>
              <w:bottom w:val="single" w:sz="4" w:space="0" w:color="auto"/>
              <w:right w:val="nil"/>
            </w:tcBorders>
          </w:tcPr>
          <w:p w14:paraId="6C526DA1" w14:textId="77777777" w:rsidR="00F84B3A" w:rsidRPr="004030DB" w:rsidRDefault="00F84B3A" w:rsidP="00F84B3A">
            <w:pPr>
              <w:jc w:val="center"/>
              <w:rPr>
                <w:rFonts w:ascii="Arial" w:hAnsi="Arial" w:cs="Arial"/>
                <w:sz w:val="20"/>
                <w:szCs w:val="20"/>
              </w:rPr>
            </w:pPr>
          </w:p>
        </w:tc>
        <w:tc>
          <w:tcPr>
            <w:tcW w:w="1073" w:type="dxa"/>
            <w:tcBorders>
              <w:top w:val="single" w:sz="4" w:space="0" w:color="auto"/>
              <w:left w:val="nil"/>
              <w:bottom w:val="single" w:sz="4" w:space="0" w:color="auto"/>
              <w:right w:val="nil"/>
            </w:tcBorders>
          </w:tcPr>
          <w:p w14:paraId="31449880" w14:textId="77777777" w:rsidR="00F84B3A" w:rsidRPr="004030DB" w:rsidRDefault="00F84B3A" w:rsidP="00F84B3A">
            <w:pPr>
              <w:jc w:val="center"/>
              <w:rPr>
                <w:rFonts w:ascii="Arial" w:hAnsi="Arial" w:cs="Arial"/>
                <w:sz w:val="20"/>
                <w:szCs w:val="20"/>
              </w:rPr>
            </w:pPr>
          </w:p>
        </w:tc>
        <w:tc>
          <w:tcPr>
            <w:tcW w:w="1073" w:type="dxa"/>
            <w:tcBorders>
              <w:top w:val="single" w:sz="4" w:space="0" w:color="auto"/>
              <w:left w:val="nil"/>
              <w:bottom w:val="single" w:sz="4" w:space="0" w:color="auto"/>
              <w:right w:val="nil"/>
            </w:tcBorders>
          </w:tcPr>
          <w:p w14:paraId="2F9B2644" w14:textId="77777777" w:rsidR="00F84B3A" w:rsidRPr="004030DB" w:rsidRDefault="00F84B3A" w:rsidP="00F84B3A">
            <w:pPr>
              <w:jc w:val="center"/>
              <w:rPr>
                <w:rFonts w:ascii="Arial" w:hAnsi="Arial" w:cs="Arial"/>
                <w:sz w:val="20"/>
                <w:szCs w:val="20"/>
              </w:rPr>
            </w:pPr>
          </w:p>
        </w:tc>
        <w:tc>
          <w:tcPr>
            <w:tcW w:w="2463" w:type="dxa"/>
            <w:tcBorders>
              <w:top w:val="single" w:sz="4" w:space="0" w:color="auto"/>
              <w:left w:val="nil"/>
              <w:bottom w:val="single" w:sz="4" w:space="0" w:color="auto"/>
              <w:right w:val="single" w:sz="4" w:space="0" w:color="auto"/>
            </w:tcBorders>
          </w:tcPr>
          <w:p w14:paraId="6E17C848" w14:textId="77777777" w:rsidR="00F84B3A" w:rsidRPr="004030DB" w:rsidRDefault="00F84B3A" w:rsidP="00186516">
            <w:pPr>
              <w:jc w:val="right"/>
              <w:rPr>
                <w:rFonts w:ascii="Arial" w:hAnsi="Arial" w:cs="Arial"/>
                <w:b/>
                <w:sz w:val="20"/>
                <w:szCs w:val="20"/>
              </w:rPr>
            </w:pPr>
          </w:p>
        </w:tc>
      </w:tr>
      <w:tr w:rsidR="00186516" w:rsidRPr="004030DB" w14:paraId="3B6831DE" w14:textId="77777777" w:rsidTr="00186516">
        <w:tc>
          <w:tcPr>
            <w:tcW w:w="3452" w:type="dxa"/>
            <w:tcBorders>
              <w:bottom w:val="single" w:sz="4" w:space="0" w:color="auto"/>
            </w:tcBorders>
          </w:tcPr>
          <w:p w14:paraId="2E716ED0" w14:textId="77777777" w:rsidR="00186516" w:rsidRPr="004030DB" w:rsidRDefault="00186516" w:rsidP="00186516">
            <w:pPr>
              <w:rPr>
                <w:rFonts w:ascii="Arial" w:hAnsi="Arial" w:cs="Arial"/>
                <w:sz w:val="20"/>
                <w:szCs w:val="20"/>
              </w:rPr>
            </w:pPr>
            <w:r w:rsidRPr="004030DB">
              <w:rPr>
                <w:rFonts w:ascii="Arial" w:hAnsi="Arial" w:cs="Arial"/>
                <w:sz w:val="20"/>
                <w:szCs w:val="20"/>
              </w:rPr>
              <w:t>Adrian Parsons</w:t>
            </w:r>
          </w:p>
        </w:tc>
        <w:tc>
          <w:tcPr>
            <w:tcW w:w="1073" w:type="dxa"/>
            <w:tcBorders>
              <w:bottom w:val="single" w:sz="4" w:space="0" w:color="auto"/>
            </w:tcBorders>
          </w:tcPr>
          <w:p w14:paraId="50B4F22F" w14:textId="77777777" w:rsidR="00186516" w:rsidRPr="004030DB" w:rsidRDefault="00186516" w:rsidP="00186516">
            <w:pPr>
              <w:jc w:val="center"/>
              <w:rPr>
                <w:rFonts w:ascii="Arial" w:hAnsi="Arial" w:cs="Arial"/>
                <w:sz w:val="20"/>
                <w:szCs w:val="20"/>
              </w:rPr>
            </w:pPr>
            <w:r w:rsidRPr="004030DB">
              <w:rPr>
                <w:rFonts w:ascii="Arial" w:hAnsi="Arial" w:cs="Arial"/>
                <w:sz w:val="20"/>
                <w:szCs w:val="20"/>
              </w:rPr>
              <w:t xml:space="preserve">No </w:t>
            </w:r>
          </w:p>
        </w:tc>
        <w:tc>
          <w:tcPr>
            <w:tcW w:w="1073" w:type="dxa"/>
            <w:tcBorders>
              <w:bottom w:val="single" w:sz="4" w:space="0" w:color="auto"/>
            </w:tcBorders>
            <w:shd w:val="clear" w:color="auto" w:fill="000000" w:themeFill="text1"/>
          </w:tcPr>
          <w:p w14:paraId="48BBDFFF" w14:textId="77777777" w:rsidR="00186516" w:rsidRPr="004030DB" w:rsidRDefault="00186516" w:rsidP="00F84B3A">
            <w:pPr>
              <w:jc w:val="center"/>
              <w:rPr>
                <w:rFonts w:ascii="Arial" w:hAnsi="Arial" w:cs="Arial"/>
                <w:sz w:val="20"/>
                <w:szCs w:val="20"/>
              </w:rPr>
            </w:pPr>
          </w:p>
        </w:tc>
        <w:tc>
          <w:tcPr>
            <w:tcW w:w="1073" w:type="dxa"/>
            <w:tcBorders>
              <w:bottom w:val="single" w:sz="4" w:space="0" w:color="auto"/>
            </w:tcBorders>
            <w:shd w:val="clear" w:color="auto" w:fill="000000" w:themeFill="text1"/>
          </w:tcPr>
          <w:p w14:paraId="6A8D1B31" w14:textId="77777777" w:rsidR="00186516" w:rsidRPr="004030DB" w:rsidRDefault="00186516" w:rsidP="00F84B3A">
            <w:pPr>
              <w:jc w:val="center"/>
              <w:rPr>
                <w:rFonts w:ascii="Arial" w:hAnsi="Arial" w:cs="Arial"/>
                <w:sz w:val="20"/>
                <w:szCs w:val="20"/>
              </w:rPr>
            </w:pPr>
          </w:p>
        </w:tc>
        <w:tc>
          <w:tcPr>
            <w:tcW w:w="1073" w:type="dxa"/>
            <w:tcBorders>
              <w:bottom w:val="single" w:sz="4" w:space="0" w:color="auto"/>
            </w:tcBorders>
            <w:shd w:val="clear" w:color="auto" w:fill="000000" w:themeFill="text1"/>
          </w:tcPr>
          <w:p w14:paraId="425913AC" w14:textId="77777777" w:rsidR="00186516" w:rsidRPr="004030DB" w:rsidRDefault="00186516" w:rsidP="00F84B3A">
            <w:pPr>
              <w:jc w:val="center"/>
              <w:rPr>
                <w:rFonts w:ascii="Arial" w:hAnsi="Arial" w:cs="Arial"/>
                <w:sz w:val="20"/>
                <w:szCs w:val="20"/>
              </w:rPr>
            </w:pPr>
          </w:p>
        </w:tc>
        <w:tc>
          <w:tcPr>
            <w:tcW w:w="2463" w:type="dxa"/>
            <w:tcBorders>
              <w:bottom w:val="single" w:sz="4" w:space="0" w:color="auto"/>
            </w:tcBorders>
          </w:tcPr>
          <w:p w14:paraId="6E548466" w14:textId="77777777" w:rsidR="00186516" w:rsidRPr="004030DB" w:rsidRDefault="00186516" w:rsidP="00186516">
            <w:pPr>
              <w:jc w:val="right"/>
              <w:rPr>
                <w:rFonts w:ascii="Arial" w:hAnsi="Arial" w:cs="Arial"/>
                <w:b/>
                <w:sz w:val="20"/>
                <w:szCs w:val="20"/>
              </w:rPr>
            </w:pPr>
            <w:r w:rsidRPr="004030DB">
              <w:rPr>
                <w:rFonts w:ascii="Arial" w:hAnsi="Arial" w:cs="Arial"/>
                <w:b/>
                <w:sz w:val="20"/>
                <w:szCs w:val="20"/>
              </w:rPr>
              <w:t>0 out of 1</w:t>
            </w:r>
          </w:p>
        </w:tc>
      </w:tr>
      <w:tr w:rsidR="00186516" w:rsidRPr="004030DB" w14:paraId="72BD5FC1" w14:textId="77777777" w:rsidTr="00186516">
        <w:tc>
          <w:tcPr>
            <w:tcW w:w="3452" w:type="dxa"/>
            <w:tcBorders>
              <w:top w:val="single" w:sz="4" w:space="0" w:color="auto"/>
            </w:tcBorders>
          </w:tcPr>
          <w:p w14:paraId="274DF262" w14:textId="77777777" w:rsidR="00186516" w:rsidRPr="004030DB" w:rsidRDefault="00186516" w:rsidP="00186516">
            <w:pPr>
              <w:rPr>
                <w:rFonts w:ascii="Arial" w:hAnsi="Arial" w:cs="Arial"/>
                <w:sz w:val="20"/>
                <w:szCs w:val="20"/>
              </w:rPr>
            </w:pPr>
            <w:r w:rsidRPr="004030DB">
              <w:rPr>
                <w:rFonts w:ascii="Arial" w:hAnsi="Arial" w:cs="Arial"/>
                <w:sz w:val="20"/>
                <w:szCs w:val="20"/>
              </w:rPr>
              <w:t>Bill Sakaria</w:t>
            </w:r>
          </w:p>
        </w:tc>
        <w:tc>
          <w:tcPr>
            <w:tcW w:w="1073" w:type="dxa"/>
            <w:tcBorders>
              <w:top w:val="single" w:sz="4" w:space="0" w:color="auto"/>
            </w:tcBorders>
          </w:tcPr>
          <w:p w14:paraId="7458602E" w14:textId="77777777" w:rsidR="00186516" w:rsidRPr="004030DB" w:rsidRDefault="00186516" w:rsidP="00186516">
            <w:pPr>
              <w:jc w:val="center"/>
              <w:rPr>
                <w:rFonts w:ascii="Arial" w:hAnsi="Arial" w:cs="Arial"/>
                <w:sz w:val="20"/>
                <w:szCs w:val="20"/>
              </w:rPr>
            </w:pPr>
            <w:r w:rsidRPr="004030DB">
              <w:rPr>
                <w:rFonts w:ascii="Arial" w:hAnsi="Arial" w:cs="Arial"/>
                <w:sz w:val="20"/>
                <w:szCs w:val="20"/>
              </w:rPr>
              <w:t xml:space="preserve">No </w:t>
            </w:r>
          </w:p>
        </w:tc>
        <w:tc>
          <w:tcPr>
            <w:tcW w:w="1073" w:type="dxa"/>
            <w:tcBorders>
              <w:top w:val="single" w:sz="4" w:space="0" w:color="auto"/>
            </w:tcBorders>
            <w:shd w:val="clear" w:color="auto" w:fill="000000" w:themeFill="text1"/>
          </w:tcPr>
          <w:p w14:paraId="7D6EC8F5" w14:textId="77777777" w:rsidR="00186516" w:rsidRPr="004030DB" w:rsidRDefault="00186516" w:rsidP="00F84B3A">
            <w:pPr>
              <w:jc w:val="center"/>
              <w:rPr>
                <w:rFonts w:ascii="Arial" w:hAnsi="Arial" w:cs="Arial"/>
                <w:sz w:val="20"/>
                <w:szCs w:val="20"/>
              </w:rPr>
            </w:pPr>
          </w:p>
        </w:tc>
        <w:tc>
          <w:tcPr>
            <w:tcW w:w="1073" w:type="dxa"/>
            <w:tcBorders>
              <w:top w:val="single" w:sz="4" w:space="0" w:color="auto"/>
            </w:tcBorders>
            <w:shd w:val="clear" w:color="auto" w:fill="000000" w:themeFill="text1"/>
          </w:tcPr>
          <w:p w14:paraId="1E204FC6" w14:textId="77777777" w:rsidR="00186516" w:rsidRPr="004030DB" w:rsidRDefault="00186516" w:rsidP="00F84B3A">
            <w:pPr>
              <w:jc w:val="center"/>
              <w:rPr>
                <w:rFonts w:ascii="Arial" w:hAnsi="Arial" w:cs="Arial"/>
                <w:sz w:val="20"/>
                <w:szCs w:val="20"/>
              </w:rPr>
            </w:pPr>
          </w:p>
        </w:tc>
        <w:tc>
          <w:tcPr>
            <w:tcW w:w="1073" w:type="dxa"/>
            <w:tcBorders>
              <w:top w:val="single" w:sz="4" w:space="0" w:color="auto"/>
            </w:tcBorders>
            <w:shd w:val="clear" w:color="auto" w:fill="000000" w:themeFill="text1"/>
          </w:tcPr>
          <w:p w14:paraId="58A120A4" w14:textId="77777777" w:rsidR="00186516" w:rsidRPr="004030DB" w:rsidRDefault="00186516" w:rsidP="00F84B3A">
            <w:pPr>
              <w:jc w:val="center"/>
              <w:rPr>
                <w:rFonts w:ascii="Arial" w:hAnsi="Arial" w:cs="Arial"/>
                <w:sz w:val="20"/>
                <w:szCs w:val="20"/>
              </w:rPr>
            </w:pPr>
          </w:p>
        </w:tc>
        <w:tc>
          <w:tcPr>
            <w:tcW w:w="2463" w:type="dxa"/>
            <w:tcBorders>
              <w:top w:val="single" w:sz="4" w:space="0" w:color="auto"/>
            </w:tcBorders>
          </w:tcPr>
          <w:p w14:paraId="386E18E2" w14:textId="77777777" w:rsidR="00186516" w:rsidRPr="004030DB" w:rsidRDefault="00186516" w:rsidP="00186516">
            <w:pPr>
              <w:jc w:val="right"/>
              <w:rPr>
                <w:rFonts w:ascii="Arial" w:hAnsi="Arial" w:cs="Arial"/>
                <w:b/>
                <w:sz w:val="20"/>
                <w:szCs w:val="20"/>
              </w:rPr>
            </w:pPr>
            <w:r w:rsidRPr="004030DB">
              <w:rPr>
                <w:rFonts w:ascii="Arial" w:hAnsi="Arial" w:cs="Arial"/>
                <w:b/>
                <w:sz w:val="20"/>
                <w:szCs w:val="20"/>
              </w:rPr>
              <w:t>0 out of 1</w:t>
            </w:r>
          </w:p>
        </w:tc>
      </w:tr>
      <w:tr w:rsidR="00186516" w:rsidRPr="004030DB" w14:paraId="0CB0FA15" w14:textId="77777777" w:rsidTr="00186516">
        <w:tc>
          <w:tcPr>
            <w:tcW w:w="3452" w:type="dxa"/>
          </w:tcPr>
          <w:p w14:paraId="660F5E28" w14:textId="77777777" w:rsidR="00186516" w:rsidRPr="004030DB" w:rsidRDefault="00186516" w:rsidP="00186516">
            <w:pPr>
              <w:rPr>
                <w:rFonts w:ascii="Arial" w:hAnsi="Arial" w:cs="Arial"/>
                <w:sz w:val="20"/>
                <w:szCs w:val="20"/>
              </w:rPr>
            </w:pPr>
            <w:r w:rsidRPr="004030DB">
              <w:rPr>
                <w:rFonts w:ascii="Arial" w:hAnsi="Arial" w:cs="Arial"/>
                <w:sz w:val="20"/>
                <w:szCs w:val="20"/>
              </w:rPr>
              <w:t>David Nehra</w:t>
            </w:r>
          </w:p>
        </w:tc>
        <w:tc>
          <w:tcPr>
            <w:tcW w:w="1073" w:type="dxa"/>
          </w:tcPr>
          <w:p w14:paraId="769C05DC" w14:textId="77777777" w:rsidR="00186516" w:rsidRPr="004030DB" w:rsidRDefault="00186516" w:rsidP="00186516">
            <w:pPr>
              <w:jc w:val="center"/>
              <w:rPr>
                <w:rFonts w:ascii="Arial" w:hAnsi="Arial" w:cs="Arial"/>
                <w:sz w:val="20"/>
                <w:szCs w:val="20"/>
              </w:rPr>
            </w:pPr>
            <w:r w:rsidRPr="004030DB">
              <w:rPr>
                <w:rFonts w:ascii="Arial" w:hAnsi="Arial" w:cs="Arial"/>
                <w:sz w:val="20"/>
                <w:szCs w:val="20"/>
              </w:rPr>
              <w:t xml:space="preserve">No </w:t>
            </w:r>
          </w:p>
        </w:tc>
        <w:tc>
          <w:tcPr>
            <w:tcW w:w="1073" w:type="dxa"/>
            <w:shd w:val="clear" w:color="auto" w:fill="000000" w:themeFill="text1"/>
          </w:tcPr>
          <w:p w14:paraId="5A99C740" w14:textId="77777777" w:rsidR="00186516" w:rsidRPr="004030DB" w:rsidRDefault="00186516" w:rsidP="00F84B3A">
            <w:pPr>
              <w:jc w:val="center"/>
              <w:rPr>
                <w:rFonts w:ascii="Arial" w:hAnsi="Arial" w:cs="Arial"/>
                <w:sz w:val="20"/>
                <w:szCs w:val="20"/>
              </w:rPr>
            </w:pPr>
          </w:p>
        </w:tc>
        <w:tc>
          <w:tcPr>
            <w:tcW w:w="1073" w:type="dxa"/>
            <w:shd w:val="clear" w:color="auto" w:fill="000000" w:themeFill="text1"/>
          </w:tcPr>
          <w:p w14:paraId="587DC5AE" w14:textId="77777777" w:rsidR="00186516" w:rsidRPr="004030DB" w:rsidRDefault="00186516" w:rsidP="00F84B3A">
            <w:pPr>
              <w:jc w:val="center"/>
              <w:rPr>
                <w:rFonts w:ascii="Arial" w:hAnsi="Arial" w:cs="Arial"/>
                <w:sz w:val="20"/>
                <w:szCs w:val="20"/>
              </w:rPr>
            </w:pPr>
          </w:p>
        </w:tc>
        <w:tc>
          <w:tcPr>
            <w:tcW w:w="1073" w:type="dxa"/>
            <w:shd w:val="clear" w:color="auto" w:fill="000000" w:themeFill="text1"/>
          </w:tcPr>
          <w:p w14:paraId="6C157F79" w14:textId="77777777" w:rsidR="00186516" w:rsidRPr="004030DB" w:rsidRDefault="00186516" w:rsidP="00F84B3A">
            <w:pPr>
              <w:jc w:val="center"/>
              <w:rPr>
                <w:rFonts w:ascii="Arial" w:hAnsi="Arial" w:cs="Arial"/>
                <w:sz w:val="20"/>
                <w:szCs w:val="20"/>
              </w:rPr>
            </w:pPr>
          </w:p>
        </w:tc>
        <w:tc>
          <w:tcPr>
            <w:tcW w:w="2463" w:type="dxa"/>
          </w:tcPr>
          <w:p w14:paraId="0FC827F1" w14:textId="77777777" w:rsidR="00186516" w:rsidRPr="004030DB" w:rsidRDefault="00186516" w:rsidP="00186516">
            <w:pPr>
              <w:jc w:val="right"/>
              <w:rPr>
                <w:rFonts w:ascii="Arial" w:hAnsi="Arial" w:cs="Arial"/>
                <w:b/>
                <w:sz w:val="20"/>
                <w:szCs w:val="20"/>
              </w:rPr>
            </w:pPr>
            <w:r w:rsidRPr="004030DB">
              <w:rPr>
                <w:rFonts w:ascii="Arial" w:hAnsi="Arial" w:cs="Arial"/>
                <w:b/>
                <w:sz w:val="20"/>
                <w:szCs w:val="20"/>
              </w:rPr>
              <w:t>0 out of 1</w:t>
            </w:r>
          </w:p>
        </w:tc>
      </w:tr>
      <w:tr w:rsidR="00186516" w:rsidRPr="004030DB" w14:paraId="0F109A8E" w14:textId="77777777" w:rsidTr="00186516">
        <w:tc>
          <w:tcPr>
            <w:tcW w:w="3452" w:type="dxa"/>
          </w:tcPr>
          <w:p w14:paraId="7C76AD93" w14:textId="77777777" w:rsidR="00186516" w:rsidRPr="004030DB" w:rsidRDefault="00186516" w:rsidP="00186516">
            <w:pPr>
              <w:rPr>
                <w:rFonts w:ascii="Arial" w:hAnsi="Arial" w:cs="Arial"/>
                <w:sz w:val="20"/>
                <w:szCs w:val="20"/>
              </w:rPr>
            </w:pPr>
            <w:r w:rsidRPr="004030DB">
              <w:rPr>
                <w:rFonts w:ascii="Arial" w:hAnsi="Arial" w:cs="Arial"/>
                <w:sz w:val="20"/>
                <w:szCs w:val="20"/>
              </w:rPr>
              <w:t>Jay Patel</w:t>
            </w:r>
          </w:p>
        </w:tc>
        <w:tc>
          <w:tcPr>
            <w:tcW w:w="1073" w:type="dxa"/>
          </w:tcPr>
          <w:p w14:paraId="6FEDD836" w14:textId="77777777" w:rsidR="00186516" w:rsidRPr="004030DB" w:rsidRDefault="00186516" w:rsidP="00F84B3A">
            <w:pPr>
              <w:jc w:val="center"/>
              <w:rPr>
                <w:rFonts w:ascii="Arial" w:hAnsi="Arial" w:cs="Arial"/>
                <w:sz w:val="20"/>
                <w:szCs w:val="20"/>
              </w:rPr>
            </w:pPr>
            <w:r w:rsidRPr="004030DB">
              <w:rPr>
                <w:rFonts w:ascii="Arial" w:hAnsi="Arial" w:cs="Arial"/>
                <w:sz w:val="20"/>
                <w:szCs w:val="20"/>
              </w:rPr>
              <w:t>Yes</w:t>
            </w:r>
          </w:p>
        </w:tc>
        <w:tc>
          <w:tcPr>
            <w:tcW w:w="1073" w:type="dxa"/>
          </w:tcPr>
          <w:p w14:paraId="128C7A8B" w14:textId="77777777" w:rsidR="00186516" w:rsidRPr="004030DB" w:rsidRDefault="00186516" w:rsidP="00F84B3A">
            <w:pPr>
              <w:jc w:val="center"/>
              <w:rPr>
                <w:rFonts w:ascii="Arial" w:hAnsi="Arial" w:cs="Arial"/>
                <w:sz w:val="20"/>
                <w:szCs w:val="20"/>
              </w:rPr>
            </w:pPr>
            <w:r w:rsidRPr="004030DB">
              <w:rPr>
                <w:rFonts w:ascii="Arial" w:hAnsi="Arial" w:cs="Arial"/>
                <w:sz w:val="20"/>
                <w:szCs w:val="20"/>
              </w:rPr>
              <w:t>Yes</w:t>
            </w:r>
          </w:p>
        </w:tc>
        <w:tc>
          <w:tcPr>
            <w:tcW w:w="1073" w:type="dxa"/>
          </w:tcPr>
          <w:p w14:paraId="3245E1C4" w14:textId="77777777" w:rsidR="00186516" w:rsidRPr="004030DB" w:rsidRDefault="00186516" w:rsidP="00186516">
            <w:pPr>
              <w:jc w:val="center"/>
              <w:rPr>
                <w:rFonts w:ascii="Arial" w:hAnsi="Arial" w:cs="Arial"/>
                <w:sz w:val="20"/>
                <w:szCs w:val="20"/>
              </w:rPr>
            </w:pPr>
            <w:r w:rsidRPr="004030DB">
              <w:rPr>
                <w:rFonts w:ascii="Arial" w:hAnsi="Arial" w:cs="Arial"/>
                <w:sz w:val="20"/>
                <w:szCs w:val="20"/>
              </w:rPr>
              <w:t xml:space="preserve">No </w:t>
            </w:r>
          </w:p>
        </w:tc>
        <w:tc>
          <w:tcPr>
            <w:tcW w:w="1073" w:type="dxa"/>
          </w:tcPr>
          <w:p w14:paraId="3DF2E9AE" w14:textId="77777777" w:rsidR="00186516" w:rsidRPr="004030DB" w:rsidRDefault="00186516" w:rsidP="00186516">
            <w:pPr>
              <w:jc w:val="center"/>
              <w:rPr>
                <w:rFonts w:ascii="Arial" w:hAnsi="Arial" w:cs="Arial"/>
                <w:sz w:val="20"/>
                <w:szCs w:val="20"/>
              </w:rPr>
            </w:pPr>
            <w:r w:rsidRPr="004030DB">
              <w:rPr>
                <w:rFonts w:ascii="Arial" w:hAnsi="Arial" w:cs="Arial"/>
                <w:sz w:val="20"/>
                <w:szCs w:val="20"/>
              </w:rPr>
              <w:t xml:space="preserve">No </w:t>
            </w:r>
          </w:p>
        </w:tc>
        <w:tc>
          <w:tcPr>
            <w:tcW w:w="2463" w:type="dxa"/>
          </w:tcPr>
          <w:p w14:paraId="2AFB8B02" w14:textId="77777777" w:rsidR="00186516" w:rsidRPr="004030DB" w:rsidRDefault="00186516" w:rsidP="00186516">
            <w:pPr>
              <w:jc w:val="right"/>
              <w:rPr>
                <w:rFonts w:ascii="Arial" w:hAnsi="Arial" w:cs="Arial"/>
                <w:b/>
                <w:sz w:val="20"/>
                <w:szCs w:val="20"/>
              </w:rPr>
            </w:pPr>
            <w:r w:rsidRPr="004030DB">
              <w:rPr>
                <w:rFonts w:ascii="Arial" w:hAnsi="Arial" w:cs="Arial"/>
                <w:b/>
                <w:sz w:val="20"/>
                <w:szCs w:val="20"/>
              </w:rPr>
              <w:t>2 out of 4</w:t>
            </w:r>
          </w:p>
        </w:tc>
      </w:tr>
      <w:tr w:rsidR="00186516" w:rsidRPr="004030DB" w14:paraId="25E95206" w14:textId="77777777" w:rsidTr="00186516">
        <w:tc>
          <w:tcPr>
            <w:tcW w:w="3452" w:type="dxa"/>
            <w:tcBorders>
              <w:bottom w:val="single" w:sz="4" w:space="0" w:color="auto"/>
            </w:tcBorders>
          </w:tcPr>
          <w:p w14:paraId="0B05F05D" w14:textId="77777777" w:rsidR="00186516" w:rsidRPr="004030DB" w:rsidRDefault="00186516" w:rsidP="00186516">
            <w:pPr>
              <w:rPr>
                <w:rFonts w:ascii="Arial" w:hAnsi="Arial" w:cs="Arial"/>
                <w:sz w:val="20"/>
                <w:szCs w:val="20"/>
              </w:rPr>
            </w:pPr>
            <w:bookmarkStart w:id="21" w:name="_Hlk163207581"/>
            <w:r w:rsidRPr="004030DB">
              <w:rPr>
                <w:rFonts w:ascii="Arial" w:hAnsi="Arial" w:cs="Arial"/>
                <w:sz w:val="20"/>
                <w:szCs w:val="20"/>
              </w:rPr>
              <w:t>Jennifer Oliphant</w:t>
            </w:r>
          </w:p>
        </w:tc>
        <w:tc>
          <w:tcPr>
            <w:tcW w:w="1073" w:type="dxa"/>
            <w:tcBorders>
              <w:bottom w:val="single" w:sz="4" w:space="0" w:color="auto"/>
            </w:tcBorders>
          </w:tcPr>
          <w:p w14:paraId="7DE2CACA" w14:textId="77777777" w:rsidR="00186516" w:rsidRPr="004030DB" w:rsidRDefault="00186516" w:rsidP="00186516">
            <w:pPr>
              <w:jc w:val="center"/>
              <w:rPr>
                <w:rFonts w:ascii="Arial" w:hAnsi="Arial" w:cs="Arial"/>
                <w:sz w:val="20"/>
                <w:szCs w:val="20"/>
              </w:rPr>
            </w:pPr>
            <w:r w:rsidRPr="004030DB">
              <w:rPr>
                <w:rFonts w:ascii="Arial" w:hAnsi="Arial" w:cs="Arial"/>
                <w:sz w:val="20"/>
                <w:szCs w:val="20"/>
              </w:rPr>
              <w:t xml:space="preserve">No </w:t>
            </w:r>
          </w:p>
        </w:tc>
        <w:tc>
          <w:tcPr>
            <w:tcW w:w="1073" w:type="dxa"/>
            <w:tcBorders>
              <w:bottom w:val="single" w:sz="4" w:space="0" w:color="auto"/>
            </w:tcBorders>
            <w:shd w:val="clear" w:color="auto" w:fill="000000" w:themeFill="text1"/>
          </w:tcPr>
          <w:p w14:paraId="008AB1A1" w14:textId="77777777" w:rsidR="00186516" w:rsidRPr="004030DB" w:rsidRDefault="00186516" w:rsidP="00F84B3A">
            <w:pPr>
              <w:jc w:val="center"/>
              <w:rPr>
                <w:rFonts w:ascii="Arial" w:hAnsi="Arial" w:cs="Arial"/>
                <w:sz w:val="20"/>
                <w:szCs w:val="20"/>
              </w:rPr>
            </w:pPr>
          </w:p>
        </w:tc>
        <w:tc>
          <w:tcPr>
            <w:tcW w:w="1073" w:type="dxa"/>
            <w:tcBorders>
              <w:bottom w:val="single" w:sz="4" w:space="0" w:color="auto"/>
            </w:tcBorders>
            <w:shd w:val="clear" w:color="auto" w:fill="000000" w:themeFill="text1"/>
          </w:tcPr>
          <w:p w14:paraId="63CD25E8" w14:textId="77777777" w:rsidR="00186516" w:rsidRPr="004030DB" w:rsidRDefault="00186516" w:rsidP="00F84B3A">
            <w:pPr>
              <w:jc w:val="center"/>
              <w:rPr>
                <w:rFonts w:ascii="Arial" w:hAnsi="Arial" w:cs="Arial"/>
                <w:sz w:val="20"/>
                <w:szCs w:val="20"/>
              </w:rPr>
            </w:pPr>
          </w:p>
        </w:tc>
        <w:tc>
          <w:tcPr>
            <w:tcW w:w="1073" w:type="dxa"/>
            <w:tcBorders>
              <w:bottom w:val="single" w:sz="4" w:space="0" w:color="auto"/>
            </w:tcBorders>
            <w:shd w:val="clear" w:color="auto" w:fill="000000" w:themeFill="text1"/>
          </w:tcPr>
          <w:p w14:paraId="50342CDE" w14:textId="77777777" w:rsidR="00186516" w:rsidRPr="004030DB" w:rsidRDefault="00186516" w:rsidP="00F84B3A">
            <w:pPr>
              <w:jc w:val="center"/>
              <w:rPr>
                <w:rFonts w:ascii="Arial" w:hAnsi="Arial" w:cs="Arial"/>
                <w:sz w:val="20"/>
                <w:szCs w:val="20"/>
              </w:rPr>
            </w:pPr>
          </w:p>
        </w:tc>
        <w:tc>
          <w:tcPr>
            <w:tcW w:w="2463" w:type="dxa"/>
          </w:tcPr>
          <w:p w14:paraId="7CAA220D" w14:textId="77777777" w:rsidR="00186516" w:rsidRPr="004030DB" w:rsidRDefault="00186516" w:rsidP="00186516">
            <w:pPr>
              <w:jc w:val="right"/>
              <w:rPr>
                <w:rFonts w:ascii="Arial" w:hAnsi="Arial" w:cs="Arial"/>
                <w:b/>
                <w:sz w:val="20"/>
                <w:szCs w:val="20"/>
              </w:rPr>
            </w:pPr>
            <w:r w:rsidRPr="004030DB">
              <w:rPr>
                <w:rFonts w:ascii="Arial" w:hAnsi="Arial" w:cs="Arial"/>
                <w:b/>
                <w:sz w:val="20"/>
                <w:szCs w:val="20"/>
              </w:rPr>
              <w:t>0 out of 1</w:t>
            </w:r>
          </w:p>
        </w:tc>
      </w:tr>
      <w:tr w:rsidR="00F84B3A" w:rsidRPr="004030DB" w14:paraId="40137D06" w14:textId="77777777" w:rsidTr="00186516">
        <w:tc>
          <w:tcPr>
            <w:tcW w:w="3452" w:type="dxa"/>
            <w:tcBorders>
              <w:bottom w:val="single" w:sz="4" w:space="0" w:color="auto"/>
            </w:tcBorders>
          </w:tcPr>
          <w:p w14:paraId="02FC690E" w14:textId="77777777" w:rsidR="00F84B3A" w:rsidRPr="004030DB" w:rsidRDefault="00F84B3A" w:rsidP="00186516">
            <w:pPr>
              <w:rPr>
                <w:rFonts w:ascii="Arial" w:hAnsi="Arial" w:cs="Arial"/>
                <w:sz w:val="20"/>
                <w:szCs w:val="20"/>
              </w:rPr>
            </w:pPr>
            <w:r w:rsidRPr="004030DB">
              <w:rPr>
                <w:rFonts w:ascii="Arial" w:hAnsi="Arial" w:cs="Arial"/>
                <w:sz w:val="20"/>
                <w:szCs w:val="20"/>
              </w:rPr>
              <w:t>Tess Fenn</w:t>
            </w:r>
          </w:p>
        </w:tc>
        <w:tc>
          <w:tcPr>
            <w:tcW w:w="1073" w:type="dxa"/>
            <w:tcBorders>
              <w:bottom w:val="single" w:sz="4" w:space="0" w:color="auto"/>
            </w:tcBorders>
            <w:shd w:val="clear" w:color="auto" w:fill="000000" w:themeFill="text1"/>
          </w:tcPr>
          <w:p w14:paraId="2856EC65" w14:textId="77777777" w:rsidR="00F84B3A" w:rsidRPr="004030DB" w:rsidRDefault="00F84B3A" w:rsidP="00F84B3A">
            <w:pPr>
              <w:jc w:val="center"/>
              <w:rPr>
                <w:rFonts w:ascii="Arial" w:hAnsi="Arial" w:cs="Arial"/>
                <w:sz w:val="20"/>
                <w:szCs w:val="20"/>
              </w:rPr>
            </w:pPr>
          </w:p>
        </w:tc>
        <w:tc>
          <w:tcPr>
            <w:tcW w:w="1073" w:type="dxa"/>
            <w:tcBorders>
              <w:bottom w:val="single" w:sz="4" w:space="0" w:color="auto"/>
            </w:tcBorders>
          </w:tcPr>
          <w:p w14:paraId="29B79BE9" w14:textId="77777777" w:rsidR="00F84B3A" w:rsidRPr="004030DB" w:rsidRDefault="00F84B3A" w:rsidP="00F84B3A">
            <w:pPr>
              <w:jc w:val="center"/>
              <w:rPr>
                <w:rFonts w:ascii="Arial" w:hAnsi="Arial" w:cs="Arial"/>
                <w:sz w:val="20"/>
                <w:szCs w:val="20"/>
              </w:rPr>
            </w:pPr>
            <w:r w:rsidRPr="004030DB">
              <w:rPr>
                <w:rFonts w:ascii="Arial" w:hAnsi="Arial" w:cs="Arial"/>
                <w:sz w:val="20"/>
                <w:szCs w:val="20"/>
              </w:rPr>
              <w:t>Yes</w:t>
            </w:r>
          </w:p>
        </w:tc>
        <w:tc>
          <w:tcPr>
            <w:tcW w:w="1073" w:type="dxa"/>
            <w:tcBorders>
              <w:bottom w:val="single" w:sz="4" w:space="0" w:color="auto"/>
            </w:tcBorders>
          </w:tcPr>
          <w:p w14:paraId="03E5137D" w14:textId="77777777" w:rsidR="00F84B3A" w:rsidRPr="004030DB" w:rsidRDefault="00F84B3A" w:rsidP="00F84B3A">
            <w:pPr>
              <w:jc w:val="center"/>
              <w:rPr>
                <w:rFonts w:ascii="Arial" w:hAnsi="Arial" w:cs="Arial"/>
                <w:sz w:val="20"/>
                <w:szCs w:val="20"/>
              </w:rPr>
            </w:pPr>
            <w:r w:rsidRPr="004030DB">
              <w:rPr>
                <w:rFonts w:ascii="Arial" w:hAnsi="Arial" w:cs="Arial"/>
                <w:sz w:val="20"/>
                <w:szCs w:val="20"/>
              </w:rPr>
              <w:t>Yes</w:t>
            </w:r>
          </w:p>
        </w:tc>
        <w:tc>
          <w:tcPr>
            <w:tcW w:w="1073" w:type="dxa"/>
            <w:tcBorders>
              <w:bottom w:val="single" w:sz="4" w:space="0" w:color="auto"/>
            </w:tcBorders>
          </w:tcPr>
          <w:p w14:paraId="06294DB9" w14:textId="77777777" w:rsidR="00F84B3A" w:rsidRPr="004030DB" w:rsidRDefault="00F84B3A" w:rsidP="00F84B3A">
            <w:pPr>
              <w:jc w:val="center"/>
              <w:rPr>
                <w:rFonts w:ascii="Arial" w:hAnsi="Arial" w:cs="Arial"/>
                <w:sz w:val="20"/>
                <w:szCs w:val="20"/>
              </w:rPr>
            </w:pPr>
            <w:r w:rsidRPr="004030DB">
              <w:rPr>
                <w:rFonts w:ascii="Arial" w:hAnsi="Arial" w:cs="Arial"/>
                <w:sz w:val="20"/>
                <w:szCs w:val="20"/>
              </w:rPr>
              <w:t>Yes</w:t>
            </w:r>
          </w:p>
        </w:tc>
        <w:tc>
          <w:tcPr>
            <w:tcW w:w="2463" w:type="dxa"/>
            <w:tcBorders>
              <w:bottom w:val="single" w:sz="4" w:space="0" w:color="auto"/>
            </w:tcBorders>
          </w:tcPr>
          <w:p w14:paraId="7997653B" w14:textId="77777777" w:rsidR="00F84B3A" w:rsidRPr="004030DB" w:rsidRDefault="00F84B3A" w:rsidP="00186516">
            <w:pPr>
              <w:jc w:val="right"/>
              <w:rPr>
                <w:rFonts w:ascii="Arial" w:hAnsi="Arial" w:cs="Arial"/>
                <w:b/>
                <w:sz w:val="20"/>
                <w:szCs w:val="20"/>
              </w:rPr>
            </w:pPr>
            <w:r w:rsidRPr="004030DB">
              <w:rPr>
                <w:rFonts w:ascii="Arial" w:hAnsi="Arial" w:cs="Arial"/>
                <w:b/>
                <w:sz w:val="20"/>
                <w:szCs w:val="20"/>
              </w:rPr>
              <w:t>3 out of 3</w:t>
            </w:r>
          </w:p>
        </w:tc>
      </w:tr>
      <w:tr w:rsidR="00186516" w:rsidRPr="004030DB" w14:paraId="20034CFA" w14:textId="77777777" w:rsidTr="00186516">
        <w:tc>
          <w:tcPr>
            <w:tcW w:w="3452" w:type="dxa"/>
            <w:tcBorders>
              <w:bottom w:val="single" w:sz="4" w:space="0" w:color="auto"/>
            </w:tcBorders>
          </w:tcPr>
          <w:p w14:paraId="46B01AEF" w14:textId="77777777" w:rsidR="00186516" w:rsidRPr="004030DB" w:rsidRDefault="00186516" w:rsidP="00186516">
            <w:pPr>
              <w:rPr>
                <w:rFonts w:ascii="Arial" w:hAnsi="Arial" w:cs="Arial"/>
                <w:sz w:val="20"/>
                <w:szCs w:val="20"/>
              </w:rPr>
            </w:pPr>
            <w:r w:rsidRPr="004030DB">
              <w:rPr>
                <w:rFonts w:ascii="Arial" w:hAnsi="Arial" w:cs="Arial"/>
                <w:sz w:val="20"/>
                <w:szCs w:val="20"/>
              </w:rPr>
              <w:t>Paul Riley</w:t>
            </w:r>
          </w:p>
        </w:tc>
        <w:tc>
          <w:tcPr>
            <w:tcW w:w="1073" w:type="dxa"/>
            <w:tcBorders>
              <w:bottom w:val="single" w:sz="4" w:space="0" w:color="auto"/>
            </w:tcBorders>
            <w:shd w:val="clear" w:color="auto" w:fill="000000" w:themeFill="text1"/>
          </w:tcPr>
          <w:p w14:paraId="6D060ECD" w14:textId="77777777" w:rsidR="00186516" w:rsidRPr="004030DB" w:rsidRDefault="00186516" w:rsidP="00F84B3A">
            <w:pPr>
              <w:jc w:val="center"/>
              <w:rPr>
                <w:rFonts w:ascii="Arial" w:hAnsi="Arial" w:cs="Arial"/>
                <w:sz w:val="20"/>
                <w:szCs w:val="20"/>
              </w:rPr>
            </w:pPr>
          </w:p>
        </w:tc>
        <w:tc>
          <w:tcPr>
            <w:tcW w:w="1073" w:type="dxa"/>
            <w:tcBorders>
              <w:bottom w:val="single" w:sz="4" w:space="0" w:color="auto"/>
            </w:tcBorders>
          </w:tcPr>
          <w:p w14:paraId="1C72AF5C" w14:textId="77777777" w:rsidR="00186516" w:rsidRPr="004030DB" w:rsidRDefault="00186516" w:rsidP="00186516">
            <w:pPr>
              <w:jc w:val="center"/>
              <w:rPr>
                <w:rFonts w:ascii="Arial" w:hAnsi="Arial" w:cs="Arial"/>
                <w:sz w:val="20"/>
                <w:szCs w:val="20"/>
              </w:rPr>
            </w:pPr>
            <w:r w:rsidRPr="004030DB">
              <w:rPr>
                <w:rFonts w:ascii="Arial" w:hAnsi="Arial" w:cs="Arial"/>
                <w:sz w:val="20"/>
                <w:szCs w:val="20"/>
              </w:rPr>
              <w:t xml:space="preserve">No </w:t>
            </w:r>
          </w:p>
        </w:tc>
        <w:tc>
          <w:tcPr>
            <w:tcW w:w="1073" w:type="dxa"/>
            <w:tcBorders>
              <w:bottom w:val="single" w:sz="4" w:space="0" w:color="auto"/>
            </w:tcBorders>
          </w:tcPr>
          <w:p w14:paraId="76BE0AA6" w14:textId="77777777" w:rsidR="00186516" w:rsidRPr="004030DB" w:rsidRDefault="00186516" w:rsidP="00186516">
            <w:pPr>
              <w:jc w:val="center"/>
              <w:rPr>
                <w:rFonts w:ascii="Arial" w:hAnsi="Arial" w:cs="Arial"/>
                <w:sz w:val="20"/>
                <w:szCs w:val="20"/>
              </w:rPr>
            </w:pPr>
            <w:r w:rsidRPr="004030DB">
              <w:rPr>
                <w:rFonts w:ascii="Arial" w:hAnsi="Arial" w:cs="Arial"/>
                <w:sz w:val="20"/>
                <w:szCs w:val="20"/>
              </w:rPr>
              <w:t xml:space="preserve">No </w:t>
            </w:r>
          </w:p>
        </w:tc>
        <w:tc>
          <w:tcPr>
            <w:tcW w:w="1073" w:type="dxa"/>
            <w:tcBorders>
              <w:bottom w:val="single" w:sz="4" w:space="0" w:color="auto"/>
            </w:tcBorders>
          </w:tcPr>
          <w:p w14:paraId="73AB8547" w14:textId="77777777" w:rsidR="00186516" w:rsidRPr="004030DB" w:rsidRDefault="00186516" w:rsidP="00186516">
            <w:pPr>
              <w:jc w:val="center"/>
              <w:rPr>
                <w:rFonts w:ascii="Arial" w:hAnsi="Arial" w:cs="Arial"/>
                <w:sz w:val="20"/>
                <w:szCs w:val="20"/>
              </w:rPr>
            </w:pPr>
            <w:r w:rsidRPr="004030DB">
              <w:rPr>
                <w:rFonts w:ascii="Arial" w:hAnsi="Arial" w:cs="Arial"/>
                <w:sz w:val="20"/>
                <w:szCs w:val="20"/>
              </w:rPr>
              <w:t xml:space="preserve">No </w:t>
            </w:r>
          </w:p>
        </w:tc>
        <w:tc>
          <w:tcPr>
            <w:tcW w:w="2463" w:type="dxa"/>
            <w:tcBorders>
              <w:bottom w:val="single" w:sz="4" w:space="0" w:color="auto"/>
            </w:tcBorders>
          </w:tcPr>
          <w:p w14:paraId="1624E21E" w14:textId="77777777" w:rsidR="00186516" w:rsidRPr="004030DB" w:rsidRDefault="00186516" w:rsidP="00186516">
            <w:pPr>
              <w:jc w:val="right"/>
              <w:rPr>
                <w:rFonts w:ascii="Arial" w:hAnsi="Arial" w:cs="Arial"/>
                <w:b/>
                <w:color w:val="FF0000"/>
                <w:sz w:val="20"/>
                <w:szCs w:val="20"/>
              </w:rPr>
            </w:pPr>
            <w:r w:rsidRPr="00C440BD">
              <w:rPr>
                <w:rFonts w:ascii="Arial" w:hAnsi="Arial" w:cs="Arial"/>
                <w:b/>
                <w:color w:val="EE0000"/>
                <w:sz w:val="20"/>
                <w:szCs w:val="20"/>
              </w:rPr>
              <w:t>No Attendance</w:t>
            </w:r>
          </w:p>
        </w:tc>
      </w:tr>
      <w:tr w:rsidR="00F84B3A" w:rsidRPr="004030DB" w14:paraId="674478BD" w14:textId="77777777" w:rsidTr="00186516">
        <w:tc>
          <w:tcPr>
            <w:tcW w:w="3452" w:type="dxa"/>
            <w:tcBorders>
              <w:top w:val="single" w:sz="4" w:space="0" w:color="auto"/>
              <w:left w:val="single" w:sz="4" w:space="0" w:color="auto"/>
              <w:bottom w:val="single" w:sz="4" w:space="0" w:color="auto"/>
              <w:right w:val="nil"/>
            </w:tcBorders>
          </w:tcPr>
          <w:p w14:paraId="39ACCF83" w14:textId="77777777" w:rsidR="00F84B3A" w:rsidRPr="004030DB" w:rsidRDefault="00F84B3A" w:rsidP="00186516">
            <w:pPr>
              <w:rPr>
                <w:rFonts w:ascii="Arial" w:hAnsi="Arial" w:cs="Arial"/>
                <w:b/>
                <w:sz w:val="20"/>
                <w:szCs w:val="20"/>
              </w:rPr>
            </w:pPr>
            <w:r w:rsidRPr="004030DB">
              <w:rPr>
                <w:rFonts w:ascii="Arial" w:hAnsi="Arial" w:cs="Arial"/>
                <w:b/>
                <w:sz w:val="20"/>
                <w:szCs w:val="20"/>
              </w:rPr>
              <w:t>Rest of England/Wales</w:t>
            </w:r>
          </w:p>
        </w:tc>
        <w:tc>
          <w:tcPr>
            <w:tcW w:w="1073" w:type="dxa"/>
            <w:tcBorders>
              <w:top w:val="single" w:sz="4" w:space="0" w:color="auto"/>
              <w:left w:val="nil"/>
              <w:bottom w:val="single" w:sz="4" w:space="0" w:color="auto"/>
              <w:right w:val="nil"/>
            </w:tcBorders>
          </w:tcPr>
          <w:p w14:paraId="35A1B360" w14:textId="77777777" w:rsidR="00F84B3A" w:rsidRPr="004030DB" w:rsidRDefault="00F84B3A" w:rsidP="00F84B3A">
            <w:pPr>
              <w:jc w:val="center"/>
              <w:rPr>
                <w:rFonts w:ascii="Arial" w:hAnsi="Arial" w:cs="Arial"/>
                <w:b/>
                <w:sz w:val="20"/>
                <w:szCs w:val="20"/>
              </w:rPr>
            </w:pPr>
          </w:p>
        </w:tc>
        <w:tc>
          <w:tcPr>
            <w:tcW w:w="1073" w:type="dxa"/>
            <w:tcBorders>
              <w:top w:val="single" w:sz="4" w:space="0" w:color="auto"/>
              <w:left w:val="nil"/>
              <w:bottom w:val="single" w:sz="4" w:space="0" w:color="auto"/>
              <w:right w:val="nil"/>
            </w:tcBorders>
          </w:tcPr>
          <w:p w14:paraId="176B3B1A" w14:textId="77777777" w:rsidR="00F84B3A" w:rsidRPr="004030DB" w:rsidRDefault="00F84B3A" w:rsidP="00F84B3A">
            <w:pPr>
              <w:jc w:val="center"/>
              <w:rPr>
                <w:rFonts w:ascii="Arial" w:hAnsi="Arial" w:cs="Arial"/>
                <w:b/>
                <w:sz w:val="20"/>
                <w:szCs w:val="20"/>
              </w:rPr>
            </w:pPr>
          </w:p>
        </w:tc>
        <w:tc>
          <w:tcPr>
            <w:tcW w:w="1073" w:type="dxa"/>
            <w:tcBorders>
              <w:top w:val="single" w:sz="4" w:space="0" w:color="auto"/>
              <w:left w:val="nil"/>
              <w:bottom w:val="single" w:sz="4" w:space="0" w:color="auto"/>
              <w:right w:val="nil"/>
            </w:tcBorders>
          </w:tcPr>
          <w:p w14:paraId="07C70407" w14:textId="77777777" w:rsidR="00F84B3A" w:rsidRPr="004030DB" w:rsidRDefault="00F84B3A" w:rsidP="00F84B3A">
            <w:pPr>
              <w:jc w:val="center"/>
              <w:rPr>
                <w:rFonts w:ascii="Arial" w:hAnsi="Arial" w:cs="Arial"/>
                <w:b/>
                <w:sz w:val="20"/>
                <w:szCs w:val="20"/>
              </w:rPr>
            </w:pPr>
          </w:p>
        </w:tc>
        <w:tc>
          <w:tcPr>
            <w:tcW w:w="1073" w:type="dxa"/>
            <w:tcBorders>
              <w:top w:val="single" w:sz="4" w:space="0" w:color="auto"/>
              <w:left w:val="nil"/>
              <w:bottom w:val="single" w:sz="4" w:space="0" w:color="auto"/>
              <w:right w:val="nil"/>
            </w:tcBorders>
          </w:tcPr>
          <w:p w14:paraId="78F24121" w14:textId="77777777" w:rsidR="00F84B3A" w:rsidRPr="004030DB" w:rsidRDefault="00F84B3A" w:rsidP="00F84B3A">
            <w:pPr>
              <w:jc w:val="center"/>
              <w:rPr>
                <w:rFonts w:ascii="Arial" w:hAnsi="Arial" w:cs="Arial"/>
                <w:b/>
                <w:sz w:val="20"/>
                <w:szCs w:val="20"/>
              </w:rPr>
            </w:pPr>
          </w:p>
        </w:tc>
        <w:tc>
          <w:tcPr>
            <w:tcW w:w="2463" w:type="dxa"/>
            <w:tcBorders>
              <w:top w:val="single" w:sz="4" w:space="0" w:color="auto"/>
              <w:left w:val="nil"/>
              <w:bottom w:val="single" w:sz="4" w:space="0" w:color="auto"/>
              <w:right w:val="single" w:sz="4" w:space="0" w:color="auto"/>
            </w:tcBorders>
          </w:tcPr>
          <w:p w14:paraId="00B97EDC" w14:textId="77777777" w:rsidR="00F84B3A" w:rsidRPr="004030DB" w:rsidRDefault="00F84B3A" w:rsidP="00186516">
            <w:pPr>
              <w:jc w:val="right"/>
              <w:rPr>
                <w:rFonts w:ascii="Arial" w:hAnsi="Arial" w:cs="Arial"/>
                <w:b/>
                <w:sz w:val="20"/>
                <w:szCs w:val="20"/>
              </w:rPr>
            </w:pPr>
          </w:p>
        </w:tc>
      </w:tr>
      <w:bookmarkEnd w:id="21"/>
      <w:tr w:rsidR="00186516" w:rsidRPr="004030DB" w14:paraId="7BAA23EB" w14:textId="77777777" w:rsidTr="00186516">
        <w:tc>
          <w:tcPr>
            <w:tcW w:w="3452" w:type="dxa"/>
            <w:tcBorders>
              <w:top w:val="single" w:sz="4" w:space="0" w:color="auto"/>
              <w:bottom w:val="single" w:sz="4" w:space="0" w:color="auto"/>
            </w:tcBorders>
          </w:tcPr>
          <w:p w14:paraId="48D8DB0E" w14:textId="77777777" w:rsidR="00186516" w:rsidRPr="004030DB" w:rsidRDefault="00186516" w:rsidP="00186516">
            <w:pPr>
              <w:rPr>
                <w:rFonts w:ascii="Arial" w:hAnsi="Arial" w:cs="Arial"/>
                <w:sz w:val="20"/>
                <w:szCs w:val="20"/>
              </w:rPr>
            </w:pPr>
            <w:r w:rsidRPr="004030DB">
              <w:rPr>
                <w:rFonts w:ascii="Arial" w:hAnsi="Arial" w:cs="Arial"/>
                <w:sz w:val="20"/>
                <w:szCs w:val="20"/>
              </w:rPr>
              <w:t>Rebecca Bellars</w:t>
            </w:r>
          </w:p>
        </w:tc>
        <w:tc>
          <w:tcPr>
            <w:tcW w:w="1073" w:type="dxa"/>
            <w:tcBorders>
              <w:top w:val="single" w:sz="4" w:space="0" w:color="auto"/>
              <w:bottom w:val="single" w:sz="4" w:space="0" w:color="auto"/>
            </w:tcBorders>
          </w:tcPr>
          <w:p w14:paraId="425878B5" w14:textId="77777777" w:rsidR="00186516" w:rsidRPr="004030DB" w:rsidRDefault="00186516" w:rsidP="00186516">
            <w:pPr>
              <w:jc w:val="center"/>
              <w:rPr>
                <w:rFonts w:ascii="Arial" w:hAnsi="Arial" w:cs="Arial"/>
                <w:sz w:val="20"/>
                <w:szCs w:val="20"/>
              </w:rPr>
            </w:pPr>
            <w:r w:rsidRPr="004030DB">
              <w:rPr>
                <w:rFonts w:ascii="Arial" w:hAnsi="Arial" w:cs="Arial"/>
                <w:sz w:val="20"/>
                <w:szCs w:val="20"/>
              </w:rPr>
              <w:t xml:space="preserve">No </w:t>
            </w:r>
          </w:p>
        </w:tc>
        <w:tc>
          <w:tcPr>
            <w:tcW w:w="1073" w:type="dxa"/>
            <w:tcBorders>
              <w:top w:val="single" w:sz="4" w:space="0" w:color="auto"/>
              <w:bottom w:val="single" w:sz="4" w:space="0" w:color="auto"/>
            </w:tcBorders>
          </w:tcPr>
          <w:p w14:paraId="571BA2AD" w14:textId="77777777" w:rsidR="00186516" w:rsidRPr="004030DB" w:rsidRDefault="00186516" w:rsidP="00F84B3A">
            <w:pPr>
              <w:jc w:val="center"/>
              <w:rPr>
                <w:rFonts w:ascii="Arial" w:hAnsi="Arial" w:cs="Arial"/>
                <w:sz w:val="20"/>
                <w:szCs w:val="20"/>
              </w:rPr>
            </w:pPr>
            <w:r w:rsidRPr="004030DB">
              <w:rPr>
                <w:rFonts w:ascii="Arial" w:hAnsi="Arial" w:cs="Arial"/>
                <w:sz w:val="20"/>
                <w:szCs w:val="20"/>
              </w:rPr>
              <w:t>Yes</w:t>
            </w:r>
          </w:p>
        </w:tc>
        <w:tc>
          <w:tcPr>
            <w:tcW w:w="1073" w:type="dxa"/>
            <w:tcBorders>
              <w:top w:val="single" w:sz="4" w:space="0" w:color="auto"/>
              <w:bottom w:val="single" w:sz="4" w:space="0" w:color="auto"/>
            </w:tcBorders>
          </w:tcPr>
          <w:p w14:paraId="5A3CA867" w14:textId="77777777" w:rsidR="00186516" w:rsidRPr="004030DB" w:rsidRDefault="00186516" w:rsidP="00F84B3A">
            <w:pPr>
              <w:jc w:val="center"/>
              <w:rPr>
                <w:rFonts w:ascii="Arial" w:hAnsi="Arial" w:cs="Arial"/>
                <w:sz w:val="20"/>
                <w:szCs w:val="20"/>
              </w:rPr>
            </w:pPr>
            <w:r w:rsidRPr="004030DB">
              <w:rPr>
                <w:rFonts w:ascii="Arial" w:hAnsi="Arial" w:cs="Arial"/>
                <w:sz w:val="20"/>
                <w:szCs w:val="20"/>
              </w:rPr>
              <w:t>Yes</w:t>
            </w:r>
          </w:p>
        </w:tc>
        <w:tc>
          <w:tcPr>
            <w:tcW w:w="1073" w:type="dxa"/>
            <w:tcBorders>
              <w:top w:val="single" w:sz="4" w:space="0" w:color="auto"/>
              <w:bottom w:val="single" w:sz="4" w:space="0" w:color="auto"/>
            </w:tcBorders>
          </w:tcPr>
          <w:p w14:paraId="64156449" w14:textId="77777777" w:rsidR="00186516" w:rsidRPr="004030DB" w:rsidRDefault="00186516" w:rsidP="00186516">
            <w:pPr>
              <w:jc w:val="center"/>
              <w:rPr>
                <w:rFonts w:ascii="Arial" w:hAnsi="Arial" w:cs="Arial"/>
                <w:sz w:val="20"/>
                <w:szCs w:val="20"/>
              </w:rPr>
            </w:pPr>
            <w:r w:rsidRPr="004030DB">
              <w:rPr>
                <w:rFonts w:ascii="Arial" w:hAnsi="Arial" w:cs="Arial"/>
                <w:sz w:val="20"/>
                <w:szCs w:val="20"/>
              </w:rPr>
              <w:t xml:space="preserve">No </w:t>
            </w:r>
          </w:p>
        </w:tc>
        <w:tc>
          <w:tcPr>
            <w:tcW w:w="2463" w:type="dxa"/>
            <w:tcBorders>
              <w:top w:val="single" w:sz="4" w:space="0" w:color="auto"/>
              <w:bottom w:val="single" w:sz="4" w:space="0" w:color="auto"/>
            </w:tcBorders>
          </w:tcPr>
          <w:p w14:paraId="23B541CD" w14:textId="77777777" w:rsidR="00186516" w:rsidRPr="004030DB" w:rsidRDefault="00186516" w:rsidP="00186516">
            <w:pPr>
              <w:jc w:val="right"/>
              <w:rPr>
                <w:rFonts w:ascii="Arial" w:hAnsi="Arial" w:cs="Arial"/>
                <w:b/>
                <w:sz w:val="20"/>
                <w:szCs w:val="20"/>
              </w:rPr>
            </w:pPr>
            <w:r w:rsidRPr="004030DB">
              <w:rPr>
                <w:rFonts w:ascii="Arial" w:hAnsi="Arial" w:cs="Arial"/>
                <w:b/>
                <w:sz w:val="20"/>
                <w:szCs w:val="20"/>
              </w:rPr>
              <w:t>2 out of 4</w:t>
            </w:r>
          </w:p>
        </w:tc>
      </w:tr>
      <w:tr w:rsidR="00F84B3A" w:rsidRPr="004030DB" w14:paraId="6FDCA2C3" w14:textId="77777777" w:rsidTr="00186516">
        <w:tc>
          <w:tcPr>
            <w:tcW w:w="3452" w:type="dxa"/>
            <w:tcBorders>
              <w:top w:val="single" w:sz="4" w:space="0" w:color="auto"/>
              <w:left w:val="single" w:sz="4" w:space="0" w:color="auto"/>
              <w:bottom w:val="single" w:sz="4" w:space="0" w:color="auto"/>
              <w:right w:val="nil"/>
            </w:tcBorders>
          </w:tcPr>
          <w:p w14:paraId="4930F564" w14:textId="77777777" w:rsidR="00F84B3A" w:rsidRPr="004030DB" w:rsidRDefault="00F84B3A" w:rsidP="00186516">
            <w:pPr>
              <w:rPr>
                <w:rFonts w:ascii="Arial" w:hAnsi="Arial" w:cs="Arial"/>
                <w:b/>
                <w:sz w:val="20"/>
                <w:szCs w:val="20"/>
              </w:rPr>
            </w:pPr>
            <w:r w:rsidRPr="004030DB">
              <w:rPr>
                <w:rFonts w:ascii="Arial" w:hAnsi="Arial" w:cs="Arial"/>
                <w:b/>
                <w:sz w:val="20"/>
                <w:szCs w:val="20"/>
              </w:rPr>
              <w:t>Staff Governors</w:t>
            </w:r>
          </w:p>
        </w:tc>
        <w:tc>
          <w:tcPr>
            <w:tcW w:w="1073" w:type="dxa"/>
            <w:tcBorders>
              <w:top w:val="single" w:sz="4" w:space="0" w:color="auto"/>
              <w:left w:val="nil"/>
              <w:bottom w:val="single" w:sz="4" w:space="0" w:color="auto"/>
              <w:right w:val="nil"/>
            </w:tcBorders>
          </w:tcPr>
          <w:p w14:paraId="7642E374" w14:textId="77777777" w:rsidR="00F84B3A" w:rsidRPr="004030DB" w:rsidRDefault="00F84B3A" w:rsidP="00F84B3A">
            <w:pPr>
              <w:jc w:val="center"/>
              <w:rPr>
                <w:rFonts w:ascii="Arial" w:hAnsi="Arial" w:cs="Arial"/>
                <w:sz w:val="20"/>
                <w:szCs w:val="20"/>
              </w:rPr>
            </w:pPr>
          </w:p>
        </w:tc>
        <w:tc>
          <w:tcPr>
            <w:tcW w:w="1073" w:type="dxa"/>
            <w:tcBorders>
              <w:top w:val="single" w:sz="4" w:space="0" w:color="auto"/>
              <w:left w:val="nil"/>
              <w:bottom w:val="single" w:sz="4" w:space="0" w:color="auto"/>
              <w:right w:val="nil"/>
            </w:tcBorders>
          </w:tcPr>
          <w:p w14:paraId="7F1CC914" w14:textId="77777777" w:rsidR="00F84B3A" w:rsidRPr="004030DB" w:rsidRDefault="00F84B3A" w:rsidP="00F84B3A">
            <w:pPr>
              <w:jc w:val="center"/>
              <w:rPr>
                <w:rFonts w:ascii="Arial" w:hAnsi="Arial" w:cs="Arial"/>
                <w:sz w:val="20"/>
                <w:szCs w:val="20"/>
              </w:rPr>
            </w:pPr>
          </w:p>
        </w:tc>
        <w:tc>
          <w:tcPr>
            <w:tcW w:w="1073" w:type="dxa"/>
            <w:tcBorders>
              <w:top w:val="single" w:sz="4" w:space="0" w:color="auto"/>
              <w:left w:val="nil"/>
              <w:bottom w:val="single" w:sz="4" w:space="0" w:color="auto"/>
              <w:right w:val="nil"/>
            </w:tcBorders>
          </w:tcPr>
          <w:p w14:paraId="0E5B12DC" w14:textId="77777777" w:rsidR="00F84B3A" w:rsidRPr="004030DB" w:rsidRDefault="00F84B3A" w:rsidP="00F84B3A">
            <w:pPr>
              <w:jc w:val="center"/>
              <w:rPr>
                <w:rFonts w:ascii="Arial" w:hAnsi="Arial" w:cs="Arial"/>
                <w:sz w:val="20"/>
                <w:szCs w:val="20"/>
              </w:rPr>
            </w:pPr>
          </w:p>
        </w:tc>
        <w:tc>
          <w:tcPr>
            <w:tcW w:w="1073" w:type="dxa"/>
            <w:tcBorders>
              <w:top w:val="single" w:sz="4" w:space="0" w:color="auto"/>
              <w:left w:val="nil"/>
              <w:bottom w:val="single" w:sz="4" w:space="0" w:color="auto"/>
              <w:right w:val="nil"/>
            </w:tcBorders>
          </w:tcPr>
          <w:p w14:paraId="56EF2882" w14:textId="77777777" w:rsidR="00F84B3A" w:rsidRPr="004030DB" w:rsidRDefault="00F84B3A" w:rsidP="00F84B3A">
            <w:pPr>
              <w:jc w:val="center"/>
              <w:rPr>
                <w:rFonts w:ascii="Arial" w:hAnsi="Arial" w:cs="Arial"/>
                <w:sz w:val="20"/>
                <w:szCs w:val="20"/>
              </w:rPr>
            </w:pPr>
          </w:p>
        </w:tc>
        <w:tc>
          <w:tcPr>
            <w:tcW w:w="2463" w:type="dxa"/>
            <w:tcBorders>
              <w:top w:val="single" w:sz="4" w:space="0" w:color="auto"/>
              <w:left w:val="nil"/>
              <w:bottom w:val="single" w:sz="4" w:space="0" w:color="auto"/>
              <w:right w:val="single" w:sz="4" w:space="0" w:color="auto"/>
            </w:tcBorders>
          </w:tcPr>
          <w:p w14:paraId="2FF1F1F9" w14:textId="77777777" w:rsidR="00F84B3A" w:rsidRPr="004030DB" w:rsidRDefault="00F84B3A" w:rsidP="00186516">
            <w:pPr>
              <w:jc w:val="right"/>
              <w:rPr>
                <w:rFonts w:ascii="Arial" w:hAnsi="Arial" w:cs="Arial"/>
                <w:b/>
                <w:sz w:val="20"/>
                <w:szCs w:val="20"/>
              </w:rPr>
            </w:pPr>
          </w:p>
        </w:tc>
      </w:tr>
      <w:tr w:rsidR="00186516" w:rsidRPr="004030DB" w14:paraId="25756D15" w14:textId="77777777" w:rsidTr="00186516">
        <w:tc>
          <w:tcPr>
            <w:tcW w:w="3452" w:type="dxa"/>
            <w:tcBorders>
              <w:top w:val="single" w:sz="4" w:space="0" w:color="auto"/>
            </w:tcBorders>
          </w:tcPr>
          <w:p w14:paraId="7E5D13B7" w14:textId="77777777" w:rsidR="00186516" w:rsidRPr="004030DB" w:rsidRDefault="00186516" w:rsidP="00186516">
            <w:pPr>
              <w:rPr>
                <w:rFonts w:ascii="Arial" w:hAnsi="Arial" w:cs="Arial"/>
                <w:sz w:val="20"/>
                <w:szCs w:val="20"/>
              </w:rPr>
            </w:pPr>
            <w:r w:rsidRPr="004030DB">
              <w:rPr>
                <w:rFonts w:ascii="Arial" w:hAnsi="Arial" w:cs="Arial"/>
                <w:sz w:val="20"/>
                <w:szCs w:val="20"/>
              </w:rPr>
              <w:t>Adebayo Da’Costa</w:t>
            </w:r>
          </w:p>
        </w:tc>
        <w:tc>
          <w:tcPr>
            <w:tcW w:w="1073" w:type="dxa"/>
            <w:tcBorders>
              <w:top w:val="single" w:sz="4" w:space="0" w:color="auto"/>
            </w:tcBorders>
          </w:tcPr>
          <w:p w14:paraId="53CA3D81" w14:textId="77777777" w:rsidR="00186516" w:rsidRPr="004030DB" w:rsidRDefault="00186516" w:rsidP="00186516">
            <w:pPr>
              <w:jc w:val="center"/>
              <w:rPr>
                <w:rFonts w:ascii="Arial" w:hAnsi="Arial" w:cs="Arial"/>
                <w:sz w:val="20"/>
                <w:szCs w:val="20"/>
              </w:rPr>
            </w:pPr>
            <w:r w:rsidRPr="004030DB">
              <w:rPr>
                <w:rFonts w:ascii="Arial" w:hAnsi="Arial" w:cs="Arial"/>
                <w:sz w:val="20"/>
                <w:szCs w:val="20"/>
              </w:rPr>
              <w:t xml:space="preserve">No </w:t>
            </w:r>
          </w:p>
        </w:tc>
        <w:tc>
          <w:tcPr>
            <w:tcW w:w="1073" w:type="dxa"/>
            <w:tcBorders>
              <w:top w:val="single" w:sz="4" w:space="0" w:color="auto"/>
            </w:tcBorders>
            <w:shd w:val="clear" w:color="auto" w:fill="000000" w:themeFill="text1"/>
          </w:tcPr>
          <w:p w14:paraId="10A6589B" w14:textId="77777777" w:rsidR="00186516" w:rsidRPr="004030DB" w:rsidRDefault="00186516" w:rsidP="00F84B3A">
            <w:pPr>
              <w:jc w:val="center"/>
              <w:rPr>
                <w:rFonts w:ascii="Arial" w:hAnsi="Arial" w:cs="Arial"/>
                <w:sz w:val="20"/>
                <w:szCs w:val="20"/>
              </w:rPr>
            </w:pPr>
          </w:p>
        </w:tc>
        <w:tc>
          <w:tcPr>
            <w:tcW w:w="1073" w:type="dxa"/>
            <w:tcBorders>
              <w:top w:val="single" w:sz="4" w:space="0" w:color="auto"/>
            </w:tcBorders>
            <w:shd w:val="clear" w:color="auto" w:fill="000000" w:themeFill="text1"/>
          </w:tcPr>
          <w:p w14:paraId="58A1E482" w14:textId="77777777" w:rsidR="00186516" w:rsidRPr="004030DB" w:rsidRDefault="00186516" w:rsidP="00F84B3A">
            <w:pPr>
              <w:jc w:val="center"/>
              <w:rPr>
                <w:rFonts w:ascii="Arial" w:hAnsi="Arial" w:cs="Arial"/>
                <w:sz w:val="20"/>
                <w:szCs w:val="20"/>
              </w:rPr>
            </w:pPr>
          </w:p>
        </w:tc>
        <w:tc>
          <w:tcPr>
            <w:tcW w:w="1073" w:type="dxa"/>
            <w:tcBorders>
              <w:top w:val="single" w:sz="4" w:space="0" w:color="auto"/>
            </w:tcBorders>
            <w:shd w:val="clear" w:color="auto" w:fill="000000" w:themeFill="text1"/>
          </w:tcPr>
          <w:p w14:paraId="55C843E4" w14:textId="77777777" w:rsidR="00186516" w:rsidRPr="004030DB" w:rsidRDefault="00186516" w:rsidP="00F84B3A">
            <w:pPr>
              <w:jc w:val="center"/>
              <w:rPr>
                <w:rFonts w:ascii="Arial" w:hAnsi="Arial" w:cs="Arial"/>
                <w:sz w:val="20"/>
                <w:szCs w:val="20"/>
              </w:rPr>
            </w:pPr>
          </w:p>
        </w:tc>
        <w:tc>
          <w:tcPr>
            <w:tcW w:w="2463" w:type="dxa"/>
          </w:tcPr>
          <w:p w14:paraId="7EE1548C" w14:textId="77777777" w:rsidR="00186516" w:rsidRPr="004030DB" w:rsidRDefault="00186516" w:rsidP="00186516">
            <w:pPr>
              <w:jc w:val="right"/>
              <w:rPr>
                <w:rFonts w:ascii="Arial" w:hAnsi="Arial" w:cs="Arial"/>
                <w:b/>
                <w:sz w:val="20"/>
                <w:szCs w:val="20"/>
              </w:rPr>
            </w:pPr>
            <w:r w:rsidRPr="004030DB">
              <w:rPr>
                <w:rFonts w:ascii="Arial" w:hAnsi="Arial" w:cs="Arial"/>
                <w:b/>
                <w:sz w:val="20"/>
                <w:szCs w:val="20"/>
              </w:rPr>
              <w:t>0 out of 1</w:t>
            </w:r>
          </w:p>
        </w:tc>
      </w:tr>
      <w:tr w:rsidR="00186516" w:rsidRPr="004030DB" w14:paraId="632C2C54" w14:textId="77777777" w:rsidTr="00186516">
        <w:tc>
          <w:tcPr>
            <w:tcW w:w="3452" w:type="dxa"/>
          </w:tcPr>
          <w:p w14:paraId="24E67999" w14:textId="77777777" w:rsidR="00186516" w:rsidRPr="004030DB" w:rsidRDefault="00186516" w:rsidP="00186516">
            <w:pPr>
              <w:rPr>
                <w:rFonts w:ascii="Arial" w:hAnsi="Arial" w:cs="Arial"/>
                <w:sz w:val="20"/>
                <w:szCs w:val="20"/>
              </w:rPr>
            </w:pPr>
            <w:r w:rsidRPr="004030DB">
              <w:rPr>
                <w:rFonts w:ascii="Arial" w:hAnsi="Arial" w:cs="Arial"/>
                <w:sz w:val="20"/>
                <w:szCs w:val="20"/>
              </w:rPr>
              <w:t>Karen Fegan</w:t>
            </w:r>
          </w:p>
        </w:tc>
        <w:tc>
          <w:tcPr>
            <w:tcW w:w="1073" w:type="dxa"/>
          </w:tcPr>
          <w:p w14:paraId="38D3BA8C" w14:textId="77777777" w:rsidR="00186516" w:rsidRPr="004030DB" w:rsidRDefault="00186516" w:rsidP="00186516">
            <w:pPr>
              <w:jc w:val="center"/>
              <w:rPr>
                <w:rFonts w:ascii="Arial" w:hAnsi="Arial" w:cs="Arial"/>
                <w:sz w:val="20"/>
                <w:szCs w:val="20"/>
              </w:rPr>
            </w:pPr>
            <w:r w:rsidRPr="004030DB">
              <w:rPr>
                <w:rFonts w:ascii="Arial" w:hAnsi="Arial" w:cs="Arial"/>
                <w:sz w:val="20"/>
                <w:szCs w:val="20"/>
              </w:rPr>
              <w:t>Yes</w:t>
            </w:r>
          </w:p>
        </w:tc>
        <w:tc>
          <w:tcPr>
            <w:tcW w:w="1073" w:type="dxa"/>
          </w:tcPr>
          <w:p w14:paraId="2DA87024" w14:textId="77777777" w:rsidR="00186516" w:rsidRPr="004030DB" w:rsidRDefault="00186516" w:rsidP="00186516">
            <w:pPr>
              <w:jc w:val="center"/>
              <w:rPr>
                <w:rFonts w:ascii="Arial" w:hAnsi="Arial" w:cs="Arial"/>
                <w:sz w:val="20"/>
                <w:szCs w:val="20"/>
              </w:rPr>
            </w:pPr>
            <w:r w:rsidRPr="004030DB">
              <w:rPr>
                <w:rFonts w:ascii="Arial" w:hAnsi="Arial" w:cs="Arial"/>
                <w:sz w:val="20"/>
                <w:szCs w:val="20"/>
              </w:rPr>
              <w:t>Yes</w:t>
            </w:r>
          </w:p>
        </w:tc>
        <w:tc>
          <w:tcPr>
            <w:tcW w:w="1073" w:type="dxa"/>
            <w:tcBorders>
              <w:top w:val="single" w:sz="4" w:space="0" w:color="auto"/>
            </w:tcBorders>
          </w:tcPr>
          <w:p w14:paraId="31E2E268" w14:textId="77777777" w:rsidR="00186516" w:rsidRPr="004030DB" w:rsidRDefault="00186516" w:rsidP="00186516">
            <w:pPr>
              <w:jc w:val="center"/>
              <w:rPr>
                <w:rFonts w:ascii="Arial" w:hAnsi="Arial" w:cs="Arial"/>
                <w:sz w:val="20"/>
                <w:szCs w:val="20"/>
              </w:rPr>
            </w:pPr>
            <w:r w:rsidRPr="004030DB">
              <w:rPr>
                <w:rFonts w:ascii="Arial" w:hAnsi="Arial" w:cs="Arial"/>
                <w:sz w:val="20"/>
                <w:szCs w:val="20"/>
              </w:rPr>
              <w:t xml:space="preserve">No </w:t>
            </w:r>
          </w:p>
        </w:tc>
        <w:tc>
          <w:tcPr>
            <w:tcW w:w="1073" w:type="dxa"/>
          </w:tcPr>
          <w:p w14:paraId="681474A3" w14:textId="77777777" w:rsidR="00186516" w:rsidRPr="004030DB" w:rsidRDefault="00186516" w:rsidP="00186516">
            <w:pPr>
              <w:jc w:val="center"/>
              <w:rPr>
                <w:rFonts w:ascii="Arial" w:hAnsi="Arial" w:cs="Arial"/>
                <w:sz w:val="20"/>
                <w:szCs w:val="20"/>
              </w:rPr>
            </w:pPr>
            <w:r w:rsidRPr="004030DB">
              <w:rPr>
                <w:rFonts w:ascii="Arial" w:hAnsi="Arial" w:cs="Arial"/>
                <w:sz w:val="20"/>
                <w:szCs w:val="20"/>
              </w:rPr>
              <w:t>Yes</w:t>
            </w:r>
          </w:p>
        </w:tc>
        <w:tc>
          <w:tcPr>
            <w:tcW w:w="2463" w:type="dxa"/>
          </w:tcPr>
          <w:p w14:paraId="73CB8EA4" w14:textId="77777777" w:rsidR="00186516" w:rsidRPr="004030DB" w:rsidRDefault="00186516" w:rsidP="00186516">
            <w:pPr>
              <w:jc w:val="right"/>
              <w:rPr>
                <w:rFonts w:ascii="Arial" w:hAnsi="Arial" w:cs="Arial"/>
                <w:b/>
                <w:sz w:val="20"/>
                <w:szCs w:val="20"/>
              </w:rPr>
            </w:pPr>
            <w:r w:rsidRPr="004030DB">
              <w:rPr>
                <w:rFonts w:ascii="Arial" w:hAnsi="Arial" w:cs="Arial"/>
                <w:b/>
                <w:sz w:val="20"/>
                <w:szCs w:val="20"/>
              </w:rPr>
              <w:t>3 out of 4</w:t>
            </w:r>
          </w:p>
        </w:tc>
      </w:tr>
      <w:tr w:rsidR="00186516" w:rsidRPr="004030DB" w14:paraId="592ADE48" w14:textId="77777777" w:rsidTr="00186516">
        <w:tc>
          <w:tcPr>
            <w:tcW w:w="3452" w:type="dxa"/>
          </w:tcPr>
          <w:p w14:paraId="30AD6B02" w14:textId="77777777" w:rsidR="00186516" w:rsidRPr="004030DB" w:rsidRDefault="00186516" w:rsidP="00186516">
            <w:pPr>
              <w:rPr>
                <w:rFonts w:ascii="Arial" w:hAnsi="Arial" w:cs="Arial"/>
                <w:sz w:val="20"/>
                <w:szCs w:val="20"/>
              </w:rPr>
            </w:pPr>
            <w:r w:rsidRPr="004030DB">
              <w:rPr>
                <w:rFonts w:ascii="Arial" w:hAnsi="Arial" w:cs="Arial"/>
                <w:sz w:val="20"/>
                <w:szCs w:val="20"/>
              </w:rPr>
              <w:t>Mohamed Saleh</w:t>
            </w:r>
          </w:p>
        </w:tc>
        <w:tc>
          <w:tcPr>
            <w:tcW w:w="1073" w:type="dxa"/>
          </w:tcPr>
          <w:p w14:paraId="07EEF310" w14:textId="77777777" w:rsidR="00186516" w:rsidRPr="004030DB" w:rsidRDefault="00186516" w:rsidP="00186516">
            <w:pPr>
              <w:jc w:val="center"/>
              <w:rPr>
                <w:rFonts w:ascii="Arial" w:hAnsi="Arial" w:cs="Arial"/>
                <w:sz w:val="20"/>
                <w:szCs w:val="20"/>
              </w:rPr>
            </w:pPr>
            <w:r w:rsidRPr="004030DB">
              <w:rPr>
                <w:rFonts w:ascii="Arial" w:hAnsi="Arial" w:cs="Arial"/>
                <w:sz w:val="20"/>
                <w:szCs w:val="20"/>
              </w:rPr>
              <w:t xml:space="preserve">No </w:t>
            </w:r>
          </w:p>
        </w:tc>
        <w:tc>
          <w:tcPr>
            <w:tcW w:w="1073" w:type="dxa"/>
            <w:shd w:val="clear" w:color="auto" w:fill="000000" w:themeFill="text1"/>
          </w:tcPr>
          <w:p w14:paraId="74EF5D4A" w14:textId="77777777" w:rsidR="00186516" w:rsidRPr="004030DB" w:rsidRDefault="00186516" w:rsidP="00F84B3A">
            <w:pPr>
              <w:jc w:val="center"/>
              <w:rPr>
                <w:rFonts w:ascii="Arial" w:hAnsi="Arial" w:cs="Arial"/>
                <w:sz w:val="20"/>
                <w:szCs w:val="20"/>
              </w:rPr>
            </w:pPr>
          </w:p>
        </w:tc>
        <w:tc>
          <w:tcPr>
            <w:tcW w:w="1073" w:type="dxa"/>
            <w:shd w:val="clear" w:color="auto" w:fill="000000" w:themeFill="text1"/>
          </w:tcPr>
          <w:p w14:paraId="1DDACDBB" w14:textId="77777777" w:rsidR="00186516" w:rsidRPr="004030DB" w:rsidRDefault="00186516" w:rsidP="00F84B3A">
            <w:pPr>
              <w:jc w:val="center"/>
              <w:rPr>
                <w:rFonts w:ascii="Arial" w:hAnsi="Arial" w:cs="Arial"/>
                <w:sz w:val="20"/>
                <w:szCs w:val="20"/>
              </w:rPr>
            </w:pPr>
          </w:p>
        </w:tc>
        <w:tc>
          <w:tcPr>
            <w:tcW w:w="1073" w:type="dxa"/>
            <w:shd w:val="clear" w:color="auto" w:fill="000000" w:themeFill="text1"/>
          </w:tcPr>
          <w:p w14:paraId="6E133D7F" w14:textId="77777777" w:rsidR="00186516" w:rsidRPr="004030DB" w:rsidRDefault="00186516" w:rsidP="00F84B3A">
            <w:pPr>
              <w:jc w:val="center"/>
              <w:rPr>
                <w:rFonts w:ascii="Arial" w:hAnsi="Arial" w:cs="Arial"/>
                <w:sz w:val="20"/>
                <w:szCs w:val="20"/>
              </w:rPr>
            </w:pPr>
          </w:p>
        </w:tc>
        <w:tc>
          <w:tcPr>
            <w:tcW w:w="2463" w:type="dxa"/>
          </w:tcPr>
          <w:p w14:paraId="732B24AC" w14:textId="77777777" w:rsidR="00186516" w:rsidRPr="004030DB" w:rsidRDefault="00186516" w:rsidP="00186516">
            <w:pPr>
              <w:jc w:val="right"/>
              <w:rPr>
                <w:rFonts w:ascii="Arial" w:hAnsi="Arial" w:cs="Arial"/>
                <w:b/>
                <w:sz w:val="20"/>
                <w:szCs w:val="20"/>
              </w:rPr>
            </w:pPr>
            <w:r w:rsidRPr="004030DB">
              <w:rPr>
                <w:rFonts w:ascii="Arial" w:hAnsi="Arial" w:cs="Arial"/>
                <w:b/>
                <w:sz w:val="20"/>
                <w:szCs w:val="20"/>
              </w:rPr>
              <w:t>0 out of 1</w:t>
            </w:r>
          </w:p>
        </w:tc>
      </w:tr>
      <w:tr w:rsidR="00186516" w:rsidRPr="004030DB" w14:paraId="79F59A4E" w14:textId="77777777" w:rsidTr="00186516">
        <w:tc>
          <w:tcPr>
            <w:tcW w:w="3452" w:type="dxa"/>
            <w:tcBorders>
              <w:bottom w:val="single" w:sz="4" w:space="0" w:color="auto"/>
            </w:tcBorders>
          </w:tcPr>
          <w:p w14:paraId="5C9E5D7A" w14:textId="77777777" w:rsidR="00186516" w:rsidRPr="004030DB" w:rsidRDefault="00186516" w:rsidP="00186516">
            <w:pPr>
              <w:rPr>
                <w:rFonts w:ascii="Arial" w:hAnsi="Arial" w:cs="Arial"/>
                <w:sz w:val="20"/>
                <w:szCs w:val="20"/>
              </w:rPr>
            </w:pPr>
            <w:r w:rsidRPr="004030DB">
              <w:rPr>
                <w:rFonts w:ascii="Arial" w:hAnsi="Arial" w:cs="Arial"/>
                <w:sz w:val="20"/>
                <w:szCs w:val="20"/>
              </w:rPr>
              <w:t>Vanessa Page</w:t>
            </w:r>
          </w:p>
        </w:tc>
        <w:tc>
          <w:tcPr>
            <w:tcW w:w="1073" w:type="dxa"/>
            <w:tcBorders>
              <w:bottom w:val="single" w:sz="4" w:space="0" w:color="auto"/>
            </w:tcBorders>
          </w:tcPr>
          <w:p w14:paraId="4274EBAF" w14:textId="77777777" w:rsidR="00186516" w:rsidRPr="004030DB" w:rsidRDefault="00186516" w:rsidP="00186516">
            <w:pPr>
              <w:jc w:val="center"/>
              <w:rPr>
                <w:rFonts w:ascii="Arial" w:hAnsi="Arial" w:cs="Arial"/>
                <w:sz w:val="20"/>
                <w:szCs w:val="20"/>
              </w:rPr>
            </w:pPr>
            <w:r w:rsidRPr="004030DB">
              <w:rPr>
                <w:rFonts w:ascii="Arial" w:hAnsi="Arial" w:cs="Arial"/>
                <w:sz w:val="20"/>
                <w:szCs w:val="20"/>
              </w:rPr>
              <w:t xml:space="preserve">No </w:t>
            </w:r>
          </w:p>
        </w:tc>
        <w:tc>
          <w:tcPr>
            <w:tcW w:w="1073" w:type="dxa"/>
            <w:tcBorders>
              <w:bottom w:val="single" w:sz="4" w:space="0" w:color="auto"/>
            </w:tcBorders>
            <w:shd w:val="clear" w:color="auto" w:fill="000000" w:themeFill="text1"/>
          </w:tcPr>
          <w:p w14:paraId="1A8274AA" w14:textId="77777777" w:rsidR="00186516" w:rsidRPr="004030DB" w:rsidRDefault="00186516" w:rsidP="00F84B3A">
            <w:pPr>
              <w:jc w:val="center"/>
              <w:rPr>
                <w:rFonts w:ascii="Arial" w:hAnsi="Arial" w:cs="Arial"/>
                <w:sz w:val="20"/>
                <w:szCs w:val="20"/>
              </w:rPr>
            </w:pPr>
          </w:p>
        </w:tc>
        <w:tc>
          <w:tcPr>
            <w:tcW w:w="1073" w:type="dxa"/>
            <w:tcBorders>
              <w:bottom w:val="single" w:sz="4" w:space="0" w:color="auto"/>
            </w:tcBorders>
            <w:shd w:val="clear" w:color="auto" w:fill="000000" w:themeFill="text1"/>
          </w:tcPr>
          <w:p w14:paraId="19C25A4D" w14:textId="77777777" w:rsidR="00186516" w:rsidRPr="004030DB" w:rsidRDefault="00186516" w:rsidP="00F84B3A">
            <w:pPr>
              <w:jc w:val="center"/>
              <w:rPr>
                <w:rFonts w:ascii="Arial" w:hAnsi="Arial" w:cs="Arial"/>
                <w:sz w:val="20"/>
                <w:szCs w:val="20"/>
              </w:rPr>
            </w:pPr>
          </w:p>
        </w:tc>
        <w:tc>
          <w:tcPr>
            <w:tcW w:w="1073" w:type="dxa"/>
            <w:tcBorders>
              <w:bottom w:val="single" w:sz="4" w:space="0" w:color="auto"/>
            </w:tcBorders>
            <w:shd w:val="clear" w:color="auto" w:fill="000000" w:themeFill="text1"/>
          </w:tcPr>
          <w:p w14:paraId="500F0CD2" w14:textId="77777777" w:rsidR="00186516" w:rsidRPr="004030DB" w:rsidRDefault="00186516" w:rsidP="00F84B3A">
            <w:pPr>
              <w:jc w:val="center"/>
              <w:rPr>
                <w:rFonts w:ascii="Arial" w:hAnsi="Arial" w:cs="Arial"/>
                <w:sz w:val="20"/>
                <w:szCs w:val="20"/>
              </w:rPr>
            </w:pPr>
          </w:p>
        </w:tc>
        <w:tc>
          <w:tcPr>
            <w:tcW w:w="2463" w:type="dxa"/>
          </w:tcPr>
          <w:p w14:paraId="6C6BADC0" w14:textId="77777777" w:rsidR="00186516" w:rsidRPr="004030DB" w:rsidRDefault="00186516" w:rsidP="00186516">
            <w:pPr>
              <w:jc w:val="right"/>
              <w:rPr>
                <w:rFonts w:ascii="Arial" w:hAnsi="Arial" w:cs="Arial"/>
                <w:b/>
                <w:sz w:val="20"/>
                <w:szCs w:val="20"/>
              </w:rPr>
            </w:pPr>
            <w:r w:rsidRPr="004030DB">
              <w:rPr>
                <w:rFonts w:ascii="Arial" w:hAnsi="Arial" w:cs="Arial"/>
                <w:b/>
                <w:sz w:val="20"/>
                <w:szCs w:val="20"/>
              </w:rPr>
              <w:t>0 out of 1</w:t>
            </w:r>
          </w:p>
        </w:tc>
      </w:tr>
      <w:tr w:rsidR="00F84B3A" w:rsidRPr="004030DB" w14:paraId="4AD2A540" w14:textId="77777777" w:rsidTr="00186516">
        <w:tc>
          <w:tcPr>
            <w:tcW w:w="3452" w:type="dxa"/>
            <w:tcBorders>
              <w:bottom w:val="single" w:sz="4" w:space="0" w:color="auto"/>
            </w:tcBorders>
          </w:tcPr>
          <w:p w14:paraId="5E2D9067" w14:textId="77777777" w:rsidR="00F84B3A" w:rsidRPr="004030DB" w:rsidRDefault="00F84B3A" w:rsidP="00186516">
            <w:pPr>
              <w:rPr>
                <w:rFonts w:ascii="Arial" w:hAnsi="Arial" w:cs="Arial"/>
                <w:sz w:val="20"/>
                <w:szCs w:val="20"/>
              </w:rPr>
            </w:pPr>
            <w:r w:rsidRPr="004030DB">
              <w:rPr>
                <w:rFonts w:ascii="Arial" w:hAnsi="Arial" w:cs="Arial"/>
                <w:sz w:val="20"/>
                <w:szCs w:val="20"/>
              </w:rPr>
              <w:t>Joy Onuoha</w:t>
            </w:r>
          </w:p>
        </w:tc>
        <w:tc>
          <w:tcPr>
            <w:tcW w:w="1073" w:type="dxa"/>
            <w:tcBorders>
              <w:bottom w:val="single" w:sz="4" w:space="0" w:color="auto"/>
            </w:tcBorders>
            <w:shd w:val="clear" w:color="auto" w:fill="000000" w:themeFill="text1"/>
          </w:tcPr>
          <w:p w14:paraId="1509B92E" w14:textId="77777777" w:rsidR="00F84B3A" w:rsidRPr="004030DB" w:rsidRDefault="00F84B3A" w:rsidP="00F84B3A">
            <w:pPr>
              <w:jc w:val="center"/>
              <w:rPr>
                <w:rFonts w:ascii="Arial" w:hAnsi="Arial" w:cs="Arial"/>
                <w:sz w:val="20"/>
                <w:szCs w:val="20"/>
              </w:rPr>
            </w:pPr>
          </w:p>
        </w:tc>
        <w:tc>
          <w:tcPr>
            <w:tcW w:w="1073" w:type="dxa"/>
            <w:tcBorders>
              <w:bottom w:val="single" w:sz="4" w:space="0" w:color="auto"/>
            </w:tcBorders>
          </w:tcPr>
          <w:p w14:paraId="3111D38F" w14:textId="77777777" w:rsidR="00F84B3A" w:rsidRPr="004030DB" w:rsidRDefault="00F84B3A" w:rsidP="00F84B3A">
            <w:pPr>
              <w:jc w:val="center"/>
              <w:rPr>
                <w:rFonts w:ascii="Arial" w:hAnsi="Arial" w:cs="Arial"/>
                <w:sz w:val="20"/>
                <w:szCs w:val="20"/>
              </w:rPr>
            </w:pPr>
            <w:r w:rsidRPr="004030DB">
              <w:rPr>
                <w:rFonts w:ascii="Arial" w:hAnsi="Arial" w:cs="Arial"/>
                <w:sz w:val="20"/>
                <w:szCs w:val="20"/>
              </w:rPr>
              <w:t>Yes</w:t>
            </w:r>
          </w:p>
        </w:tc>
        <w:tc>
          <w:tcPr>
            <w:tcW w:w="1073" w:type="dxa"/>
            <w:tcBorders>
              <w:bottom w:val="single" w:sz="4" w:space="0" w:color="auto"/>
            </w:tcBorders>
          </w:tcPr>
          <w:p w14:paraId="13EDD11F" w14:textId="77777777" w:rsidR="00F84B3A" w:rsidRPr="004030DB" w:rsidRDefault="00F84B3A" w:rsidP="00F84B3A">
            <w:pPr>
              <w:jc w:val="center"/>
              <w:rPr>
                <w:rFonts w:ascii="Arial" w:hAnsi="Arial" w:cs="Arial"/>
                <w:sz w:val="20"/>
                <w:szCs w:val="20"/>
              </w:rPr>
            </w:pPr>
            <w:r w:rsidRPr="004030DB">
              <w:rPr>
                <w:rFonts w:ascii="Arial" w:hAnsi="Arial" w:cs="Arial"/>
                <w:sz w:val="20"/>
                <w:szCs w:val="20"/>
              </w:rPr>
              <w:t>Yes</w:t>
            </w:r>
          </w:p>
        </w:tc>
        <w:tc>
          <w:tcPr>
            <w:tcW w:w="1073" w:type="dxa"/>
            <w:tcBorders>
              <w:bottom w:val="single" w:sz="4" w:space="0" w:color="auto"/>
            </w:tcBorders>
          </w:tcPr>
          <w:p w14:paraId="257C4045" w14:textId="77777777" w:rsidR="00F84B3A" w:rsidRPr="004030DB" w:rsidRDefault="00F84B3A" w:rsidP="00F84B3A">
            <w:pPr>
              <w:jc w:val="center"/>
              <w:rPr>
                <w:rFonts w:ascii="Arial" w:hAnsi="Arial" w:cs="Arial"/>
                <w:sz w:val="20"/>
                <w:szCs w:val="20"/>
              </w:rPr>
            </w:pPr>
            <w:r w:rsidRPr="004030DB">
              <w:rPr>
                <w:rFonts w:ascii="Arial" w:hAnsi="Arial" w:cs="Arial"/>
                <w:sz w:val="20"/>
                <w:szCs w:val="20"/>
              </w:rPr>
              <w:t>Yes</w:t>
            </w:r>
          </w:p>
        </w:tc>
        <w:tc>
          <w:tcPr>
            <w:tcW w:w="2463" w:type="dxa"/>
            <w:tcBorders>
              <w:bottom w:val="single" w:sz="4" w:space="0" w:color="auto"/>
            </w:tcBorders>
          </w:tcPr>
          <w:p w14:paraId="2ABA5EC6" w14:textId="77777777" w:rsidR="00F84B3A" w:rsidRPr="004030DB" w:rsidRDefault="00F84B3A" w:rsidP="00186516">
            <w:pPr>
              <w:jc w:val="right"/>
              <w:rPr>
                <w:rFonts w:ascii="Arial" w:hAnsi="Arial" w:cs="Arial"/>
                <w:b/>
                <w:sz w:val="20"/>
                <w:szCs w:val="20"/>
              </w:rPr>
            </w:pPr>
            <w:r w:rsidRPr="004030DB">
              <w:rPr>
                <w:rFonts w:ascii="Arial" w:hAnsi="Arial" w:cs="Arial"/>
                <w:b/>
                <w:sz w:val="20"/>
                <w:szCs w:val="20"/>
              </w:rPr>
              <w:t>3 out of 3</w:t>
            </w:r>
          </w:p>
        </w:tc>
      </w:tr>
      <w:tr w:rsidR="00F84B3A" w:rsidRPr="004030DB" w14:paraId="6D664B42" w14:textId="77777777" w:rsidTr="00186516">
        <w:tc>
          <w:tcPr>
            <w:tcW w:w="3452" w:type="dxa"/>
            <w:tcBorders>
              <w:bottom w:val="single" w:sz="4" w:space="0" w:color="auto"/>
            </w:tcBorders>
          </w:tcPr>
          <w:p w14:paraId="0E1A617E" w14:textId="77777777" w:rsidR="00F84B3A" w:rsidRPr="004030DB" w:rsidRDefault="00F84B3A" w:rsidP="00186516">
            <w:pPr>
              <w:rPr>
                <w:rFonts w:ascii="Arial" w:hAnsi="Arial" w:cs="Arial"/>
                <w:sz w:val="20"/>
                <w:szCs w:val="20"/>
              </w:rPr>
            </w:pPr>
            <w:r w:rsidRPr="004030DB">
              <w:rPr>
                <w:rFonts w:ascii="Arial" w:hAnsi="Arial" w:cs="Arial"/>
                <w:sz w:val="20"/>
                <w:szCs w:val="20"/>
              </w:rPr>
              <w:t>Matthew Taiano</w:t>
            </w:r>
          </w:p>
        </w:tc>
        <w:tc>
          <w:tcPr>
            <w:tcW w:w="1073" w:type="dxa"/>
            <w:tcBorders>
              <w:bottom w:val="single" w:sz="4" w:space="0" w:color="auto"/>
            </w:tcBorders>
            <w:shd w:val="clear" w:color="auto" w:fill="000000" w:themeFill="text1"/>
          </w:tcPr>
          <w:p w14:paraId="251ADF10" w14:textId="77777777" w:rsidR="00F84B3A" w:rsidRPr="004030DB" w:rsidRDefault="00F84B3A" w:rsidP="00F84B3A">
            <w:pPr>
              <w:jc w:val="center"/>
              <w:rPr>
                <w:rFonts w:ascii="Arial" w:hAnsi="Arial" w:cs="Arial"/>
                <w:sz w:val="20"/>
                <w:szCs w:val="20"/>
              </w:rPr>
            </w:pPr>
          </w:p>
        </w:tc>
        <w:tc>
          <w:tcPr>
            <w:tcW w:w="1073" w:type="dxa"/>
            <w:tcBorders>
              <w:bottom w:val="single" w:sz="4" w:space="0" w:color="auto"/>
            </w:tcBorders>
          </w:tcPr>
          <w:p w14:paraId="12EC3CCF" w14:textId="77777777" w:rsidR="00F84B3A" w:rsidRPr="004030DB" w:rsidRDefault="00F84B3A" w:rsidP="00F84B3A">
            <w:pPr>
              <w:jc w:val="center"/>
              <w:rPr>
                <w:rFonts w:ascii="Arial" w:hAnsi="Arial" w:cs="Arial"/>
                <w:sz w:val="20"/>
                <w:szCs w:val="20"/>
              </w:rPr>
            </w:pPr>
            <w:r w:rsidRPr="004030DB">
              <w:rPr>
                <w:rFonts w:ascii="Arial" w:hAnsi="Arial" w:cs="Arial"/>
                <w:sz w:val="20"/>
                <w:szCs w:val="20"/>
              </w:rPr>
              <w:t>Yes</w:t>
            </w:r>
          </w:p>
        </w:tc>
        <w:tc>
          <w:tcPr>
            <w:tcW w:w="1073" w:type="dxa"/>
            <w:tcBorders>
              <w:bottom w:val="single" w:sz="4" w:space="0" w:color="auto"/>
            </w:tcBorders>
          </w:tcPr>
          <w:p w14:paraId="0BE59C6E" w14:textId="77777777" w:rsidR="00F84B3A" w:rsidRPr="004030DB" w:rsidRDefault="00F84B3A" w:rsidP="00F84B3A">
            <w:pPr>
              <w:jc w:val="center"/>
              <w:rPr>
                <w:rFonts w:ascii="Arial" w:hAnsi="Arial" w:cs="Arial"/>
                <w:sz w:val="20"/>
                <w:szCs w:val="20"/>
              </w:rPr>
            </w:pPr>
            <w:r w:rsidRPr="004030DB">
              <w:rPr>
                <w:rFonts w:ascii="Arial" w:hAnsi="Arial" w:cs="Arial"/>
                <w:sz w:val="20"/>
                <w:szCs w:val="20"/>
              </w:rPr>
              <w:t>Yes</w:t>
            </w:r>
          </w:p>
        </w:tc>
        <w:tc>
          <w:tcPr>
            <w:tcW w:w="1073" w:type="dxa"/>
            <w:tcBorders>
              <w:bottom w:val="single" w:sz="4" w:space="0" w:color="auto"/>
            </w:tcBorders>
          </w:tcPr>
          <w:p w14:paraId="02AEE987" w14:textId="77777777" w:rsidR="00F84B3A" w:rsidRPr="004030DB" w:rsidRDefault="00F84B3A" w:rsidP="00F84B3A">
            <w:pPr>
              <w:jc w:val="center"/>
              <w:rPr>
                <w:rFonts w:ascii="Arial" w:hAnsi="Arial" w:cs="Arial"/>
                <w:sz w:val="20"/>
                <w:szCs w:val="20"/>
              </w:rPr>
            </w:pPr>
            <w:r w:rsidRPr="004030DB">
              <w:rPr>
                <w:rFonts w:ascii="Arial" w:hAnsi="Arial" w:cs="Arial"/>
                <w:sz w:val="20"/>
                <w:szCs w:val="20"/>
              </w:rPr>
              <w:t>Yes</w:t>
            </w:r>
          </w:p>
        </w:tc>
        <w:tc>
          <w:tcPr>
            <w:tcW w:w="2463" w:type="dxa"/>
            <w:tcBorders>
              <w:bottom w:val="single" w:sz="4" w:space="0" w:color="auto"/>
            </w:tcBorders>
          </w:tcPr>
          <w:p w14:paraId="0B41910D" w14:textId="77777777" w:rsidR="00F84B3A" w:rsidRPr="004030DB" w:rsidRDefault="00F84B3A" w:rsidP="00186516">
            <w:pPr>
              <w:jc w:val="right"/>
              <w:rPr>
                <w:rFonts w:ascii="Arial" w:hAnsi="Arial" w:cs="Arial"/>
                <w:b/>
                <w:sz w:val="20"/>
                <w:szCs w:val="20"/>
              </w:rPr>
            </w:pPr>
            <w:r w:rsidRPr="004030DB">
              <w:rPr>
                <w:rFonts w:ascii="Arial" w:hAnsi="Arial" w:cs="Arial"/>
                <w:b/>
                <w:sz w:val="20"/>
                <w:szCs w:val="20"/>
              </w:rPr>
              <w:t>3 out of 3</w:t>
            </w:r>
          </w:p>
        </w:tc>
      </w:tr>
      <w:tr w:rsidR="00186516" w:rsidRPr="004030DB" w14:paraId="2EC3E508" w14:textId="77777777" w:rsidTr="00186516">
        <w:tc>
          <w:tcPr>
            <w:tcW w:w="3452" w:type="dxa"/>
            <w:tcBorders>
              <w:bottom w:val="single" w:sz="4" w:space="0" w:color="auto"/>
            </w:tcBorders>
          </w:tcPr>
          <w:p w14:paraId="086201E8" w14:textId="77777777" w:rsidR="00186516" w:rsidRPr="004030DB" w:rsidRDefault="00186516" w:rsidP="00186516">
            <w:pPr>
              <w:rPr>
                <w:rFonts w:ascii="Arial" w:hAnsi="Arial" w:cs="Arial"/>
                <w:sz w:val="20"/>
                <w:szCs w:val="20"/>
              </w:rPr>
            </w:pPr>
            <w:r w:rsidRPr="004030DB">
              <w:rPr>
                <w:rFonts w:ascii="Arial" w:hAnsi="Arial" w:cs="Arial"/>
                <w:sz w:val="20"/>
                <w:szCs w:val="20"/>
              </w:rPr>
              <w:t>Yushreen Vadamootoo</w:t>
            </w:r>
          </w:p>
        </w:tc>
        <w:tc>
          <w:tcPr>
            <w:tcW w:w="1073" w:type="dxa"/>
            <w:tcBorders>
              <w:bottom w:val="single" w:sz="4" w:space="0" w:color="auto"/>
            </w:tcBorders>
            <w:shd w:val="clear" w:color="auto" w:fill="000000" w:themeFill="text1"/>
          </w:tcPr>
          <w:p w14:paraId="32EFCADE" w14:textId="77777777" w:rsidR="00186516" w:rsidRPr="004030DB" w:rsidRDefault="00186516" w:rsidP="00F84B3A">
            <w:pPr>
              <w:jc w:val="center"/>
              <w:rPr>
                <w:rFonts w:ascii="Arial" w:hAnsi="Arial" w:cs="Arial"/>
                <w:sz w:val="20"/>
                <w:szCs w:val="20"/>
              </w:rPr>
            </w:pPr>
          </w:p>
        </w:tc>
        <w:tc>
          <w:tcPr>
            <w:tcW w:w="1073" w:type="dxa"/>
            <w:tcBorders>
              <w:bottom w:val="single" w:sz="4" w:space="0" w:color="auto"/>
            </w:tcBorders>
          </w:tcPr>
          <w:p w14:paraId="34467938" w14:textId="77777777" w:rsidR="00186516" w:rsidRPr="004030DB" w:rsidRDefault="00186516" w:rsidP="00F84B3A">
            <w:pPr>
              <w:jc w:val="center"/>
              <w:rPr>
                <w:rFonts w:ascii="Arial" w:hAnsi="Arial" w:cs="Arial"/>
                <w:sz w:val="20"/>
                <w:szCs w:val="20"/>
              </w:rPr>
            </w:pPr>
            <w:r w:rsidRPr="004030DB">
              <w:rPr>
                <w:rFonts w:ascii="Arial" w:hAnsi="Arial" w:cs="Arial"/>
                <w:sz w:val="20"/>
                <w:szCs w:val="20"/>
              </w:rPr>
              <w:t>Yes</w:t>
            </w:r>
          </w:p>
        </w:tc>
        <w:tc>
          <w:tcPr>
            <w:tcW w:w="1073" w:type="dxa"/>
            <w:tcBorders>
              <w:bottom w:val="single" w:sz="4" w:space="0" w:color="auto"/>
            </w:tcBorders>
          </w:tcPr>
          <w:p w14:paraId="0EA539A1" w14:textId="77777777" w:rsidR="00186516" w:rsidRPr="004030DB" w:rsidRDefault="00186516" w:rsidP="00F84B3A">
            <w:pPr>
              <w:jc w:val="center"/>
              <w:rPr>
                <w:rFonts w:ascii="Arial" w:hAnsi="Arial" w:cs="Arial"/>
                <w:sz w:val="20"/>
                <w:szCs w:val="20"/>
              </w:rPr>
            </w:pPr>
            <w:r w:rsidRPr="004030DB">
              <w:rPr>
                <w:rFonts w:ascii="Arial" w:hAnsi="Arial" w:cs="Arial"/>
                <w:sz w:val="20"/>
                <w:szCs w:val="20"/>
              </w:rPr>
              <w:t>Yes</w:t>
            </w:r>
          </w:p>
        </w:tc>
        <w:tc>
          <w:tcPr>
            <w:tcW w:w="1073" w:type="dxa"/>
            <w:tcBorders>
              <w:bottom w:val="single" w:sz="4" w:space="0" w:color="auto"/>
            </w:tcBorders>
          </w:tcPr>
          <w:p w14:paraId="73A0989F" w14:textId="77777777" w:rsidR="00186516" w:rsidRPr="004030DB" w:rsidRDefault="00186516" w:rsidP="00186516">
            <w:pPr>
              <w:jc w:val="center"/>
              <w:rPr>
                <w:rFonts w:ascii="Arial" w:hAnsi="Arial" w:cs="Arial"/>
                <w:sz w:val="20"/>
                <w:szCs w:val="20"/>
              </w:rPr>
            </w:pPr>
            <w:r w:rsidRPr="004030DB">
              <w:rPr>
                <w:rFonts w:ascii="Arial" w:hAnsi="Arial" w:cs="Arial"/>
                <w:sz w:val="20"/>
                <w:szCs w:val="20"/>
              </w:rPr>
              <w:t xml:space="preserve">No </w:t>
            </w:r>
          </w:p>
        </w:tc>
        <w:tc>
          <w:tcPr>
            <w:tcW w:w="2463" w:type="dxa"/>
            <w:tcBorders>
              <w:bottom w:val="single" w:sz="4" w:space="0" w:color="auto"/>
            </w:tcBorders>
          </w:tcPr>
          <w:p w14:paraId="730C025F" w14:textId="77777777" w:rsidR="00186516" w:rsidRPr="004030DB" w:rsidRDefault="00186516" w:rsidP="00186516">
            <w:pPr>
              <w:jc w:val="right"/>
              <w:rPr>
                <w:rFonts w:ascii="Arial" w:hAnsi="Arial" w:cs="Arial"/>
                <w:b/>
                <w:sz w:val="20"/>
                <w:szCs w:val="20"/>
              </w:rPr>
            </w:pPr>
            <w:r w:rsidRPr="004030DB">
              <w:rPr>
                <w:rFonts w:ascii="Arial" w:hAnsi="Arial" w:cs="Arial"/>
                <w:b/>
                <w:sz w:val="20"/>
                <w:szCs w:val="20"/>
              </w:rPr>
              <w:t>2 out of 3</w:t>
            </w:r>
          </w:p>
        </w:tc>
      </w:tr>
      <w:tr w:rsidR="00186516" w:rsidRPr="004030DB" w14:paraId="1C4739B9" w14:textId="77777777" w:rsidTr="00186516">
        <w:tc>
          <w:tcPr>
            <w:tcW w:w="3452" w:type="dxa"/>
            <w:tcBorders>
              <w:bottom w:val="single" w:sz="4" w:space="0" w:color="auto"/>
            </w:tcBorders>
          </w:tcPr>
          <w:p w14:paraId="2C363AC0" w14:textId="77777777" w:rsidR="00186516" w:rsidRPr="004030DB" w:rsidRDefault="00186516" w:rsidP="00186516">
            <w:pPr>
              <w:rPr>
                <w:rFonts w:ascii="Arial" w:hAnsi="Arial" w:cs="Arial"/>
                <w:sz w:val="20"/>
                <w:szCs w:val="20"/>
              </w:rPr>
            </w:pPr>
            <w:r w:rsidRPr="004030DB">
              <w:rPr>
                <w:rFonts w:ascii="Arial" w:hAnsi="Arial" w:cs="Arial"/>
                <w:sz w:val="20"/>
                <w:szCs w:val="20"/>
              </w:rPr>
              <w:t>Donna Findlater</w:t>
            </w:r>
            <w:r w:rsidR="00C171F9" w:rsidRPr="004030DB">
              <w:rPr>
                <w:rFonts w:ascii="Arial" w:hAnsi="Arial" w:cs="Arial"/>
                <w:sz w:val="20"/>
                <w:szCs w:val="20"/>
              </w:rPr>
              <w:t xml:space="preserve"> (resigned)</w:t>
            </w:r>
          </w:p>
        </w:tc>
        <w:tc>
          <w:tcPr>
            <w:tcW w:w="1073" w:type="dxa"/>
            <w:tcBorders>
              <w:bottom w:val="single" w:sz="4" w:space="0" w:color="auto"/>
            </w:tcBorders>
            <w:shd w:val="clear" w:color="auto" w:fill="000000" w:themeFill="text1"/>
          </w:tcPr>
          <w:p w14:paraId="37789F3C" w14:textId="77777777" w:rsidR="00186516" w:rsidRPr="004030DB" w:rsidRDefault="00186516" w:rsidP="00F84B3A">
            <w:pPr>
              <w:jc w:val="center"/>
              <w:rPr>
                <w:rFonts w:ascii="Arial" w:hAnsi="Arial" w:cs="Arial"/>
                <w:sz w:val="20"/>
                <w:szCs w:val="20"/>
              </w:rPr>
            </w:pPr>
          </w:p>
        </w:tc>
        <w:tc>
          <w:tcPr>
            <w:tcW w:w="1073" w:type="dxa"/>
            <w:tcBorders>
              <w:bottom w:val="single" w:sz="4" w:space="0" w:color="auto"/>
            </w:tcBorders>
          </w:tcPr>
          <w:p w14:paraId="29817F37" w14:textId="77777777" w:rsidR="00186516" w:rsidRPr="004030DB" w:rsidRDefault="00186516" w:rsidP="00186516">
            <w:pPr>
              <w:jc w:val="center"/>
              <w:rPr>
                <w:rFonts w:ascii="Arial" w:hAnsi="Arial" w:cs="Arial"/>
                <w:sz w:val="20"/>
                <w:szCs w:val="20"/>
              </w:rPr>
            </w:pPr>
            <w:r w:rsidRPr="004030DB">
              <w:rPr>
                <w:rFonts w:ascii="Arial" w:hAnsi="Arial" w:cs="Arial"/>
                <w:sz w:val="20"/>
                <w:szCs w:val="20"/>
              </w:rPr>
              <w:t xml:space="preserve">No </w:t>
            </w:r>
          </w:p>
        </w:tc>
        <w:tc>
          <w:tcPr>
            <w:tcW w:w="1073" w:type="dxa"/>
            <w:tcBorders>
              <w:bottom w:val="single" w:sz="4" w:space="0" w:color="auto"/>
            </w:tcBorders>
          </w:tcPr>
          <w:p w14:paraId="67FA2038" w14:textId="77777777" w:rsidR="00186516" w:rsidRPr="004030DB" w:rsidRDefault="00186516" w:rsidP="00186516">
            <w:pPr>
              <w:jc w:val="center"/>
              <w:rPr>
                <w:rFonts w:ascii="Arial" w:hAnsi="Arial" w:cs="Arial"/>
                <w:sz w:val="20"/>
                <w:szCs w:val="20"/>
              </w:rPr>
            </w:pPr>
            <w:r w:rsidRPr="004030DB">
              <w:rPr>
                <w:rFonts w:ascii="Arial" w:hAnsi="Arial" w:cs="Arial"/>
                <w:sz w:val="20"/>
                <w:szCs w:val="20"/>
              </w:rPr>
              <w:t xml:space="preserve">No </w:t>
            </w:r>
          </w:p>
        </w:tc>
        <w:tc>
          <w:tcPr>
            <w:tcW w:w="1073" w:type="dxa"/>
            <w:tcBorders>
              <w:bottom w:val="single" w:sz="4" w:space="0" w:color="auto"/>
            </w:tcBorders>
          </w:tcPr>
          <w:p w14:paraId="01B2E9E0" w14:textId="77777777" w:rsidR="00186516" w:rsidRPr="004030DB" w:rsidRDefault="00186516" w:rsidP="00186516">
            <w:pPr>
              <w:jc w:val="center"/>
              <w:rPr>
                <w:rFonts w:ascii="Arial" w:hAnsi="Arial" w:cs="Arial"/>
                <w:sz w:val="20"/>
                <w:szCs w:val="20"/>
              </w:rPr>
            </w:pPr>
            <w:r w:rsidRPr="004030DB">
              <w:rPr>
                <w:rFonts w:ascii="Arial" w:hAnsi="Arial" w:cs="Arial"/>
                <w:sz w:val="20"/>
                <w:szCs w:val="20"/>
              </w:rPr>
              <w:t xml:space="preserve">No </w:t>
            </w:r>
          </w:p>
        </w:tc>
        <w:tc>
          <w:tcPr>
            <w:tcW w:w="2463" w:type="dxa"/>
            <w:tcBorders>
              <w:bottom w:val="single" w:sz="4" w:space="0" w:color="auto"/>
            </w:tcBorders>
          </w:tcPr>
          <w:p w14:paraId="47C2EE92" w14:textId="77777777" w:rsidR="00186516" w:rsidRPr="00C440BD" w:rsidRDefault="00186516" w:rsidP="00186516">
            <w:pPr>
              <w:jc w:val="right"/>
              <w:rPr>
                <w:rFonts w:ascii="Arial" w:hAnsi="Arial" w:cs="Arial"/>
                <w:b/>
                <w:color w:val="EE0000"/>
                <w:sz w:val="20"/>
                <w:szCs w:val="20"/>
              </w:rPr>
            </w:pPr>
            <w:r w:rsidRPr="00C440BD">
              <w:rPr>
                <w:rFonts w:ascii="Arial" w:hAnsi="Arial" w:cs="Arial"/>
                <w:b/>
                <w:color w:val="EE0000"/>
                <w:sz w:val="20"/>
                <w:szCs w:val="20"/>
              </w:rPr>
              <w:t>No Attendance</w:t>
            </w:r>
          </w:p>
        </w:tc>
      </w:tr>
      <w:tr w:rsidR="00F84B3A" w:rsidRPr="004030DB" w14:paraId="5DBA88F2" w14:textId="77777777" w:rsidTr="00186516">
        <w:tc>
          <w:tcPr>
            <w:tcW w:w="3452" w:type="dxa"/>
            <w:tcBorders>
              <w:top w:val="single" w:sz="4" w:space="0" w:color="auto"/>
              <w:left w:val="single" w:sz="4" w:space="0" w:color="auto"/>
              <w:bottom w:val="single" w:sz="4" w:space="0" w:color="auto"/>
              <w:right w:val="nil"/>
            </w:tcBorders>
          </w:tcPr>
          <w:p w14:paraId="737E4126" w14:textId="77777777" w:rsidR="00F84B3A" w:rsidRPr="004030DB" w:rsidRDefault="00F84B3A" w:rsidP="00186516">
            <w:pPr>
              <w:rPr>
                <w:rFonts w:ascii="Arial" w:hAnsi="Arial" w:cs="Arial"/>
                <w:b/>
                <w:sz w:val="20"/>
                <w:szCs w:val="20"/>
              </w:rPr>
            </w:pPr>
            <w:r w:rsidRPr="004030DB">
              <w:rPr>
                <w:rFonts w:ascii="Arial" w:hAnsi="Arial" w:cs="Arial"/>
                <w:b/>
                <w:sz w:val="20"/>
                <w:szCs w:val="20"/>
              </w:rPr>
              <w:t>Partner Governors</w:t>
            </w:r>
          </w:p>
        </w:tc>
        <w:tc>
          <w:tcPr>
            <w:tcW w:w="1073" w:type="dxa"/>
            <w:tcBorders>
              <w:top w:val="single" w:sz="4" w:space="0" w:color="auto"/>
              <w:left w:val="nil"/>
              <w:bottom w:val="single" w:sz="4" w:space="0" w:color="auto"/>
              <w:right w:val="nil"/>
            </w:tcBorders>
          </w:tcPr>
          <w:p w14:paraId="4D9651EE" w14:textId="77777777" w:rsidR="00F84B3A" w:rsidRPr="004030DB" w:rsidRDefault="00F84B3A" w:rsidP="00F84B3A">
            <w:pPr>
              <w:jc w:val="center"/>
              <w:rPr>
                <w:rFonts w:ascii="Arial" w:hAnsi="Arial" w:cs="Arial"/>
                <w:sz w:val="20"/>
                <w:szCs w:val="20"/>
              </w:rPr>
            </w:pPr>
          </w:p>
        </w:tc>
        <w:tc>
          <w:tcPr>
            <w:tcW w:w="1073" w:type="dxa"/>
            <w:tcBorders>
              <w:top w:val="single" w:sz="4" w:space="0" w:color="auto"/>
              <w:left w:val="nil"/>
              <w:bottom w:val="single" w:sz="4" w:space="0" w:color="auto"/>
              <w:right w:val="nil"/>
            </w:tcBorders>
          </w:tcPr>
          <w:p w14:paraId="1AD1EC82" w14:textId="77777777" w:rsidR="00F84B3A" w:rsidRPr="004030DB" w:rsidRDefault="00F84B3A" w:rsidP="00F84B3A">
            <w:pPr>
              <w:jc w:val="center"/>
              <w:rPr>
                <w:rFonts w:ascii="Arial" w:hAnsi="Arial" w:cs="Arial"/>
                <w:sz w:val="20"/>
                <w:szCs w:val="20"/>
              </w:rPr>
            </w:pPr>
          </w:p>
        </w:tc>
        <w:tc>
          <w:tcPr>
            <w:tcW w:w="1073" w:type="dxa"/>
            <w:tcBorders>
              <w:top w:val="single" w:sz="4" w:space="0" w:color="auto"/>
              <w:left w:val="nil"/>
              <w:bottom w:val="single" w:sz="4" w:space="0" w:color="auto"/>
              <w:right w:val="nil"/>
            </w:tcBorders>
          </w:tcPr>
          <w:p w14:paraId="026AF0ED" w14:textId="77777777" w:rsidR="00F84B3A" w:rsidRPr="004030DB" w:rsidRDefault="00F84B3A" w:rsidP="00F84B3A">
            <w:pPr>
              <w:jc w:val="center"/>
              <w:rPr>
                <w:rFonts w:ascii="Arial" w:hAnsi="Arial" w:cs="Arial"/>
                <w:sz w:val="20"/>
                <w:szCs w:val="20"/>
              </w:rPr>
            </w:pPr>
          </w:p>
        </w:tc>
        <w:tc>
          <w:tcPr>
            <w:tcW w:w="1073" w:type="dxa"/>
            <w:tcBorders>
              <w:top w:val="single" w:sz="4" w:space="0" w:color="auto"/>
              <w:left w:val="nil"/>
              <w:bottom w:val="single" w:sz="4" w:space="0" w:color="auto"/>
              <w:right w:val="nil"/>
            </w:tcBorders>
          </w:tcPr>
          <w:p w14:paraId="5BA96254" w14:textId="77777777" w:rsidR="00F84B3A" w:rsidRPr="004030DB" w:rsidRDefault="00F84B3A" w:rsidP="00F84B3A">
            <w:pPr>
              <w:jc w:val="center"/>
              <w:rPr>
                <w:rFonts w:ascii="Arial" w:hAnsi="Arial" w:cs="Arial"/>
                <w:sz w:val="20"/>
                <w:szCs w:val="20"/>
              </w:rPr>
            </w:pPr>
          </w:p>
        </w:tc>
        <w:tc>
          <w:tcPr>
            <w:tcW w:w="2463" w:type="dxa"/>
            <w:tcBorders>
              <w:top w:val="single" w:sz="4" w:space="0" w:color="auto"/>
              <w:left w:val="nil"/>
              <w:bottom w:val="single" w:sz="4" w:space="0" w:color="auto"/>
              <w:right w:val="single" w:sz="4" w:space="0" w:color="auto"/>
            </w:tcBorders>
          </w:tcPr>
          <w:p w14:paraId="0C2E0D22" w14:textId="77777777" w:rsidR="00F84B3A" w:rsidRPr="004030DB" w:rsidRDefault="00F84B3A" w:rsidP="00186516">
            <w:pPr>
              <w:jc w:val="right"/>
              <w:rPr>
                <w:rFonts w:ascii="Arial" w:hAnsi="Arial" w:cs="Arial"/>
                <w:b/>
                <w:sz w:val="20"/>
                <w:szCs w:val="20"/>
              </w:rPr>
            </w:pPr>
          </w:p>
        </w:tc>
      </w:tr>
      <w:tr w:rsidR="00186516" w:rsidRPr="004030DB" w14:paraId="1B0AEFDC" w14:textId="77777777" w:rsidTr="00186516">
        <w:tc>
          <w:tcPr>
            <w:tcW w:w="3452" w:type="dxa"/>
            <w:tcBorders>
              <w:bottom w:val="single" w:sz="4" w:space="0" w:color="auto"/>
            </w:tcBorders>
          </w:tcPr>
          <w:p w14:paraId="5824A393" w14:textId="77777777" w:rsidR="00186516" w:rsidRPr="004030DB" w:rsidRDefault="00186516" w:rsidP="00186516">
            <w:pPr>
              <w:rPr>
                <w:rFonts w:ascii="Arial" w:hAnsi="Arial" w:cs="Arial"/>
                <w:sz w:val="20"/>
                <w:szCs w:val="20"/>
              </w:rPr>
            </w:pPr>
            <w:r w:rsidRPr="004030DB">
              <w:rPr>
                <w:rFonts w:ascii="Arial" w:hAnsi="Arial" w:cs="Arial"/>
                <w:sz w:val="20"/>
                <w:szCs w:val="20"/>
              </w:rPr>
              <w:t>Angela Harrison</w:t>
            </w:r>
          </w:p>
        </w:tc>
        <w:tc>
          <w:tcPr>
            <w:tcW w:w="1073" w:type="dxa"/>
            <w:tcBorders>
              <w:bottom w:val="single" w:sz="4" w:space="0" w:color="auto"/>
            </w:tcBorders>
          </w:tcPr>
          <w:p w14:paraId="10A41B51" w14:textId="77777777" w:rsidR="00186516" w:rsidRPr="004030DB" w:rsidRDefault="00186516" w:rsidP="00F84B3A">
            <w:pPr>
              <w:jc w:val="center"/>
              <w:rPr>
                <w:rFonts w:ascii="Arial" w:hAnsi="Arial" w:cs="Arial"/>
                <w:sz w:val="20"/>
                <w:szCs w:val="20"/>
              </w:rPr>
            </w:pPr>
            <w:r w:rsidRPr="004030DB">
              <w:rPr>
                <w:rFonts w:ascii="Arial" w:hAnsi="Arial" w:cs="Arial"/>
                <w:sz w:val="20"/>
                <w:szCs w:val="20"/>
              </w:rPr>
              <w:t>Yes</w:t>
            </w:r>
          </w:p>
        </w:tc>
        <w:tc>
          <w:tcPr>
            <w:tcW w:w="1073" w:type="dxa"/>
            <w:tcBorders>
              <w:bottom w:val="single" w:sz="4" w:space="0" w:color="auto"/>
            </w:tcBorders>
          </w:tcPr>
          <w:p w14:paraId="02B8AEE6" w14:textId="77777777" w:rsidR="00186516" w:rsidRPr="004030DB" w:rsidRDefault="00186516" w:rsidP="00F84B3A">
            <w:pPr>
              <w:jc w:val="center"/>
              <w:rPr>
                <w:rFonts w:ascii="Arial" w:hAnsi="Arial" w:cs="Arial"/>
                <w:sz w:val="20"/>
                <w:szCs w:val="20"/>
              </w:rPr>
            </w:pPr>
            <w:r w:rsidRPr="004030DB">
              <w:rPr>
                <w:rFonts w:ascii="Arial" w:hAnsi="Arial" w:cs="Arial"/>
                <w:sz w:val="20"/>
                <w:szCs w:val="20"/>
              </w:rPr>
              <w:t>Yes</w:t>
            </w:r>
          </w:p>
        </w:tc>
        <w:tc>
          <w:tcPr>
            <w:tcW w:w="1073" w:type="dxa"/>
            <w:tcBorders>
              <w:bottom w:val="single" w:sz="4" w:space="0" w:color="auto"/>
            </w:tcBorders>
          </w:tcPr>
          <w:p w14:paraId="021A5113" w14:textId="77777777" w:rsidR="00186516" w:rsidRPr="004030DB" w:rsidRDefault="00186516" w:rsidP="00186516">
            <w:pPr>
              <w:jc w:val="center"/>
              <w:rPr>
                <w:rFonts w:ascii="Arial" w:hAnsi="Arial" w:cs="Arial"/>
                <w:sz w:val="20"/>
                <w:szCs w:val="20"/>
              </w:rPr>
            </w:pPr>
            <w:r w:rsidRPr="004030DB">
              <w:rPr>
                <w:rFonts w:ascii="Arial" w:hAnsi="Arial" w:cs="Arial"/>
                <w:sz w:val="20"/>
                <w:szCs w:val="20"/>
              </w:rPr>
              <w:t xml:space="preserve">No </w:t>
            </w:r>
          </w:p>
        </w:tc>
        <w:tc>
          <w:tcPr>
            <w:tcW w:w="1073" w:type="dxa"/>
            <w:tcBorders>
              <w:bottom w:val="single" w:sz="4" w:space="0" w:color="auto"/>
            </w:tcBorders>
          </w:tcPr>
          <w:p w14:paraId="46A4FD20" w14:textId="77777777" w:rsidR="00186516" w:rsidRPr="004030DB" w:rsidRDefault="00186516" w:rsidP="00F84B3A">
            <w:pPr>
              <w:jc w:val="center"/>
              <w:rPr>
                <w:rFonts w:ascii="Arial" w:hAnsi="Arial" w:cs="Arial"/>
                <w:sz w:val="20"/>
                <w:szCs w:val="20"/>
              </w:rPr>
            </w:pPr>
            <w:r w:rsidRPr="004030DB">
              <w:rPr>
                <w:rFonts w:ascii="Arial" w:hAnsi="Arial" w:cs="Arial"/>
                <w:sz w:val="20"/>
                <w:szCs w:val="20"/>
              </w:rPr>
              <w:t>Yes</w:t>
            </w:r>
          </w:p>
        </w:tc>
        <w:tc>
          <w:tcPr>
            <w:tcW w:w="2463" w:type="dxa"/>
            <w:tcBorders>
              <w:bottom w:val="single" w:sz="4" w:space="0" w:color="auto"/>
            </w:tcBorders>
          </w:tcPr>
          <w:p w14:paraId="428FA071" w14:textId="77777777" w:rsidR="00186516" w:rsidRPr="004030DB" w:rsidRDefault="00186516" w:rsidP="00186516">
            <w:pPr>
              <w:jc w:val="right"/>
              <w:rPr>
                <w:rFonts w:ascii="Arial" w:hAnsi="Arial" w:cs="Arial"/>
                <w:b/>
                <w:sz w:val="20"/>
                <w:szCs w:val="20"/>
              </w:rPr>
            </w:pPr>
            <w:r w:rsidRPr="004030DB">
              <w:rPr>
                <w:rFonts w:ascii="Arial" w:hAnsi="Arial" w:cs="Arial"/>
                <w:b/>
                <w:sz w:val="20"/>
                <w:szCs w:val="20"/>
              </w:rPr>
              <w:t>3 out of 4</w:t>
            </w:r>
          </w:p>
        </w:tc>
      </w:tr>
      <w:tr w:rsidR="00186516" w:rsidRPr="004030DB" w14:paraId="2A6855D4" w14:textId="77777777" w:rsidTr="00186516">
        <w:tc>
          <w:tcPr>
            <w:tcW w:w="3452" w:type="dxa"/>
          </w:tcPr>
          <w:p w14:paraId="0DA0987A" w14:textId="77777777" w:rsidR="00186516" w:rsidRPr="004030DB" w:rsidRDefault="00186516" w:rsidP="00186516">
            <w:pPr>
              <w:rPr>
                <w:rFonts w:ascii="Arial" w:hAnsi="Arial" w:cs="Arial"/>
                <w:sz w:val="20"/>
                <w:szCs w:val="20"/>
              </w:rPr>
            </w:pPr>
            <w:r w:rsidRPr="004030DB">
              <w:rPr>
                <w:rFonts w:ascii="Arial" w:hAnsi="Arial" w:cs="Arial"/>
                <w:sz w:val="20"/>
                <w:szCs w:val="20"/>
              </w:rPr>
              <w:t>Claire Peppiatt-Wildman</w:t>
            </w:r>
            <w:r w:rsidR="00C171F9" w:rsidRPr="004030DB">
              <w:rPr>
                <w:rFonts w:ascii="Arial" w:hAnsi="Arial" w:cs="Arial"/>
                <w:sz w:val="20"/>
                <w:szCs w:val="20"/>
              </w:rPr>
              <w:t xml:space="preserve"> (resigned)</w:t>
            </w:r>
          </w:p>
        </w:tc>
        <w:tc>
          <w:tcPr>
            <w:tcW w:w="1073" w:type="dxa"/>
          </w:tcPr>
          <w:p w14:paraId="650633B8" w14:textId="77777777" w:rsidR="00186516" w:rsidRPr="004030DB" w:rsidRDefault="00186516" w:rsidP="00186516">
            <w:pPr>
              <w:jc w:val="center"/>
              <w:rPr>
                <w:rFonts w:ascii="Arial" w:hAnsi="Arial" w:cs="Arial"/>
                <w:sz w:val="20"/>
                <w:szCs w:val="20"/>
              </w:rPr>
            </w:pPr>
            <w:r w:rsidRPr="004030DB">
              <w:rPr>
                <w:rFonts w:ascii="Arial" w:hAnsi="Arial" w:cs="Arial"/>
                <w:sz w:val="20"/>
                <w:szCs w:val="20"/>
              </w:rPr>
              <w:t xml:space="preserve">No </w:t>
            </w:r>
          </w:p>
        </w:tc>
        <w:tc>
          <w:tcPr>
            <w:tcW w:w="1073" w:type="dxa"/>
          </w:tcPr>
          <w:p w14:paraId="39FB0AE9" w14:textId="77777777" w:rsidR="00186516" w:rsidRPr="004030DB" w:rsidRDefault="00186516" w:rsidP="00186516">
            <w:pPr>
              <w:jc w:val="center"/>
              <w:rPr>
                <w:rFonts w:ascii="Arial" w:hAnsi="Arial" w:cs="Arial"/>
                <w:sz w:val="20"/>
                <w:szCs w:val="20"/>
              </w:rPr>
            </w:pPr>
            <w:r w:rsidRPr="004030DB">
              <w:rPr>
                <w:rFonts w:ascii="Arial" w:hAnsi="Arial" w:cs="Arial"/>
                <w:sz w:val="20"/>
                <w:szCs w:val="20"/>
              </w:rPr>
              <w:t xml:space="preserve">No </w:t>
            </w:r>
          </w:p>
        </w:tc>
        <w:tc>
          <w:tcPr>
            <w:tcW w:w="1073" w:type="dxa"/>
          </w:tcPr>
          <w:p w14:paraId="6EDE6A27" w14:textId="77777777" w:rsidR="00186516" w:rsidRPr="004030DB" w:rsidRDefault="00186516" w:rsidP="00186516">
            <w:pPr>
              <w:jc w:val="center"/>
              <w:rPr>
                <w:rFonts w:ascii="Arial" w:hAnsi="Arial" w:cs="Arial"/>
                <w:sz w:val="20"/>
                <w:szCs w:val="20"/>
              </w:rPr>
            </w:pPr>
            <w:r w:rsidRPr="004030DB">
              <w:rPr>
                <w:rFonts w:ascii="Arial" w:hAnsi="Arial" w:cs="Arial"/>
                <w:sz w:val="20"/>
                <w:szCs w:val="20"/>
              </w:rPr>
              <w:t xml:space="preserve">No </w:t>
            </w:r>
          </w:p>
        </w:tc>
        <w:tc>
          <w:tcPr>
            <w:tcW w:w="1073" w:type="dxa"/>
          </w:tcPr>
          <w:p w14:paraId="659B4E61" w14:textId="77777777" w:rsidR="00186516" w:rsidRPr="004030DB" w:rsidRDefault="00186516" w:rsidP="00186516">
            <w:pPr>
              <w:jc w:val="center"/>
              <w:rPr>
                <w:rFonts w:ascii="Arial" w:hAnsi="Arial" w:cs="Arial"/>
                <w:sz w:val="20"/>
                <w:szCs w:val="20"/>
              </w:rPr>
            </w:pPr>
            <w:r w:rsidRPr="004030DB">
              <w:rPr>
                <w:rFonts w:ascii="Arial" w:hAnsi="Arial" w:cs="Arial"/>
                <w:sz w:val="20"/>
                <w:szCs w:val="20"/>
              </w:rPr>
              <w:t xml:space="preserve">No </w:t>
            </w:r>
          </w:p>
        </w:tc>
        <w:tc>
          <w:tcPr>
            <w:tcW w:w="2463" w:type="dxa"/>
          </w:tcPr>
          <w:p w14:paraId="121AD4F4" w14:textId="77777777" w:rsidR="00186516" w:rsidRPr="00C440BD" w:rsidRDefault="00186516" w:rsidP="00186516">
            <w:pPr>
              <w:jc w:val="right"/>
              <w:rPr>
                <w:rFonts w:ascii="Arial" w:hAnsi="Arial" w:cs="Arial"/>
                <w:b/>
                <w:color w:val="EE0000"/>
                <w:sz w:val="20"/>
                <w:szCs w:val="20"/>
              </w:rPr>
            </w:pPr>
            <w:r w:rsidRPr="00C440BD">
              <w:rPr>
                <w:rFonts w:ascii="Arial" w:hAnsi="Arial" w:cs="Arial"/>
                <w:b/>
                <w:color w:val="EE0000"/>
                <w:sz w:val="20"/>
                <w:szCs w:val="20"/>
              </w:rPr>
              <w:t>No Attendance</w:t>
            </w:r>
          </w:p>
        </w:tc>
      </w:tr>
      <w:tr w:rsidR="00186516" w:rsidRPr="004030DB" w14:paraId="07F3F6CC" w14:textId="77777777" w:rsidTr="00186516">
        <w:tc>
          <w:tcPr>
            <w:tcW w:w="3452" w:type="dxa"/>
            <w:tcBorders>
              <w:top w:val="single" w:sz="4" w:space="0" w:color="auto"/>
            </w:tcBorders>
          </w:tcPr>
          <w:p w14:paraId="7FB180E6" w14:textId="77777777" w:rsidR="00186516" w:rsidRPr="004030DB" w:rsidRDefault="00186516" w:rsidP="00186516">
            <w:pPr>
              <w:rPr>
                <w:rFonts w:ascii="Arial" w:hAnsi="Arial" w:cs="Arial"/>
                <w:sz w:val="20"/>
                <w:szCs w:val="20"/>
              </w:rPr>
            </w:pPr>
            <w:r w:rsidRPr="004030DB">
              <w:rPr>
                <w:rFonts w:ascii="Arial" w:hAnsi="Arial" w:cs="Arial"/>
                <w:sz w:val="20"/>
                <w:szCs w:val="20"/>
              </w:rPr>
              <w:t>David Brake</w:t>
            </w:r>
          </w:p>
        </w:tc>
        <w:tc>
          <w:tcPr>
            <w:tcW w:w="1073" w:type="dxa"/>
            <w:tcBorders>
              <w:top w:val="single" w:sz="4" w:space="0" w:color="auto"/>
            </w:tcBorders>
          </w:tcPr>
          <w:p w14:paraId="57AB046B" w14:textId="77777777" w:rsidR="00186516" w:rsidRPr="004030DB" w:rsidRDefault="00186516" w:rsidP="00F84B3A">
            <w:pPr>
              <w:jc w:val="center"/>
              <w:rPr>
                <w:rFonts w:ascii="Arial" w:hAnsi="Arial" w:cs="Arial"/>
                <w:sz w:val="20"/>
                <w:szCs w:val="20"/>
              </w:rPr>
            </w:pPr>
            <w:r w:rsidRPr="004030DB">
              <w:rPr>
                <w:rFonts w:ascii="Arial" w:hAnsi="Arial" w:cs="Arial"/>
                <w:sz w:val="20"/>
                <w:szCs w:val="20"/>
              </w:rPr>
              <w:t>Yes</w:t>
            </w:r>
          </w:p>
        </w:tc>
        <w:tc>
          <w:tcPr>
            <w:tcW w:w="1073" w:type="dxa"/>
            <w:tcBorders>
              <w:top w:val="single" w:sz="4" w:space="0" w:color="auto"/>
            </w:tcBorders>
          </w:tcPr>
          <w:p w14:paraId="56D5694B" w14:textId="77777777" w:rsidR="00186516" w:rsidRPr="004030DB" w:rsidRDefault="00186516" w:rsidP="00186516">
            <w:pPr>
              <w:jc w:val="center"/>
              <w:rPr>
                <w:rFonts w:ascii="Arial" w:hAnsi="Arial" w:cs="Arial"/>
                <w:sz w:val="20"/>
                <w:szCs w:val="20"/>
              </w:rPr>
            </w:pPr>
            <w:r w:rsidRPr="004030DB">
              <w:rPr>
                <w:rFonts w:ascii="Arial" w:hAnsi="Arial" w:cs="Arial"/>
                <w:sz w:val="20"/>
                <w:szCs w:val="20"/>
              </w:rPr>
              <w:t xml:space="preserve">No </w:t>
            </w:r>
          </w:p>
        </w:tc>
        <w:tc>
          <w:tcPr>
            <w:tcW w:w="1073" w:type="dxa"/>
            <w:tcBorders>
              <w:top w:val="single" w:sz="4" w:space="0" w:color="auto"/>
            </w:tcBorders>
          </w:tcPr>
          <w:p w14:paraId="543535B7" w14:textId="77777777" w:rsidR="00186516" w:rsidRPr="004030DB" w:rsidRDefault="00186516" w:rsidP="00F84B3A">
            <w:pPr>
              <w:jc w:val="center"/>
              <w:rPr>
                <w:rFonts w:ascii="Arial" w:hAnsi="Arial" w:cs="Arial"/>
                <w:sz w:val="20"/>
                <w:szCs w:val="20"/>
              </w:rPr>
            </w:pPr>
            <w:r w:rsidRPr="004030DB">
              <w:rPr>
                <w:rFonts w:ascii="Arial" w:hAnsi="Arial" w:cs="Arial"/>
                <w:sz w:val="20"/>
                <w:szCs w:val="20"/>
              </w:rPr>
              <w:t>Yes</w:t>
            </w:r>
          </w:p>
        </w:tc>
        <w:tc>
          <w:tcPr>
            <w:tcW w:w="1073" w:type="dxa"/>
            <w:tcBorders>
              <w:top w:val="single" w:sz="4" w:space="0" w:color="auto"/>
            </w:tcBorders>
          </w:tcPr>
          <w:p w14:paraId="185A94A9" w14:textId="77777777" w:rsidR="00186516" w:rsidRPr="004030DB" w:rsidRDefault="00186516" w:rsidP="00F84B3A">
            <w:pPr>
              <w:jc w:val="center"/>
              <w:rPr>
                <w:rFonts w:ascii="Arial" w:hAnsi="Arial" w:cs="Arial"/>
                <w:sz w:val="20"/>
                <w:szCs w:val="20"/>
              </w:rPr>
            </w:pPr>
            <w:r w:rsidRPr="004030DB">
              <w:rPr>
                <w:rFonts w:ascii="Arial" w:hAnsi="Arial" w:cs="Arial"/>
                <w:sz w:val="20"/>
                <w:szCs w:val="20"/>
              </w:rPr>
              <w:t>Yes</w:t>
            </w:r>
          </w:p>
        </w:tc>
        <w:tc>
          <w:tcPr>
            <w:tcW w:w="2463" w:type="dxa"/>
            <w:tcBorders>
              <w:top w:val="single" w:sz="4" w:space="0" w:color="auto"/>
            </w:tcBorders>
          </w:tcPr>
          <w:p w14:paraId="6605CF70" w14:textId="77777777" w:rsidR="00186516" w:rsidRPr="004030DB" w:rsidRDefault="00186516" w:rsidP="00186516">
            <w:pPr>
              <w:jc w:val="right"/>
              <w:rPr>
                <w:rFonts w:ascii="Arial" w:hAnsi="Arial" w:cs="Arial"/>
                <w:b/>
                <w:sz w:val="20"/>
                <w:szCs w:val="20"/>
              </w:rPr>
            </w:pPr>
            <w:r w:rsidRPr="004030DB">
              <w:rPr>
                <w:rFonts w:ascii="Arial" w:hAnsi="Arial" w:cs="Arial"/>
                <w:b/>
                <w:sz w:val="20"/>
                <w:szCs w:val="20"/>
              </w:rPr>
              <w:t>3 out of 4</w:t>
            </w:r>
          </w:p>
        </w:tc>
      </w:tr>
      <w:tr w:rsidR="00186516" w:rsidRPr="004030DB" w14:paraId="51854456" w14:textId="77777777" w:rsidTr="00186516">
        <w:tc>
          <w:tcPr>
            <w:tcW w:w="3452" w:type="dxa"/>
          </w:tcPr>
          <w:p w14:paraId="354FB44C" w14:textId="77777777" w:rsidR="00186516" w:rsidRPr="004030DB" w:rsidRDefault="00186516" w:rsidP="00186516">
            <w:pPr>
              <w:rPr>
                <w:rFonts w:ascii="Arial" w:hAnsi="Arial" w:cs="Arial"/>
                <w:sz w:val="20"/>
                <w:szCs w:val="20"/>
              </w:rPr>
            </w:pPr>
            <w:r w:rsidRPr="004030DB">
              <w:rPr>
                <w:rFonts w:ascii="Arial" w:hAnsi="Arial" w:cs="Arial"/>
                <w:sz w:val="20"/>
                <w:szCs w:val="20"/>
              </w:rPr>
              <w:t>Helen Belcher</w:t>
            </w:r>
          </w:p>
        </w:tc>
        <w:tc>
          <w:tcPr>
            <w:tcW w:w="1073" w:type="dxa"/>
          </w:tcPr>
          <w:p w14:paraId="4DC48653" w14:textId="77777777" w:rsidR="00186516" w:rsidRPr="004030DB" w:rsidRDefault="00186516" w:rsidP="00F84B3A">
            <w:pPr>
              <w:jc w:val="center"/>
              <w:rPr>
                <w:rFonts w:ascii="Arial" w:hAnsi="Arial" w:cs="Arial"/>
                <w:sz w:val="20"/>
                <w:szCs w:val="20"/>
              </w:rPr>
            </w:pPr>
            <w:r w:rsidRPr="004030DB">
              <w:rPr>
                <w:rFonts w:ascii="Arial" w:hAnsi="Arial" w:cs="Arial"/>
                <w:sz w:val="20"/>
                <w:szCs w:val="20"/>
              </w:rPr>
              <w:t>Yes</w:t>
            </w:r>
          </w:p>
        </w:tc>
        <w:tc>
          <w:tcPr>
            <w:tcW w:w="1073" w:type="dxa"/>
          </w:tcPr>
          <w:p w14:paraId="0761F945" w14:textId="77777777" w:rsidR="00186516" w:rsidRPr="004030DB" w:rsidRDefault="00186516" w:rsidP="00F84B3A">
            <w:pPr>
              <w:jc w:val="center"/>
              <w:rPr>
                <w:rFonts w:ascii="Arial" w:hAnsi="Arial" w:cs="Arial"/>
                <w:sz w:val="20"/>
                <w:szCs w:val="20"/>
              </w:rPr>
            </w:pPr>
            <w:r w:rsidRPr="004030DB">
              <w:rPr>
                <w:rFonts w:ascii="Arial" w:hAnsi="Arial" w:cs="Arial"/>
                <w:sz w:val="20"/>
                <w:szCs w:val="20"/>
              </w:rPr>
              <w:t>Yes</w:t>
            </w:r>
          </w:p>
        </w:tc>
        <w:tc>
          <w:tcPr>
            <w:tcW w:w="1073" w:type="dxa"/>
          </w:tcPr>
          <w:p w14:paraId="54A47ABF" w14:textId="77777777" w:rsidR="00186516" w:rsidRPr="004030DB" w:rsidRDefault="00186516" w:rsidP="00186516">
            <w:pPr>
              <w:jc w:val="center"/>
              <w:rPr>
                <w:rFonts w:ascii="Arial" w:hAnsi="Arial" w:cs="Arial"/>
                <w:sz w:val="20"/>
                <w:szCs w:val="20"/>
              </w:rPr>
            </w:pPr>
            <w:r w:rsidRPr="004030DB">
              <w:rPr>
                <w:rFonts w:ascii="Arial" w:hAnsi="Arial" w:cs="Arial"/>
                <w:sz w:val="20"/>
                <w:szCs w:val="20"/>
              </w:rPr>
              <w:t xml:space="preserve">No </w:t>
            </w:r>
          </w:p>
        </w:tc>
        <w:tc>
          <w:tcPr>
            <w:tcW w:w="1073" w:type="dxa"/>
          </w:tcPr>
          <w:p w14:paraId="4505D172" w14:textId="77777777" w:rsidR="00186516" w:rsidRPr="004030DB" w:rsidRDefault="00186516" w:rsidP="00186516">
            <w:pPr>
              <w:jc w:val="center"/>
              <w:rPr>
                <w:rFonts w:ascii="Arial" w:hAnsi="Arial" w:cs="Arial"/>
                <w:sz w:val="20"/>
                <w:szCs w:val="20"/>
              </w:rPr>
            </w:pPr>
            <w:r w:rsidRPr="004030DB">
              <w:rPr>
                <w:rFonts w:ascii="Arial" w:hAnsi="Arial" w:cs="Arial"/>
                <w:sz w:val="20"/>
                <w:szCs w:val="20"/>
              </w:rPr>
              <w:t xml:space="preserve">No </w:t>
            </w:r>
          </w:p>
        </w:tc>
        <w:tc>
          <w:tcPr>
            <w:tcW w:w="2463" w:type="dxa"/>
          </w:tcPr>
          <w:p w14:paraId="0B40D703" w14:textId="77777777" w:rsidR="00186516" w:rsidRPr="004030DB" w:rsidRDefault="00186516" w:rsidP="00186516">
            <w:pPr>
              <w:jc w:val="right"/>
              <w:rPr>
                <w:rFonts w:ascii="Arial" w:hAnsi="Arial" w:cs="Arial"/>
                <w:b/>
                <w:sz w:val="20"/>
                <w:szCs w:val="20"/>
              </w:rPr>
            </w:pPr>
            <w:r w:rsidRPr="004030DB">
              <w:rPr>
                <w:rFonts w:ascii="Arial" w:hAnsi="Arial" w:cs="Arial"/>
                <w:b/>
                <w:sz w:val="20"/>
                <w:szCs w:val="20"/>
              </w:rPr>
              <w:t>2 out of 4</w:t>
            </w:r>
          </w:p>
        </w:tc>
      </w:tr>
      <w:tr w:rsidR="00186516" w:rsidRPr="004030DB" w14:paraId="7C7A3A7A" w14:textId="77777777" w:rsidTr="00186516">
        <w:tc>
          <w:tcPr>
            <w:tcW w:w="3452" w:type="dxa"/>
          </w:tcPr>
          <w:p w14:paraId="009B8491" w14:textId="77777777" w:rsidR="00186516" w:rsidRPr="004030DB" w:rsidRDefault="00186516" w:rsidP="00186516">
            <w:pPr>
              <w:rPr>
                <w:rFonts w:ascii="Arial" w:hAnsi="Arial" w:cs="Arial"/>
                <w:sz w:val="20"/>
                <w:szCs w:val="20"/>
              </w:rPr>
            </w:pPr>
            <w:r w:rsidRPr="004030DB">
              <w:rPr>
                <w:rFonts w:ascii="Arial" w:hAnsi="Arial" w:cs="Arial"/>
                <w:sz w:val="20"/>
                <w:szCs w:val="20"/>
              </w:rPr>
              <w:t>John Wright</w:t>
            </w:r>
          </w:p>
        </w:tc>
        <w:tc>
          <w:tcPr>
            <w:tcW w:w="1073" w:type="dxa"/>
          </w:tcPr>
          <w:p w14:paraId="693962AD" w14:textId="77777777" w:rsidR="00186516" w:rsidRPr="004030DB" w:rsidRDefault="00186516" w:rsidP="00186516">
            <w:pPr>
              <w:jc w:val="center"/>
              <w:rPr>
                <w:rFonts w:ascii="Arial" w:hAnsi="Arial" w:cs="Arial"/>
                <w:sz w:val="20"/>
                <w:szCs w:val="20"/>
              </w:rPr>
            </w:pPr>
            <w:r w:rsidRPr="004030DB">
              <w:rPr>
                <w:rFonts w:ascii="Arial" w:hAnsi="Arial" w:cs="Arial"/>
                <w:sz w:val="20"/>
                <w:szCs w:val="20"/>
              </w:rPr>
              <w:t xml:space="preserve">No </w:t>
            </w:r>
          </w:p>
        </w:tc>
        <w:tc>
          <w:tcPr>
            <w:tcW w:w="1073" w:type="dxa"/>
          </w:tcPr>
          <w:p w14:paraId="598B62EF" w14:textId="77777777" w:rsidR="00186516" w:rsidRPr="004030DB" w:rsidRDefault="00186516" w:rsidP="00F84B3A">
            <w:pPr>
              <w:jc w:val="center"/>
              <w:rPr>
                <w:rFonts w:ascii="Arial" w:hAnsi="Arial" w:cs="Arial"/>
                <w:sz w:val="20"/>
                <w:szCs w:val="20"/>
              </w:rPr>
            </w:pPr>
            <w:r w:rsidRPr="004030DB">
              <w:rPr>
                <w:rFonts w:ascii="Arial" w:hAnsi="Arial" w:cs="Arial"/>
                <w:sz w:val="20"/>
                <w:szCs w:val="20"/>
              </w:rPr>
              <w:t>Yes</w:t>
            </w:r>
          </w:p>
        </w:tc>
        <w:tc>
          <w:tcPr>
            <w:tcW w:w="1073" w:type="dxa"/>
          </w:tcPr>
          <w:p w14:paraId="535F5931" w14:textId="77777777" w:rsidR="00186516" w:rsidRPr="004030DB" w:rsidRDefault="00186516" w:rsidP="00F84B3A">
            <w:pPr>
              <w:jc w:val="center"/>
              <w:rPr>
                <w:rFonts w:ascii="Arial" w:hAnsi="Arial" w:cs="Arial"/>
                <w:sz w:val="20"/>
                <w:szCs w:val="20"/>
              </w:rPr>
            </w:pPr>
            <w:r w:rsidRPr="004030DB">
              <w:rPr>
                <w:rFonts w:ascii="Arial" w:hAnsi="Arial" w:cs="Arial"/>
                <w:sz w:val="20"/>
                <w:szCs w:val="20"/>
              </w:rPr>
              <w:t>Yes</w:t>
            </w:r>
          </w:p>
        </w:tc>
        <w:tc>
          <w:tcPr>
            <w:tcW w:w="1073" w:type="dxa"/>
          </w:tcPr>
          <w:p w14:paraId="0BED9BFF" w14:textId="77777777" w:rsidR="00186516" w:rsidRPr="004030DB" w:rsidRDefault="00186516" w:rsidP="00F84B3A">
            <w:pPr>
              <w:jc w:val="center"/>
              <w:rPr>
                <w:rFonts w:ascii="Arial" w:hAnsi="Arial" w:cs="Arial"/>
                <w:sz w:val="20"/>
                <w:szCs w:val="20"/>
              </w:rPr>
            </w:pPr>
            <w:r w:rsidRPr="004030DB">
              <w:rPr>
                <w:rFonts w:ascii="Arial" w:hAnsi="Arial" w:cs="Arial"/>
                <w:sz w:val="20"/>
                <w:szCs w:val="20"/>
              </w:rPr>
              <w:t>Yes</w:t>
            </w:r>
          </w:p>
        </w:tc>
        <w:tc>
          <w:tcPr>
            <w:tcW w:w="2463" w:type="dxa"/>
          </w:tcPr>
          <w:p w14:paraId="35864E65" w14:textId="77777777" w:rsidR="00186516" w:rsidRPr="004030DB" w:rsidRDefault="00186516" w:rsidP="00186516">
            <w:pPr>
              <w:jc w:val="right"/>
              <w:rPr>
                <w:rFonts w:ascii="Arial" w:hAnsi="Arial" w:cs="Arial"/>
                <w:b/>
                <w:sz w:val="20"/>
                <w:szCs w:val="20"/>
              </w:rPr>
            </w:pPr>
            <w:r w:rsidRPr="004030DB">
              <w:rPr>
                <w:rFonts w:ascii="Arial" w:hAnsi="Arial" w:cs="Arial"/>
                <w:b/>
                <w:sz w:val="20"/>
                <w:szCs w:val="20"/>
              </w:rPr>
              <w:t>3 out of 4</w:t>
            </w:r>
          </w:p>
        </w:tc>
      </w:tr>
      <w:tr w:rsidR="00F84B3A" w:rsidRPr="004030DB" w14:paraId="0BD31065" w14:textId="77777777" w:rsidTr="00186516">
        <w:tc>
          <w:tcPr>
            <w:tcW w:w="3452" w:type="dxa"/>
          </w:tcPr>
          <w:p w14:paraId="78224697" w14:textId="77777777" w:rsidR="00F84B3A" w:rsidRPr="004030DB" w:rsidRDefault="00F84B3A" w:rsidP="00186516">
            <w:pPr>
              <w:rPr>
                <w:rFonts w:ascii="Arial" w:hAnsi="Arial" w:cs="Arial"/>
                <w:sz w:val="20"/>
                <w:szCs w:val="20"/>
              </w:rPr>
            </w:pPr>
            <w:r w:rsidRPr="004030DB">
              <w:rPr>
                <w:rFonts w:ascii="Arial" w:hAnsi="Arial" w:cs="Arial"/>
                <w:sz w:val="20"/>
                <w:szCs w:val="20"/>
              </w:rPr>
              <w:t>Susan Plummer</w:t>
            </w:r>
          </w:p>
        </w:tc>
        <w:tc>
          <w:tcPr>
            <w:tcW w:w="1073" w:type="dxa"/>
          </w:tcPr>
          <w:p w14:paraId="55FAFAD3" w14:textId="77777777" w:rsidR="00F84B3A" w:rsidRPr="004030DB" w:rsidRDefault="00F84B3A" w:rsidP="00F84B3A">
            <w:pPr>
              <w:jc w:val="center"/>
              <w:rPr>
                <w:rFonts w:ascii="Arial" w:hAnsi="Arial" w:cs="Arial"/>
                <w:sz w:val="20"/>
                <w:szCs w:val="20"/>
              </w:rPr>
            </w:pPr>
            <w:r w:rsidRPr="004030DB">
              <w:rPr>
                <w:rFonts w:ascii="Arial" w:hAnsi="Arial" w:cs="Arial"/>
                <w:sz w:val="20"/>
                <w:szCs w:val="20"/>
              </w:rPr>
              <w:t>Yes</w:t>
            </w:r>
          </w:p>
        </w:tc>
        <w:tc>
          <w:tcPr>
            <w:tcW w:w="1073" w:type="dxa"/>
          </w:tcPr>
          <w:p w14:paraId="1875671E" w14:textId="77777777" w:rsidR="00F84B3A" w:rsidRPr="004030DB" w:rsidRDefault="00F84B3A" w:rsidP="00F84B3A">
            <w:pPr>
              <w:jc w:val="center"/>
              <w:rPr>
                <w:rFonts w:ascii="Arial" w:hAnsi="Arial" w:cs="Arial"/>
                <w:sz w:val="20"/>
                <w:szCs w:val="20"/>
              </w:rPr>
            </w:pPr>
            <w:r w:rsidRPr="004030DB">
              <w:rPr>
                <w:rFonts w:ascii="Arial" w:hAnsi="Arial" w:cs="Arial"/>
                <w:sz w:val="20"/>
                <w:szCs w:val="20"/>
              </w:rPr>
              <w:t>Yes</w:t>
            </w:r>
          </w:p>
        </w:tc>
        <w:tc>
          <w:tcPr>
            <w:tcW w:w="1073" w:type="dxa"/>
          </w:tcPr>
          <w:p w14:paraId="6B01A40A" w14:textId="77777777" w:rsidR="00F84B3A" w:rsidRPr="004030DB" w:rsidRDefault="00F84B3A" w:rsidP="00F84B3A">
            <w:pPr>
              <w:jc w:val="center"/>
              <w:rPr>
                <w:rFonts w:ascii="Arial" w:hAnsi="Arial" w:cs="Arial"/>
                <w:sz w:val="20"/>
                <w:szCs w:val="20"/>
              </w:rPr>
            </w:pPr>
            <w:r w:rsidRPr="004030DB">
              <w:rPr>
                <w:rFonts w:ascii="Arial" w:hAnsi="Arial" w:cs="Arial"/>
                <w:sz w:val="20"/>
                <w:szCs w:val="20"/>
              </w:rPr>
              <w:t>Yes</w:t>
            </w:r>
          </w:p>
        </w:tc>
        <w:tc>
          <w:tcPr>
            <w:tcW w:w="1073" w:type="dxa"/>
          </w:tcPr>
          <w:p w14:paraId="38FF120A" w14:textId="77777777" w:rsidR="00F84B3A" w:rsidRPr="004030DB" w:rsidRDefault="00F84B3A" w:rsidP="00F84B3A">
            <w:pPr>
              <w:jc w:val="center"/>
              <w:rPr>
                <w:rFonts w:ascii="Arial" w:hAnsi="Arial" w:cs="Arial"/>
                <w:sz w:val="20"/>
                <w:szCs w:val="20"/>
              </w:rPr>
            </w:pPr>
            <w:r w:rsidRPr="004030DB">
              <w:rPr>
                <w:rFonts w:ascii="Arial" w:hAnsi="Arial" w:cs="Arial"/>
                <w:sz w:val="20"/>
                <w:szCs w:val="20"/>
              </w:rPr>
              <w:t>Yes</w:t>
            </w:r>
          </w:p>
        </w:tc>
        <w:tc>
          <w:tcPr>
            <w:tcW w:w="2463" w:type="dxa"/>
          </w:tcPr>
          <w:p w14:paraId="2C63CD98" w14:textId="77777777" w:rsidR="00F84B3A" w:rsidRPr="004030DB" w:rsidRDefault="00F84B3A" w:rsidP="00186516">
            <w:pPr>
              <w:jc w:val="right"/>
              <w:rPr>
                <w:rFonts w:ascii="Arial" w:hAnsi="Arial" w:cs="Arial"/>
                <w:b/>
                <w:sz w:val="20"/>
                <w:szCs w:val="20"/>
              </w:rPr>
            </w:pPr>
            <w:r w:rsidRPr="004030DB">
              <w:rPr>
                <w:rFonts w:ascii="Arial" w:hAnsi="Arial" w:cs="Arial"/>
                <w:b/>
                <w:sz w:val="20"/>
                <w:szCs w:val="20"/>
              </w:rPr>
              <w:t>4 out of 4</w:t>
            </w:r>
          </w:p>
        </w:tc>
      </w:tr>
      <w:tr w:rsidR="00F84B3A" w:rsidRPr="004030DB" w14:paraId="165846DB" w14:textId="77777777" w:rsidTr="00186516">
        <w:tc>
          <w:tcPr>
            <w:tcW w:w="3452" w:type="dxa"/>
            <w:tcBorders>
              <w:top w:val="single" w:sz="4" w:space="0" w:color="auto"/>
              <w:left w:val="single" w:sz="4" w:space="0" w:color="auto"/>
              <w:bottom w:val="single" w:sz="4" w:space="0" w:color="auto"/>
              <w:right w:val="nil"/>
            </w:tcBorders>
          </w:tcPr>
          <w:p w14:paraId="3B28B3CE" w14:textId="77777777" w:rsidR="00F84B3A" w:rsidRPr="004030DB" w:rsidRDefault="00F84B3A" w:rsidP="00186516">
            <w:pPr>
              <w:rPr>
                <w:rFonts w:ascii="Arial" w:hAnsi="Arial" w:cs="Arial"/>
                <w:b/>
                <w:sz w:val="20"/>
                <w:szCs w:val="20"/>
              </w:rPr>
            </w:pPr>
            <w:r w:rsidRPr="004030DB">
              <w:rPr>
                <w:rFonts w:ascii="Arial" w:hAnsi="Arial" w:cs="Arial"/>
                <w:b/>
                <w:sz w:val="20"/>
                <w:szCs w:val="20"/>
              </w:rPr>
              <w:t>Non-Executive Directors</w:t>
            </w:r>
          </w:p>
        </w:tc>
        <w:tc>
          <w:tcPr>
            <w:tcW w:w="1073" w:type="dxa"/>
            <w:tcBorders>
              <w:top w:val="single" w:sz="4" w:space="0" w:color="auto"/>
              <w:left w:val="nil"/>
              <w:bottom w:val="single" w:sz="4" w:space="0" w:color="auto"/>
              <w:right w:val="nil"/>
            </w:tcBorders>
          </w:tcPr>
          <w:p w14:paraId="2386B9C2" w14:textId="77777777" w:rsidR="00F84B3A" w:rsidRPr="004030DB" w:rsidRDefault="00F84B3A" w:rsidP="00F84B3A">
            <w:pPr>
              <w:jc w:val="center"/>
              <w:rPr>
                <w:rFonts w:ascii="Arial" w:hAnsi="Arial" w:cs="Arial"/>
                <w:sz w:val="20"/>
                <w:szCs w:val="20"/>
              </w:rPr>
            </w:pPr>
          </w:p>
        </w:tc>
        <w:tc>
          <w:tcPr>
            <w:tcW w:w="1073" w:type="dxa"/>
            <w:tcBorders>
              <w:top w:val="single" w:sz="4" w:space="0" w:color="auto"/>
              <w:left w:val="nil"/>
              <w:bottom w:val="single" w:sz="4" w:space="0" w:color="auto"/>
              <w:right w:val="nil"/>
            </w:tcBorders>
          </w:tcPr>
          <w:p w14:paraId="02910BBE" w14:textId="77777777" w:rsidR="00F84B3A" w:rsidRPr="004030DB" w:rsidRDefault="00F84B3A" w:rsidP="00F84B3A">
            <w:pPr>
              <w:jc w:val="center"/>
              <w:rPr>
                <w:rFonts w:ascii="Arial" w:hAnsi="Arial" w:cs="Arial"/>
                <w:sz w:val="20"/>
                <w:szCs w:val="20"/>
              </w:rPr>
            </w:pPr>
          </w:p>
        </w:tc>
        <w:tc>
          <w:tcPr>
            <w:tcW w:w="1073" w:type="dxa"/>
            <w:tcBorders>
              <w:top w:val="single" w:sz="4" w:space="0" w:color="auto"/>
              <w:left w:val="nil"/>
              <w:bottom w:val="single" w:sz="4" w:space="0" w:color="auto"/>
              <w:right w:val="nil"/>
            </w:tcBorders>
          </w:tcPr>
          <w:p w14:paraId="117C1759" w14:textId="77777777" w:rsidR="00F84B3A" w:rsidRPr="004030DB" w:rsidRDefault="00F84B3A" w:rsidP="00F84B3A">
            <w:pPr>
              <w:jc w:val="center"/>
              <w:rPr>
                <w:rFonts w:ascii="Arial" w:hAnsi="Arial" w:cs="Arial"/>
                <w:sz w:val="20"/>
                <w:szCs w:val="20"/>
              </w:rPr>
            </w:pPr>
          </w:p>
        </w:tc>
        <w:tc>
          <w:tcPr>
            <w:tcW w:w="1073" w:type="dxa"/>
            <w:tcBorders>
              <w:top w:val="single" w:sz="4" w:space="0" w:color="auto"/>
              <w:left w:val="nil"/>
              <w:bottom w:val="single" w:sz="4" w:space="0" w:color="auto"/>
              <w:right w:val="nil"/>
            </w:tcBorders>
          </w:tcPr>
          <w:p w14:paraId="609861F6" w14:textId="77777777" w:rsidR="00F84B3A" w:rsidRPr="004030DB" w:rsidRDefault="00F84B3A" w:rsidP="00F84B3A">
            <w:pPr>
              <w:jc w:val="center"/>
              <w:rPr>
                <w:rFonts w:ascii="Arial" w:hAnsi="Arial" w:cs="Arial"/>
                <w:sz w:val="20"/>
                <w:szCs w:val="20"/>
              </w:rPr>
            </w:pPr>
          </w:p>
        </w:tc>
        <w:tc>
          <w:tcPr>
            <w:tcW w:w="2463" w:type="dxa"/>
            <w:tcBorders>
              <w:top w:val="single" w:sz="4" w:space="0" w:color="auto"/>
              <w:left w:val="nil"/>
              <w:bottom w:val="single" w:sz="4" w:space="0" w:color="auto"/>
              <w:right w:val="single" w:sz="4" w:space="0" w:color="auto"/>
            </w:tcBorders>
          </w:tcPr>
          <w:p w14:paraId="50F306CA" w14:textId="77777777" w:rsidR="00F84B3A" w:rsidRPr="004030DB" w:rsidRDefault="00F84B3A" w:rsidP="00186516">
            <w:pPr>
              <w:jc w:val="right"/>
              <w:rPr>
                <w:rFonts w:ascii="Arial" w:hAnsi="Arial" w:cs="Arial"/>
                <w:b/>
                <w:sz w:val="20"/>
                <w:szCs w:val="20"/>
              </w:rPr>
            </w:pPr>
          </w:p>
        </w:tc>
      </w:tr>
      <w:tr w:rsidR="00186516" w:rsidRPr="004030DB" w14:paraId="1CDB8367" w14:textId="77777777" w:rsidTr="00186516">
        <w:tc>
          <w:tcPr>
            <w:tcW w:w="3452" w:type="dxa"/>
          </w:tcPr>
          <w:p w14:paraId="53A3005F" w14:textId="77777777" w:rsidR="00186516" w:rsidRPr="004030DB" w:rsidRDefault="00186516" w:rsidP="00186516">
            <w:pPr>
              <w:rPr>
                <w:rFonts w:ascii="Arial" w:hAnsi="Arial" w:cs="Arial"/>
                <w:sz w:val="20"/>
                <w:szCs w:val="20"/>
              </w:rPr>
            </w:pPr>
            <w:r w:rsidRPr="004030DB">
              <w:rPr>
                <w:rFonts w:ascii="Arial" w:hAnsi="Arial" w:cs="Arial"/>
                <w:sz w:val="20"/>
                <w:szCs w:val="20"/>
              </w:rPr>
              <w:t>Annyes Laheurte</w:t>
            </w:r>
          </w:p>
        </w:tc>
        <w:tc>
          <w:tcPr>
            <w:tcW w:w="1073" w:type="dxa"/>
          </w:tcPr>
          <w:p w14:paraId="2F521AEC" w14:textId="77777777" w:rsidR="00186516" w:rsidRPr="004030DB" w:rsidRDefault="00186516" w:rsidP="00F84B3A">
            <w:pPr>
              <w:jc w:val="center"/>
              <w:rPr>
                <w:rFonts w:ascii="Arial" w:hAnsi="Arial" w:cs="Arial"/>
                <w:sz w:val="20"/>
                <w:szCs w:val="20"/>
              </w:rPr>
            </w:pPr>
            <w:r w:rsidRPr="004030DB">
              <w:rPr>
                <w:rFonts w:ascii="Arial" w:hAnsi="Arial" w:cs="Arial"/>
                <w:sz w:val="20"/>
                <w:szCs w:val="20"/>
              </w:rPr>
              <w:t>Yes</w:t>
            </w:r>
          </w:p>
        </w:tc>
        <w:tc>
          <w:tcPr>
            <w:tcW w:w="1073" w:type="dxa"/>
          </w:tcPr>
          <w:p w14:paraId="7BDFA47A" w14:textId="77777777" w:rsidR="00186516" w:rsidRPr="004030DB" w:rsidRDefault="00186516" w:rsidP="00F84B3A">
            <w:pPr>
              <w:jc w:val="center"/>
              <w:rPr>
                <w:rFonts w:ascii="Arial" w:hAnsi="Arial" w:cs="Arial"/>
                <w:sz w:val="20"/>
                <w:szCs w:val="20"/>
              </w:rPr>
            </w:pPr>
            <w:r w:rsidRPr="004030DB">
              <w:rPr>
                <w:rFonts w:ascii="Arial" w:hAnsi="Arial" w:cs="Arial"/>
                <w:sz w:val="20"/>
                <w:szCs w:val="20"/>
              </w:rPr>
              <w:t>Yes</w:t>
            </w:r>
          </w:p>
        </w:tc>
        <w:tc>
          <w:tcPr>
            <w:tcW w:w="1073" w:type="dxa"/>
          </w:tcPr>
          <w:p w14:paraId="4DB5C6DE" w14:textId="77777777" w:rsidR="00186516" w:rsidRPr="004030DB" w:rsidRDefault="00186516" w:rsidP="00186516">
            <w:pPr>
              <w:jc w:val="center"/>
              <w:rPr>
                <w:rFonts w:ascii="Arial" w:hAnsi="Arial" w:cs="Arial"/>
                <w:sz w:val="20"/>
                <w:szCs w:val="20"/>
              </w:rPr>
            </w:pPr>
            <w:r w:rsidRPr="004030DB">
              <w:rPr>
                <w:rFonts w:ascii="Arial" w:hAnsi="Arial" w:cs="Arial"/>
                <w:sz w:val="20"/>
                <w:szCs w:val="20"/>
              </w:rPr>
              <w:t xml:space="preserve">No </w:t>
            </w:r>
          </w:p>
        </w:tc>
        <w:tc>
          <w:tcPr>
            <w:tcW w:w="1073" w:type="dxa"/>
          </w:tcPr>
          <w:p w14:paraId="519B17E0" w14:textId="77777777" w:rsidR="00186516" w:rsidRPr="004030DB" w:rsidRDefault="00186516" w:rsidP="00186516">
            <w:pPr>
              <w:jc w:val="center"/>
              <w:rPr>
                <w:rFonts w:ascii="Arial" w:hAnsi="Arial" w:cs="Arial"/>
                <w:sz w:val="20"/>
                <w:szCs w:val="20"/>
              </w:rPr>
            </w:pPr>
            <w:r w:rsidRPr="004030DB">
              <w:rPr>
                <w:rFonts w:ascii="Arial" w:hAnsi="Arial" w:cs="Arial"/>
                <w:sz w:val="20"/>
                <w:szCs w:val="20"/>
              </w:rPr>
              <w:t xml:space="preserve">No </w:t>
            </w:r>
          </w:p>
        </w:tc>
        <w:tc>
          <w:tcPr>
            <w:tcW w:w="2463" w:type="dxa"/>
          </w:tcPr>
          <w:p w14:paraId="45EFD56D" w14:textId="77777777" w:rsidR="00186516" w:rsidRPr="004030DB" w:rsidRDefault="00186516" w:rsidP="00186516">
            <w:pPr>
              <w:jc w:val="right"/>
              <w:rPr>
                <w:rFonts w:ascii="Arial" w:hAnsi="Arial" w:cs="Arial"/>
                <w:b/>
                <w:sz w:val="20"/>
                <w:szCs w:val="20"/>
              </w:rPr>
            </w:pPr>
            <w:r w:rsidRPr="004030DB">
              <w:rPr>
                <w:rFonts w:ascii="Arial" w:hAnsi="Arial" w:cs="Arial"/>
                <w:b/>
                <w:sz w:val="20"/>
                <w:szCs w:val="20"/>
              </w:rPr>
              <w:t>2 out of 4</w:t>
            </w:r>
          </w:p>
        </w:tc>
      </w:tr>
      <w:tr w:rsidR="00186516" w:rsidRPr="004030DB" w14:paraId="0B2477DE" w14:textId="77777777" w:rsidTr="00186516">
        <w:tc>
          <w:tcPr>
            <w:tcW w:w="3452" w:type="dxa"/>
          </w:tcPr>
          <w:p w14:paraId="2C4CC0DD" w14:textId="77777777" w:rsidR="00186516" w:rsidRPr="004030DB" w:rsidRDefault="00186516" w:rsidP="00186516">
            <w:pPr>
              <w:rPr>
                <w:rFonts w:ascii="Arial" w:hAnsi="Arial" w:cs="Arial"/>
                <w:sz w:val="20"/>
                <w:szCs w:val="20"/>
              </w:rPr>
            </w:pPr>
            <w:r w:rsidRPr="004030DB">
              <w:rPr>
                <w:rFonts w:ascii="Arial" w:hAnsi="Arial" w:cs="Arial"/>
                <w:sz w:val="20"/>
                <w:szCs w:val="20"/>
              </w:rPr>
              <w:t>Gary Lupton</w:t>
            </w:r>
          </w:p>
        </w:tc>
        <w:tc>
          <w:tcPr>
            <w:tcW w:w="1073" w:type="dxa"/>
          </w:tcPr>
          <w:p w14:paraId="178FABD7" w14:textId="77777777" w:rsidR="00186516" w:rsidRPr="004030DB" w:rsidRDefault="00186516" w:rsidP="00186516">
            <w:pPr>
              <w:jc w:val="center"/>
              <w:rPr>
                <w:rFonts w:ascii="Arial" w:hAnsi="Arial" w:cs="Arial"/>
                <w:sz w:val="20"/>
                <w:szCs w:val="20"/>
              </w:rPr>
            </w:pPr>
            <w:r w:rsidRPr="004030DB">
              <w:rPr>
                <w:rFonts w:ascii="Arial" w:hAnsi="Arial" w:cs="Arial"/>
                <w:sz w:val="20"/>
                <w:szCs w:val="20"/>
              </w:rPr>
              <w:t xml:space="preserve">No </w:t>
            </w:r>
          </w:p>
        </w:tc>
        <w:tc>
          <w:tcPr>
            <w:tcW w:w="1073" w:type="dxa"/>
          </w:tcPr>
          <w:p w14:paraId="7DC00A81" w14:textId="77777777" w:rsidR="00186516" w:rsidRPr="004030DB" w:rsidRDefault="00186516" w:rsidP="00186516">
            <w:pPr>
              <w:jc w:val="center"/>
              <w:rPr>
                <w:rFonts w:ascii="Arial" w:hAnsi="Arial" w:cs="Arial"/>
                <w:sz w:val="20"/>
                <w:szCs w:val="20"/>
              </w:rPr>
            </w:pPr>
            <w:r w:rsidRPr="004030DB">
              <w:rPr>
                <w:rFonts w:ascii="Arial" w:hAnsi="Arial" w:cs="Arial"/>
                <w:sz w:val="20"/>
                <w:szCs w:val="20"/>
              </w:rPr>
              <w:t xml:space="preserve">No </w:t>
            </w:r>
          </w:p>
        </w:tc>
        <w:tc>
          <w:tcPr>
            <w:tcW w:w="1073" w:type="dxa"/>
          </w:tcPr>
          <w:p w14:paraId="4B5FE7EE" w14:textId="77777777" w:rsidR="00186516" w:rsidRPr="004030DB" w:rsidRDefault="00186516" w:rsidP="00F84B3A">
            <w:pPr>
              <w:jc w:val="center"/>
              <w:rPr>
                <w:rFonts w:ascii="Arial" w:hAnsi="Arial" w:cs="Arial"/>
                <w:sz w:val="20"/>
                <w:szCs w:val="20"/>
              </w:rPr>
            </w:pPr>
            <w:r w:rsidRPr="004030DB">
              <w:rPr>
                <w:rFonts w:ascii="Arial" w:hAnsi="Arial" w:cs="Arial"/>
                <w:sz w:val="20"/>
                <w:szCs w:val="20"/>
              </w:rPr>
              <w:t>Yes</w:t>
            </w:r>
          </w:p>
        </w:tc>
        <w:tc>
          <w:tcPr>
            <w:tcW w:w="1073" w:type="dxa"/>
          </w:tcPr>
          <w:p w14:paraId="3951730C" w14:textId="77777777" w:rsidR="00186516" w:rsidRPr="004030DB" w:rsidRDefault="00186516" w:rsidP="00186516">
            <w:pPr>
              <w:jc w:val="center"/>
              <w:rPr>
                <w:rFonts w:ascii="Arial" w:hAnsi="Arial" w:cs="Arial"/>
                <w:sz w:val="20"/>
                <w:szCs w:val="20"/>
              </w:rPr>
            </w:pPr>
            <w:r w:rsidRPr="004030DB">
              <w:rPr>
                <w:rFonts w:ascii="Arial" w:hAnsi="Arial" w:cs="Arial"/>
                <w:sz w:val="20"/>
                <w:szCs w:val="20"/>
              </w:rPr>
              <w:t xml:space="preserve">No </w:t>
            </w:r>
          </w:p>
        </w:tc>
        <w:tc>
          <w:tcPr>
            <w:tcW w:w="2463" w:type="dxa"/>
          </w:tcPr>
          <w:p w14:paraId="04B7682F" w14:textId="77777777" w:rsidR="00186516" w:rsidRPr="004030DB" w:rsidRDefault="00186516" w:rsidP="00186516">
            <w:pPr>
              <w:jc w:val="right"/>
              <w:rPr>
                <w:rFonts w:ascii="Arial" w:hAnsi="Arial" w:cs="Arial"/>
                <w:b/>
                <w:sz w:val="20"/>
                <w:szCs w:val="20"/>
              </w:rPr>
            </w:pPr>
            <w:r w:rsidRPr="004030DB">
              <w:rPr>
                <w:rFonts w:ascii="Arial" w:hAnsi="Arial" w:cs="Arial"/>
                <w:b/>
                <w:sz w:val="20"/>
                <w:szCs w:val="20"/>
              </w:rPr>
              <w:t>2 out of 4</w:t>
            </w:r>
          </w:p>
        </w:tc>
      </w:tr>
      <w:tr w:rsidR="00186516" w:rsidRPr="004030DB" w14:paraId="6CF4550B" w14:textId="77777777" w:rsidTr="00186516">
        <w:tc>
          <w:tcPr>
            <w:tcW w:w="3452" w:type="dxa"/>
          </w:tcPr>
          <w:p w14:paraId="11173A3F" w14:textId="77777777" w:rsidR="00186516" w:rsidRPr="004030DB" w:rsidRDefault="00186516" w:rsidP="00186516">
            <w:pPr>
              <w:rPr>
                <w:rFonts w:ascii="Arial" w:hAnsi="Arial" w:cs="Arial"/>
                <w:sz w:val="20"/>
                <w:szCs w:val="20"/>
              </w:rPr>
            </w:pPr>
            <w:r w:rsidRPr="004030DB">
              <w:rPr>
                <w:rFonts w:ascii="Arial" w:hAnsi="Arial" w:cs="Arial"/>
                <w:sz w:val="20"/>
                <w:szCs w:val="20"/>
              </w:rPr>
              <w:t>Jenny Chong</w:t>
            </w:r>
          </w:p>
        </w:tc>
        <w:tc>
          <w:tcPr>
            <w:tcW w:w="1073" w:type="dxa"/>
          </w:tcPr>
          <w:p w14:paraId="43223803" w14:textId="77777777" w:rsidR="00186516" w:rsidRPr="004030DB" w:rsidRDefault="00186516" w:rsidP="00186516">
            <w:pPr>
              <w:jc w:val="center"/>
              <w:rPr>
                <w:rFonts w:ascii="Arial" w:hAnsi="Arial" w:cs="Arial"/>
                <w:sz w:val="20"/>
                <w:szCs w:val="20"/>
              </w:rPr>
            </w:pPr>
            <w:r w:rsidRPr="004030DB">
              <w:rPr>
                <w:rFonts w:ascii="Arial" w:hAnsi="Arial" w:cs="Arial"/>
                <w:sz w:val="20"/>
                <w:szCs w:val="20"/>
              </w:rPr>
              <w:t xml:space="preserve">No </w:t>
            </w:r>
          </w:p>
        </w:tc>
        <w:tc>
          <w:tcPr>
            <w:tcW w:w="1073" w:type="dxa"/>
          </w:tcPr>
          <w:p w14:paraId="12CB9C9D" w14:textId="77777777" w:rsidR="00186516" w:rsidRPr="004030DB" w:rsidRDefault="00186516" w:rsidP="00186516">
            <w:pPr>
              <w:jc w:val="center"/>
              <w:rPr>
                <w:rFonts w:ascii="Arial" w:hAnsi="Arial" w:cs="Arial"/>
                <w:sz w:val="20"/>
                <w:szCs w:val="20"/>
              </w:rPr>
            </w:pPr>
            <w:r w:rsidRPr="004030DB">
              <w:rPr>
                <w:rFonts w:ascii="Arial" w:hAnsi="Arial" w:cs="Arial"/>
                <w:sz w:val="20"/>
                <w:szCs w:val="20"/>
              </w:rPr>
              <w:t xml:space="preserve">No </w:t>
            </w:r>
          </w:p>
        </w:tc>
        <w:tc>
          <w:tcPr>
            <w:tcW w:w="1073" w:type="dxa"/>
          </w:tcPr>
          <w:p w14:paraId="2843FE7D" w14:textId="77777777" w:rsidR="00186516" w:rsidRPr="004030DB" w:rsidRDefault="00186516" w:rsidP="00F84B3A">
            <w:pPr>
              <w:jc w:val="center"/>
              <w:rPr>
                <w:rFonts w:ascii="Arial" w:hAnsi="Arial" w:cs="Arial"/>
                <w:sz w:val="20"/>
                <w:szCs w:val="20"/>
              </w:rPr>
            </w:pPr>
            <w:r w:rsidRPr="004030DB">
              <w:rPr>
                <w:rFonts w:ascii="Arial" w:hAnsi="Arial" w:cs="Arial"/>
                <w:sz w:val="20"/>
                <w:szCs w:val="20"/>
              </w:rPr>
              <w:t>Yes</w:t>
            </w:r>
          </w:p>
        </w:tc>
        <w:tc>
          <w:tcPr>
            <w:tcW w:w="1073" w:type="dxa"/>
          </w:tcPr>
          <w:p w14:paraId="5386D7E0" w14:textId="77777777" w:rsidR="00186516" w:rsidRPr="004030DB" w:rsidRDefault="00186516" w:rsidP="00186516">
            <w:pPr>
              <w:jc w:val="center"/>
              <w:rPr>
                <w:rFonts w:ascii="Arial" w:hAnsi="Arial" w:cs="Arial"/>
                <w:sz w:val="20"/>
                <w:szCs w:val="20"/>
              </w:rPr>
            </w:pPr>
            <w:r w:rsidRPr="004030DB">
              <w:rPr>
                <w:rFonts w:ascii="Arial" w:hAnsi="Arial" w:cs="Arial"/>
                <w:sz w:val="20"/>
                <w:szCs w:val="20"/>
              </w:rPr>
              <w:t xml:space="preserve">No </w:t>
            </w:r>
          </w:p>
        </w:tc>
        <w:tc>
          <w:tcPr>
            <w:tcW w:w="2463" w:type="dxa"/>
          </w:tcPr>
          <w:p w14:paraId="77149DBD" w14:textId="77777777" w:rsidR="00186516" w:rsidRPr="004030DB" w:rsidRDefault="00186516" w:rsidP="00186516">
            <w:pPr>
              <w:jc w:val="right"/>
              <w:rPr>
                <w:rFonts w:ascii="Arial" w:hAnsi="Arial" w:cs="Arial"/>
                <w:b/>
                <w:sz w:val="20"/>
                <w:szCs w:val="20"/>
              </w:rPr>
            </w:pPr>
            <w:r w:rsidRPr="004030DB">
              <w:rPr>
                <w:rFonts w:ascii="Arial" w:hAnsi="Arial" w:cs="Arial"/>
                <w:b/>
                <w:sz w:val="20"/>
                <w:szCs w:val="20"/>
              </w:rPr>
              <w:t>1 out of 4</w:t>
            </w:r>
          </w:p>
        </w:tc>
      </w:tr>
      <w:tr w:rsidR="00F84B3A" w:rsidRPr="004030DB" w14:paraId="2995DC16" w14:textId="77777777" w:rsidTr="00186516">
        <w:tc>
          <w:tcPr>
            <w:tcW w:w="3452" w:type="dxa"/>
          </w:tcPr>
          <w:p w14:paraId="746F6AB9" w14:textId="77777777" w:rsidR="00F84B3A" w:rsidRPr="004030DB" w:rsidRDefault="00F84B3A" w:rsidP="00186516">
            <w:pPr>
              <w:rPr>
                <w:rFonts w:ascii="Arial" w:hAnsi="Arial" w:cs="Arial"/>
                <w:sz w:val="20"/>
                <w:szCs w:val="20"/>
              </w:rPr>
            </w:pPr>
            <w:r w:rsidRPr="004030DB">
              <w:rPr>
                <w:rFonts w:ascii="Arial" w:hAnsi="Arial" w:cs="Arial"/>
                <w:sz w:val="20"/>
                <w:szCs w:val="20"/>
              </w:rPr>
              <w:t>Mark Spragg</w:t>
            </w:r>
          </w:p>
        </w:tc>
        <w:tc>
          <w:tcPr>
            <w:tcW w:w="1073" w:type="dxa"/>
          </w:tcPr>
          <w:p w14:paraId="715E326A" w14:textId="77777777" w:rsidR="00F84B3A" w:rsidRPr="004030DB" w:rsidRDefault="00F84B3A" w:rsidP="00F84B3A">
            <w:pPr>
              <w:jc w:val="center"/>
              <w:rPr>
                <w:rFonts w:ascii="Arial" w:hAnsi="Arial" w:cs="Arial"/>
                <w:sz w:val="20"/>
                <w:szCs w:val="20"/>
              </w:rPr>
            </w:pPr>
            <w:r w:rsidRPr="004030DB">
              <w:rPr>
                <w:rFonts w:ascii="Arial" w:hAnsi="Arial" w:cs="Arial"/>
                <w:sz w:val="20"/>
                <w:szCs w:val="20"/>
              </w:rPr>
              <w:t>Yes</w:t>
            </w:r>
          </w:p>
        </w:tc>
        <w:tc>
          <w:tcPr>
            <w:tcW w:w="1073" w:type="dxa"/>
            <w:shd w:val="clear" w:color="auto" w:fill="000000" w:themeFill="text1"/>
          </w:tcPr>
          <w:p w14:paraId="45C10C69" w14:textId="77777777" w:rsidR="00F84B3A" w:rsidRPr="004030DB" w:rsidRDefault="00F84B3A" w:rsidP="00F84B3A">
            <w:pPr>
              <w:jc w:val="center"/>
              <w:rPr>
                <w:rFonts w:ascii="Arial" w:hAnsi="Arial" w:cs="Arial"/>
                <w:sz w:val="20"/>
                <w:szCs w:val="20"/>
              </w:rPr>
            </w:pPr>
          </w:p>
        </w:tc>
        <w:tc>
          <w:tcPr>
            <w:tcW w:w="1073" w:type="dxa"/>
            <w:shd w:val="clear" w:color="auto" w:fill="000000" w:themeFill="text1"/>
          </w:tcPr>
          <w:p w14:paraId="1A05F462" w14:textId="77777777" w:rsidR="00F84B3A" w:rsidRPr="004030DB" w:rsidRDefault="00F84B3A" w:rsidP="00F84B3A">
            <w:pPr>
              <w:jc w:val="center"/>
              <w:rPr>
                <w:rFonts w:ascii="Arial" w:hAnsi="Arial" w:cs="Arial"/>
                <w:sz w:val="20"/>
                <w:szCs w:val="20"/>
              </w:rPr>
            </w:pPr>
          </w:p>
        </w:tc>
        <w:tc>
          <w:tcPr>
            <w:tcW w:w="1073" w:type="dxa"/>
            <w:shd w:val="clear" w:color="auto" w:fill="000000" w:themeFill="text1"/>
          </w:tcPr>
          <w:p w14:paraId="717D1E14" w14:textId="77777777" w:rsidR="00F84B3A" w:rsidRPr="004030DB" w:rsidRDefault="00F84B3A" w:rsidP="00F84B3A">
            <w:pPr>
              <w:jc w:val="center"/>
              <w:rPr>
                <w:rFonts w:ascii="Arial" w:hAnsi="Arial" w:cs="Arial"/>
                <w:sz w:val="20"/>
                <w:szCs w:val="20"/>
              </w:rPr>
            </w:pPr>
          </w:p>
        </w:tc>
        <w:tc>
          <w:tcPr>
            <w:tcW w:w="2463" w:type="dxa"/>
          </w:tcPr>
          <w:p w14:paraId="67F7D43B" w14:textId="77777777" w:rsidR="00F84B3A" w:rsidRPr="004030DB" w:rsidRDefault="00F84B3A" w:rsidP="00186516">
            <w:pPr>
              <w:jc w:val="right"/>
              <w:rPr>
                <w:rFonts w:ascii="Arial" w:hAnsi="Arial" w:cs="Arial"/>
                <w:b/>
                <w:sz w:val="20"/>
                <w:szCs w:val="20"/>
              </w:rPr>
            </w:pPr>
            <w:r w:rsidRPr="004030DB">
              <w:rPr>
                <w:rFonts w:ascii="Arial" w:hAnsi="Arial" w:cs="Arial"/>
                <w:b/>
                <w:sz w:val="20"/>
                <w:szCs w:val="20"/>
              </w:rPr>
              <w:t>1 out of 1</w:t>
            </w:r>
          </w:p>
        </w:tc>
      </w:tr>
      <w:tr w:rsidR="00186516" w:rsidRPr="004030DB" w14:paraId="140E3778" w14:textId="77777777" w:rsidTr="00186516">
        <w:tc>
          <w:tcPr>
            <w:tcW w:w="3452" w:type="dxa"/>
          </w:tcPr>
          <w:p w14:paraId="75290D1C" w14:textId="77777777" w:rsidR="00186516" w:rsidRPr="004030DB" w:rsidRDefault="00186516" w:rsidP="00186516">
            <w:pPr>
              <w:rPr>
                <w:rFonts w:ascii="Arial" w:hAnsi="Arial" w:cs="Arial"/>
                <w:sz w:val="20"/>
                <w:szCs w:val="20"/>
              </w:rPr>
            </w:pPr>
            <w:r w:rsidRPr="004030DB">
              <w:rPr>
                <w:rFonts w:ascii="Arial" w:hAnsi="Arial" w:cs="Arial"/>
                <w:sz w:val="20"/>
                <w:szCs w:val="20"/>
              </w:rPr>
              <w:t>Mojgan Sani</w:t>
            </w:r>
          </w:p>
        </w:tc>
        <w:tc>
          <w:tcPr>
            <w:tcW w:w="1073" w:type="dxa"/>
          </w:tcPr>
          <w:p w14:paraId="42E8D233" w14:textId="77777777" w:rsidR="00186516" w:rsidRPr="004030DB" w:rsidRDefault="00186516" w:rsidP="00F84B3A">
            <w:pPr>
              <w:jc w:val="center"/>
              <w:rPr>
                <w:rFonts w:ascii="Arial" w:hAnsi="Arial" w:cs="Arial"/>
                <w:sz w:val="20"/>
                <w:szCs w:val="20"/>
              </w:rPr>
            </w:pPr>
            <w:r w:rsidRPr="004030DB">
              <w:rPr>
                <w:rFonts w:ascii="Arial" w:hAnsi="Arial" w:cs="Arial"/>
                <w:sz w:val="20"/>
                <w:szCs w:val="20"/>
              </w:rPr>
              <w:t>Yes</w:t>
            </w:r>
          </w:p>
        </w:tc>
        <w:tc>
          <w:tcPr>
            <w:tcW w:w="1073" w:type="dxa"/>
          </w:tcPr>
          <w:p w14:paraId="78D4BF12" w14:textId="77777777" w:rsidR="00186516" w:rsidRPr="004030DB" w:rsidRDefault="00186516" w:rsidP="00186516">
            <w:pPr>
              <w:jc w:val="center"/>
              <w:rPr>
                <w:rFonts w:ascii="Arial" w:hAnsi="Arial" w:cs="Arial"/>
                <w:sz w:val="20"/>
                <w:szCs w:val="20"/>
              </w:rPr>
            </w:pPr>
            <w:r w:rsidRPr="004030DB">
              <w:rPr>
                <w:rFonts w:ascii="Arial" w:hAnsi="Arial" w:cs="Arial"/>
                <w:sz w:val="20"/>
                <w:szCs w:val="20"/>
              </w:rPr>
              <w:t xml:space="preserve">No </w:t>
            </w:r>
          </w:p>
        </w:tc>
        <w:tc>
          <w:tcPr>
            <w:tcW w:w="1073" w:type="dxa"/>
          </w:tcPr>
          <w:p w14:paraId="14B31FDC" w14:textId="77777777" w:rsidR="00186516" w:rsidRPr="004030DB" w:rsidRDefault="00186516" w:rsidP="00186516">
            <w:pPr>
              <w:jc w:val="center"/>
              <w:rPr>
                <w:rFonts w:ascii="Arial" w:hAnsi="Arial" w:cs="Arial"/>
                <w:sz w:val="20"/>
                <w:szCs w:val="20"/>
              </w:rPr>
            </w:pPr>
            <w:r w:rsidRPr="004030DB">
              <w:rPr>
                <w:rFonts w:ascii="Arial" w:hAnsi="Arial" w:cs="Arial"/>
                <w:sz w:val="20"/>
                <w:szCs w:val="20"/>
              </w:rPr>
              <w:t xml:space="preserve">No </w:t>
            </w:r>
          </w:p>
        </w:tc>
        <w:tc>
          <w:tcPr>
            <w:tcW w:w="1073" w:type="dxa"/>
          </w:tcPr>
          <w:p w14:paraId="36D9FA63" w14:textId="77777777" w:rsidR="00186516" w:rsidRPr="004030DB" w:rsidRDefault="00186516" w:rsidP="00186516">
            <w:pPr>
              <w:jc w:val="center"/>
              <w:rPr>
                <w:rFonts w:ascii="Arial" w:hAnsi="Arial" w:cs="Arial"/>
                <w:sz w:val="20"/>
                <w:szCs w:val="20"/>
              </w:rPr>
            </w:pPr>
            <w:r w:rsidRPr="004030DB">
              <w:rPr>
                <w:rFonts w:ascii="Arial" w:hAnsi="Arial" w:cs="Arial"/>
                <w:sz w:val="20"/>
                <w:szCs w:val="20"/>
              </w:rPr>
              <w:t xml:space="preserve">No </w:t>
            </w:r>
          </w:p>
        </w:tc>
        <w:tc>
          <w:tcPr>
            <w:tcW w:w="2463" w:type="dxa"/>
          </w:tcPr>
          <w:p w14:paraId="63677C08" w14:textId="77777777" w:rsidR="00186516" w:rsidRPr="004030DB" w:rsidRDefault="00186516" w:rsidP="00186516">
            <w:pPr>
              <w:jc w:val="right"/>
              <w:rPr>
                <w:rFonts w:ascii="Arial" w:hAnsi="Arial" w:cs="Arial"/>
                <w:b/>
                <w:sz w:val="20"/>
                <w:szCs w:val="20"/>
              </w:rPr>
            </w:pPr>
            <w:r w:rsidRPr="004030DB">
              <w:rPr>
                <w:rFonts w:ascii="Arial" w:hAnsi="Arial" w:cs="Arial"/>
                <w:b/>
                <w:sz w:val="20"/>
                <w:szCs w:val="20"/>
              </w:rPr>
              <w:t>1 out of 4</w:t>
            </w:r>
          </w:p>
        </w:tc>
      </w:tr>
      <w:tr w:rsidR="00186516" w:rsidRPr="004030DB" w14:paraId="7EF20791" w14:textId="77777777" w:rsidTr="00186516">
        <w:tc>
          <w:tcPr>
            <w:tcW w:w="3452" w:type="dxa"/>
          </w:tcPr>
          <w:p w14:paraId="0072B40A" w14:textId="77777777" w:rsidR="00186516" w:rsidRPr="004030DB" w:rsidRDefault="00186516" w:rsidP="00186516">
            <w:pPr>
              <w:rPr>
                <w:rFonts w:ascii="Arial" w:hAnsi="Arial" w:cs="Arial"/>
                <w:sz w:val="20"/>
                <w:szCs w:val="20"/>
              </w:rPr>
            </w:pPr>
            <w:r w:rsidRPr="004030DB">
              <w:rPr>
                <w:rFonts w:ascii="Arial" w:hAnsi="Arial" w:cs="Arial"/>
                <w:sz w:val="20"/>
                <w:szCs w:val="20"/>
              </w:rPr>
              <w:t>Paulette Lewis</w:t>
            </w:r>
          </w:p>
        </w:tc>
        <w:tc>
          <w:tcPr>
            <w:tcW w:w="1073" w:type="dxa"/>
          </w:tcPr>
          <w:p w14:paraId="4B719503" w14:textId="77777777" w:rsidR="00186516" w:rsidRPr="004030DB" w:rsidRDefault="00186516" w:rsidP="00186516">
            <w:pPr>
              <w:jc w:val="center"/>
              <w:rPr>
                <w:rFonts w:ascii="Arial" w:hAnsi="Arial" w:cs="Arial"/>
                <w:sz w:val="20"/>
                <w:szCs w:val="20"/>
              </w:rPr>
            </w:pPr>
            <w:r w:rsidRPr="004030DB">
              <w:rPr>
                <w:rFonts w:ascii="Arial" w:hAnsi="Arial" w:cs="Arial"/>
                <w:sz w:val="20"/>
                <w:szCs w:val="20"/>
              </w:rPr>
              <w:t xml:space="preserve">No </w:t>
            </w:r>
          </w:p>
        </w:tc>
        <w:tc>
          <w:tcPr>
            <w:tcW w:w="1073" w:type="dxa"/>
          </w:tcPr>
          <w:p w14:paraId="5F6E6277" w14:textId="77777777" w:rsidR="00186516" w:rsidRPr="004030DB" w:rsidRDefault="00186516" w:rsidP="00186516">
            <w:pPr>
              <w:jc w:val="center"/>
              <w:rPr>
                <w:rFonts w:ascii="Arial" w:hAnsi="Arial" w:cs="Arial"/>
                <w:sz w:val="20"/>
                <w:szCs w:val="20"/>
              </w:rPr>
            </w:pPr>
            <w:r w:rsidRPr="004030DB">
              <w:rPr>
                <w:rFonts w:ascii="Arial" w:hAnsi="Arial" w:cs="Arial"/>
                <w:sz w:val="20"/>
                <w:szCs w:val="20"/>
              </w:rPr>
              <w:t xml:space="preserve">No </w:t>
            </w:r>
          </w:p>
        </w:tc>
        <w:tc>
          <w:tcPr>
            <w:tcW w:w="1073" w:type="dxa"/>
          </w:tcPr>
          <w:p w14:paraId="28C45463" w14:textId="77777777" w:rsidR="00186516" w:rsidRPr="004030DB" w:rsidRDefault="00186516" w:rsidP="00F84B3A">
            <w:pPr>
              <w:jc w:val="center"/>
              <w:rPr>
                <w:rFonts w:ascii="Arial" w:hAnsi="Arial" w:cs="Arial"/>
                <w:sz w:val="20"/>
                <w:szCs w:val="20"/>
              </w:rPr>
            </w:pPr>
            <w:r w:rsidRPr="004030DB">
              <w:rPr>
                <w:rFonts w:ascii="Arial" w:hAnsi="Arial" w:cs="Arial"/>
                <w:sz w:val="20"/>
                <w:szCs w:val="20"/>
              </w:rPr>
              <w:t>Yes</w:t>
            </w:r>
          </w:p>
        </w:tc>
        <w:tc>
          <w:tcPr>
            <w:tcW w:w="1073" w:type="dxa"/>
          </w:tcPr>
          <w:p w14:paraId="0EE615B0" w14:textId="77777777" w:rsidR="00186516" w:rsidRPr="004030DB" w:rsidRDefault="00186516" w:rsidP="00186516">
            <w:pPr>
              <w:jc w:val="center"/>
              <w:rPr>
                <w:rFonts w:ascii="Arial" w:hAnsi="Arial" w:cs="Arial"/>
                <w:sz w:val="20"/>
                <w:szCs w:val="20"/>
              </w:rPr>
            </w:pPr>
            <w:r w:rsidRPr="004030DB">
              <w:rPr>
                <w:rFonts w:ascii="Arial" w:hAnsi="Arial" w:cs="Arial"/>
                <w:sz w:val="20"/>
                <w:szCs w:val="20"/>
              </w:rPr>
              <w:t xml:space="preserve">No </w:t>
            </w:r>
          </w:p>
        </w:tc>
        <w:tc>
          <w:tcPr>
            <w:tcW w:w="2463" w:type="dxa"/>
          </w:tcPr>
          <w:p w14:paraId="2BDAAB80" w14:textId="77777777" w:rsidR="00186516" w:rsidRPr="004030DB" w:rsidRDefault="00186516" w:rsidP="00186516">
            <w:pPr>
              <w:jc w:val="right"/>
              <w:rPr>
                <w:rFonts w:ascii="Arial" w:hAnsi="Arial" w:cs="Arial"/>
                <w:b/>
                <w:sz w:val="20"/>
                <w:szCs w:val="20"/>
              </w:rPr>
            </w:pPr>
            <w:r w:rsidRPr="004030DB">
              <w:rPr>
                <w:rFonts w:ascii="Arial" w:hAnsi="Arial" w:cs="Arial"/>
                <w:b/>
                <w:sz w:val="20"/>
                <w:szCs w:val="20"/>
              </w:rPr>
              <w:t>1 out of 4</w:t>
            </w:r>
          </w:p>
        </w:tc>
      </w:tr>
      <w:tr w:rsidR="00F84B3A" w:rsidRPr="004030DB" w14:paraId="57475EF5" w14:textId="77777777" w:rsidTr="00186516">
        <w:tc>
          <w:tcPr>
            <w:tcW w:w="3452" w:type="dxa"/>
          </w:tcPr>
          <w:p w14:paraId="26193D1D" w14:textId="77777777" w:rsidR="00F84B3A" w:rsidRPr="004030DB" w:rsidRDefault="00F84B3A" w:rsidP="00186516">
            <w:pPr>
              <w:rPr>
                <w:rFonts w:ascii="Arial" w:hAnsi="Arial" w:cs="Arial"/>
                <w:sz w:val="20"/>
                <w:szCs w:val="20"/>
              </w:rPr>
            </w:pPr>
            <w:r w:rsidRPr="004030DB">
              <w:rPr>
                <w:rFonts w:ascii="Arial" w:hAnsi="Arial" w:cs="Arial"/>
                <w:sz w:val="20"/>
                <w:szCs w:val="20"/>
              </w:rPr>
              <w:t>John Goulston</w:t>
            </w:r>
          </w:p>
        </w:tc>
        <w:tc>
          <w:tcPr>
            <w:tcW w:w="1073" w:type="dxa"/>
            <w:shd w:val="clear" w:color="auto" w:fill="000000" w:themeFill="text1"/>
          </w:tcPr>
          <w:p w14:paraId="314A49B1" w14:textId="77777777" w:rsidR="00F84B3A" w:rsidRPr="004030DB" w:rsidRDefault="00F84B3A" w:rsidP="00F84B3A">
            <w:pPr>
              <w:jc w:val="center"/>
              <w:rPr>
                <w:rFonts w:ascii="Arial" w:hAnsi="Arial" w:cs="Arial"/>
                <w:sz w:val="20"/>
                <w:szCs w:val="20"/>
              </w:rPr>
            </w:pPr>
          </w:p>
        </w:tc>
        <w:tc>
          <w:tcPr>
            <w:tcW w:w="1073" w:type="dxa"/>
          </w:tcPr>
          <w:p w14:paraId="09F9E212" w14:textId="77777777" w:rsidR="00F84B3A" w:rsidRPr="004030DB" w:rsidRDefault="00F84B3A" w:rsidP="00F84B3A">
            <w:pPr>
              <w:jc w:val="center"/>
              <w:rPr>
                <w:rFonts w:ascii="Arial" w:hAnsi="Arial" w:cs="Arial"/>
                <w:sz w:val="20"/>
                <w:szCs w:val="20"/>
              </w:rPr>
            </w:pPr>
            <w:r w:rsidRPr="004030DB">
              <w:rPr>
                <w:rFonts w:ascii="Arial" w:hAnsi="Arial" w:cs="Arial"/>
                <w:sz w:val="20"/>
                <w:szCs w:val="20"/>
              </w:rPr>
              <w:t>Yes</w:t>
            </w:r>
          </w:p>
        </w:tc>
        <w:tc>
          <w:tcPr>
            <w:tcW w:w="1073" w:type="dxa"/>
          </w:tcPr>
          <w:p w14:paraId="52628D0D" w14:textId="77777777" w:rsidR="00F84B3A" w:rsidRPr="004030DB" w:rsidRDefault="00F84B3A" w:rsidP="00F84B3A">
            <w:pPr>
              <w:jc w:val="center"/>
              <w:rPr>
                <w:rFonts w:ascii="Arial" w:hAnsi="Arial" w:cs="Arial"/>
                <w:sz w:val="20"/>
                <w:szCs w:val="20"/>
              </w:rPr>
            </w:pPr>
            <w:r w:rsidRPr="004030DB">
              <w:rPr>
                <w:rFonts w:ascii="Arial" w:hAnsi="Arial" w:cs="Arial"/>
                <w:sz w:val="20"/>
                <w:szCs w:val="20"/>
              </w:rPr>
              <w:t>Yes</w:t>
            </w:r>
          </w:p>
        </w:tc>
        <w:tc>
          <w:tcPr>
            <w:tcW w:w="1073" w:type="dxa"/>
          </w:tcPr>
          <w:p w14:paraId="29CA14A0" w14:textId="77777777" w:rsidR="00F84B3A" w:rsidRPr="004030DB" w:rsidRDefault="00F84B3A" w:rsidP="00F84B3A">
            <w:pPr>
              <w:jc w:val="center"/>
              <w:rPr>
                <w:rFonts w:ascii="Arial" w:hAnsi="Arial" w:cs="Arial"/>
                <w:sz w:val="20"/>
                <w:szCs w:val="20"/>
              </w:rPr>
            </w:pPr>
            <w:r w:rsidRPr="004030DB">
              <w:rPr>
                <w:rFonts w:ascii="Arial" w:hAnsi="Arial" w:cs="Arial"/>
                <w:sz w:val="20"/>
                <w:szCs w:val="20"/>
              </w:rPr>
              <w:t>Yes</w:t>
            </w:r>
          </w:p>
        </w:tc>
        <w:tc>
          <w:tcPr>
            <w:tcW w:w="2463" w:type="dxa"/>
          </w:tcPr>
          <w:p w14:paraId="4885FCFD" w14:textId="77777777" w:rsidR="00F84B3A" w:rsidRPr="004030DB" w:rsidRDefault="00F84B3A" w:rsidP="00186516">
            <w:pPr>
              <w:jc w:val="right"/>
              <w:rPr>
                <w:rFonts w:ascii="Arial" w:hAnsi="Arial" w:cs="Arial"/>
                <w:b/>
                <w:sz w:val="20"/>
                <w:szCs w:val="20"/>
              </w:rPr>
            </w:pPr>
            <w:r w:rsidRPr="004030DB">
              <w:rPr>
                <w:rFonts w:ascii="Arial" w:hAnsi="Arial" w:cs="Arial"/>
                <w:b/>
                <w:sz w:val="20"/>
                <w:szCs w:val="20"/>
              </w:rPr>
              <w:t>3 out of 3</w:t>
            </w:r>
          </w:p>
        </w:tc>
      </w:tr>
      <w:tr w:rsidR="00186516" w:rsidRPr="004030DB" w14:paraId="29D4178C" w14:textId="77777777" w:rsidTr="00186516">
        <w:tc>
          <w:tcPr>
            <w:tcW w:w="3452" w:type="dxa"/>
          </w:tcPr>
          <w:p w14:paraId="6812D02B" w14:textId="77777777" w:rsidR="00186516" w:rsidRPr="004030DB" w:rsidRDefault="00186516" w:rsidP="00186516">
            <w:pPr>
              <w:rPr>
                <w:rFonts w:ascii="Arial" w:hAnsi="Arial" w:cs="Arial"/>
                <w:sz w:val="20"/>
                <w:szCs w:val="20"/>
              </w:rPr>
            </w:pPr>
            <w:r w:rsidRPr="004030DB">
              <w:rPr>
                <w:rFonts w:ascii="Arial" w:hAnsi="Arial" w:cs="Arial"/>
                <w:sz w:val="20"/>
                <w:szCs w:val="20"/>
              </w:rPr>
              <w:t>Chris Burton</w:t>
            </w:r>
            <w:r w:rsidR="00C171F9" w:rsidRPr="004030DB">
              <w:rPr>
                <w:rFonts w:ascii="Arial" w:hAnsi="Arial" w:cs="Arial"/>
                <w:sz w:val="20"/>
                <w:szCs w:val="20"/>
              </w:rPr>
              <w:t xml:space="preserve"> (Academic)</w:t>
            </w:r>
          </w:p>
        </w:tc>
        <w:tc>
          <w:tcPr>
            <w:tcW w:w="1073" w:type="dxa"/>
          </w:tcPr>
          <w:p w14:paraId="34C8E26E" w14:textId="77777777" w:rsidR="00186516" w:rsidRPr="004030DB" w:rsidRDefault="00186516" w:rsidP="00186516">
            <w:pPr>
              <w:jc w:val="center"/>
              <w:rPr>
                <w:rFonts w:ascii="Arial" w:hAnsi="Arial" w:cs="Arial"/>
                <w:sz w:val="20"/>
                <w:szCs w:val="20"/>
              </w:rPr>
            </w:pPr>
            <w:r w:rsidRPr="004030DB">
              <w:rPr>
                <w:rFonts w:ascii="Arial" w:hAnsi="Arial" w:cs="Arial"/>
                <w:sz w:val="20"/>
                <w:szCs w:val="20"/>
              </w:rPr>
              <w:t xml:space="preserve">No </w:t>
            </w:r>
          </w:p>
        </w:tc>
        <w:tc>
          <w:tcPr>
            <w:tcW w:w="1073" w:type="dxa"/>
          </w:tcPr>
          <w:p w14:paraId="19A36384" w14:textId="77777777" w:rsidR="00186516" w:rsidRPr="004030DB" w:rsidRDefault="00186516" w:rsidP="00186516">
            <w:pPr>
              <w:jc w:val="center"/>
              <w:rPr>
                <w:rFonts w:ascii="Arial" w:hAnsi="Arial" w:cs="Arial"/>
                <w:sz w:val="20"/>
                <w:szCs w:val="20"/>
              </w:rPr>
            </w:pPr>
            <w:r w:rsidRPr="004030DB">
              <w:rPr>
                <w:rFonts w:ascii="Arial" w:hAnsi="Arial" w:cs="Arial"/>
                <w:sz w:val="20"/>
                <w:szCs w:val="20"/>
              </w:rPr>
              <w:t xml:space="preserve">No </w:t>
            </w:r>
          </w:p>
        </w:tc>
        <w:tc>
          <w:tcPr>
            <w:tcW w:w="1073" w:type="dxa"/>
            <w:shd w:val="clear" w:color="auto" w:fill="000000" w:themeFill="text1"/>
          </w:tcPr>
          <w:p w14:paraId="2C2D725B" w14:textId="77777777" w:rsidR="00186516" w:rsidRPr="004030DB" w:rsidRDefault="00186516" w:rsidP="00F84B3A">
            <w:pPr>
              <w:jc w:val="center"/>
              <w:rPr>
                <w:rFonts w:ascii="Arial" w:hAnsi="Arial" w:cs="Arial"/>
                <w:sz w:val="20"/>
                <w:szCs w:val="20"/>
              </w:rPr>
            </w:pPr>
          </w:p>
        </w:tc>
        <w:tc>
          <w:tcPr>
            <w:tcW w:w="1073" w:type="dxa"/>
            <w:shd w:val="clear" w:color="auto" w:fill="000000" w:themeFill="text1"/>
          </w:tcPr>
          <w:p w14:paraId="6688D7C3" w14:textId="77777777" w:rsidR="00186516" w:rsidRPr="004030DB" w:rsidRDefault="00186516" w:rsidP="00F84B3A">
            <w:pPr>
              <w:jc w:val="center"/>
              <w:rPr>
                <w:rFonts w:ascii="Arial" w:hAnsi="Arial" w:cs="Arial"/>
                <w:sz w:val="20"/>
                <w:szCs w:val="20"/>
              </w:rPr>
            </w:pPr>
          </w:p>
        </w:tc>
        <w:tc>
          <w:tcPr>
            <w:tcW w:w="2463" w:type="dxa"/>
          </w:tcPr>
          <w:p w14:paraId="2ACA315A" w14:textId="77777777" w:rsidR="00186516" w:rsidRPr="004030DB" w:rsidRDefault="00186516" w:rsidP="00186516">
            <w:pPr>
              <w:jc w:val="right"/>
              <w:rPr>
                <w:rFonts w:ascii="Arial" w:hAnsi="Arial" w:cs="Arial"/>
                <w:b/>
                <w:sz w:val="20"/>
                <w:szCs w:val="20"/>
              </w:rPr>
            </w:pPr>
            <w:r w:rsidRPr="004030DB">
              <w:rPr>
                <w:rFonts w:ascii="Arial" w:hAnsi="Arial" w:cs="Arial"/>
                <w:b/>
                <w:sz w:val="20"/>
                <w:szCs w:val="20"/>
              </w:rPr>
              <w:t>0 out of 2</w:t>
            </w:r>
          </w:p>
        </w:tc>
      </w:tr>
      <w:tr w:rsidR="00186516" w:rsidRPr="004030DB" w14:paraId="0B024AF3" w14:textId="77777777" w:rsidTr="00186516">
        <w:tc>
          <w:tcPr>
            <w:tcW w:w="3452" w:type="dxa"/>
          </w:tcPr>
          <w:p w14:paraId="48982522" w14:textId="77777777" w:rsidR="00186516" w:rsidRPr="004030DB" w:rsidRDefault="00186516" w:rsidP="00186516">
            <w:pPr>
              <w:rPr>
                <w:rFonts w:ascii="Arial" w:hAnsi="Arial" w:cs="Arial"/>
                <w:sz w:val="20"/>
                <w:szCs w:val="20"/>
              </w:rPr>
            </w:pPr>
            <w:r w:rsidRPr="004030DB">
              <w:rPr>
                <w:rFonts w:ascii="Arial" w:hAnsi="Arial" w:cs="Arial"/>
                <w:sz w:val="20"/>
                <w:szCs w:val="20"/>
              </w:rPr>
              <w:t>Jane Perry</w:t>
            </w:r>
            <w:r w:rsidR="00C171F9" w:rsidRPr="004030DB">
              <w:rPr>
                <w:rFonts w:ascii="Arial" w:hAnsi="Arial" w:cs="Arial"/>
                <w:sz w:val="20"/>
                <w:szCs w:val="20"/>
              </w:rPr>
              <w:t xml:space="preserve"> (Academic)</w:t>
            </w:r>
          </w:p>
        </w:tc>
        <w:tc>
          <w:tcPr>
            <w:tcW w:w="1073" w:type="dxa"/>
            <w:shd w:val="clear" w:color="auto" w:fill="000000" w:themeFill="text1"/>
          </w:tcPr>
          <w:p w14:paraId="0FD569F0" w14:textId="77777777" w:rsidR="00186516" w:rsidRPr="004030DB" w:rsidRDefault="00186516" w:rsidP="00F84B3A">
            <w:pPr>
              <w:jc w:val="center"/>
              <w:rPr>
                <w:rFonts w:ascii="Arial" w:hAnsi="Arial" w:cs="Arial"/>
                <w:sz w:val="20"/>
                <w:szCs w:val="20"/>
              </w:rPr>
            </w:pPr>
          </w:p>
        </w:tc>
        <w:tc>
          <w:tcPr>
            <w:tcW w:w="1073" w:type="dxa"/>
            <w:shd w:val="clear" w:color="auto" w:fill="000000" w:themeFill="text1"/>
          </w:tcPr>
          <w:p w14:paraId="094DD4D6" w14:textId="77777777" w:rsidR="00186516" w:rsidRPr="004030DB" w:rsidRDefault="00186516" w:rsidP="00F84B3A">
            <w:pPr>
              <w:jc w:val="center"/>
              <w:rPr>
                <w:rFonts w:ascii="Arial" w:hAnsi="Arial" w:cs="Arial"/>
                <w:sz w:val="20"/>
                <w:szCs w:val="20"/>
              </w:rPr>
            </w:pPr>
          </w:p>
        </w:tc>
        <w:tc>
          <w:tcPr>
            <w:tcW w:w="1073" w:type="dxa"/>
          </w:tcPr>
          <w:p w14:paraId="09EAD583" w14:textId="77777777" w:rsidR="00186516" w:rsidRPr="004030DB" w:rsidRDefault="00186516" w:rsidP="00186516">
            <w:pPr>
              <w:jc w:val="center"/>
              <w:rPr>
                <w:rFonts w:ascii="Arial" w:hAnsi="Arial" w:cs="Arial"/>
                <w:sz w:val="20"/>
                <w:szCs w:val="20"/>
              </w:rPr>
            </w:pPr>
            <w:r w:rsidRPr="004030DB">
              <w:rPr>
                <w:rFonts w:ascii="Arial" w:hAnsi="Arial" w:cs="Arial"/>
                <w:sz w:val="20"/>
                <w:szCs w:val="20"/>
              </w:rPr>
              <w:t xml:space="preserve">No </w:t>
            </w:r>
          </w:p>
        </w:tc>
        <w:tc>
          <w:tcPr>
            <w:tcW w:w="1073" w:type="dxa"/>
          </w:tcPr>
          <w:p w14:paraId="110DA5CF" w14:textId="77777777" w:rsidR="00186516" w:rsidRPr="004030DB" w:rsidRDefault="00186516" w:rsidP="00186516">
            <w:pPr>
              <w:jc w:val="center"/>
              <w:rPr>
                <w:rFonts w:ascii="Arial" w:hAnsi="Arial" w:cs="Arial"/>
                <w:sz w:val="20"/>
                <w:szCs w:val="20"/>
              </w:rPr>
            </w:pPr>
            <w:r w:rsidRPr="004030DB">
              <w:rPr>
                <w:rFonts w:ascii="Arial" w:hAnsi="Arial" w:cs="Arial"/>
                <w:sz w:val="20"/>
                <w:szCs w:val="20"/>
              </w:rPr>
              <w:t xml:space="preserve">No </w:t>
            </w:r>
          </w:p>
        </w:tc>
        <w:tc>
          <w:tcPr>
            <w:tcW w:w="2463" w:type="dxa"/>
          </w:tcPr>
          <w:p w14:paraId="539EB7E9" w14:textId="77777777" w:rsidR="00186516" w:rsidRPr="004030DB" w:rsidRDefault="00186516" w:rsidP="00186516">
            <w:pPr>
              <w:jc w:val="right"/>
              <w:rPr>
                <w:rFonts w:ascii="Arial" w:hAnsi="Arial" w:cs="Arial"/>
                <w:b/>
                <w:sz w:val="20"/>
                <w:szCs w:val="20"/>
              </w:rPr>
            </w:pPr>
            <w:r w:rsidRPr="004030DB">
              <w:rPr>
                <w:rFonts w:ascii="Arial" w:hAnsi="Arial" w:cs="Arial"/>
                <w:b/>
                <w:sz w:val="20"/>
                <w:szCs w:val="20"/>
              </w:rPr>
              <w:t>0 out of 2</w:t>
            </w:r>
          </w:p>
        </w:tc>
      </w:tr>
      <w:tr w:rsidR="00F84B3A" w:rsidRPr="004030DB" w14:paraId="7656AE8C" w14:textId="77777777" w:rsidTr="00186516">
        <w:tc>
          <w:tcPr>
            <w:tcW w:w="3452" w:type="dxa"/>
            <w:tcBorders>
              <w:top w:val="single" w:sz="4" w:space="0" w:color="auto"/>
              <w:left w:val="single" w:sz="4" w:space="0" w:color="auto"/>
              <w:bottom w:val="single" w:sz="4" w:space="0" w:color="auto"/>
              <w:right w:val="nil"/>
            </w:tcBorders>
          </w:tcPr>
          <w:p w14:paraId="720215EE" w14:textId="77777777" w:rsidR="00F84B3A" w:rsidRPr="004030DB" w:rsidRDefault="00F84B3A" w:rsidP="00186516">
            <w:pPr>
              <w:rPr>
                <w:rFonts w:ascii="Arial" w:hAnsi="Arial" w:cs="Arial"/>
                <w:b/>
                <w:sz w:val="20"/>
                <w:szCs w:val="20"/>
              </w:rPr>
            </w:pPr>
            <w:r w:rsidRPr="004030DB">
              <w:rPr>
                <w:rFonts w:ascii="Arial" w:hAnsi="Arial" w:cs="Arial"/>
                <w:b/>
                <w:sz w:val="20"/>
                <w:szCs w:val="20"/>
              </w:rPr>
              <w:t>Executives</w:t>
            </w:r>
          </w:p>
        </w:tc>
        <w:tc>
          <w:tcPr>
            <w:tcW w:w="1073" w:type="dxa"/>
            <w:tcBorders>
              <w:top w:val="single" w:sz="4" w:space="0" w:color="auto"/>
              <w:left w:val="nil"/>
              <w:bottom w:val="single" w:sz="4" w:space="0" w:color="auto"/>
              <w:right w:val="nil"/>
            </w:tcBorders>
          </w:tcPr>
          <w:p w14:paraId="55103A81" w14:textId="77777777" w:rsidR="00F84B3A" w:rsidRPr="004030DB" w:rsidRDefault="00F84B3A" w:rsidP="00F84B3A">
            <w:pPr>
              <w:jc w:val="center"/>
              <w:rPr>
                <w:rFonts w:ascii="Arial" w:hAnsi="Arial" w:cs="Arial"/>
                <w:sz w:val="20"/>
                <w:szCs w:val="20"/>
              </w:rPr>
            </w:pPr>
          </w:p>
        </w:tc>
        <w:tc>
          <w:tcPr>
            <w:tcW w:w="1073" w:type="dxa"/>
            <w:tcBorders>
              <w:top w:val="single" w:sz="4" w:space="0" w:color="auto"/>
              <w:left w:val="nil"/>
              <w:bottom w:val="single" w:sz="4" w:space="0" w:color="auto"/>
              <w:right w:val="nil"/>
            </w:tcBorders>
          </w:tcPr>
          <w:p w14:paraId="6AA14831" w14:textId="77777777" w:rsidR="00F84B3A" w:rsidRPr="004030DB" w:rsidRDefault="00F84B3A" w:rsidP="00F84B3A">
            <w:pPr>
              <w:jc w:val="center"/>
              <w:rPr>
                <w:rFonts w:ascii="Arial" w:hAnsi="Arial" w:cs="Arial"/>
                <w:sz w:val="20"/>
                <w:szCs w:val="20"/>
              </w:rPr>
            </w:pPr>
          </w:p>
        </w:tc>
        <w:tc>
          <w:tcPr>
            <w:tcW w:w="1073" w:type="dxa"/>
            <w:tcBorders>
              <w:top w:val="single" w:sz="4" w:space="0" w:color="auto"/>
              <w:left w:val="nil"/>
              <w:bottom w:val="single" w:sz="4" w:space="0" w:color="auto"/>
              <w:right w:val="nil"/>
            </w:tcBorders>
          </w:tcPr>
          <w:p w14:paraId="485B7E21" w14:textId="77777777" w:rsidR="00F84B3A" w:rsidRPr="004030DB" w:rsidRDefault="00F84B3A" w:rsidP="00F84B3A">
            <w:pPr>
              <w:jc w:val="center"/>
              <w:rPr>
                <w:rFonts w:ascii="Arial" w:hAnsi="Arial" w:cs="Arial"/>
                <w:sz w:val="20"/>
                <w:szCs w:val="20"/>
              </w:rPr>
            </w:pPr>
          </w:p>
        </w:tc>
        <w:tc>
          <w:tcPr>
            <w:tcW w:w="1073" w:type="dxa"/>
            <w:tcBorders>
              <w:top w:val="single" w:sz="4" w:space="0" w:color="auto"/>
              <w:left w:val="nil"/>
              <w:bottom w:val="single" w:sz="4" w:space="0" w:color="auto"/>
              <w:right w:val="nil"/>
            </w:tcBorders>
          </w:tcPr>
          <w:p w14:paraId="79029B44" w14:textId="77777777" w:rsidR="00F84B3A" w:rsidRPr="004030DB" w:rsidRDefault="00F84B3A" w:rsidP="00F84B3A">
            <w:pPr>
              <w:jc w:val="center"/>
              <w:rPr>
                <w:rFonts w:ascii="Arial" w:hAnsi="Arial" w:cs="Arial"/>
                <w:sz w:val="20"/>
                <w:szCs w:val="20"/>
              </w:rPr>
            </w:pPr>
          </w:p>
        </w:tc>
        <w:tc>
          <w:tcPr>
            <w:tcW w:w="2463" w:type="dxa"/>
            <w:tcBorders>
              <w:top w:val="single" w:sz="4" w:space="0" w:color="auto"/>
              <w:left w:val="nil"/>
              <w:bottom w:val="single" w:sz="4" w:space="0" w:color="auto"/>
              <w:right w:val="single" w:sz="4" w:space="0" w:color="auto"/>
            </w:tcBorders>
          </w:tcPr>
          <w:p w14:paraId="740B7364" w14:textId="77777777" w:rsidR="00F84B3A" w:rsidRPr="004030DB" w:rsidRDefault="00F84B3A" w:rsidP="00186516">
            <w:pPr>
              <w:jc w:val="right"/>
              <w:rPr>
                <w:rFonts w:ascii="Arial" w:hAnsi="Arial" w:cs="Arial"/>
                <w:b/>
                <w:sz w:val="20"/>
                <w:szCs w:val="20"/>
              </w:rPr>
            </w:pPr>
          </w:p>
        </w:tc>
      </w:tr>
      <w:tr w:rsidR="00186516" w:rsidRPr="004030DB" w14:paraId="125BE787" w14:textId="77777777" w:rsidTr="00186516">
        <w:tc>
          <w:tcPr>
            <w:tcW w:w="3452" w:type="dxa"/>
          </w:tcPr>
          <w:p w14:paraId="76732E5C" w14:textId="77777777" w:rsidR="00186516" w:rsidRPr="004030DB" w:rsidRDefault="00186516" w:rsidP="00186516">
            <w:pPr>
              <w:rPr>
                <w:rFonts w:ascii="Arial" w:hAnsi="Arial" w:cs="Arial"/>
                <w:sz w:val="20"/>
                <w:szCs w:val="20"/>
              </w:rPr>
            </w:pPr>
            <w:r w:rsidRPr="004030DB">
              <w:rPr>
                <w:rFonts w:ascii="Arial" w:hAnsi="Arial" w:cs="Arial"/>
                <w:sz w:val="20"/>
                <w:szCs w:val="20"/>
              </w:rPr>
              <w:t>Alan Davies</w:t>
            </w:r>
          </w:p>
        </w:tc>
        <w:tc>
          <w:tcPr>
            <w:tcW w:w="1073" w:type="dxa"/>
          </w:tcPr>
          <w:p w14:paraId="3BC68937" w14:textId="77777777" w:rsidR="00186516" w:rsidRPr="004030DB" w:rsidRDefault="00186516" w:rsidP="00186516">
            <w:pPr>
              <w:jc w:val="center"/>
              <w:rPr>
                <w:rFonts w:ascii="Arial" w:hAnsi="Arial" w:cs="Arial"/>
                <w:sz w:val="20"/>
                <w:szCs w:val="20"/>
              </w:rPr>
            </w:pPr>
            <w:r w:rsidRPr="004030DB">
              <w:rPr>
                <w:rFonts w:ascii="Arial" w:hAnsi="Arial" w:cs="Arial"/>
                <w:sz w:val="20"/>
                <w:szCs w:val="20"/>
              </w:rPr>
              <w:t xml:space="preserve">No </w:t>
            </w:r>
          </w:p>
        </w:tc>
        <w:tc>
          <w:tcPr>
            <w:tcW w:w="1073" w:type="dxa"/>
          </w:tcPr>
          <w:p w14:paraId="4A8ADE51" w14:textId="77777777" w:rsidR="00186516" w:rsidRPr="004030DB" w:rsidRDefault="00186516" w:rsidP="00186516">
            <w:pPr>
              <w:jc w:val="center"/>
              <w:rPr>
                <w:rFonts w:ascii="Arial" w:hAnsi="Arial" w:cs="Arial"/>
                <w:sz w:val="20"/>
                <w:szCs w:val="20"/>
              </w:rPr>
            </w:pPr>
            <w:r w:rsidRPr="004030DB">
              <w:rPr>
                <w:rFonts w:ascii="Arial" w:hAnsi="Arial" w:cs="Arial"/>
                <w:sz w:val="20"/>
                <w:szCs w:val="20"/>
              </w:rPr>
              <w:t xml:space="preserve">No </w:t>
            </w:r>
          </w:p>
        </w:tc>
        <w:tc>
          <w:tcPr>
            <w:tcW w:w="1073" w:type="dxa"/>
          </w:tcPr>
          <w:p w14:paraId="4C7FB360" w14:textId="77777777" w:rsidR="00186516" w:rsidRPr="004030DB" w:rsidRDefault="00186516" w:rsidP="00F84B3A">
            <w:pPr>
              <w:jc w:val="center"/>
              <w:rPr>
                <w:rFonts w:ascii="Arial" w:hAnsi="Arial" w:cs="Arial"/>
                <w:sz w:val="20"/>
                <w:szCs w:val="20"/>
              </w:rPr>
            </w:pPr>
            <w:r w:rsidRPr="004030DB">
              <w:rPr>
                <w:rFonts w:ascii="Arial" w:hAnsi="Arial" w:cs="Arial"/>
                <w:sz w:val="20"/>
                <w:szCs w:val="20"/>
              </w:rPr>
              <w:t>Yes</w:t>
            </w:r>
          </w:p>
        </w:tc>
        <w:tc>
          <w:tcPr>
            <w:tcW w:w="1073" w:type="dxa"/>
            <w:shd w:val="clear" w:color="auto" w:fill="000000" w:themeFill="text1"/>
          </w:tcPr>
          <w:p w14:paraId="5A113D92" w14:textId="77777777" w:rsidR="00186516" w:rsidRPr="004030DB" w:rsidRDefault="00186516" w:rsidP="00F84B3A">
            <w:pPr>
              <w:jc w:val="center"/>
              <w:rPr>
                <w:rFonts w:ascii="Arial" w:hAnsi="Arial" w:cs="Arial"/>
                <w:sz w:val="20"/>
                <w:szCs w:val="20"/>
              </w:rPr>
            </w:pPr>
          </w:p>
        </w:tc>
        <w:tc>
          <w:tcPr>
            <w:tcW w:w="2463" w:type="dxa"/>
          </w:tcPr>
          <w:p w14:paraId="6273DFC1" w14:textId="77777777" w:rsidR="00186516" w:rsidRPr="004030DB" w:rsidRDefault="00186516" w:rsidP="00186516">
            <w:pPr>
              <w:jc w:val="right"/>
              <w:rPr>
                <w:rFonts w:ascii="Arial" w:hAnsi="Arial" w:cs="Arial"/>
                <w:b/>
                <w:sz w:val="20"/>
                <w:szCs w:val="20"/>
              </w:rPr>
            </w:pPr>
            <w:r w:rsidRPr="004030DB">
              <w:rPr>
                <w:rFonts w:ascii="Arial" w:hAnsi="Arial" w:cs="Arial"/>
                <w:b/>
                <w:sz w:val="20"/>
                <w:szCs w:val="20"/>
              </w:rPr>
              <w:t>1 out of 3</w:t>
            </w:r>
          </w:p>
        </w:tc>
      </w:tr>
      <w:tr w:rsidR="00186516" w:rsidRPr="004030DB" w14:paraId="6763B59E" w14:textId="77777777" w:rsidTr="00186516">
        <w:tc>
          <w:tcPr>
            <w:tcW w:w="3452" w:type="dxa"/>
          </w:tcPr>
          <w:p w14:paraId="6ACDD58C" w14:textId="77777777" w:rsidR="00186516" w:rsidRPr="004030DB" w:rsidRDefault="00186516" w:rsidP="00186516">
            <w:pPr>
              <w:rPr>
                <w:rFonts w:ascii="Arial" w:hAnsi="Arial" w:cs="Arial"/>
                <w:sz w:val="20"/>
                <w:szCs w:val="20"/>
              </w:rPr>
            </w:pPr>
            <w:r w:rsidRPr="004030DB">
              <w:rPr>
                <w:rFonts w:ascii="Arial" w:hAnsi="Arial" w:cs="Arial"/>
                <w:sz w:val="20"/>
                <w:szCs w:val="20"/>
              </w:rPr>
              <w:t>Alison Davis</w:t>
            </w:r>
          </w:p>
        </w:tc>
        <w:tc>
          <w:tcPr>
            <w:tcW w:w="1073" w:type="dxa"/>
          </w:tcPr>
          <w:p w14:paraId="75863BD7" w14:textId="77777777" w:rsidR="00186516" w:rsidRPr="004030DB" w:rsidRDefault="00186516" w:rsidP="00F84B3A">
            <w:pPr>
              <w:jc w:val="center"/>
              <w:rPr>
                <w:rFonts w:ascii="Arial" w:hAnsi="Arial" w:cs="Arial"/>
                <w:sz w:val="20"/>
                <w:szCs w:val="20"/>
              </w:rPr>
            </w:pPr>
            <w:r w:rsidRPr="004030DB">
              <w:rPr>
                <w:rFonts w:ascii="Arial" w:hAnsi="Arial" w:cs="Arial"/>
                <w:sz w:val="20"/>
                <w:szCs w:val="20"/>
              </w:rPr>
              <w:t>Yes</w:t>
            </w:r>
          </w:p>
        </w:tc>
        <w:tc>
          <w:tcPr>
            <w:tcW w:w="1073" w:type="dxa"/>
          </w:tcPr>
          <w:p w14:paraId="39B29B2C" w14:textId="77777777" w:rsidR="00186516" w:rsidRPr="004030DB" w:rsidRDefault="00186516" w:rsidP="00186516">
            <w:pPr>
              <w:jc w:val="center"/>
              <w:rPr>
                <w:rFonts w:ascii="Arial" w:hAnsi="Arial" w:cs="Arial"/>
                <w:sz w:val="20"/>
                <w:szCs w:val="20"/>
              </w:rPr>
            </w:pPr>
            <w:r w:rsidRPr="004030DB">
              <w:rPr>
                <w:rFonts w:ascii="Arial" w:hAnsi="Arial" w:cs="Arial"/>
                <w:sz w:val="20"/>
                <w:szCs w:val="20"/>
              </w:rPr>
              <w:t xml:space="preserve">No </w:t>
            </w:r>
          </w:p>
        </w:tc>
        <w:tc>
          <w:tcPr>
            <w:tcW w:w="1073" w:type="dxa"/>
          </w:tcPr>
          <w:p w14:paraId="13F7A866" w14:textId="77777777" w:rsidR="00186516" w:rsidRPr="004030DB" w:rsidRDefault="00186516" w:rsidP="00186516">
            <w:pPr>
              <w:jc w:val="center"/>
              <w:rPr>
                <w:rFonts w:ascii="Arial" w:hAnsi="Arial" w:cs="Arial"/>
                <w:sz w:val="20"/>
                <w:szCs w:val="20"/>
              </w:rPr>
            </w:pPr>
            <w:r w:rsidRPr="004030DB">
              <w:rPr>
                <w:rFonts w:ascii="Arial" w:hAnsi="Arial" w:cs="Arial"/>
                <w:sz w:val="20"/>
                <w:szCs w:val="20"/>
              </w:rPr>
              <w:t xml:space="preserve">No </w:t>
            </w:r>
          </w:p>
        </w:tc>
        <w:tc>
          <w:tcPr>
            <w:tcW w:w="1073" w:type="dxa"/>
          </w:tcPr>
          <w:p w14:paraId="1F041A7D" w14:textId="77777777" w:rsidR="00186516" w:rsidRPr="004030DB" w:rsidRDefault="00186516" w:rsidP="00F84B3A">
            <w:pPr>
              <w:jc w:val="center"/>
              <w:rPr>
                <w:rFonts w:ascii="Arial" w:hAnsi="Arial" w:cs="Arial"/>
                <w:sz w:val="20"/>
                <w:szCs w:val="20"/>
              </w:rPr>
            </w:pPr>
            <w:r w:rsidRPr="004030DB">
              <w:rPr>
                <w:rFonts w:ascii="Arial" w:hAnsi="Arial" w:cs="Arial"/>
                <w:sz w:val="20"/>
                <w:szCs w:val="20"/>
              </w:rPr>
              <w:t>Yes</w:t>
            </w:r>
          </w:p>
        </w:tc>
        <w:tc>
          <w:tcPr>
            <w:tcW w:w="2463" w:type="dxa"/>
          </w:tcPr>
          <w:p w14:paraId="7B78E12F" w14:textId="77777777" w:rsidR="00186516" w:rsidRPr="004030DB" w:rsidRDefault="00186516" w:rsidP="00186516">
            <w:pPr>
              <w:jc w:val="right"/>
              <w:rPr>
                <w:rFonts w:ascii="Arial" w:hAnsi="Arial" w:cs="Arial"/>
                <w:b/>
                <w:sz w:val="20"/>
                <w:szCs w:val="20"/>
              </w:rPr>
            </w:pPr>
            <w:r w:rsidRPr="004030DB">
              <w:rPr>
                <w:rFonts w:ascii="Arial" w:hAnsi="Arial" w:cs="Arial"/>
                <w:b/>
                <w:sz w:val="20"/>
                <w:szCs w:val="20"/>
              </w:rPr>
              <w:t>2 out of 4</w:t>
            </w:r>
          </w:p>
        </w:tc>
      </w:tr>
      <w:tr w:rsidR="00186516" w:rsidRPr="004030DB" w14:paraId="2399816D" w14:textId="77777777" w:rsidTr="00186516">
        <w:tc>
          <w:tcPr>
            <w:tcW w:w="3452" w:type="dxa"/>
          </w:tcPr>
          <w:p w14:paraId="773B5DD0" w14:textId="77777777" w:rsidR="00186516" w:rsidRPr="004030DB" w:rsidRDefault="00186516" w:rsidP="00186516">
            <w:pPr>
              <w:rPr>
                <w:rFonts w:ascii="Arial" w:hAnsi="Arial" w:cs="Arial"/>
                <w:sz w:val="20"/>
                <w:szCs w:val="20"/>
              </w:rPr>
            </w:pPr>
            <w:r w:rsidRPr="004030DB">
              <w:rPr>
                <w:rFonts w:ascii="Arial" w:hAnsi="Arial" w:cs="Arial"/>
                <w:sz w:val="20"/>
                <w:szCs w:val="20"/>
              </w:rPr>
              <w:lastRenderedPageBreak/>
              <w:t xml:space="preserve">Evonne Hunt </w:t>
            </w:r>
            <w:r w:rsidRPr="004030DB">
              <w:rPr>
                <w:rFonts w:ascii="Arial" w:hAnsi="Arial" w:cs="Arial"/>
                <w:i/>
                <w:sz w:val="20"/>
                <w:szCs w:val="20"/>
              </w:rPr>
              <w:t>(Seconded)</w:t>
            </w:r>
          </w:p>
        </w:tc>
        <w:tc>
          <w:tcPr>
            <w:tcW w:w="1073" w:type="dxa"/>
            <w:shd w:val="clear" w:color="auto" w:fill="000000" w:themeFill="text1"/>
          </w:tcPr>
          <w:p w14:paraId="3B8AF896" w14:textId="77777777" w:rsidR="00186516" w:rsidRPr="004030DB" w:rsidRDefault="00186516" w:rsidP="00186516">
            <w:pPr>
              <w:jc w:val="center"/>
              <w:rPr>
                <w:rFonts w:ascii="Arial" w:hAnsi="Arial" w:cs="Arial"/>
                <w:sz w:val="20"/>
                <w:szCs w:val="20"/>
              </w:rPr>
            </w:pPr>
          </w:p>
        </w:tc>
        <w:tc>
          <w:tcPr>
            <w:tcW w:w="1073" w:type="dxa"/>
            <w:shd w:val="clear" w:color="auto" w:fill="000000" w:themeFill="text1"/>
          </w:tcPr>
          <w:p w14:paraId="5D6F6E6D" w14:textId="77777777" w:rsidR="00186516" w:rsidRPr="004030DB" w:rsidRDefault="00186516" w:rsidP="00186516">
            <w:pPr>
              <w:jc w:val="center"/>
              <w:rPr>
                <w:rFonts w:ascii="Arial" w:hAnsi="Arial" w:cs="Arial"/>
                <w:sz w:val="20"/>
                <w:szCs w:val="20"/>
              </w:rPr>
            </w:pPr>
          </w:p>
        </w:tc>
        <w:tc>
          <w:tcPr>
            <w:tcW w:w="1073" w:type="dxa"/>
            <w:shd w:val="clear" w:color="auto" w:fill="000000" w:themeFill="text1"/>
          </w:tcPr>
          <w:p w14:paraId="16EC46EF" w14:textId="77777777" w:rsidR="00186516" w:rsidRPr="004030DB" w:rsidRDefault="00186516" w:rsidP="00186516">
            <w:pPr>
              <w:jc w:val="center"/>
              <w:rPr>
                <w:rFonts w:ascii="Arial" w:hAnsi="Arial" w:cs="Arial"/>
                <w:sz w:val="20"/>
                <w:szCs w:val="20"/>
              </w:rPr>
            </w:pPr>
          </w:p>
        </w:tc>
        <w:tc>
          <w:tcPr>
            <w:tcW w:w="1073" w:type="dxa"/>
            <w:shd w:val="clear" w:color="auto" w:fill="000000" w:themeFill="text1"/>
          </w:tcPr>
          <w:p w14:paraId="0169F18E" w14:textId="77777777" w:rsidR="00186516" w:rsidRPr="004030DB" w:rsidRDefault="00186516" w:rsidP="00186516">
            <w:pPr>
              <w:jc w:val="center"/>
              <w:rPr>
                <w:rFonts w:ascii="Arial" w:hAnsi="Arial" w:cs="Arial"/>
                <w:sz w:val="20"/>
                <w:szCs w:val="20"/>
              </w:rPr>
            </w:pPr>
          </w:p>
        </w:tc>
        <w:tc>
          <w:tcPr>
            <w:tcW w:w="2463" w:type="dxa"/>
          </w:tcPr>
          <w:p w14:paraId="586486F0" w14:textId="77777777" w:rsidR="00186516" w:rsidRPr="00C440BD" w:rsidRDefault="00186516" w:rsidP="00186516">
            <w:pPr>
              <w:jc w:val="right"/>
              <w:rPr>
                <w:rFonts w:ascii="Arial" w:hAnsi="Arial" w:cs="Arial"/>
                <w:b/>
                <w:color w:val="EE0000"/>
                <w:sz w:val="20"/>
                <w:szCs w:val="20"/>
              </w:rPr>
            </w:pPr>
            <w:r w:rsidRPr="00C440BD">
              <w:rPr>
                <w:rFonts w:ascii="Arial" w:hAnsi="Arial" w:cs="Arial"/>
                <w:b/>
                <w:color w:val="EE0000"/>
                <w:sz w:val="20"/>
                <w:szCs w:val="20"/>
              </w:rPr>
              <w:t>No Attendance</w:t>
            </w:r>
          </w:p>
        </w:tc>
      </w:tr>
      <w:tr w:rsidR="00186516" w:rsidRPr="004030DB" w14:paraId="37973727" w14:textId="77777777" w:rsidTr="00186516">
        <w:tc>
          <w:tcPr>
            <w:tcW w:w="3452" w:type="dxa"/>
          </w:tcPr>
          <w:p w14:paraId="5307088A" w14:textId="77777777" w:rsidR="00186516" w:rsidRPr="004030DB" w:rsidRDefault="00186516" w:rsidP="00186516">
            <w:pPr>
              <w:rPr>
                <w:rFonts w:ascii="Arial" w:hAnsi="Arial" w:cs="Arial"/>
                <w:sz w:val="20"/>
                <w:szCs w:val="20"/>
              </w:rPr>
            </w:pPr>
            <w:r w:rsidRPr="004030DB">
              <w:rPr>
                <w:rFonts w:ascii="Arial" w:hAnsi="Arial" w:cs="Arial"/>
                <w:sz w:val="20"/>
                <w:szCs w:val="20"/>
              </w:rPr>
              <w:t>Gavin MacDonald</w:t>
            </w:r>
          </w:p>
        </w:tc>
        <w:tc>
          <w:tcPr>
            <w:tcW w:w="1073" w:type="dxa"/>
          </w:tcPr>
          <w:p w14:paraId="4FDF7D15" w14:textId="77777777" w:rsidR="00186516" w:rsidRPr="004030DB" w:rsidRDefault="00186516" w:rsidP="00F84B3A">
            <w:pPr>
              <w:jc w:val="center"/>
              <w:rPr>
                <w:rFonts w:ascii="Arial" w:hAnsi="Arial" w:cs="Arial"/>
                <w:sz w:val="20"/>
                <w:szCs w:val="20"/>
              </w:rPr>
            </w:pPr>
            <w:r w:rsidRPr="004030DB">
              <w:rPr>
                <w:rFonts w:ascii="Arial" w:hAnsi="Arial" w:cs="Arial"/>
                <w:sz w:val="20"/>
                <w:szCs w:val="20"/>
              </w:rPr>
              <w:t>Yes</w:t>
            </w:r>
          </w:p>
        </w:tc>
        <w:tc>
          <w:tcPr>
            <w:tcW w:w="1073" w:type="dxa"/>
          </w:tcPr>
          <w:p w14:paraId="4BCE7E7F" w14:textId="77777777" w:rsidR="00186516" w:rsidRPr="004030DB" w:rsidRDefault="00186516" w:rsidP="00F84B3A">
            <w:pPr>
              <w:jc w:val="center"/>
              <w:rPr>
                <w:rFonts w:ascii="Arial" w:hAnsi="Arial" w:cs="Arial"/>
                <w:sz w:val="20"/>
                <w:szCs w:val="20"/>
              </w:rPr>
            </w:pPr>
            <w:r w:rsidRPr="004030DB">
              <w:rPr>
                <w:rFonts w:ascii="Arial" w:hAnsi="Arial" w:cs="Arial"/>
                <w:sz w:val="20"/>
                <w:szCs w:val="20"/>
              </w:rPr>
              <w:t>Yes</w:t>
            </w:r>
          </w:p>
        </w:tc>
        <w:tc>
          <w:tcPr>
            <w:tcW w:w="1073" w:type="dxa"/>
          </w:tcPr>
          <w:p w14:paraId="4BD7AF3E" w14:textId="77777777" w:rsidR="00186516" w:rsidRPr="004030DB" w:rsidRDefault="00186516" w:rsidP="00186516">
            <w:pPr>
              <w:jc w:val="center"/>
              <w:rPr>
                <w:rFonts w:ascii="Arial" w:hAnsi="Arial" w:cs="Arial"/>
                <w:sz w:val="20"/>
                <w:szCs w:val="20"/>
              </w:rPr>
            </w:pPr>
            <w:r w:rsidRPr="004030DB">
              <w:rPr>
                <w:rFonts w:ascii="Arial" w:hAnsi="Arial" w:cs="Arial"/>
                <w:sz w:val="20"/>
                <w:szCs w:val="20"/>
              </w:rPr>
              <w:t xml:space="preserve">No </w:t>
            </w:r>
          </w:p>
        </w:tc>
        <w:tc>
          <w:tcPr>
            <w:tcW w:w="1073" w:type="dxa"/>
          </w:tcPr>
          <w:p w14:paraId="2C6AC6F3" w14:textId="77777777" w:rsidR="00186516" w:rsidRPr="004030DB" w:rsidRDefault="00186516" w:rsidP="00F84B3A">
            <w:pPr>
              <w:jc w:val="center"/>
              <w:rPr>
                <w:rFonts w:ascii="Arial" w:hAnsi="Arial" w:cs="Arial"/>
                <w:sz w:val="20"/>
                <w:szCs w:val="20"/>
              </w:rPr>
            </w:pPr>
            <w:r w:rsidRPr="004030DB">
              <w:rPr>
                <w:rFonts w:ascii="Arial" w:hAnsi="Arial" w:cs="Arial"/>
                <w:sz w:val="20"/>
                <w:szCs w:val="20"/>
              </w:rPr>
              <w:t>Yes</w:t>
            </w:r>
          </w:p>
        </w:tc>
        <w:tc>
          <w:tcPr>
            <w:tcW w:w="2463" w:type="dxa"/>
          </w:tcPr>
          <w:p w14:paraId="175F218F" w14:textId="77777777" w:rsidR="00186516" w:rsidRPr="004030DB" w:rsidRDefault="00186516" w:rsidP="00186516">
            <w:pPr>
              <w:jc w:val="right"/>
              <w:rPr>
                <w:rFonts w:ascii="Arial" w:hAnsi="Arial" w:cs="Arial"/>
                <w:b/>
                <w:sz w:val="20"/>
                <w:szCs w:val="20"/>
              </w:rPr>
            </w:pPr>
            <w:r w:rsidRPr="004030DB">
              <w:rPr>
                <w:rFonts w:ascii="Arial" w:hAnsi="Arial" w:cs="Arial"/>
                <w:b/>
                <w:sz w:val="20"/>
                <w:szCs w:val="20"/>
              </w:rPr>
              <w:t>3 out of 4</w:t>
            </w:r>
          </w:p>
        </w:tc>
      </w:tr>
      <w:tr w:rsidR="00186516" w:rsidRPr="004030DB" w14:paraId="67B4A1DC" w14:textId="77777777" w:rsidTr="00186516">
        <w:tc>
          <w:tcPr>
            <w:tcW w:w="3452" w:type="dxa"/>
          </w:tcPr>
          <w:p w14:paraId="3F2BA298" w14:textId="77777777" w:rsidR="00186516" w:rsidRPr="004030DB" w:rsidRDefault="00186516" w:rsidP="00186516">
            <w:pPr>
              <w:rPr>
                <w:rFonts w:ascii="Arial" w:hAnsi="Arial" w:cs="Arial"/>
                <w:sz w:val="20"/>
                <w:szCs w:val="20"/>
              </w:rPr>
            </w:pPr>
            <w:r w:rsidRPr="004030DB">
              <w:rPr>
                <w:rFonts w:ascii="Arial" w:hAnsi="Arial" w:cs="Arial"/>
                <w:sz w:val="20"/>
                <w:szCs w:val="20"/>
              </w:rPr>
              <w:t>Glynis Alexander</w:t>
            </w:r>
          </w:p>
        </w:tc>
        <w:tc>
          <w:tcPr>
            <w:tcW w:w="1073" w:type="dxa"/>
          </w:tcPr>
          <w:p w14:paraId="08096961" w14:textId="77777777" w:rsidR="00186516" w:rsidRPr="004030DB" w:rsidRDefault="00186516" w:rsidP="00F84B3A">
            <w:pPr>
              <w:jc w:val="center"/>
              <w:rPr>
                <w:rFonts w:ascii="Arial" w:hAnsi="Arial" w:cs="Arial"/>
                <w:sz w:val="20"/>
                <w:szCs w:val="20"/>
              </w:rPr>
            </w:pPr>
            <w:r w:rsidRPr="004030DB">
              <w:rPr>
                <w:rFonts w:ascii="Arial" w:hAnsi="Arial" w:cs="Arial"/>
                <w:sz w:val="20"/>
                <w:szCs w:val="20"/>
              </w:rPr>
              <w:t>Yes</w:t>
            </w:r>
          </w:p>
        </w:tc>
        <w:tc>
          <w:tcPr>
            <w:tcW w:w="1073" w:type="dxa"/>
          </w:tcPr>
          <w:p w14:paraId="6C1C5EA4" w14:textId="77777777" w:rsidR="00186516" w:rsidRPr="004030DB" w:rsidRDefault="00186516" w:rsidP="00F84B3A">
            <w:pPr>
              <w:jc w:val="center"/>
              <w:rPr>
                <w:rFonts w:ascii="Arial" w:hAnsi="Arial" w:cs="Arial"/>
                <w:sz w:val="20"/>
                <w:szCs w:val="20"/>
              </w:rPr>
            </w:pPr>
            <w:r w:rsidRPr="004030DB">
              <w:rPr>
                <w:rFonts w:ascii="Arial" w:hAnsi="Arial" w:cs="Arial"/>
                <w:sz w:val="20"/>
                <w:szCs w:val="20"/>
              </w:rPr>
              <w:t>Yes</w:t>
            </w:r>
          </w:p>
        </w:tc>
        <w:tc>
          <w:tcPr>
            <w:tcW w:w="1073" w:type="dxa"/>
          </w:tcPr>
          <w:p w14:paraId="1767A075" w14:textId="77777777" w:rsidR="00186516" w:rsidRPr="004030DB" w:rsidRDefault="00186516" w:rsidP="00F84B3A">
            <w:pPr>
              <w:jc w:val="center"/>
              <w:rPr>
                <w:rFonts w:ascii="Arial" w:hAnsi="Arial" w:cs="Arial"/>
                <w:sz w:val="20"/>
                <w:szCs w:val="20"/>
              </w:rPr>
            </w:pPr>
            <w:r w:rsidRPr="004030DB">
              <w:rPr>
                <w:rFonts w:ascii="Arial" w:hAnsi="Arial" w:cs="Arial"/>
                <w:sz w:val="20"/>
                <w:szCs w:val="20"/>
              </w:rPr>
              <w:t>Yes</w:t>
            </w:r>
          </w:p>
        </w:tc>
        <w:tc>
          <w:tcPr>
            <w:tcW w:w="1073" w:type="dxa"/>
          </w:tcPr>
          <w:p w14:paraId="7D836B1D" w14:textId="77777777" w:rsidR="00186516" w:rsidRPr="004030DB" w:rsidRDefault="00186516" w:rsidP="00186516">
            <w:pPr>
              <w:jc w:val="center"/>
              <w:rPr>
                <w:rFonts w:ascii="Arial" w:hAnsi="Arial" w:cs="Arial"/>
                <w:sz w:val="20"/>
                <w:szCs w:val="20"/>
              </w:rPr>
            </w:pPr>
            <w:r w:rsidRPr="004030DB">
              <w:rPr>
                <w:rFonts w:ascii="Arial" w:hAnsi="Arial" w:cs="Arial"/>
                <w:sz w:val="20"/>
                <w:szCs w:val="20"/>
              </w:rPr>
              <w:t xml:space="preserve">No </w:t>
            </w:r>
          </w:p>
        </w:tc>
        <w:tc>
          <w:tcPr>
            <w:tcW w:w="2463" w:type="dxa"/>
          </w:tcPr>
          <w:p w14:paraId="35B123BC" w14:textId="77777777" w:rsidR="00186516" w:rsidRPr="004030DB" w:rsidRDefault="00186516" w:rsidP="00186516">
            <w:pPr>
              <w:jc w:val="right"/>
              <w:rPr>
                <w:rFonts w:ascii="Arial" w:hAnsi="Arial" w:cs="Arial"/>
                <w:b/>
                <w:sz w:val="20"/>
                <w:szCs w:val="20"/>
              </w:rPr>
            </w:pPr>
            <w:r w:rsidRPr="004030DB">
              <w:rPr>
                <w:rFonts w:ascii="Arial" w:hAnsi="Arial" w:cs="Arial"/>
                <w:b/>
                <w:sz w:val="20"/>
                <w:szCs w:val="20"/>
              </w:rPr>
              <w:t>3 out of 4</w:t>
            </w:r>
          </w:p>
        </w:tc>
      </w:tr>
      <w:tr w:rsidR="00186516" w:rsidRPr="004030DB" w14:paraId="14579E45" w14:textId="77777777" w:rsidTr="00186516">
        <w:tc>
          <w:tcPr>
            <w:tcW w:w="3452" w:type="dxa"/>
            <w:tcBorders>
              <w:top w:val="single" w:sz="4" w:space="0" w:color="auto"/>
            </w:tcBorders>
          </w:tcPr>
          <w:p w14:paraId="17B26877" w14:textId="77777777" w:rsidR="00186516" w:rsidRPr="004030DB" w:rsidRDefault="00186516" w:rsidP="00186516">
            <w:pPr>
              <w:rPr>
                <w:rFonts w:ascii="Arial" w:hAnsi="Arial" w:cs="Arial"/>
                <w:sz w:val="20"/>
                <w:szCs w:val="20"/>
              </w:rPr>
            </w:pPr>
            <w:r w:rsidRPr="004030DB">
              <w:rPr>
                <w:rFonts w:ascii="Arial" w:hAnsi="Arial" w:cs="Arial"/>
                <w:sz w:val="20"/>
                <w:szCs w:val="20"/>
              </w:rPr>
              <w:t>Jayne Black</w:t>
            </w:r>
          </w:p>
        </w:tc>
        <w:tc>
          <w:tcPr>
            <w:tcW w:w="1073" w:type="dxa"/>
            <w:tcBorders>
              <w:top w:val="single" w:sz="4" w:space="0" w:color="auto"/>
            </w:tcBorders>
          </w:tcPr>
          <w:p w14:paraId="325E5427" w14:textId="77777777" w:rsidR="00186516" w:rsidRPr="004030DB" w:rsidRDefault="00186516" w:rsidP="00F84B3A">
            <w:pPr>
              <w:jc w:val="center"/>
              <w:rPr>
                <w:rFonts w:ascii="Arial" w:hAnsi="Arial" w:cs="Arial"/>
                <w:sz w:val="20"/>
                <w:szCs w:val="20"/>
              </w:rPr>
            </w:pPr>
            <w:r w:rsidRPr="004030DB">
              <w:rPr>
                <w:rFonts w:ascii="Arial" w:hAnsi="Arial" w:cs="Arial"/>
                <w:sz w:val="20"/>
                <w:szCs w:val="20"/>
              </w:rPr>
              <w:t>Yes</w:t>
            </w:r>
          </w:p>
        </w:tc>
        <w:tc>
          <w:tcPr>
            <w:tcW w:w="1073" w:type="dxa"/>
            <w:tcBorders>
              <w:top w:val="single" w:sz="4" w:space="0" w:color="auto"/>
            </w:tcBorders>
          </w:tcPr>
          <w:p w14:paraId="67CF3B7A" w14:textId="77777777" w:rsidR="00186516" w:rsidRPr="004030DB" w:rsidRDefault="00186516" w:rsidP="00186516">
            <w:pPr>
              <w:jc w:val="center"/>
              <w:rPr>
                <w:rFonts w:ascii="Arial" w:hAnsi="Arial" w:cs="Arial"/>
                <w:sz w:val="20"/>
                <w:szCs w:val="20"/>
              </w:rPr>
            </w:pPr>
            <w:r w:rsidRPr="004030DB">
              <w:rPr>
                <w:rFonts w:ascii="Arial" w:hAnsi="Arial" w:cs="Arial"/>
                <w:sz w:val="20"/>
                <w:szCs w:val="20"/>
              </w:rPr>
              <w:t xml:space="preserve">No </w:t>
            </w:r>
          </w:p>
        </w:tc>
        <w:tc>
          <w:tcPr>
            <w:tcW w:w="1073" w:type="dxa"/>
            <w:tcBorders>
              <w:top w:val="single" w:sz="4" w:space="0" w:color="auto"/>
            </w:tcBorders>
          </w:tcPr>
          <w:p w14:paraId="142992F6" w14:textId="77777777" w:rsidR="00186516" w:rsidRPr="004030DB" w:rsidRDefault="00186516" w:rsidP="00186516">
            <w:pPr>
              <w:jc w:val="center"/>
              <w:rPr>
                <w:rFonts w:ascii="Arial" w:hAnsi="Arial" w:cs="Arial"/>
                <w:sz w:val="20"/>
                <w:szCs w:val="20"/>
              </w:rPr>
            </w:pPr>
            <w:r w:rsidRPr="004030DB">
              <w:rPr>
                <w:rFonts w:ascii="Arial" w:hAnsi="Arial" w:cs="Arial"/>
                <w:sz w:val="20"/>
                <w:szCs w:val="20"/>
              </w:rPr>
              <w:t xml:space="preserve">No </w:t>
            </w:r>
          </w:p>
        </w:tc>
        <w:tc>
          <w:tcPr>
            <w:tcW w:w="1073" w:type="dxa"/>
            <w:tcBorders>
              <w:top w:val="single" w:sz="4" w:space="0" w:color="auto"/>
            </w:tcBorders>
          </w:tcPr>
          <w:p w14:paraId="19F7A077" w14:textId="77777777" w:rsidR="00186516" w:rsidRPr="004030DB" w:rsidRDefault="00186516" w:rsidP="00F84B3A">
            <w:pPr>
              <w:jc w:val="center"/>
              <w:rPr>
                <w:rFonts w:ascii="Arial" w:hAnsi="Arial" w:cs="Arial"/>
                <w:sz w:val="20"/>
                <w:szCs w:val="20"/>
              </w:rPr>
            </w:pPr>
            <w:r w:rsidRPr="004030DB">
              <w:rPr>
                <w:rFonts w:ascii="Arial" w:hAnsi="Arial" w:cs="Arial"/>
                <w:sz w:val="20"/>
                <w:szCs w:val="20"/>
              </w:rPr>
              <w:t>Yes</w:t>
            </w:r>
          </w:p>
        </w:tc>
        <w:tc>
          <w:tcPr>
            <w:tcW w:w="2463" w:type="dxa"/>
            <w:tcBorders>
              <w:top w:val="single" w:sz="4" w:space="0" w:color="auto"/>
            </w:tcBorders>
          </w:tcPr>
          <w:p w14:paraId="4BD3B871" w14:textId="77777777" w:rsidR="00186516" w:rsidRPr="004030DB" w:rsidRDefault="00186516" w:rsidP="00186516">
            <w:pPr>
              <w:jc w:val="right"/>
              <w:rPr>
                <w:rFonts w:ascii="Arial" w:hAnsi="Arial" w:cs="Arial"/>
                <w:b/>
                <w:sz w:val="20"/>
                <w:szCs w:val="20"/>
              </w:rPr>
            </w:pPr>
            <w:r w:rsidRPr="004030DB">
              <w:rPr>
                <w:rFonts w:ascii="Arial" w:hAnsi="Arial" w:cs="Arial"/>
                <w:b/>
                <w:sz w:val="20"/>
                <w:szCs w:val="20"/>
              </w:rPr>
              <w:t>2 out of 4</w:t>
            </w:r>
          </w:p>
        </w:tc>
      </w:tr>
      <w:tr w:rsidR="00F84B3A" w:rsidRPr="004030DB" w14:paraId="3F2A8EEF" w14:textId="77777777" w:rsidTr="00186516">
        <w:tc>
          <w:tcPr>
            <w:tcW w:w="3452" w:type="dxa"/>
          </w:tcPr>
          <w:p w14:paraId="005F8108" w14:textId="77777777" w:rsidR="00F84B3A" w:rsidRPr="004030DB" w:rsidRDefault="00F84B3A" w:rsidP="00186516">
            <w:pPr>
              <w:rPr>
                <w:rFonts w:ascii="Arial" w:hAnsi="Arial" w:cs="Arial"/>
                <w:sz w:val="20"/>
                <w:szCs w:val="20"/>
              </w:rPr>
            </w:pPr>
            <w:r w:rsidRPr="004030DB">
              <w:rPr>
                <w:rFonts w:ascii="Arial" w:hAnsi="Arial" w:cs="Arial"/>
                <w:sz w:val="20"/>
                <w:szCs w:val="20"/>
              </w:rPr>
              <w:t>Leon Hinton</w:t>
            </w:r>
          </w:p>
        </w:tc>
        <w:tc>
          <w:tcPr>
            <w:tcW w:w="1073" w:type="dxa"/>
          </w:tcPr>
          <w:p w14:paraId="6AE5B9B7" w14:textId="77777777" w:rsidR="00F84B3A" w:rsidRPr="004030DB" w:rsidRDefault="00F84B3A" w:rsidP="00F84B3A">
            <w:pPr>
              <w:jc w:val="center"/>
              <w:rPr>
                <w:rFonts w:ascii="Arial" w:hAnsi="Arial" w:cs="Arial"/>
                <w:sz w:val="20"/>
                <w:szCs w:val="20"/>
              </w:rPr>
            </w:pPr>
            <w:r w:rsidRPr="004030DB">
              <w:rPr>
                <w:rFonts w:ascii="Arial" w:hAnsi="Arial" w:cs="Arial"/>
                <w:sz w:val="20"/>
                <w:szCs w:val="20"/>
              </w:rPr>
              <w:t>Yes</w:t>
            </w:r>
          </w:p>
        </w:tc>
        <w:tc>
          <w:tcPr>
            <w:tcW w:w="1073" w:type="dxa"/>
          </w:tcPr>
          <w:p w14:paraId="0A1288F6" w14:textId="77777777" w:rsidR="00F84B3A" w:rsidRPr="004030DB" w:rsidRDefault="00F84B3A" w:rsidP="00F84B3A">
            <w:pPr>
              <w:jc w:val="center"/>
              <w:rPr>
                <w:rFonts w:ascii="Arial" w:hAnsi="Arial" w:cs="Arial"/>
                <w:sz w:val="20"/>
                <w:szCs w:val="20"/>
              </w:rPr>
            </w:pPr>
            <w:r w:rsidRPr="004030DB">
              <w:rPr>
                <w:rFonts w:ascii="Arial" w:hAnsi="Arial" w:cs="Arial"/>
                <w:sz w:val="20"/>
                <w:szCs w:val="20"/>
              </w:rPr>
              <w:t>Yes</w:t>
            </w:r>
          </w:p>
        </w:tc>
        <w:tc>
          <w:tcPr>
            <w:tcW w:w="1073" w:type="dxa"/>
          </w:tcPr>
          <w:p w14:paraId="041D0164" w14:textId="77777777" w:rsidR="00F84B3A" w:rsidRPr="004030DB" w:rsidRDefault="00F84B3A" w:rsidP="00F84B3A">
            <w:pPr>
              <w:jc w:val="center"/>
              <w:rPr>
                <w:rFonts w:ascii="Arial" w:hAnsi="Arial" w:cs="Arial"/>
                <w:sz w:val="20"/>
                <w:szCs w:val="20"/>
              </w:rPr>
            </w:pPr>
            <w:r w:rsidRPr="004030DB">
              <w:rPr>
                <w:rFonts w:ascii="Arial" w:hAnsi="Arial" w:cs="Arial"/>
                <w:sz w:val="20"/>
                <w:szCs w:val="20"/>
              </w:rPr>
              <w:t>Yes</w:t>
            </w:r>
          </w:p>
        </w:tc>
        <w:tc>
          <w:tcPr>
            <w:tcW w:w="1073" w:type="dxa"/>
          </w:tcPr>
          <w:p w14:paraId="67CAF965" w14:textId="77777777" w:rsidR="00F84B3A" w:rsidRPr="004030DB" w:rsidRDefault="00F84B3A" w:rsidP="00F84B3A">
            <w:pPr>
              <w:jc w:val="center"/>
              <w:rPr>
                <w:rFonts w:ascii="Arial" w:hAnsi="Arial" w:cs="Arial"/>
                <w:sz w:val="20"/>
                <w:szCs w:val="20"/>
              </w:rPr>
            </w:pPr>
            <w:r w:rsidRPr="004030DB">
              <w:rPr>
                <w:rFonts w:ascii="Arial" w:hAnsi="Arial" w:cs="Arial"/>
                <w:sz w:val="20"/>
                <w:szCs w:val="20"/>
              </w:rPr>
              <w:t>Yes</w:t>
            </w:r>
          </w:p>
        </w:tc>
        <w:tc>
          <w:tcPr>
            <w:tcW w:w="2463" w:type="dxa"/>
          </w:tcPr>
          <w:p w14:paraId="70CE8E00" w14:textId="77777777" w:rsidR="00F84B3A" w:rsidRPr="004030DB" w:rsidRDefault="00F84B3A" w:rsidP="00186516">
            <w:pPr>
              <w:jc w:val="right"/>
              <w:rPr>
                <w:rFonts w:ascii="Arial" w:hAnsi="Arial" w:cs="Arial"/>
                <w:b/>
                <w:sz w:val="20"/>
                <w:szCs w:val="20"/>
              </w:rPr>
            </w:pPr>
            <w:r w:rsidRPr="004030DB">
              <w:rPr>
                <w:rFonts w:ascii="Arial" w:hAnsi="Arial" w:cs="Arial"/>
                <w:b/>
                <w:sz w:val="20"/>
                <w:szCs w:val="20"/>
              </w:rPr>
              <w:t>4 out of 4</w:t>
            </w:r>
          </w:p>
        </w:tc>
      </w:tr>
      <w:tr w:rsidR="00186516" w:rsidRPr="004030DB" w14:paraId="20018671" w14:textId="77777777" w:rsidTr="00186516">
        <w:tc>
          <w:tcPr>
            <w:tcW w:w="3452" w:type="dxa"/>
          </w:tcPr>
          <w:p w14:paraId="5EBA4741" w14:textId="77777777" w:rsidR="00186516" w:rsidRPr="004030DB" w:rsidRDefault="00186516" w:rsidP="00186516">
            <w:pPr>
              <w:rPr>
                <w:rFonts w:ascii="Arial" w:hAnsi="Arial" w:cs="Arial"/>
                <w:sz w:val="20"/>
                <w:szCs w:val="20"/>
              </w:rPr>
            </w:pPr>
            <w:r w:rsidRPr="004030DB">
              <w:rPr>
                <w:rFonts w:ascii="Arial" w:hAnsi="Arial" w:cs="Arial"/>
                <w:sz w:val="20"/>
                <w:szCs w:val="20"/>
              </w:rPr>
              <w:t>Matt Capper</w:t>
            </w:r>
          </w:p>
        </w:tc>
        <w:tc>
          <w:tcPr>
            <w:tcW w:w="1073" w:type="dxa"/>
          </w:tcPr>
          <w:p w14:paraId="2B4C800D" w14:textId="77777777" w:rsidR="00186516" w:rsidRPr="004030DB" w:rsidRDefault="00186516" w:rsidP="00F84B3A">
            <w:pPr>
              <w:jc w:val="center"/>
              <w:rPr>
                <w:rFonts w:ascii="Arial" w:hAnsi="Arial" w:cs="Arial"/>
                <w:sz w:val="20"/>
                <w:szCs w:val="20"/>
              </w:rPr>
            </w:pPr>
            <w:r w:rsidRPr="004030DB">
              <w:rPr>
                <w:rFonts w:ascii="Arial" w:hAnsi="Arial" w:cs="Arial"/>
                <w:sz w:val="20"/>
                <w:szCs w:val="20"/>
              </w:rPr>
              <w:t>Yes</w:t>
            </w:r>
          </w:p>
        </w:tc>
        <w:tc>
          <w:tcPr>
            <w:tcW w:w="1073" w:type="dxa"/>
          </w:tcPr>
          <w:p w14:paraId="30D93ABB" w14:textId="77777777" w:rsidR="00186516" w:rsidRPr="004030DB" w:rsidRDefault="00186516" w:rsidP="00F84B3A">
            <w:pPr>
              <w:jc w:val="center"/>
              <w:rPr>
                <w:rFonts w:ascii="Arial" w:hAnsi="Arial" w:cs="Arial"/>
                <w:sz w:val="20"/>
                <w:szCs w:val="20"/>
              </w:rPr>
            </w:pPr>
            <w:r w:rsidRPr="004030DB">
              <w:rPr>
                <w:rFonts w:ascii="Arial" w:hAnsi="Arial" w:cs="Arial"/>
                <w:sz w:val="20"/>
                <w:szCs w:val="20"/>
              </w:rPr>
              <w:t>Yes</w:t>
            </w:r>
          </w:p>
        </w:tc>
        <w:tc>
          <w:tcPr>
            <w:tcW w:w="1073" w:type="dxa"/>
          </w:tcPr>
          <w:p w14:paraId="18AEE0C4" w14:textId="77777777" w:rsidR="00186516" w:rsidRPr="004030DB" w:rsidRDefault="00186516" w:rsidP="00186516">
            <w:pPr>
              <w:jc w:val="center"/>
              <w:rPr>
                <w:rFonts w:ascii="Arial" w:hAnsi="Arial" w:cs="Arial"/>
                <w:sz w:val="20"/>
                <w:szCs w:val="20"/>
              </w:rPr>
            </w:pPr>
            <w:r w:rsidRPr="004030DB">
              <w:rPr>
                <w:rFonts w:ascii="Arial" w:hAnsi="Arial" w:cs="Arial"/>
                <w:sz w:val="20"/>
                <w:szCs w:val="20"/>
              </w:rPr>
              <w:t xml:space="preserve">No </w:t>
            </w:r>
          </w:p>
        </w:tc>
        <w:tc>
          <w:tcPr>
            <w:tcW w:w="1073" w:type="dxa"/>
          </w:tcPr>
          <w:p w14:paraId="07F187F6" w14:textId="77777777" w:rsidR="00186516" w:rsidRPr="004030DB" w:rsidRDefault="00186516" w:rsidP="00186516">
            <w:pPr>
              <w:jc w:val="center"/>
              <w:rPr>
                <w:rFonts w:ascii="Arial" w:hAnsi="Arial" w:cs="Arial"/>
                <w:sz w:val="20"/>
                <w:szCs w:val="20"/>
              </w:rPr>
            </w:pPr>
            <w:r w:rsidRPr="004030DB">
              <w:rPr>
                <w:rFonts w:ascii="Arial" w:hAnsi="Arial" w:cs="Arial"/>
                <w:sz w:val="20"/>
                <w:szCs w:val="20"/>
              </w:rPr>
              <w:t xml:space="preserve">No </w:t>
            </w:r>
          </w:p>
        </w:tc>
        <w:tc>
          <w:tcPr>
            <w:tcW w:w="2463" w:type="dxa"/>
          </w:tcPr>
          <w:p w14:paraId="57F9AA27" w14:textId="77777777" w:rsidR="00186516" w:rsidRPr="004030DB" w:rsidRDefault="00186516" w:rsidP="00186516">
            <w:pPr>
              <w:jc w:val="right"/>
              <w:rPr>
                <w:rFonts w:ascii="Arial" w:hAnsi="Arial" w:cs="Arial"/>
                <w:b/>
                <w:sz w:val="20"/>
                <w:szCs w:val="20"/>
              </w:rPr>
            </w:pPr>
            <w:r w:rsidRPr="004030DB">
              <w:rPr>
                <w:rFonts w:ascii="Arial" w:hAnsi="Arial" w:cs="Arial"/>
                <w:b/>
                <w:sz w:val="20"/>
                <w:szCs w:val="20"/>
              </w:rPr>
              <w:t>2 out of 4</w:t>
            </w:r>
          </w:p>
        </w:tc>
      </w:tr>
      <w:tr w:rsidR="00186516" w:rsidRPr="004030DB" w14:paraId="441925F4" w14:textId="77777777" w:rsidTr="00186516">
        <w:tc>
          <w:tcPr>
            <w:tcW w:w="3452" w:type="dxa"/>
          </w:tcPr>
          <w:p w14:paraId="758F6295" w14:textId="77777777" w:rsidR="00186516" w:rsidRPr="004030DB" w:rsidRDefault="00186516" w:rsidP="00186516">
            <w:pPr>
              <w:rPr>
                <w:rFonts w:ascii="Arial" w:hAnsi="Arial" w:cs="Arial"/>
                <w:sz w:val="20"/>
                <w:szCs w:val="20"/>
              </w:rPr>
            </w:pPr>
            <w:r w:rsidRPr="004030DB">
              <w:rPr>
                <w:rFonts w:ascii="Arial" w:hAnsi="Arial" w:cs="Arial"/>
                <w:sz w:val="20"/>
                <w:szCs w:val="20"/>
              </w:rPr>
              <w:t>Nick Sinclair</w:t>
            </w:r>
          </w:p>
        </w:tc>
        <w:tc>
          <w:tcPr>
            <w:tcW w:w="1073" w:type="dxa"/>
          </w:tcPr>
          <w:p w14:paraId="18C5DD8D" w14:textId="77777777" w:rsidR="00186516" w:rsidRPr="004030DB" w:rsidRDefault="00186516" w:rsidP="00186516">
            <w:pPr>
              <w:jc w:val="center"/>
              <w:rPr>
                <w:rFonts w:ascii="Arial" w:hAnsi="Arial" w:cs="Arial"/>
                <w:sz w:val="20"/>
                <w:szCs w:val="20"/>
              </w:rPr>
            </w:pPr>
            <w:r w:rsidRPr="004030DB">
              <w:rPr>
                <w:rFonts w:ascii="Arial" w:hAnsi="Arial" w:cs="Arial"/>
                <w:sz w:val="20"/>
                <w:szCs w:val="20"/>
              </w:rPr>
              <w:t xml:space="preserve">No </w:t>
            </w:r>
          </w:p>
        </w:tc>
        <w:tc>
          <w:tcPr>
            <w:tcW w:w="1073" w:type="dxa"/>
          </w:tcPr>
          <w:p w14:paraId="79D12197" w14:textId="77777777" w:rsidR="00186516" w:rsidRPr="004030DB" w:rsidRDefault="00186516" w:rsidP="00F84B3A">
            <w:pPr>
              <w:jc w:val="center"/>
              <w:rPr>
                <w:rFonts w:ascii="Arial" w:hAnsi="Arial" w:cs="Arial"/>
                <w:sz w:val="20"/>
                <w:szCs w:val="20"/>
              </w:rPr>
            </w:pPr>
            <w:r w:rsidRPr="004030DB">
              <w:rPr>
                <w:rFonts w:ascii="Arial" w:hAnsi="Arial" w:cs="Arial"/>
                <w:sz w:val="20"/>
                <w:szCs w:val="20"/>
              </w:rPr>
              <w:t>Yes</w:t>
            </w:r>
          </w:p>
        </w:tc>
        <w:tc>
          <w:tcPr>
            <w:tcW w:w="1073" w:type="dxa"/>
          </w:tcPr>
          <w:p w14:paraId="6702A6F9" w14:textId="77777777" w:rsidR="00186516" w:rsidRPr="004030DB" w:rsidRDefault="00186516" w:rsidP="00186516">
            <w:pPr>
              <w:jc w:val="center"/>
              <w:rPr>
                <w:rFonts w:ascii="Arial" w:hAnsi="Arial" w:cs="Arial"/>
                <w:sz w:val="20"/>
                <w:szCs w:val="20"/>
              </w:rPr>
            </w:pPr>
            <w:r w:rsidRPr="004030DB">
              <w:rPr>
                <w:rFonts w:ascii="Arial" w:hAnsi="Arial" w:cs="Arial"/>
                <w:sz w:val="20"/>
                <w:szCs w:val="20"/>
              </w:rPr>
              <w:t xml:space="preserve">No </w:t>
            </w:r>
          </w:p>
        </w:tc>
        <w:tc>
          <w:tcPr>
            <w:tcW w:w="1073" w:type="dxa"/>
          </w:tcPr>
          <w:p w14:paraId="6BCC87E1" w14:textId="77777777" w:rsidR="00186516" w:rsidRPr="004030DB" w:rsidRDefault="00186516" w:rsidP="00186516">
            <w:pPr>
              <w:jc w:val="center"/>
              <w:rPr>
                <w:rFonts w:ascii="Arial" w:hAnsi="Arial" w:cs="Arial"/>
                <w:sz w:val="20"/>
                <w:szCs w:val="20"/>
              </w:rPr>
            </w:pPr>
            <w:r w:rsidRPr="004030DB">
              <w:rPr>
                <w:rFonts w:ascii="Arial" w:hAnsi="Arial" w:cs="Arial"/>
                <w:sz w:val="20"/>
                <w:szCs w:val="20"/>
              </w:rPr>
              <w:t xml:space="preserve">No </w:t>
            </w:r>
          </w:p>
        </w:tc>
        <w:tc>
          <w:tcPr>
            <w:tcW w:w="2463" w:type="dxa"/>
          </w:tcPr>
          <w:p w14:paraId="2085B262" w14:textId="77777777" w:rsidR="00186516" w:rsidRPr="004030DB" w:rsidRDefault="00186516" w:rsidP="00186516">
            <w:pPr>
              <w:jc w:val="right"/>
              <w:rPr>
                <w:rFonts w:ascii="Arial" w:hAnsi="Arial" w:cs="Arial"/>
                <w:b/>
                <w:sz w:val="20"/>
                <w:szCs w:val="20"/>
              </w:rPr>
            </w:pPr>
            <w:r w:rsidRPr="004030DB">
              <w:rPr>
                <w:rFonts w:ascii="Arial" w:hAnsi="Arial" w:cs="Arial"/>
                <w:b/>
                <w:sz w:val="20"/>
                <w:szCs w:val="20"/>
              </w:rPr>
              <w:t>1 out of 4</w:t>
            </w:r>
          </w:p>
        </w:tc>
      </w:tr>
      <w:tr w:rsidR="00F84B3A" w:rsidRPr="004030DB" w14:paraId="41616E42" w14:textId="77777777" w:rsidTr="00186516">
        <w:tc>
          <w:tcPr>
            <w:tcW w:w="3452" w:type="dxa"/>
          </w:tcPr>
          <w:p w14:paraId="13D1DF01" w14:textId="77777777" w:rsidR="00F84B3A" w:rsidRPr="004030DB" w:rsidRDefault="00F84B3A" w:rsidP="00186516">
            <w:pPr>
              <w:rPr>
                <w:rFonts w:ascii="Arial" w:hAnsi="Arial" w:cs="Arial"/>
                <w:sz w:val="20"/>
                <w:szCs w:val="20"/>
              </w:rPr>
            </w:pPr>
            <w:r w:rsidRPr="004030DB">
              <w:rPr>
                <w:rFonts w:ascii="Arial" w:hAnsi="Arial" w:cs="Arial"/>
                <w:sz w:val="20"/>
                <w:szCs w:val="20"/>
              </w:rPr>
              <w:t>Sarah Vaux</w:t>
            </w:r>
            <w:r w:rsidR="00C171F9" w:rsidRPr="004030DB">
              <w:rPr>
                <w:rFonts w:ascii="Arial" w:hAnsi="Arial" w:cs="Arial"/>
                <w:sz w:val="20"/>
                <w:szCs w:val="20"/>
              </w:rPr>
              <w:t xml:space="preserve"> </w:t>
            </w:r>
          </w:p>
        </w:tc>
        <w:tc>
          <w:tcPr>
            <w:tcW w:w="1073" w:type="dxa"/>
          </w:tcPr>
          <w:p w14:paraId="7564E946" w14:textId="77777777" w:rsidR="00F84B3A" w:rsidRPr="004030DB" w:rsidRDefault="00F84B3A" w:rsidP="00F84B3A">
            <w:pPr>
              <w:jc w:val="center"/>
              <w:rPr>
                <w:rFonts w:ascii="Arial" w:hAnsi="Arial" w:cs="Arial"/>
                <w:sz w:val="20"/>
                <w:szCs w:val="20"/>
              </w:rPr>
            </w:pPr>
            <w:r w:rsidRPr="004030DB">
              <w:rPr>
                <w:rFonts w:ascii="Arial" w:hAnsi="Arial" w:cs="Arial"/>
                <w:sz w:val="20"/>
                <w:szCs w:val="20"/>
              </w:rPr>
              <w:t>Yes</w:t>
            </w:r>
          </w:p>
        </w:tc>
        <w:tc>
          <w:tcPr>
            <w:tcW w:w="1073" w:type="dxa"/>
          </w:tcPr>
          <w:p w14:paraId="3B56204F" w14:textId="77777777" w:rsidR="00F84B3A" w:rsidRPr="004030DB" w:rsidRDefault="00F84B3A" w:rsidP="00F84B3A">
            <w:pPr>
              <w:jc w:val="center"/>
              <w:rPr>
                <w:rFonts w:ascii="Arial" w:hAnsi="Arial" w:cs="Arial"/>
                <w:sz w:val="20"/>
                <w:szCs w:val="20"/>
              </w:rPr>
            </w:pPr>
            <w:r w:rsidRPr="004030DB">
              <w:rPr>
                <w:rFonts w:ascii="Arial" w:hAnsi="Arial" w:cs="Arial"/>
                <w:sz w:val="20"/>
                <w:szCs w:val="20"/>
              </w:rPr>
              <w:t>Yes</w:t>
            </w:r>
          </w:p>
        </w:tc>
        <w:tc>
          <w:tcPr>
            <w:tcW w:w="1073" w:type="dxa"/>
          </w:tcPr>
          <w:p w14:paraId="72225688" w14:textId="77777777" w:rsidR="00F84B3A" w:rsidRPr="004030DB" w:rsidRDefault="00F84B3A" w:rsidP="00F84B3A">
            <w:pPr>
              <w:jc w:val="center"/>
              <w:rPr>
                <w:rFonts w:ascii="Arial" w:hAnsi="Arial" w:cs="Arial"/>
                <w:sz w:val="20"/>
                <w:szCs w:val="20"/>
              </w:rPr>
            </w:pPr>
            <w:r w:rsidRPr="004030DB">
              <w:rPr>
                <w:rFonts w:ascii="Arial" w:hAnsi="Arial" w:cs="Arial"/>
                <w:sz w:val="20"/>
                <w:szCs w:val="20"/>
              </w:rPr>
              <w:t>Yes</w:t>
            </w:r>
          </w:p>
        </w:tc>
        <w:tc>
          <w:tcPr>
            <w:tcW w:w="1073" w:type="dxa"/>
          </w:tcPr>
          <w:p w14:paraId="2A5E8576" w14:textId="77777777" w:rsidR="00F84B3A" w:rsidRPr="004030DB" w:rsidRDefault="00F84B3A" w:rsidP="00F84B3A">
            <w:pPr>
              <w:jc w:val="center"/>
              <w:rPr>
                <w:rFonts w:ascii="Arial" w:hAnsi="Arial" w:cs="Arial"/>
                <w:sz w:val="20"/>
                <w:szCs w:val="20"/>
              </w:rPr>
            </w:pPr>
            <w:r w:rsidRPr="004030DB">
              <w:rPr>
                <w:rFonts w:ascii="Arial" w:hAnsi="Arial" w:cs="Arial"/>
                <w:sz w:val="20"/>
                <w:szCs w:val="20"/>
              </w:rPr>
              <w:t>Yes</w:t>
            </w:r>
          </w:p>
        </w:tc>
        <w:tc>
          <w:tcPr>
            <w:tcW w:w="2463" w:type="dxa"/>
          </w:tcPr>
          <w:p w14:paraId="0732C2A2" w14:textId="77777777" w:rsidR="00F84B3A" w:rsidRPr="004030DB" w:rsidRDefault="00F84B3A" w:rsidP="00186516">
            <w:pPr>
              <w:jc w:val="right"/>
              <w:rPr>
                <w:rFonts w:ascii="Arial" w:hAnsi="Arial" w:cs="Arial"/>
                <w:b/>
                <w:sz w:val="20"/>
                <w:szCs w:val="20"/>
              </w:rPr>
            </w:pPr>
            <w:r w:rsidRPr="004030DB">
              <w:rPr>
                <w:rFonts w:ascii="Arial" w:hAnsi="Arial" w:cs="Arial"/>
                <w:b/>
                <w:sz w:val="20"/>
                <w:szCs w:val="20"/>
              </w:rPr>
              <w:t>4 out of 4</w:t>
            </w:r>
          </w:p>
        </w:tc>
      </w:tr>
      <w:tr w:rsidR="00F84B3A" w:rsidRPr="004030DB" w14:paraId="27DEED87" w14:textId="77777777" w:rsidTr="00186516">
        <w:tc>
          <w:tcPr>
            <w:tcW w:w="3452" w:type="dxa"/>
          </w:tcPr>
          <w:p w14:paraId="51CFB6A9" w14:textId="77777777" w:rsidR="00F84B3A" w:rsidRPr="004030DB" w:rsidRDefault="00F84B3A" w:rsidP="00186516">
            <w:pPr>
              <w:rPr>
                <w:rFonts w:ascii="Arial" w:hAnsi="Arial" w:cs="Arial"/>
                <w:sz w:val="20"/>
                <w:szCs w:val="20"/>
              </w:rPr>
            </w:pPr>
            <w:r w:rsidRPr="004030DB">
              <w:rPr>
                <w:rFonts w:ascii="Arial" w:hAnsi="Arial" w:cs="Arial"/>
                <w:sz w:val="20"/>
                <w:szCs w:val="20"/>
              </w:rPr>
              <w:t>Simon Wombwell</w:t>
            </w:r>
          </w:p>
        </w:tc>
        <w:tc>
          <w:tcPr>
            <w:tcW w:w="1073" w:type="dxa"/>
            <w:shd w:val="clear" w:color="auto" w:fill="000000" w:themeFill="text1"/>
          </w:tcPr>
          <w:p w14:paraId="289F65AF" w14:textId="77777777" w:rsidR="00F84B3A" w:rsidRPr="004030DB" w:rsidRDefault="00F84B3A" w:rsidP="00F84B3A">
            <w:pPr>
              <w:jc w:val="center"/>
              <w:rPr>
                <w:rFonts w:ascii="Arial" w:hAnsi="Arial" w:cs="Arial"/>
                <w:sz w:val="20"/>
                <w:szCs w:val="20"/>
              </w:rPr>
            </w:pPr>
          </w:p>
        </w:tc>
        <w:tc>
          <w:tcPr>
            <w:tcW w:w="1073" w:type="dxa"/>
            <w:shd w:val="clear" w:color="auto" w:fill="000000" w:themeFill="text1"/>
          </w:tcPr>
          <w:p w14:paraId="060CC0D2" w14:textId="77777777" w:rsidR="00F84B3A" w:rsidRPr="004030DB" w:rsidRDefault="00F84B3A" w:rsidP="00F84B3A">
            <w:pPr>
              <w:jc w:val="center"/>
              <w:rPr>
                <w:rFonts w:ascii="Arial" w:hAnsi="Arial" w:cs="Arial"/>
                <w:sz w:val="20"/>
                <w:szCs w:val="20"/>
              </w:rPr>
            </w:pPr>
          </w:p>
        </w:tc>
        <w:tc>
          <w:tcPr>
            <w:tcW w:w="1073" w:type="dxa"/>
            <w:shd w:val="clear" w:color="auto" w:fill="000000" w:themeFill="text1"/>
          </w:tcPr>
          <w:p w14:paraId="324DEE63" w14:textId="77777777" w:rsidR="00F84B3A" w:rsidRPr="004030DB" w:rsidRDefault="00F84B3A" w:rsidP="00F84B3A">
            <w:pPr>
              <w:jc w:val="center"/>
              <w:rPr>
                <w:rFonts w:ascii="Arial" w:hAnsi="Arial" w:cs="Arial"/>
                <w:sz w:val="20"/>
                <w:szCs w:val="20"/>
              </w:rPr>
            </w:pPr>
          </w:p>
        </w:tc>
        <w:tc>
          <w:tcPr>
            <w:tcW w:w="1073" w:type="dxa"/>
          </w:tcPr>
          <w:p w14:paraId="72BF2B59" w14:textId="77777777" w:rsidR="00F84B3A" w:rsidRPr="004030DB" w:rsidRDefault="00F84B3A" w:rsidP="00F84B3A">
            <w:pPr>
              <w:jc w:val="center"/>
              <w:rPr>
                <w:rFonts w:ascii="Arial" w:hAnsi="Arial" w:cs="Arial"/>
                <w:sz w:val="20"/>
                <w:szCs w:val="20"/>
              </w:rPr>
            </w:pPr>
            <w:r w:rsidRPr="004030DB">
              <w:rPr>
                <w:rFonts w:ascii="Arial" w:hAnsi="Arial" w:cs="Arial"/>
                <w:sz w:val="20"/>
                <w:szCs w:val="20"/>
              </w:rPr>
              <w:t>Yes</w:t>
            </w:r>
          </w:p>
        </w:tc>
        <w:tc>
          <w:tcPr>
            <w:tcW w:w="2463" w:type="dxa"/>
          </w:tcPr>
          <w:p w14:paraId="2AEED7F0" w14:textId="77777777" w:rsidR="00F84B3A" w:rsidRPr="004030DB" w:rsidRDefault="00F84B3A" w:rsidP="00186516">
            <w:pPr>
              <w:jc w:val="right"/>
              <w:rPr>
                <w:rFonts w:ascii="Arial" w:hAnsi="Arial" w:cs="Arial"/>
                <w:b/>
                <w:sz w:val="20"/>
                <w:szCs w:val="20"/>
              </w:rPr>
            </w:pPr>
            <w:r w:rsidRPr="004030DB">
              <w:rPr>
                <w:rFonts w:ascii="Arial" w:hAnsi="Arial" w:cs="Arial"/>
                <w:b/>
                <w:sz w:val="20"/>
                <w:szCs w:val="20"/>
              </w:rPr>
              <w:t>1 out of 1</w:t>
            </w:r>
          </w:p>
        </w:tc>
      </w:tr>
    </w:tbl>
    <w:p w14:paraId="2E4B17A1" w14:textId="77777777" w:rsidR="00317722" w:rsidRPr="004030DB" w:rsidRDefault="00317722" w:rsidP="0066611D">
      <w:pPr>
        <w:widowControl/>
        <w:spacing w:line="259" w:lineRule="auto"/>
        <w:jc w:val="both"/>
        <w:rPr>
          <w:rFonts w:ascii="Arial" w:hAnsi="Arial" w:cs="Arial"/>
          <w:b/>
          <w:sz w:val="20"/>
          <w:szCs w:val="20"/>
          <w:highlight w:val="yellow"/>
          <w:lang w:val="en-GB"/>
        </w:rPr>
      </w:pPr>
    </w:p>
    <w:p w14:paraId="11D64F30" w14:textId="77777777" w:rsidR="000A3CA7" w:rsidRPr="004030DB" w:rsidRDefault="00010A15" w:rsidP="0066611D">
      <w:pPr>
        <w:widowControl/>
        <w:spacing w:line="259" w:lineRule="auto"/>
        <w:jc w:val="both"/>
        <w:rPr>
          <w:rFonts w:ascii="Arial" w:hAnsi="Arial" w:cs="Arial"/>
          <w:sz w:val="20"/>
          <w:szCs w:val="20"/>
          <w:lang w:val="en-GB"/>
        </w:rPr>
      </w:pPr>
      <w:r w:rsidRPr="004030DB">
        <w:rPr>
          <w:rFonts w:ascii="Arial" w:hAnsi="Arial" w:cs="Arial"/>
          <w:b/>
          <w:sz w:val="20"/>
          <w:szCs w:val="20"/>
          <w:lang w:val="en-GB"/>
        </w:rPr>
        <w:t xml:space="preserve">Director </w:t>
      </w:r>
      <w:r w:rsidR="007E2F2A" w:rsidRPr="004030DB">
        <w:rPr>
          <w:rFonts w:ascii="Arial" w:hAnsi="Arial" w:cs="Arial"/>
          <w:b/>
          <w:sz w:val="20"/>
          <w:szCs w:val="20"/>
          <w:lang w:val="en-GB"/>
        </w:rPr>
        <w:t>A</w:t>
      </w:r>
      <w:r w:rsidRPr="004030DB">
        <w:rPr>
          <w:rFonts w:ascii="Arial" w:hAnsi="Arial" w:cs="Arial"/>
          <w:b/>
          <w:sz w:val="20"/>
          <w:szCs w:val="20"/>
          <w:lang w:val="en-GB"/>
        </w:rPr>
        <w:t xml:space="preserve">ttendance at Public Council of Governors meetings </w:t>
      </w:r>
      <w:r w:rsidR="003F0EF6" w:rsidRPr="004030DB">
        <w:rPr>
          <w:rFonts w:ascii="Arial" w:hAnsi="Arial" w:cs="Arial"/>
          <w:b/>
          <w:sz w:val="20"/>
          <w:szCs w:val="20"/>
          <w:lang w:val="en-GB"/>
        </w:rPr>
        <w:t>0</w:t>
      </w:r>
      <w:r w:rsidRPr="004030DB">
        <w:rPr>
          <w:rFonts w:ascii="Arial" w:hAnsi="Arial" w:cs="Arial"/>
          <w:b/>
          <w:sz w:val="20"/>
          <w:szCs w:val="20"/>
          <w:lang w:val="en-GB"/>
        </w:rPr>
        <w:t>1 April 202</w:t>
      </w:r>
      <w:r w:rsidR="002F65E9" w:rsidRPr="004030DB">
        <w:rPr>
          <w:rFonts w:ascii="Arial" w:hAnsi="Arial" w:cs="Arial"/>
          <w:b/>
          <w:sz w:val="20"/>
          <w:szCs w:val="20"/>
          <w:lang w:val="en-GB"/>
        </w:rPr>
        <w:t>4</w:t>
      </w:r>
      <w:r w:rsidRPr="004030DB">
        <w:rPr>
          <w:rFonts w:ascii="Arial" w:hAnsi="Arial" w:cs="Arial"/>
          <w:b/>
          <w:sz w:val="20"/>
          <w:szCs w:val="20"/>
          <w:lang w:val="en-GB"/>
        </w:rPr>
        <w:t xml:space="preserve"> to </w:t>
      </w:r>
      <w:r w:rsidR="004E5CA8" w:rsidRPr="004030DB">
        <w:rPr>
          <w:rFonts w:ascii="Arial" w:hAnsi="Arial" w:cs="Arial"/>
          <w:b/>
          <w:sz w:val="20"/>
          <w:szCs w:val="20"/>
          <w:lang w:val="en-GB"/>
        </w:rPr>
        <w:t>31</w:t>
      </w:r>
      <w:r w:rsidRPr="004030DB">
        <w:rPr>
          <w:rFonts w:ascii="Arial" w:hAnsi="Arial" w:cs="Arial"/>
          <w:b/>
          <w:sz w:val="20"/>
          <w:szCs w:val="20"/>
          <w:lang w:val="en-GB"/>
        </w:rPr>
        <w:t xml:space="preserve"> March 202</w:t>
      </w:r>
      <w:r w:rsidR="002F65E9" w:rsidRPr="004030DB">
        <w:rPr>
          <w:rFonts w:ascii="Arial" w:hAnsi="Arial" w:cs="Arial"/>
          <w:b/>
          <w:sz w:val="20"/>
          <w:szCs w:val="20"/>
          <w:lang w:val="en-GB"/>
        </w:rPr>
        <w:t>5</w:t>
      </w:r>
    </w:p>
    <w:p w14:paraId="65A893CA" w14:textId="77777777" w:rsidR="000A3CA7" w:rsidRPr="004030DB" w:rsidRDefault="00010A15" w:rsidP="0066611D">
      <w:pPr>
        <w:widowControl/>
        <w:spacing w:line="259" w:lineRule="auto"/>
        <w:jc w:val="both"/>
        <w:rPr>
          <w:rFonts w:ascii="Arial" w:hAnsi="Arial" w:cs="Arial"/>
          <w:sz w:val="20"/>
          <w:szCs w:val="20"/>
          <w:lang w:val="en-GB"/>
        </w:rPr>
      </w:pPr>
      <w:r w:rsidRPr="004030DB">
        <w:rPr>
          <w:rFonts w:ascii="Arial" w:hAnsi="Arial" w:cs="Arial"/>
          <w:sz w:val="20"/>
          <w:szCs w:val="20"/>
          <w:lang w:val="en-GB"/>
        </w:rPr>
        <w:t xml:space="preserve">The </w:t>
      </w:r>
      <w:r w:rsidR="002F65E9" w:rsidRPr="004030DB">
        <w:rPr>
          <w:rFonts w:ascii="Arial" w:hAnsi="Arial" w:cs="Arial"/>
          <w:sz w:val="20"/>
          <w:szCs w:val="20"/>
          <w:lang w:val="en-GB"/>
        </w:rPr>
        <w:t xml:space="preserve">Executive and Non-Executive </w:t>
      </w:r>
      <w:r w:rsidRPr="004030DB">
        <w:rPr>
          <w:rFonts w:ascii="Arial" w:hAnsi="Arial" w:cs="Arial"/>
          <w:sz w:val="20"/>
          <w:szCs w:val="20"/>
          <w:lang w:val="en-GB"/>
        </w:rPr>
        <w:t xml:space="preserve">Directors attend the meetings of the Council by invitation and to present routine </w:t>
      </w:r>
      <w:r w:rsidR="004E5CA8" w:rsidRPr="004030DB">
        <w:rPr>
          <w:rFonts w:ascii="Arial" w:hAnsi="Arial" w:cs="Arial"/>
          <w:sz w:val="20"/>
          <w:szCs w:val="20"/>
          <w:lang w:val="en-GB"/>
        </w:rPr>
        <w:t xml:space="preserve">assurance </w:t>
      </w:r>
      <w:r w:rsidRPr="004030DB">
        <w:rPr>
          <w:rFonts w:ascii="Arial" w:hAnsi="Arial" w:cs="Arial"/>
          <w:sz w:val="20"/>
          <w:szCs w:val="20"/>
          <w:lang w:val="en-GB"/>
        </w:rPr>
        <w:t xml:space="preserve">reports to the Council of Governors, in line with their duty to take steps to understand the views of governors and for the </w:t>
      </w:r>
      <w:r w:rsidR="002A51C5" w:rsidRPr="004030DB">
        <w:rPr>
          <w:rFonts w:ascii="Arial" w:hAnsi="Arial" w:cs="Arial"/>
          <w:sz w:val="20"/>
          <w:szCs w:val="20"/>
          <w:lang w:val="en-GB"/>
        </w:rPr>
        <w:t>Non-Executive D</w:t>
      </w:r>
      <w:r w:rsidRPr="004030DB">
        <w:rPr>
          <w:rFonts w:ascii="Arial" w:hAnsi="Arial" w:cs="Arial"/>
          <w:sz w:val="20"/>
          <w:szCs w:val="20"/>
          <w:lang w:val="en-GB"/>
        </w:rPr>
        <w:t>irectors be held to account.</w:t>
      </w:r>
    </w:p>
    <w:p w14:paraId="0F3AA4CC" w14:textId="77777777" w:rsidR="000A3CA7" w:rsidRPr="004030DB" w:rsidRDefault="000A3CA7" w:rsidP="0066611D">
      <w:pPr>
        <w:widowControl/>
        <w:spacing w:line="259" w:lineRule="auto"/>
        <w:jc w:val="both"/>
        <w:rPr>
          <w:rFonts w:ascii="Arial" w:hAnsi="Arial" w:cs="Arial"/>
          <w:b/>
          <w:sz w:val="20"/>
          <w:szCs w:val="20"/>
          <w:lang w:val="en-GB"/>
        </w:rPr>
      </w:pPr>
    </w:p>
    <w:p w14:paraId="57D0D59D" w14:textId="77777777" w:rsidR="000A3CA7" w:rsidRPr="004030DB" w:rsidRDefault="00010A15" w:rsidP="00317722">
      <w:pPr>
        <w:widowControl/>
        <w:spacing w:line="259" w:lineRule="auto"/>
        <w:jc w:val="both"/>
        <w:rPr>
          <w:rFonts w:ascii="Arial" w:hAnsi="Arial" w:cs="Arial"/>
          <w:b/>
          <w:sz w:val="20"/>
          <w:szCs w:val="20"/>
          <w:lang w:val="en-GB"/>
        </w:rPr>
      </w:pPr>
      <w:r w:rsidRPr="004030DB">
        <w:rPr>
          <w:rFonts w:ascii="Arial" w:hAnsi="Arial" w:cs="Arial"/>
          <w:b/>
          <w:sz w:val="20"/>
          <w:szCs w:val="20"/>
          <w:lang w:val="en-GB"/>
        </w:rPr>
        <w:t>Dispute Resolution Process</w:t>
      </w:r>
    </w:p>
    <w:p w14:paraId="019FC806" w14:textId="77777777" w:rsidR="00010A15" w:rsidRPr="004030DB" w:rsidRDefault="00010A15" w:rsidP="0066611D">
      <w:pPr>
        <w:jc w:val="both"/>
        <w:rPr>
          <w:rFonts w:ascii="Arial" w:hAnsi="Arial" w:cs="Arial"/>
          <w:sz w:val="20"/>
          <w:szCs w:val="20"/>
          <w:lang w:val="en-GB"/>
        </w:rPr>
      </w:pPr>
      <w:r w:rsidRPr="004030DB">
        <w:rPr>
          <w:rFonts w:ascii="Arial" w:hAnsi="Arial" w:cs="Arial"/>
          <w:sz w:val="20"/>
          <w:szCs w:val="20"/>
          <w:lang w:val="en-GB"/>
        </w:rPr>
        <w:t>In the event of disputes between the Council of Governors and the Board of Directors, the following Dispute Resolution Procedure shall apply:</w:t>
      </w:r>
    </w:p>
    <w:p w14:paraId="69C93571" w14:textId="77777777" w:rsidR="00493D90" w:rsidRPr="004030DB" w:rsidRDefault="00493D90" w:rsidP="0066611D">
      <w:pPr>
        <w:jc w:val="both"/>
        <w:rPr>
          <w:rFonts w:ascii="Arial" w:hAnsi="Arial" w:cs="Arial"/>
          <w:sz w:val="20"/>
          <w:szCs w:val="20"/>
          <w:lang w:val="en-GB"/>
        </w:rPr>
      </w:pPr>
    </w:p>
    <w:p w14:paraId="671410C8" w14:textId="77777777" w:rsidR="00010A15" w:rsidRPr="004030DB" w:rsidRDefault="00010A15" w:rsidP="002E594A">
      <w:pPr>
        <w:pStyle w:val="ListParagraph"/>
        <w:numPr>
          <w:ilvl w:val="0"/>
          <w:numId w:val="4"/>
        </w:numPr>
        <w:jc w:val="both"/>
        <w:rPr>
          <w:rFonts w:ascii="Arial" w:hAnsi="Arial" w:cs="Arial"/>
          <w:sz w:val="20"/>
          <w:szCs w:val="20"/>
          <w:lang w:val="en-GB"/>
        </w:rPr>
      </w:pPr>
      <w:r w:rsidRPr="004030DB">
        <w:rPr>
          <w:rFonts w:ascii="Arial" w:hAnsi="Arial" w:cs="Arial"/>
          <w:sz w:val="20"/>
          <w:szCs w:val="20"/>
          <w:lang w:val="en-GB"/>
        </w:rPr>
        <w:t>In the first instance the Chair on the a</w:t>
      </w:r>
      <w:r w:rsidR="00705B0A" w:rsidRPr="004030DB">
        <w:rPr>
          <w:rFonts w:ascii="Arial" w:hAnsi="Arial" w:cs="Arial"/>
          <w:sz w:val="20"/>
          <w:szCs w:val="20"/>
          <w:lang w:val="en-GB"/>
        </w:rPr>
        <w:t xml:space="preserve">dvice of the Company Secretary </w:t>
      </w:r>
      <w:r w:rsidRPr="004030DB">
        <w:rPr>
          <w:rFonts w:ascii="Arial" w:hAnsi="Arial" w:cs="Arial"/>
          <w:sz w:val="20"/>
          <w:szCs w:val="20"/>
          <w:lang w:val="en-GB"/>
        </w:rPr>
        <w:t>and such other advice as the Chair may see fit to obtain, shall seek to resolve the dispute.</w:t>
      </w:r>
    </w:p>
    <w:p w14:paraId="07D4C112" w14:textId="77777777" w:rsidR="00493D90" w:rsidRPr="004030DB" w:rsidRDefault="00493D90" w:rsidP="0066611D">
      <w:pPr>
        <w:ind w:left="426"/>
        <w:jc w:val="both"/>
        <w:rPr>
          <w:rFonts w:ascii="Arial" w:hAnsi="Arial" w:cs="Arial"/>
          <w:sz w:val="20"/>
          <w:szCs w:val="20"/>
          <w:lang w:val="en-GB"/>
        </w:rPr>
      </w:pPr>
    </w:p>
    <w:p w14:paraId="07FF7F0C" w14:textId="77777777" w:rsidR="00010A15" w:rsidRPr="004030DB" w:rsidRDefault="00010A15" w:rsidP="002E594A">
      <w:pPr>
        <w:pStyle w:val="ListParagraph"/>
        <w:numPr>
          <w:ilvl w:val="0"/>
          <w:numId w:val="4"/>
        </w:numPr>
        <w:jc w:val="both"/>
        <w:rPr>
          <w:rFonts w:ascii="Arial" w:hAnsi="Arial" w:cs="Arial"/>
          <w:sz w:val="20"/>
          <w:szCs w:val="20"/>
          <w:lang w:val="en-GB"/>
        </w:rPr>
      </w:pPr>
      <w:r w:rsidRPr="004030DB">
        <w:rPr>
          <w:rFonts w:ascii="Arial" w:hAnsi="Arial" w:cs="Arial"/>
          <w:sz w:val="20"/>
          <w:szCs w:val="20"/>
          <w:lang w:val="en-GB"/>
        </w:rPr>
        <w:t>If the Chair is unable to resolve the dispute the individual shall refer the dispute to the Company Secretary who shall appoint a joint special committee constituted as a committee of the Board of Directors and a committee of the Council of Governors, both comprising equal numbers, to consider the circumstances and to make recommendations to the Council of Governors and the Board of Directors with a view to resolving the dispute.</w:t>
      </w:r>
    </w:p>
    <w:p w14:paraId="6FB9A8FA" w14:textId="77777777" w:rsidR="00493D90" w:rsidRPr="004030DB" w:rsidRDefault="00493D90" w:rsidP="0066611D">
      <w:pPr>
        <w:ind w:left="426"/>
        <w:jc w:val="both"/>
        <w:rPr>
          <w:rFonts w:ascii="Arial" w:hAnsi="Arial" w:cs="Arial"/>
          <w:sz w:val="20"/>
          <w:szCs w:val="20"/>
          <w:lang w:val="en-GB"/>
        </w:rPr>
      </w:pPr>
    </w:p>
    <w:p w14:paraId="409472CF" w14:textId="77777777" w:rsidR="00010A15" w:rsidRPr="004030DB" w:rsidRDefault="00010A15" w:rsidP="002E594A">
      <w:pPr>
        <w:pStyle w:val="ListParagraph"/>
        <w:numPr>
          <w:ilvl w:val="0"/>
          <w:numId w:val="4"/>
        </w:numPr>
        <w:jc w:val="both"/>
        <w:rPr>
          <w:rFonts w:ascii="Arial" w:hAnsi="Arial" w:cs="Arial"/>
          <w:sz w:val="20"/>
          <w:szCs w:val="20"/>
          <w:lang w:val="en-GB"/>
        </w:rPr>
      </w:pPr>
      <w:r w:rsidRPr="004030DB">
        <w:rPr>
          <w:rFonts w:ascii="Arial" w:hAnsi="Arial" w:cs="Arial"/>
          <w:sz w:val="20"/>
          <w:szCs w:val="20"/>
          <w:lang w:val="en-GB"/>
        </w:rPr>
        <w:t>If the recommendations (if any) of the joint special committee are unsuccessful in resolving the dispute, the Chair may refer the dispute back to the Board of Directors who shall make the final decision.</w:t>
      </w:r>
    </w:p>
    <w:p w14:paraId="1A054FEF" w14:textId="77777777" w:rsidR="00493D90" w:rsidRPr="004030DB" w:rsidRDefault="00493D90" w:rsidP="0066611D">
      <w:pPr>
        <w:ind w:left="426"/>
        <w:jc w:val="both"/>
        <w:rPr>
          <w:rFonts w:ascii="Arial" w:hAnsi="Arial" w:cs="Arial"/>
          <w:sz w:val="20"/>
          <w:szCs w:val="20"/>
          <w:lang w:val="en-GB"/>
        </w:rPr>
      </w:pPr>
    </w:p>
    <w:p w14:paraId="58D84A68" w14:textId="77777777" w:rsidR="00010A15" w:rsidRPr="004030DB" w:rsidRDefault="00010A15" w:rsidP="002E594A">
      <w:pPr>
        <w:pStyle w:val="ListParagraph"/>
        <w:numPr>
          <w:ilvl w:val="0"/>
          <w:numId w:val="4"/>
        </w:numPr>
        <w:jc w:val="both"/>
        <w:rPr>
          <w:rFonts w:ascii="Arial" w:hAnsi="Arial" w:cs="Arial"/>
          <w:sz w:val="20"/>
          <w:szCs w:val="20"/>
          <w:lang w:val="en-GB"/>
        </w:rPr>
      </w:pPr>
      <w:r w:rsidRPr="004030DB">
        <w:rPr>
          <w:rFonts w:ascii="Arial" w:hAnsi="Arial" w:cs="Arial"/>
          <w:sz w:val="20"/>
          <w:szCs w:val="20"/>
          <w:lang w:val="en-GB"/>
        </w:rPr>
        <w:t>This dispute resolution procedure is set out in the Trust’s Constitution which is available on the Trust’s website.</w:t>
      </w:r>
    </w:p>
    <w:p w14:paraId="7CAB55AA" w14:textId="77777777" w:rsidR="00493D90" w:rsidRPr="004030DB" w:rsidRDefault="00493D90" w:rsidP="0066611D">
      <w:pPr>
        <w:ind w:left="426"/>
        <w:jc w:val="both"/>
        <w:rPr>
          <w:rFonts w:ascii="Arial" w:hAnsi="Arial" w:cs="Arial"/>
          <w:sz w:val="20"/>
          <w:szCs w:val="20"/>
          <w:lang w:val="en-GB"/>
        </w:rPr>
      </w:pPr>
    </w:p>
    <w:p w14:paraId="54024B73" w14:textId="77777777" w:rsidR="002A51C5" w:rsidRPr="004030DB" w:rsidRDefault="00010A15" w:rsidP="0066611D">
      <w:pPr>
        <w:jc w:val="both"/>
        <w:rPr>
          <w:rFonts w:ascii="Arial" w:hAnsi="Arial" w:cs="Arial"/>
          <w:sz w:val="20"/>
          <w:szCs w:val="20"/>
          <w:lang w:val="en-GB"/>
        </w:rPr>
      </w:pPr>
      <w:r w:rsidRPr="004030DB">
        <w:rPr>
          <w:rFonts w:ascii="Arial" w:hAnsi="Arial" w:cs="Arial"/>
          <w:sz w:val="20"/>
          <w:szCs w:val="20"/>
          <w:lang w:val="en-GB"/>
        </w:rPr>
        <w:t>Members may contact governors or Board members through the membership office</w:t>
      </w:r>
      <w:r w:rsidR="002A51C5" w:rsidRPr="004030DB">
        <w:rPr>
          <w:rFonts w:ascii="Arial" w:hAnsi="Arial" w:cs="Arial"/>
          <w:sz w:val="20"/>
          <w:szCs w:val="20"/>
          <w:lang w:val="en-GB"/>
        </w:rPr>
        <w:t>:</w:t>
      </w:r>
    </w:p>
    <w:p w14:paraId="77155BCE" w14:textId="77777777" w:rsidR="00964C97" w:rsidRPr="004030DB" w:rsidRDefault="00964C97" w:rsidP="0066611D">
      <w:pPr>
        <w:ind w:left="720"/>
        <w:jc w:val="both"/>
        <w:rPr>
          <w:rFonts w:ascii="Arial" w:hAnsi="Arial" w:cs="Arial"/>
          <w:sz w:val="20"/>
          <w:szCs w:val="20"/>
          <w:lang w:val="en-GB"/>
        </w:rPr>
      </w:pPr>
    </w:p>
    <w:p w14:paraId="096FF6A9" w14:textId="77777777" w:rsidR="002A51C5" w:rsidRPr="004030DB" w:rsidRDefault="002A51C5" w:rsidP="00317722">
      <w:pPr>
        <w:jc w:val="both"/>
        <w:rPr>
          <w:rFonts w:ascii="Arial" w:hAnsi="Arial" w:cs="Arial"/>
          <w:sz w:val="20"/>
          <w:szCs w:val="20"/>
          <w:lang w:val="en-GB"/>
        </w:rPr>
      </w:pPr>
      <w:r w:rsidRPr="004030DB">
        <w:rPr>
          <w:rFonts w:ascii="Arial" w:hAnsi="Arial" w:cs="Arial"/>
          <w:sz w:val="20"/>
          <w:szCs w:val="20"/>
          <w:lang w:val="en-GB"/>
        </w:rPr>
        <w:t>B</w:t>
      </w:r>
      <w:r w:rsidR="00010A15" w:rsidRPr="004030DB">
        <w:rPr>
          <w:rFonts w:ascii="Arial" w:hAnsi="Arial" w:cs="Arial"/>
          <w:sz w:val="20"/>
          <w:szCs w:val="20"/>
          <w:lang w:val="en-GB"/>
        </w:rPr>
        <w:t>y telephone</w:t>
      </w:r>
      <w:r w:rsidR="00964C97" w:rsidRPr="004030DB">
        <w:rPr>
          <w:rFonts w:ascii="Arial" w:hAnsi="Arial" w:cs="Arial"/>
          <w:sz w:val="20"/>
          <w:szCs w:val="20"/>
          <w:lang w:val="en-GB"/>
        </w:rPr>
        <w:t>:</w:t>
      </w:r>
      <w:r w:rsidR="00964C97" w:rsidRPr="004030DB">
        <w:rPr>
          <w:rFonts w:ascii="Arial" w:hAnsi="Arial" w:cs="Arial"/>
          <w:sz w:val="20"/>
          <w:szCs w:val="20"/>
          <w:lang w:val="en-GB"/>
        </w:rPr>
        <w:tab/>
      </w:r>
      <w:r w:rsidR="00010A15" w:rsidRPr="004030DB">
        <w:rPr>
          <w:rFonts w:ascii="Arial" w:hAnsi="Arial" w:cs="Arial"/>
          <w:sz w:val="20"/>
          <w:szCs w:val="20"/>
          <w:lang w:val="en-GB"/>
        </w:rPr>
        <w:t>01634 825292</w:t>
      </w:r>
    </w:p>
    <w:p w14:paraId="27565895" w14:textId="77777777" w:rsidR="002A51C5" w:rsidRPr="004030DB" w:rsidRDefault="002A51C5" w:rsidP="00317722">
      <w:pPr>
        <w:jc w:val="both"/>
        <w:rPr>
          <w:rFonts w:ascii="Arial" w:hAnsi="Arial" w:cs="Arial"/>
          <w:sz w:val="20"/>
          <w:szCs w:val="20"/>
          <w:lang w:val="en-GB"/>
        </w:rPr>
      </w:pPr>
      <w:r w:rsidRPr="004030DB">
        <w:rPr>
          <w:rFonts w:ascii="Arial" w:hAnsi="Arial" w:cs="Arial"/>
          <w:sz w:val="20"/>
          <w:szCs w:val="20"/>
          <w:lang w:val="en-GB"/>
        </w:rPr>
        <w:t>B</w:t>
      </w:r>
      <w:r w:rsidR="00010A15" w:rsidRPr="004030DB">
        <w:rPr>
          <w:rFonts w:ascii="Arial" w:hAnsi="Arial" w:cs="Arial"/>
          <w:sz w:val="20"/>
          <w:szCs w:val="20"/>
          <w:lang w:val="en-GB"/>
        </w:rPr>
        <w:t>y email</w:t>
      </w:r>
      <w:r w:rsidR="00964C97" w:rsidRPr="004030DB">
        <w:rPr>
          <w:rFonts w:ascii="Arial" w:hAnsi="Arial" w:cs="Arial"/>
          <w:sz w:val="20"/>
          <w:szCs w:val="20"/>
          <w:lang w:val="en-GB"/>
        </w:rPr>
        <w:t>:</w:t>
      </w:r>
      <w:r w:rsidR="00964C97" w:rsidRPr="004030DB">
        <w:rPr>
          <w:rFonts w:ascii="Arial" w:hAnsi="Arial" w:cs="Arial"/>
          <w:sz w:val="20"/>
          <w:szCs w:val="20"/>
          <w:lang w:val="en-GB"/>
        </w:rPr>
        <w:tab/>
      </w:r>
      <w:hyperlink r:id="rId39" w:history="1">
        <w:r w:rsidRPr="004030DB">
          <w:rPr>
            <w:rStyle w:val="Hyperlink"/>
            <w:rFonts w:ascii="Arial" w:hAnsi="Arial" w:cs="Arial"/>
            <w:sz w:val="20"/>
            <w:szCs w:val="20"/>
            <w:lang w:val="en-GB"/>
          </w:rPr>
          <w:t>met-tr.members-medway@nhs.net</w:t>
        </w:r>
      </w:hyperlink>
      <w:r w:rsidRPr="004030DB">
        <w:rPr>
          <w:rFonts w:ascii="Arial" w:hAnsi="Arial" w:cs="Arial"/>
          <w:sz w:val="20"/>
          <w:szCs w:val="20"/>
          <w:lang w:val="en-GB"/>
        </w:rPr>
        <w:t xml:space="preserve"> </w:t>
      </w:r>
    </w:p>
    <w:p w14:paraId="369125E5" w14:textId="77777777" w:rsidR="002A51C5" w:rsidRPr="004030DB" w:rsidRDefault="002A51C5" w:rsidP="00317722">
      <w:pPr>
        <w:ind w:left="1440" w:hanging="1440"/>
        <w:jc w:val="both"/>
        <w:rPr>
          <w:rFonts w:ascii="Arial" w:hAnsi="Arial" w:cs="Arial"/>
          <w:sz w:val="20"/>
          <w:szCs w:val="20"/>
          <w:lang w:val="en-GB"/>
        </w:rPr>
      </w:pPr>
      <w:r w:rsidRPr="004030DB">
        <w:rPr>
          <w:rFonts w:ascii="Arial" w:hAnsi="Arial" w:cs="Arial"/>
          <w:sz w:val="20"/>
          <w:szCs w:val="20"/>
          <w:lang w:val="en-GB"/>
        </w:rPr>
        <w:t>I</w:t>
      </w:r>
      <w:r w:rsidR="00010A15" w:rsidRPr="004030DB">
        <w:rPr>
          <w:rFonts w:ascii="Arial" w:hAnsi="Arial" w:cs="Arial"/>
          <w:sz w:val="20"/>
          <w:szCs w:val="20"/>
          <w:lang w:val="en-GB"/>
        </w:rPr>
        <w:t>n writing to</w:t>
      </w:r>
      <w:r w:rsidRPr="004030DB">
        <w:rPr>
          <w:rFonts w:ascii="Arial" w:hAnsi="Arial" w:cs="Arial"/>
          <w:sz w:val="20"/>
          <w:szCs w:val="20"/>
          <w:lang w:val="en-GB"/>
        </w:rPr>
        <w:t xml:space="preserve">: </w:t>
      </w:r>
      <w:r w:rsidR="00964C97" w:rsidRPr="004030DB">
        <w:rPr>
          <w:rFonts w:ascii="Arial" w:hAnsi="Arial" w:cs="Arial"/>
          <w:sz w:val="20"/>
          <w:szCs w:val="20"/>
          <w:lang w:val="en-GB"/>
        </w:rPr>
        <w:tab/>
      </w:r>
      <w:r w:rsidRPr="004030DB">
        <w:rPr>
          <w:rFonts w:ascii="Arial" w:hAnsi="Arial" w:cs="Arial"/>
          <w:sz w:val="20"/>
          <w:szCs w:val="20"/>
          <w:lang w:val="en-GB"/>
        </w:rPr>
        <w:t>M</w:t>
      </w:r>
      <w:r w:rsidR="00D64219" w:rsidRPr="004030DB">
        <w:rPr>
          <w:rFonts w:ascii="Arial" w:hAnsi="Arial" w:cs="Arial"/>
          <w:sz w:val="20"/>
          <w:szCs w:val="20"/>
          <w:lang w:val="en-GB"/>
        </w:rPr>
        <w:t xml:space="preserve">embership Office, </w:t>
      </w:r>
      <w:r w:rsidR="00010A15" w:rsidRPr="004030DB">
        <w:rPr>
          <w:rFonts w:ascii="Arial" w:hAnsi="Arial" w:cs="Arial"/>
          <w:sz w:val="20"/>
          <w:szCs w:val="20"/>
          <w:lang w:val="en-GB"/>
        </w:rPr>
        <w:t>Medway Maritime Hospital, Medway NHS Foundation Trust, Windmill Road,</w:t>
      </w:r>
      <w:r w:rsidR="00D64219" w:rsidRPr="004030DB">
        <w:rPr>
          <w:rFonts w:ascii="Arial" w:hAnsi="Arial" w:cs="Arial"/>
          <w:sz w:val="20"/>
          <w:szCs w:val="20"/>
          <w:lang w:val="en-GB"/>
        </w:rPr>
        <w:t xml:space="preserve"> </w:t>
      </w:r>
      <w:r w:rsidRPr="004030DB">
        <w:rPr>
          <w:rFonts w:ascii="Arial" w:hAnsi="Arial" w:cs="Arial"/>
          <w:sz w:val="20"/>
          <w:szCs w:val="20"/>
          <w:lang w:val="en-GB"/>
        </w:rPr>
        <w:t>Gillingham, Kent, ME7 5NY</w:t>
      </w:r>
    </w:p>
    <w:p w14:paraId="79678CE4" w14:textId="77777777" w:rsidR="00010A15" w:rsidRPr="004030DB" w:rsidRDefault="002A51C5" w:rsidP="00317722">
      <w:pPr>
        <w:jc w:val="both"/>
        <w:rPr>
          <w:rFonts w:ascii="Arial" w:hAnsi="Arial" w:cs="Arial"/>
          <w:sz w:val="20"/>
          <w:szCs w:val="20"/>
          <w:lang w:val="en-GB"/>
        </w:rPr>
      </w:pPr>
      <w:r w:rsidRPr="004030DB">
        <w:rPr>
          <w:rFonts w:ascii="Arial" w:hAnsi="Arial" w:cs="Arial"/>
          <w:sz w:val="20"/>
          <w:szCs w:val="20"/>
          <w:lang w:val="en-GB"/>
        </w:rPr>
        <w:t xml:space="preserve">Via </w:t>
      </w:r>
      <w:r w:rsidR="00010A15" w:rsidRPr="004030DB">
        <w:rPr>
          <w:rFonts w:ascii="Arial" w:hAnsi="Arial" w:cs="Arial"/>
          <w:sz w:val="20"/>
          <w:szCs w:val="20"/>
          <w:lang w:val="en-GB"/>
        </w:rPr>
        <w:t>website</w:t>
      </w:r>
      <w:r w:rsidRPr="004030DB">
        <w:rPr>
          <w:rFonts w:ascii="Arial" w:hAnsi="Arial" w:cs="Arial"/>
          <w:sz w:val="20"/>
          <w:szCs w:val="20"/>
          <w:lang w:val="en-GB"/>
        </w:rPr>
        <w:t xml:space="preserve"> at:</w:t>
      </w:r>
      <w:r w:rsidR="00317722" w:rsidRPr="004030DB">
        <w:rPr>
          <w:rFonts w:ascii="Arial" w:hAnsi="Arial" w:cs="Arial"/>
          <w:sz w:val="20"/>
          <w:szCs w:val="20"/>
          <w:lang w:val="en-GB"/>
        </w:rPr>
        <w:tab/>
      </w:r>
      <w:hyperlink r:id="rId40" w:history="1">
        <w:r w:rsidRPr="004030DB">
          <w:rPr>
            <w:rStyle w:val="Hyperlink"/>
            <w:rFonts w:ascii="Arial" w:hAnsi="Arial" w:cs="Arial"/>
            <w:sz w:val="20"/>
            <w:szCs w:val="20"/>
            <w:lang w:val="en-GB"/>
          </w:rPr>
          <w:t>www.medway.nhs.uk</w:t>
        </w:r>
      </w:hyperlink>
      <w:r w:rsidRPr="004030DB">
        <w:rPr>
          <w:rFonts w:ascii="Arial" w:hAnsi="Arial" w:cs="Arial"/>
          <w:sz w:val="20"/>
          <w:szCs w:val="20"/>
          <w:lang w:val="en-GB"/>
        </w:rPr>
        <w:t xml:space="preserve"> </w:t>
      </w:r>
    </w:p>
    <w:p w14:paraId="14950AB4" w14:textId="77777777" w:rsidR="00705B0A" w:rsidRPr="004030DB" w:rsidRDefault="00705B0A" w:rsidP="0066611D">
      <w:pPr>
        <w:ind w:left="720"/>
        <w:jc w:val="both"/>
        <w:rPr>
          <w:rFonts w:ascii="Arial" w:hAnsi="Arial" w:cs="Arial"/>
          <w:sz w:val="20"/>
          <w:szCs w:val="20"/>
          <w:lang w:val="en-GB"/>
        </w:rPr>
      </w:pPr>
    </w:p>
    <w:p w14:paraId="34C8693E" w14:textId="77777777" w:rsidR="00ED7971" w:rsidRPr="004030DB" w:rsidRDefault="00ED7971" w:rsidP="0066611D">
      <w:pPr>
        <w:ind w:left="720"/>
        <w:jc w:val="both"/>
        <w:rPr>
          <w:rFonts w:ascii="Arial" w:hAnsi="Arial" w:cs="Arial"/>
          <w:sz w:val="20"/>
          <w:szCs w:val="20"/>
          <w:lang w:val="en-GB"/>
        </w:rPr>
      </w:pPr>
    </w:p>
    <w:p w14:paraId="077A3ECD" w14:textId="77777777" w:rsidR="00933BC0" w:rsidRPr="004030DB" w:rsidRDefault="00933BC0" w:rsidP="00ED7971">
      <w:pPr>
        <w:jc w:val="both"/>
        <w:rPr>
          <w:rFonts w:ascii="Arial" w:hAnsi="Arial" w:cs="Arial"/>
          <w:sz w:val="20"/>
          <w:szCs w:val="20"/>
          <w:lang w:val="en-GB"/>
        </w:rPr>
      </w:pPr>
      <w:r w:rsidRPr="004030DB">
        <w:rPr>
          <w:rFonts w:ascii="Arial" w:hAnsi="Arial" w:cs="Arial"/>
          <w:b/>
          <w:sz w:val="20"/>
          <w:szCs w:val="20"/>
          <w:lang w:val="en-GB"/>
        </w:rPr>
        <w:t>Membership</w:t>
      </w:r>
      <w:r w:rsidRPr="004030DB">
        <w:rPr>
          <w:rFonts w:ascii="Arial" w:hAnsi="Arial" w:cs="Arial"/>
          <w:b/>
          <w:color w:val="FF0000"/>
          <w:sz w:val="20"/>
          <w:szCs w:val="20"/>
          <w:lang w:val="en-GB"/>
        </w:rPr>
        <w:t xml:space="preserve"> </w:t>
      </w:r>
    </w:p>
    <w:p w14:paraId="77C7F8B0" w14:textId="77777777" w:rsidR="00933BC0" w:rsidRPr="004030DB" w:rsidRDefault="00933BC0" w:rsidP="00ED7971">
      <w:pPr>
        <w:jc w:val="both"/>
        <w:rPr>
          <w:rFonts w:ascii="Arial" w:hAnsi="Arial" w:cs="Arial"/>
          <w:sz w:val="20"/>
          <w:szCs w:val="20"/>
          <w:lang w:val="en-GB"/>
        </w:rPr>
      </w:pPr>
    </w:p>
    <w:p w14:paraId="4D9C7D4F" w14:textId="77777777" w:rsidR="00933BC0" w:rsidRPr="004030DB" w:rsidRDefault="00933BC0" w:rsidP="00ED7971">
      <w:pPr>
        <w:jc w:val="both"/>
        <w:rPr>
          <w:rFonts w:ascii="Arial" w:hAnsi="Arial" w:cs="Arial"/>
          <w:sz w:val="20"/>
          <w:szCs w:val="20"/>
          <w:lang w:val="en-GB"/>
        </w:rPr>
      </w:pPr>
      <w:r w:rsidRPr="004030DB">
        <w:rPr>
          <w:rFonts w:ascii="Arial" w:hAnsi="Arial" w:cs="Arial"/>
          <w:sz w:val="20"/>
          <w:szCs w:val="20"/>
          <w:lang w:val="en-GB"/>
        </w:rPr>
        <w:t xml:space="preserve">Public membership is available for any individual member of the public aged 16 and over who lives in Medway, Swale or the rest of England and Wales. </w:t>
      </w:r>
      <w:r w:rsidR="002D7554" w:rsidRPr="004030DB">
        <w:rPr>
          <w:rFonts w:ascii="Arial" w:hAnsi="Arial" w:cs="Arial"/>
          <w:sz w:val="20"/>
          <w:szCs w:val="20"/>
          <w:lang w:val="en-GB"/>
        </w:rPr>
        <w:t xml:space="preserve"> The Trust invites m</w:t>
      </w:r>
      <w:r w:rsidRPr="004030DB">
        <w:rPr>
          <w:rFonts w:ascii="Arial" w:hAnsi="Arial" w:cs="Arial"/>
          <w:sz w:val="20"/>
          <w:szCs w:val="20"/>
          <w:lang w:val="en-GB"/>
        </w:rPr>
        <w:t>embers</w:t>
      </w:r>
      <w:r w:rsidR="002D7554" w:rsidRPr="004030DB">
        <w:rPr>
          <w:rFonts w:ascii="Arial" w:hAnsi="Arial" w:cs="Arial"/>
          <w:sz w:val="20"/>
          <w:szCs w:val="20"/>
          <w:lang w:val="en-GB"/>
        </w:rPr>
        <w:t xml:space="preserve"> </w:t>
      </w:r>
      <w:r w:rsidRPr="004030DB">
        <w:rPr>
          <w:rFonts w:ascii="Arial" w:hAnsi="Arial" w:cs="Arial"/>
          <w:sz w:val="20"/>
          <w:szCs w:val="20"/>
          <w:lang w:val="en-GB"/>
        </w:rPr>
        <w:t>to apply by completing a written or electronic application form.</w:t>
      </w:r>
    </w:p>
    <w:p w14:paraId="078025D5" w14:textId="77777777" w:rsidR="00933BC0" w:rsidRPr="004030DB" w:rsidRDefault="00933BC0" w:rsidP="00ED7971">
      <w:pPr>
        <w:jc w:val="both"/>
        <w:rPr>
          <w:rFonts w:ascii="Arial" w:hAnsi="Arial" w:cs="Arial"/>
          <w:sz w:val="20"/>
          <w:szCs w:val="20"/>
          <w:lang w:val="en-GB"/>
        </w:rPr>
      </w:pPr>
    </w:p>
    <w:p w14:paraId="5A37FF98" w14:textId="77777777" w:rsidR="00933BC0" w:rsidRPr="004030DB" w:rsidRDefault="00933BC0" w:rsidP="00ED7971">
      <w:pPr>
        <w:jc w:val="both"/>
        <w:rPr>
          <w:rFonts w:ascii="Arial" w:hAnsi="Arial" w:cs="Arial"/>
          <w:sz w:val="20"/>
          <w:szCs w:val="20"/>
          <w:lang w:val="en-GB"/>
        </w:rPr>
      </w:pPr>
      <w:r w:rsidRPr="004030DB">
        <w:rPr>
          <w:rFonts w:ascii="Arial" w:hAnsi="Arial" w:cs="Arial"/>
          <w:sz w:val="20"/>
          <w:szCs w:val="20"/>
          <w:lang w:val="en-GB"/>
        </w:rPr>
        <w:t xml:space="preserve">Staff membership is available for staff members employed by the Trust if they </w:t>
      </w:r>
      <w:r w:rsidR="002D7554" w:rsidRPr="004030DB">
        <w:rPr>
          <w:rFonts w:ascii="Arial" w:hAnsi="Arial" w:cs="Arial"/>
          <w:sz w:val="20"/>
          <w:szCs w:val="20"/>
          <w:lang w:val="en-GB"/>
        </w:rPr>
        <w:t xml:space="preserve">have a permanent contract, a 12 </w:t>
      </w:r>
      <w:r w:rsidRPr="004030DB">
        <w:rPr>
          <w:rFonts w:ascii="Arial" w:hAnsi="Arial" w:cs="Arial"/>
          <w:sz w:val="20"/>
          <w:szCs w:val="20"/>
          <w:lang w:val="en-GB"/>
        </w:rPr>
        <w:t>month or longer fixed term contract (or less than 12 months, but have been in post for at least 12 months), have an honorary contract or are registered volunteers of the Trust and have been volunteering for at least 12 months.</w:t>
      </w:r>
      <w:r w:rsidR="002D7554" w:rsidRPr="004030DB">
        <w:rPr>
          <w:rFonts w:ascii="Arial" w:hAnsi="Arial" w:cs="Arial"/>
          <w:sz w:val="20"/>
          <w:szCs w:val="20"/>
          <w:lang w:val="en-GB"/>
        </w:rPr>
        <w:t xml:space="preserve">  </w:t>
      </w:r>
      <w:r w:rsidRPr="004030DB">
        <w:rPr>
          <w:rFonts w:ascii="Arial" w:hAnsi="Arial" w:cs="Arial"/>
          <w:sz w:val="20"/>
          <w:szCs w:val="20"/>
          <w:lang w:val="en-GB"/>
        </w:rPr>
        <w:t>Staff members will automatically become members of the Trust in the ‘Staff’ constituency unless they opt out.</w:t>
      </w:r>
      <w:r w:rsidR="002D7554" w:rsidRPr="004030DB">
        <w:rPr>
          <w:rFonts w:ascii="Arial" w:hAnsi="Arial" w:cs="Arial"/>
          <w:sz w:val="20"/>
          <w:szCs w:val="20"/>
          <w:lang w:val="en-GB"/>
        </w:rPr>
        <w:t xml:space="preserve">  If a staff member has </w:t>
      </w:r>
      <w:r w:rsidRPr="004030DB">
        <w:rPr>
          <w:rFonts w:ascii="Arial" w:hAnsi="Arial" w:cs="Arial"/>
          <w:sz w:val="20"/>
          <w:szCs w:val="20"/>
          <w:lang w:val="en-GB"/>
        </w:rPr>
        <w:t>public membership</w:t>
      </w:r>
      <w:r w:rsidR="002D7554" w:rsidRPr="004030DB">
        <w:rPr>
          <w:rFonts w:ascii="Arial" w:hAnsi="Arial" w:cs="Arial"/>
          <w:sz w:val="20"/>
          <w:szCs w:val="20"/>
          <w:lang w:val="en-GB"/>
        </w:rPr>
        <w:t xml:space="preserve">, the public membership </w:t>
      </w:r>
      <w:r w:rsidR="00964C97" w:rsidRPr="004030DB">
        <w:rPr>
          <w:rFonts w:ascii="Arial" w:hAnsi="Arial" w:cs="Arial"/>
          <w:sz w:val="20"/>
          <w:szCs w:val="20"/>
          <w:lang w:val="en-GB"/>
        </w:rPr>
        <w:t>will end.</w:t>
      </w:r>
      <w:r w:rsidR="00FE08E8" w:rsidRPr="004030DB">
        <w:rPr>
          <w:rFonts w:ascii="Arial" w:hAnsi="Arial" w:cs="Arial"/>
          <w:sz w:val="20"/>
          <w:szCs w:val="20"/>
          <w:lang w:val="en-GB"/>
        </w:rPr>
        <w:t xml:space="preserve">  </w:t>
      </w:r>
      <w:r w:rsidRPr="004030DB">
        <w:rPr>
          <w:rFonts w:ascii="Arial" w:hAnsi="Arial" w:cs="Arial"/>
          <w:sz w:val="20"/>
          <w:szCs w:val="20"/>
          <w:lang w:val="en-GB"/>
        </w:rPr>
        <w:t xml:space="preserve">In </w:t>
      </w:r>
      <w:r w:rsidR="002F65E9" w:rsidRPr="004030DB">
        <w:rPr>
          <w:rFonts w:ascii="Arial" w:hAnsi="Arial" w:cs="Arial"/>
          <w:sz w:val="20"/>
          <w:szCs w:val="20"/>
          <w:lang w:val="en-GB"/>
        </w:rPr>
        <w:t>March 2025</w:t>
      </w:r>
      <w:r w:rsidRPr="004030DB">
        <w:rPr>
          <w:rFonts w:ascii="Arial" w:hAnsi="Arial" w:cs="Arial"/>
          <w:sz w:val="20"/>
          <w:szCs w:val="20"/>
          <w:lang w:val="en-GB"/>
        </w:rPr>
        <w:t>, the Trust had approximately 6,500 public members and 5,100 eligible staff members</w:t>
      </w:r>
      <w:r w:rsidR="002D7554" w:rsidRPr="004030DB">
        <w:rPr>
          <w:rFonts w:ascii="Arial" w:hAnsi="Arial" w:cs="Arial"/>
          <w:sz w:val="20"/>
          <w:szCs w:val="20"/>
          <w:lang w:val="en-GB"/>
        </w:rPr>
        <w:t xml:space="preserve"> (</w:t>
      </w:r>
      <w:r w:rsidRPr="004030DB">
        <w:rPr>
          <w:rFonts w:ascii="Arial" w:hAnsi="Arial" w:cs="Arial"/>
          <w:sz w:val="20"/>
          <w:szCs w:val="20"/>
          <w:lang w:val="en-GB"/>
        </w:rPr>
        <w:t xml:space="preserve">total </w:t>
      </w:r>
      <w:r w:rsidR="002D7554" w:rsidRPr="004030DB">
        <w:rPr>
          <w:rFonts w:ascii="Arial" w:hAnsi="Arial" w:cs="Arial"/>
          <w:sz w:val="20"/>
          <w:szCs w:val="20"/>
          <w:lang w:val="en-GB"/>
        </w:rPr>
        <w:t>-</w:t>
      </w:r>
      <w:r w:rsidRPr="004030DB">
        <w:rPr>
          <w:rFonts w:ascii="Arial" w:hAnsi="Arial" w:cs="Arial"/>
          <w:sz w:val="20"/>
          <w:szCs w:val="20"/>
          <w:lang w:val="en-GB"/>
        </w:rPr>
        <w:t xml:space="preserve"> 11,600</w:t>
      </w:r>
      <w:r w:rsidR="002D7554" w:rsidRPr="004030DB">
        <w:rPr>
          <w:rFonts w:ascii="Arial" w:hAnsi="Arial" w:cs="Arial"/>
          <w:sz w:val="20"/>
          <w:szCs w:val="20"/>
          <w:lang w:val="en-GB"/>
        </w:rPr>
        <w:t>)</w:t>
      </w:r>
      <w:r w:rsidRPr="004030DB">
        <w:rPr>
          <w:rFonts w:ascii="Arial" w:hAnsi="Arial" w:cs="Arial"/>
          <w:sz w:val="20"/>
          <w:szCs w:val="20"/>
          <w:lang w:val="en-GB"/>
        </w:rPr>
        <w:t xml:space="preserve"> </w:t>
      </w:r>
      <w:r w:rsidR="002D7554" w:rsidRPr="004030DB">
        <w:rPr>
          <w:rFonts w:ascii="Arial" w:hAnsi="Arial" w:cs="Arial"/>
          <w:sz w:val="20"/>
          <w:szCs w:val="20"/>
          <w:lang w:val="en-GB"/>
        </w:rPr>
        <w:t xml:space="preserve">members.   </w:t>
      </w:r>
      <w:r w:rsidRPr="004030DB">
        <w:rPr>
          <w:rFonts w:ascii="Arial" w:hAnsi="Arial" w:cs="Arial"/>
          <w:sz w:val="20"/>
          <w:szCs w:val="20"/>
          <w:lang w:val="en-GB"/>
        </w:rPr>
        <w:t xml:space="preserve">The breakdown of </w:t>
      </w:r>
      <w:r w:rsidR="00C32C30" w:rsidRPr="004030DB">
        <w:rPr>
          <w:rFonts w:ascii="Arial" w:hAnsi="Arial" w:cs="Arial"/>
          <w:sz w:val="20"/>
          <w:szCs w:val="20"/>
          <w:lang w:val="en-GB"/>
        </w:rPr>
        <w:t>the</w:t>
      </w:r>
      <w:r w:rsidRPr="004030DB">
        <w:rPr>
          <w:rFonts w:ascii="Arial" w:hAnsi="Arial" w:cs="Arial"/>
          <w:sz w:val="20"/>
          <w:szCs w:val="20"/>
          <w:lang w:val="en-GB"/>
        </w:rPr>
        <w:t xml:space="preserve"> public membership by constituency is:</w:t>
      </w:r>
    </w:p>
    <w:p w14:paraId="3155524C" w14:textId="77777777" w:rsidR="00933BC0" w:rsidRPr="004030DB" w:rsidRDefault="00933BC0" w:rsidP="00ED7971">
      <w:pPr>
        <w:jc w:val="both"/>
        <w:rPr>
          <w:rFonts w:ascii="Arial" w:hAnsi="Arial" w:cs="Arial"/>
          <w:sz w:val="20"/>
          <w:szCs w:val="20"/>
          <w:lang w:val="en-GB"/>
        </w:rPr>
      </w:pPr>
    </w:p>
    <w:tbl>
      <w:tblPr>
        <w:tblStyle w:val="TableGrid"/>
        <w:tblW w:w="0" w:type="auto"/>
        <w:tblLook w:val="04A0" w:firstRow="1" w:lastRow="0" w:firstColumn="1" w:lastColumn="0" w:noHBand="0" w:noVBand="1"/>
      </w:tblPr>
      <w:tblGrid>
        <w:gridCol w:w="4508"/>
        <w:gridCol w:w="4508"/>
      </w:tblGrid>
      <w:tr w:rsidR="00933BC0" w:rsidRPr="004030DB" w14:paraId="2903CE6C" w14:textId="77777777" w:rsidTr="00933BC0">
        <w:tc>
          <w:tcPr>
            <w:tcW w:w="4508" w:type="dxa"/>
          </w:tcPr>
          <w:p w14:paraId="3142EC8D" w14:textId="77777777" w:rsidR="00933BC0" w:rsidRPr="004030DB" w:rsidRDefault="00933BC0" w:rsidP="00ED7971">
            <w:pPr>
              <w:jc w:val="both"/>
              <w:rPr>
                <w:rFonts w:ascii="Arial" w:hAnsi="Arial" w:cs="Arial"/>
                <w:b/>
                <w:sz w:val="20"/>
                <w:szCs w:val="20"/>
                <w:lang w:val="en-GB"/>
              </w:rPr>
            </w:pPr>
            <w:r w:rsidRPr="004030DB">
              <w:rPr>
                <w:rFonts w:ascii="Arial" w:hAnsi="Arial" w:cs="Arial"/>
                <w:b/>
                <w:sz w:val="20"/>
                <w:szCs w:val="20"/>
                <w:lang w:val="en-GB"/>
              </w:rPr>
              <w:lastRenderedPageBreak/>
              <w:t>Constituency</w:t>
            </w:r>
          </w:p>
        </w:tc>
        <w:tc>
          <w:tcPr>
            <w:tcW w:w="4508" w:type="dxa"/>
          </w:tcPr>
          <w:p w14:paraId="6F79A6E0" w14:textId="77777777" w:rsidR="00933BC0" w:rsidRPr="004030DB" w:rsidRDefault="00933BC0" w:rsidP="00ED7971">
            <w:pPr>
              <w:jc w:val="both"/>
              <w:rPr>
                <w:rFonts w:ascii="Arial" w:hAnsi="Arial" w:cs="Arial"/>
                <w:b/>
                <w:sz w:val="20"/>
                <w:szCs w:val="20"/>
                <w:lang w:val="en-GB"/>
              </w:rPr>
            </w:pPr>
            <w:r w:rsidRPr="004030DB">
              <w:rPr>
                <w:rFonts w:ascii="Arial" w:hAnsi="Arial" w:cs="Arial"/>
                <w:b/>
                <w:sz w:val="20"/>
                <w:szCs w:val="20"/>
                <w:lang w:val="en-GB"/>
              </w:rPr>
              <w:t>Total</w:t>
            </w:r>
          </w:p>
        </w:tc>
      </w:tr>
      <w:tr w:rsidR="00933BC0" w:rsidRPr="004030DB" w14:paraId="4A314ED7" w14:textId="77777777" w:rsidTr="00933BC0">
        <w:tc>
          <w:tcPr>
            <w:tcW w:w="4508" w:type="dxa"/>
          </w:tcPr>
          <w:p w14:paraId="1212C035" w14:textId="77777777" w:rsidR="00933BC0" w:rsidRPr="004030DB" w:rsidRDefault="00933BC0" w:rsidP="00ED7971">
            <w:pPr>
              <w:jc w:val="both"/>
              <w:rPr>
                <w:rFonts w:ascii="Arial" w:hAnsi="Arial" w:cs="Arial"/>
                <w:sz w:val="20"/>
                <w:szCs w:val="20"/>
                <w:lang w:val="en-GB"/>
              </w:rPr>
            </w:pPr>
            <w:r w:rsidRPr="004030DB">
              <w:rPr>
                <w:rFonts w:ascii="Arial" w:hAnsi="Arial" w:cs="Arial"/>
                <w:sz w:val="20"/>
                <w:szCs w:val="20"/>
                <w:lang w:val="en-GB"/>
              </w:rPr>
              <w:t>Medway</w:t>
            </w:r>
          </w:p>
        </w:tc>
        <w:tc>
          <w:tcPr>
            <w:tcW w:w="4508" w:type="dxa"/>
          </w:tcPr>
          <w:p w14:paraId="746462DB" w14:textId="77777777" w:rsidR="00933BC0" w:rsidRPr="004030DB" w:rsidRDefault="00933BC0" w:rsidP="00ED7971">
            <w:pPr>
              <w:jc w:val="both"/>
              <w:rPr>
                <w:rFonts w:ascii="Arial" w:hAnsi="Arial" w:cs="Arial"/>
                <w:sz w:val="20"/>
                <w:szCs w:val="20"/>
                <w:lang w:val="en-GB"/>
              </w:rPr>
            </w:pPr>
            <w:r w:rsidRPr="004030DB">
              <w:rPr>
                <w:rFonts w:ascii="Arial" w:hAnsi="Arial" w:cs="Arial"/>
                <w:sz w:val="20"/>
                <w:szCs w:val="20"/>
                <w:lang w:val="en-GB"/>
              </w:rPr>
              <w:t>4,272</w:t>
            </w:r>
          </w:p>
        </w:tc>
      </w:tr>
      <w:tr w:rsidR="00933BC0" w:rsidRPr="004030DB" w14:paraId="50432A08" w14:textId="77777777" w:rsidTr="00933BC0">
        <w:tc>
          <w:tcPr>
            <w:tcW w:w="4508" w:type="dxa"/>
          </w:tcPr>
          <w:p w14:paraId="60AA5B81" w14:textId="77777777" w:rsidR="00933BC0" w:rsidRPr="004030DB" w:rsidRDefault="00933BC0" w:rsidP="00ED7971">
            <w:pPr>
              <w:jc w:val="both"/>
              <w:rPr>
                <w:rFonts w:ascii="Arial" w:hAnsi="Arial" w:cs="Arial"/>
                <w:sz w:val="20"/>
                <w:szCs w:val="20"/>
                <w:lang w:val="en-GB"/>
              </w:rPr>
            </w:pPr>
            <w:r w:rsidRPr="004030DB">
              <w:rPr>
                <w:rFonts w:ascii="Arial" w:hAnsi="Arial" w:cs="Arial"/>
                <w:sz w:val="20"/>
                <w:szCs w:val="20"/>
                <w:lang w:val="en-GB"/>
              </w:rPr>
              <w:t>Swale</w:t>
            </w:r>
          </w:p>
        </w:tc>
        <w:tc>
          <w:tcPr>
            <w:tcW w:w="4508" w:type="dxa"/>
          </w:tcPr>
          <w:p w14:paraId="0285560F" w14:textId="77777777" w:rsidR="00933BC0" w:rsidRPr="004030DB" w:rsidRDefault="00933BC0" w:rsidP="00ED7971">
            <w:pPr>
              <w:jc w:val="both"/>
              <w:rPr>
                <w:rFonts w:ascii="Arial" w:hAnsi="Arial" w:cs="Arial"/>
                <w:sz w:val="20"/>
                <w:szCs w:val="20"/>
                <w:lang w:val="en-GB"/>
              </w:rPr>
            </w:pPr>
            <w:r w:rsidRPr="004030DB">
              <w:rPr>
                <w:rFonts w:ascii="Arial" w:hAnsi="Arial" w:cs="Arial"/>
                <w:sz w:val="20"/>
                <w:szCs w:val="20"/>
                <w:lang w:val="en-GB"/>
              </w:rPr>
              <w:t>1,059</w:t>
            </w:r>
          </w:p>
        </w:tc>
      </w:tr>
      <w:tr w:rsidR="00933BC0" w:rsidRPr="004030DB" w14:paraId="2912FDE0" w14:textId="77777777" w:rsidTr="00933BC0">
        <w:tc>
          <w:tcPr>
            <w:tcW w:w="4508" w:type="dxa"/>
          </w:tcPr>
          <w:p w14:paraId="3BB051AC" w14:textId="77777777" w:rsidR="00933BC0" w:rsidRPr="004030DB" w:rsidRDefault="00933BC0" w:rsidP="00ED7971">
            <w:pPr>
              <w:jc w:val="both"/>
              <w:rPr>
                <w:rFonts w:ascii="Arial" w:hAnsi="Arial" w:cs="Arial"/>
                <w:sz w:val="20"/>
                <w:szCs w:val="20"/>
                <w:lang w:val="en-GB"/>
              </w:rPr>
            </w:pPr>
            <w:r w:rsidRPr="004030DB">
              <w:rPr>
                <w:rFonts w:ascii="Arial" w:hAnsi="Arial" w:cs="Arial"/>
                <w:sz w:val="20"/>
                <w:szCs w:val="20"/>
                <w:lang w:val="en-GB"/>
              </w:rPr>
              <w:t>Rest of England and Wales</w:t>
            </w:r>
          </w:p>
        </w:tc>
        <w:tc>
          <w:tcPr>
            <w:tcW w:w="4508" w:type="dxa"/>
          </w:tcPr>
          <w:p w14:paraId="7639F904" w14:textId="77777777" w:rsidR="00933BC0" w:rsidRPr="004030DB" w:rsidRDefault="00933BC0" w:rsidP="00ED7971">
            <w:pPr>
              <w:jc w:val="both"/>
              <w:rPr>
                <w:rFonts w:ascii="Arial" w:hAnsi="Arial" w:cs="Arial"/>
                <w:sz w:val="20"/>
                <w:szCs w:val="20"/>
                <w:lang w:val="en-GB"/>
              </w:rPr>
            </w:pPr>
            <w:r w:rsidRPr="004030DB">
              <w:rPr>
                <w:rFonts w:ascii="Arial" w:hAnsi="Arial" w:cs="Arial"/>
                <w:sz w:val="20"/>
                <w:szCs w:val="20"/>
                <w:lang w:val="en-GB"/>
              </w:rPr>
              <w:t>1,208</w:t>
            </w:r>
          </w:p>
        </w:tc>
      </w:tr>
      <w:tr w:rsidR="00933BC0" w:rsidRPr="004030DB" w14:paraId="06F8015B" w14:textId="77777777" w:rsidTr="00933BC0">
        <w:tc>
          <w:tcPr>
            <w:tcW w:w="4508" w:type="dxa"/>
            <w:shd w:val="clear" w:color="auto" w:fill="D9D9D9" w:themeFill="background1" w:themeFillShade="D9"/>
          </w:tcPr>
          <w:p w14:paraId="58A231BF" w14:textId="77777777" w:rsidR="00933BC0" w:rsidRPr="004030DB" w:rsidRDefault="00933BC0" w:rsidP="00ED7971">
            <w:pPr>
              <w:jc w:val="both"/>
              <w:rPr>
                <w:rFonts w:ascii="Arial" w:hAnsi="Arial" w:cs="Arial"/>
                <w:sz w:val="20"/>
                <w:szCs w:val="20"/>
                <w:lang w:val="en-GB"/>
              </w:rPr>
            </w:pPr>
          </w:p>
        </w:tc>
        <w:tc>
          <w:tcPr>
            <w:tcW w:w="4508" w:type="dxa"/>
            <w:shd w:val="clear" w:color="auto" w:fill="D9D9D9" w:themeFill="background1" w:themeFillShade="D9"/>
          </w:tcPr>
          <w:p w14:paraId="615B4F24" w14:textId="77777777" w:rsidR="00933BC0" w:rsidRPr="004030DB" w:rsidRDefault="00933BC0" w:rsidP="00ED7971">
            <w:pPr>
              <w:jc w:val="both"/>
              <w:rPr>
                <w:rFonts w:ascii="Arial" w:hAnsi="Arial" w:cs="Arial"/>
                <w:sz w:val="20"/>
                <w:szCs w:val="20"/>
                <w:lang w:val="en-GB"/>
              </w:rPr>
            </w:pPr>
          </w:p>
        </w:tc>
      </w:tr>
      <w:tr w:rsidR="00933BC0" w:rsidRPr="004030DB" w14:paraId="3E1E1709" w14:textId="77777777" w:rsidTr="00933BC0">
        <w:tc>
          <w:tcPr>
            <w:tcW w:w="4508" w:type="dxa"/>
          </w:tcPr>
          <w:p w14:paraId="7358BB66" w14:textId="77777777" w:rsidR="00933BC0" w:rsidRPr="004030DB" w:rsidRDefault="00933BC0" w:rsidP="00ED7971">
            <w:pPr>
              <w:jc w:val="both"/>
              <w:rPr>
                <w:rFonts w:ascii="Arial" w:hAnsi="Arial" w:cs="Arial"/>
                <w:b/>
                <w:sz w:val="20"/>
                <w:szCs w:val="20"/>
                <w:lang w:val="en-GB"/>
              </w:rPr>
            </w:pPr>
            <w:r w:rsidRPr="004030DB">
              <w:rPr>
                <w:rFonts w:ascii="Arial" w:hAnsi="Arial" w:cs="Arial"/>
                <w:b/>
                <w:sz w:val="20"/>
                <w:szCs w:val="20"/>
                <w:lang w:val="en-GB"/>
              </w:rPr>
              <w:t>Public Membership total</w:t>
            </w:r>
          </w:p>
        </w:tc>
        <w:tc>
          <w:tcPr>
            <w:tcW w:w="4508" w:type="dxa"/>
          </w:tcPr>
          <w:p w14:paraId="2E1A32DD" w14:textId="77777777" w:rsidR="00933BC0" w:rsidRPr="004030DB" w:rsidRDefault="00933BC0" w:rsidP="00ED7971">
            <w:pPr>
              <w:jc w:val="both"/>
              <w:rPr>
                <w:rFonts w:ascii="Arial" w:hAnsi="Arial" w:cs="Arial"/>
                <w:b/>
                <w:sz w:val="20"/>
                <w:szCs w:val="20"/>
                <w:lang w:val="en-GB"/>
              </w:rPr>
            </w:pPr>
            <w:r w:rsidRPr="004030DB">
              <w:rPr>
                <w:rFonts w:ascii="Arial" w:hAnsi="Arial" w:cs="Arial"/>
                <w:b/>
                <w:sz w:val="20"/>
                <w:szCs w:val="20"/>
                <w:lang w:val="en-GB"/>
              </w:rPr>
              <w:t>6,539</w:t>
            </w:r>
          </w:p>
        </w:tc>
      </w:tr>
    </w:tbl>
    <w:p w14:paraId="23668A70" w14:textId="77777777" w:rsidR="00F678D0" w:rsidRPr="004030DB" w:rsidRDefault="00F678D0" w:rsidP="00ED7971">
      <w:pPr>
        <w:jc w:val="both"/>
        <w:rPr>
          <w:rFonts w:ascii="Arial" w:hAnsi="Arial" w:cs="Arial"/>
          <w:sz w:val="20"/>
          <w:szCs w:val="20"/>
          <w:lang w:val="en-GB"/>
        </w:rPr>
      </w:pPr>
    </w:p>
    <w:p w14:paraId="2FD9C02F" w14:textId="77777777" w:rsidR="006B58BA" w:rsidRPr="004030DB" w:rsidRDefault="00933BC0" w:rsidP="00ED7971">
      <w:pPr>
        <w:jc w:val="both"/>
        <w:rPr>
          <w:rFonts w:ascii="Arial" w:hAnsi="Arial" w:cs="Arial"/>
          <w:sz w:val="20"/>
          <w:szCs w:val="20"/>
          <w:lang w:val="en-GB"/>
        </w:rPr>
      </w:pPr>
      <w:r w:rsidRPr="004030DB">
        <w:rPr>
          <w:rFonts w:ascii="Arial" w:hAnsi="Arial" w:cs="Arial"/>
          <w:sz w:val="20"/>
          <w:szCs w:val="20"/>
          <w:lang w:val="en-GB"/>
        </w:rPr>
        <w:t xml:space="preserve">As part of the </w:t>
      </w:r>
      <w:r w:rsidR="002D7554" w:rsidRPr="004030DB">
        <w:rPr>
          <w:rFonts w:ascii="Arial" w:hAnsi="Arial" w:cs="Arial"/>
          <w:sz w:val="20"/>
          <w:szCs w:val="20"/>
          <w:lang w:val="en-GB"/>
        </w:rPr>
        <w:t xml:space="preserve">“living with Covid” approach, the Trust </w:t>
      </w:r>
      <w:r w:rsidRPr="004030DB">
        <w:rPr>
          <w:rFonts w:ascii="Arial" w:hAnsi="Arial" w:cs="Arial"/>
          <w:sz w:val="20"/>
          <w:szCs w:val="20"/>
          <w:lang w:val="en-GB"/>
        </w:rPr>
        <w:t>moved to a hybrid approach of physical and online events and meetings since the pandemic, which have continued since</w:t>
      </w:r>
      <w:r w:rsidR="002D7554" w:rsidRPr="004030DB">
        <w:rPr>
          <w:rFonts w:ascii="Arial" w:hAnsi="Arial" w:cs="Arial"/>
          <w:sz w:val="20"/>
          <w:szCs w:val="20"/>
          <w:lang w:val="en-GB"/>
        </w:rPr>
        <w:t xml:space="preserve">.  The Trust </w:t>
      </w:r>
      <w:r w:rsidRPr="004030DB">
        <w:rPr>
          <w:rFonts w:ascii="Arial" w:hAnsi="Arial" w:cs="Arial"/>
          <w:sz w:val="20"/>
          <w:szCs w:val="20"/>
          <w:lang w:val="en-GB"/>
        </w:rPr>
        <w:t xml:space="preserve">held a series of events including a public event considering the barriers and stigma relating to perinatal mental health and the Annual Members’ Meeting in September </w:t>
      </w:r>
      <w:r w:rsidR="002D7554" w:rsidRPr="004030DB">
        <w:rPr>
          <w:rFonts w:ascii="Arial" w:hAnsi="Arial" w:cs="Arial"/>
          <w:sz w:val="20"/>
          <w:szCs w:val="20"/>
          <w:lang w:val="en-GB"/>
        </w:rPr>
        <w:t>2023</w:t>
      </w:r>
      <w:r w:rsidRPr="004030DB">
        <w:rPr>
          <w:rFonts w:ascii="Arial" w:hAnsi="Arial" w:cs="Arial"/>
          <w:sz w:val="20"/>
          <w:szCs w:val="20"/>
          <w:lang w:val="en-GB"/>
        </w:rPr>
        <w:t>.</w:t>
      </w:r>
    </w:p>
    <w:p w14:paraId="4FAE8837" w14:textId="77777777" w:rsidR="00933BC0" w:rsidRPr="004030DB" w:rsidRDefault="00933BC0" w:rsidP="00ED7971">
      <w:pPr>
        <w:jc w:val="both"/>
        <w:rPr>
          <w:rFonts w:ascii="Arial" w:hAnsi="Arial" w:cs="Arial"/>
          <w:sz w:val="20"/>
          <w:szCs w:val="20"/>
          <w:lang w:val="en-GB"/>
        </w:rPr>
      </w:pPr>
    </w:p>
    <w:p w14:paraId="75AC8835" w14:textId="77777777" w:rsidR="00933BC0" w:rsidRPr="004030DB" w:rsidRDefault="00933BC0" w:rsidP="00ED7971">
      <w:pPr>
        <w:jc w:val="both"/>
        <w:rPr>
          <w:rFonts w:ascii="Arial" w:hAnsi="Arial" w:cs="Arial"/>
          <w:sz w:val="20"/>
          <w:szCs w:val="20"/>
          <w:lang w:val="en-GB"/>
        </w:rPr>
      </w:pPr>
      <w:r w:rsidRPr="004030DB">
        <w:rPr>
          <w:rFonts w:ascii="Arial" w:hAnsi="Arial" w:cs="Arial"/>
          <w:sz w:val="20"/>
          <w:szCs w:val="20"/>
          <w:lang w:val="en-GB"/>
        </w:rPr>
        <w:t>Members received regular e-bulletins and information about upcoming events.  They receive the Trust’s quarterly News@Medway magazine and Community Newsletter by email, both available on the Trust website.</w:t>
      </w:r>
    </w:p>
    <w:p w14:paraId="76F25E79" w14:textId="77777777" w:rsidR="00933BC0" w:rsidRPr="004030DB" w:rsidRDefault="00933BC0" w:rsidP="00ED7971">
      <w:pPr>
        <w:jc w:val="both"/>
        <w:rPr>
          <w:rFonts w:ascii="Arial" w:hAnsi="Arial" w:cs="Arial"/>
          <w:sz w:val="20"/>
          <w:szCs w:val="20"/>
          <w:lang w:val="en-GB"/>
        </w:rPr>
      </w:pPr>
    </w:p>
    <w:p w14:paraId="4B1F46A9" w14:textId="77777777" w:rsidR="00933BC0" w:rsidRPr="004030DB" w:rsidRDefault="00933BC0" w:rsidP="00ED7971">
      <w:pPr>
        <w:jc w:val="both"/>
        <w:rPr>
          <w:rFonts w:ascii="Arial" w:hAnsi="Arial" w:cs="Arial"/>
          <w:sz w:val="20"/>
          <w:szCs w:val="20"/>
          <w:lang w:val="en-GB"/>
        </w:rPr>
      </w:pPr>
      <w:r w:rsidRPr="004030DB">
        <w:rPr>
          <w:rFonts w:ascii="Arial" w:hAnsi="Arial" w:cs="Arial"/>
          <w:sz w:val="20"/>
          <w:szCs w:val="20"/>
          <w:lang w:val="en-GB"/>
        </w:rPr>
        <w:t xml:space="preserve">The Council of Governors </w:t>
      </w:r>
      <w:r w:rsidR="00964C97" w:rsidRPr="004030DB">
        <w:rPr>
          <w:rFonts w:ascii="Arial" w:hAnsi="Arial" w:cs="Arial"/>
          <w:sz w:val="20"/>
          <w:szCs w:val="20"/>
          <w:lang w:val="en-GB"/>
        </w:rPr>
        <w:t xml:space="preserve">reviewed the Trust’s Membership Strategy </w:t>
      </w:r>
      <w:r w:rsidRPr="004030DB">
        <w:rPr>
          <w:rFonts w:ascii="Arial" w:hAnsi="Arial" w:cs="Arial"/>
          <w:sz w:val="20"/>
          <w:szCs w:val="20"/>
          <w:lang w:val="en-GB"/>
        </w:rPr>
        <w:t xml:space="preserve">in May 2023 and sets out how </w:t>
      </w:r>
      <w:r w:rsidR="002D7554" w:rsidRPr="004030DB">
        <w:rPr>
          <w:rFonts w:ascii="Arial" w:hAnsi="Arial" w:cs="Arial"/>
          <w:sz w:val="20"/>
          <w:szCs w:val="20"/>
          <w:lang w:val="en-GB"/>
        </w:rPr>
        <w:t>the Trust</w:t>
      </w:r>
      <w:r w:rsidRPr="004030DB">
        <w:rPr>
          <w:rFonts w:ascii="Arial" w:hAnsi="Arial" w:cs="Arial"/>
          <w:sz w:val="20"/>
          <w:szCs w:val="20"/>
          <w:lang w:val="en-GB"/>
        </w:rPr>
        <w:t xml:space="preserve"> attract</w:t>
      </w:r>
      <w:r w:rsidR="00964C97" w:rsidRPr="004030DB">
        <w:rPr>
          <w:rFonts w:ascii="Arial" w:hAnsi="Arial" w:cs="Arial"/>
          <w:sz w:val="20"/>
          <w:szCs w:val="20"/>
          <w:lang w:val="en-GB"/>
        </w:rPr>
        <w:t>s</w:t>
      </w:r>
      <w:r w:rsidRPr="004030DB">
        <w:rPr>
          <w:rFonts w:ascii="Arial" w:hAnsi="Arial" w:cs="Arial"/>
          <w:sz w:val="20"/>
          <w:szCs w:val="20"/>
          <w:lang w:val="en-GB"/>
        </w:rPr>
        <w:t>, retain</w:t>
      </w:r>
      <w:r w:rsidR="00964C97" w:rsidRPr="004030DB">
        <w:rPr>
          <w:rFonts w:ascii="Arial" w:hAnsi="Arial" w:cs="Arial"/>
          <w:sz w:val="20"/>
          <w:szCs w:val="20"/>
          <w:lang w:val="en-GB"/>
        </w:rPr>
        <w:t>s</w:t>
      </w:r>
      <w:r w:rsidRPr="004030DB">
        <w:rPr>
          <w:rFonts w:ascii="Arial" w:hAnsi="Arial" w:cs="Arial"/>
          <w:sz w:val="20"/>
          <w:szCs w:val="20"/>
          <w:lang w:val="en-GB"/>
        </w:rPr>
        <w:t xml:space="preserve"> and engage</w:t>
      </w:r>
      <w:r w:rsidR="00964C97" w:rsidRPr="004030DB">
        <w:rPr>
          <w:rFonts w:ascii="Arial" w:hAnsi="Arial" w:cs="Arial"/>
          <w:sz w:val="20"/>
          <w:szCs w:val="20"/>
          <w:lang w:val="en-GB"/>
        </w:rPr>
        <w:t>s</w:t>
      </w:r>
      <w:r w:rsidRPr="004030DB">
        <w:rPr>
          <w:rFonts w:ascii="Arial" w:hAnsi="Arial" w:cs="Arial"/>
          <w:sz w:val="20"/>
          <w:szCs w:val="20"/>
          <w:lang w:val="en-GB"/>
        </w:rPr>
        <w:t xml:space="preserve"> with </w:t>
      </w:r>
      <w:r w:rsidR="00964C97" w:rsidRPr="004030DB">
        <w:rPr>
          <w:rFonts w:ascii="Arial" w:hAnsi="Arial" w:cs="Arial"/>
          <w:sz w:val="20"/>
          <w:szCs w:val="20"/>
          <w:lang w:val="en-GB"/>
        </w:rPr>
        <w:t xml:space="preserve">its members.  The </w:t>
      </w:r>
      <w:r w:rsidRPr="004030DB">
        <w:rPr>
          <w:rFonts w:ascii="Arial" w:hAnsi="Arial" w:cs="Arial"/>
          <w:sz w:val="20"/>
          <w:szCs w:val="20"/>
          <w:lang w:val="en-GB"/>
        </w:rPr>
        <w:t>Engagement Team and Governors held a variety of sessions in order to continue engagement act</w:t>
      </w:r>
      <w:r w:rsidR="002D7554" w:rsidRPr="004030DB">
        <w:rPr>
          <w:rFonts w:ascii="Arial" w:hAnsi="Arial" w:cs="Arial"/>
          <w:sz w:val="20"/>
          <w:szCs w:val="20"/>
          <w:lang w:val="en-GB"/>
        </w:rPr>
        <w:t>ivity with</w:t>
      </w:r>
      <w:r w:rsidR="00964C97" w:rsidRPr="004030DB">
        <w:rPr>
          <w:rFonts w:ascii="Arial" w:hAnsi="Arial" w:cs="Arial"/>
          <w:sz w:val="20"/>
          <w:szCs w:val="20"/>
          <w:lang w:val="en-GB"/>
        </w:rPr>
        <w:t xml:space="preserve">in the </w:t>
      </w:r>
      <w:r w:rsidR="002D7554" w:rsidRPr="004030DB">
        <w:rPr>
          <w:rFonts w:ascii="Arial" w:hAnsi="Arial" w:cs="Arial"/>
          <w:sz w:val="20"/>
          <w:szCs w:val="20"/>
          <w:lang w:val="en-GB"/>
        </w:rPr>
        <w:t xml:space="preserve">local community.  </w:t>
      </w:r>
      <w:r w:rsidRPr="004030DB">
        <w:rPr>
          <w:rFonts w:ascii="Arial" w:hAnsi="Arial" w:cs="Arial"/>
          <w:sz w:val="20"/>
          <w:szCs w:val="20"/>
          <w:lang w:val="en-GB"/>
        </w:rPr>
        <w:t xml:space="preserve">This included stands at the hospital and in the community, </w:t>
      </w:r>
      <w:r w:rsidR="00964C97" w:rsidRPr="004030DB">
        <w:rPr>
          <w:rFonts w:ascii="Arial" w:hAnsi="Arial" w:cs="Arial"/>
          <w:sz w:val="20"/>
          <w:szCs w:val="20"/>
          <w:lang w:val="en-GB"/>
        </w:rPr>
        <w:t xml:space="preserve">in addition to </w:t>
      </w:r>
      <w:r w:rsidRPr="004030DB">
        <w:rPr>
          <w:rFonts w:ascii="Arial" w:hAnsi="Arial" w:cs="Arial"/>
          <w:sz w:val="20"/>
          <w:szCs w:val="20"/>
          <w:lang w:val="en-GB"/>
        </w:rPr>
        <w:t xml:space="preserve">attending a number of public events such as Medway </w:t>
      </w:r>
      <w:r w:rsidR="00964C97" w:rsidRPr="004030DB">
        <w:rPr>
          <w:rFonts w:ascii="Arial" w:hAnsi="Arial" w:cs="Arial"/>
          <w:sz w:val="20"/>
          <w:szCs w:val="20"/>
          <w:lang w:val="en-GB"/>
        </w:rPr>
        <w:t xml:space="preserve">Pride </w:t>
      </w:r>
      <w:r w:rsidRPr="004030DB">
        <w:rPr>
          <w:rFonts w:ascii="Arial" w:hAnsi="Arial" w:cs="Arial"/>
          <w:sz w:val="20"/>
          <w:szCs w:val="20"/>
          <w:lang w:val="en-GB"/>
        </w:rPr>
        <w:t xml:space="preserve">and </w:t>
      </w:r>
      <w:r w:rsidR="00964C97" w:rsidRPr="004030DB">
        <w:rPr>
          <w:rFonts w:ascii="Arial" w:hAnsi="Arial" w:cs="Arial"/>
          <w:sz w:val="20"/>
          <w:szCs w:val="20"/>
          <w:lang w:val="en-GB"/>
        </w:rPr>
        <w:t xml:space="preserve">Swale Pride for the first time.  </w:t>
      </w:r>
      <w:r w:rsidRPr="004030DB">
        <w:rPr>
          <w:rFonts w:ascii="Arial" w:hAnsi="Arial" w:cs="Arial"/>
          <w:sz w:val="20"/>
          <w:szCs w:val="20"/>
          <w:lang w:val="en-GB"/>
        </w:rPr>
        <w:t xml:space="preserve">The events allowed </w:t>
      </w:r>
      <w:r w:rsidR="00964C97" w:rsidRPr="004030DB">
        <w:rPr>
          <w:rFonts w:ascii="Arial" w:hAnsi="Arial" w:cs="Arial"/>
          <w:sz w:val="20"/>
          <w:szCs w:val="20"/>
          <w:lang w:val="en-GB"/>
        </w:rPr>
        <w:t xml:space="preserve">the Trust </w:t>
      </w:r>
      <w:r w:rsidRPr="004030DB">
        <w:rPr>
          <w:rFonts w:ascii="Arial" w:hAnsi="Arial" w:cs="Arial"/>
          <w:sz w:val="20"/>
          <w:szCs w:val="20"/>
          <w:lang w:val="en-GB"/>
        </w:rPr>
        <w:t>to share updates, support and encourage people to get involved, and to form positive working relationship</w:t>
      </w:r>
      <w:r w:rsidR="00964C97" w:rsidRPr="004030DB">
        <w:rPr>
          <w:rFonts w:ascii="Arial" w:hAnsi="Arial" w:cs="Arial"/>
          <w:sz w:val="20"/>
          <w:szCs w:val="20"/>
          <w:lang w:val="en-GB"/>
        </w:rPr>
        <w:t>s</w:t>
      </w:r>
      <w:r w:rsidRPr="004030DB">
        <w:rPr>
          <w:rFonts w:ascii="Arial" w:hAnsi="Arial" w:cs="Arial"/>
          <w:sz w:val="20"/>
          <w:szCs w:val="20"/>
          <w:lang w:val="en-GB"/>
        </w:rPr>
        <w:t xml:space="preserve"> and a shared understanding of </w:t>
      </w:r>
      <w:r w:rsidR="00964C97" w:rsidRPr="004030DB">
        <w:rPr>
          <w:rFonts w:ascii="Arial" w:hAnsi="Arial" w:cs="Arial"/>
          <w:sz w:val="20"/>
          <w:szCs w:val="20"/>
          <w:lang w:val="en-GB"/>
        </w:rPr>
        <w:t>the</w:t>
      </w:r>
      <w:r w:rsidRPr="004030DB">
        <w:rPr>
          <w:rFonts w:ascii="Arial" w:hAnsi="Arial" w:cs="Arial"/>
          <w:sz w:val="20"/>
          <w:szCs w:val="20"/>
          <w:lang w:val="en-GB"/>
        </w:rPr>
        <w:t xml:space="preserve"> community.</w:t>
      </w:r>
    </w:p>
    <w:p w14:paraId="09E6A13B" w14:textId="77777777" w:rsidR="00933BC0" w:rsidRPr="004030DB" w:rsidRDefault="00933BC0" w:rsidP="00ED7971">
      <w:pPr>
        <w:jc w:val="both"/>
        <w:rPr>
          <w:rFonts w:ascii="Arial" w:hAnsi="Arial" w:cs="Arial"/>
          <w:sz w:val="20"/>
          <w:szCs w:val="20"/>
          <w:lang w:val="en-GB"/>
        </w:rPr>
      </w:pPr>
    </w:p>
    <w:p w14:paraId="6FC4141F" w14:textId="77777777" w:rsidR="00933BC0" w:rsidRPr="004030DB" w:rsidRDefault="00933BC0" w:rsidP="00ED7971">
      <w:pPr>
        <w:jc w:val="both"/>
        <w:rPr>
          <w:rFonts w:ascii="Arial" w:hAnsi="Arial" w:cs="Arial"/>
          <w:b/>
          <w:sz w:val="20"/>
          <w:szCs w:val="20"/>
          <w:lang w:val="en-GB"/>
        </w:rPr>
      </w:pPr>
      <w:r w:rsidRPr="004030DB">
        <w:rPr>
          <w:rFonts w:ascii="Arial" w:hAnsi="Arial" w:cs="Arial"/>
          <w:sz w:val="20"/>
          <w:szCs w:val="20"/>
          <w:lang w:val="en-GB"/>
        </w:rPr>
        <w:t xml:space="preserve">Through engagement, </w:t>
      </w:r>
      <w:r w:rsidR="00964C97" w:rsidRPr="004030DB">
        <w:rPr>
          <w:rFonts w:ascii="Arial" w:hAnsi="Arial" w:cs="Arial"/>
          <w:sz w:val="20"/>
          <w:szCs w:val="20"/>
          <w:lang w:val="en-GB"/>
        </w:rPr>
        <w:t xml:space="preserve">the Trust continues to </w:t>
      </w:r>
      <w:r w:rsidRPr="004030DB">
        <w:rPr>
          <w:rFonts w:ascii="Arial" w:hAnsi="Arial" w:cs="Arial"/>
          <w:sz w:val="20"/>
          <w:szCs w:val="20"/>
          <w:lang w:val="en-GB"/>
        </w:rPr>
        <w:t>establish</w:t>
      </w:r>
      <w:r w:rsidR="00964C97" w:rsidRPr="004030DB">
        <w:rPr>
          <w:rFonts w:ascii="Arial" w:hAnsi="Arial" w:cs="Arial"/>
          <w:sz w:val="20"/>
          <w:szCs w:val="20"/>
          <w:lang w:val="en-GB"/>
        </w:rPr>
        <w:t xml:space="preserve"> its presence, </w:t>
      </w:r>
      <w:r w:rsidRPr="004030DB">
        <w:rPr>
          <w:rFonts w:ascii="Arial" w:hAnsi="Arial" w:cs="Arial"/>
          <w:sz w:val="20"/>
          <w:szCs w:val="20"/>
          <w:lang w:val="en-GB"/>
        </w:rPr>
        <w:t xml:space="preserve">strengthen networks and trust within the </w:t>
      </w:r>
      <w:r w:rsidR="00DC5A2D" w:rsidRPr="004030DB">
        <w:rPr>
          <w:rFonts w:ascii="Arial" w:hAnsi="Arial" w:cs="Arial"/>
          <w:sz w:val="20"/>
          <w:szCs w:val="20"/>
          <w:lang w:val="en-GB"/>
        </w:rPr>
        <w:t xml:space="preserve">local </w:t>
      </w:r>
      <w:r w:rsidRPr="004030DB">
        <w:rPr>
          <w:rFonts w:ascii="Arial" w:hAnsi="Arial" w:cs="Arial"/>
          <w:sz w:val="20"/>
          <w:szCs w:val="20"/>
          <w:lang w:val="en-GB"/>
        </w:rPr>
        <w:t>community.</w:t>
      </w:r>
    </w:p>
    <w:p w14:paraId="5044D23C" w14:textId="77777777" w:rsidR="00705B0A" w:rsidRPr="004030DB" w:rsidRDefault="00705B0A" w:rsidP="00ED7971">
      <w:pPr>
        <w:jc w:val="both"/>
        <w:rPr>
          <w:rFonts w:ascii="Arial" w:hAnsi="Arial" w:cs="Arial"/>
          <w:b/>
          <w:sz w:val="20"/>
          <w:szCs w:val="20"/>
          <w:lang w:val="en-GB"/>
        </w:rPr>
      </w:pPr>
    </w:p>
    <w:p w14:paraId="7B423411" w14:textId="77777777" w:rsidR="002F65E9" w:rsidRPr="004030DB" w:rsidRDefault="002F65E9" w:rsidP="00ED7971">
      <w:pPr>
        <w:jc w:val="both"/>
        <w:rPr>
          <w:rFonts w:ascii="Arial" w:hAnsi="Arial" w:cs="Arial"/>
          <w:b/>
          <w:sz w:val="20"/>
          <w:szCs w:val="20"/>
          <w:highlight w:val="yellow"/>
          <w:lang w:val="en-GB"/>
        </w:rPr>
      </w:pPr>
    </w:p>
    <w:p w14:paraId="35D45C13" w14:textId="77777777" w:rsidR="002F65E9" w:rsidRPr="004030DB" w:rsidRDefault="002F65E9" w:rsidP="00ED7971">
      <w:pPr>
        <w:jc w:val="both"/>
        <w:rPr>
          <w:rFonts w:ascii="Arial" w:hAnsi="Arial" w:cs="Arial"/>
          <w:b/>
          <w:sz w:val="20"/>
          <w:szCs w:val="20"/>
          <w:highlight w:val="yellow"/>
          <w:lang w:val="en-GB"/>
        </w:rPr>
      </w:pPr>
    </w:p>
    <w:p w14:paraId="2EDD0DF5" w14:textId="77777777" w:rsidR="002F65E9" w:rsidRPr="004030DB" w:rsidRDefault="002F65E9" w:rsidP="00ED7971">
      <w:pPr>
        <w:jc w:val="both"/>
        <w:rPr>
          <w:rFonts w:ascii="Arial" w:hAnsi="Arial" w:cs="Arial"/>
          <w:b/>
          <w:sz w:val="20"/>
          <w:szCs w:val="20"/>
          <w:highlight w:val="yellow"/>
          <w:lang w:val="en-GB"/>
        </w:rPr>
      </w:pPr>
    </w:p>
    <w:p w14:paraId="716D4DA9" w14:textId="77777777" w:rsidR="002F65E9" w:rsidRPr="004030DB" w:rsidRDefault="002F65E9" w:rsidP="00ED7971">
      <w:pPr>
        <w:jc w:val="both"/>
        <w:rPr>
          <w:rFonts w:ascii="Arial" w:hAnsi="Arial" w:cs="Arial"/>
          <w:b/>
          <w:sz w:val="20"/>
          <w:szCs w:val="20"/>
          <w:highlight w:val="yellow"/>
          <w:lang w:val="en-GB"/>
        </w:rPr>
      </w:pPr>
    </w:p>
    <w:p w14:paraId="09494E8C" w14:textId="77777777" w:rsidR="002F65E9" w:rsidRPr="004030DB" w:rsidRDefault="002F65E9" w:rsidP="00ED7971">
      <w:pPr>
        <w:jc w:val="both"/>
        <w:rPr>
          <w:rFonts w:ascii="Arial" w:hAnsi="Arial" w:cs="Arial"/>
          <w:b/>
          <w:sz w:val="20"/>
          <w:szCs w:val="20"/>
          <w:highlight w:val="yellow"/>
          <w:lang w:val="en-GB"/>
        </w:rPr>
      </w:pPr>
    </w:p>
    <w:p w14:paraId="5C5717F7" w14:textId="77777777" w:rsidR="002F65E9" w:rsidRPr="004030DB" w:rsidRDefault="002F65E9" w:rsidP="00ED7971">
      <w:pPr>
        <w:jc w:val="both"/>
        <w:rPr>
          <w:rFonts w:ascii="Arial" w:hAnsi="Arial" w:cs="Arial"/>
          <w:b/>
          <w:sz w:val="20"/>
          <w:szCs w:val="20"/>
          <w:highlight w:val="yellow"/>
          <w:lang w:val="en-GB"/>
        </w:rPr>
      </w:pPr>
    </w:p>
    <w:p w14:paraId="143F4709" w14:textId="77777777" w:rsidR="002F65E9" w:rsidRPr="004030DB" w:rsidRDefault="002F65E9" w:rsidP="00ED7971">
      <w:pPr>
        <w:jc w:val="both"/>
        <w:rPr>
          <w:rFonts w:ascii="Arial" w:hAnsi="Arial" w:cs="Arial"/>
          <w:b/>
          <w:sz w:val="20"/>
          <w:szCs w:val="20"/>
          <w:highlight w:val="yellow"/>
          <w:lang w:val="en-GB"/>
        </w:rPr>
      </w:pPr>
    </w:p>
    <w:p w14:paraId="5A94D1C0" w14:textId="77777777" w:rsidR="002F65E9" w:rsidRPr="004030DB" w:rsidRDefault="002F65E9" w:rsidP="00ED7971">
      <w:pPr>
        <w:jc w:val="both"/>
        <w:rPr>
          <w:rFonts w:ascii="Arial" w:hAnsi="Arial" w:cs="Arial"/>
          <w:b/>
          <w:sz w:val="20"/>
          <w:szCs w:val="20"/>
          <w:highlight w:val="yellow"/>
          <w:lang w:val="en-GB"/>
        </w:rPr>
      </w:pPr>
    </w:p>
    <w:p w14:paraId="1A3F9668" w14:textId="77777777" w:rsidR="002F65E9" w:rsidRPr="004030DB" w:rsidRDefault="002F65E9" w:rsidP="00ED7971">
      <w:pPr>
        <w:jc w:val="both"/>
        <w:rPr>
          <w:rFonts w:ascii="Arial" w:hAnsi="Arial" w:cs="Arial"/>
          <w:b/>
          <w:sz w:val="20"/>
          <w:szCs w:val="20"/>
          <w:highlight w:val="yellow"/>
          <w:lang w:val="en-GB"/>
        </w:rPr>
      </w:pPr>
    </w:p>
    <w:p w14:paraId="1479DD97" w14:textId="77777777" w:rsidR="002F65E9" w:rsidRPr="004030DB" w:rsidRDefault="002F65E9" w:rsidP="00ED7971">
      <w:pPr>
        <w:jc w:val="both"/>
        <w:rPr>
          <w:rFonts w:ascii="Arial" w:hAnsi="Arial" w:cs="Arial"/>
          <w:b/>
          <w:sz w:val="20"/>
          <w:szCs w:val="20"/>
          <w:highlight w:val="yellow"/>
          <w:lang w:val="en-GB"/>
        </w:rPr>
      </w:pPr>
    </w:p>
    <w:p w14:paraId="22369A1D" w14:textId="77777777" w:rsidR="002F65E9" w:rsidRPr="004030DB" w:rsidRDefault="002F65E9" w:rsidP="00ED7971">
      <w:pPr>
        <w:jc w:val="both"/>
        <w:rPr>
          <w:rFonts w:ascii="Arial" w:hAnsi="Arial" w:cs="Arial"/>
          <w:b/>
          <w:sz w:val="20"/>
          <w:szCs w:val="20"/>
          <w:highlight w:val="yellow"/>
          <w:lang w:val="en-GB"/>
        </w:rPr>
      </w:pPr>
    </w:p>
    <w:p w14:paraId="23C2FD1D" w14:textId="77777777" w:rsidR="002F65E9" w:rsidRDefault="002F65E9" w:rsidP="00010A15">
      <w:pPr>
        <w:rPr>
          <w:rFonts w:ascii="Arial" w:hAnsi="Arial" w:cs="Arial"/>
          <w:b/>
          <w:sz w:val="20"/>
          <w:szCs w:val="20"/>
          <w:highlight w:val="yellow"/>
          <w:lang w:val="en-GB"/>
        </w:rPr>
      </w:pPr>
    </w:p>
    <w:p w14:paraId="0A750C51" w14:textId="77777777" w:rsidR="004030DB" w:rsidRDefault="004030DB" w:rsidP="00010A15">
      <w:pPr>
        <w:rPr>
          <w:rFonts w:ascii="Arial" w:hAnsi="Arial" w:cs="Arial"/>
          <w:b/>
          <w:sz w:val="20"/>
          <w:szCs w:val="20"/>
          <w:highlight w:val="yellow"/>
          <w:lang w:val="en-GB"/>
        </w:rPr>
      </w:pPr>
    </w:p>
    <w:p w14:paraId="47663D8B" w14:textId="77777777" w:rsidR="004030DB" w:rsidRDefault="004030DB" w:rsidP="00010A15">
      <w:pPr>
        <w:rPr>
          <w:rFonts w:ascii="Arial" w:hAnsi="Arial" w:cs="Arial"/>
          <w:b/>
          <w:sz w:val="20"/>
          <w:szCs w:val="20"/>
          <w:highlight w:val="yellow"/>
          <w:lang w:val="en-GB"/>
        </w:rPr>
      </w:pPr>
    </w:p>
    <w:p w14:paraId="3853C73A" w14:textId="77777777" w:rsidR="004030DB" w:rsidRDefault="004030DB" w:rsidP="00010A15">
      <w:pPr>
        <w:rPr>
          <w:rFonts w:ascii="Arial" w:hAnsi="Arial" w:cs="Arial"/>
          <w:b/>
          <w:sz w:val="20"/>
          <w:szCs w:val="20"/>
          <w:highlight w:val="yellow"/>
          <w:lang w:val="en-GB"/>
        </w:rPr>
      </w:pPr>
    </w:p>
    <w:p w14:paraId="010ECBB9" w14:textId="77777777" w:rsidR="004030DB" w:rsidRDefault="004030DB" w:rsidP="00010A15">
      <w:pPr>
        <w:rPr>
          <w:rFonts w:ascii="Arial" w:hAnsi="Arial" w:cs="Arial"/>
          <w:b/>
          <w:sz w:val="20"/>
          <w:szCs w:val="20"/>
          <w:highlight w:val="yellow"/>
          <w:lang w:val="en-GB"/>
        </w:rPr>
      </w:pPr>
    </w:p>
    <w:p w14:paraId="2FAA2EE8" w14:textId="77777777" w:rsidR="004030DB" w:rsidRDefault="004030DB" w:rsidP="00010A15">
      <w:pPr>
        <w:rPr>
          <w:rFonts w:ascii="Arial" w:hAnsi="Arial" w:cs="Arial"/>
          <w:b/>
          <w:sz w:val="20"/>
          <w:szCs w:val="20"/>
          <w:highlight w:val="yellow"/>
          <w:lang w:val="en-GB"/>
        </w:rPr>
      </w:pPr>
    </w:p>
    <w:p w14:paraId="2ED644B0" w14:textId="77777777" w:rsidR="004030DB" w:rsidRDefault="004030DB" w:rsidP="00010A15">
      <w:pPr>
        <w:rPr>
          <w:rFonts w:ascii="Arial" w:hAnsi="Arial" w:cs="Arial"/>
          <w:b/>
          <w:sz w:val="20"/>
          <w:szCs w:val="20"/>
          <w:highlight w:val="yellow"/>
          <w:lang w:val="en-GB"/>
        </w:rPr>
      </w:pPr>
    </w:p>
    <w:p w14:paraId="6D15E113" w14:textId="77777777" w:rsidR="004030DB" w:rsidRDefault="004030DB" w:rsidP="00010A15">
      <w:pPr>
        <w:rPr>
          <w:rFonts w:ascii="Arial" w:hAnsi="Arial" w:cs="Arial"/>
          <w:b/>
          <w:sz w:val="20"/>
          <w:szCs w:val="20"/>
          <w:highlight w:val="yellow"/>
          <w:lang w:val="en-GB"/>
        </w:rPr>
      </w:pPr>
    </w:p>
    <w:p w14:paraId="7B6882E2" w14:textId="77777777" w:rsidR="004030DB" w:rsidRDefault="004030DB" w:rsidP="00010A15">
      <w:pPr>
        <w:rPr>
          <w:rFonts w:ascii="Arial" w:hAnsi="Arial" w:cs="Arial"/>
          <w:b/>
          <w:sz w:val="20"/>
          <w:szCs w:val="20"/>
          <w:highlight w:val="yellow"/>
          <w:lang w:val="en-GB"/>
        </w:rPr>
      </w:pPr>
    </w:p>
    <w:p w14:paraId="73720CC3" w14:textId="77777777" w:rsidR="004030DB" w:rsidRDefault="004030DB" w:rsidP="00010A15">
      <w:pPr>
        <w:rPr>
          <w:rFonts w:ascii="Arial" w:hAnsi="Arial" w:cs="Arial"/>
          <w:b/>
          <w:sz w:val="20"/>
          <w:szCs w:val="20"/>
          <w:highlight w:val="yellow"/>
          <w:lang w:val="en-GB"/>
        </w:rPr>
      </w:pPr>
    </w:p>
    <w:p w14:paraId="79608DFF" w14:textId="77777777" w:rsidR="004030DB" w:rsidRDefault="004030DB" w:rsidP="00010A15">
      <w:pPr>
        <w:rPr>
          <w:rFonts w:ascii="Arial" w:hAnsi="Arial" w:cs="Arial"/>
          <w:b/>
          <w:sz w:val="20"/>
          <w:szCs w:val="20"/>
          <w:highlight w:val="yellow"/>
          <w:lang w:val="en-GB"/>
        </w:rPr>
      </w:pPr>
    </w:p>
    <w:p w14:paraId="083464E7" w14:textId="77777777" w:rsidR="004030DB" w:rsidRDefault="004030DB" w:rsidP="00010A15">
      <w:pPr>
        <w:rPr>
          <w:rFonts w:ascii="Arial" w:hAnsi="Arial" w:cs="Arial"/>
          <w:b/>
          <w:sz w:val="20"/>
          <w:szCs w:val="20"/>
          <w:highlight w:val="yellow"/>
          <w:lang w:val="en-GB"/>
        </w:rPr>
      </w:pPr>
    </w:p>
    <w:p w14:paraId="5D0FAFBB" w14:textId="77777777" w:rsidR="004030DB" w:rsidRDefault="004030DB" w:rsidP="00010A15">
      <w:pPr>
        <w:rPr>
          <w:rFonts w:ascii="Arial" w:hAnsi="Arial" w:cs="Arial"/>
          <w:b/>
          <w:sz w:val="20"/>
          <w:szCs w:val="20"/>
          <w:highlight w:val="yellow"/>
          <w:lang w:val="en-GB"/>
        </w:rPr>
      </w:pPr>
    </w:p>
    <w:p w14:paraId="3DD59384" w14:textId="77777777" w:rsidR="004030DB" w:rsidRDefault="004030DB" w:rsidP="00010A15">
      <w:pPr>
        <w:rPr>
          <w:rFonts w:ascii="Arial" w:hAnsi="Arial" w:cs="Arial"/>
          <w:b/>
          <w:sz w:val="20"/>
          <w:szCs w:val="20"/>
          <w:highlight w:val="yellow"/>
          <w:lang w:val="en-GB"/>
        </w:rPr>
      </w:pPr>
    </w:p>
    <w:p w14:paraId="45890F16" w14:textId="77777777" w:rsidR="004030DB" w:rsidRDefault="004030DB" w:rsidP="00010A15">
      <w:pPr>
        <w:rPr>
          <w:rFonts w:ascii="Arial" w:hAnsi="Arial" w:cs="Arial"/>
          <w:b/>
          <w:sz w:val="20"/>
          <w:szCs w:val="20"/>
          <w:highlight w:val="yellow"/>
          <w:lang w:val="en-GB"/>
        </w:rPr>
      </w:pPr>
    </w:p>
    <w:p w14:paraId="36149A8E" w14:textId="77777777" w:rsidR="004030DB" w:rsidRDefault="004030DB" w:rsidP="00010A15">
      <w:pPr>
        <w:rPr>
          <w:rFonts w:ascii="Arial" w:hAnsi="Arial" w:cs="Arial"/>
          <w:b/>
          <w:sz w:val="20"/>
          <w:szCs w:val="20"/>
          <w:highlight w:val="yellow"/>
          <w:lang w:val="en-GB"/>
        </w:rPr>
      </w:pPr>
    </w:p>
    <w:p w14:paraId="4F7A1213" w14:textId="77777777" w:rsidR="004030DB" w:rsidRDefault="004030DB" w:rsidP="00010A15">
      <w:pPr>
        <w:rPr>
          <w:rFonts w:ascii="Arial" w:hAnsi="Arial" w:cs="Arial"/>
          <w:b/>
          <w:sz w:val="20"/>
          <w:szCs w:val="20"/>
          <w:highlight w:val="yellow"/>
          <w:lang w:val="en-GB"/>
        </w:rPr>
      </w:pPr>
    </w:p>
    <w:p w14:paraId="1914509A" w14:textId="77777777" w:rsidR="004030DB" w:rsidRDefault="004030DB" w:rsidP="00010A15">
      <w:pPr>
        <w:rPr>
          <w:rFonts w:ascii="Arial" w:hAnsi="Arial" w:cs="Arial"/>
          <w:b/>
          <w:sz w:val="20"/>
          <w:szCs w:val="20"/>
          <w:highlight w:val="yellow"/>
          <w:lang w:val="en-GB"/>
        </w:rPr>
      </w:pPr>
    </w:p>
    <w:p w14:paraId="3B64D46D" w14:textId="77777777" w:rsidR="004030DB" w:rsidRDefault="004030DB" w:rsidP="00010A15">
      <w:pPr>
        <w:rPr>
          <w:rFonts w:ascii="Arial" w:hAnsi="Arial" w:cs="Arial"/>
          <w:b/>
          <w:sz w:val="20"/>
          <w:szCs w:val="20"/>
          <w:highlight w:val="yellow"/>
          <w:lang w:val="en-GB"/>
        </w:rPr>
      </w:pPr>
    </w:p>
    <w:p w14:paraId="26362115" w14:textId="77777777" w:rsidR="004030DB" w:rsidRDefault="004030DB" w:rsidP="00010A15">
      <w:pPr>
        <w:rPr>
          <w:rFonts w:ascii="Arial" w:hAnsi="Arial" w:cs="Arial"/>
          <w:b/>
          <w:sz w:val="20"/>
          <w:szCs w:val="20"/>
          <w:highlight w:val="yellow"/>
          <w:lang w:val="en-GB"/>
        </w:rPr>
      </w:pPr>
    </w:p>
    <w:p w14:paraId="059FE10C" w14:textId="77777777" w:rsidR="004030DB" w:rsidRPr="004030DB" w:rsidRDefault="004030DB" w:rsidP="00010A15">
      <w:pPr>
        <w:rPr>
          <w:rFonts w:ascii="Arial" w:hAnsi="Arial" w:cs="Arial"/>
          <w:b/>
          <w:sz w:val="20"/>
          <w:szCs w:val="20"/>
          <w:highlight w:val="yellow"/>
          <w:lang w:val="en-GB"/>
        </w:rPr>
      </w:pPr>
    </w:p>
    <w:p w14:paraId="61894899" w14:textId="77777777" w:rsidR="002F65E9" w:rsidRPr="004030DB" w:rsidRDefault="002F65E9" w:rsidP="00010A15">
      <w:pPr>
        <w:rPr>
          <w:rFonts w:ascii="Arial" w:hAnsi="Arial" w:cs="Arial"/>
          <w:b/>
          <w:sz w:val="20"/>
          <w:szCs w:val="20"/>
          <w:highlight w:val="yellow"/>
          <w:lang w:val="en-GB"/>
        </w:rPr>
      </w:pPr>
    </w:p>
    <w:p w14:paraId="6AB2FB1C" w14:textId="77777777" w:rsidR="00493D90" w:rsidRPr="00853D6F" w:rsidRDefault="00010A15" w:rsidP="00853D6F">
      <w:pPr>
        <w:jc w:val="both"/>
        <w:rPr>
          <w:rFonts w:ascii="Arial" w:hAnsi="Arial" w:cs="Arial"/>
          <w:b/>
          <w:sz w:val="20"/>
          <w:szCs w:val="20"/>
          <w:u w:val="single"/>
          <w:lang w:val="en-GB"/>
        </w:rPr>
      </w:pPr>
      <w:r w:rsidRPr="00853D6F">
        <w:rPr>
          <w:rFonts w:ascii="Arial" w:hAnsi="Arial" w:cs="Arial"/>
          <w:b/>
          <w:sz w:val="20"/>
          <w:szCs w:val="20"/>
          <w:u w:val="single"/>
          <w:lang w:val="en-GB"/>
        </w:rPr>
        <w:lastRenderedPageBreak/>
        <w:t>Disclosures</w:t>
      </w:r>
      <w:r w:rsidR="00705B0A" w:rsidRPr="00853D6F">
        <w:rPr>
          <w:rFonts w:ascii="Arial" w:hAnsi="Arial" w:cs="Arial"/>
          <w:b/>
          <w:color w:val="FF0000"/>
          <w:sz w:val="20"/>
          <w:szCs w:val="20"/>
          <w:u w:val="single"/>
          <w:lang w:val="en-GB"/>
        </w:rPr>
        <w:t xml:space="preserve"> </w:t>
      </w:r>
    </w:p>
    <w:p w14:paraId="6F583FBB" w14:textId="77777777" w:rsidR="00010A15" w:rsidRPr="004030DB" w:rsidRDefault="00010A15" w:rsidP="00853D6F">
      <w:pPr>
        <w:jc w:val="both"/>
        <w:rPr>
          <w:rFonts w:ascii="Arial" w:hAnsi="Arial" w:cs="Arial"/>
          <w:sz w:val="20"/>
          <w:szCs w:val="20"/>
          <w:lang w:val="en-GB"/>
        </w:rPr>
      </w:pPr>
      <w:r w:rsidRPr="004030DB">
        <w:rPr>
          <w:rFonts w:ascii="Arial" w:hAnsi="Arial" w:cs="Arial"/>
          <w:sz w:val="20"/>
          <w:szCs w:val="20"/>
          <w:lang w:val="en-GB"/>
        </w:rPr>
        <w:t>In setting its governance arrangements, the Trust has regard</w:t>
      </w:r>
      <w:r w:rsidR="00CF7C1E" w:rsidRPr="004030DB">
        <w:rPr>
          <w:rFonts w:ascii="Arial" w:hAnsi="Arial" w:cs="Arial"/>
          <w:sz w:val="20"/>
          <w:szCs w:val="20"/>
          <w:lang w:val="en-GB"/>
        </w:rPr>
        <w:t xml:space="preserve"> for the provisions of the NHS F</w:t>
      </w:r>
      <w:r w:rsidRPr="004030DB">
        <w:rPr>
          <w:rFonts w:ascii="Arial" w:hAnsi="Arial" w:cs="Arial"/>
          <w:sz w:val="20"/>
          <w:szCs w:val="20"/>
          <w:lang w:val="en-GB"/>
        </w:rPr>
        <w:t xml:space="preserve">oundation </w:t>
      </w:r>
      <w:r w:rsidR="00CF7C1E" w:rsidRPr="004030DB">
        <w:rPr>
          <w:rFonts w:ascii="Arial" w:hAnsi="Arial" w:cs="Arial"/>
          <w:sz w:val="20"/>
          <w:szCs w:val="20"/>
          <w:lang w:val="en-GB"/>
        </w:rPr>
        <w:t>T</w:t>
      </w:r>
      <w:r w:rsidRPr="004030DB">
        <w:rPr>
          <w:rFonts w:ascii="Arial" w:hAnsi="Arial" w:cs="Arial"/>
          <w:sz w:val="20"/>
          <w:szCs w:val="20"/>
          <w:lang w:val="en-GB"/>
        </w:rPr>
        <w:t xml:space="preserve">rust </w:t>
      </w:r>
      <w:r w:rsidR="00CF7C1E" w:rsidRPr="004030DB">
        <w:rPr>
          <w:rFonts w:ascii="Arial" w:hAnsi="Arial" w:cs="Arial"/>
          <w:sz w:val="20"/>
          <w:szCs w:val="20"/>
          <w:lang w:val="en-GB"/>
        </w:rPr>
        <w:t>C</w:t>
      </w:r>
      <w:r w:rsidRPr="004030DB">
        <w:rPr>
          <w:rFonts w:ascii="Arial" w:hAnsi="Arial" w:cs="Arial"/>
          <w:sz w:val="20"/>
          <w:szCs w:val="20"/>
          <w:lang w:val="en-GB"/>
        </w:rPr>
        <w:t xml:space="preserve">ode of </w:t>
      </w:r>
      <w:r w:rsidR="00CF7C1E" w:rsidRPr="004030DB">
        <w:rPr>
          <w:rFonts w:ascii="Arial" w:hAnsi="Arial" w:cs="Arial"/>
          <w:sz w:val="20"/>
          <w:szCs w:val="20"/>
          <w:lang w:val="en-GB"/>
        </w:rPr>
        <w:t>G</w:t>
      </w:r>
      <w:r w:rsidRPr="004030DB">
        <w:rPr>
          <w:rFonts w:ascii="Arial" w:hAnsi="Arial" w:cs="Arial"/>
          <w:sz w:val="20"/>
          <w:szCs w:val="20"/>
          <w:lang w:val="en-GB"/>
        </w:rPr>
        <w:t>overnance 2014</w:t>
      </w:r>
      <w:r w:rsidR="00493D90" w:rsidRPr="004030DB">
        <w:rPr>
          <w:rFonts w:ascii="Arial" w:hAnsi="Arial" w:cs="Arial"/>
          <w:sz w:val="20"/>
          <w:szCs w:val="20"/>
          <w:lang w:val="en-GB"/>
        </w:rPr>
        <w:t xml:space="preserve"> (and the revised version implemented in April 2023)</w:t>
      </w:r>
      <w:r w:rsidRPr="004030DB">
        <w:rPr>
          <w:rFonts w:ascii="Arial" w:hAnsi="Arial" w:cs="Arial"/>
          <w:sz w:val="20"/>
          <w:szCs w:val="20"/>
          <w:lang w:val="en-GB"/>
        </w:rPr>
        <w:t xml:space="preserve"> and other relevant guidance where provisions apply to the responsibilities of the Trust.</w:t>
      </w:r>
      <w:r w:rsidR="00DC5A2D" w:rsidRPr="004030DB">
        <w:rPr>
          <w:rFonts w:ascii="Arial" w:hAnsi="Arial" w:cs="Arial"/>
          <w:sz w:val="20"/>
          <w:szCs w:val="20"/>
          <w:lang w:val="en-GB"/>
        </w:rPr>
        <w:t xml:space="preserve">  </w:t>
      </w:r>
      <w:r w:rsidRPr="004030DB">
        <w:rPr>
          <w:rFonts w:ascii="Arial" w:hAnsi="Arial" w:cs="Arial"/>
          <w:sz w:val="20"/>
          <w:szCs w:val="20"/>
          <w:lang w:val="en-GB"/>
        </w:rPr>
        <w:t xml:space="preserve">The following section, together with the annual governance statement and corporate governance statement, explain how the Trust has applied the main and supporting principles of the </w:t>
      </w:r>
      <w:r w:rsidR="00DC5A2D" w:rsidRPr="004030DB">
        <w:rPr>
          <w:rFonts w:ascii="Arial" w:hAnsi="Arial" w:cs="Arial"/>
          <w:sz w:val="20"/>
          <w:szCs w:val="20"/>
          <w:lang w:val="en-GB"/>
        </w:rPr>
        <w:t>C</w:t>
      </w:r>
      <w:r w:rsidRPr="004030DB">
        <w:rPr>
          <w:rFonts w:ascii="Arial" w:hAnsi="Arial" w:cs="Arial"/>
          <w:sz w:val="20"/>
          <w:szCs w:val="20"/>
          <w:lang w:val="en-GB"/>
        </w:rPr>
        <w:t>ode.</w:t>
      </w:r>
    </w:p>
    <w:p w14:paraId="2791CB9E" w14:textId="77777777" w:rsidR="00010A15" w:rsidRPr="004030DB" w:rsidRDefault="00010A15" w:rsidP="00853D6F">
      <w:pPr>
        <w:jc w:val="both"/>
        <w:rPr>
          <w:rFonts w:ascii="Arial" w:hAnsi="Arial" w:cs="Arial"/>
          <w:sz w:val="20"/>
          <w:szCs w:val="20"/>
          <w:lang w:val="en-GB"/>
        </w:rPr>
      </w:pPr>
    </w:p>
    <w:p w14:paraId="1F3D286B" w14:textId="77777777" w:rsidR="005420B4" w:rsidRPr="004030DB" w:rsidRDefault="005420B4" w:rsidP="00853D6F">
      <w:pPr>
        <w:jc w:val="both"/>
        <w:rPr>
          <w:rFonts w:ascii="Arial" w:hAnsi="Arial" w:cs="Arial"/>
          <w:sz w:val="20"/>
          <w:szCs w:val="20"/>
          <w:lang w:val="en-GB"/>
        </w:rPr>
      </w:pPr>
    </w:p>
    <w:p w14:paraId="0844574F" w14:textId="77777777" w:rsidR="00493D90" w:rsidRPr="00853D6F" w:rsidRDefault="00CF7C1E" w:rsidP="00853D6F">
      <w:pPr>
        <w:jc w:val="both"/>
        <w:rPr>
          <w:rFonts w:ascii="Arial" w:hAnsi="Arial" w:cs="Arial"/>
          <w:b/>
          <w:sz w:val="20"/>
          <w:szCs w:val="20"/>
          <w:lang w:val="en-GB"/>
        </w:rPr>
      </w:pPr>
      <w:r w:rsidRPr="004030DB">
        <w:rPr>
          <w:rFonts w:ascii="Arial" w:hAnsi="Arial" w:cs="Arial"/>
          <w:b/>
          <w:sz w:val="20"/>
          <w:szCs w:val="20"/>
          <w:lang w:val="en-GB"/>
        </w:rPr>
        <w:t>Principal A</w:t>
      </w:r>
      <w:r w:rsidR="00010A15" w:rsidRPr="004030DB">
        <w:rPr>
          <w:rFonts w:ascii="Arial" w:hAnsi="Arial" w:cs="Arial"/>
          <w:b/>
          <w:sz w:val="20"/>
          <w:szCs w:val="20"/>
          <w:lang w:val="en-GB"/>
        </w:rPr>
        <w:t>ctivities of the Trust</w:t>
      </w:r>
    </w:p>
    <w:p w14:paraId="40D61B49" w14:textId="77777777" w:rsidR="00010A15" w:rsidRPr="004030DB" w:rsidRDefault="00010A15" w:rsidP="00853D6F">
      <w:pPr>
        <w:jc w:val="both"/>
        <w:rPr>
          <w:rFonts w:ascii="Arial" w:hAnsi="Arial" w:cs="Arial"/>
          <w:sz w:val="20"/>
          <w:szCs w:val="20"/>
          <w:lang w:val="en-GB"/>
        </w:rPr>
      </w:pPr>
      <w:r w:rsidRPr="004030DB">
        <w:rPr>
          <w:rFonts w:ascii="Arial" w:hAnsi="Arial" w:cs="Arial"/>
          <w:sz w:val="20"/>
          <w:szCs w:val="20"/>
          <w:lang w:val="en-GB"/>
        </w:rPr>
        <w:t xml:space="preserve">Information on </w:t>
      </w:r>
      <w:r w:rsidR="00C32C30" w:rsidRPr="004030DB">
        <w:rPr>
          <w:rFonts w:ascii="Arial" w:hAnsi="Arial" w:cs="Arial"/>
          <w:sz w:val="20"/>
          <w:szCs w:val="20"/>
          <w:lang w:val="en-GB"/>
        </w:rPr>
        <w:t>the Trusts</w:t>
      </w:r>
      <w:r w:rsidRPr="004030DB">
        <w:rPr>
          <w:rFonts w:ascii="Arial" w:hAnsi="Arial" w:cs="Arial"/>
          <w:sz w:val="20"/>
          <w:szCs w:val="20"/>
          <w:lang w:val="en-GB"/>
        </w:rPr>
        <w:t xml:space="preserve"> principal activities, including performance management, financial management and risk, efficiency, employee information is outlined in the performance report.</w:t>
      </w:r>
    </w:p>
    <w:p w14:paraId="70E19216" w14:textId="77777777" w:rsidR="00CF7C1E" w:rsidRPr="004030DB" w:rsidRDefault="00010A15" w:rsidP="00853D6F">
      <w:pPr>
        <w:jc w:val="both"/>
        <w:rPr>
          <w:rFonts w:ascii="Arial" w:hAnsi="Arial" w:cs="Arial"/>
          <w:sz w:val="20"/>
          <w:szCs w:val="20"/>
          <w:lang w:val="en-GB"/>
        </w:rPr>
      </w:pPr>
      <w:r w:rsidRPr="004030DB">
        <w:rPr>
          <w:rFonts w:ascii="Arial" w:hAnsi="Arial" w:cs="Arial"/>
          <w:sz w:val="20"/>
          <w:szCs w:val="20"/>
          <w:lang w:val="en-GB"/>
        </w:rPr>
        <w:t xml:space="preserve"> </w:t>
      </w:r>
    </w:p>
    <w:p w14:paraId="18AE5CA4" w14:textId="77777777" w:rsidR="005420B4" w:rsidRPr="004030DB" w:rsidRDefault="005420B4" w:rsidP="00853D6F">
      <w:pPr>
        <w:jc w:val="both"/>
        <w:rPr>
          <w:rFonts w:ascii="Arial" w:hAnsi="Arial" w:cs="Arial"/>
          <w:sz w:val="20"/>
          <w:szCs w:val="20"/>
          <w:lang w:val="en-GB"/>
        </w:rPr>
      </w:pPr>
    </w:p>
    <w:p w14:paraId="7424C2C9" w14:textId="77777777" w:rsidR="0066251D" w:rsidRPr="00853D6F" w:rsidRDefault="0066251D" w:rsidP="00853D6F">
      <w:pPr>
        <w:widowControl/>
        <w:jc w:val="both"/>
        <w:rPr>
          <w:rFonts w:ascii="Arial" w:hAnsi="Arial" w:cs="Arial"/>
          <w:b/>
          <w:sz w:val="20"/>
          <w:szCs w:val="20"/>
          <w:lang w:val="en-GB"/>
        </w:rPr>
      </w:pPr>
      <w:r w:rsidRPr="004030DB">
        <w:rPr>
          <w:rFonts w:ascii="Arial" w:hAnsi="Arial" w:cs="Arial"/>
          <w:b/>
          <w:sz w:val="20"/>
          <w:szCs w:val="20"/>
          <w:lang w:val="en-GB"/>
        </w:rPr>
        <w:t xml:space="preserve">Going Concern </w:t>
      </w:r>
    </w:p>
    <w:p w14:paraId="41519699" w14:textId="77777777" w:rsidR="0066251D" w:rsidRPr="004030DB" w:rsidRDefault="0066251D" w:rsidP="00853D6F">
      <w:pPr>
        <w:widowControl/>
        <w:jc w:val="both"/>
        <w:rPr>
          <w:rFonts w:ascii="Arial" w:hAnsi="Arial" w:cs="Arial"/>
          <w:sz w:val="20"/>
          <w:szCs w:val="20"/>
          <w:lang w:val="en-GB"/>
        </w:rPr>
      </w:pPr>
      <w:r w:rsidRPr="004030DB">
        <w:rPr>
          <w:rFonts w:ascii="Arial" w:hAnsi="Arial" w:cs="Arial"/>
          <w:sz w:val="20"/>
          <w:szCs w:val="20"/>
          <w:lang w:val="en-GB"/>
        </w:rPr>
        <w:t>The accounts have been produced on a “going concern” basis.  The Trusts going concern disclosure is detailed in the notes to the financial statements.</w:t>
      </w:r>
    </w:p>
    <w:p w14:paraId="720B55E7" w14:textId="77777777" w:rsidR="0066251D" w:rsidRPr="004030DB" w:rsidRDefault="0066251D" w:rsidP="00853D6F">
      <w:pPr>
        <w:widowControl/>
        <w:jc w:val="both"/>
        <w:rPr>
          <w:rFonts w:ascii="Arial" w:hAnsi="Arial" w:cs="Arial"/>
          <w:sz w:val="20"/>
          <w:szCs w:val="20"/>
          <w:lang w:val="en-GB"/>
        </w:rPr>
      </w:pPr>
    </w:p>
    <w:p w14:paraId="37EB7575" w14:textId="77777777" w:rsidR="005420B4" w:rsidRPr="004030DB" w:rsidRDefault="005420B4" w:rsidP="00853D6F">
      <w:pPr>
        <w:widowControl/>
        <w:jc w:val="both"/>
        <w:rPr>
          <w:rFonts w:ascii="Arial" w:hAnsi="Arial" w:cs="Arial"/>
          <w:sz w:val="20"/>
          <w:szCs w:val="20"/>
          <w:lang w:val="en-GB"/>
        </w:rPr>
      </w:pPr>
    </w:p>
    <w:p w14:paraId="5F05CAC4" w14:textId="77777777" w:rsidR="0066251D" w:rsidRPr="00853D6F" w:rsidRDefault="0066251D" w:rsidP="00853D6F">
      <w:pPr>
        <w:widowControl/>
        <w:jc w:val="both"/>
        <w:rPr>
          <w:rFonts w:ascii="Arial" w:hAnsi="Arial" w:cs="Arial"/>
          <w:b/>
          <w:sz w:val="20"/>
          <w:szCs w:val="20"/>
          <w:lang w:val="en-GB"/>
        </w:rPr>
      </w:pPr>
      <w:r w:rsidRPr="004030DB">
        <w:rPr>
          <w:rFonts w:ascii="Arial" w:hAnsi="Arial" w:cs="Arial"/>
          <w:b/>
          <w:sz w:val="20"/>
          <w:szCs w:val="20"/>
          <w:lang w:val="en-GB"/>
        </w:rPr>
        <w:t>Directors' Responsibilities</w:t>
      </w:r>
      <w:r w:rsidRPr="004030DB">
        <w:rPr>
          <w:rFonts w:ascii="Arial" w:hAnsi="Arial" w:cs="Arial"/>
          <w:b/>
          <w:color w:val="FF0000"/>
          <w:sz w:val="20"/>
          <w:szCs w:val="20"/>
          <w:lang w:val="en-GB"/>
        </w:rPr>
        <w:t xml:space="preserve"> </w:t>
      </w:r>
    </w:p>
    <w:p w14:paraId="7C40A30E" w14:textId="77777777" w:rsidR="0066251D" w:rsidRPr="004030DB" w:rsidRDefault="0066251D" w:rsidP="00853D6F">
      <w:pPr>
        <w:widowControl/>
        <w:jc w:val="both"/>
        <w:rPr>
          <w:rFonts w:ascii="Arial" w:hAnsi="Arial" w:cs="Arial"/>
          <w:sz w:val="20"/>
          <w:szCs w:val="20"/>
          <w:lang w:val="en-GB"/>
        </w:rPr>
      </w:pPr>
      <w:r w:rsidRPr="004030DB">
        <w:rPr>
          <w:rFonts w:ascii="Arial" w:hAnsi="Arial" w:cs="Arial"/>
          <w:sz w:val="20"/>
          <w:szCs w:val="20"/>
          <w:lang w:val="en-GB"/>
        </w:rPr>
        <w:t>The Directors acknowledge their responsibilities for the preparation of the financial statements.</w:t>
      </w:r>
    </w:p>
    <w:p w14:paraId="56BC58D4" w14:textId="77777777" w:rsidR="0066251D" w:rsidRPr="004030DB" w:rsidRDefault="0066251D" w:rsidP="00853D6F">
      <w:pPr>
        <w:widowControl/>
        <w:jc w:val="both"/>
        <w:rPr>
          <w:rFonts w:ascii="Arial" w:hAnsi="Arial" w:cs="Arial"/>
          <w:sz w:val="20"/>
          <w:szCs w:val="20"/>
          <w:lang w:val="en-GB"/>
        </w:rPr>
      </w:pPr>
    </w:p>
    <w:p w14:paraId="12A8A9E4" w14:textId="77777777" w:rsidR="005420B4" w:rsidRPr="004030DB" w:rsidRDefault="005420B4" w:rsidP="00853D6F">
      <w:pPr>
        <w:widowControl/>
        <w:jc w:val="both"/>
        <w:rPr>
          <w:rFonts w:ascii="Arial" w:hAnsi="Arial" w:cs="Arial"/>
          <w:sz w:val="20"/>
          <w:szCs w:val="20"/>
          <w:lang w:val="en-GB"/>
        </w:rPr>
      </w:pPr>
    </w:p>
    <w:p w14:paraId="6B8A4061" w14:textId="77777777" w:rsidR="0066251D" w:rsidRPr="00853D6F" w:rsidRDefault="0066251D" w:rsidP="00853D6F">
      <w:pPr>
        <w:widowControl/>
        <w:jc w:val="both"/>
        <w:rPr>
          <w:rFonts w:ascii="Arial" w:hAnsi="Arial" w:cs="Arial"/>
          <w:b/>
          <w:sz w:val="20"/>
          <w:szCs w:val="20"/>
          <w:lang w:val="en-GB"/>
        </w:rPr>
      </w:pPr>
      <w:r w:rsidRPr="004030DB">
        <w:rPr>
          <w:rFonts w:ascii="Arial" w:hAnsi="Arial" w:cs="Arial"/>
          <w:b/>
          <w:sz w:val="20"/>
          <w:szCs w:val="20"/>
          <w:lang w:val="en-GB"/>
        </w:rPr>
        <w:t>Safeguarding External Auditor Independence</w:t>
      </w:r>
    </w:p>
    <w:p w14:paraId="31D4BE0D" w14:textId="77777777" w:rsidR="0066251D" w:rsidRPr="004030DB" w:rsidRDefault="0066251D" w:rsidP="00853D6F">
      <w:pPr>
        <w:widowControl/>
        <w:jc w:val="both"/>
        <w:rPr>
          <w:rFonts w:ascii="Arial" w:hAnsi="Arial" w:cs="Arial"/>
          <w:sz w:val="20"/>
          <w:szCs w:val="20"/>
          <w:lang w:val="en-GB"/>
        </w:rPr>
      </w:pPr>
      <w:r w:rsidRPr="004030DB">
        <w:rPr>
          <w:rFonts w:ascii="Arial" w:hAnsi="Arial" w:cs="Arial"/>
          <w:sz w:val="20"/>
          <w:szCs w:val="20"/>
          <w:lang w:val="en-GB"/>
        </w:rPr>
        <w:t>This is detailed under the Audit and Risk Committee section.</w:t>
      </w:r>
    </w:p>
    <w:p w14:paraId="498BD974" w14:textId="77777777" w:rsidR="0066251D" w:rsidRPr="004030DB" w:rsidRDefault="0066251D" w:rsidP="00853D6F">
      <w:pPr>
        <w:widowControl/>
        <w:jc w:val="both"/>
        <w:rPr>
          <w:rFonts w:ascii="Arial" w:hAnsi="Arial" w:cs="Arial"/>
          <w:sz w:val="20"/>
          <w:szCs w:val="20"/>
          <w:lang w:val="en-GB"/>
        </w:rPr>
      </w:pPr>
      <w:bookmarkStart w:id="22" w:name="_Hlk166572660"/>
    </w:p>
    <w:p w14:paraId="15222417" w14:textId="77777777" w:rsidR="005420B4" w:rsidRPr="004030DB" w:rsidRDefault="005420B4" w:rsidP="00853D6F">
      <w:pPr>
        <w:widowControl/>
        <w:jc w:val="both"/>
        <w:rPr>
          <w:rFonts w:ascii="Arial" w:hAnsi="Arial" w:cs="Arial"/>
          <w:sz w:val="20"/>
          <w:szCs w:val="20"/>
          <w:lang w:val="en-GB"/>
        </w:rPr>
      </w:pPr>
    </w:p>
    <w:p w14:paraId="59CF3DE0" w14:textId="77777777" w:rsidR="0066251D" w:rsidRPr="00853D6F" w:rsidRDefault="0066251D" w:rsidP="00853D6F">
      <w:pPr>
        <w:widowControl/>
        <w:jc w:val="both"/>
        <w:rPr>
          <w:rFonts w:ascii="Arial" w:hAnsi="Arial" w:cs="Arial"/>
          <w:b/>
          <w:sz w:val="20"/>
          <w:szCs w:val="20"/>
          <w:lang w:val="en-GB"/>
        </w:rPr>
      </w:pPr>
      <w:bookmarkStart w:id="23" w:name="_Hlk166573332"/>
      <w:r w:rsidRPr="004030DB">
        <w:rPr>
          <w:rFonts w:ascii="Arial" w:hAnsi="Arial" w:cs="Arial"/>
          <w:b/>
          <w:sz w:val="20"/>
          <w:szCs w:val="20"/>
          <w:lang w:val="en-GB"/>
        </w:rPr>
        <w:t>Off Payroll Engagements</w:t>
      </w:r>
      <w:r w:rsidRPr="004030DB">
        <w:rPr>
          <w:rFonts w:ascii="Arial" w:hAnsi="Arial" w:cs="Arial"/>
          <w:b/>
          <w:color w:val="FF0000"/>
          <w:sz w:val="20"/>
          <w:szCs w:val="20"/>
          <w:lang w:val="en-GB"/>
        </w:rPr>
        <w:t xml:space="preserve"> </w:t>
      </w:r>
      <w:bookmarkEnd w:id="23"/>
    </w:p>
    <w:p w14:paraId="7E85AB10" w14:textId="77777777" w:rsidR="0066251D" w:rsidRPr="004030DB" w:rsidRDefault="0066251D" w:rsidP="00853D6F">
      <w:pPr>
        <w:widowControl/>
        <w:jc w:val="both"/>
        <w:rPr>
          <w:rFonts w:ascii="Arial" w:hAnsi="Arial" w:cs="Arial"/>
          <w:sz w:val="20"/>
          <w:szCs w:val="20"/>
          <w:lang w:val="en-GB"/>
        </w:rPr>
      </w:pPr>
      <w:r w:rsidRPr="004030DB">
        <w:rPr>
          <w:rFonts w:ascii="Arial" w:hAnsi="Arial" w:cs="Arial"/>
          <w:sz w:val="20"/>
          <w:szCs w:val="20"/>
          <w:lang w:val="en-GB"/>
        </w:rPr>
        <w:t xml:space="preserve">Information about off-payroll engagements can be found below.  </w:t>
      </w:r>
    </w:p>
    <w:p w14:paraId="69008C35" w14:textId="77777777" w:rsidR="0066251D" w:rsidRPr="004030DB" w:rsidRDefault="0066251D" w:rsidP="00853D6F">
      <w:pPr>
        <w:widowControl/>
        <w:jc w:val="both"/>
        <w:rPr>
          <w:rFonts w:ascii="Arial" w:hAnsi="Arial" w:cs="Arial"/>
          <w:sz w:val="20"/>
          <w:szCs w:val="20"/>
          <w:lang w:val="en-GB"/>
        </w:rPr>
      </w:pPr>
    </w:p>
    <w:p w14:paraId="550FAFC9" w14:textId="77777777" w:rsidR="005420B4" w:rsidRPr="004030DB" w:rsidRDefault="005420B4" w:rsidP="00853D6F">
      <w:pPr>
        <w:widowControl/>
        <w:jc w:val="both"/>
        <w:rPr>
          <w:rFonts w:ascii="Arial" w:hAnsi="Arial" w:cs="Arial"/>
          <w:sz w:val="20"/>
          <w:szCs w:val="20"/>
          <w:lang w:val="en-GB"/>
        </w:rPr>
      </w:pPr>
    </w:p>
    <w:bookmarkEnd w:id="22"/>
    <w:p w14:paraId="55D78663" w14:textId="77777777" w:rsidR="0066251D" w:rsidRPr="00853D6F" w:rsidRDefault="0066251D" w:rsidP="00853D6F">
      <w:pPr>
        <w:widowControl/>
        <w:jc w:val="both"/>
        <w:rPr>
          <w:rFonts w:ascii="Arial" w:hAnsi="Arial" w:cs="Arial"/>
          <w:b/>
          <w:sz w:val="20"/>
          <w:szCs w:val="20"/>
          <w:lang w:val="en-GB"/>
        </w:rPr>
      </w:pPr>
      <w:r w:rsidRPr="004030DB">
        <w:rPr>
          <w:rFonts w:ascii="Arial" w:hAnsi="Arial" w:cs="Arial"/>
          <w:b/>
          <w:sz w:val="20"/>
          <w:szCs w:val="20"/>
          <w:lang w:val="en-GB"/>
        </w:rPr>
        <w:t>Transactions with Related Parties</w:t>
      </w:r>
    </w:p>
    <w:p w14:paraId="484B7209" w14:textId="77777777" w:rsidR="0066251D" w:rsidRPr="004030DB" w:rsidRDefault="0066251D" w:rsidP="00853D6F">
      <w:pPr>
        <w:widowControl/>
        <w:jc w:val="both"/>
        <w:rPr>
          <w:rFonts w:ascii="Arial" w:hAnsi="Arial" w:cs="Arial"/>
          <w:sz w:val="20"/>
          <w:szCs w:val="20"/>
          <w:lang w:val="en-GB"/>
        </w:rPr>
      </w:pPr>
      <w:r w:rsidRPr="004030DB">
        <w:rPr>
          <w:rFonts w:ascii="Arial" w:hAnsi="Arial" w:cs="Arial"/>
          <w:sz w:val="20"/>
          <w:szCs w:val="20"/>
          <w:lang w:val="en-GB"/>
        </w:rPr>
        <w:t>Transactions with third parties are presented in the accounts.  None of the other Board members, the Foundation Trust's governors, or parties related to them have undertaken material transactions with the Trust.</w:t>
      </w:r>
    </w:p>
    <w:p w14:paraId="11629698" w14:textId="77777777" w:rsidR="0066251D" w:rsidRPr="004030DB" w:rsidRDefault="0066251D" w:rsidP="00853D6F">
      <w:pPr>
        <w:widowControl/>
        <w:jc w:val="both"/>
        <w:rPr>
          <w:rFonts w:ascii="Arial" w:hAnsi="Arial" w:cs="Arial"/>
          <w:sz w:val="20"/>
          <w:szCs w:val="20"/>
          <w:lang w:val="en-GB"/>
        </w:rPr>
      </w:pPr>
    </w:p>
    <w:p w14:paraId="0E37F819" w14:textId="77777777" w:rsidR="005420B4" w:rsidRPr="004030DB" w:rsidRDefault="005420B4" w:rsidP="00853D6F">
      <w:pPr>
        <w:widowControl/>
        <w:jc w:val="both"/>
        <w:rPr>
          <w:rFonts w:ascii="Arial" w:hAnsi="Arial" w:cs="Arial"/>
          <w:sz w:val="20"/>
          <w:szCs w:val="20"/>
          <w:lang w:val="en-GB"/>
        </w:rPr>
      </w:pPr>
    </w:p>
    <w:p w14:paraId="14359760" w14:textId="77777777" w:rsidR="0066251D" w:rsidRPr="00853D6F" w:rsidRDefault="0066251D" w:rsidP="00853D6F">
      <w:pPr>
        <w:widowControl/>
        <w:jc w:val="both"/>
        <w:rPr>
          <w:rFonts w:ascii="Arial" w:hAnsi="Arial" w:cs="Arial"/>
          <w:b/>
          <w:sz w:val="20"/>
          <w:szCs w:val="20"/>
          <w:lang w:val="en-GB"/>
        </w:rPr>
      </w:pPr>
      <w:r w:rsidRPr="004030DB">
        <w:rPr>
          <w:rFonts w:ascii="Arial" w:hAnsi="Arial" w:cs="Arial"/>
          <w:b/>
          <w:sz w:val="20"/>
          <w:szCs w:val="20"/>
          <w:lang w:val="en-GB"/>
        </w:rPr>
        <w:t>Political Donations</w:t>
      </w:r>
      <w:r w:rsidRPr="004030DB">
        <w:rPr>
          <w:rFonts w:ascii="Arial" w:hAnsi="Arial" w:cs="Arial"/>
          <w:b/>
          <w:color w:val="FF0000"/>
          <w:sz w:val="20"/>
          <w:szCs w:val="20"/>
          <w:lang w:val="en-GB"/>
        </w:rPr>
        <w:t xml:space="preserve"> </w:t>
      </w:r>
    </w:p>
    <w:p w14:paraId="66FCEB81" w14:textId="77777777" w:rsidR="0066251D" w:rsidRPr="004030DB" w:rsidRDefault="0066251D" w:rsidP="00853D6F">
      <w:pPr>
        <w:widowControl/>
        <w:jc w:val="both"/>
        <w:rPr>
          <w:rFonts w:ascii="Arial" w:hAnsi="Arial" w:cs="Arial"/>
          <w:sz w:val="20"/>
          <w:szCs w:val="20"/>
          <w:lang w:val="en-GB"/>
        </w:rPr>
      </w:pPr>
      <w:r w:rsidRPr="004030DB">
        <w:rPr>
          <w:rFonts w:ascii="Arial" w:hAnsi="Arial" w:cs="Arial"/>
          <w:sz w:val="20"/>
          <w:szCs w:val="20"/>
          <w:lang w:val="en-GB"/>
        </w:rPr>
        <w:t>There are no political donations to disclose during the 202</w:t>
      </w:r>
      <w:r w:rsidR="005420B4" w:rsidRPr="004030DB">
        <w:rPr>
          <w:rFonts w:ascii="Arial" w:hAnsi="Arial" w:cs="Arial"/>
          <w:sz w:val="20"/>
          <w:szCs w:val="20"/>
          <w:lang w:val="en-GB"/>
        </w:rPr>
        <w:t>4</w:t>
      </w:r>
      <w:r w:rsidRPr="004030DB">
        <w:rPr>
          <w:rFonts w:ascii="Arial" w:hAnsi="Arial" w:cs="Arial"/>
          <w:sz w:val="20"/>
          <w:szCs w:val="20"/>
          <w:lang w:val="en-GB"/>
        </w:rPr>
        <w:t>/2</w:t>
      </w:r>
      <w:r w:rsidR="005420B4" w:rsidRPr="004030DB">
        <w:rPr>
          <w:rFonts w:ascii="Arial" w:hAnsi="Arial" w:cs="Arial"/>
          <w:sz w:val="20"/>
          <w:szCs w:val="20"/>
          <w:lang w:val="en-GB"/>
        </w:rPr>
        <w:t>5</w:t>
      </w:r>
      <w:r w:rsidRPr="004030DB">
        <w:rPr>
          <w:rFonts w:ascii="Arial" w:hAnsi="Arial" w:cs="Arial"/>
          <w:sz w:val="20"/>
          <w:szCs w:val="20"/>
          <w:lang w:val="en-GB"/>
        </w:rPr>
        <w:t xml:space="preserve"> financial year (202</w:t>
      </w:r>
      <w:r w:rsidR="005420B4" w:rsidRPr="004030DB">
        <w:rPr>
          <w:rFonts w:ascii="Arial" w:hAnsi="Arial" w:cs="Arial"/>
          <w:sz w:val="20"/>
          <w:szCs w:val="20"/>
          <w:lang w:val="en-GB"/>
        </w:rPr>
        <w:t>3</w:t>
      </w:r>
      <w:r w:rsidRPr="004030DB">
        <w:rPr>
          <w:rFonts w:ascii="Arial" w:hAnsi="Arial" w:cs="Arial"/>
          <w:sz w:val="20"/>
          <w:szCs w:val="20"/>
          <w:lang w:val="en-GB"/>
        </w:rPr>
        <w:t>/2</w:t>
      </w:r>
      <w:r w:rsidR="005420B4" w:rsidRPr="004030DB">
        <w:rPr>
          <w:rFonts w:ascii="Arial" w:hAnsi="Arial" w:cs="Arial"/>
          <w:sz w:val="20"/>
          <w:szCs w:val="20"/>
          <w:lang w:val="en-GB"/>
        </w:rPr>
        <w:t>4</w:t>
      </w:r>
      <w:r w:rsidRPr="004030DB">
        <w:rPr>
          <w:rFonts w:ascii="Arial" w:hAnsi="Arial" w:cs="Arial"/>
          <w:sz w:val="20"/>
          <w:szCs w:val="20"/>
          <w:lang w:val="en-GB"/>
        </w:rPr>
        <w:t>: none).</w:t>
      </w:r>
    </w:p>
    <w:p w14:paraId="0FE3A575" w14:textId="77777777" w:rsidR="0066251D" w:rsidRDefault="0066251D" w:rsidP="00853D6F">
      <w:pPr>
        <w:widowControl/>
        <w:jc w:val="both"/>
        <w:rPr>
          <w:rFonts w:ascii="Arial" w:hAnsi="Arial" w:cs="Arial"/>
          <w:sz w:val="20"/>
          <w:szCs w:val="20"/>
          <w:lang w:val="en-GB"/>
        </w:rPr>
      </w:pPr>
    </w:p>
    <w:p w14:paraId="2B4F3B11" w14:textId="77777777" w:rsidR="00853D6F" w:rsidRDefault="00853D6F" w:rsidP="00853D6F">
      <w:pPr>
        <w:widowControl/>
        <w:jc w:val="both"/>
        <w:rPr>
          <w:rFonts w:ascii="Arial" w:hAnsi="Arial" w:cs="Arial"/>
          <w:sz w:val="20"/>
          <w:szCs w:val="20"/>
          <w:lang w:val="en-GB"/>
        </w:rPr>
      </w:pPr>
    </w:p>
    <w:p w14:paraId="1999D28B" w14:textId="77777777" w:rsidR="00D86D40" w:rsidRPr="004030DB" w:rsidRDefault="00D86D40" w:rsidP="00853D6F">
      <w:pPr>
        <w:widowControl/>
        <w:jc w:val="both"/>
        <w:rPr>
          <w:rFonts w:ascii="Arial" w:hAnsi="Arial" w:cs="Arial"/>
          <w:sz w:val="20"/>
          <w:szCs w:val="20"/>
          <w:lang w:val="en-GB"/>
        </w:rPr>
      </w:pPr>
      <w:r w:rsidRPr="004030DB">
        <w:rPr>
          <w:rFonts w:ascii="Arial" w:hAnsi="Arial" w:cs="Arial"/>
          <w:b/>
          <w:sz w:val="20"/>
          <w:szCs w:val="20"/>
          <w:lang w:val="en-GB"/>
        </w:rPr>
        <w:t>Statement on Better Payment Practice Code</w:t>
      </w:r>
      <w:r w:rsidRPr="004030DB">
        <w:rPr>
          <w:rFonts w:ascii="Arial" w:hAnsi="Arial" w:cs="Arial"/>
          <w:b/>
          <w:color w:val="FF0000"/>
          <w:sz w:val="20"/>
          <w:szCs w:val="20"/>
          <w:lang w:val="en-GB"/>
        </w:rPr>
        <w:t xml:space="preserve"> </w:t>
      </w:r>
    </w:p>
    <w:p w14:paraId="3D2EF065" w14:textId="77777777" w:rsidR="00D86D40" w:rsidRPr="004030DB" w:rsidRDefault="00D86D40" w:rsidP="00853D6F">
      <w:pPr>
        <w:widowControl/>
        <w:jc w:val="both"/>
        <w:rPr>
          <w:rFonts w:ascii="Arial" w:hAnsi="Arial" w:cs="Arial"/>
          <w:sz w:val="20"/>
          <w:szCs w:val="20"/>
          <w:lang w:val="en-GB"/>
        </w:rPr>
      </w:pPr>
      <w:r w:rsidRPr="004030DB">
        <w:rPr>
          <w:rFonts w:ascii="Arial" w:hAnsi="Arial" w:cs="Arial"/>
          <w:sz w:val="20"/>
          <w:szCs w:val="20"/>
          <w:lang w:val="en-GB"/>
        </w:rPr>
        <w:t>The Better Payment Practice Code requires the Trust to aim to pay all valid invoices by the due date or within 30 days of receipt of a valid invoice, whichever is later.  The Trust’s performance is set out in the table below:</w:t>
      </w:r>
    </w:p>
    <w:p w14:paraId="4CC91A9F" w14:textId="77777777" w:rsidR="00D86D40" w:rsidRPr="004030DB" w:rsidRDefault="00D86D40" w:rsidP="00853D6F">
      <w:pPr>
        <w:widowControl/>
        <w:jc w:val="both"/>
        <w:rPr>
          <w:rFonts w:ascii="Arial" w:hAnsi="Arial" w:cs="Arial"/>
          <w:sz w:val="20"/>
          <w:szCs w:val="20"/>
          <w:lang w:val="en-GB"/>
        </w:rPr>
      </w:pPr>
      <w:r w:rsidRPr="004030DB">
        <w:rPr>
          <w:rFonts w:ascii="Arial" w:hAnsi="Arial" w:cs="Arial"/>
          <w:sz w:val="20"/>
          <w:szCs w:val="20"/>
          <w:lang w:val="en-GB"/>
        </w:rPr>
        <w:t xml:space="preserve"> </w:t>
      </w:r>
    </w:p>
    <w:p w14:paraId="5A0F2DFC" w14:textId="77777777" w:rsidR="00D86D40" w:rsidRPr="004030DB" w:rsidRDefault="00D86D40" w:rsidP="00853D6F">
      <w:pPr>
        <w:widowControl/>
        <w:jc w:val="both"/>
        <w:rPr>
          <w:rFonts w:ascii="Arial" w:hAnsi="Arial" w:cs="Arial"/>
          <w:sz w:val="20"/>
          <w:szCs w:val="20"/>
          <w:lang w:val="en-GB"/>
        </w:rPr>
      </w:pPr>
      <w:r w:rsidRPr="004030DB">
        <w:rPr>
          <w:sz w:val="20"/>
          <w:szCs w:val="20"/>
        </w:rPr>
        <w:t xml:space="preserve">         </w:t>
      </w:r>
      <w:r w:rsidRPr="004030DB">
        <w:rPr>
          <w:noProof/>
          <w:sz w:val="20"/>
          <w:szCs w:val="20"/>
        </w:rPr>
        <w:drawing>
          <wp:inline distT="0" distB="0" distL="0" distR="0" wp14:anchorId="05396383" wp14:editId="05AB5B0E">
            <wp:extent cx="5738495" cy="2071370"/>
            <wp:effectExtent l="0" t="0" r="0" b="5080"/>
            <wp:docPr id="7" name="Picture 7" descr="Inthis image the Trust’s performance is set out in the table.  It lists Non-NHS Payables and NHS Payables.  If the reader would like an audio version detailing the content then they can contact the Tru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8495" cy="2071370"/>
                    </a:xfrm>
                    <a:prstGeom prst="rect">
                      <a:avLst/>
                    </a:prstGeom>
                    <a:noFill/>
                    <a:ln>
                      <a:noFill/>
                    </a:ln>
                  </pic:spPr>
                </pic:pic>
              </a:graphicData>
            </a:graphic>
          </wp:inline>
        </w:drawing>
      </w:r>
    </w:p>
    <w:p w14:paraId="13640FCA" w14:textId="77777777" w:rsidR="0066251D" w:rsidRPr="004030DB" w:rsidRDefault="0066251D" w:rsidP="00853D6F">
      <w:pPr>
        <w:widowControl/>
        <w:jc w:val="both"/>
        <w:rPr>
          <w:rFonts w:ascii="Arial" w:hAnsi="Arial" w:cs="Arial"/>
          <w:b/>
          <w:sz w:val="20"/>
          <w:szCs w:val="20"/>
          <w:lang w:val="en-GB"/>
        </w:rPr>
      </w:pPr>
      <w:r w:rsidRPr="004030DB">
        <w:rPr>
          <w:rFonts w:ascii="Arial" w:hAnsi="Arial" w:cs="Arial"/>
          <w:b/>
          <w:sz w:val="20"/>
          <w:szCs w:val="20"/>
          <w:lang w:val="en-GB"/>
        </w:rPr>
        <w:lastRenderedPageBreak/>
        <w:t>Fees and Charges (Income Generation)</w:t>
      </w:r>
    </w:p>
    <w:p w14:paraId="00BE79CD" w14:textId="77777777" w:rsidR="0066251D" w:rsidRPr="004030DB" w:rsidRDefault="0066251D" w:rsidP="00853D6F">
      <w:pPr>
        <w:widowControl/>
        <w:jc w:val="both"/>
        <w:rPr>
          <w:rFonts w:ascii="Arial" w:hAnsi="Arial" w:cs="Arial"/>
          <w:sz w:val="20"/>
          <w:szCs w:val="20"/>
          <w:lang w:val="en-GB"/>
        </w:rPr>
      </w:pPr>
      <w:r w:rsidRPr="004030DB">
        <w:rPr>
          <w:rFonts w:ascii="Arial" w:hAnsi="Arial" w:cs="Arial"/>
          <w:sz w:val="20"/>
          <w:szCs w:val="20"/>
          <w:lang w:val="en-GB"/>
        </w:rPr>
        <w:t>Please refer to the Annual Accounts.</w:t>
      </w:r>
    </w:p>
    <w:p w14:paraId="2653508A" w14:textId="77777777" w:rsidR="00D86D40" w:rsidRPr="004030DB" w:rsidRDefault="00D86D40" w:rsidP="00853D6F">
      <w:pPr>
        <w:widowControl/>
        <w:jc w:val="both"/>
        <w:rPr>
          <w:rFonts w:ascii="Arial" w:hAnsi="Arial" w:cs="Arial"/>
          <w:sz w:val="20"/>
          <w:szCs w:val="20"/>
          <w:lang w:val="en-GB"/>
        </w:rPr>
      </w:pPr>
    </w:p>
    <w:p w14:paraId="65459845" w14:textId="77777777" w:rsidR="0066251D" w:rsidRPr="004030DB" w:rsidRDefault="0066251D" w:rsidP="00853D6F">
      <w:pPr>
        <w:widowControl/>
        <w:jc w:val="both"/>
        <w:rPr>
          <w:rFonts w:ascii="Arial" w:hAnsi="Arial" w:cs="Arial"/>
          <w:sz w:val="20"/>
          <w:szCs w:val="20"/>
          <w:lang w:val="en-GB"/>
        </w:rPr>
      </w:pPr>
    </w:p>
    <w:p w14:paraId="39EF881D" w14:textId="77777777" w:rsidR="0066251D" w:rsidRPr="004030DB" w:rsidRDefault="0066251D" w:rsidP="00853D6F">
      <w:pPr>
        <w:widowControl/>
        <w:jc w:val="both"/>
        <w:rPr>
          <w:rFonts w:ascii="Arial" w:hAnsi="Arial" w:cs="Arial"/>
          <w:b/>
          <w:sz w:val="20"/>
          <w:szCs w:val="20"/>
          <w:lang w:val="en-GB"/>
        </w:rPr>
      </w:pPr>
      <w:r w:rsidRPr="004030DB">
        <w:rPr>
          <w:rFonts w:ascii="Arial" w:hAnsi="Arial" w:cs="Arial"/>
          <w:b/>
          <w:sz w:val="20"/>
          <w:szCs w:val="20"/>
          <w:lang w:val="en-GB"/>
        </w:rPr>
        <w:t xml:space="preserve">Income Disclosures Required by Section 43 of the NHS Act 2006 </w:t>
      </w:r>
    </w:p>
    <w:p w14:paraId="3545980D" w14:textId="77777777" w:rsidR="0066251D" w:rsidRPr="004030DB" w:rsidRDefault="0066251D" w:rsidP="00853D6F">
      <w:pPr>
        <w:widowControl/>
        <w:jc w:val="both"/>
        <w:rPr>
          <w:rFonts w:ascii="Arial" w:hAnsi="Arial" w:cs="Arial"/>
          <w:sz w:val="20"/>
          <w:szCs w:val="20"/>
          <w:lang w:val="en-GB"/>
        </w:rPr>
      </w:pPr>
      <w:r w:rsidRPr="004030DB">
        <w:rPr>
          <w:rFonts w:ascii="Arial" w:hAnsi="Arial" w:cs="Arial"/>
          <w:sz w:val="20"/>
          <w:szCs w:val="20"/>
          <w:lang w:val="en-GB"/>
        </w:rPr>
        <w:t>The Trust met the requirement in section 43(2A) of the National Health Service Act 2006 (as amended by the Health and Social Care Act 2012), which requires that the income from the provision of goods and services for the purposes of the health service in England must be greater than its income from the provision of goods and services for any other purposes.</w:t>
      </w:r>
      <w:r w:rsidR="00D86D40" w:rsidRPr="004030DB">
        <w:rPr>
          <w:rFonts w:ascii="Arial" w:hAnsi="Arial" w:cs="Arial"/>
          <w:sz w:val="20"/>
          <w:szCs w:val="20"/>
          <w:lang w:val="en-GB"/>
        </w:rPr>
        <w:t xml:space="preserve">  </w:t>
      </w:r>
      <w:r w:rsidRPr="004030DB">
        <w:rPr>
          <w:rFonts w:ascii="Arial" w:hAnsi="Arial" w:cs="Arial"/>
          <w:sz w:val="20"/>
          <w:szCs w:val="20"/>
          <w:lang w:val="en-GB"/>
        </w:rPr>
        <w:t xml:space="preserve">The bulk of </w:t>
      </w:r>
      <w:r w:rsidR="002A6DA2" w:rsidRPr="004030DB">
        <w:rPr>
          <w:rFonts w:ascii="Arial" w:hAnsi="Arial" w:cs="Arial"/>
          <w:sz w:val="20"/>
          <w:szCs w:val="20"/>
          <w:lang w:val="en-GB"/>
        </w:rPr>
        <w:t>the</w:t>
      </w:r>
      <w:r w:rsidRPr="004030DB">
        <w:rPr>
          <w:rFonts w:ascii="Arial" w:hAnsi="Arial" w:cs="Arial"/>
          <w:sz w:val="20"/>
          <w:szCs w:val="20"/>
          <w:lang w:val="en-GB"/>
        </w:rPr>
        <w:t xml:space="preserve"> income is clinical income and it is unlikely that ‘other income’ will exceed clinical income for any reporting period.</w:t>
      </w:r>
    </w:p>
    <w:p w14:paraId="49E70A8E" w14:textId="77777777" w:rsidR="004C193B" w:rsidRPr="004030DB" w:rsidRDefault="004C193B" w:rsidP="00853D6F">
      <w:pPr>
        <w:widowControl/>
        <w:jc w:val="both"/>
        <w:rPr>
          <w:rFonts w:ascii="Arial" w:hAnsi="Arial" w:cs="Arial"/>
          <w:sz w:val="20"/>
          <w:szCs w:val="20"/>
          <w:lang w:val="en-GB"/>
        </w:rPr>
      </w:pPr>
    </w:p>
    <w:p w14:paraId="3F8CCFA3" w14:textId="77777777" w:rsidR="003562E5" w:rsidRDefault="003562E5" w:rsidP="00853D6F">
      <w:pPr>
        <w:widowControl/>
        <w:jc w:val="both"/>
        <w:rPr>
          <w:rFonts w:ascii="Arial" w:hAnsi="Arial" w:cs="Arial"/>
          <w:sz w:val="20"/>
          <w:szCs w:val="20"/>
          <w:lang w:val="en-GB"/>
        </w:rPr>
      </w:pPr>
    </w:p>
    <w:p w14:paraId="18068931" w14:textId="77777777" w:rsidR="00D86D40" w:rsidRPr="004030DB" w:rsidRDefault="00D86D40" w:rsidP="00853D6F">
      <w:pPr>
        <w:jc w:val="both"/>
        <w:rPr>
          <w:rFonts w:ascii="Arial" w:hAnsi="Arial" w:cs="Arial"/>
          <w:sz w:val="20"/>
          <w:szCs w:val="20"/>
          <w:highlight w:val="yellow"/>
          <w:lang w:val="en-GB"/>
        </w:rPr>
      </w:pPr>
      <w:bookmarkStart w:id="24" w:name="_Hlk164772987"/>
      <w:r w:rsidRPr="004030DB">
        <w:rPr>
          <w:rFonts w:ascii="Arial" w:hAnsi="Arial" w:cs="Arial"/>
          <w:b/>
          <w:sz w:val="20"/>
          <w:szCs w:val="20"/>
          <w:lang w:val="en-GB"/>
        </w:rPr>
        <w:t>NHS England Well-Led Framework</w:t>
      </w:r>
      <w:r w:rsidRPr="004030DB">
        <w:rPr>
          <w:rFonts w:ascii="Arial" w:hAnsi="Arial" w:cs="Arial"/>
          <w:b/>
          <w:color w:val="FF0000"/>
          <w:sz w:val="20"/>
          <w:szCs w:val="20"/>
          <w:lang w:val="en-GB"/>
        </w:rPr>
        <w:t xml:space="preserve"> </w:t>
      </w:r>
    </w:p>
    <w:p w14:paraId="4DC9E2A2" w14:textId="77777777" w:rsidR="00D86D40" w:rsidRPr="004030DB" w:rsidRDefault="00D86D40" w:rsidP="00853D6F">
      <w:pPr>
        <w:jc w:val="both"/>
        <w:rPr>
          <w:rFonts w:ascii="Arial" w:hAnsi="Arial" w:cs="Arial"/>
          <w:sz w:val="20"/>
          <w:szCs w:val="20"/>
          <w:lang w:val="en-GB"/>
        </w:rPr>
      </w:pPr>
      <w:r w:rsidRPr="004030DB">
        <w:rPr>
          <w:rFonts w:ascii="Arial" w:hAnsi="Arial" w:cs="Arial"/>
          <w:sz w:val="20"/>
          <w:szCs w:val="20"/>
          <w:lang w:val="en-GB"/>
        </w:rPr>
        <w:t xml:space="preserve">The CQC Well Led inspections involve an assessment of: </w:t>
      </w:r>
    </w:p>
    <w:p w14:paraId="550845C7" w14:textId="77777777" w:rsidR="00D86D40" w:rsidRPr="004030DB" w:rsidRDefault="00D86D40" w:rsidP="00853D6F">
      <w:pPr>
        <w:pStyle w:val="ListParagraph"/>
        <w:numPr>
          <w:ilvl w:val="0"/>
          <w:numId w:val="5"/>
        </w:numPr>
        <w:ind w:left="426"/>
        <w:jc w:val="both"/>
        <w:rPr>
          <w:rFonts w:ascii="Arial" w:hAnsi="Arial" w:cs="Arial"/>
          <w:sz w:val="20"/>
          <w:szCs w:val="20"/>
          <w:lang w:val="en-GB"/>
        </w:rPr>
      </w:pPr>
      <w:r w:rsidRPr="004030DB">
        <w:rPr>
          <w:rFonts w:ascii="Arial" w:hAnsi="Arial" w:cs="Arial"/>
          <w:sz w:val="20"/>
          <w:szCs w:val="20"/>
          <w:lang w:val="en-GB"/>
        </w:rPr>
        <w:t xml:space="preserve">The leadership and governance at Trust Board and Executive Team level. </w:t>
      </w:r>
    </w:p>
    <w:p w14:paraId="3969D6D5" w14:textId="77777777" w:rsidR="00D86D40" w:rsidRPr="004030DB" w:rsidRDefault="00D86D40" w:rsidP="00853D6F">
      <w:pPr>
        <w:pStyle w:val="ListParagraph"/>
        <w:numPr>
          <w:ilvl w:val="0"/>
          <w:numId w:val="5"/>
        </w:numPr>
        <w:ind w:left="426"/>
        <w:jc w:val="both"/>
        <w:rPr>
          <w:rFonts w:ascii="Arial" w:hAnsi="Arial" w:cs="Arial"/>
          <w:sz w:val="20"/>
          <w:szCs w:val="20"/>
          <w:lang w:val="en-GB"/>
        </w:rPr>
      </w:pPr>
      <w:r w:rsidRPr="004030DB">
        <w:rPr>
          <w:rFonts w:ascii="Arial" w:hAnsi="Arial" w:cs="Arial"/>
          <w:sz w:val="20"/>
          <w:szCs w:val="20"/>
          <w:lang w:val="en-GB"/>
        </w:rPr>
        <w:t xml:space="preserve">The overall organisational vision and strategy. </w:t>
      </w:r>
    </w:p>
    <w:p w14:paraId="2C6386AB" w14:textId="77777777" w:rsidR="00D86D40" w:rsidRPr="004030DB" w:rsidRDefault="00D86D40" w:rsidP="00853D6F">
      <w:pPr>
        <w:pStyle w:val="ListParagraph"/>
        <w:numPr>
          <w:ilvl w:val="0"/>
          <w:numId w:val="5"/>
        </w:numPr>
        <w:ind w:left="426"/>
        <w:jc w:val="both"/>
        <w:rPr>
          <w:rFonts w:ascii="Arial" w:hAnsi="Arial" w:cs="Arial"/>
          <w:sz w:val="20"/>
          <w:szCs w:val="20"/>
          <w:lang w:val="en-GB"/>
        </w:rPr>
      </w:pPr>
      <w:r w:rsidRPr="004030DB">
        <w:rPr>
          <w:rFonts w:ascii="Arial" w:hAnsi="Arial" w:cs="Arial"/>
          <w:sz w:val="20"/>
          <w:szCs w:val="20"/>
          <w:lang w:val="en-GB"/>
        </w:rPr>
        <w:t>Organisation-wide governance, management, improvement.</w:t>
      </w:r>
    </w:p>
    <w:p w14:paraId="01320712" w14:textId="77777777" w:rsidR="00D86D40" w:rsidRPr="004030DB" w:rsidRDefault="00D86D40" w:rsidP="00853D6F">
      <w:pPr>
        <w:pStyle w:val="ListParagraph"/>
        <w:numPr>
          <w:ilvl w:val="0"/>
          <w:numId w:val="5"/>
        </w:numPr>
        <w:ind w:left="426"/>
        <w:jc w:val="both"/>
        <w:rPr>
          <w:rFonts w:ascii="Arial" w:hAnsi="Arial" w:cs="Arial"/>
          <w:sz w:val="20"/>
          <w:szCs w:val="20"/>
          <w:lang w:val="en-GB"/>
        </w:rPr>
      </w:pPr>
      <w:r w:rsidRPr="004030DB">
        <w:rPr>
          <w:rFonts w:ascii="Arial" w:hAnsi="Arial" w:cs="Arial"/>
          <w:sz w:val="20"/>
          <w:szCs w:val="20"/>
          <w:lang w:val="en-GB"/>
        </w:rPr>
        <w:t xml:space="preserve">Organisational culture and levels of engagement. </w:t>
      </w:r>
    </w:p>
    <w:p w14:paraId="7745F2CF" w14:textId="77777777" w:rsidR="00D86D40" w:rsidRPr="004030DB" w:rsidRDefault="00D86D40" w:rsidP="00853D6F">
      <w:pPr>
        <w:jc w:val="both"/>
        <w:rPr>
          <w:rFonts w:ascii="Arial" w:hAnsi="Arial" w:cs="Arial"/>
          <w:sz w:val="20"/>
          <w:szCs w:val="20"/>
          <w:lang w:val="en-GB"/>
        </w:rPr>
      </w:pPr>
    </w:p>
    <w:p w14:paraId="5180F506" w14:textId="77777777" w:rsidR="00D86D40" w:rsidRPr="004030DB" w:rsidRDefault="00D86D40" w:rsidP="00853D6F">
      <w:pPr>
        <w:jc w:val="both"/>
        <w:rPr>
          <w:rFonts w:ascii="Arial" w:hAnsi="Arial" w:cs="Arial"/>
          <w:sz w:val="20"/>
          <w:szCs w:val="20"/>
          <w:lang w:val="en-GB"/>
        </w:rPr>
      </w:pPr>
      <w:r w:rsidRPr="004030DB">
        <w:rPr>
          <w:rFonts w:ascii="Arial" w:hAnsi="Arial" w:cs="Arial"/>
          <w:sz w:val="20"/>
          <w:szCs w:val="20"/>
          <w:lang w:val="en-GB"/>
        </w:rPr>
        <w:t xml:space="preserve">This draws on the CQC’s wider knowledge of quality in the Trust at all levels.  Along with the implementation of Patient First, this methodology has formed the basis of the Board Development Annual Work Plan in 2024/25 and the development programme for Executive Directors.   </w:t>
      </w:r>
    </w:p>
    <w:p w14:paraId="5B44B5EE" w14:textId="77777777" w:rsidR="00D86D40" w:rsidRPr="004030DB" w:rsidRDefault="00D86D40" w:rsidP="00853D6F">
      <w:pPr>
        <w:jc w:val="both"/>
        <w:rPr>
          <w:rFonts w:ascii="Arial" w:hAnsi="Arial" w:cs="Arial"/>
          <w:b/>
          <w:color w:val="FF0000"/>
          <w:sz w:val="20"/>
          <w:szCs w:val="20"/>
          <w:lang w:val="en-GB"/>
        </w:rPr>
      </w:pPr>
    </w:p>
    <w:p w14:paraId="760441A0" w14:textId="77777777" w:rsidR="00D86D40" w:rsidRPr="004030DB" w:rsidRDefault="00D86D40" w:rsidP="00853D6F">
      <w:pPr>
        <w:jc w:val="both"/>
        <w:rPr>
          <w:rFonts w:ascii="Arial" w:hAnsi="Arial" w:cs="Arial"/>
          <w:sz w:val="20"/>
          <w:szCs w:val="20"/>
          <w:lang w:val="en-GB"/>
        </w:rPr>
      </w:pPr>
      <w:r w:rsidRPr="004030DB">
        <w:rPr>
          <w:rFonts w:ascii="Arial" w:hAnsi="Arial" w:cs="Arial"/>
          <w:sz w:val="20"/>
          <w:szCs w:val="20"/>
          <w:lang w:val="en-GB"/>
        </w:rPr>
        <w:t xml:space="preserve">The CQC conducted an unannounced assessment of the Emergency Department on 21 February 2024, with the findings of the assessment expected in March 2025.  </w:t>
      </w:r>
    </w:p>
    <w:p w14:paraId="1C5692FC" w14:textId="77777777" w:rsidR="00D86D40" w:rsidRPr="004030DB" w:rsidRDefault="00D86D40" w:rsidP="00853D6F">
      <w:pPr>
        <w:jc w:val="both"/>
        <w:rPr>
          <w:rFonts w:ascii="Arial" w:hAnsi="Arial" w:cs="Arial"/>
          <w:sz w:val="20"/>
          <w:szCs w:val="20"/>
          <w:lang w:val="en-GB"/>
        </w:rPr>
      </w:pPr>
    </w:p>
    <w:p w14:paraId="40518AC3" w14:textId="77777777" w:rsidR="00D86D40" w:rsidRPr="004030DB" w:rsidRDefault="00D86D40" w:rsidP="00853D6F">
      <w:pPr>
        <w:jc w:val="both"/>
        <w:rPr>
          <w:rFonts w:ascii="Arial" w:hAnsi="Arial" w:cs="Arial"/>
          <w:sz w:val="20"/>
          <w:szCs w:val="20"/>
          <w:lang w:val="en-GB"/>
        </w:rPr>
      </w:pPr>
      <w:r w:rsidRPr="004030DB">
        <w:rPr>
          <w:rFonts w:ascii="Arial" w:hAnsi="Arial" w:cs="Arial"/>
          <w:sz w:val="20"/>
          <w:szCs w:val="20"/>
          <w:lang w:val="en-GB"/>
        </w:rPr>
        <w:t>The Trust has arrangements in place to ensure that services are well-led; this information is discussed in more detail in the Annual Governance Statement section within this annual report.  The section summarises:</w:t>
      </w:r>
    </w:p>
    <w:p w14:paraId="1345440B" w14:textId="77777777" w:rsidR="00D86D40" w:rsidRPr="004030DB" w:rsidRDefault="00D86D40" w:rsidP="00E00F90">
      <w:pPr>
        <w:pStyle w:val="ListParagraph"/>
        <w:numPr>
          <w:ilvl w:val="0"/>
          <w:numId w:val="23"/>
        </w:numPr>
        <w:ind w:left="360"/>
        <w:jc w:val="both"/>
        <w:rPr>
          <w:rFonts w:ascii="Arial" w:hAnsi="Arial" w:cs="Arial"/>
          <w:sz w:val="20"/>
          <w:szCs w:val="20"/>
          <w:lang w:val="en-GB"/>
        </w:rPr>
      </w:pPr>
      <w:r w:rsidRPr="004030DB">
        <w:rPr>
          <w:rFonts w:ascii="Arial" w:hAnsi="Arial" w:cs="Arial"/>
          <w:sz w:val="20"/>
          <w:szCs w:val="20"/>
          <w:lang w:val="en-GB"/>
        </w:rPr>
        <w:t xml:space="preserve">The well-led framework and the overall evaluation of the organisation’s performance, internal controls and board assurance framework and a summary of action plans that give assurance of improvements in quality.  </w:t>
      </w:r>
    </w:p>
    <w:p w14:paraId="63500E5F" w14:textId="77777777" w:rsidR="00D86D40" w:rsidRPr="004030DB" w:rsidRDefault="00D86D40" w:rsidP="00E00F90">
      <w:pPr>
        <w:pStyle w:val="ListParagraph"/>
        <w:numPr>
          <w:ilvl w:val="0"/>
          <w:numId w:val="23"/>
        </w:numPr>
        <w:ind w:left="360"/>
        <w:jc w:val="both"/>
        <w:rPr>
          <w:rFonts w:ascii="Arial" w:hAnsi="Arial" w:cs="Arial"/>
          <w:sz w:val="20"/>
          <w:szCs w:val="20"/>
          <w:lang w:val="en-GB"/>
        </w:rPr>
      </w:pPr>
      <w:r w:rsidRPr="004030DB">
        <w:rPr>
          <w:rFonts w:ascii="Arial" w:hAnsi="Arial" w:cs="Arial"/>
          <w:sz w:val="20"/>
          <w:szCs w:val="20"/>
          <w:lang w:val="en-GB"/>
        </w:rPr>
        <w:t xml:space="preserve">Assurance of any inconsistences recorded between the Annual Governance Statement, the Annual Report and reports arising from the Care Quality Commission assessments of the organisation and action plans developed thereafter. </w:t>
      </w:r>
    </w:p>
    <w:bookmarkEnd w:id="24"/>
    <w:p w14:paraId="11442B15" w14:textId="77777777" w:rsidR="00D86D40" w:rsidRPr="004030DB" w:rsidRDefault="00D86D40" w:rsidP="00853D6F">
      <w:pPr>
        <w:jc w:val="both"/>
        <w:rPr>
          <w:rFonts w:ascii="Arial" w:hAnsi="Arial" w:cs="Arial"/>
          <w:sz w:val="20"/>
          <w:szCs w:val="20"/>
          <w:lang w:val="en-GB"/>
        </w:rPr>
      </w:pPr>
    </w:p>
    <w:p w14:paraId="7F356C90" w14:textId="77777777" w:rsidR="00D86D40" w:rsidRPr="004030DB" w:rsidRDefault="00D86D40" w:rsidP="00853D6F">
      <w:pPr>
        <w:jc w:val="both"/>
        <w:rPr>
          <w:rFonts w:ascii="Arial" w:hAnsi="Arial" w:cs="Arial"/>
          <w:b/>
          <w:sz w:val="20"/>
          <w:szCs w:val="20"/>
          <w:lang w:val="en-GB"/>
        </w:rPr>
      </w:pPr>
      <w:r w:rsidRPr="004030DB">
        <w:rPr>
          <w:rFonts w:ascii="Arial" w:hAnsi="Arial" w:cs="Arial"/>
          <w:b/>
          <w:sz w:val="20"/>
          <w:szCs w:val="20"/>
          <w:lang w:val="en-GB"/>
        </w:rPr>
        <w:t>Patient Care</w:t>
      </w:r>
    </w:p>
    <w:p w14:paraId="3F92C966" w14:textId="77777777" w:rsidR="00D86D40" w:rsidRPr="004030DB" w:rsidRDefault="00D86D40" w:rsidP="00853D6F">
      <w:pPr>
        <w:jc w:val="both"/>
        <w:rPr>
          <w:rFonts w:ascii="Arial" w:hAnsi="Arial" w:cs="Arial"/>
          <w:sz w:val="20"/>
          <w:szCs w:val="20"/>
          <w:lang w:val="en-GB"/>
        </w:rPr>
      </w:pPr>
      <w:r w:rsidRPr="004030DB">
        <w:rPr>
          <w:rFonts w:ascii="Arial" w:hAnsi="Arial" w:cs="Arial"/>
          <w:sz w:val="20"/>
          <w:szCs w:val="20"/>
          <w:lang w:val="en-GB"/>
        </w:rPr>
        <w:t>Information relating to Patient Care can be found in the Quality Account; published separately.  The information includes:</w:t>
      </w:r>
    </w:p>
    <w:p w14:paraId="7D4515E8" w14:textId="77777777" w:rsidR="00D86D40" w:rsidRPr="004030DB" w:rsidRDefault="00D86D40" w:rsidP="00E00F90">
      <w:pPr>
        <w:pStyle w:val="ListParagraph"/>
        <w:numPr>
          <w:ilvl w:val="0"/>
          <w:numId w:val="22"/>
        </w:numPr>
        <w:jc w:val="both"/>
        <w:rPr>
          <w:rFonts w:ascii="Arial" w:hAnsi="Arial" w:cs="Arial"/>
          <w:sz w:val="20"/>
          <w:szCs w:val="20"/>
          <w:lang w:val="en-GB"/>
        </w:rPr>
      </w:pPr>
      <w:r w:rsidRPr="004030DB">
        <w:rPr>
          <w:rFonts w:ascii="Arial" w:hAnsi="Arial" w:cs="Arial"/>
          <w:sz w:val="20"/>
          <w:szCs w:val="20"/>
          <w:lang w:val="en-GB"/>
        </w:rPr>
        <w:t xml:space="preserve">Development of services and improvements in patient care </w:t>
      </w:r>
    </w:p>
    <w:p w14:paraId="5E666CE6" w14:textId="77777777" w:rsidR="00D86D40" w:rsidRPr="004030DB" w:rsidRDefault="00D86D40" w:rsidP="00E00F90">
      <w:pPr>
        <w:pStyle w:val="ListParagraph"/>
        <w:numPr>
          <w:ilvl w:val="0"/>
          <w:numId w:val="22"/>
        </w:numPr>
        <w:jc w:val="both"/>
        <w:rPr>
          <w:rFonts w:ascii="Arial" w:hAnsi="Arial" w:cs="Arial"/>
          <w:sz w:val="20"/>
          <w:szCs w:val="20"/>
          <w:lang w:val="en-GB"/>
        </w:rPr>
      </w:pPr>
      <w:r w:rsidRPr="004030DB">
        <w:rPr>
          <w:rFonts w:ascii="Arial" w:hAnsi="Arial" w:cs="Arial"/>
          <w:sz w:val="20"/>
          <w:szCs w:val="20"/>
          <w:lang w:val="en-GB"/>
        </w:rPr>
        <w:t xml:space="preserve">Performance against key healthcare targets </w:t>
      </w:r>
    </w:p>
    <w:p w14:paraId="1A6CAB11" w14:textId="77777777" w:rsidR="00D86D40" w:rsidRPr="004030DB" w:rsidRDefault="00D86D40" w:rsidP="00E00F90">
      <w:pPr>
        <w:pStyle w:val="ListParagraph"/>
        <w:numPr>
          <w:ilvl w:val="0"/>
          <w:numId w:val="22"/>
        </w:numPr>
        <w:jc w:val="both"/>
        <w:rPr>
          <w:rFonts w:ascii="Arial" w:hAnsi="Arial" w:cs="Arial"/>
          <w:sz w:val="20"/>
          <w:szCs w:val="20"/>
          <w:lang w:val="en-GB"/>
        </w:rPr>
      </w:pPr>
      <w:r w:rsidRPr="004030DB">
        <w:rPr>
          <w:rFonts w:ascii="Arial" w:hAnsi="Arial" w:cs="Arial"/>
          <w:sz w:val="20"/>
          <w:szCs w:val="20"/>
          <w:lang w:val="en-GB"/>
        </w:rPr>
        <w:t>Monitoring of improvements in the quality of healthcare and the meeting of national and local targets, incorporating the Care Quality Commission assessments and reviews of the organisation and its responses to recommendations.</w:t>
      </w:r>
    </w:p>
    <w:p w14:paraId="55EB7A26" w14:textId="77777777" w:rsidR="00D86D40" w:rsidRPr="004030DB" w:rsidRDefault="00D86D40" w:rsidP="00E00F90">
      <w:pPr>
        <w:pStyle w:val="ListParagraph"/>
        <w:numPr>
          <w:ilvl w:val="0"/>
          <w:numId w:val="22"/>
        </w:numPr>
        <w:jc w:val="both"/>
        <w:rPr>
          <w:rFonts w:ascii="Arial" w:hAnsi="Arial" w:cs="Arial"/>
          <w:sz w:val="20"/>
          <w:szCs w:val="20"/>
          <w:lang w:val="en-GB"/>
        </w:rPr>
      </w:pPr>
      <w:r w:rsidRPr="004030DB">
        <w:rPr>
          <w:rFonts w:ascii="Arial" w:hAnsi="Arial" w:cs="Arial"/>
          <w:sz w:val="20"/>
          <w:szCs w:val="20"/>
          <w:lang w:val="en-GB"/>
        </w:rPr>
        <w:t>Agreed targets with local commissioners, and details of key quality improvements.</w:t>
      </w:r>
    </w:p>
    <w:p w14:paraId="45B9EEE1" w14:textId="77777777" w:rsidR="00D86D40" w:rsidRPr="004030DB" w:rsidRDefault="00D86D40" w:rsidP="00E00F90">
      <w:pPr>
        <w:pStyle w:val="ListParagraph"/>
        <w:numPr>
          <w:ilvl w:val="0"/>
          <w:numId w:val="22"/>
        </w:numPr>
        <w:jc w:val="both"/>
        <w:rPr>
          <w:rFonts w:ascii="Arial" w:hAnsi="Arial" w:cs="Arial"/>
          <w:sz w:val="20"/>
          <w:szCs w:val="20"/>
          <w:lang w:val="en-GB"/>
        </w:rPr>
      </w:pPr>
      <w:r w:rsidRPr="004030DB">
        <w:rPr>
          <w:rFonts w:ascii="Arial" w:hAnsi="Arial" w:cs="Arial"/>
          <w:sz w:val="20"/>
          <w:szCs w:val="20"/>
          <w:lang w:val="en-GB"/>
        </w:rPr>
        <w:t>New and revised services</w:t>
      </w:r>
    </w:p>
    <w:p w14:paraId="090DF6DF" w14:textId="77777777" w:rsidR="00D86D40" w:rsidRPr="004030DB" w:rsidRDefault="00D86D40" w:rsidP="00E00F90">
      <w:pPr>
        <w:pStyle w:val="ListParagraph"/>
        <w:numPr>
          <w:ilvl w:val="0"/>
          <w:numId w:val="22"/>
        </w:numPr>
        <w:jc w:val="both"/>
        <w:rPr>
          <w:rFonts w:ascii="Arial" w:hAnsi="Arial" w:cs="Arial"/>
          <w:sz w:val="20"/>
          <w:szCs w:val="20"/>
          <w:lang w:val="en-GB"/>
        </w:rPr>
      </w:pPr>
      <w:r w:rsidRPr="004030DB">
        <w:rPr>
          <w:rFonts w:ascii="Arial" w:hAnsi="Arial" w:cs="Arial"/>
          <w:sz w:val="20"/>
          <w:szCs w:val="20"/>
          <w:lang w:val="en-GB"/>
        </w:rPr>
        <w:t>Improvements in service following staff and patient surveys</w:t>
      </w:r>
    </w:p>
    <w:p w14:paraId="77C48746" w14:textId="77777777" w:rsidR="00D86D40" w:rsidRPr="004030DB" w:rsidRDefault="00D86D40" w:rsidP="00E00F90">
      <w:pPr>
        <w:pStyle w:val="ListParagraph"/>
        <w:numPr>
          <w:ilvl w:val="0"/>
          <w:numId w:val="22"/>
        </w:numPr>
        <w:jc w:val="both"/>
        <w:rPr>
          <w:rFonts w:ascii="Arial" w:hAnsi="Arial" w:cs="Arial"/>
          <w:sz w:val="20"/>
          <w:szCs w:val="20"/>
          <w:lang w:val="en-GB"/>
        </w:rPr>
      </w:pPr>
      <w:r w:rsidRPr="004030DB">
        <w:rPr>
          <w:rFonts w:ascii="Arial" w:hAnsi="Arial" w:cs="Arial"/>
          <w:sz w:val="20"/>
          <w:szCs w:val="20"/>
          <w:lang w:val="en-GB"/>
        </w:rPr>
        <w:t>Improvements in patient/carer information</w:t>
      </w:r>
    </w:p>
    <w:p w14:paraId="49868675" w14:textId="77777777" w:rsidR="00D86D40" w:rsidRPr="004030DB" w:rsidRDefault="00D86D40" w:rsidP="00E00F90">
      <w:pPr>
        <w:pStyle w:val="ListParagraph"/>
        <w:numPr>
          <w:ilvl w:val="0"/>
          <w:numId w:val="22"/>
        </w:numPr>
        <w:jc w:val="both"/>
        <w:rPr>
          <w:rFonts w:ascii="Arial" w:hAnsi="Arial" w:cs="Arial"/>
          <w:sz w:val="20"/>
          <w:szCs w:val="20"/>
          <w:lang w:val="en-GB"/>
        </w:rPr>
      </w:pPr>
      <w:r w:rsidRPr="004030DB">
        <w:rPr>
          <w:rFonts w:ascii="Arial" w:hAnsi="Arial" w:cs="Arial"/>
          <w:sz w:val="20"/>
          <w:szCs w:val="20"/>
          <w:lang w:val="en-GB"/>
        </w:rPr>
        <w:t>Complaints handling</w:t>
      </w:r>
    </w:p>
    <w:p w14:paraId="48E1246C" w14:textId="77777777" w:rsidR="00D86D40" w:rsidRPr="004030DB" w:rsidRDefault="00D86D40" w:rsidP="00853D6F">
      <w:pPr>
        <w:jc w:val="both"/>
        <w:rPr>
          <w:rFonts w:ascii="Arial" w:hAnsi="Arial" w:cs="Arial"/>
          <w:b/>
          <w:sz w:val="20"/>
          <w:szCs w:val="20"/>
          <w:highlight w:val="yellow"/>
          <w:lang w:val="en-GB"/>
        </w:rPr>
      </w:pPr>
    </w:p>
    <w:p w14:paraId="003F2EFC" w14:textId="77777777" w:rsidR="00010A15" w:rsidRPr="004030DB" w:rsidRDefault="00010A15" w:rsidP="00853D6F">
      <w:pPr>
        <w:jc w:val="both"/>
        <w:rPr>
          <w:rFonts w:ascii="Arial" w:hAnsi="Arial" w:cs="Arial"/>
          <w:b/>
          <w:sz w:val="20"/>
          <w:szCs w:val="20"/>
          <w:lang w:val="en-GB"/>
        </w:rPr>
      </w:pPr>
      <w:r w:rsidRPr="004030DB">
        <w:rPr>
          <w:rFonts w:ascii="Arial" w:hAnsi="Arial" w:cs="Arial"/>
          <w:b/>
          <w:sz w:val="20"/>
          <w:szCs w:val="20"/>
          <w:lang w:val="en-GB"/>
        </w:rPr>
        <w:t>Stakeholder Relations</w:t>
      </w:r>
      <w:r w:rsidR="003D07B6" w:rsidRPr="004030DB">
        <w:rPr>
          <w:rFonts w:ascii="Arial" w:hAnsi="Arial" w:cs="Arial"/>
          <w:b/>
          <w:color w:val="FF0000"/>
          <w:sz w:val="20"/>
          <w:szCs w:val="20"/>
          <w:lang w:val="en-GB"/>
        </w:rPr>
        <w:t xml:space="preserve"> </w:t>
      </w:r>
    </w:p>
    <w:p w14:paraId="12FA34AB" w14:textId="77777777" w:rsidR="00ED7971" w:rsidRPr="004030DB" w:rsidRDefault="00ED7971" w:rsidP="00853D6F">
      <w:pPr>
        <w:widowControl/>
        <w:jc w:val="both"/>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val="en-GB" w:eastAsia="en-GB"/>
        </w:rPr>
        <w:t>Involving stakeholders is important to the Trust, and it engages with a wide range of people who have an interest in the Trust.  This includes patients and carers, staff and volunteers, governors and members of the Trust, partner organisations, councillors and MPs. </w:t>
      </w:r>
    </w:p>
    <w:p w14:paraId="23C343AA" w14:textId="77777777" w:rsidR="00ED7971" w:rsidRPr="004030DB" w:rsidRDefault="00ED7971" w:rsidP="00853D6F">
      <w:pPr>
        <w:widowControl/>
        <w:jc w:val="both"/>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val="en-GB" w:eastAsia="en-GB"/>
        </w:rPr>
        <w:t> </w:t>
      </w:r>
    </w:p>
    <w:p w14:paraId="150793CE" w14:textId="77777777" w:rsidR="00ED7971" w:rsidRPr="004030DB" w:rsidRDefault="00ED7971" w:rsidP="00853D6F">
      <w:pPr>
        <w:widowControl/>
        <w:jc w:val="both"/>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val="en-GB" w:eastAsia="en-GB"/>
        </w:rPr>
        <w:t>The Trust plans its engagement with stakeholders so it is in regular contact throughout the year and communicates through appropriate and relevant channels.  This ranges from newsletters and digital bulletins, to face-to-face meetings. </w:t>
      </w:r>
    </w:p>
    <w:p w14:paraId="5EBDF09E" w14:textId="77777777" w:rsidR="00ED7971" w:rsidRPr="004030DB" w:rsidRDefault="00ED7971" w:rsidP="00853D6F">
      <w:pPr>
        <w:widowControl/>
        <w:jc w:val="both"/>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val="en-GB" w:eastAsia="en-GB"/>
        </w:rPr>
        <w:t> </w:t>
      </w:r>
    </w:p>
    <w:p w14:paraId="37C4D2BD" w14:textId="77777777" w:rsidR="00ED7971" w:rsidRPr="004030DB" w:rsidRDefault="00ED7971" w:rsidP="00853D6F">
      <w:pPr>
        <w:widowControl/>
        <w:jc w:val="both"/>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val="en-GB" w:eastAsia="en-GB"/>
        </w:rPr>
        <w:lastRenderedPageBreak/>
        <w:t>Over the past year, patients were invited to take part in engagement sessions to input into discussions about hospital services. </w:t>
      </w:r>
    </w:p>
    <w:p w14:paraId="14D5615F" w14:textId="77777777" w:rsidR="00ED7971" w:rsidRPr="004030DB" w:rsidRDefault="00ED7971" w:rsidP="00853D6F">
      <w:pPr>
        <w:widowControl/>
        <w:jc w:val="both"/>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val="en-GB" w:eastAsia="en-GB"/>
        </w:rPr>
        <w:t> </w:t>
      </w:r>
    </w:p>
    <w:p w14:paraId="590542A4" w14:textId="77777777" w:rsidR="00ED7971" w:rsidRPr="004030DB" w:rsidRDefault="00ED7971" w:rsidP="00853D6F">
      <w:pPr>
        <w:widowControl/>
        <w:jc w:val="both"/>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val="en-GB" w:eastAsia="en-GB"/>
        </w:rPr>
        <w:t>The Trust’s Chair and Chief Executive hold regular meetings with key local stakeholders, including MPs for constituencies covering Medway and Swale, and members of Medway Council and Swale Borough Council.  Members of the Executive Team report to local authority scrutiny committees and attend the Medway Health and Wellbeing Board.  The Trust plays an active role as a partner in the Medway and Swale Health and Care Partnership. </w:t>
      </w:r>
    </w:p>
    <w:p w14:paraId="39DA7235" w14:textId="77777777" w:rsidR="002E594A" w:rsidRPr="004030DB" w:rsidRDefault="002E594A" w:rsidP="00853D6F">
      <w:pPr>
        <w:jc w:val="both"/>
        <w:rPr>
          <w:rFonts w:ascii="Arial" w:hAnsi="Arial" w:cs="Arial"/>
          <w:b/>
          <w:sz w:val="20"/>
          <w:szCs w:val="20"/>
          <w:highlight w:val="yellow"/>
          <w:lang w:val="en-GB"/>
        </w:rPr>
      </w:pPr>
    </w:p>
    <w:p w14:paraId="0C5C32EC" w14:textId="77777777" w:rsidR="002E594A" w:rsidRDefault="002E594A" w:rsidP="00853D6F">
      <w:pPr>
        <w:jc w:val="both"/>
        <w:rPr>
          <w:rFonts w:ascii="Arial" w:hAnsi="Arial" w:cs="Arial"/>
          <w:b/>
          <w:sz w:val="20"/>
          <w:szCs w:val="20"/>
          <w:highlight w:val="yellow"/>
          <w:lang w:val="en-GB"/>
        </w:rPr>
      </w:pPr>
    </w:p>
    <w:p w14:paraId="481A4F24" w14:textId="77777777" w:rsidR="00C74C2C" w:rsidRDefault="00C74C2C" w:rsidP="00853D6F">
      <w:pPr>
        <w:jc w:val="both"/>
        <w:rPr>
          <w:rFonts w:ascii="Arial" w:hAnsi="Arial" w:cs="Arial"/>
          <w:b/>
          <w:sz w:val="20"/>
          <w:szCs w:val="20"/>
          <w:highlight w:val="yellow"/>
          <w:lang w:val="en-GB"/>
        </w:rPr>
      </w:pPr>
    </w:p>
    <w:p w14:paraId="345AF5E4" w14:textId="77777777" w:rsidR="00C74C2C" w:rsidRDefault="00C74C2C" w:rsidP="00853D6F">
      <w:pPr>
        <w:jc w:val="both"/>
        <w:rPr>
          <w:rFonts w:ascii="Arial" w:hAnsi="Arial" w:cs="Arial"/>
          <w:b/>
          <w:sz w:val="20"/>
          <w:szCs w:val="20"/>
          <w:highlight w:val="yellow"/>
          <w:lang w:val="en-GB"/>
        </w:rPr>
      </w:pPr>
    </w:p>
    <w:p w14:paraId="2097EF31" w14:textId="77777777" w:rsidR="00C74C2C" w:rsidRDefault="00C74C2C" w:rsidP="00853D6F">
      <w:pPr>
        <w:jc w:val="both"/>
        <w:rPr>
          <w:rFonts w:ascii="Arial" w:hAnsi="Arial" w:cs="Arial"/>
          <w:b/>
          <w:sz w:val="20"/>
          <w:szCs w:val="20"/>
          <w:highlight w:val="yellow"/>
          <w:lang w:val="en-GB"/>
        </w:rPr>
      </w:pPr>
    </w:p>
    <w:p w14:paraId="7FBFE996" w14:textId="77777777" w:rsidR="00C74C2C" w:rsidRDefault="00C74C2C" w:rsidP="00853D6F">
      <w:pPr>
        <w:jc w:val="both"/>
        <w:rPr>
          <w:rFonts w:ascii="Arial" w:hAnsi="Arial" w:cs="Arial"/>
          <w:b/>
          <w:sz w:val="20"/>
          <w:szCs w:val="20"/>
          <w:highlight w:val="yellow"/>
          <w:lang w:val="en-GB"/>
        </w:rPr>
      </w:pPr>
    </w:p>
    <w:p w14:paraId="007127F1" w14:textId="77777777" w:rsidR="00C74C2C" w:rsidRDefault="00C74C2C" w:rsidP="00853D6F">
      <w:pPr>
        <w:jc w:val="both"/>
        <w:rPr>
          <w:rFonts w:ascii="Arial" w:hAnsi="Arial" w:cs="Arial"/>
          <w:b/>
          <w:sz w:val="20"/>
          <w:szCs w:val="20"/>
          <w:highlight w:val="yellow"/>
          <w:lang w:val="en-GB"/>
        </w:rPr>
      </w:pPr>
    </w:p>
    <w:p w14:paraId="1015F330" w14:textId="77777777" w:rsidR="00C74C2C" w:rsidRDefault="00C74C2C" w:rsidP="00853D6F">
      <w:pPr>
        <w:jc w:val="both"/>
        <w:rPr>
          <w:rFonts w:ascii="Arial" w:hAnsi="Arial" w:cs="Arial"/>
          <w:b/>
          <w:sz w:val="20"/>
          <w:szCs w:val="20"/>
          <w:highlight w:val="yellow"/>
          <w:lang w:val="en-GB"/>
        </w:rPr>
      </w:pPr>
    </w:p>
    <w:p w14:paraId="351F397A" w14:textId="77777777" w:rsidR="00C74C2C" w:rsidRDefault="00C74C2C" w:rsidP="00853D6F">
      <w:pPr>
        <w:jc w:val="both"/>
        <w:rPr>
          <w:rFonts w:ascii="Arial" w:hAnsi="Arial" w:cs="Arial"/>
          <w:b/>
          <w:sz w:val="20"/>
          <w:szCs w:val="20"/>
          <w:highlight w:val="yellow"/>
          <w:lang w:val="en-GB"/>
        </w:rPr>
      </w:pPr>
    </w:p>
    <w:p w14:paraId="09ECD5C7" w14:textId="77777777" w:rsidR="00C74C2C" w:rsidRDefault="00C74C2C" w:rsidP="00853D6F">
      <w:pPr>
        <w:jc w:val="both"/>
        <w:rPr>
          <w:rFonts w:ascii="Arial" w:hAnsi="Arial" w:cs="Arial"/>
          <w:b/>
          <w:sz w:val="20"/>
          <w:szCs w:val="20"/>
          <w:highlight w:val="yellow"/>
          <w:lang w:val="en-GB"/>
        </w:rPr>
      </w:pPr>
    </w:p>
    <w:p w14:paraId="5DD1E3F5" w14:textId="77777777" w:rsidR="00C74C2C" w:rsidRDefault="00C74C2C" w:rsidP="00853D6F">
      <w:pPr>
        <w:jc w:val="both"/>
        <w:rPr>
          <w:rFonts w:ascii="Arial" w:hAnsi="Arial" w:cs="Arial"/>
          <w:b/>
          <w:sz w:val="20"/>
          <w:szCs w:val="20"/>
          <w:highlight w:val="yellow"/>
          <w:lang w:val="en-GB"/>
        </w:rPr>
      </w:pPr>
    </w:p>
    <w:p w14:paraId="58231A16" w14:textId="77777777" w:rsidR="00C74C2C" w:rsidRDefault="00C74C2C" w:rsidP="00853D6F">
      <w:pPr>
        <w:jc w:val="both"/>
        <w:rPr>
          <w:rFonts w:ascii="Arial" w:hAnsi="Arial" w:cs="Arial"/>
          <w:b/>
          <w:sz w:val="20"/>
          <w:szCs w:val="20"/>
          <w:highlight w:val="yellow"/>
          <w:lang w:val="en-GB"/>
        </w:rPr>
      </w:pPr>
    </w:p>
    <w:p w14:paraId="55ACABB0" w14:textId="77777777" w:rsidR="00C74C2C" w:rsidRDefault="00C74C2C" w:rsidP="00853D6F">
      <w:pPr>
        <w:jc w:val="both"/>
        <w:rPr>
          <w:rFonts w:ascii="Arial" w:hAnsi="Arial" w:cs="Arial"/>
          <w:b/>
          <w:sz w:val="20"/>
          <w:szCs w:val="20"/>
          <w:highlight w:val="yellow"/>
          <w:lang w:val="en-GB"/>
        </w:rPr>
      </w:pPr>
    </w:p>
    <w:p w14:paraId="5C4355C7" w14:textId="77777777" w:rsidR="00C74C2C" w:rsidRDefault="00C74C2C" w:rsidP="00853D6F">
      <w:pPr>
        <w:jc w:val="both"/>
        <w:rPr>
          <w:rFonts w:ascii="Arial" w:hAnsi="Arial" w:cs="Arial"/>
          <w:b/>
          <w:sz w:val="20"/>
          <w:szCs w:val="20"/>
          <w:highlight w:val="yellow"/>
          <w:lang w:val="en-GB"/>
        </w:rPr>
      </w:pPr>
    </w:p>
    <w:p w14:paraId="1E3EA124" w14:textId="77777777" w:rsidR="00C74C2C" w:rsidRDefault="00C74C2C" w:rsidP="00853D6F">
      <w:pPr>
        <w:jc w:val="both"/>
        <w:rPr>
          <w:rFonts w:ascii="Arial" w:hAnsi="Arial" w:cs="Arial"/>
          <w:b/>
          <w:sz w:val="20"/>
          <w:szCs w:val="20"/>
          <w:highlight w:val="yellow"/>
          <w:lang w:val="en-GB"/>
        </w:rPr>
      </w:pPr>
    </w:p>
    <w:p w14:paraId="63B8A07E" w14:textId="77777777" w:rsidR="00C74C2C" w:rsidRDefault="00C74C2C" w:rsidP="00853D6F">
      <w:pPr>
        <w:jc w:val="both"/>
        <w:rPr>
          <w:rFonts w:ascii="Arial" w:hAnsi="Arial" w:cs="Arial"/>
          <w:b/>
          <w:sz w:val="20"/>
          <w:szCs w:val="20"/>
          <w:highlight w:val="yellow"/>
          <w:lang w:val="en-GB"/>
        </w:rPr>
      </w:pPr>
    </w:p>
    <w:p w14:paraId="3CF1E760" w14:textId="77777777" w:rsidR="00C74C2C" w:rsidRDefault="00C74C2C" w:rsidP="00853D6F">
      <w:pPr>
        <w:jc w:val="both"/>
        <w:rPr>
          <w:rFonts w:ascii="Arial" w:hAnsi="Arial" w:cs="Arial"/>
          <w:b/>
          <w:sz w:val="20"/>
          <w:szCs w:val="20"/>
          <w:highlight w:val="yellow"/>
          <w:lang w:val="en-GB"/>
        </w:rPr>
      </w:pPr>
    </w:p>
    <w:p w14:paraId="27463368" w14:textId="77777777" w:rsidR="00C74C2C" w:rsidRDefault="00C74C2C" w:rsidP="00853D6F">
      <w:pPr>
        <w:jc w:val="both"/>
        <w:rPr>
          <w:rFonts w:ascii="Arial" w:hAnsi="Arial" w:cs="Arial"/>
          <w:b/>
          <w:sz w:val="20"/>
          <w:szCs w:val="20"/>
          <w:highlight w:val="yellow"/>
          <w:lang w:val="en-GB"/>
        </w:rPr>
      </w:pPr>
    </w:p>
    <w:p w14:paraId="4B2ED4FA" w14:textId="77777777" w:rsidR="00C74C2C" w:rsidRDefault="00C74C2C" w:rsidP="00853D6F">
      <w:pPr>
        <w:jc w:val="both"/>
        <w:rPr>
          <w:rFonts w:ascii="Arial" w:hAnsi="Arial" w:cs="Arial"/>
          <w:b/>
          <w:sz w:val="20"/>
          <w:szCs w:val="20"/>
          <w:highlight w:val="yellow"/>
          <w:lang w:val="en-GB"/>
        </w:rPr>
      </w:pPr>
    </w:p>
    <w:p w14:paraId="5EAD5D80" w14:textId="77777777" w:rsidR="00C74C2C" w:rsidRDefault="00C74C2C" w:rsidP="00853D6F">
      <w:pPr>
        <w:jc w:val="both"/>
        <w:rPr>
          <w:rFonts w:ascii="Arial" w:hAnsi="Arial" w:cs="Arial"/>
          <w:b/>
          <w:sz w:val="20"/>
          <w:szCs w:val="20"/>
          <w:highlight w:val="yellow"/>
          <w:lang w:val="en-GB"/>
        </w:rPr>
      </w:pPr>
    </w:p>
    <w:p w14:paraId="3BE8D9CE" w14:textId="77777777" w:rsidR="00C74C2C" w:rsidRDefault="00C74C2C" w:rsidP="00853D6F">
      <w:pPr>
        <w:jc w:val="both"/>
        <w:rPr>
          <w:rFonts w:ascii="Arial" w:hAnsi="Arial" w:cs="Arial"/>
          <w:b/>
          <w:sz w:val="20"/>
          <w:szCs w:val="20"/>
          <w:highlight w:val="yellow"/>
          <w:lang w:val="en-GB"/>
        </w:rPr>
      </w:pPr>
    </w:p>
    <w:p w14:paraId="6EF899A9" w14:textId="77777777" w:rsidR="00C74C2C" w:rsidRDefault="00C74C2C" w:rsidP="00853D6F">
      <w:pPr>
        <w:jc w:val="both"/>
        <w:rPr>
          <w:rFonts w:ascii="Arial" w:hAnsi="Arial" w:cs="Arial"/>
          <w:b/>
          <w:sz w:val="20"/>
          <w:szCs w:val="20"/>
          <w:highlight w:val="yellow"/>
          <w:lang w:val="en-GB"/>
        </w:rPr>
      </w:pPr>
    </w:p>
    <w:p w14:paraId="522BE2D4" w14:textId="77777777" w:rsidR="00C74C2C" w:rsidRDefault="00C74C2C" w:rsidP="00853D6F">
      <w:pPr>
        <w:jc w:val="both"/>
        <w:rPr>
          <w:rFonts w:ascii="Arial" w:hAnsi="Arial" w:cs="Arial"/>
          <w:b/>
          <w:sz w:val="20"/>
          <w:szCs w:val="20"/>
          <w:highlight w:val="yellow"/>
          <w:lang w:val="en-GB"/>
        </w:rPr>
      </w:pPr>
    </w:p>
    <w:p w14:paraId="78A9B15C" w14:textId="77777777" w:rsidR="00C74C2C" w:rsidRDefault="00C74C2C" w:rsidP="00853D6F">
      <w:pPr>
        <w:jc w:val="both"/>
        <w:rPr>
          <w:rFonts w:ascii="Arial" w:hAnsi="Arial" w:cs="Arial"/>
          <w:b/>
          <w:sz w:val="20"/>
          <w:szCs w:val="20"/>
          <w:highlight w:val="yellow"/>
          <w:lang w:val="en-GB"/>
        </w:rPr>
      </w:pPr>
    </w:p>
    <w:p w14:paraId="2106082A" w14:textId="77777777" w:rsidR="00C74C2C" w:rsidRDefault="00C74C2C" w:rsidP="00853D6F">
      <w:pPr>
        <w:jc w:val="both"/>
        <w:rPr>
          <w:rFonts w:ascii="Arial" w:hAnsi="Arial" w:cs="Arial"/>
          <w:b/>
          <w:sz w:val="20"/>
          <w:szCs w:val="20"/>
          <w:highlight w:val="yellow"/>
          <w:lang w:val="en-GB"/>
        </w:rPr>
      </w:pPr>
    </w:p>
    <w:p w14:paraId="7F7402E7" w14:textId="77777777" w:rsidR="00C74C2C" w:rsidRDefault="00C74C2C" w:rsidP="00853D6F">
      <w:pPr>
        <w:jc w:val="both"/>
        <w:rPr>
          <w:rFonts w:ascii="Arial" w:hAnsi="Arial" w:cs="Arial"/>
          <w:b/>
          <w:sz w:val="20"/>
          <w:szCs w:val="20"/>
          <w:highlight w:val="yellow"/>
          <w:lang w:val="en-GB"/>
        </w:rPr>
      </w:pPr>
    </w:p>
    <w:p w14:paraId="20A05B58" w14:textId="77777777" w:rsidR="00C74C2C" w:rsidRDefault="00C74C2C" w:rsidP="00853D6F">
      <w:pPr>
        <w:jc w:val="both"/>
        <w:rPr>
          <w:rFonts w:ascii="Arial" w:hAnsi="Arial" w:cs="Arial"/>
          <w:b/>
          <w:sz w:val="20"/>
          <w:szCs w:val="20"/>
          <w:highlight w:val="yellow"/>
          <w:lang w:val="en-GB"/>
        </w:rPr>
      </w:pPr>
    </w:p>
    <w:p w14:paraId="42DD0986" w14:textId="77777777" w:rsidR="00C74C2C" w:rsidRDefault="00C74C2C" w:rsidP="00853D6F">
      <w:pPr>
        <w:jc w:val="both"/>
        <w:rPr>
          <w:rFonts w:ascii="Arial" w:hAnsi="Arial" w:cs="Arial"/>
          <w:b/>
          <w:sz w:val="20"/>
          <w:szCs w:val="20"/>
          <w:highlight w:val="yellow"/>
          <w:lang w:val="en-GB"/>
        </w:rPr>
      </w:pPr>
    </w:p>
    <w:p w14:paraId="34C32941" w14:textId="77777777" w:rsidR="00C74C2C" w:rsidRDefault="00C74C2C" w:rsidP="00853D6F">
      <w:pPr>
        <w:jc w:val="both"/>
        <w:rPr>
          <w:rFonts w:ascii="Arial" w:hAnsi="Arial" w:cs="Arial"/>
          <w:b/>
          <w:sz w:val="20"/>
          <w:szCs w:val="20"/>
          <w:highlight w:val="yellow"/>
          <w:lang w:val="en-GB"/>
        </w:rPr>
      </w:pPr>
    </w:p>
    <w:p w14:paraId="3E1278B5" w14:textId="77777777" w:rsidR="00C74C2C" w:rsidRDefault="00C74C2C" w:rsidP="00853D6F">
      <w:pPr>
        <w:jc w:val="both"/>
        <w:rPr>
          <w:rFonts w:ascii="Arial" w:hAnsi="Arial" w:cs="Arial"/>
          <w:b/>
          <w:sz w:val="20"/>
          <w:szCs w:val="20"/>
          <w:highlight w:val="yellow"/>
          <w:lang w:val="en-GB"/>
        </w:rPr>
      </w:pPr>
    </w:p>
    <w:p w14:paraId="65AD8647" w14:textId="77777777" w:rsidR="00C74C2C" w:rsidRDefault="00C74C2C" w:rsidP="00853D6F">
      <w:pPr>
        <w:jc w:val="both"/>
        <w:rPr>
          <w:rFonts w:ascii="Arial" w:hAnsi="Arial" w:cs="Arial"/>
          <w:b/>
          <w:sz w:val="20"/>
          <w:szCs w:val="20"/>
          <w:highlight w:val="yellow"/>
          <w:lang w:val="en-GB"/>
        </w:rPr>
      </w:pPr>
    </w:p>
    <w:p w14:paraId="4D05396B" w14:textId="77777777" w:rsidR="00C74C2C" w:rsidRDefault="00C74C2C" w:rsidP="00853D6F">
      <w:pPr>
        <w:jc w:val="both"/>
        <w:rPr>
          <w:rFonts w:ascii="Arial" w:hAnsi="Arial" w:cs="Arial"/>
          <w:b/>
          <w:sz w:val="20"/>
          <w:szCs w:val="20"/>
          <w:highlight w:val="yellow"/>
          <w:lang w:val="en-GB"/>
        </w:rPr>
      </w:pPr>
    </w:p>
    <w:p w14:paraId="5C789FBA" w14:textId="77777777" w:rsidR="00C74C2C" w:rsidRDefault="00C74C2C" w:rsidP="00853D6F">
      <w:pPr>
        <w:jc w:val="both"/>
        <w:rPr>
          <w:rFonts w:ascii="Arial" w:hAnsi="Arial" w:cs="Arial"/>
          <w:b/>
          <w:sz w:val="20"/>
          <w:szCs w:val="20"/>
          <w:highlight w:val="yellow"/>
          <w:lang w:val="en-GB"/>
        </w:rPr>
      </w:pPr>
    </w:p>
    <w:p w14:paraId="1A9484F4" w14:textId="77777777" w:rsidR="00C74C2C" w:rsidRDefault="00C74C2C" w:rsidP="00853D6F">
      <w:pPr>
        <w:jc w:val="both"/>
        <w:rPr>
          <w:rFonts w:ascii="Arial" w:hAnsi="Arial" w:cs="Arial"/>
          <w:b/>
          <w:sz w:val="20"/>
          <w:szCs w:val="20"/>
          <w:highlight w:val="yellow"/>
          <w:lang w:val="en-GB"/>
        </w:rPr>
      </w:pPr>
    </w:p>
    <w:p w14:paraId="4EBD4B13" w14:textId="77777777" w:rsidR="00C74C2C" w:rsidRDefault="00C74C2C" w:rsidP="00853D6F">
      <w:pPr>
        <w:jc w:val="both"/>
        <w:rPr>
          <w:rFonts w:ascii="Arial" w:hAnsi="Arial" w:cs="Arial"/>
          <w:b/>
          <w:sz w:val="20"/>
          <w:szCs w:val="20"/>
          <w:highlight w:val="yellow"/>
          <w:lang w:val="en-GB"/>
        </w:rPr>
      </w:pPr>
    </w:p>
    <w:p w14:paraId="4EF5E7DA" w14:textId="77777777" w:rsidR="00C74C2C" w:rsidRDefault="00C74C2C" w:rsidP="00853D6F">
      <w:pPr>
        <w:jc w:val="both"/>
        <w:rPr>
          <w:rFonts w:ascii="Arial" w:hAnsi="Arial" w:cs="Arial"/>
          <w:b/>
          <w:sz w:val="20"/>
          <w:szCs w:val="20"/>
          <w:highlight w:val="yellow"/>
          <w:lang w:val="en-GB"/>
        </w:rPr>
      </w:pPr>
    </w:p>
    <w:p w14:paraId="4ACC68C4" w14:textId="77777777" w:rsidR="00C74C2C" w:rsidRDefault="00C74C2C" w:rsidP="00853D6F">
      <w:pPr>
        <w:jc w:val="both"/>
        <w:rPr>
          <w:rFonts w:ascii="Arial" w:hAnsi="Arial" w:cs="Arial"/>
          <w:b/>
          <w:sz w:val="20"/>
          <w:szCs w:val="20"/>
          <w:highlight w:val="yellow"/>
          <w:lang w:val="en-GB"/>
        </w:rPr>
      </w:pPr>
    </w:p>
    <w:p w14:paraId="1EDC077D" w14:textId="77777777" w:rsidR="00C74C2C" w:rsidRDefault="00C74C2C" w:rsidP="00853D6F">
      <w:pPr>
        <w:jc w:val="both"/>
        <w:rPr>
          <w:rFonts w:ascii="Arial" w:hAnsi="Arial" w:cs="Arial"/>
          <w:b/>
          <w:sz w:val="20"/>
          <w:szCs w:val="20"/>
          <w:highlight w:val="yellow"/>
          <w:lang w:val="en-GB"/>
        </w:rPr>
      </w:pPr>
    </w:p>
    <w:p w14:paraId="7A18098B" w14:textId="77777777" w:rsidR="00C74C2C" w:rsidRDefault="00C74C2C" w:rsidP="00853D6F">
      <w:pPr>
        <w:jc w:val="both"/>
        <w:rPr>
          <w:rFonts w:ascii="Arial" w:hAnsi="Arial" w:cs="Arial"/>
          <w:b/>
          <w:sz w:val="20"/>
          <w:szCs w:val="20"/>
          <w:highlight w:val="yellow"/>
          <w:lang w:val="en-GB"/>
        </w:rPr>
      </w:pPr>
    </w:p>
    <w:p w14:paraId="0733101D" w14:textId="77777777" w:rsidR="00C74C2C" w:rsidRDefault="00C74C2C" w:rsidP="00853D6F">
      <w:pPr>
        <w:jc w:val="both"/>
        <w:rPr>
          <w:rFonts w:ascii="Arial" w:hAnsi="Arial" w:cs="Arial"/>
          <w:b/>
          <w:sz w:val="20"/>
          <w:szCs w:val="20"/>
          <w:highlight w:val="yellow"/>
          <w:lang w:val="en-GB"/>
        </w:rPr>
      </w:pPr>
    </w:p>
    <w:p w14:paraId="4CFDCA54" w14:textId="77777777" w:rsidR="00C74C2C" w:rsidRDefault="00C74C2C" w:rsidP="00853D6F">
      <w:pPr>
        <w:jc w:val="both"/>
        <w:rPr>
          <w:rFonts w:ascii="Arial" w:hAnsi="Arial" w:cs="Arial"/>
          <w:b/>
          <w:sz w:val="20"/>
          <w:szCs w:val="20"/>
          <w:highlight w:val="yellow"/>
          <w:lang w:val="en-GB"/>
        </w:rPr>
      </w:pPr>
    </w:p>
    <w:p w14:paraId="3F47CF48" w14:textId="77777777" w:rsidR="00C74C2C" w:rsidRDefault="00C74C2C" w:rsidP="00853D6F">
      <w:pPr>
        <w:jc w:val="both"/>
        <w:rPr>
          <w:rFonts w:ascii="Arial" w:hAnsi="Arial" w:cs="Arial"/>
          <w:b/>
          <w:sz w:val="20"/>
          <w:szCs w:val="20"/>
          <w:highlight w:val="yellow"/>
          <w:lang w:val="en-GB"/>
        </w:rPr>
      </w:pPr>
    </w:p>
    <w:p w14:paraId="40E7E408" w14:textId="77777777" w:rsidR="00C74C2C" w:rsidRDefault="00C74C2C" w:rsidP="00853D6F">
      <w:pPr>
        <w:jc w:val="both"/>
        <w:rPr>
          <w:rFonts w:ascii="Arial" w:hAnsi="Arial" w:cs="Arial"/>
          <w:b/>
          <w:sz w:val="20"/>
          <w:szCs w:val="20"/>
          <w:highlight w:val="yellow"/>
          <w:lang w:val="en-GB"/>
        </w:rPr>
      </w:pPr>
    </w:p>
    <w:p w14:paraId="1B23EFCF" w14:textId="77777777" w:rsidR="00C74C2C" w:rsidRDefault="00C74C2C" w:rsidP="00853D6F">
      <w:pPr>
        <w:jc w:val="both"/>
        <w:rPr>
          <w:rFonts w:ascii="Arial" w:hAnsi="Arial" w:cs="Arial"/>
          <w:b/>
          <w:sz w:val="20"/>
          <w:szCs w:val="20"/>
          <w:highlight w:val="yellow"/>
          <w:lang w:val="en-GB"/>
        </w:rPr>
      </w:pPr>
    </w:p>
    <w:p w14:paraId="4CB39710" w14:textId="77777777" w:rsidR="00C74C2C" w:rsidRDefault="00C74C2C" w:rsidP="00853D6F">
      <w:pPr>
        <w:jc w:val="both"/>
        <w:rPr>
          <w:rFonts w:ascii="Arial" w:hAnsi="Arial" w:cs="Arial"/>
          <w:b/>
          <w:sz w:val="20"/>
          <w:szCs w:val="20"/>
          <w:highlight w:val="yellow"/>
          <w:lang w:val="en-GB"/>
        </w:rPr>
      </w:pPr>
    </w:p>
    <w:p w14:paraId="20B729DD" w14:textId="77777777" w:rsidR="00C74C2C" w:rsidRDefault="00C74C2C" w:rsidP="00853D6F">
      <w:pPr>
        <w:jc w:val="both"/>
        <w:rPr>
          <w:rFonts w:ascii="Arial" w:hAnsi="Arial" w:cs="Arial"/>
          <w:b/>
          <w:sz w:val="20"/>
          <w:szCs w:val="20"/>
          <w:highlight w:val="yellow"/>
          <w:lang w:val="en-GB"/>
        </w:rPr>
      </w:pPr>
    </w:p>
    <w:p w14:paraId="2DCDD017" w14:textId="77777777" w:rsidR="00C74C2C" w:rsidRDefault="00C74C2C" w:rsidP="00853D6F">
      <w:pPr>
        <w:jc w:val="both"/>
        <w:rPr>
          <w:rFonts w:ascii="Arial" w:hAnsi="Arial" w:cs="Arial"/>
          <w:b/>
          <w:sz w:val="20"/>
          <w:szCs w:val="20"/>
          <w:highlight w:val="yellow"/>
          <w:lang w:val="en-GB"/>
        </w:rPr>
      </w:pPr>
    </w:p>
    <w:p w14:paraId="4BB4BCCD" w14:textId="77777777" w:rsidR="00C74C2C" w:rsidRDefault="00C74C2C" w:rsidP="00853D6F">
      <w:pPr>
        <w:jc w:val="both"/>
        <w:rPr>
          <w:rFonts w:ascii="Arial" w:hAnsi="Arial" w:cs="Arial"/>
          <w:b/>
          <w:sz w:val="20"/>
          <w:szCs w:val="20"/>
          <w:highlight w:val="yellow"/>
          <w:lang w:val="en-GB"/>
        </w:rPr>
      </w:pPr>
    </w:p>
    <w:p w14:paraId="6FBBD205" w14:textId="77777777" w:rsidR="00C74C2C" w:rsidRDefault="00C74C2C" w:rsidP="00853D6F">
      <w:pPr>
        <w:jc w:val="both"/>
        <w:rPr>
          <w:rFonts w:ascii="Arial" w:hAnsi="Arial" w:cs="Arial"/>
          <w:b/>
          <w:sz w:val="20"/>
          <w:szCs w:val="20"/>
          <w:highlight w:val="yellow"/>
          <w:lang w:val="en-GB"/>
        </w:rPr>
      </w:pPr>
    </w:p>
    <w:p w14:paraId="137509F2" w14:textId="77777777" w:rsidR="00C74C2C" w:rsidRDefault="00C74C2C" w:rsidP="00853D6F">
      <w:pPr>
        <w:jc w:val="both"/>
        <w:rPr>
          <w:rFonts w:ascii="Arial" w:hAnsi="Arial" w:cs="Arial"/>
          <w:b/>
          <w:sz w:val="20"/>
          <w:szCs w:val="20"/>
          <w:highlight w:val="yellow"/>
          <w:lang w:val="en-GB"/>
        </w:rPr>
      </w:pPr>
    </w:p>
    <w:p w14:paraId="0C0B53C5" w14:textId="77777777" w:rsidR="00C74C2C" w:rsidRPr="004030DB" w:rsidRDefault="00C74C2C" w:rsidP="00853D6F">
      <w:pPr>
        <w:jc w:val="both"/>
        <w:rPr>
          <w:rFonts w:ascii="Arial" w:hAnsi="Arial" w:cs="Arial"/>
          <w:b/>
          <w:sz w:val="20"/>
          <w:szCs w:val="20"/>
          <w:highlight w:val="yellow"/>
          <w:lang w:val="en-GB"/>
        </w:rPr>
      </w:pPr>
    </w:p>
    <w:p w14:paraId="299971A7" w14:textId="77777777" w:rsidR="002E594A" w:rsidRPr="004030DB" w:rsidRDefault="002E594A" w:rsidP="00853D6F">
      <w:pPr>
        <w:jc w:val="both"/>
        <w:rPr>
          <w:rFonts w:ascii="Arial" w:hAnsi="Arial" w:cs="Arial"/>
          <w:b/>
          <w:sz w:val="20"/>
          <w:szCs w:val="20"/>
          <w:highlight w:val="yellow"/>
          <w:lang w:val="en-GB"/>
        </w:rPr>
      </w:pPr>
    </w:p>
    <w:p w14:paraId="7EA9D946" w14:textId="77777777" w:rsidR="00C74C2C" w:rsidRPr="004030DB" w:rsidRDefault="002E594A" w:rsidP="00853D6F">
      <w:pPr>
        <w:jc w:val="both"/>
        <w:rPr>
          <w:rFonts w:ascii="Arial" w:hAnsi="Arial" w:cs="Arial"/>
          <w:sz w:val="20"/>
          <w:szCs w:val="20"/>
          <w:lang w:val="en-GB"/>
        </w:rPr>
      </w:pPr>
      <w:r w:rsidRPr="004030DB">
        <w:rPr>
          <w:rFonts w:ascii="Arial" w:hAnsi="Arial" w:cs="Arial"/>
          <w:b/>
          <w:sz w:val="20"/>
          <w:szCs w:val="20"/>
          <w:lang w:val="en-GB"/>
        </w:rPr>
        <w:lastRenderedPageBreak/>
        <w:t xml:space="preserve">A Year </w:t>
      </w:r>
      <w:proofErr w:type="gramStart"/>
      <w:r w:rsidRPr="004030DB">
        <w:rPr>
          <w:rFonts w:ascii="Arial" w:hAnsi="Arial" w:cs="Arial"/>
          <w:b/>
          <w:sz w:val="20"/>
          <w:szCs w:val="20"/>
          <w:lang w:val="en-GB"/>
        </w:rPr>
        <w:t>In</w:t>
      </w:r>
      <w:proofErr w:type="gramEnd"/>
      <w:r w:rsidRPr="004030DB">
        <w:rPr>
          <w:rFonts w:ascii="Arial" w:hAnsi="Arial" w:cs="Arial"/>
          <w:b/>
          <w:sz w:val="20"/>
          <w:szCs w:val="20"/>
          <w:lang w:val="en-GB"/>
        </w:rPr>
        <w:t xml:space="preserve"> Strategy </w:t>
      </w:r>
    </w:p>
    <w:p w14:paraId="550148D1" w14:textId="77777777" w:rsidR="0030012F" w:rsidRPr="004030DB" w:rsidRDefault="00705EED" w:rsidP="00853D6F">
      <w:pPr>
        <w:jc w:val="both"/>
        <w:rPr>
          <w:rFonts w:ascii="Arial" w:hAnsi="Arial" w:cs="Arial"/>
          <w:sz w:val="20"/>
          <w:szCs w:val="20"/>
          <w:lang w:val="en-GB"/>
        </w:rPr>
      </w:pPr>
      <w:r w:rsidRPr="004030DB">
        <w:rPr>
          <w:rFonts w:ascii="Arial" w:hAnsi="Arial" w:cs="Arial"/>
          <w:sz w:val="20"/>
          <w:szCs w:val="20"/>
          <w:lang w:val="en-GB"/>
        </w:rPr>
        <w:t>The Trust has a Strategy and Partnerships team responsible for supporting colleagues to define the vision and direction of the Trust.  They work with leaders to identify opportunities for growth and areas for improvement and develop implementation plans that outline the actions needed to successfully deliver the strategy.</w:t>
      </w:r>
      <w:r w:rsidR="00B17CEB" w:rsidRPr="004030DB">
        <w:rPr>
          <w:rFonts w:ascii="Arial" w:hAnsi="Arial" w:cs="Arial"/>
          <w:sz w:val="20"/>
          <w:szCs w:val="20"/>
          <w:lang w:val="en-GB"/>
        </w:rPr>
        <w:t xml:space="preserve">  </w:t>
      </w:r>
      <w:r w:rsidRPr="004030DB">
        <w:rPr>
          <w:rFonts w:ascii="Arial" w:hAnsi="Arial" w:cs="Arial"/>
          <w:sz w:val="20"/>
          <w:szCs w:val="20"/>
          <w:lang w:val="en-GB"/>
        </w:rPr>
        <w:t>Through these implementation plans and strategy refreshes, they track the progress of strategic initiatives by measuring performance against set targets whilst working to a strict governance schedule.</w:t>
      </w:r>
      <w:r w:rsidR="00B17CEB" w:rsidRPr="004030DB">
        <w:rPr>
          <w:rFonts w:ascii="Arial" w:hAnsi="Arial" w:cs="Arial"/>
          <w:sz w:val="20"/>
          <w:szCs w:val="20"/>
          <w:lang w:val="en-GB"/>
        </w:rPr>
        <w:t xml:space="preserve">  </w:t>
      </w:r>
      <w:r w:rsidRPr="004030DB">
        <w:rPr>
          <w:rFonts w:ascii="Arial" w:hAnsi="Arial" w:cs="Arial"/>
          <w:sz w:val="20"/>
          <w:szCs w:val="20"/>
          <w:lang w:val="en-GB"/>
        </w:rPr>
        <w:t xml:space="preserve">This regular reporting ensures that the Trust stays on track, and can </w:t>
      </w:r>
      <w:r w:rsidR="00C74C2C" w:rsidRPr="004030DB">
        <w:rPr>
          <w:rFonts w:ascii="Arial" w:hAnsi="Arial" w:cs="Arial"/>
          <w:sz w:val="20"/>
          <w:szCs w:val="20"/>
          <w:lang w:val="en-GB"/>
        </w:rPr>
        <w:t>adjust</w:t>
      </w:r>
      <w:r w:rsidRPr="004030DB">
        <w:rPr>
          <w:rFonts w:ascii="Arial" w:hAnsi="Arial" w:cs="Arial"/>
          <w:sz w:val="20"/>
          <w:szCs w:val="20"/>
          <w:lang w:val="en-GB"/>
        </w:rPr>
        <w:t xml:space="preserve"> as needed.</w:t>
      </w:r>
      <w:r w:rsidR="00B17CEB" w:rsidRPr="004030DB">
        <w:rPr>
          <w:rFonts w:ascii="Arial" w:hAnsi="Arial" w:cs="Arial"/>
          <w:sz w:val="20"/>
          <w:szCs w:val="20"/>
          <w:lang w:val="en-GB"/>
        </w:rPr>
        <w:t xml:space="preserve">  </w:t>
      </w:r>
      <w:r w:rsidRPr="004030DB">
        <w:rPr>
          <w:rFonts w:ascii="Arial" w:hAnsi="Arial" w:cs="Arial"/>
          <w:sz w:val="20"/>
          <w:szCs w:val="20"/>
          <w:lang w:val="en-GB"/>
        </w:rPr>
        <w:t>The team fosters a culture of innovation and adaptability, encouraging the Trust to evolve and stay competitive in a changing environment.</w:t>
      </w:r>
      <w:r w:rsidR="00B17CEB" w:rsidRPr="004030DB">
        <w:rPr>
          <w:rFonts w:ascii="Arial" w:hAnsi="Arial" w:cs="Arial"/>
          <w:sz w:val="20"/>
          <w:szCs w:val="20"/>
          <w:lang w:val="en-GB"/>
        </w:rPr>
        <w:t xml:space="preserve">  </w:t>
      </w:r>
      <w:r w:rsidRPr="004030DB">
        <w:rPr>
          <w:rFonts w:ascii="Arial" w:hAnsi="Arial" w:cs="Arial"/>
          <w:sz w:val="20"/>
          <w:szCs w:val="20"/>
          <w:lang w:val="en-GB"/>
        </w:rPr>
        <w:t>The following information is ‘A Year in Strategy’ for the Trust.</w:t>
      </w:r>
    </w:p>
    <w:p w14:paraId="2D535377" w14:textId="77777777" w:rsidR="00705EED" w:rsidRPr="004030DB" w:rsidRDefault="00705EED" w:rsidP="00853D6F">
      <w:pPr>
        <w:jc w:val="both"/>
        <w:rPr>
          <w:rFonts w:ascii="Arial" w:hAnsi="Arial" w:cs="Arial"/>
          <w:sz w:val="20"/>
          <w:szCs w:val="20"/>
          <w:highlight w:val="yellow"/>
          <w:lang w:val="en-GB"/>
        </w:rPr>
      </w:pPr>
    </w:p>
    <w:p w14:paraId="70B5D864" w14:textId="77777777" w:rsidR="0030012F" w:rsidRPr="004030DB" w:rsidRDefault="0030012F" w:rsidP="00853D6F">
      <w:pPr>
        <w:jc w:val="both"/>
        <w:rPr>
          <w:rFonts w:ascii="Arial" w:hAnsi="Arial" w:cs="Arial"/>
          <w:sz w:val="20"/>
          <w:szCs w:val="20"/>
          <w:u w:val="single"/>
        </w:rPr>
      </w:pPr>
      <w:r w:rsidRPr="004030DB">
        <w:rPr>
          <w:rFonts w:ascii="Arial" w:hAnsi="Arial" w:cs="Arial"/>
          <w:sz w:val="20"/>
          <w:szCs w:val="20"/>
          <w:u w:val="single"/>
        </w:rPr>
        <w:t>Clinical Strategy</w:t>
      </w:r>
    </w:p>
    <w:p w14:paraId="0B3B5E35" w14:textId="77777777" w:rsidR="0030012F" w:rsidRPr="004030DB" w:rsidRDefault="0030012F" w:rsidP="00853D6F">
      <w:pPr>
        <w:jc w:val="both"/>
        <w:rPr>
          <w:rFonts w:ascii="Arial" w:hAnsi="Arial" w:cs="Arial"/>
          <w:sz w:val="20"/>
          <w:szCs w:val="20"/>
        </w:rPr>
      </w:pPr>
      <w:r w:rsidRPr="004030DB">
        <w:rPr>
          <w:rFonts w:ascii="Arial" w:hAnsi="Arial" w:cs="Arial"/>
          <w:sz w:val="20"/>
          <w:szCs w:val="20"/>
        </w:rPr>
        <w:t>The Clinical Strategy launched in April 2024 where we completed a full-service review to understand the key ambitions and priorities of our specialties for the next three to five years.</w:t>
      </w:r>
      <w:r w:rsidR="00A27AE6" w:rsidRPr="004030DB">
        <w:rPr>
          <w:rFonts w:ascii="Arial" w:hAnsi="Arial" w:cs="Arial"/>
          <w:sz w:val="20"/>
          <w:szCs w:val="20"/>
        </w:rPr>
        <w:t xml:space="preserve">  </w:t>
      </w:r>
      <w:r w:rsidRPr="004030DB">
        <w:rPr>
          <w:rFonts w:ascii="Arial" w:hAnsi="Arial" w:cs="Arial"/>
          <w:sz w:val="20"/>
          <w:szCs w:val="20"/>
        </w:rPr>
        <w:t>Throughout the first 18 months of our strategy being live, our divisions have made fantastic progress against their delivery plans.</w:t>
      </w:r>
      <w:r w:rsidR="00A27AE6" w:rsidRPr="004030DB">
        <w:rPr>
          <w:rFonts w:ascii="Arial" w:hAnsi="Arial" w:cs="Arial"/>
          <w:sz w:val="20"/>
          <w:szCs w:val="20"/>
        </w:rPr>
        <w:t xml:space="preserve">  </w:t>
      </w:r>
      <w:r w:rsidRPr="004030DB">
        <w:rPr>
          <w:rFonts w:ascii="Arial" w:hAnsi="Arial" w:cs="Arial"/>
          <w:sz w:val="20"/>
          <w:szCs w:val="20"/>
        </w:rPr>
        <w:t>These have been developed alongside annual business planning and capital programming work and they continue to make improvements in line with our Patient First ethos and where necessary aligning to system and national requirements. </w:t>
      </w:r>
    </w:p>
    <w:p w14:paraId="7F99BDB0" w14:textId="77777777" w:rsidR="0030012F" w:rsidRPr="004030DB" w:rsidRDefault="0030012F" w:rsidP="00853D6F">
      <w:pPr>
        <w:jc w:val="both"/>
        <w:rPr>
          <w:rFonts w:ascii="Arial" w:hAnsi="Arial" w:cs="Arial"/>
          <w:sz w:val="20"/>
          <w:szCs w:val="20"/>
        </w:rPr>
      </w:pPr>
    </w:p>
    <w:p w14:paraId="480F101C" w14:textId="77777777" w:rsidR="0030012F" w:rsidRPr="004030DB" w:rsidRDefault="0030012F" w:rsidP="00853D6F">
      <w:pPr>
        <w:jc w:val="both"/>
        <w:rPr>
          <w:rFonts w:ascii="Arial" w:hAnsi="Arial" w:cs="Arial"/>
          <w:sz w:val="20"/>
          <w:szCs w:val="20"/>
          <w:u w:val="single"/>
        </w:rPr>
      </w:pPr>
      <w:r w:rsidRPr="004030DB">
        <w:rPr>
          <w:rFonts w:ascii="Arial" w:hAnsi="Arial" w:cs="Arial"/>
          <w:sz w:val="20"/>
          <w:szCs w:val="20"/>
          <w:u w:val="single"/>
        </w:rPr>
        <w:t xml:space="preserve">Quality Strategy </w:t>
      </w:r>
    </w:p>
    <w:p w14:paraId="04E9CFBA" w14:textId="77777777" w:rsidR="0030012F" w:rsidRPr="004030DB" w:rsidRDefault="0030012F" w:rsidP="00853D6F">
      <w:pPr>
        <w:jc w:val="both"/>
        <w:rPr>
          <w:rFonts w:ascii="Arial" w:hAnsi="Arial" w:cs="Arial"/>
          <w:color w:val="242424"/>
          <w:sz w:val="20"/>
          <w:szCs w:val="20"/>
          <w:shd w:val="clear" w:color="auto" w:fill="FAFAFA"/>
        </w:rPr>
      </w:pPr>
      <w:r w:rsidRPr="004030DB">
        <w:rPr>
          <w:rFonts w:ascii="Arial" w:hAnsi="Arial" w:cs="Arial"/>
          <w:color w:val="242424"/>
          <w:sz w:val="20"/>
          <w:szCs w:val="20"/>
          <w:shd w:val="clear" w:color="auto" w:fill="FAFAFA"/>
        </w:rPr>
        <w:t>The Trust has achieved several Quality successes, including improved complaint response times, reduced breach rates, and compliance with RIDDOR submissions.</w:t>
      </w:r>
      <w:r w:rsidR="00A27AE6" w:rsidRPr="004030DB">
        <w:rPr>
          <w:rFonts w:ascii="Arial" w:hAnsi="Arial" w:cs="Arial"/>
          <w:color w:val="242424"/>
          <w:sz w:val="20"/>
          <w:szCs w:val="20"/>
          <w:shd w:val="clear" w:color="auto" w:fill="FAFAFA"/>
        </w:rPr>
        <w:t xml:space="preserve"> </w:t>
      </w:r>
      <w:r w:rsidRPr="004030DB">
        <w:rPr>
          <w:rFonts w:ascii="Arial" w:hAnsi="Arial" w:cs="Arial"/>
          <w:color w:val="242424"/>
          <w:sz w:val="20"/>
          <w:szCs w:val="20"/>
          <w:shd w:val="clear" w:color="auto" w:fill="FAFAFA"/>
        </w:rPr>
        <w:t xml:space="preserve"> Enhanced patient engagement was facilitated by opening a PALS hub, which increased service visibility.</w:t>
      </w:r>
      <w:r w:rsidR="00A27AE6" w:rsidRPr="004030DB">
        <w:rPr>
          <w:rFonts w:ascii="Arial" w:hAnsi="Arial" w:cs="Arial"/>
          <w:color w:val="242424"/>
          <w:sz w:val="20"/>
          <w:szCs w:val="20"/>
          <w:shd w:val="clear" w:color="auto" w:fill="FAFAFA"/>
        </w:rPr>
        <w:t xml:space="preserve">  </w:t>
      </w:r>
      <w:r w:rsidRPr="004030DB">
        <w:rPr>
          <w:rFonts w:ascii="Arial" w:hAnsi="Arial" w:cs="Arial"/>
          <w:color w:val="242424"/>
          <w:sz w:val="20"/>
          <w:szCs w:val="20"/>
          <w:shd w:val="clear" w:color="auto" w:fill="FAFAFA"/>
        </w:rPr>
        <w:t>Additionally, aligning Quality business partners with care groups and divisions has improved support efficiency, reinforcing the Patient First methodology.</w:t>
      </w:r>
    </w:p>
    <w:p w14:paraId="18D2C5F9" w14:textId="77777777" w:rsidR="0030012F" w:rsidRPr="004030DB" w:rsidRDefault="0030012F" w:rsidP="00853D6F">
      <w:pPr>
        <w:jc w:val="both"/>
        <w:rPr>
          <w:rFonts w:ascii="Arial" w:hAnsi="Arial" w:cs="Arial"/>
          <w:color w:val="242424"/>
          <w:sz w:val="20"/>
          <w:szCs w:val="20"/>
          <w:shd w:val="clear" w:color="auto" w:fill="FAFAFA"/>
        </w:rPr>
      </w:pPr>
    </w:p>
    <w:p w14:paraId="6901AC29" w14:textId="77777777" w:rsidR="0030012F" w:rsidRPr="004030DB" w:rsidRDefault="0030012F" w:rsidP="00853D6F">
      <w:pPr>
        <w:jc w:val="both"/>
        <w:rPr>
          <w:rFonts w:ascii="Arial" w:hAnsi="Arial" w:cs="Arial"/>
          <w:sz w:val="20"/>
          <w:szCs w:val="20"/>
          <w:u w:val="single"/>
        </w:rPr>
      </w:pPr>
      <w:r w:rsidRPr="004030DB">
        <w:rPr>
          <w:rFonts w:ascii="Arial" w:hAnsi="Arial" w:cs="Arial"/>
          <w:sz w:val="20"/>
          <w:szCs w:val="20"/>
          <w:u w:val="single"/>
        </w:rPr>
        <w:t>Patient Experience</w:t>
      </w:r>
    </w:p>
    <w:p w14:paraId="00367E69" w14:textId="77777777" w:rsidR="0030012F" w:rsidRPr="004030DB" w:rsidRDefault="0030012F" w:rsidP="00853D6F">
      <w:pPr>
        <w:jc w:val="both"/>
        <w:rPr>
          <w:rFonts w:ascii="Arial" w:hAnsi="Arial" w:cs="Arial"/>
          <w:color w:val="242424"/>
          <w:sz w:val="20"/>
          <w:szCs w:val="20"/>
          <w:shd w:val="clear" w:color="auto" w:fill="FAFAFA"/>
        </w:rPr>
      </w:pPr>
      <w:r w:rsidRPr="004030DB">
        <w:rPr>
          <w:rFonts w:ascii="Arial" w:hAnsi="Arial" w:cs="Arial"/>
          <w:color w:val="242424"/>
          <w:sz w:val="20"/>
          <w:szCs w:val="20"/>
          <w:shd w:val="clear" w:color="auto" w:fill="FAFAFA"/>
        </w:rPr>
        <w:t>Our refresh included a robust SWOT analysis refresh and more relevant implementation plan actions.</w:t>
      </w:r>
      <w:r w:rsidR="00A27AE6" w:rsidRPr="004030DB">
        <w:rPr>
          <w:rFonts w:ascii="Arial" w:hAnsi="Arial" w:cs="Arial"/>
          <w:color w:val="242424"/>
          <w:sz w:val="20"/>
          <w:szCs w:val="20"/>
          <w:shd w:val="clear" w:color="auto" w:fill="FAFAFA"/>
        </w:rPr>
        <w:t xml:space="preserve">  </w:t>
      </w:r>
      <w:r w:rsidRPr="004030DB">
        <w:rPr>
          <w:rFonts w:ascii="Arial" w:hAnsi="Arial" w:cs="Arial"/>
          <w:color w:val="242424"/>
          <w:sz w:val="20"/>
          <w:szCs w:val="20"/>
          <w:shd w:val="clear" w:color="auto" w:fill="FAFAFA"/>
        </w:rPr>
        <w:t>Successes included increased engagement by involving lay-people and governors in the Patient Experience Group, celebrating staff excellence, and focusing on patients with complex needs.</w:t>
      </w:r>
      <w:r w:rsidR="00A27AE6" w:rsidRPr="004030DB">
        <w:rPr>
          <w:rFonts w:ascii="Arial" w:hAnsi="Arial" w:cs="Arial"/>
          <w:color w:val="242424"/>
          <w:sz w:val="20"/>
          <w:szCs w:val="20"/>
          <w:shd w:val="clear" w:color="auto" w:fill="FAFAFA"/>
        </w:rPr>
        <w:t xml:space="preserve">  </w:t>
      </w:r>
      <w:r w:rsidRPr="004030DB">
        <w:rPr>
          <w:rFonts w:ascii="Arial" w:hAnsi="Arial" w:cs="Arial"/>
          <w:color w:val="242424"/>
          <w:sz w:val="20"/>
          <w:szCs w:val="20"/>
          <w:shd w:val="clear" w:color="auto" w:fill="FAFAFA"/>
        </w:rPr>
        <w:t>We continue to motivate colleagues through improved audit schedules and a combined plan for reducing inpatient falls, hospital-acquired pressure ulcers, and improving pain management.</w:t>
      </w:r>
    </w:p>
    <w:p w14:paraId="459C29A2" w14:textId="77777777" w:rsidR="0030012F" w:rsidRPr="004030DB" w:rsidRDefault="0030012F" w:rsidP="00853D6F">
      <w:pPr>
        <w:jc w:val="both"/>
        <w:rPr>
          <w:rFonts w:ascii="Arial" w:hAnsi="Arial" w:cs="Arial"/>
          <w:color w:val="242424"/>
          <w:sz w:val="20"/>
          <w:szCs w:val="20"/>
          <w:shd w:val="clear" w:color="auto" w:fill="FAFAFA"/>
        </w:rPr>
      </w:pPr>
    </w:p>
    <w:p w14:paraId="12F5FB21" w14:textId="77777777" w:rsidR="0030012F" w:rsidRPr="004030DB" w:rsidRDefault="0030012F" w:rsidP="00853D6F">
      <w:pPr>
        <w:jc w:val="both"/>
        <w:rPr>
          <w:rFonts w:ascii="Arial" w:hAnsi="Arial" w:cs="Arial"/>
          <w:sz w:val="20"/>
          <w:szCs w:val="20"/>
          <w:u w:val="single"/>
        </w:rPr>
      </w:pPr>
      <w:r w:rsidRPr="004030DB">
        <w:rPr>
          <w:rFonts w:ascii="Arial" w:hAnsi="Arial" w:cs="Arial"/>
          <w:sz w:val="20"/>
          <w:szCs w:val="20"/>
          <w:u w:val="single"/>
        </w:rPr>
        <w:t>Research and Innovation</w:t>
      </w:r>
    </w:p>
    <w:p w14:paraId="01AFE999" w14:textId="77777777" w:rsidR="0030012F" w:rsidRPr="004030DB" w:rsidRDefault="0030012F" w:rsidP="00853D6F">
      <w:pPr>
        <w:jc w:val="both"/>
        <w:rPr>
          <w:rFonts w:ascii="Arial" w:hAnsi="Arial" w:cs="Arial"/>
          <w:color w:val="242424"/>
          <w:sz w:val="20"/>
          <w:szCs w:val="20"/>
          <w:shd w:val="clear" w:color="auto" w:fill="FAFAFA"/>
        </w:rPr>
      </w:pPr>
      <w:r w:rsidRPr="004030DB">
        <w:rPr>
          <w:rFonts w:ascii="Arial" w:hAnsi="Arial" w:cs="Arial"/>
          <w:color w:val="242424"/>
          <w:sz w:val="20"/>
          <w:szCs w:val="20"/>
          <w:shd w:val="clear" w:color="auto" w:fill="FAFAFA"/>
        </w:rPr>
        <w:t>The Research and Innovation team has increased home-grown studies, staff publications, presented abstracts at RDF25 and achieved a recruitment target of 2,860 Portfolio Studies.</w:t>
      </w:r>
      <w:r w:rsidR="00A27AE6" w:rsidRPr="004030DB">
        <w:rPr>
          <w:rFonts w:ascii="Arial" w:hAnsi="Arial" w:cs="Arial"/>
          <w:color w:val="242424"/>
          <w:sz w:val="20"/>
          <w:szCs w:val="20"/>
          <w:shd w:val="clear" w:color="auto" w:fill="FAFAFA"/>
        </w:rPr>
        <w:t xml:space="preserve">  </w:t>
      </w:r>
      <w:r w:rsidRPr="004030DB">
        <w:rPr>
          <w:rFonts w:ascii="Arial" w:hAnsi="Arial" w:cs="Arial"/>
          <w:color w:val="242424"/>
          <w:sz w:val="20"/>
          <w:szCs w:val="20"/>
          <w:shd w:val="clear" w:color="auto" w:fill="FAFAFA"/>
        </w:rPr>
        <w:t>To expand visibility, we integrated Research and Innovation into trainee doctors' induction and the Nurse Preceptorship programme.</w:t>
      </w:r>
      <w:r w:rsidR="00A27AE6" w:rsidRPr="004030DB">
        <w:rPr>
          <w:rFonts w:ascii="Arial" w:hAnsi="Arial" w:cs="Arial"/>
          <w:color w:val="242424"/>
          <w:sz w:val="20"/>
          <w:szCs w:val="20"/>
          <w:shd w:val="clear" w:color="auto" w:fill="FAFAFA"/>
        </w:rPr>
        <w:t xml:space="preserve">  </w:t>
      </w:r>
      <w:r w:rsidRPr="004030DB">
        <w:rPr>
          <w:rFonts w:ascii="Arial" w:hAnsi="Arial" w:cs="Arial"/>
          <w:color w:val="242424"/>
          <w:sz w:val="20"/>
          <w:szCs w:val="20"/>
          <w:shd w:val="clear" w:color="auto" w:fill="FAFAFA"/>
        </w:rPr>
        <w:t>The team continues to support staff in achieving excellence in research, and University Hospital status.</w:t>
      </w:r>
    </w:p>
    <w:p w14:paraId="54A1466E" w14:textId="77777777" w:rsidR="0030012F" w:rsidRPr="004030DB" w:rsidRDefault="0030012F" w:rsidP="00853D6F">
      <w:pPr>
        <w:jc w:val="both"/>
        <w:rPr>
          <w:rFonts w:ascii="Arial" w:hAnsi="Arial" w:cs="Arial"/>
          <w:color w:val="242424"/>
          <w:sz w:val="20"/>
          <w:szCs w:val="20"/>
          <w:shd w:val="clear" w:color="auto" w:fill="FAFAFA"/>
        </w:rPr>
      </w:pPr>
    </w:p>
    <w:p w14:paraId="4A17DE7A" w14:textId="77777777" w:rsidR="0030012F" w:rsidRPr="004030DB" w:rsidRDefault="0030012F" w:rsidP="00853D6F">
      <w:pPr>
        <w:jc w:val="both"/>
        <w:rPr>
          <w:rFonts w:ascii="Arial" w:hAnsi="Arial" w:cs="Arial"/>
          <w:sz w:val="20"/>
          <w:szCs w:val="20"/>
          <w:u w:val="single"/>
        </w:rPr>
      </w:pPr>
      <w:r w:rsidRPr="004030DB">
        <w:rPr>
          <w:rFonts w:ascii="Arial" w:hAnsi="Arial" w:cs="Arial"/>
          <w:color w:val="242424"/>
          <w:sz w:val="20"/>
          <w:szCs w:val="20"/>
          <w:u w:val="single"/>
          <w:shd w:val="clear" w:color="auto" w:fill="FAFAFA"/>
        </w:rPr>
        <w:t>Infection Prevention and Control (IPC)</w:t>
      </w:r>
    </w:p>
    <w:p w14:paraId="10BECA1C" w14:textId="77777777" w:rsidR="0030012F" w:rsidRPr="004030DB" w:rsidRDefault="0030012F" w:rsidP="00853D6F">
      <w:pPr>
        <w:jc w:val="both"/>
        <w:rPr>
          <w:rFonts w:ascii="Arial" w:hAnsi="Arial" w:cs="Arial"/>
          <w:color w:val="242424"/>
          <w:sz w:val="20"/>
          <w:szCs w:val="20"/>
          <w:shd w:val="clear" w:color="auto" w:fill="FAFAFA"/>
        </w:rPr>
      </w:pPr>
      <w:r w:rsidRPr="004030DB">
        <w:rPr>
          <w:rFonts w:ascii="Arial" w:hAnsi="Arial" w:cs="Arial"/>
          <w:color w:val="242424"/>
          <w:sz w:val="20"/>
          <w:szCs w:val="20"/>
          <w:shd w:val="clear" w:color="auto" w:fill="FAFAFA"/>
        </w:rPr>
        <w:t>The IPC team introduced responsive teaching sessions and presented at a Patient First Spotlight event.</w:t>
      </w:r>
      <w:r w:rsidR="00D67EEF" w:rsidRPr="004030DB">
        <w:rPr>
          <w:rFonts w:ascii="Arial" w:hAnsi="Arial" w:cs="Arial"/>
          <w:color w:val="242424"/>
          <w:sz w:val="20"/>
          <w:szCs w:val="20"/>
          <w:shd w:val="clear" w:color="auto" w:fill="FAFAFA"/>
        </w:rPr>
        <w:t xml:space="preserve">  </w:t>
      </w:r>
      <w:r w:rsidRPr="004030DB">
        <w:rPr>
          <w:rFonts w:ascii="Arial" w:hAnsi="Arial" w:cs="Arial"/>
          <w:color w:val="242424"/>
          <w:sz w:val="20"/>
          <w:szCs w:val="20"/>
          <w:shd w:val="clear" w:color="auto" w:fill="FAFAFA"/>
        </w:rPr>
        <w:t>We collaborated with ICB, Trust Microbiology, and Estates colleagues to create an evidence-based service report as part of refresh work.</w:t>
      </w:r>
      <w:r w:rsidR="00D67EEF" w:rsidRPr="004030DB">
        <w:rPr>
          <w:rFonts w:ascii="Arial" w:hAnsi="Arial" w:cs="Arial"/>
          <w:color w:val="242424"/>
          <w:sz w:val="20"/>
          <w:szCs w:val="20"/>
          <w:shd w:val="clear" w:color="auto" w:fill="FAFAFA"/>
        </w:rPr>
        <w:t xml:space="preserve">  </w:t>
      </w:r>
      <w:r w:rsidRPr="004030DB">
        <w:rPr>
          <w:rFonts w:ascii="Arial" w:hAnsi="Arial" w:cs="Arial"/>
          <w:color w:val="242424"/>
          <w:sz w:val="20"/>
          <w:szCs w:val="20"/>
          <w:shd w:val="clear" w:color="auto" w:fill="FAFAFA"/>
        </w:rPr>
        <w:t>We are proud to have developed a simulation training package, improving recognition and management of healthcare-associated infections, leading to better patient outcomes.</w:t>
      </w:r>
    </w:p>
    <w:p w14:paraId="025C5B35" w14:textId="77777777" w:rsidR="0030012F" w:rsidRPr="004030DB" w:rsidRDefault="0030012F" w:rsidP="00853D6F">
      <w:pPr>
        <w:jc w:val="both"/>
        <w:rPr>
          <w:rFonts w:ascii="Arial" w:hAnsi="Arial" w:cs="Arial"/>
          <w:color w:val="242424"/>
          <w:sz w:val="20"/>
          <w:szCs w:val="20"/>
          <w:shd w:val="clear" w:color="auto" w:fill="FAFAFA"/>
        </w:rPr>
      </w:pPr>
    </w:p>
    <w:p w14:paraId="2C23BB39" w14:textId="77777777" w:rsidR="0030012F" w:rsidRPr="004030DB" w:rsidRDefault="0030012F" w:rsidP="00853D6F">
      <w:pPr>
        <w:jc w:val="both"/>
        <w:rPr>
          <w:rFonts w:ascii="Arial" w:hAnsi="Arial" w:cs="Arial"/>
          <w:color w:val="242424"/>
          <w:sz w:val="20"/>
          <w:szCs w:val="20"/>
          <w:u w:val="single"/>
          <w:shd w:val="clear" w:color="auto" w:fill="FAFAFA"/>
        </w:rPr>
      </w:pPr>
      <w:r w:rsidRPr="004030DB">
        <w:rPr>
          <w:rFonts w:ascii="Arial" w:hAnsi="Arial" w:cs="Arial"/>
          <w:color w:val="242424"/>
          <w:sz w:val="20"/>
          <w:szCs w:val="20"/>
          <w:u w:val="single"/>
          <w:shd w:val="clear" w:color="auto" w:fill="FAFAFA"/>
        </w:rPr>
        <w:t>Freedom to Speak Up (F2SU)</w:t>
      </w:r>
    </w:p>
    <w:p w14:paraId="71D251AC" w14:textId="77777777" w:rsidR="0030012F" w:rsidRPr="004030DB" w:rsidRDefault="0030012F" w:rsidP="00853D6F">
      <w:pPr>
        <w:jc w:val="both"/>
        <w:rPr>
          <w:rFonts w:ascii="Arial" w:hAnsi="Arial" w:cs="Arial"/>
          <w:color w:val="242424"/>
          <w:sz w:val="20"/>
          <w:szCs w:val="20"/>
          <w:shd w:val="clear" w:color="auto" w:fill="FAFAFA"/>
        </w:rPr>
      </w:pPr>
      <w:r w:rsidRPr="004030DB">
        <w:rPr>
          <w:rFonts w:ascii="Arial" w:hAnsi="Arial" w:cs="Arial"/>
          <w:color w:val="242424"/>
          <w:sz w:val="20"/>
          <w:szCs w:val="20"/>
          <w:shd w:val="clear" w:color="auto" w:fill="FAFAFA"/>
        </w:rPr>
        <w:t>A refreshed Freedom to Speak Up Strategy was completed in January 2025 with the aim of creating an environment and culture where speaking up and listening is business as usual.</w:t>
      </w:r>
      <w:r w:rsidR="00D67EEF" w:rsidRPr="004030DB">
        <w:rPr>
          <w:rFonts w:ascii="Arial" w:hAnsi="Arial" w:cs="Arial"/>
          <w:color w:val="242424"/>
          <w:sz w:val="20"/>
          <w:szCs w:val="20"/>
          <w:shd w:val="clear" w:color="auto" w:fill="FAFAFA"/>
        </w:rPr>
        <w:t xml:space="preserve">  </w:t>
      </w:r>
      <w:r w:rsidRPr="004030DB">
        <w:rPr>
          <w:rFonts w:ascii="Arial" w:hAnsi="Arial" w:cs="Arial"/>
          <w:color w:val="242424"/>
          <w:sz w:val="20"/>
          <w:szCs w:val="20"/>
          <w:shd w:val="clear" w:color="auto" w:fill="FAFAFA"/>
        </w:rPr>
        <w:t>The Strategy was put in place alongside the introduction of The Guardian Service who are providing independent and confidential support to staff.</w:t>
      </w:r>
      <w:r w:rsidR="00D67EEF" w:rsidRPr="004030DB">
        <w:rPr>
          <w:rFonts w:ascii="Arial" w:hAnsi="Arial" w:cs="Arial"/>
          <w:color w:val="242424"/>
          <w:sz w:val="20"/>
          <w:szCs w:val="20"/>
          <w:shd w:val="clear" w:color="auto" w:fill="FAFAFA"/>
        </w:rPr>
        <w:t xml:space="preserve">  </w:t>
      </w:r>
      <w:r w:rsidRPr="004030DB">
        <w:rPr>
          <w:rFonts w:ascii="Arial" w:hAnsi="Arial" w:cs="Arial"/>
          <w:color w:val="242424"/>
          <w:sz w:val="20"/>
          <w:szCs w:val="20"/>
          <w:shd w:val="clear" w:color="auto" w:fill="FAFAFA"/>
        </w:rPr>
        <w:t xml:space="preserve">Absolute Diversity are continuing to lead on transforming our culture and focusing on equality, diversity and inclusion. </w:t>
      </w:r>
    </w:p>
    <w:p w14:paraId="2C942DC5" w14:textId="77777777" w:rsidR="0030012F" w:rsidRPr="004030DB" w:rsidRDefault="0030012F" w:rsidP="00853D6F">
      <w:pPr>
        <w:jc w:val="both"/>
        <w:rPr>
          <w:rFonts w:ascii="Arial" w:hAnsi="Arial" w:cs="Arial"/>
          <w:color w:val="242424"/>
          <w:sz w:val="20"/>
          <w:szCs w:val="20"/>
          <w:shd w:val="clear" w:color="auto" w:fill="FAFAFA"/>
        </w:rPr>
      </w:pPr>
    </w:p>
    <w:p w14:paraId="4BACA2D3" w14:textId="77777777" w:rsidR="0030012F" w:rsidRPr="004030DB" w:rsidRDefault="0030012F" w:rsidP="00853D6F">
      <w:pPr>
        <w:jc w:val="both"/>
        <w:rPr>
          <w:rFonts w:ascii="Arial" w:hAnsi="Arial" w:cs="Arial"/>
          <w:color w:val="242424"/>
          <w:sz w:val="20"/>
          <w:szCs w:val="20"/>
          <w:u w:val="single"/>
          <w:shd w:val="clear" w:color="auto" w:fill="FAFAFA"/>
        </w:rPr>
      </w:pPr>
      <w:r w:rsidRPr="004030DB">
        <w:rPr>
          <w:rFonts w:ascii="Arial" w:hAnsi="Arial" w:cs="Arial"/>
          <w:color w:val="242424"/>
          <w:sz w:val="20"/>
          <w:szCs w:val="20"/>
          <w:u w:val="single"/>
          <w:shd w:val="clear" w:color="auto" w:fill="FAFAFA"/>
        </w:rPr>
        <w:t>Information Governance</w:t>
      </w:r>
    </w:p>
    <w:p w14:paraId="38EF64B3" w14:textId="77777777" w:rsidR="0030012F" w:rsidRPr="004030DB" w:rsidRDefault="0030012F" w:rsidP="00853D6F">
      <w:pPr>
        <w:jc w:val="both"/>
        <w:rPr>
          <w:rFonts w:ascii="Arial" w:hAnsi="Arial" w:cs="Arial"/>
          <w:color w:val="242424"/>
          <w:sz w:val="20"/>
          <w:szCs w:val="20"/>
          <w:shd w:val="clear" w:color="auto" w:fill="FAFAFA"/>
        </w:rPr>
      </w:pPr>
      <w:r w:rsidRPr="004030DB">
        <w:rPr>
          <w:rFonts w:ascii="Arial" w:hAnsi="Arial" w:cs="Arial"/>
          <w:color w:val="242424"/>
          <w:sz w:val="20"/>
          <w:szCs w:val="20"/>
          <w:shd w:val="clear" w:color="auto" w:fill="FAFAFA"/>
        </w:rPr>
        <w:t>Year one priorities focused on improving policies and processes with a review of standing operating procedures, strengthening the Data Security Protection Toolkit, ensuring an improvement in the rate of information releases and raised awareness of the team and its functions.</w:t>
      </w:r>
      <w:r w:rsidR="00D67EEF" w:rsidRPr="004030DB">
        <w:rPr>
          <w:rFonts w:ascii="Arial" w:hAnsi="Arial" w:cs="Arial"/>
          <w:color w:val="242424"/>
          <w:sz w:val="20"/>
          <w:szCs w:val="20"/>
          <w:shd w:val="clear" w:color="auto" w:fill="FAFAFA"/>
        </w:rPr>
        <w:t xml:space="preserve">  </w:t>
      </w:r>
      <w:r w:rsidRPr="004030DB">
        <w:rPr>
          <w:rFonts w:ascii="Arial" w:hAnsi="Arial" w:cs="Arial"/>
          <w:color w:val="242424"/>
          <w:sz w:val="20"/>
          <w:szCs w:val="20"/>
          <w:shd w:val="clear" w:color="auto" w:fill="FAFAFA"/>
        </w:rPr>
        <w:t>The Strategy is underpinned by the three key principles of Patient Safety, Patient Experience and Clinical Effectiveness and Outcomes.</w:t>
      </w:r>
    </w:p>
    <w:p w14:paraId="52F6FE05" w14:textId="77777777" w:rsidR="0030012F" w:rsidRPr="004030DB" w:rsidRDefault="0030012F" w:rsidP="00853D6F">
      <w:pPr>
        <w:jc w:val="both"/>
        <w:rPr>
          <w:rFonts w:ascii="Arial" w:hAnsi="Arial" w:cs="Arial"/>
          <w:color w:val="242424"/>
          <w:sz w:val="20"/>
          <w:szCs w:val="20"/>
          <w:u w:val="single"/>
          <w:shd w:val="clear" w:color="auto" w:fill="FAFAFA"/>
        </w:rPr>
      </w:pPr>
      <w:r w:rsidRPr="004030DB">
        <w:rPr>
          <w:rFonts w:ascii="Arial" w:hAnsi="Arial" w:cs="Arial"/>
          <w:color w:val="242424"/>
          <w:sz w:val="20"/>
          <w:szCs w:val="20"/>
          <w:u w:val="single"/>
          <w:shd w:val="clear" w:color="auto" w:fill="FAFAFA"/>
        </w:rPr>
        <w:lastRenderedPageBreak/>
        <w:t xml:space="preserve">People </w:t>
      </w:r>
    </w:p>
    <w:p w14:paraId="687BDB3C" w14:textId="77777777" w:rsidR="0030012F" w:rsidRPr="004030DB" w:rsidRDefault="0030012F" w:rsidP="00853D6F">
      <w:pPr>
        <w:jc w:val="both"/>
        <w:rPr>
          <w:rFonts w:ascii="Arial" w:hAnsi="Arial" w:cs="Arial"/>
          <w:color w:val="242424"/>
          <w:sz w:val="20"/>
          <w:szCs w:val="20"/>
          <w:shd w:val="clear" w:color="auto" w:fill="FAFAFA"/>
        </w:rPr>
      </w:pPr>
      <w:r w:rsidRPr="004030DB">
        <w:rPr>
          <w:rFonts w:ascii="Arial" w:hAnsi="Arial" w:cs="Arial"/>
          <w:color w:val="242424"/>
          <w:sz w:val="20"/>
          <w:szCs w:val="20"/>
          <w:shd w:val="clear" w:color="auto" w:fill="FAFAFA"/>
        </w:rPr>
        <w:t>The People Strategy focuses on improving culture to ensure staff-led improvements and innovation, empowering staff and promoting the Trust as an employer of choice.</w:t>
      </w:r>
      <w:r w:rsidR="00D67EEF" w:rsidRPr="004030DB">
        <w:rPr>
          <w:rFonts w:ascii="Arial" w:hAnsi="Arial" w:cs="Arial"/>
          <w:color w:val="242424"/>
          <w:sz w:val="20"/>
          <w:szCs w:val="20"/>
          <w:shd w:val="clear" w:color="auto" w:fill="FAFAFA"/>
        </w:rPr>
        <w:t xml:space="preserve">  </w:t>
      </w:r>
      <w:r w:rsidRPr="004030DB">
        <w:rPr>
          <w:rFonts w:ascii="Arial" w:hAnsi="Arial" w:cs="Arial"/>
          <w:color w:val="242424"/>
          <w:sz w:val="20"/>
          <w:szCs w:val="20"/>
          <w:shd w:val="clear" w:color="auto" w:fill="FAFAFA"/>
        </w:rPr>
        <w:t>Focus continues to be on strengthening and growing staff, networks for inclusivity, employee experience and culture and wellbeing.</w:t>
      </w:r>
    </w:p>
    <w:p w14:paraId="72966955" w14:textId="77777777" w:rsidR="0030012F" w:rsidRPr="004030DB" w:rsidRDefault="0030012F" w:rsidP="00853D6F">
      <w:pPr>
        <w:jc w:val="both"/>
        <w:rPr>
          <w:rFonts w:ascii="Arial" w:hAnsi="Arial" w:cs="Arial"/>
          <w:color w:val="242424"/>
          <w:sz w:val="20"/>
          <w:szCs w:val="20"/>
          <w:shd w:val="clear" w:color="auto" w:fill="FAFAFA"/>
        </w:rPr>
      </w:pPr>
    </w:p>
    <w:p w14:paraId="0F53C83C" w14:textId="77777777" w:rsidR="0030012F" w:rsidRPr="004030DB" w:rsidRDefault="0030012F" w:rsidP="00853D6F">
      <w:pPr>
        <w:jc w:val="both"/>
        <w:rPr>
          <w:rFonts w:ascii="Arial" w:hAnsi="Arial" w:cs="Arial"/>
          <w:color w:val="242424"/>
          <w:sz w:val="20"/>
          <w:szCs w:val="20"/>
          <w:u w:val="single"/>
          <w:shd w:val="clear" w:color="auto" w:fill="FAFAFA"/>
        </w:rPr>
      </w:pPr>
      <w:r w:rsidRPr="004030DB">
        <w:rPr>
          <w:rFonts w:ascii="Arial" w:hAnsi="Arial" w:cs="Arial"/>
          <w:color w:val="242424"/>
          <w:sz w:val="20"/>
          <w:szCs w:val="20"/>
          <w:u w:val="single"/>
          <w:shd w:val="clear" w:color="auto" w:fill="FAFAFA"/>
        </w:rPr>
        <w:t>Digital, Data and Technology</w:t>
      </w:r>
    </w:p>
    <w:p w14:paraId="1C355E12" w14:textId="77777777" w:rsidR="0030012F" w:rsidRPr="004030DB" w:rsidRDefault="0030012F" w:rsidP="00853D6F">
      <w:pPr>
        <w:jc w:val="both"/>
        <w:rPr>
          <w:rFonts w:ascii="Arial" w:hAnsi="Arial" w:cs="Arial"/>
          <w:color w:val="242424"/>
          <w:sz w:val="20"/>
          <w:szCs w:val="20"/>
          <w:shd w:val="clear" w:color="auto" w:fill="FAFAFA"/>
        </w:rPr>
      </w:pPr>
      <w:r w:rsidRPr="004030DB">
        <w:rPr>
          <w:rFonts w:ascii="Arial" w:hAnsi="Arial" w:cs="Arial"/>
          <w:color w:val="242424"/>
          <w:sz w:val="20"/>
          <w:szCs w:val="20"/>
          <w:shd w:val="clear" w:color="auto" w:fill="FAFAFA"/>
        </w:rPr>
        <w:t>Supporting the Trusts drive for quality care to our patients, looking to transform services through digital innovation supporting the Patient First agenda.</w:t>
      </w:r>
      <w:r w:rsidR="00D67EEF" w:rsidRPr="004030DB">
        <w:rPr>
          <w:rFonts w:ascii="Arial" w:hAnsi="Arial" w:cs="Arial"/>
          <w:color w:val="242424"/>
          <w:sz w:val="20"/>
          <w:szCs w:val="20"/>
          <w:shd w:val="clear" w:color="auto" w:fill="FAFAFA"/>
        </w:rPr>
        <w:t xml:space="preserve">  </w:t>
      </w:r>
      <w:r w:rsidRPr="004030DB">
        <w:rPr>
          <w:rFonts w:ascii="Arial" w:hAnsi="Arial" w:cs="Arial"/>
          <w:color w:val="242424"/>
          <w:sz w:val="20"/>
          <w:szCs w:val="20"/>
          <w:shd w:val="clear" w:color="auto" w:fill="FAFAFA"/>
        </w:rPr>
        <w:t>Work continues on the four key workstreams of Sustainability, Infrastructure, System and User Experience and is monitored via the monthly DDaT Group and Finance Planning and Performance Committee.</w:t>
      </w:r>
    </w:p>
    <w:p w14:paraId="46669BD3" w14:textId="77777777" w:rsidR="0030012F" w:rsidRPr="004030DB" w:rsidRDefault="0030012F" w:rsidP="00853D6F">
      <w:pPr>
        <w:jc w:val="both"/>
        <w:rPr>
          <w:rFonts w:ascii="Arial" w:hAnsi="Arial" w:cs="Arial"/>
          <w:color w:val="242424"/>
          <w:sz w:val="20"/>
          <w:szCs w:val="20"/>
          <w:shd w:val="clear" w:color="auto" w:fill="FAFAFA"/>
        </w:rPr>
      </w:pPr>
    </w:p>
    <w:p w14:paraId="6974CBD6" w14:textId="77777777" w:rsidR="0030012F" w:rsidRPr="004030DB" w:rsidRDefault="0030012F" w:rsidP="00853D6F">
      <w:pPr>
        <w:jc w:val="both"/>
        <w:rPr>
          <w:rFonts w:ascii="Arial" w:hAnsi="Arial" w:cs="Arial"/>
          <w:sz w:val="20"/>
          <w:szCs w:val="20"/>
          <w:u w:val="single"/>
        </w:rPr>
      </w:pPr>
      <w:r w:rsidRPr="004030DB">
        <w:rPr>
          <w:rFonts w:ascii="Arial" w:hAnsi="Arial" w:cs="Arial"/>
          <w:sz w:val="20"/>
          <w:szCs w:val="20"/>
          <w:u w:val="single"/>
        </w:rPr>
        <w:t xml:space="preserve">Upcoming Strategies </w:t>
      </w:r>
    </w:p>
    <w:p w14:paraId="40BCB6F2" w14:textId="77777777" w:rsidR="0030012F" w:rsidRPr="004030DB" w:rsidRDefault="0030012F" w:rsidP="00E00F90">
      <w:pPr>
        <w:pStyle w:val="ListParagraph"/>
        <w:widowControl/>
        <w:numPr>
          <w:ilvl w:val="0"/>
          <w:numId w:val="55"/>
        </w:numPr>
        <w:spacing w:after="160" w:line="259" w:lineRule="auto"/>
        <w:jc w:val="both"/>
        <w:rPr>
          <w:rFonts w:ascii="Arial" w:hAnsi="Arial" w:cs="Arial"/>
          <w:sz w:val="20"/>
          <w:szCs w:val="20"/>
        </w:rPr>
      </w:pPr>
      <w:r w:rsidRPr="004030DB">
        <w:rPr>
          <w:rFonts w:ascii="Arial" w:hAnsi="Arial" w:cs="Arial"/>
          <w:b/>
          <w:sz w:val="20"/>
          <w:szCs w:val="20"/>
        </w:rPr>
        <w:t>Private Patients</w:t>
      </w:r>
      <w:r w:rsidRPr="004030DB">
        <w:rPr>
          <w:rFonts w:ascii="Arial" w:hAnsi="Arial" w:cs="Arial"/>
          <w:sz w:val="20"/>
          <w:szCs w:val="20"/>
        </w:rPr>
        <w:t xml:space="preserve"> – The Trust is exploring increasing revenue from private work which will ultimately enhance the universal patient experience due to reinvestment.</w:t>
      </w:r>
    </w:p>
    <w:p w14:paraId="22C33277" w14:textId="77777777" w:rsidR="0030012F" w:rsidRPr="004030DB" w:rsidRDefault="0030012F" w:rsidP="00E00F90">
      <w:pPr>
        <w:pStyle w:val="ListParagraph"/>
        <w:widowControl/>
        <w:numPr>
          <w:ilvl w:val="0"/>
          <w:numId w:val="55"/>
        </w:numPr>
        <w:spacing w:after="160" w:line="259" w:lineRule="auto"/>
        <w:jc w:val="both"/>
        <w:rPr>
          <w:rFonts w:ascii="Arial" w:hAnsi="Arial" w:cs="Arial"/>
          <w:sz w:val="20"/>
          <w:szCs w:val="20"/>
        </w:rPr>
      </w:pPr>
      <w:r w:rsidRPr="004030DB">
        <w:rPr>
          <w:rFonts w:ascii="Arial" w:hAnsi="Arial" w:cs="Arial"/>
          <w:b/>
          <w:sz w:val="20"/>
          <w:szCs w:val="20"/>
        </w:rPr>
        <w:t>Cyber Security</w:t>
      </w:r>
      <w:r w:rsidRPr="004030DB">
        <w:rPr>
          <w:rFonts w:ascii="Arial" w:hAnsi="Arial" w:cs="Arial"/>
          <w:sz w:val="20"/>
          <w:szCs w:val="20"/>
        </w:rPr>
        <w:t xml:space="preserve"> – To address the always-present threat of attacks through cyber means, the Trust is working to deliver more resilient cybersecurity, in a strategy, and then an implementation plan.</w:t>
      </w:r>
    </w:p>
    <w:p w14:paraId="3573BCD3" w14:textId="77777777" w:rsidR="0030012F" w:rsidRPr="004030DB" w:rsidRDefault="0030012F" w:rsidP="00E00F90">
      <w:pPr>
        <w:pStyle w:val="ListParagraph"/>
        <w:widowControl/>
        <w:numPr>
          <w:ilvl w:val="0"/>
          <w:numId w:val="55"/>
        </w:numPr>
        <w:spacing w:after="160" w:line="259" w:lineRule="auto"/>
        <w:jc w:val="both"/>
        <w:rPr>
          <w:rFonts w:ascii="Arial" w:hAnsi="Arial" w:cs="Arial"/>
          <w:sz w:val="20"/>
          <w:szCs w:val="20"/>
        </w:rPr>
      </w:pPr>
      <w:r w:rsidRPr="004030DB">
        <w:rPr>
          <w:rFonts w:ascii="Arial" w:hAnsi="Arial" w:cs="Arial"/>
          <w:b/>
          <w:sz w:val="20"/>
          <w:szCs w:val="20"/>
        </w:rPr>
        <w:t>Health and Safety</w:t>
      </w:r>
      <w:r w:rsidRPr="004030DB">
        <w:rPr>
          <w:rFonts w:ascii="Arial" w:hAnsi="Arial" w:cs="Arial"/>
          <w:sz w:val="20"/>
          <w:szCs w:val="20"/>
        </w:rPr>
        <w:t xml:space="preserve"> - </w:t>
      </w:r>
      <w:r w:rsidRPr="004030DB">
        <w:rPr>
          <w:rFonts w:ascii="Arial" w:hAnsi="Arial" w:cs="Arial"/>
          <w:color w:val="242424"/>
          <w:sz w:val="20"/>
          <w:szCs w:val="20"/>
          <w:shd w:val="clear" w:color="auto" w:fill="FAFAFA"/>
        </w:rPr>
        <w:t>Our vision, is to achieve 'Excellence' in health and safety cultural maturity, integrating safety into business activities, ensuring visible senior leadership, strong partnerships, and proactive anticipation and investigation of safety issues.</w:t>
      </w:r>
    </w:p>
    <w:p w14:paraId="341FA9F8" w14:textId="77777777" w:rsidR="0030012F" w:rsidRPr="004030DB" w:rsidRDefault="0030012F" w:rsidP="00E00F90">
      <w:pPr>
        <w:pStyle w:val="ListParagraph"/>
        <w:widowControl/>
        <w:numPr>
          <w:ilvl w:val="0"/>
          <w:numId w:val="55"/>
        </w:numPr>
        <w:spacing w:after="160" w:line="259" w:lineRule="auto"/>
        <w:jc w:val="both"/>
        <w:rPr>
          <w:rFonts w:ascii="Arial" w:hAnsi="Arial" w:cs="Arial"/>
          <w:sz w:val="20"/>
          <w:szCs w:val="20"/>
        </w:rPr>
      </w:pPr>
      <w:r w:rsidRPr="004030DB">
        <w:rPr>
          <w:rFonts w:ascii="Arial" w:hAnsi="Arial" w:cs="Arial"/>
          <w:b/>
          <w:sz w:val="20"/>
          <w:szCs w:val="20"/>
        </w:rPr>
        <w:t>Virtual Hospital</w:t>
      </w:r>
      <w:r w:rsidRPr="004030DB">
        <w:rPr>
          <w:rFonts w:ascii="Arial" w:hAnsi="Arial" w:cs="Arial"/>
          <w:sz w:val="20"/>
          <w:szCs w:val="20"/>
        </w:rPr>
        <w:t xml:space="preserve"> - </w:t>
      </w:r>
      <w:r w:rsidRPr="004030DB">
        <w:rPr>
          <w:rFonts w:ascii="Arial" w:hAnsi="Arial" w:cs="Arial"/>
          <w:color w:val="242424"/>
          <w:sz w:val="20"/>
          <w:szCs w:val="20"/>
          <w:shd w:val="clear" w:color="auto" w:fill="FAFAFA"/>
        </w:rPr>
        <w:t xml:space="preserve">Currently, we operate three high-standard acute virtual wards and plan to create a Virtual Hospital with seven wards, supporting NHS objectives and improving operational efficiency. </w:t>
      </w:r>
      <w:r w:rsidR="00D67EEF" w:rsidRPr="004030DB">
        <w:rPr>
          <w:rFonts w:ascii="Arial" w:hAnsi="Arial" w:cs="Arial"/>
          <w:color w:val="242424"/>
          <w:sz w:val="20"/>
          <w:szCs w:val="20"/>
          <w:shd w:val="clear" w:color="auto" w:fill="FAFAFA"/>
        </w:rPr>
        <w:t xml:space="preserve"> </w:t>
      </w:r>
      <w:r w:rsidRPr="004030DB">
        <w:rPr>
          <w:rFonts w:ascii="Arial" w:hAnsi="Arial" w:cs="Arial"/>
          <w:color w:val="242424"/>
          <w:sz w:val="20"/>
          <w:szCs w:val="20"/>
          <w:shd w:val="clear" w:color="auto" w:fill="FAFAFA"/>
        </w:rPr>
        <w:t>This strategy will enhance patient experience and personalised care through collaboration with system partners.</w:t>
      </w:r>
    </w:p>
    <w:p w14:paraId="3DC8553A" w14:textId="77777777" w:rsidR="0030012F" w:rsidRPr="004030DB" w:rsidRDefault="0030012F" w:rsidP="00E00F90">
      <w:pPr>
        <w:pStyle w:val="ListParagraph"/>
        <w:widowControl/>
        <w:numPr>
          <w:ilvl w:val="0"/>
          <w:numId w:val="55"/>
        </w:numPr>
        <w:spacing w:after="160" w:line="259" w:lineRule="auto"/>
        <w:jc w:val="both"/>
        <w:rPr>
          <w:rFonts w:ascii="Arial" w:hAnsi="Arial" w:cs="Arial"/>
          <w:sz w:val="20"/>
          <w:szCs w:val="20"/>
        </w:rPr>
      </w:pPr>
      <w:r w:rsidRPr="004030DB">
        <w:rPr>
          <w:rFonts w:ascii="Arial" w:hAnsi="Arial" w:cs="Arial"/>
          <w:b/>
          <w:sz w:val="20"/>
          <w:szCs w:val="20"/>
        </w:rPr>
        <w:t>Frailty</w:t>
      </w:r>
      <w:r w:rsidRPr="004030DB">
        <w:rPr>
          <w:rFonts w:ascii="Arial" w:hAnsi="Arial" w:cs="Arial"/>
          <w:sz w:val="20"/>
          <w:szCs w:val="20"/>
        </w:rPr>
        <w:t xml:space="preserve"> – The Trust is working with system partners to contribute to a collaborative system-wide Kent and Medway frailty strategy to inform our own Trust-based Strategy and Implementation Plan.</w:t>
      </w:r>
    </w:p>
    <w:p w14:paraId="497A6C82" w14:textId="77777777" w:rsidR="0030012F" w:rsidRPr="004030DB" w:rsidRDefault="0030012F" w:rsidP="00E00F90">
      <w:pPr>
        <w:pStyle w:val="ListParagraph"/>
        <w:widowControl/>
        <w:numPr>
          <w:ilvl w:val="0"/>
          <w:numId w:val="55"/>
        </w:numPr>
        <w:spacing w:after="160" w:line="259" w:lineRule="auto"/>
        <w:jc w:val="both"/>
        <w:rPr>
          <w:rFonts w:ascii="Arial" w:hAnsi="Arial" w:cs="Arial"/>
          <w:sz w:val="20"/>
          <w:szCs w:val="20"/>
        </w:rPr>
      </w:pPr>
      <w:r w:rsidRPr="004030DB">
        <w:rPr>
          <w:rFonts w:ascii="Arial" w:hAnsi="Arial" w:cs="Arial"/>
          <w:b/>
          <w:sz w:val="20"/>
          <w:szCs w:val="20"/>
        </w:rPr>
        <w:t xml:space="preserve">Patient First Refresh </w:t>
      </w:r>
      <w:r w:rsidRPr="004030DB">
        <w:rPr>
          <w:rFonts w:ascii="Arial" w:hAnsi="Arial" w:cs="Arial"/>
          <w:sz w:val="20"/>
          <w:szCs w:val="20"/>
        </w:rPr>
        <w:t xml:space="preserve">– Proudly showing our achievements from two years since the implementation of Patient First and highlighting the focus for the next year. </w:t>
      </w:r>
    </w:p>
    <w:p w14:paraId="78A19A47" w14:textId="77777777" w:rsidR="002E594A" w:rsidRPr="004030DB" w:rsidRDefault="002E594A" w:rsidP="00853D6F">
      <w:pPr>
        <w:jc w:val="both"/>
        <w:rPr>
          <w:rFonts w:ascii="Arial" w:hAnsi="Arial" w:cs="Arial"/>
          <w:sz w:val="20"/>
          <w:szCs w:val="20"/>
          <w:highlight w:val="yellow"/>
          <w:lang w:val="en-GB"/>
        </w:rPr>
      </w:pPr>
    </w:p>
    <w:p w14:paraId="6AA89AF0" w14:textId="77777777" w:rsidR="002E594A" w:rsidRPr="004030DB" w:rsidRDefault="002E594A" w:rsidP="00853D6F">
      <w:pPr>
        <w:jc w:val="both"/>
        <w:rPr>
          <w:rFonts w:ascii="Arial" w:hAnsi="Arial" w:cs="Arial"/>
          <w:sz w:val="20"/>
          <w:szCs w:val="20"/>
          <w:highlight w:val="yellow"/>
          <w:lang w:val="en-GB"/>
        </w:rPr>
      </w:pPr>
    </w:p>
    <w:p w14:paraId="614CE0D9" w14:textId="77777777" w:rsidR="002E594A" w:rsidRPr="004030DB" w:rsidRDefault="002E594A" w:rsidP="00853D6F">
      <w:pPr>
        <w:jc w:val="both"/>
        <w:rPr>
          <w:rFonts w:ascii="Arial" w:hAnsi="Arial" w:cs="Arial"/>
          <w:sz w:val="20"/>
          <w:szCs w:val="20"/>
          <w:highlight w:val="yellow"/>
          <w:lang w:val="en-GB"/>
        </w:rPr>
      </w:pPr>
    </w:p>
    <w:p w14:paraId="5D5AC1BE" w14:textId="77777777" w:rsidR="002E594A" w:rsidRPr="004030DB" w:rsidRDefault="002E594A" w:rsidP="00853D6F">
      <w:pPr>
        <w:jc w:val="both"/>
        <w:rPr>
          <w:rFonts w:ascii="Arial" w:hAnsi="Arial" w:cs="Arial"/>
          <w:sz w:val="20"/>
          <w:szCs w:val="20"/>
          <w:highlight w:val="yellow"/>
          <w:lang w:val="en-GB"/>
        </w:rPr>
      </w:pPr>
    </w:p>
    <w:p w14:paraId="7DC778DA" w14:textId="77777777" w:rsidR="002E594A" w:rsidRPr="004030DB" w:rsidRDefault="002E594A" w:rsidP="00853D6F">
      <w:pPr>
        <w:jc w:val="both"/>
        <w:rPr>
          <w:rFonts w:ascii="Arial" w:hAnsi="Arial" w:cs="Arial"/>
          <w:sz w:val="20"/>
          <w:szCs w:val="20"/>
          <w:highlight w:val="yellow"/>
          <w:lang w:val="en-GB"/>
        </w:rPr>
      </w:pPr>
    </w:p>
    <w:p w14:paraId="68743370" w14:textId="77777777" w:rsidR="00AC0BAB" w:rsidRDefault="00AC0BAB" w:rsidP="00853D6F">
      <w:pPr>
        <w:jc w:val="both"/>
        <w:rPr>
          <w:rFonts w:ascii="Arial" w:hAnsi="Arial" w:cs="Arial"/>
          <w:sz w:val="20"/>
          <w:szCs w:val="20"/>
          <w:highlight w:val="yellow"/>
          <w:lang w:val="en-GB"/>
        </w:rPr>
      </w:pPr>
    </w:p>
    <w:p w14:paraId="4CE62D6C" w14:textId="77777777" w:rsidR="00C74C2C" w:rsidRDefault="00C74C2C" w:rsidP="00853D6F">
      <w:pPr>
        <w:jc w:val="both"/>
        <w:rPr>
          <w:rFonts w:ascii="Arial" w:hAnsi="Arial" w:cs="Arial"/>
          <w:sz w:val="20"/>
          <w:szCs w:val="20"/>
          <w:highlight w:val="yellow"/>
          <w:lang w:val="en-GB"/>
        </w:rPr>
      </w:pPr>
    </w:p>
    <w:p w14:paraId="35696AFE" w14:textId="77777777" w:rsidR="00C74C2C" w:rsidRDefault="00C74C2C" w:rsidP="00853D6F">
      <w:pPr>
        <w:jc w:val="both"/>
        <w:rPr>
          <w:rFonts w:ascii="Arial" w:hAnsi="Arial" w:cs="Arial"/>
          <w:sz w:val="20"/>
          <w:szCs w:val="20"/>
          <w:highlight w:val="yellow"/>
          <w:lang w:val="en-GB"/>
        </w:rPr>
      </w:pPr>
    </w:p>
    <w:p w14:paraId="283A5530" w14:textId="77777777" w:rsidR="00C74C2C" w:rsidRDefault="00C74C2C" w:rsidP="00853D6F">
      <w:pPr>
        <w:jc w:val="both"/>
        <w:rPr>
          <w:rFonts w:ascii="Arial" w:hAnsi="Arial" w:cs="Arial"/>
          <w:sz w:val="20"/>
          <w:szCs w:val="20"/>
          <w:highlight w:val="yellow"/>
          <w:lang w:val="en-GB"/>
        </w:rPr>
      </w:pPr>
    </w:p>
    <w:p w14:paraId="60E2CDC7" w14:textId="77777777" w:rsidR="00C74C2C" w:rsidRDefault="00C74C2C" w:rsidP="00853D6F">
      <w:pPr>
        <w:jc w:val="both"/>
        <w:rPr>
          <w:rFonts w:ascii="Arial" w:hAnsi="Arial" w:cs="Arial"/>
          <w:sz w:val="20"/>
          <w:szCs w:val="20"/>
          <w:highlight w:val="yellow"/>
          <w:lang w:val="en-GB"/>
        </w:rPr>
      </w:pPr>
    </w:p>
    <w:p w14:paraId="77FD4619" w14:textId="77777777" w:rsidR="00C74C2C" w:rsidRDefault="00C74C2C" w:rsidP="00853D6F">
      <w:pPr>
        <w:jc w:val="both"/>
        <w:rPr>
          <w:rFonts w:ascii="Arial" w:hAnsi="Arial" w:cs="Arial"/>
          <w:sz w:val="20"/>
          <w:szCs w:val="20"/>
          <w:highlight w:val="yellow"/>
          <w:lang w:val="en-GB"/>
        </w:rPr>
      </w:pPr>
    </w:p>
    <w:p w14:paraId="4A77221F" w14:textId="77777777" w:rsidR="00C74C2C" w:rsidRDefault="00C74C2C" w:rsidP="00853D6F">
      <w:pPr>
        <w:jc w:val="both"/>
        <w:rPr>
          <w:rFonts w:ascii="Arial" w:hAnsi="Arial" w:cs="Arial"/>
          <w:sz w:val="20"/>
          <w:szCs w:val="20"/>
          <w:highlight w:val="yellow"/>
          <w:lang w:val="en-GB"/>
        </w:rPr>
      </w:pPr>
    </w:p>
    <w:p w14:paraId="5764CE9C" w14:textId="77777777" w:rsidR="00C74C2C" w:rsidRDefault="00C74C2C" w:rsidP="00853D6F">
      <w:pPr>
        <w:jc w:val="both"/>
        <w:rPr>
          <w:rFonts w:ascii="Arial" w:hAnsi="Arial" w:cs="Arial"/>
          <w:sz w:val="20"/>
          <w:szCs w:val="20"/>
          <w:highlight w:val="yellow"/>
          <w:lang w:val="en-GB"/>
        </w:rPr>
      </w:pPr>
    </w:p>
    <w:p w14:paraId="51571E39" w14:textId="77777777" w:rsidR="00C74C2C" w:rsidRDefault="00C74C2C" w:rsidP="00853D6F">
      <w:pPr>
        <w:jc w:val="both"/>
        <w:rPr>
          <w:rFonts w:ascii="Arial" w:hAnsi="Arial" w:cs="Arial"/>
          <w:sz w:val="20"/>
          <w:szCs w:val="20"/>
          <w:highlight w:val="yellow"/>
          <w:lang w:val="en-GB"/>
        </w:rPr>
      </w:pPr>
    </w:p>
    <w:p w14:paraId="162F4B99" w14:textId="77777777" w:rsidR="00C74C2C" w:rsidRDefault="00C74C2C" w:rsidP="00853D6F">
      <w:pPr>
        <w:jc w:val="both"/>
        <w:rPr>
          <w:rFonts w:ascii="Arial" w:hAnsi="Arial" w:cs="Arial"/>
          <w:sz w:val="20"/>
          <w:szCs w:val="20"/>
          <w:highlight w:val="yellow"/>
          <w:lang w:val="en-GB"/>
        </w:rPr>
      </w:pPr>
    </w:p>
    <w:p w14:paraId="2F73ECB9" w14:textId="77777777" w:rsidR="00C74C2C" w:rsidRDefault="00C74C2C" w:rsidP="00853D6F">
      <w:pPr>
        <w:jc w:val="both"/>
        <w:rPr>
          <w:rFonts w:ascii="Arial" w:hAnsi="Arial" w:cs="Arial"/>
          <w:sz w:val="20"/>
          <w:szCs w:val="20"/>
          <w:highlight w:val="yellow"/>
          <w:lang w:val="en-GB"/>
        </w:rPr>
      </w:pPr>
    </w:p>
    <w:p w14:paraId="0D4D3B45" w14:textId="77777777" w:rsidR="00C74C2C" w:rsidRDefault="00C74C2C" w:rsidP="00853D6F">
      <w:pPr>
        <w:jc w:val="both"/>
        <w:rPr>
          <w:rFonts w:ascii="Arial" w:hAnsi="Arial" w:cs="Arial"/>
          <w:sz w:val="20"/>
          <w:szCs w:val="20"/>
          <w:highlight w:val="yellow"/>
          <w:lang w:val="en-GB"/>
        </w:rPr>
      </w:pPr>
    </w:p>
    <w:p w14:paraId="66E7732C" w14:textId="77777777" w:rsidR="00C74C2C" w:rsidRDefault="00C74C2C" w:rsidP="00853D6F">
      <w:pPr>
        <w:jc w:val="both"/>
        <w:rPr>
          <w:rFonts w:ascii="Arial" w:hAnsi="Arial" w:cs="Arial"/>
          <w:sz w:val="20"/>
          <w:szCs w:val="20"/>
          <w:highlight w:val="yellow"/>
          <w:lang w:val="en-GB"/>
        </w:rPr>
      </w:pPr>
    </w:p>
    <w:p w14:paraId="583A4629" w14:textId="77777777" w:rsidR="00C74C2C" w:rsidRDefault="00C74C2C" w:rsidP="00853D6F">
      <w:pPr>
        <w:jc w:val="both"/>
        <w:rPr>
          <w:rFonts w:ascii="Arial" w:hAnsi="Arial" w:cs="Arial"/>
          <w:sz w:val="20"/>
          <w:szCs w:val="20"/>
          <w:highlight w:val="yellow"/>
          <w:lang w:val="en-GB"/>
        </w:rPr>
      </w:pPr>
    </w:p>
    <w:p w14:paraId="4EA2714E" w14:textId="77777777" w:rsidR="00C74C2C" w:rsidRDefault="00C74C2C" w:rsidP="00853D6F">
      <w:pPr>
        <w:jc w:val="both"/>
        <w:rPr>
          <w:rFonts w:ascii="Arial" w:hAnsi="Arial" w:cs="Arial"/>
          <w:sz w:val="20"/>
          <w:szCs w:val="20"/>
          <w:highlight w:val="yellow"/>
          <w:lang w:val="en-GB"/>
        </w:rPr>
      </w:pPr>
    </w:p>
    <w:p w14:paraId="48E19214" w14:textId="77777777" w:rsidR="00C74C2C" w:rsidRDefault="00C74C2C" w:rsidP="00853D6F">
      <w:pPr>
        <w:jc w:val="both"/>
        <w:rPr>
          <w:rFonts w:ascii="Arial" w:hAnsi="Arial" w:cs="Arial"/>
          <w:sz w:val="20"/>
          <w:szCs w:val="20"/>
          <w:highlight w:val="yellow"/>
          <w:lang w:val="en-GB"/>
        </w:rPr>
      </w:pPr>
    </w:p>
    <w:p w14:paraId="10ADF3D1" w14:textId="77777777" w:rsidR="00C74C2C" w:rsidRDefault="00C74C2C" w:rsidP="00853D6F">
      <w:pPr>
        <w:jc w:val="both"/>
        <w:rPr>
          <w:rFonts w:ascii="Arial" w:hAnsi="Arial" w:cs="Arial"/>
          <w:sz w:val="20"/>
          <w:szCs w:val="20"/>
          <w:highlight w:val="yellow"/>
          <w:lang w:val="en-GB"/>
        </w:rPr>
      </w:pPr>
    </w:p>
    <w:p w14:paraId="7C6F57A3" w14:textId="77777777" w:rsidR="00C74C2C" w:rsidRDefault="00C74C2C" w:rsidP="00853D6F">
      <w:pPr>
        <w:jc w:val="both"/>
        <w:rPr>
          <w:rFonts w:ascii="Arial" w:hAnsi="Arial" w:cs="Arial"/>
          <w:sz w:val="20"/>
          <w:szCs w:val="20"/>
          <w:highlight w:val="yellow"/>
          <w:lang w:val="en-GB"/>
        </w:rPr>
      </w:pPr>
    </w:p>
    <w:p w14:paraId="568209B1" w14:textId="77777777" w:rsidR="00C74C2C" w:rsidRDefault="00C74C2C" w:rsidP="00853D6F">
      <w:pPr>
        <w:jc w:val="both"/>
        <w:rPr>
          <w:rFonts w:ascii="Arial" w:hAnsi="Arial" w:cs="Arial"/>
          <w:sz w:val="20"/>
          <w:szCs w:val="20"/>
          <w:highlight w:val="yellow"/>
          <w:lang w:val="en-GB"/>
        </w:rPr>
      </w:pPr>
    </w:p>
    <w:p w14:paraId="55BAA058" w14:textId="77777777" w:rsidR="00C74C2C" w:rsidRDefault="00C74C2C" w:rsidP="00853D6F">
      <w:pPr>
        <w:jc w:val="both"/>
        <w:rPr>
          <w:rFonts w:ascii="Arial" w:hAnsi="Arial" w:cs="Arial"/>
          <w:sz w:val="20"/>
          <w:szCs w:val="20"/>
          <w:highlight w:val="yellow"/>
          <w:lang w:val="en-GB"/>
        </w:rPr>
      </w:pPr>
    </w:p>
    <w:p w14:paraId="73A63006" w14:textId="77777777" w:rsidR="00C74C2C" w:rsidRDefault="00C74C2C" w:rsidP="00853D6F">
      <w:pPr>
        <w:jc w:val="both"/>
        <w:rPr>
          <w:rFonts w:ascii="Arial" w:hAnsi="Arial" w:cs="Arial"/>
          <w:sz w:val="20"/>
          <w:szCs w:val="20"/>
          <w:highlight w:val="yellow"/>
          <w:lang w:val="en-GB"/>
        </w:rPr>
      </w:pPr>
    </w:p>
    <w:p w14:paraId="498D5123" w14:textId="77777777" w:rsidR="00C74C2C" w:rsidRPr="004030DB" w:rsidRDefault="00C74C2C" w:rsidP="00853D6F">
      <w:pPr>
        <w:jc w:val="both"/>
        <w:rPr>
          <w:rFonts w:ascii="Arial" w:hAnsi="Arial" w:cs="Arial"/>
          <w:sz w:val="20"/>
          <w:szCs w:val="20"/>
          <w:highlight w:val="yellow"/>
          <w:lang w:val="en-GB"/>
        </w:rPr>
      </w:pPr>
    </w:p>
    <w:p w14:paraId="4D6E8867" w14:textId="77777777" w:rsidR="00AC0BAB" w:rsidRPr="004030DB" w:rsidRDefault="00AC0BAB" w:rsidP="00853D6F">
      <w:pPr>
        <w:jc w:val="both"/>
        <w:rPr>
          <w:rFonts w:ascii="Arial" w:hAnsi="Arial" w:cs="Arial"/>
          <w:sz w:val="20"/>
          <w:szCs w:val="20"/>
          <w:highlight w:val="yellow"/>
          <w:lang w:val="en-GB"/>
        </w:rPr>
      </w:pPr>
    </w:p>
    <w:p w14:paraId="2473A558" w14:textId="77777777" w:rsidR="00010A15" w:rsidRPr="004030DB" w:rsidRDefault="00010A15" w:rsidP="00853D6F">
      <w:pPr>
        <w:jc w:val="both"/>
        <w:rPr>
          <w:rFonts w:ascii="Arial" w:hAnsi="Arial" w:cs="Arial"/>
          <w:b/>
          <w:sz w:val="20"/>
          <w:szCs w:val="20"/>
          <w:lang w:val="en-GB"/>
        </w:rPr>
      </w:pPr>
      <w:r w:rsidRPr="004030DB">
        <w:rPr>
          <w:rFonts w:ascii="Arial" w:hAnsi="Arial" w:cs="Arial"/>
          <w:b/>
          <w:sz w:val="20"/>
          <w:szCs w:val="20"/>
          <w:lang w:val="en-GB"/>
        </w:rPr>
        <w:lastRenderedPageBreak/>
        <w:t xml:space="preserve">Statement as to </w:t>
      </w:r>
      <w:r w:rsidR="003D07B6" w:rsidRPr="004030DB">
        <w:rPr>
          <w:rFonts w:ascii="Arial" w:hAnsi="Arial" w:cs="Arial"/>
          <w:b/>
          <w:sz w:val="20"/>
          <w:szCs w:val="20"/>
          <w:lang w:val="en-GB"/>
        </w:rPr>
        <w:t>D</w:t>
      </w:r>
      <w:r w:rsidRPr="004030DB">
        <w:rPr>
          <w:rFonts w:ascii="Arial" w:hAnsi="Arial" w:cs="Arial"/>
          <w:b/>
          <w:sz w:val="20"/>
          <w:szCs w:val="20"/>
          <w:lang w:val="en-GB"/>
        </w:rPr>
        <w:t xml:space="preserve">isclosure to </w:t>
      </w:r>
      <w:r w:rsidR="003D07B6" w:rsidRPr="004030DB">
        <w:rPr>
          <w:rFonts w:ascii="Arial" w:hAnsi="Arial" w:cs="Arial"/>
          <w:b/>
          <w:sz w:val="20"/>
          <w:szCs w:val="20"/>
          <w:lang w:val="en-GB"/>
        </w:rPr>
        <w:t>A</w:t>
      </w:r>
      <w:r w:rsidRPr="004030DB">
        <w:rPr>
          <w:rFonts w:ascii="Arial" w:hAnsi="Arial" w:cs="Arial"/>
          <w:b/>
          <w:sz w:val="20"/>
          <w:szCs w:val="20"/>
          <w:lang w:val="en-GB"/>
        </w:rPr>
        <w:t>uditors</w:t>
      </w:r>
      <w:r w:rsidR="00870E42" w:rsidRPr="004030DB">
        <w:rPr>
          <w:rFonts w:ascii="Arial" w:hAnsi="Arial" w:cs="Arial"/>
          <w:b/>
          <w:color w:val="FF0000"/>
          <w:sz w:val="20"/>
          <w:szCs w:val="20"/>
          <w:lang w:val="en-GB"/>
        </w:rPr>
        <w:t xml:space="preserve"> </w:t>
      </w:r>
    </w:p>
    <w:p w14:paraId="039AF737" w14:textId="77777777" w:rsidR="00C30BE6" w:rsidRPr="004030DB" w:rsidRDefault="00C30BE6" w:rsidP="00853D6F">
      <w:pPr>
        <w:jc w:val="both"/>
        <w:rPr>
          <w:rFonts w:ascii="Arial" w:hAnsi="Arial" w:cs="Arial"/>
          <w:sz w:val="20"/>
          <w:szCs w:val="20"/>
          <w:lang w:val="en-GB"/>
        </w:rPr>
      </w:pPr>
    </w:p>
    <w:p w14:paraId="6B0AAF14" w14:textId="77777777" w:rsidR="00010A15" w:rsidRPr="004030DB" w:rsidRDefault="00010A15" w:rsidP="00853D6F">
      <w:pPr>
        <w:jc w:val="both"/>
        <w:rPr>
          <w:rFonts w:ascii="Arial" w:hAnsi="Arial" w:cs="Arial"/>
          <w:sz w:val="20"/>
          <w:szCs w:val="20"/>
          <w:lang w:val="en-GB"/>
        </w:rPr>
      </w:pPr>
      <w:r w:rsidRPr="004030DB">
        <w:rPr>
          <w:rFonts w:ascii="Arial" w:hAnsi="Arial" w:cs="Arial"/>
          <w:sz w:val="20"/>
          <w:szCs w:val="20"/>
          <w:lang w:val="en-GB"/>
        </w:rPr>
        <w:t xml:space="preserve">Each individual who is a </w:t>
      </w:r>
      <w:r w:rsidR="003D07B6" w:rsidRPr="004030DB">
        <w:rPr>
          <w:rFonts w:ascii="Arial" w:hAnsi="Arial" w:cs="Arial"/>
          <w:sz w:val="20"/>
          <w:szCs w:val="20"/>
          <w:lang w:val="en-GB"/>
        </w:rPr>
        <w:t>D</w:t>
      </w:r>
      <w:r w:rsidRPr="004030DB">
        <w:rPr>
          <w:rFonts w:ascii="Arial" w:hAnsi="Arial" w:cs="Arial"/>
          <w:sz w:val="20"/>
          <w:szCs w:val="20"/>
          <w:lang w:val="en-GB"/>
        </w:rPr>
        <w:t>irector at the date of approval of this report confirms that:</w:t>
      </w:r>
    </w:p>
    <w:p w14:paraId="13EB71A7" w14:textId="77777777" w:rsidR="00010A15" w:rsidRPr="004030DB" w:rsidRDefault="00010A15" w:rsidP="00853D6F">
      <w:pPr>
        <w:jc w:val="both"/>
        <w:rPr>
          <w:rFonts w:ascii="Arial" w:hAnsi="Arial" w:cs="Arial"/>
          <w:sz w:val="20"/>
          <w:szCs w:val="20"/>
          <w:lang w:val="en-GB"/>
        </w:rPr>
      </w:pPr>
    </w:p>
    <w:p w14:paraId="4A73CFFC" w14:textId="77777777" w:rsidR="00010A15" w:rsidRPr="004030DB" w:rsidRDefault="007B3FB9" w:rsidP="00853D6F">
      <w:pPr>
        <w:pStyle w:val="ListParagraph"/>
        <w:numPr>
          <w:ilvl w:val="0"/>
          <w:numId w:val="6"/>
        </w:numPr>
        <w:ind w:left="426"/>
        <w:jc w:val="both"/>
        <w:rPr>
          <w:rFonts w:ascii="Arial" w:hAnsi="Arial" w:cs="Arial"/>
          <w:sz w:val="20"/>
          <w:szCs w:val="20"/>
          <w:lang w:val="en-GB"/>
        </w:rPr>
      </w:pPr>
      <w:r w:rsidRPr="004030DB">
        <w:rPr>
          <w:rFonts w:ascii="Arial" w:hAnsi="Arial" w:cs="Arial"/>
          <w:sz w:val="20"/>
          <w:szCs w:val="20"/>
          <w:lang w:val="en-GB"/>
        </w:rPr>
        <w:t>T</w:t>
      </w:r>
      <w:r w:rsidR="00010A15" w:rsidRPr="004030DB">
        <w:rPr>
          <w:rFonts w:ascii="Arial" w:hAnsi="Arial" w:cs="Arial"/>
          <w:sz w:val="20"/>
          <w:szCs w:val="20"/>
          <w:lang w:val="en-GB"/>
        </w:rPr>
        <w:t xml:space="preserve">hey consider the annual report and accounts, taken as a whole, is fair, balanced and understandable and provides the information necessary </w:t>
      </w:r>
      <w:r w:rsidR="003D07B6" w:rsidRPr="004030DB">
        <w:rPr>
          <w:rFonts w:ascii="Arial" w:hAnsi="Arial" w:cs="Arial"/>
          <w:sz w:val="20"/>
          <w:szCs w:val="20"/>
          <w:lang w:val="en-GB"/>
        </w:rPr>
        <w:t>for stakeholders to assess the T</w:t>
      </w:r>
      <w:r w:rsidR="00010A15" w:rsidRPr="004030DB">
        <w:rPr>
          <w:rFonts w:ascii="Arial" w:hAnsi="Arial" w:cs="Arial"/>
          <w:sz w:val="20"/>
          <w:szCs w:val="20"/>
          <w:lang w:val="en-GB"/>
        </w:rPr>
        <w:t>rust’s performance, business model and strategy</w:t>
      </w:r>
      <w:r w:rsidRPr="004030DB">
        <w:rPr>
          <w:rFonts w:ascii="Arial" w:hAnsi="Arial" w:cs="Arial"/>
          <w:sz w:val="20"/>
          <w:szCs w:val="20"/>
          <w:lang w:val="en-GB"/>
        </w:rPr>
        <w:t>.</w:t>
      </w:r>
    </w:p>
    <w:p w14:paraId="57FED8DA" w14:textId="77777777" w:rsidR="00010A15" w:rsidRPr="004030DB" w:rsidRDefault="007B3FB9" w:rsidP="00853D6F">
      <w:pPr>
        <w:pStyle w:val="ListParagraph"/>
        <w:numPr>
          <w:ilvl w:val="0"/>
          <w:numId w:val="6"/>
        </w:numPr>
        <w:ind w:left="426"/>
        <w:jc w:val="both"/>
        <w:rPr>
          <w:rFonts w:ascii="Arial" w:hAnsi="Arial" w:cs="Arial"/>
          <w:sz w:val="20"/>
          <w:szCs w:val="20"/>
          <w:lang w:val="en-GB"/>
        </w:rPr>
      </w:pPr>
      <w:r w:rsidRPr="004030DB">
        <w:rPr>
          <w:rFonts w:ascii="Arial" w:hAnsi="Arial" w:cs="Arial"/>
          <w:sz w:val="20"/>
          <w:szCs w:val="20"/>
          <w:lang w:val="en-GB"/>
        </w:rPr>
        <w:t>S</w:t>
      </w:r>
      <w:r w:rsidR="00010A15" w:rsidRPr="004030DB">
        <w:rPr>
          <w:rFonts w:ascii="Arial" w:hAnsi="Arial" w:cs="Arial"/>
          <w:sz w:val="20"/>
          <w:szCs w:val="20"/>
          <w:lang w:val="en-GB"/>
        </w:rPr>
        <w:t xml:space="preserve">o far as the </w:t>
      </w:r>
      <w:r w:rsidR="003D07B6" w:rsidRPr="004030DB">
        <w:rPr>
          <w:rFonts w:ascii="Arial" w:hAnsi="Arial" w:cs="Arial"/>
          <w:sz w:val="20"/>
          <w:szCs w:val="20"/>
          <w:lang w:val="en-GB"/>
        </w:rPr>
        <w:t>D</w:t>
      </w:r>
      <w:r w:rsidR="00010A15" w:rsidRPr="004030DB">
        <w:rPr>
          <w:rFonts w:ascii="Arial" w:hAnsi="Arial" w:cs="Arial"/>
          <w:sz w:val="20"/>
          <w:szCs w:val="20"/>
          <w:lang w:val="en-GB"/>
        </w:rPr>
        <w:t>irector is aware, there is no relevant audit information of which the NHS</w:t>
      </w:r>
      <w:r w:rsidRPr="004030DB">
        <w:rPr>
          <w:rFonts w:ascii="Arial" w:hAnsi="Arial" w:cs="Arial"/>
          <w:sz w:val="20"/>
          <w:szCs w:val="20"/>
          <w:lang w:val="en-GB"/>
        </w:rPr>
        <w:t xml:space="preserve"> F</w:t>
      </w:r>
      <w:r w:rsidR="003D07B6" w:rsidRPr="004030DB">
        <w:rPr>
          <w:rFonts w:ascii="Arial" w:hAnsi="Arial" w:cs="Arial"/>
          <w:sz w:val="20"/>
          <w:szCs w:val="20"/>
          <w:lang w:val="en-GB"/>
        </w:rPr>
        <w:t>oundation Trust’s A</w:t>
      </w:r>
      <w:r w:rsidR="00010A15" w:rsidRPr="004030DB">
        <w:rPr>
          <w:rFonts w:ascii="Arial" w:hAnsi="Arial" w:cs="Arial"/>
          <w:sz w:val="20"/>
          <w:szCs w:val="20"/>
          <w:lang w:val="en-GB"/>
        </w:rPr>
        <w:t>uditors are unaware</w:t>
      </w:r>
      <w:r w:rsidRPr="004030DB">
        <w:rPr>
          <w:rFonts w:ascii="Arial" w:hAnsi="Arial" w:cs="Arial"/>
          <w:sz w:val="20"/>
          <w:szCs w:val="20"/>
          <w:lang w:val="en-GB"/>
        </w:rPr>
        <w:t>.</w:t>
      </w:r>
    </w:p>
    <w:p w14:paraId="66D20905" w14:textId="77777777" w:rsidR="00010A15" w:rsidRPr="004030DB" w:rsidRDefault="007B3FB9" w:rsidP="00853D6F">
      <w:pPr>
        <w:pStyle w:val="ListParagraph"/>
        <w:numPr>
          <w:ilvl w:val="0"/>
          <w:numId w:val="6"/>
        </w:numPr>
        <w:ind w:left="426"/>
        <w:jc w:val="both"/>
        <w:rPr>
          <w:rFonts w:ascii="Arial" w:hAnsi="Arial" w:cs="Arial"/>
          <w:sz w:val="20"/>
          <w:szCs w:val="20"/>
          <w:lang w:val="en-GB"/>
        </w:rPr>
      </w:pPr>
      <w:r w:rsidRPr="004030DB">
        <w:rPr>
          <w:rFonts w:ascii="Arial" w:hAnsi="Arial" w:cs="Arial"/>
          <w:sz w:val="20"/>
          <w:szCs w:val="20"/>
          <w:lang w:val="en-GB"/>
        </w:rPr>
        <w:t>T</w:t>
      </w:r>
      <w:r w:rsidR="00010A15" w:rsidRPr="004030DB">
        <w:rPr>
          <w:rFonts w:ascii="Arial" w:hAnsi="Arial" w:cs="Arial"/>
          <w:sz w:val="20"/>
          <w:szCs w:val="20"/>
          <w:lang w:val="en-GB"/>
        </w:rPr>
        <w:t xml:space="preserve">hey have taken all the steps that they ought to have taken as a </w:t>
      </w:r>
      <w:r w:rsidR="003D07B6" w:rsidRPr="004030DB">
        <w:rPr>
          <w:rFonts w:ascii="Arial" w:hAnsi="Arial" w:cs="Arial"/>
          <w:sz w:val="20"/>
          <w:szCs w:val="20"/>
          <w:lang w:val="en-GB"/>
        </w:rPr>
        <w:t>D</w:t>
      </w:r>
      <w:r w:rsidR="00010A15" w:rsidRPr="004030DB">
        <w:rPr>
          <w:rFonts w:ascii="Arial" w:hAnsi="Arial" w:cs="Arial"/>
          <w:sz w:val="20"/>
          <w:szCs w:val="20"/>
          <w:lang w:val="en-GB"/>
        </w:rPr>
        <w:t xml:space="preserve">irector in order to make themselves aware of any relevant audit information and to establish that the Medway NHS Foundation Trust’s </w:t>
      </w:r>
      <w:r w:rsidR="003D07B6" w:rsidRPr="004030DB">
        <w:rPr>
          <w:rFonts w:ascii="Arial" w:hAnsi="Arial" w:cs="Arial"/>
          <w:sz w:val="20"/>
          <w:szCs w:val="20"/>
          <w:lang w:val="en-GB"/>
        </w:rPr>
        <w:t>A</w:t>
      </w:r>
      <w:r w:rsidR="00010A15" w:rsidRPr="004030DB">
        <w:rPr>
          <w:rFonts w:ascii="Arial" w:hAnsi="Arial" w:cs="Arial"/>
          <w:sz w:val="20"/>
          <w:szCs w:val="20"/>
          <w:lang w:val="en-GB"/>
        </w:rPr>
        <w:t>uditors are aware of that information.</w:t>
      </w:r>
    </w:p>
    <w:p w14:paraId="22B0FF40" w14:textId="77777777" w:rsidR="00010A15" w:rsidRPr="004030DB" w:rsidRDefault="00010A15" w:rsidP="00853D6F">
      <w:pPr>
        <w:jc w:val="both"/>
        <w:rPr>
          <w:rFonts w:ascii="Arial" w:hAnsi="Arial" w:cs="Arial"/>
          <w:sz w:val="20"/>
          <w:szCs w:val="20"/>
          <w:lang w:val="en-GB"/>
        </w:rPr>
      </w:pPr>
    </w:p>
    <w:p w14:paraId="7B3D0C71" w14:textId="77777777" w:rsidR="00010A15" w:rsidRPr="004030DB" w:rsidRDefault="00010A15" w:rsidP="00853D6F">
      <w:pPr>
        <w:jc w:val="both"/>
        <w:rPr>
          <w:rFonts w:ascii="Arial" w:hAnsi="Arial" w:cs="Arial"/>
          <w:sz w:val="20"/>
          <w:szCs w:val="20"/>
          <w:lang w:val="en-GB"/>
        </w:rPr>
      </w:pPr>
      <w:r w:rsidRPr="004030DB">
        <w:rPr>
          <w:rFonts w:ascii="Arial" w:hAnsi="Arial" w:cs="Arial"/>
          <w:sz w:val="20"/>
          <w:szCs w:val="20"/>
          <w:lang w:val="en-GB"/>
        </w:rPr>
        <w:t xml:space="preserve">The </w:t>
      </w:r>
      <w:r w:rsidR="003D07B6" w:rsidRPr="004030DB">
        <w:rPr>
          <w:rFonts w:ascii="Arial" w:hAnsi="Arial" w:cs="Arial"/>
          <w:sz w:val="20"/>
          <w:szCs w:val="20"/>
          <w:lang w:val="en-GB"/>
        </w:rPr>
        <w:t>D</w:t>
      </w:r>
      <w:r w:rsidRPr="004030DB">
        <w:rPr>
          <w:rFonts w:ascii="Arial" w:hAnsi="Arial" w:cs="Arial"/>
          <w:sz w:val="20"/>
          <w:szCs w:val="20"/>
          <w:lang w:val="en-GB"/>
        </w:rPr>
        <w:t>irectors have taken all the steps that they ought to have taken as directors in order to do the things mentioned above, and:</w:t>
      </w:r>
    </w:p>
    <w:p w14:paraId="70135537" w14:textId="77777777" w:rsidR="00010A15" w:rsidRPr="004030DB" w:rsidRDefault="00010A15" w:rsidP="00853D6F">
      <w:pPr>
        <w:jc w:val="both"/>
        <w:rPr>
          <w:rFonts w:ascii="Arial" w:hAnsi="Arial" w:cs="Arial"/>
          <w:sz w:val="20"/>
          <w:szCs w:val="20"/>
          <w:lang w:val="en-GB"/>
        </w:rPr>
      </w:pPr>
    </w:p>
    <w:p w14:paraId="30B91D16" w14:textId="77777777" w:rsidR="00010A15" w:rsidRPr="004030DB" w:rsidRDefault="007B3FB9" w:rsidP="00853D6F">
      <w:pPr>
        <w:pStyle w:val="ListParagraph"/>
        <w:numPr>
          <w:ilvl w:val="0"/>
          <w:numId w:val="7"/>
        </w:numPr>
        <w:ind w:left="426"/>
        <w:jc w:val="both"/>
        <w:rPr>
          <w:rFonts w:ascii="Arial" w:hAnsi="Arial" w:cs="Arial"/>
          <w:sz w:val="20"/>
          <w:szCs w:val="20"/>
          <w:lang w:val="en-GB"/>
        </w:rPr>
      </w:pPr>
      <w:r w:rsidRPr="004030DB">
        <w:rPr>
          <w:rFonts w:ascii="Arial" w:hAnsi="Arial" w:cs="Arial"/>
          <w:sz w:val="20"/>
          <w:szCs w:val="20"/>
          <w:lang w:val="en-GB"/>
        </w:rPr>
        <w:t>M</w:t>
      </w:r>
      <w:r w:rsidR="00010A15" w:rsidRPr="004030DB">
        <w:rPr>
          <w:rFonts w:ascii="Arial" w:hAnsi="Arial" w:cs="Arial"/>
          <w:sz w:val="20"/>
          <w:szCs w:val="20"/>
          <w:lang w:val="en-GB"/>
        </w:rPr>
        <w:t xml:space="preserve">ade such enquiries of </w:t>
      </w:r>
      <w:r w:rsidR="00085EF6" w:rsidRPr="004030DB">
        <w:rPr>
          <w:rFonts w:ascii="Arial" w:hAnsi="Arial" w:cs="Arial"/>
          <w:sz w:val="20"/>
          <w:szCs w:val="20"/>
          <w:lang w:val="en-GB"/>
        </w:rPr>
        <w:t>their</w:t>
      </w:r>
      <w:r w:rsidR="00010A15" w:rsidRPr="004030DB">
        <w:rPr>
          <w:rFonts w:ascii="Arial" w:hAnsi="Arial" w:cs="Arial"/>
          <w:sz w:val="20"/>
          <w:szCs w:val="20"/>
          <w:lang w:val="en-GB"/>
        </w:rPr>
        <w:t xml:space="preserve"> fellow directors and of the company’s auditors for that</w:t>
      </w:r>
      <w:r w:rsidR="000571A2" w:rsidRPr="004030DB">
        <w:rPr>
          <w:rFonts w:ascii="Arial" w:hAnsi="Arial" w:cs="Arial"/>
          <w:sz w:val="20"/>
          <w:szCs w:val="20"/>
          <w:lang w:val="en-GB"/>
        </w:rPr>
        <w:t xml:space="preserve"> purpose; </w:t>
      </w:r>
    </w:p>
    <w:p w14:paraId="489DA371" w14:textId="77777777" w:rsidR="00010A15" w:rsidRPr="004030DB" w:rsidRDefault="007B3FB9" w:rsidP="00853D6F">
      <w:pPr>
        <w:pStyle w:val="ListParagraph"/>
        <w:numPr>
          <w:ilvl w:val="0"/>
          <w:numId w:val="7"/>
        </w:numPr>
        <w:ind w:left="426"/>
        <w:jc w:val="both"/>
        <w:rPr>
          <w:rFonts w:ascii="Arial" w:hAnsi="Arial" w:cs="Arial"/>
          <w:sz w:val="20"/>
          <w:szCs w:val="20"/>
          <w:lang w:val="en-GB"/>
        </w:rPr>
      </w:pPr>
      <w:r w:rsidRPr="004030DB">
        <w:rPr>
          <w:rFonts w:ascii="Arial" w:hAnsi="Arial" w:cs="Arial"/>
          <w:sz w:val="20"/>
          <w:szCs w:val="20"/>
          <w:lang w:val="en-GB"/>
        </w:rPr>
        <w:t>T</w:t>
      </w:r>
      <w:r w:rsidR="00010A15" w:rsidRPr="004030DB">
        <w:rPr>
          <w:rFonts w:ascii="Arial" w:hAnsi="Arial" w:cs="Arial"/>
          <w:sz w:val="20"/>
          <w:szCs w:val="20"/>
          <w:lang w:val="en-GB"/>
        </w:rPr>
        <w:t>aken such other steps (if any) for that purpose, as are</w:t>
      </w:r>
      <w:r w:rsidR="00CC76FF" w:rsidRPr="004030DB">
        <w:rPr>
          <w:rFonts w:ascii="Arial" w:hAnsi="Arial" w:cs="Arial"/>
          <w:sz w:val="20"/>
          <w:szCs w:val="20"/>
          <w:lang w:val="en-GB"/>
        </w:rPr>
        <w:t xml:space="preserve"> required by</w:t>
      </w:r>
      <w:r w:rsidR="00085EF6" w:rsidRPr="004030DB">
        <w:rPr>
          <w:rFonts w:ascii="Arial" w:hAnsi="Arial" w:cs="Arial"/>
          <w:sz w:val="20"/>
          <w:szCs w:val="20"/>
          <w:lang w:val="en-GB"/>
        </w:rPr>
        <w:t xml:space="preserve"> their</w:t>
      </w:r>
      <w:r w:rsidR="00CC76FF" w:rsidRPr="004030DB">
        <w:rPr>
          <w:rFonts w:ascii="Arial" w:hAnsi="Arial" w:cs="Arial"/>
          <w:sz w:val="20"/>
          <w:szCs w:val="20"/>
          <w:lang w:val="en-GB"/>
        </w:rPr>
        <w:t xml:space="preserve"> duty as a D</w:t>
      </w:r>
      <w:r w:rsidR="00010A15" w:rsidRPr="004030DB">
        <w:rPr>
          <w:rFonts w:ascii="Arial" w:hAnsi="Arial" w:cs="Arial"/>
          <w:sz w:val="20"/>
          <w:szCs w:val="20"/>
          <w:lang w:val="en-GB"/>
        </w:rPr>
        <w:t>irector of the company to exercise reasonable care, skill and diligence.</w:t>
      </w:r>
    </w:p>
    <w:p w14:paraId="629406B5" w14:textId="77777777" w:rsidR="00010A15" w:rsidRPr="004030DB" w:rsidRDefault="00010A15" w:rsidP="00853D6F">
      <w:pPr>
        <w:pStyle w:val="ListParagraph"/>
        <w:numPr>
          <w:ilvl w:val="0"/>
          <w:numId w:val="7"/>
        </w:numPr>
        <w:ind w:left="426"/>
        <w:jc w:val="both"/>
        <w:rPr>
          <w:rFonts w:ascii="Arial" w:hAnsi="Arial" w:cs="Arial"/>
          <w:sz w:val="20"/>
          <w:szCs w:val="20"/>
          <w:lang w:val="en-GB"/>
        </w:rPr>
      </w:pPr>
      <w:r w:rsidRPr="004030DB">
        <w:rPr>
          <w:rFonts w:ascii="Arial" w:hAnsi="Arial" w:cs="Arial"/>
          <w:sz w:val="20"/>
          <w:szCs w:val="20"/>
          <w:lang w:val="en-GB"/>
        </w:rPr>
        <w:t>All Board members have been assessed against the requirements of the fit and proper person test.</w:t>
      </w:r>
    </w:p>
    <w:p w14:paraId="63D233BB" w14:textId="77777777" w:rsidR="00F352C9" w:rsidRPr="004030DB" w:rsidRDefault="00F352C9" w:rsidP="00853D6F">
      <w:pPr>
        <w:jc w:val="both"/>
        <w:rPr>
          <w:rFonts w:ascii="Arial" w:hAnsi="Arial" w:cs="Arial"/>
          <w:sz w:val="20"/>
          <w:szCs w:val="20"/>
          <w:lang w:val="en-GB"/>
        </w:rPr>
      </w:pPr>
    </w:p>
    <w:p w14:paraId="1FFDDDCB" w14:textId="77777777" w:rsidR="00983279" w:rsidRPr="00983279" w:rsidRDefault="00983279" w:rsidP="00983279">
      <w:pPr>
        <w:rPr>
          <w:rFonts w:ascii="Arial" w:hAnsi="Arial" w:cs="Arial"/>
          <w:sz w:val="20"/>
          <w:szCs w:val="20"/>
          <w:lang w:val="en-GB"/>
        </w:rPr>
      </w:pPr>
      <w:r w:rsidRPr="00983279">
        <w:rPr>
          <w:rFonts w:ascii="Arial" w:hAnsi="Arial" w:cs="Arial"/>
          <w:sz w:val="20"/>
          <w:szCs w:val="20"/>
          <w:lang w:val="en-GB"/>
        </w:rPr>
        <w:t>Signed</w:t>
      </w:r>
    </w:p>
    <w:p w14:paraId="693283F1" w14:textId="77777777" w:rsidR="00983279" w:rsidRPr="00983279" w:rsidRDefault="00983279" w:rsidP="00983279">
      <w:pPr>
        <w:rPr>
          <w:rFonts w:ascii="Arial" w:hAnsi="Arial" w:cs="Arial"/>
          <w:sz w:val="20"/>
          <w:szCs w:val="20"/>
          <w:lang w:val="en-GB"/>
        </w:rPr>
      </w:pPr>
    </w:p>
    <w:p w14:paraId="51FCB487" w14:textId="77777777" w:rsidR="00983279" w:rsidRPr="00983279" w:rsidRDefault="00983279" w:rsidP="00983279">
      <w:pPr>
        <w:rPr>
          <w:rFonts w:ascii="Arial" w:hAnsi="Arial" w:cs="Arial"/>
          <w:sz w:val="20"/>
          <w:szCs w:val="20"/>
          <w:lang w:val="en-GB"/>
        </w:rPr>
      </w:pPr>
      <w:r w:rsidRPr="00983279">
        <w:rPr>
          <w:rFonts w:ascii="Arial" w:hAnsi="Arial" w:cs="Arial"/>
          <w:noProof/>
          <w:sz w:val="20"/>
          <w:szCs w:val="20"/>
          <w:lang w:val="en-GB"/>
        </w:rPr>
        <w:drawing>
          <wp:inline distT="0" distB="0" distL="0" distR="0" wp14:anchorId="43643EA1" wp14:editId="7067520D">
            <wp:extent cx="2324100" cy="1511300"/>
            <wp:effectExtent l="0" t="0" r="0" b="0"/>
            <wp:docPr id="13" name="Picture 13" descr="Signature of Interim Chief Executive, Jonathan W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ignature of Interim Chief Executive, Jonathan Wad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24100" cy="1511300"/>
                    </a:xfrm>
                    <a:prstGeom prst="rect">
                      <a:avLst/>
                    </a:prstGeom>
                    <a:noFill/>
                    <a:ln>
                      <a:noFill/>
                    </a:ln>
                  </pic:spPr>
                </pic:pic>
              </a:graphicData>
            </a:graphic>
          </wp:inline>
        </w:drawing>
      </w:r>
    </w:p>
    <w:p w14:paraId="66A6822C" w14:textId="77777777" w:rsidR="00983279" w:rsidRPr="00983279" w:rsidRDefault="00983279" w:rsidP="00983279">
      <w:pPr>
        <w:rPr>
          <w:rFonts w:ascii="Arial" w:hAnsi="Arial" w:cs="Arial"/>
          <w:sz w:val="20"/>
          <w:szCs w:val="20"/>
          <w:lang w:val="en-GB"/>
        </w:rPr>
      </w:pPr>
      <w:r w:rsidRPr="00983279">
        <w:rPr>
          <w:rFonts w:ascii="Arial" w:hAnsi="Arial" w:cs="Arial"/>
          <w:sz w:val="20"/>
          <w:szCs w:val="20"/>
          <w:lang w:val="en-GB"/>
        </w:rPr>
        <w:t>………………………………..</w:t>
      </w:r>
    </w:p>
    <w:p w14:paraId="1CDCB7BD" w14:textId="77777777" w:rsidR="00983279" w:rsidRPr="00983279" w:rsidRDefault="00983279" w:rsidP="00983279">
      <w:pPr>
        <w:rPr>
          <w:rFonts w:ascii="Arial" w:hAnsi="Arial" w:cs="Arial"/>
          <w:b/>
          <w:sz w:val="20"/>
          <w:szCs w:val="20"/>
          <w:lang w:val="en-GB"/>
        </w:rPr>
      </w:pPr>
      <w:r w:rsidRPr="00983279">
        <w:rPr>
          <w:rFonts w:ascii="Arial" w:hAnsi="Arial" w:cs="Arial"/>
          <w:b/>
          <w:sz w:val="20"/>
          <w:szCs w:val="20"/>
          <w:lang w:val="en-GB"/>
        </w:rPr>
        <w:t>Jon Wade</w:t>
      </w:r>
    </w:p>
    <w:p w14:paraId="5A819AC3" w14:textId="77777777" w:rsidR="00983279" w:rsidRPr="00983279" w:rsidRDefault="00983279" w:rsidP="00983279">
      <w:pPr>
        <w:rPr>
          <w:rFonts w:ascii="Arial" w:hAnsi="Arial" w:cs="Arial"/>
          <w:b/>
          <w:sz w:val="20"/>
          <w:szCs w:val="20"/>
          <w:lang w:val="en-GB"/>
        </w:rPr>
      </w:pPr>
      <w:r w:rsidRPr="00983279">
        <w:rPr>
          <w:rFonts w:ascii="Arial" w:hAnsi="Arial" w:cs="Arial"/>
          <w:b/>
          <w:sz w:val="20"/>
          <w:szCs w:val="20"/>
          <w:lang w:val="en-GB"/>
        </w:rPr>
        <w:t>Chief Executive Officer</w:t>
      </w:r>
    </w:p>
    <w:p w14:paraId="391B0128" w14:textId="77777777" w:rsidR="00983279" w:rsidRPr="00885B57" w:rsidRDefault="00983279" w:rsidP="00983279">
      <w:pPr>
        <w:rPr>
          <w:rFonts w:ascii="Arial" w:hAnsi="Arial" w:cs="Arial"/>
          <w:b/>
          <w:sz w:val="20"/>
          <w:szCs w:val="20"/>
          <w:lang w:val="en-GB"/>
        </w:rPr>
      </w:pPr>
      <w:r w:rsidRPr="00983279">
        <w:rPr>
          <w:rFonts w:ascii="Arial" w:hAnsi="Arial" w:cs="Arial"/>
          <w:b/>
          <w:sz w:val="20"/>
          <w:szCs w:val="20"/>
          <w:lang w:val="en-GB"/>
        </w:rPr>
        <w:t>Date: Friday, 20 June 2025</w:t>
      </w:r>
    </w:p>
    <w:p w14:paraId="5C083EF6" w14:textId="77777777" w:rsidR="00983279" w:rsidRPr="00885B57" w:rsidRDefault="00983279" w:rsidP="00983279">
      <w:pPr>
        <w:rPr>
          <w:rFonts w:ascii="Arial" w:hAnsi="Arial" w:cs="Arial"/>
          <w:sz w:val="20"/>
          <w:szCs w:val="20"/>
          <w:lang w:val="en-GB"/>
        </w:rPr>
      </w:pPr>
    </w:p>
    <w:p w14:paraId="5B88B7B2" w14:textId="77777777" w:rsidR="006B58BA" w:rsidRPr="004030DB" w:rsidRDefault="006B58BA" w:rsidP="00853D6F">
      <w:pPr>
        <w:jc w:val="both"/>
        <w:rPr>
          <w:rFonts w:ascii="Arial" w:hAnsi="Arial" w:cs="Arial"/>
          <w:b/>
          <w:color w:val="FF0000"/>
          <w:sz w:val="20"/>
          <w:szCs w:val="20"/>
          <w:highlight w:val="yellow"/>
          <w:lang w:val="en-GB"/>
        </w:rPr>
      </w:pPr>
    </w:p>
    <w:p w14:paraId="26FC15A9" w14:textId="77777777" w:rsidR="005420B4" w:rsidRPr="004030DB" w:rsidRDefault="005420B4" w:rsidP="00853D6F">
      <w:pPr>
        <w:jc w:val="both"/>
        <w:rPr>
          <w:rFonts w:ascii="Arial" w:hAnsi="Arial" w:cs="Arial"/>
          <w:b/>
          <w:color w:val="FF0000"/>
          <w:sz w:val="20"/>
          <w:szCs w:val="20"/>
          <w:highlight w:val="yellow"/>
          <w:lang w:val="en-GB"/>
        </w:rPr>
      </w:pPr>
    </w:p>
    <w:p w14:paraId="2FD7C0BF" w14:textId="77777777" w:rsidR="005420B4" w:rsidRPr="004030DB" w:rsidRDefault="005420B4" w:rsidP="00853D6F">
      <w:pPr>
        <w:jc w:val="both"/>
        <w:rPr>
          <w:rFonts w:ascii="Arial" w:hAnsi="Arial" w:cs="Arial"/>
          <w:b/>
          <w:color w:val="FF0000"/>
          <w:sz w:val="20"/>
          <w:szCs w:val="20"/>
          <w:highlight w:val="yellow"/>
          <w:lang w:val="en-GB"/>
        </w:rPr>
      </w:pPr>
    </w:p>
    <w:p w14:paraId="030A3CC0" w14:textId="77777777" w:rsidR="005420B4" w:rsidRPr="004030DB" w:rsidRDefault="005420B4" w:rsidP="00853D6F">
      <w:pPr>
        <w:jc w:val="both"/>
        <w:rPr>
          <w:rFonts w:ascii="Arial" w:hAnsi="Arial" w:cs="Arial"/>
          <w:b/>
          <w:color w:val="FF0000"/>
          <w:sz w:val="20"/>
          <w:szCs w:val="20"/>
          <w:highlight w:val="yellow"/>
          <w:lang w:val="en-GB"/>
        </w:rPr>
      </w:pPr>
    </w:p>
    <w:p w14:paraId="3AC951AA" w14:textId="77777777" w:rsidR="005420B4" w:rsidRPr="004030DB" w:rsidRDefault="005420B4" w:rsidP="00853D6F">
      <w:pPr>
        <w:jc w:val="both"/>
        <w:rPr>
          <w:rFonts w:ascii="Arial" w:hAnsi="Arial" w:cs="Arial"/>
          <w:b/>
          <w:color w:val="FF0000"/>
          <w:sz w:val="20"/>
          <w:szCs w:val="20"/>
          <w:highlight w:val="yellow"/>
          <w:lang w:val="en-GB"/>
        </w:rPr>
      </w:pPr>
    </w:p>
    <w:p w14:paraId="584EBE46" w14:textId="77777777" w:rsidR="005420B4" w:rsidRPr="004030DB" w:rsidRDefault="005420B4" w:rsidP="00FD37EA">
      <w:pPr>
        <w:rPr>
          <w:rFonts w:ascii="Arial" w:hAnsi="Arial" w:cs="Arial"/>
          <w:b/>
          <w:color w:val="FF0000"/>
          <w:sz w:val="20"/>
          <w:szCs w:val="20"/>
          <w:highlight w:val="yellow"/>
          <w:lang w:val="en-GB"/>
        </w:rPr>
      </w:pPr>
    </w:p>
    <w:p w14:paraId="5FE67A44" w14:textId="77777777" w:rsidR="005420B4" w:rsidRPr="004030DB" w:rsidRDefault="005420B4" w:rsidP="00FD37EA">
      <w:pPr>
        <w:rPr>
          <w:rFonts w:ascii="Arial" w:hAnsi="Arial" w:cs="Arial"/>
          <w:b/>
          <w:color w:val="FF0000"/>
          <w:sz w:val="20"/>
          <w:szCs w:val="20"/>
          <w:highlight w:val="yellow"/>
          <w:lang w:val="en-GB"/>
        </w:rPr>
      </w:pPr>
    </w:p>
    <w:p w14:paraId="27ED5FB1" w14:textId="77777777" w:rsidR="005420B4" w:rsidRPr="004030DB" w:rsidRDefault="005420B4" w:rsidP="00FD37EA">
      <w:pPr>
        <w:rPr>
          <w:rFonts w:ascii="Arial" w:hAnsi="Arial" w:cs="Arial"/>
          <w:b/>
          <w:color w:val="FF0000"/>
          <w:sz w:val="20"/>
          <w:szCs w:val="20"/>
          <w:highlight w:val="yellow"/>
          <w:lang w:val="en-GB"/>
        </w:rPr>
      </w:pPr>
    </w:p>
    <w:p w14:paraId="587CCCBC" w14:textId="77777777" w:rsidR="005420B4" w:rsidRPr="004030DB" w:rsidRDefault="005420B4" w:rsidP="00FD37EA">
      <w:pPr>
        <w:rPr>
          <w:rFonts w:ascii="Arial" w:hAnsi="Arial" w:cs="Arial"/>
          <w:b/>
          <w:color w:val="FF0000"/>
          <w:sz w:val="20"/>
          <w:szCs w:val="20"/>
          <w:highlight w:val="yellow"/>
          <w:lang w:val="en-GB"/>
        </w:rPr>
      </w:pPr>
    </w:p>
    <w:p w14:paraId="46C7346B" w14:textId="77777777" w:rsidR="005420B4" w:rsidRDefault="005420B4" w:rsidP="00FD37EA">
      <w:pPr>
        <w:rPr>
          <w:rFonts w:ascii="Arial" w:hAnsi="Arial" w:cs="Arial"/>
          <w:b/>
          <w:color w:val="FF0000"/>
          <w:sz w:val="20"/>
          <w:szCs w:val="20"/>
          <w:highlight w:val="yellow"/>
          <w:lang w:val="en-GB"/>
        </w:rPr>
      </w:pPr>
    </w:p>
    <w:p w14:paraId="6332CAD4" w14:textId="77777777" w:rsidR="00C74C2C" w:rsidRDefault="00C74C2C" w:rsidP="00FD37EA">
      <w:pPr>
        <w:rPr>
          <w:rFonts w:ascii="Arial" w:hAnsi="Arial" w:cs="Arial"/>
          <w:b/>
          <w:color w:val="FF0000"/>
          <w:sz w:val="20"/>
          <w:szCs w:val="20"/>
          <w:highlight w:val="yellow"/>
          <w:lang w:val="en-GB"/>
        </w:rPr>
      </w:pPr>
    </w:p>
    <w:p w14:paraId="2E9C1EAD" w14:textId="77777777" w:rsidR="00C74C2C" w:rsidRDefault="00C74C2C" w:rsidP="00FD37EA">
      <w:pPr>
        <w:rPr>
          <w:rFonts w:ascii="Arial" w:hAnsi="Arial" w:cs="Arial"/>
          <w:b/>
          <w:color w:val="FF0000"/>
          <w:sz w:val="20"/>
          <w:szCs w:val="20"/>
          <w:highlight w:val="yellow"/>
          <w:lang w:val="en-GB"/>
        </w:rPr>
      </w:pPr>
    </w:p>
    <w:p w14:paraId="3651AFC2" w14:textId="77777777" w:rsidR="00C74C2C" w:rsidRDefault="00C74C2C" w:rsidP="00FD37EA">
      <w:pPr>
        <w:rPr>
          <w:rFonts w:ascii="Arial" w:hAnsi="Arial" w:cs="Arial"/>
          <w:b/>
          <w:color w:val="FF0000"/>
          <w:sz w:val="20"/>
          <w:szCs w:val="20"/>
          <w:highlight w:val="yellow"/>
          <w:lang w:val="en-GB"/>
        </w:rPr>
      </w:pPr>
    </w:p>
    <w:p w14:paraId="76D0884E" w14:textId="77777777" w:rsidR="00C74C2C" w:rsidRDefault="00C74C2C" w:rsidP="00FD37EA">
      <w:pPr>
        <w:rPr>
          <w:rFonts w:ascii="Arial" w:hAnsi="Arial" w:cs="Arial"/>
          <w:b/>
          <w:color w:val="FF0000"/>
          <w:sz w:val="20"/>
          <w:szCs w:val="20"/>
          <w:highlight w:val="yellow"/>
          <w:lang w:val="en-GB"/>
        </w:rPr>
      </w:pPr>
    </w:p>
    <w:p w14:paraId="390A0894" w14:textId="77777777" w:rsidR="00C74C2C" w:rsidRPr="004030DB" w:rsidRDefault="00C74C2C" w:rsidP="00FD37EA">
      <w:pPr>
        <w:rPr>
          <w:rFonts w:ascii="Arial" w:hAnsi="Arial" w:cs="Arial"/>
          <w:b/>
          <w:color w:val="FF0000"/>
          <w:sz w:val="20"/>
          <w:szCs w:val="20"/>
          <w:highlight w:val="yellow"/>
          <w:lang w:val="en-GB"/>
        </w:rPr>
      </w:pPr>
    </w:p>
    <w:p w14:paraId="50F7F380" w14:textId="77777777" w:rsidR="005420B4" w:rsidRPr="004030DB" w:rsidRDefault="005420B4" w:rsidP="00FD37EA">
      <w:pPr>
        <w:rPr>
          <w:rFonts w:ascii="Arial" w:hAnsi="Arial" w:cs="Arial"/>
          <w:b/>
          <w:color w:val="FF0000"/>
          <w:sz w:val="20"/>
          <w:szCs w:val="20"/>
          <w:highlight w:val="yellow"/>
          <w:lang w:val="en-GB"/>
        </w:rPr>
      </w:pPr>
    </w:p>
    <w:p w14:paraId="53455841" w14:textId="77777777" w:rsidR="005420B4" w:rsidRPr="004030DB" w:rsidRDefault="005420B4" w:rsidP="00FD37EA">
      <w:pPr>
        <w:rPr>
          <w:rFonts w:ascii="Arial" w:hAnsi="Arial" w:cs="Arial"/>
          <w:b/>
          <w:color w:val="FF0000"/>
          <w:sz w:val="20"/>
          <w:szCs w:val="20"/>
          <w:highlight w:val="yellow"/>
          <w:lang w:val="en-GB"/>
        </w:rPr>
      </w:pPr>
    </w:p>
    <w:p w14:paraId="26579EE4" w14:textId="77777777" w:rsidR="005420B4" w:rsidRPr="004030DB" w:rsidRDefault="005420B4" w:rsidP="00FD37EA">
      <w:pPr>
        <w:rPr>
          <w:rFonts w:ascii="Arial" w:hAnsi="Arial" w:cs="Arial"/>
          <w:b/>
          <w:color w:val="FF0000"/>
          <w:sz w:val="20"/>
          <w:szCs w:val="20"/>
          <w:highlight w:val="yellow"/>
          <w:lang w:val="en-GB"/>
        </w:rPr>
      </w:pPr>
    </w:p>
    <w:p w14:paraId="0A774C2D" w14:textId="77777777" w:rsidR="005420B4" w:rsidRPr="004030DB" w:rsidRDefault="005420B4" w:rsidP="00FD37EA">
      <w:pPr>
        <w:rPr>
          <w:rFonts w:ascii="Arial" w:hAnsi="Arial" w:cs="Arial"/>
          <w:b/>
          <w:color w:val="FF0000"/>
          <w:sz w:val="20"/>
          <w:szCs w:val="20"/>
          <w:highlight w:val="yellow"/>
          <w:lang w:val="en-GB"/>
        </w:rPr>
      </w:pPr>
    </w:p>
    <w:p w14:paraId="1DB2086E" w14:textId="77777777" w:rsidR="005420B4" w:rsidRPr="004030DB" w:rsidRDefault="005420B4" w:rsidP="00FD37EA">
      <w:pPr>
        <w:rPr>
          <w:rFonts w:ascii="Arial" w:hAnsi="Arial" w:cs="Arial"/>
          <w:b/>
          <w:color w:val="FF0000"/>
          <w:sz w:val="20"/>
          <w:szCs w:val="20"/>
          <w:highlight w:val="yellow"/>
          <w:lang w:val="en-GB"/>
        </w:rPr>
      </w:pPr>
    </w:p>
    <w:p w14:paraId="51FA32A3" w14:textId="77777777" w:rsidR="005420B4" w:rsidRPr="004030DB" w:rsidRDefault="005420B4" w:rsidP="00FD37EA">
      <w:pPr>
        <w:rPr>
          <w:rFonts w:ascii="Arial" w:hAnsi="Arial" w:cs="Arial"/>
          <w:b/>
          <w:color w:val="FF0000"/>
          <w:sz w:val="20"/>
          <w:szCs w:val="20"/>
          <w:highlight w:val="yellow"/>
          <w:lang w:val="en-GB"/>
        </w:rPr>
      </w:pPr>
    </w:p>
    <w:p w14:paraId="0675666B" w14:textId="6CB628B6" w:rsidR="002E594A" w:rsidRDefault="002E594A" w:rsidP="00FD37EA">
      <w:pPr>
        <w:rPr>
          <w:rFonts w:ascii="Arial" w:hAnsi="Arial" w:cs="Arial"/>
          <w:b/>
          <w:color w:val="FF0000"/>
          <w:sz w:val="20"/>
          <w:szCs w:val="20"/>
          <w:highlight w:val="yellow"/>
          <w:lang w:val="en-GB"/>
        </w:rPr>
      </w:pPr>
    </w:p>
    <w:p w14:paraId="3900E415" w14:textId="77777777" w:rsidR="004E2D2F" w:rsidRPr="004030DB" w:rsidRDefault="004E2D2F" w:rsidP="004E2D2F">
      <w:pPr>
        <w:pStyle w:val="paragraph"/>
        <w:spacing w:before="0" w:beforeAutospacing="0" w:after="0" w:afterAutospacing="0"/>
        <w:jc w:val="both"/>
        <w:textAlignment w:val="baseline"/>
        <w:rPr>
          <w:rFonts w:ascii="Arial" w:hAnsi="Arial" w:cs="Arial"/>
          <w:sz w:val="20"/>
          <w:szCs w:val="20"/>
        </w:rPr>
      </w:pPr>
      <w:r w:rsidRPr="004030DB">
        <w:rPr>
          <w:rStyle w:val="normaltextrun"/>
          <w:rFonts w:ascii="Arial" w:hAnsi="Arial" w:cs="Arial"/>
          <w:b/>
          <w:bCs/>
          <w:sz w:val="20"/>
          <w:szCs w:val="20"/>
          <w:u w:val="single"/>
        </w:rPr>
        <w:lastRenderedPageBreak/>
        <w:t>Remuneration Report </w:t>
      </w:r>
      <w:r w:rsidRPr="004030DB">
        <w:rPr>
          <w:rStyle w:val="eop"/>
          <w:rFonts w:ascii="Arial" w:hAnsi="Arial" w:cs="Arial"/>
          <w:sz w:val="20"/>
          <w:szCs w:val="20"/>
        </w:rPr>
        <w:t> </w:t>
      </w:r>
    </w:p>
    <w:p w14:paraId="723AC6BA" w14:textId="77777777" w:rsidR="004E2D2F" w:rsidRPr="004030DB" w:rsidRDefault="004E2D2F" w:rsidP="004E2D2F">
      <w:pPr>
        <w:pStyle w:val="paragraph"/>
        <w:spacing w:before="0" w:beforeAutospacing="0" w:after="0" w:afterAutospacing="0"/>
        <w:jc w:val="both"/>
        <w:textAlignment w:val="baseline"/>
        <w:rPr>
          <w:rFonts w:ascii="Arial" w:hAnsi="Arial" w:cs="Arial"/>
          <w:sz w:val="20"/>
          <w:szCs w:val="20"/>
        </w:rPr>
      </w:pPr>
      <w:r w:rsidRPr="004030DB">
        <w:rPr>
          <w:rStyle w:val="eop"/>
          <w:rFonts w:ascii="Arial" w:hAnsi="Arial" w:cs="Arial"/>
          <w:sz w:val="20"/>
          <w:szCs w:val="20"/>
        </w:rPr>
        <w:t> </w:t>
      </w:r>
    </w:p>
    <w:p w14:paraId="53E6CA40" w14:textId="77777777" w:rsidR="004E2D2F" w:rsidRPr="004030DB" w:rsidRDefault="004E2D2F" w:rsidP="004E2D2F">
      <w:pPr>
        <w:pStyle w:val="paragraph"/>
        <w:spacing w:before="0" w:beforeAutospacing="0" w:after="0" w:afterAutospacing="0"/>
        <w:jc w:val="both"/>
        <w:textAlignment w:val="baseline"/>
        <w:rPr>
          <w:rFonts w:ascii="Arial" w:hAnsi="Arial" w:cs="Arial"/>
          <w:sz w:val="20"/>
          <w:szCs w:val="20"/>
        </w:rPr>
      </w:pPr>
      <w:r w:rsidRPr="004030DB">
        <w:rPr>
          <w:rStyle w:val="normaltextrun"/>
          <w:rFonts w:ascii="Arial" w:hAnsi="Arial" w:cs="Arial"/>
          <w:b/>
          <w:bCs/>
          <w:sz w:val="20"/>
          <w:szCs w:val="20"/>
        </w:rPr>
        <w:t>Annual Statement on Remuneration</w:t>
      </w:r>
      <w:r w:rsidRPr="004030DB">
        <w:rPr>
          <w:rStyle w:val="eop"/>
          <w:rFonts w:ascii="Arial" w:hAnsi="Arial" w:cs="Arial"/>
          <w:sz w:val="20"/>
          <w:szCs w:val="20"/>
        </w:rPr>
        <w:t> </w:t>
      </w:r>
    </w:p>
    <w:p w14:paraId="57E9DCAE" w14:textId="77777777" w:rsidR="004E2D2F" w:rsidRPr="004030DB" w:rsidRDefault="004E2D2F" w:rsidP="004E2D2F">
      <w:pPr>
        <w:pStyle w:val="paragraph"/>
        <w:spacing w:before="0" w:beforeAutospacing="0" w:after="0" w:afterAutospacing="0"/>
        <w:jc w:val="both"/>
        <w:textAlignment w:val="baseline"/>
        <w:rPr>
          <w:rFonts w:ascii="Arial" w:hAnsi="Arial" w:cs="Arial"/>
          <w:sz w:val="20"/>
          <w:szCs w:val="20"/>
        </w:rPr>
      </w:pPr>
      <w:r w:rsidRPr="004030DB">
        <w:rPr>
          <w:rStyle w:val="eop"/>
          <w:rFonts w:ascii="Arial" w:hAnsi="Arial" w:cs="Arial"/>
          <w:sz w:val="20"/>
          <w:szCs w:val="20"/>
        </w:rPr>
        <w:t> </w:t>
      </w:r>
    </w:p>
    <w:p w14:paraId="41C3DA79" w14:textId="77777777" w:rsidR="004E2D2F" w:rsidRPr="004030DB" w:rsidRDefault="004E2D2F" w:rsidP="004E2D2F">
      <w:pPr>
        <w:pStyle w:val="paragraph"/>
        <w:spacing w:before="0" w:beforeAutospacing="0" w:after="0" w:afterAutospacing="0"/>
        <w:jc w:val="both"/>
        <w:textAlignment w:val="baseline"/>
        <w:rPr>
          <w:rFonts w:ascii="Arial" w:hAnsi="Arial" w:cs="Arial"/>
          <w:sz w:val="20"/>
          <w:szCs w:val="20"/>
        </w:rPr>
      </w:pPr>
      <w:r w:rsidRPr="004030DB">
        <w:rPr>
          <w:rStyle w:val="normaltextrun"/>
          <w:rFonts w:ascii="Arial" w:hAnsi="Arial" w:cs="Arial"/>
          <w:sz w:val="20"/>
          <w:szCs w:val="20"/>
          <w:lang w:val="en-US"/>
        </w:rPr>
        <w:t>The Nomination and Remuneration Committee is a sub-committee of the Board, responsible for reviewing and advising the Board of Directors on the composition of the Board of Directors and appointing and setting the remuneration of the executive directors and all very senior manager appointments.  Further details of the Committee can be found within the Directors’ Report section of this document.  The Trust have recruited on a substantive basis to senior leadership roles.  Newly appointed executive directors have a notice period of six months.</w:t>
      </w:r>
      <w:r w:rsidRPr="004030DB">
        <w:rPr>
          <w:rStyle w:val="eop"/>
          <w:rFonts w:ascii="Arial" w:hAnsi="Arial" w:cs="Arial"/>
          <w:sz w:val="20"/>
          <w:szCs w:val="20"/>
        </w:rPr>
        <w:t> </w:t>
      </w:r>
    </w:p>
    <w:p w14:paraId="11A136F1" w14:textId="77777777" w:rsidR="004E2D2F" w:rsidRPr="004030DB" w:rsidRDefault="004E2D2F" w:rsidP="004E2D2F">
      <w:pPr>
        <w:pStyle w:val="paragraph"/>
        <w:spacing w:before="0" w:beforeAutospacing="0" w:after="0" w:afterAutospacing="0"/>
        <w:jc w:val="both"/>
        <w:textAlignment w:val="baseline"/>
        <w:rPr>
          <w:rFonts w:ascii="Arial" w:hAnsi="Arial" w:cs="Arial"/>
          <w:sz w:val="20"/>
          <w:szCs w:val="20"/>
        </w:rPr>
      </w:pPr>
      <w:r w:rsidRPr="004030DB">
        <w:rPr>
          <w:rStyle w:val="eop"/>
          <w:rFonts w:ascii="Arial" w:hAnsi="Arial" w:cs="Arial"/>
          <w:sz w:val="20"/>
          <w:szCs w:val="20"/>
        </w:rPr>
        <w:t> </w:t>
      </w:r>
    </w:p>
    <w:p w14:paraId="70C56D00" w14:textId="77777777" w:rsidR="004E2D2F" w:rsidRPr="004030DB" w:rsidRDefault="004E2D2F" w:rsidP="004E2D2F">
      <w:pPr>
        <w:pStyle w:val="paragraph"/>
        <w:spacing w:before="0" w:beforeAutospacing="0" w:after="0" w:afterAutospacing="0"/>
        <w:jc w:val="both"/>
        <w:textAlignment w:val="baseline"/>
        <w:rPr>
          <w:rFonts w:ascii="Arial" w:hAnsi="Arial" w:cs="Arial"/>
          <w:sz w:val="20"/>
          <w:szCs w:val="20"/>
        </w:rPr>
      </w:pPr>
      <w:r w:rsidRPr="004030DB">
        <w:rPr>
          <w:rStyle w:val="normaltextrun"/>
          <w:rFonts w:ascii="Arial" w:hAnsi="Arial" w:cs="Arial"/>
          <w:b/>
          <w:bCs/>
          <w:sz w:val="20"/>
          <w:szCs w:val="20"/>
        </w:rPr>
        <w:t>Senior Managers Remuneration Policy</w:t>
      </w:r>
      <w:r w:rsidRPr="004030DB">
        <w:rPr>
          <w:rStyle w:val="eop"/>
          <w:rFonts w:ascii="Arial" w:hAnsi="Arial" w:cs="Arial"/>
          <w:sz w:val="20"/>
          <w:szCs w:val="20"/>
        </w:rPr>
        <w:t> </w:t>
      </w:r>
    </w:p>
    <w:p w14:paraId="60F394B4" w14:textId="77777777" w:rsidR="004E2D2F" w:rsidRPr="004030DB" w:rsidRDefault="004E2D2F" w:rsidP="004E2D2F">
      <w:pPr>
        <w:pStyle w:val="paragraph"/>
        <w:spacing w:before="0" w:beforeAutospacing="0" w:after="0" w:afterAutospacing="0"/>
        <w:jc w:val="both"/>
        <w:textAlignment w:val="baseline"/>
        <w:rPr>
          <w:rFonts w:ascii="Arial" w:hAnsi="Arial" w:cs="Arial"/>
          <w:sz w:val="20"/>
          <w:szCs w:val="20"/>
        </w:rPr>
      </w:pPr>
      <w:r w:rsidRPr="004030DB">
        <w:rPr>
          <w:rStyle w:val="eop"/>
          <w:rFonts w:ascii="Arial" w:hAnsi="Arial" w:cs="Arial"/>
          <w:sz w:val="20"/>
          <w:szCs w:val="20"/>
        </w:rPr>
        <w:t> </w:t>
      </w:r>
    </w:p>
    <w:p w14:paraId="7B9CB965" w14:textId="77777777" w:rsidR="004E2D2F" w:rsidRPr="004030DB" w:rsidRDefault="004E2D2F" w:rsidP="004E2D2F">
      <w:pPr>
        <w:pStyle w:val="paragraph"/>
        <w:spacing w:before="0" w:beforeAutospacing="0" w:after="0" w:afterAutospacing="0"/>
        <w:jc w:val="both"/>
        <w:textAlignment w:val="baseline"/>
        <w:rPr>
          <w:rFonts w:ascii="Arial" w:hAnsi="Arial" w:cs="Arial"/>
          <w:sz w:val="20"/>
          <w:szCs w:val="20"/>
        </w:rPr>
      </w:pPr>
      <w:r w:rsidRPr="004030DB">
        <w:rPr>
          <w:rStyle w:val="normaltextrun"/>
          <w:rFonts w:ascii="Arial" w:hAnsi="Arial" w:cs="Arial"/>
          <w:sz w:val="20"/>
          <w:szCs w:val="20"/>
        </w:rPr>
        <w:t>The Trust has a Senior Remuneration policy agreed by the Nomination and Remuneration Committee.  The Trust recognises that in order to ensure optimum performance it is necessary to have a competitive pay and benefits structure.  The objective of the Committee’s strategy for the remuneration of executive directors and very senior managers is to attract and retain suitably skilled and qualified individuals of high calibre, providing sufficient resources and strength and maintaining stability throughout the senior management team.  Remuneration is therefore set and maintained to be competitive.  The Nomination and Remuneration Committee reviews salaries each year.  In 2024/25 the Nomination and Remuneration Committee considered and approved a recommendation for a consolidated cost of living award, for executives in their position on 01 April 2024.</w:t>
      </w:r>
      <w:r w:rsidRPr="004030DB">
        <w:rPr>
          <w:rStyle w:val="eop"/>
          <w:rFonts w:ascii="Arial" w:hAnsi="Arial" w:cs="Arial"/>
          <w:color w:val="D13438"/>
          <w:sz w:val="20"/>
          <w:szCs w:val="20"/>
        </w:rPr>
        <w:t> </w:t>
      </w:r>
    </w:p>
    <w:p w14:paraId="46814922" w14:textId="77777777" w:rsidR="004E2D2F" w:rsidRPr="004030DB" w:rsidRDefault="004E2D2F" w:rsidP="004E2D2F">
      <w:pPr>
        <w:pStyle w:val="paragraph"/>
        <w:spacing w:before="0" w:beforeAutospacing="0" w:after="0" w:afterAutospacing="0"/>
        <w:jc w:val="both"/>
        <w:textAlignment w:val="baseline"/>
        <w:rPr>
          <w:rFonts w:ascii="Arial" w:hAnsi="Arial" w:cs="Arial"/>
          <w:sz w:val="20"/>
          <w:szCs w:val="20"/>
        </w:rPr>
      </w:pPr>
      <w:r w:rsidRPr="004030DB">
        <w:rPr>
          <w:rStyle w:val="eop"/>
          <w:rFonts w:ascii="Arial" w:hAnsi="Arial" w:cs="Arial"/>
          <w:color w:val="D13438"/>
          <w:sz w:val="20"/>
          <w:szCs w:val="20"/>
        </w:rPr>
        <w:t> </w:t>
      </w:r>
    </w:p>
    <w:p w14:paraId="68DF777D" w14:textId="77777777" w:rsidR="004E2D2F" w:rsidRPr="004030DB" w:rsidRDefault="004E2D2F" w:rsidP="004E2D2F">
      <w:pPr>
        <w:pStyle w:val="paragraph"/>
        <w:spacing w:before="0" w:beforeAutospacing="0" w:after="0" w:afterAutospacing="0"/>
        <w:jc w:val="both"/>
        <w:textAlignment w:val="baseline"/>
        <w:rPr>
          <w:rFonts w:ascii="Arial" w:hAnsi="Arial" w:cs="Arial"/>
          <w:sz w:val="20"/>
          <w:szCs w:val="20"/>
        </w:rPr>
      </w:pPr>
      <w:r w:rsidRPr="004030DB">
        <w:rPr>
          <w:rStyle w:val="normaltextrun"/>
          <w:rFonts w:ascii="Arial" w:hAnsi="Arial" w:cs="Arial"/>
          <w:sz w:val="20"/>
          <w:szCs w:val="20"/>
        </w:rPr>
        <w:t>Director salaries were within benchmarked salary ranges.  When new appointments are made the salary is determined by reference to the NHS England and NHS Providers benchmarking of executive director salaries, current market rates and internal relativities with executive directors/very senior managers.  The only non-cash elements of executive remuneration packages are pension-related benefits accrued under the NHS Pensions Scheme.  Contributions are made by both the employer and employee in accordance with the rules of the national scheme, which applies to all NHS staff under the scheme.</w:t>
      </w:r>
      <w:r w:rsidRPr="004030DB">
        <w:rPr>
          <w:rStyle w:val="eop"/>
          <w:rFonts w:ascii="Arial" w:hAnsi="Arial" w:cs="Arial"/>
          <w:color w:val="D13438"/>
          <w:sz w:val="20"/>
          <w:szCs w:val="20"/>
        </w:rPr>
        <w:t> </w:t>
      </w:r>
    </w:p>
    <w:p w14:paraId="5FF7E3F4" w14:textId="77777777" w:rsidR="004E2D2F" w:rsidRPr="004030DB" w:rsidRDefault="004E2D2F" w:rsidP="004E2D2F">
      <w:pPr>
        <w:pStyle w:val="paragraph"/>
        <w:spacing w:before="0" w:beforeAutospacing="0" w:after="0" w:afterAutospacing="0"/>
        <w:jc w:val="both"/>
        <w:textAlignment w:val="baseline"/>
        <w:rPr>
          <w:rFonts w:ascii="Arial" w:hAnsi="Arial" w:cs="Arial"/>
          <w:sz w:val="20"/>
          <w:szCs w:val="20"/>
        </w:rPr>
      </w:pPr>
      <w:r w:rsidRPr="004030DB">
        <w:rPr>
          <w:rStyle w:val="eop"/>
          <w:rFonts w:ascii="Arial" w:hAnsi="Arial" w:cs="Arial"/>
          <w:color w:val="D13438"/>
          <w:sz w:val="20"/>
          <w:szCs w:val="20"/>
        </w:rPr>
        <w:t> </w:t>
      </w:r>
    </w:p>
    <w:p w14:paraId="43F0F6E9" w14:textId="77777777" w:rsidR="004E2D2F" w:rsidRPr="004030DB" w:rsidRDefault="004E2D2F" w:rsidP="004E2D2F">
      <w:pPr>
        <w:pStyle w:val="paragraph"/>
        <w:spacing w:before="0" w:beforeAutospacing="0" w:after="0" w:afterAutospacing="0"/>
        <w:jc w:val="both"/>
        <w:textAlignment w:val="baseline"/>
        <w:rPr>
          <w:rFonts w:ascii="Arial" w:hAnsi="Arial" w:cs="Arial"/>
          <w:sz w:val="20"/>
          <w:szCs w:val="20"/>
        </w:rPr>
      </w:pPr>
      <w:r w:rsidRPr="004030DB">
        <w:rPr>
          <w:rStyle w:val="normaltextrun"/>
          <w:rFonts w:ascii="Arial" w:hAnsi="Arial" w:cs="Arial"/>
          <w:sz w:val="20"/>
          <w:szCs w:val="20"/>
          <w:lang w:val="en-US"/>
        </w:rPr>
        <w:t xml:space="preserve">The figures in the table below relate to the amounts received during the financial year.  For 2024/25 there were no annual or long-term performance bonuses.  These figures have been audited.  </w:t>
      </w:r>
      <w:r w:rsidRPr="004030DB">
        <w:rPr>
          <w:rStyle w:val="eop"/>
          <w:rFonts w:ascii="Arial" w:hAnsi="Arial" w:cs="Arial"/>
          <w:color w:val="D13438"/>
          <w:sz w:val="20"/>
          <w:szCs w:val="20"/>
        </w:rPr>
        <w:t> </w:t>
      </w:r>
    </w:p>
    <w:p w14:paraId="0E3D185F" w14:textId="77777777" w:rsidR="004E2D2F" w:rsidRPr="004030DB" w:rsidRDefault="004E2D2F" w:rsidP="004E2D2F">
      <w:pPr>
        <w:pStyle w:val="paragraph"/>
        <w:spacing w:before="0" w:beforeAutospacing="0" w:after="0" w:afterAutospacing="0"/>
        <w:textAlignment w:val="baseline"/>
        <w:rPr>
          <w:rStyle w:val="eop"/>
          <w:rFonts w:ascii="Arial" w:hAnsi="Arial" w:cs="Arial"/>
          <w:sz w:val="20"/>
          <w:szCs w:val="20"/>
        </w:rPr>
      </w:pPr>
      <w:r w:rsidRPr="004030DB">
        <w:rPr>
          <w:rStyle w:val="eop"/>
          <w:rFonts w:ascii="Arial" w:hAnsi="Arial" w:cs="Arial"/>
          <w:sz w:val="20"/>
          <w:szCs w:val="20"/>
        </w:rPr>
        <w:t> </w:t>
      </w:r>
    </w:p>
    <w:tbl>
      <w:tblPr>
        <w:tblW w:w="10765"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10"/>
        <w:gridCol w:w="1735"/>
        <w:gridCol w:w="850"/>
        <w:gridCol w:w="749"/>
        <w:gridCol w:w="860"/>
        <w:gridCol w:w="838"/>
        <w:gridCol w:w="938"/>
        <w:gridCol w:w="749"/>
        <w:gridCol w:w="860"/>
        <w:gridCol w:w="838"/>
        <w:gridCol w:w="938"/>
      </w:tblGrid>
      <w:tr w:rsidR="004E2D2F" w:rsidRPr="004030DB" w14:paraId="25AC54FF" w14:textId="77777777" w:rsidTr="004E2D2F">
        <w:trPr>
          <w:trHeight w:val="300"/>
          <w:jc w:val="center"/>
        </w:trPr>
        <w:tc>
          <w:tcPr>
            <w:tcW w:w="10765" w:type="dxa"/>
            <w:gridSpan w:val="11"/>
            <w:tcBorders>
              <w:top w:val="single" w:sz="6" w:space="0" w:color="auto"/>
              <w:left w:val="single" w:sz="6" w:space="0" w:color="auto"/>
              <w:bottom w:val="single" w:sz="6" w:space="0" w:color="auto"/>
              <w:right w:val="single" w:sz="6" w:space="0" w:color="auto"/>
            </w:tcBorders>
            <w:hideMark/>
          </w:tcPr>
          <w:p w14:paraId="58DCB22D" w14:textId="77777777" w:rsidR="004E2D2F" w:rsidRPr="004030DB" w:rsidRDefault="004E2D2F" w:rsidP="004E2D2F">
            <w:pPr>
              <w:widowControl/>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val="en-GB" w:eastAsia="en-GB"/>
              </w:rPr>
              <w:t>Salaries and Pension Entitlements of Senior Managers</w:t>
            </w:r>
            <w:r w:rsidRPr="004030DB">
              <w:rPr>
                <w:rFonts w:ascii="Arial" w:eastAsia="Times New Roman" w:hAnsi="Arial" w:cs="Arial"/>
                <w:color w:val="D13438"/>
                <w:sz w:val="20"/>
                <w:szCs w:val="20"/>
                <w:lang w:val="en-GB" w:eastAsia="en-GB"/>
              </w:rPr>
              <w:t> </w:t>
            </w:r>
          </w:p>
        </w:tc>
      </w:tr>
      <w:tr w:rsidR="004E2D2F" w:rsidRPr="004030DB" w14:paraId="07CBC71F" w14:textId="77777777" w:rsidTr="004E2D2F">
        <w:trPr>
          <w:trHeight w:val="300"/>
          <w:jc w:val="center"/>
        </w:trPr>
        <w:tc>
          <w:tcPr>
            <w:tcW w:w="10765" w:type="dxa"/>
            <w:gridSpan w:val="11"/>
            <w:tcBorders>
              <w:top w:val="single" w:sz="6" w:space="0" w:color="auto"/>
              <w:left w:val="single" w:sz="6" w:space="0" w:color="auto"/>
              <w:bottom w:val="single" w:sz="6" w:space="0" w:color="auto"/>
              <w:right w:val="single" w:sz="6" w:space="0" w:color="auto"/>
            </w:tcBorders>
            <w:hideMark/>
          </w:tcPr>
          <w:p w14:paraId="5F457CA6" w14:textId="77777777" w:rsidR="004E2D2F" w:rsidRPr="004030DB" w:rsidRDefault="004E2D2F" w:rsidP="004E2D2F">
            <w:pPr>
              <w:widowControl/>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val="en-GB" w:eastAsia="en-GB"/>
              </w:rPr>
              <w:t>Salaries and Allowances </w:t>
            </w:r>
            <w:r w:rsidRPr="004030DB">
              <w:rPr>
                <w:rFonts w:ascii="Arial" w:eastAsia="Times New Roman" w:hAnsi="Arial" w:cs="Arial"/>
                <w:color w:val="D13438"/>
                <w:sz w:val="20"/>
                <w:szCs w:val="20"/>
                <w:lang w:val="en-GB" w:eastAsia="en-GB"/>
              </w:rPr>
              <w:t> </w:t>
            </w:r>
          </w:p>
        </w:tc>
      </w:tr>
      <w:tr w:rsidR="004E2D2F" w:rsidRPr="004030DB" w14:paraId="2CFE33DE" w14:textId="77777777" w:rsidTr="004E2D2F">
        <w:trPr>
          <w:trHeight w:val="300"/>
          <w:jc w:val="center"/>
        </w:trPr>
        <w:tc>
          <w:tcPr>
            <w:tcW w:w="1410" w:type="dxa"/>
            <w:vMerge w:val="restart"/>
            <w:tcBorders>
              <w:top w:val="single" w:sz="6" w:space="0" w:color="auto"/>
              <w:left w:val="single" w:sz="6" w:space="0" w:color="auto"/>
              <w:bottom w:val="single" w:sz="6" w:space="0" w:color="auto"/>
              <w:right w:val="single" w:sz="6" w:space="0" w:color="auto"/>
            </w:tcBorders>
            <w:hideMark/>
          </w:tcPr>
          <w:p w14:paraId="2FA2A96F" w14:textId="77777777" w:rsidR="004E2D2F" w:rsidRPr="004030DB" w:rsidRDefault="004E2D2F" w:rsidP="004E2D2F">
            <w:pPr>
              <w:widowControl/>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val="en-GB" w:eastAsia="en-GB"/>
              </w:rPr>
              <w:t>Name </w:t>
            </w:r>
            <w:r w:rsidRPr="004030DB">
              <w:rPr>
                <w:rFonts w:ascii="Arial" w:eastAsia="Times New Roman" w:hAnsi="Arial" w:cs="Arial"/>
                <w:color w:val="D13438"/>
                <w:sz w:val="20"/>
                <w:szCs w:val="20"/>
                <w:lang w:val="en-GB" w:eastAsia="en-GB"/>
              </w:rPr>
              <w:t> </w:t>
            </w:r>
          </w:p>
        </w:tc>
        <w:tc>
          <w:tcPr>
            <w:tcW w:w="1735" w:type="dxa"/>
            <w:vMerge w:val="restart"/>
            <w:tcBorders>
              <w:top w:val="single" w:sz="6" w:space="0" w:color="auto"/>
              <w:left w:val="single" w:sz="6" w:space="0" w:color="auto"/>
              <w:bottom w:val="single" w:sz="6" w:space="0" w:color="auto"/>
              <w:right w:val="single" w:sz="6" w:space="0" w:color="auto"/>
            </w:tcBorders>
            <w:hideMark/>
          </w:tcPr>
          <w:p w14:paraId="0E4AD182" w14:textId="77777777" w:rsidR="004E2D2F" w:rsidRPr="004030DB" w:rsidRDefault="004E2D2F" w:rsidP="004E2D2F">
            <w:pPr>
              <w:widowControl/>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val="en-GB" w:eastAsia="en-GB"/>
              </w:rPr>
              <w:t>Job Title  </w:t>
            </w:r>
            <w:r w:rsidRPr="004030DB">
              <w:rPr>
                <w:rFonts w:ascii="Arial" w:eastAsia="Times New Roman" w:hAnsi="Arial" w:cs="Arial"/>
                <w:color w:val="D13438"/>
                <w:sz w:val="20"/>
                <w:szCs w:val="20"/>
                <w:lang w:val="en-GB" w:eastAsia="en-GB"/>
              </w:rPr>
              <w:t> </w:t>
            </w:r>
          </w:p>
        </w:tc>
        <w:tc>
          <w:tcPr>
            <w:tcW w:w="850" w:type="dxa"/>
            <w:vMerge w:val="restart"/>
            <w:tcBorders>
              <w:top w:val="single" w:sz="6" w:space="0" w:color="auto"/>
              <w:left w:val="single" w:sz="6" w:space="0" w:color="auto"/>
              <w:bottom w:val="single" w:sz="6" w:space="0" w:color="auto"/>
              <w:right w:val="single" w:sz="6" w:space="0" w:color="auto"/>
            </w:tcBorders>
            <w:hideMark/>
          </w:tcPr>
          <w:p w14:paraId="675414F5" w14:textId="77777777" w:rsidR="004E2D2F" w:rsidRPr="004030DB" w:rsidRDefault="004E2D2F" w:rsidP="004E2D2F">
            <w:pPr>
              <w:widowControl/>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val="en-GB" w:eastAsia="en-GB"/>
              </w:rPr>
              <w:t>Effective Date </w:t>
            </w:r>
            <w:r w:rsidRPr="004030DB">
              <w:rPr>
                <w:rFonts w:ascii="Arial" w:eastAsia="Times New Roman" w:hAnsi="Arial" w:cs="Arial"/>
                <w:color w:val="D13438"/>
                <w:sz w:val="20"/>
                <w:szCs w:val="20"/>
                <w:lang w:val="en-GB" w:eastAsia="en-GB"/>
              </w:rPr>
              <w:t> </w:t>
            </w:r>
          </w:p>
        </w:tc>
        <w:tc>
          <w:tcPr>
            <w:tcW w:w="3385" w:type="dxa"/>
            <w:gridSpan w:val="4"/>
            <w:tcBorders>
              <w:top w:val="single" w:sz="6" w:space="0" w:color="auto"/>
              <w:left w:val="single" w:sz="6" w:space="0" w:color="auto"/>
              <w:bottom w:val="single" w:sz="6" w:space="0" w:color="auto"/>
              <w:right w:val="single" w:sz="6" w:space="0" w:color="auto"/>
            </w:tcBorders>
            <w:hideMark/>
          </w:tcPr>
          <w:p w14:paraId="1FB4E5B4" w14:textId="77777777" w:rsidR="004E2D2F" w:rsidRPr="004030DB" w:rsidRDefault="004E2D2F" w:rsidP="004E2D2F">
            <w:pPr>
              <w:widowControl/>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val="en-GB" w:eastAsia="en-GB"/>
              </w:rPr>
              <w:t>Current Year </w:t>
            </w:r>
            <w:r w:rsidRPr="004030DB">
              <w:rPr>
                <w:rFonts w:ascii="Arial" w:eastAsia="Times New Roman" w:hAnsi="Arial" w:cs="Arial"/>
                <w:color w:val="D13438"/>
                <w:sz w:val="20"/>
                <w:szCs w:val="20"/>
                <w:lang w:val="en-GB" w:eastAsia="en-GB"/>
              </w:rPr>
              <w:t> </w:t>
            </w:r>
          </w:p>
        </w:tc>
        <w:tc>
          <w:tcPr>
            <w:tcW w:w="3385" w:type="dxa"/>
            <w:gridSpan w:val="4"/>
            <w:tcBorders>
              <w:top w:val="single" w:sz="6" w:space="0" w:color="auto"/>
              <w:left w:val="single" w:sz="6" w:space="0" w:color="auto"/>
              <w:bottom w:val="single" w:sz="6" w:space="0" w:color="auto"/>
              <w:right w:val="single" w:sz="6" w:space="0" w:color="auto"/>
            </w:tcBorders>
            <w:hideMark/>
          </w:tcPr>
          <w:p w14:paraId="79DCF70A" w14:textId="77777777" w:rsidR="004E2D2F" w:rsidRPr="004030DB" w:rsidRDefault="004E2D2F" w:rsidP="004E2D2F">
            <w:pPr>
              <w:widowControl/>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val="en-GB" w:eastAsia="en-GB"/>
              </w:rPr>
              <w:t>Prior Year </w:t>
            </w:r>
            <w:r w:rsidRPr="004030DB">
              <w:rPr>
                <w:rFonts w:ascii="Arial" w:eastAsia="Times New Roman" w:hAnsi="Arial" w:cs="Arial"/>
                <w:color w:val="D13438"/>
                <w:sz w:val="20"/>
                <w:szCs w:val="20"/>
                <w:lang w:val="en-GB" w:eastAsia="en-GB"/>
              </w:rPr>
              <w:t> </w:t>
            </w:r>
          </w:p>
        </w:tc>
      </w:tr>
      <w:tr w:rsidR="004E2D2F" w:rsidRPr="004030DB" w14:paraId="19E3B0EC" w14:textId="77777777" w:rsidTr="004E2D2F">
        <w:trPr>
          <w:trHeight w:val="300"/>
          <w:jc w:val="center"/>
        </w:trPr>
        <w:tc>
          <w:tcPr>
            <w:tcW w:w="1410" w:type="dxa"/>
            <w:vMerge/>
            <w:tcBorders>
              <w:top w:val="single" w:sz="6" w:space="0" w:color="auto"/>
              <w:left w:val="single" w:sz="6" w:space="0" w:color="auto"/>
              <w:bottom w:val="single" w:sz="6" w:space="0" w:color="auto"/>
              <w:right w:val="single" w:sz="6" w:space="0" w:color="auto"/>
            </w:tcBorders>
            <w:vAlign w:val="center"/>
            <w:hideMark/>
          </w:tcPr>
          <w:p w14:paraId="2F18A198" w14:textId="77777777" w:rsidR="004E2D2F" w:rsidRPr="004030DB" w:rsidRDefault="004E2D2F" w:rsidP="004E2D2F">
            <w:pPr>
              <w:widowControl/>
              <w:rPr>
                <w:rFonts w:ascii="Arial" w:eastAsia="Times New Roman" w:hAnsi="Arial" w:cs="Arial"/>
                <w:sz w:val="20"/>
                <w:szCs w:val="20"/>
                <w:lang w:val="en-GB" w:eastAsia="en-GB"/>
              </w:rPr>
            </w:pPr>
          </w:p>
        </w:tc>
        <w:tc>
          <w:tcPr>
            <w:tcW w:w="1735" w:type="dxa"/>
            <w:vMerge/>
            <w:tcBorders>
              <w:top w:val="single" w:sz="6" w:space="0" w:color="auto"/>
              <w:left w:val="single" w:sz="6" w:space="0" w:color="auto"/>
              <w:bottom w:val="single" w:sz="6" w:space="0" w:color="auto"/>
              <w:right w:val="single" w:sz="6" w:space="0" w:color="auto"/>
            </w:tcBorders>
            <w:vAlign w:val="center"/>
            <w:hideMark/>
          </w:tcPr>
          <w:p w14:paraId="5EFC04CE" w14:textId="77777777" w:rsidR="004E2D2F" w:rsidRPr="004030DB" w:rsidRDefault="004E2D2F" w:rsidP="004E2D2F">
            <w:pPr>
              <w:widowControl/>
              <w:rPr>
                <w:rFonts w:ascii="Arial" w:eastAsia="Times New Roman" w:hAnsi="Arial" w:cs="Arial"/>
                <w:sz w:val="20"/>
                <w:szCs w:val="20"/>
                <w:lang w:val="en-GB" w:eastAsia="en-GB"/>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55142B5" w14:textId="77777777" w:rsidR="004E2D2F" w:rsidRPr="004030DB" w:rsidRDefault="004E2D2F" w:rsidP="004E2D2F">
            <w:pPr>
              <w:widowControl/>
              <w:rPr>
                <w:rFonts w:ascii="Arial" w:eastAsia="Times New Roman" w:hAnsi="Arial" w:cs="Arial"/>
                <w:sz w:val="20"/>
                <w:szCs w:val="20"/>
                <w:lang w:val="en-GB" w:eastAsia="en-GB"/>
              </w:rPr>
            </w:pPr>
          </w:p>
        </w:tc>
        <w:tc>
          <w:tcPr>
            <w:tcW w:w="749" w:type="dxa"/>
            <w:tcBorders>
              <w:top w:val="single" w:sz="6" w:space="0" w:color="auto"/>
              <w:left w:val="single" w:sz="6" w:space="0" w:color="auto"/>
              <w:bottom w:val="single" w:sz="6" w:space="0" w:color="auto"/>
              <w:right w:val="single" w:sz="6" w:space="0" w:color="auto"/>
            </w:tcBorders>
            <w:vAlign w:val="center"/>
            <w:hideMark/>
          </w:tcPr>
          <w:p w14:paraId="1978D480"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proofErr w:type="gramStart"/>
            <w:r w:rsidRPr="004030DB">
              <w:rPr>
                <w:rFonts w:ascii="Arial" w:eastAsia="Times New Roman" w:hAnsi="Arial" w:cs="Arial"/>
                <w:b/>
                <w:bCs/>
                <w:sz w:val="20"/>
                <w:szCs w:val="20"/>
                <w:lang w:eastAsia="en-GB"/>
              </w:rPr>
              <w:t>( a</w:t>
            </w:r>
            <w:proofErr w:type="gramEnd"/>
            <w:r w:rsidRPr="004030DB">
              <w:rPr>
                <w:rFonts w:ascii="Arial" w:eastAsia="Times New Roman" w:hAnsi="Arial" w:cs="Arial"/>
                <w:b/>
                <w:bCs/>
                <w:sz w:val="20"/>
                <w:szCs w:val="20"/>
                <w:lang w:eastAsia="en-GB"/>
              </w:rPr>
              <w:t xml:space="preserve"> )</w:t>
            </w:r>
            <w:r w:rsidRPr="004030DB">
              <w:rPr>
                <w:rFonts w:ascii="Arial" w:eastAsia="Times New Roman" w:hAnsi="Arial" w:cs="Arial"/>
                <w:color w:val="D13438"/>
                <w:sz w:val="20"/>
                <w:szCs w:val="20"/>
                <w:lang w:val="en-GB" w:eastAsia="en-GB"/>
              </w:rPr>
              <w:t> </w:t>
            </w:r>
          </w:p>
        </w:tc>
        <w:tc>
          <w:tcPr>
            <w:tcW w:w="860" w:type="dxa"/>
            <w:tcBorders>
              <w:top w:val="single" w:sz="6" w:space="0" w:color="auto"/>
              <w:left w:val="single" w:sz="6" w:space="0" w:color="auto"/>
              <w:bottom w:val="single" w:sz="6" w:space="0" w:color="auto"/>
              <w:right w:val="single" w:sz="6" w:space="0" w:color="auto"/>
            </w:tcBorders>
            <w:vAlign w:val="center"/>
            <w:hideMark/>
          </w:tcPr>
          <w:p w14:paraId="4B7CF58F"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proofErr w:type="gramStart"/>
            <w:r w:rsidRPr="004030DB">
              <w:rPr>
                <w:rFonts w:ascii="Arial" w:eastAsia="Times New Roman" w:hAnsi="Arial" w:cs="Arial"/>
                <w:b/>
                <w:bCs/>
                <w:sz w:val="20"/>
                <w:szCs w:val="20"/>
                <w:lang w:eastAsia="en-GB"/>
              </w:rPr>
              <w:t>( b</w:t>
            </w:r>
            <w:proofErr w:type="gramEnd"/>
            <w:r w:rsidRPr="004030DB">
              <w:rPr>
                <w:rFonts w:ascii="Arial" w:eastAsia="Times New Roman" w:hAnsi="Arial" w:cs="Arial"/>
                <w:b/>
                <w:bCs/>
                <w:sz w:val="20"/>
                <w:szCs w:val="20"/>
                <w:lang w:eastAsia="en-GB"/>
              </w:rPr>
              <w:t xml:space="preserve"> ) </w:t>
            </w:r>
            <w:r w:rsidRPr="004030DB">
              <w:rPr>
                <w:rFonts w:ascii="Arial" w:eastAsia="Times New Roman" w:hAnsi="Arial" w:cs="Arial"/>
                <w:b/>
                <w:bCs/>
                <w:sz w:val="20"/>
                <w:szCs w:val="20"/>
                <w:vertAlign w:val="superscript"/>
                <w:lang w:eastAsia="en-GB"/>
              </w:rPr>
              <w:t>1</w:t>
            </w:r>
            <w:r w:rsidRPr="004030DB">
              <w:rPr>
                <w:rFonts w:ascii="Arial" w:eastAsia="Times New Roman" w:hAnsi="Arial" w:cs="Arial"/>
                <w:color w:val="D13438"/>
                <w:sz w:val="20"/>
                <w:szCs w:val="20"/>
                <w:lang w:val="en-GB" w:eastAsia="en-GB"/>
              </w:rPr>
              <w:t> </w:t>
            </w:r>
          </w:p>
        </w:tc>
        <w:tc>
          <w:tcPr>
            <w:tcW w:w="838" w:type="dxa"/>
            <w:tcBorders>
              <w:top w:val="single" w:sz="6" w:space="0" w:color="auto"/>
              <w:left w:val="single" w:sz="6" w:space="0" w:color="auto"/>
              <w:bottom w:val="single" w:sz="6" w:space="0" w:color="auto"/>
              <w:right w:val="single" w:sz="6" w:space="0" w:color="auto"/>
            </w:tcBorders>
            <w:vAlign w:val="center"/>
            <w:hideMark/>
          </w:tcPr>
          <w:p w14:paraId="13E55E98"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proofErr w:type="gramStart"/>
            <w:r w:rsidRPr="004030DB">
              <w:rPr>
                <w:rFonts w:ascii="Arial" w:eastAsia="Times New Roman" w:hAnsi="Arial" w:cs="Arial"/>
                <w:b/>
                <w:bCs/>
                <w:sz w:val="20"/>
                <w:szCs w:val="20"/>
                <w:lang w:eastAsia="en-GB"/>
              </w:rPr>
              <w:t>( e</w:t>
            </w:r>
            <w:proofErr w:type="gramEnd"/>
            <w:r w:rsidRPr="004030DB">
              <w:rPr>
                <w:rFonts w:ascii="Arial" w:eastAsia="Times New Roman" w:hAnsi="Arial" w:cs="Arial"/>
                <w:b/>
                <w:bCs/>
                <w:sz w:val="20"/>
                <w:szCs w:val="20"/>
                <w:lang w:eastAsia="en-GB"/>
              </w:rPr>
              <w:t xml:space="preserve"> )</w:t>
            </w:r>
            <w:r w:rsidRPr="004030DB">
              <w:rPr>
                <w:rFonts w:ascii="Arial" w:eastAsia="Times New Roman" w:hAnsi="Arial" w:cs="Arial"/>
                <w:color w:val="D13438"/>
                <w:sz w:val="20"/>
                <w:szCs w:val="20"/>
                <w:lang w:val="en-GB" w:eastAsia="en-GB"/>
              </w:rPr>
              <w:t> </w:t>
            </w:r>
          </w:p>
        </w:tc>
        <w:tc>
          <w:tcPr>
            <w:tcW w:w="938" w:type="dxa"/>
            <w:tcBorders>
              <w:top w:val="single" w:sz="6" w:space="0" w:color="auto"/>
              <w:left w:val="single" w:sz="6" w:space="0" w:color="auto"/>
              <w:bottom w:val="single" w:sz="6" w:space="0" w:color="auto"/>
              <w:right w:val="single" w:sz="6" w:space="0" w:color="auto"/>
            </w:tcBorders>
            <w:vAlign w:val="center"/>
            <w:hideMark/>
          </w:tcPr>
          <w:p w14:paraId="616AB96B"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proofErr w:type="gramStart"/>
            <w:r w:rsidRPr="004030DB">
              <w:rPr>
                <w:rFonts w:ascii="Arial" w:eastAsia="Times New Roman" w:hAnsi="Arial" w:cs="Arial"/>
                <w:b/>
                <w:bCs/>
                <w:sz w:val="20"/>
                <w:szCs w:val="20"/>
                <w:lang w:eastAsia="en-GB"/>
              </w:rPr>
              <w:t>( f</w:t>
            </w:r>
            <w:proofErr w:type="gramEnd"/>
            <w:r w:rsidRPr="004030DB">
              <w:rPr>
                <w:rFonts w:ascii="Arial" w:eastAsia="Times New Roman" w:hAnsi="Arial" w:cs="Arial"/>
                <w:b/>
                <w:bCs/>
                <w:sz w:val="20"/>
                <w:szCs w:val="20"/>
                <w:lang w:eastAsia="en-GB"/>
              </w:rPr>
              <w:t xml:space="preserve"> )</w:t>
            </w:r>
            <w:r w:rsidRPr="004030DB">
              <w:rPr>
                <w:rFonts w:ascii="Arial" w:eastAsia="Times New Roman" w:hAnsi="Arial" w:cs="Arial"/>
                <w:color w:val="D13438"/>
                <w:sz w:val="20"/>
                <w:szCs w:val="20"/>
                <w:lang w:val="en-GB" w:eastAsia="en-GB"/>
              </w:rPr>
              <w:t> </w:t>
            </w:r>
          </w:p>
        </w:tc>
        <w:tc>
          <w:tcPr>
            <w:tcW w:w="749" w:type="dxa"/>
            <w:tcBorders>
              <w:top w:val="single" w:sz="6" w:space="0" w:color="auto"/>
              <w:left w:val="single" w:sz="6" w:space="0" w:color="auto"/>
              <w:bottom w:val="single" w:sz="6" w:space="0" w:color="auto"/>
              <w:right w:val="single" w:sz="6" w:space="0" w:color="auto"/>
            </w:tcBorders>
            <w:vAlign w:val="center"/>
            <w:hideMark/>
          </w:tcPr>
          <w:p w14:paraId="565833A8"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proofErr w:type="gramStart"/>
            <w:r w:rsidRPr="004030DB">
              <w:rPr>
                <w:rFonts w:ascii="Arial" w:eastAsia="Times New Roman" w:hAnsi="Arial" w:cs="Arial"/>
                <w:b/>
                <w:bCs/>
                <w:sz w:val="20"/>
                <w:szCs w:val="20"/>
                <w:lang w:eastAsia="en-GB"/>
              </w:rPr>
              <w:t>( a</w:t>
            </w:r>
            <w:proofErr w:type="gramEnd"/>
            <w:r w:rsidRPr="004030DB">
              <w:rPr>
                <w:rFonts w:ascii="Arial" w:eastAsia="Times New Roman" w:hAnsi="Arial" w:cs="Arial"/>
                <w:b/>
                <w:bCs/>
                <w:sz w:val="20"/>
                <w:szCs w:val="20"/>
                <w:lang w:eastAsia="en-GB"/>
              </w:rPr>
              <w:t xml:space="preserve"> )</w:t>
            </w:r>
            <w:r w:rsidRPr="004030DB">
              <w:rPr>
                <w:rFonts w:ascii="Arial" w:eastAsia="Times New Roman" w:hAnsi="Arial" w:cs="Arial"/>
                <w:color w:val="D13438"/>
                <w:sz w:val="20"/>
                <w:szCs w:val="20"/>
                <w:lang w:val="en-GB" w:eastAsia="en-GB"/>
              </w:rPr>
              <w:t> </w:t>
            </w:r>
          </w:p>
        </w:tc>
        <w:tc>
          <w:tcPr>
            <w:tcW w:w="860" w:type="dxa"/>
            <w:tcBorders>
              <w:top w:val="single" w:sz="6" w:space="0" w:color="auto"/>
              <w:left w:val="single" w:sz="6" w:space="0" w:color="auto"/>
              <w:bottom w:val="single" w:sz="6" w:space="0" w:color="auto"/>
              <w:right w:val="single" w:sz="6" w:space="0" w:color="auto"/>
            </w:tcBorders>
            <w:vAlign w:val="center"/>
            <w:hideMark/>
          </w:tcPr>
          <w:p w14:paraId="10C2A28E"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proofErr w:type="gramStart"/>
            <w:r w:rsidRPr="004030DB">
              <w:rPr>
                <w:rFonts w:ascii="Arial" w:eastAsia="Times New Roman" w:hAnsi="Arial" w:cs="Arial"/>
                <w:b/>
                <w:bCs/>
                <w:sz w:val="20"/>
                <w:szCs w:val="20"/>
                <w:lang w:eastAsia="en-GB"/>
              </w:rPr>
              <w:t>( b</w:t>
            </w:r>
            <w:proofErr w:type="gramEnd"/>
            <w:r w:rsidRPr="004030DB">
              <w:rPr>
                <w:rFonts w:ascii="Arial" w:eastAsia="Times New Roman" w:hAnsi="Arial" w:cs="Arial"/>
                <w:b/>
                <w:bCs/>
                <w:sz w:val="20"/>
                <w:szCs w:val="20"/>
                <w:lang w:eastAsia="en-GB"/>
              </w:rPr>
              <w:t xml:space="preserve"> )</w:t>
            </w:r>
            <w:r w:rsidRPr="004030DB">
              <w:rPr>
                <w:rFonts w:ascii="Arial" w:eastAsia="Times New Roman" w:hAnsi="Arial" w:cs="Arial"/>
                <w:b/>
                <w:bCs/>
                <w:sz w:val="20"/>
                <w:szCs w:val="20"/>
                <w:vertAlign w:val="superscript"/>
                <w:lang w:eastAsia="en-GB"/>
              </w:rPr>
              <w:t>2</w:t>
            </w:r>
            <w:r w:rsidRPr="004030DB">
              <w:rPr>
                <w:rFonts w:ascii="Arial" w:eastAsia="Times New Roman" w:hAnsi="Arial" w:cs="Arial"/>
                <w:color w:val="D13438"/>
                <w:sz w:val="20"/>
                <w:szCs w:val="20"/>
                <w:lang w:val="en-GB" w:eastAsia="en-GB"/>
              </w:rPr>
              <w:t> </w:t>
            </w:r>
          </w:p>
        </w:tc>
        <w:tc>
          <w:tcPr>
            <w:tcW w:w="838" w:type="dxa"/>
            <w:tcBorders>
              <w:top w:val="single" w:sz="6" w:space="0" w:color="auto"/>
              <w:left w:val="single" w:sz="6" w:space="0" w:color="auto"/>
              <w:bottom w:val="single" w:sz="6" w:space="0" w:color="auto"/>
              <w:right w:val="single" w:sz="6" w:space="0" w:color="auto"/>
            </w:tcBorders>
            <w:vAlign w:val="center"/>
            <w:hideMark/>
          </w:tcPr>
          <w:p w14:paraId="15E2D1FE"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proofErr w:type="gramStart"/>
            <w:r w:rsidRPr="004030DB">
              <w:rPr>
                <w:rFonts w:ascii="Arial" w:eastAsia="Times New Roman" w:hAnsi="Arial" w:cs="Arial"/>
                <w:b/>
                <w:bCs/>
                <w:sz w:val="20"/>
                <w:szCs w:val="20"/>
                <w:lang w:eastAsia="en-GB"/>
              </w:rPr>
              <w:t>( e</w:t>
            </w:r>
            <w:proofErr w:type="gramEnd"/>
            <w:r w:rsidRPr="004030DB">
              <w:rPr>
                <w:rFonts w:ascii="Arial" w:eastAsia="Times New Roman" w:hAnsi="Arial" w:cs="Arial"/>
                <w:b/>
                <w:bCs/>
                <w:sz w:val="20"/>
                <w:szCs w:val="20"/>
                <w:lang w:eastAsia="en-GB"/>
              </w:rPr>
              <w:t xml:space="preserve"> )</w:t>
            </w:r>
            <w:r w:rsidRPr="004030DB">
              <w:rPr>
                <w:rFonts w:ascii="Arial" w:eastAsia="Times New Roman" w:hAnsi="Arial" w:cs="Arial"/>
                <w:color w:val="D13438"/>
                <w:sz w:val="20"/>
                <w:szCs w:val="20"/>
                <w:lang w:val="en-GB" w:eastAsia="en-GB"/>
              </w:rPr>
              <w:t> </w:t>
            </w:r>
          </w:p>
        </w:tc>
        <w:tc>
          <w:tcPr>
            <w:tcW w:w="938" w:type="dxa"/>
            <w:tcBorders>
              <w:top w:val="single" w:sz="6" w:space="0" w:color="auto"/>
              <w:left w:val="single" w:sz="6" w:space="0" w:color="auto"/>
              <w:bottom w:val="single" w:sz="6" w:space="0" w:color="auto"/>
              <w:right w:val="single" w:sz="6" w:space="0" w:color="auto"/>
            </w:tcBorders>
            <w:vAlign w:val="center"/>
            <w:hideMark/>
          </w:tcPr>
          <w:p w14:paraId="399EBDCA"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proofErr w:type="gramStart"/>
            <w:r w:rsidRPr="004030DB">
              <w:rPr>
                <w:rFonts w:ascii="Arial" w:eastAsia="Times New Roman" w:hAnsi="Arial" w:cs="Arial"/>
                <w:b/>
                <w:bCs/>
                <w:sz w:val="20"/>
                <w:szCs w:val="20"/>
                <w:lang w:eastAsia="en-GB"/>
              </w:rPr>
              <w:t>( f</w:t>
            </w:r>
            <w:proofErr w:type="gramEnd"/>
            <w:r w:rsidRPr="004030DB">
              <w:rPr>
                <w:rFonts w:ascii="Arial" w:eastAsia="Times New Roman" w:hAnsi="Arial" w:cs="Arial"/>
                <w:b/>
                <w:bCs/>
                <w:sz w:val="20"/>
                <w:szCs w:val="20"/>
                <w:lang w:eastAsia="en-GB"/>
              </w:rPr>
              <w:t xml:space="preserve"> )</w:t>
            </w:r>
            <w:r w:rsidRPr="004030DB">
              <w:rPr>
                <w:rFonts w:ascii="Arial" w:eastAsia="Times New Roman" w:hAnsi="Arial" w:cs="Arial"/>
                <w:color w:val="D13438"/>
                <w:sz w:val="20"/>
                <w:szCs w:val="20"/>
                <w:lang w:val="en-GB" w:eastAsia="en-GB"/>
              </w:rPr>
              <w:t> </w:t>
            </w:r>
          </w:p>
        </w:tc>
      </w:tr>
      <w:tr w:rsidR="004E2D2F" w:rsidRPr="004030DB" w14:paraId="7FA1AA1E" w14:textId="77777777" w:rsidTr="004E2D2F">
        <w:trPr>
          <w:trHeight w:val="300"/>
          <w:jc w:val="center"/>
        </w:trPr>
        <w:tc>
          <w:tcPr>
            <w:tcW w:w="1410" w:type="dxa"/>
            <w:vMerge/>
            <w:tcBorders>
              <w:top w:val="single" w:sz="6" w:space="0" w:color="auto"/>
              <w:left w:val="single" w:sz="6" w:space="0" w:color="auto"/>
              <w:bottom w:val="single" w:sz="6" w:space="0" w:color="auto"/>
              <w:right w:val="single" w:sz="6" w:space="0" w:color="auto"/>
            </w:tcBorders>
            <w:vAlign w:val="center"/>
            <w:hideMark/>
          </w:tcPr>
          <w:p w14:paraId="4F070C99" w14:textId="77777777" w:rsidR="004E2D2F" w:rsidRPr="004030DB" w:rsidRDefault="004E2D2F" w:rsidP="004E2D2F">
            <w:pPr>
              <w:widowControl/>
              <w:rPr>
                <w:rFonts w:ascii="Arial" w:eastAsia="Times New Roman" w:hAnsi="Arial" w:cs="Arial"/>
                <w:sz w:val="20"/>
                <w:szCs w:val="20"/>
                <w:lang w:val="en-GB" w:eastAsia="en-GB"/>
              </w:rPr>
            </w:pPr>
          </w:p>
        </w:tc>
        <w:tc>
          <w:tcPr>
            <w:tcW w:w="1735" w:type="dxa"/>
            <w:vMerge/>
            <w:tcBorders>
              <w:top w:val="single" w:sz="6" w:space="0" w:color="auto"/>
              <w:left w:val="single" w:sz="6" w:space="0" w:color="auto"/>
              <w:bottom w:val="single" w:sz="6" w:space="0" w:color="auto"/>
              <w:right w:val="single" w:sz="6" w:space="0" w:color="auto"/>
            </w:tcBorders>
            <w:vAlign w:val="center"/>
            <w:hideMark/>
          </w:tcPr>
          <w:p w14:paraId="5C7B32A1" w14:textId="77777777" w:rsidR="004E2D2F" w:rsidRPr="004030DB" w:rsidRDefault="004E2D2F" w:rsidP="004E2D2F">
            <w:pPr>
              <w:widowControl/>
              <w:rPr>
                <w:rFonts w:ascii="Arial" w:eastAsia="Times New Roman" w:hAnsi="Arial" w:cs="Arial"/>
                <w:sz w:val="20"/>
                <w:szCs w:val="20"/>
                <w:lang w:val="en-GB" w:eastAsia="en-GB"/>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D523DA6" w14:textId="77777777" w:rsidR="004E2D2F" w:rsidRPr="004030DB" w:rsidRDefault="004E2D2F" w:rsidP="004E2D2F">
            <w:pPr>
              <w:widowControl/>
              <w:rPr>
                <w:rFonts w:ascii="Arial" w:eastAsia="Times New Roman" w:hAnsi="Arial" w:cs="Arial"/>
                <w:sz w:val="20"/>
                <w:szCs w:val="20"/>
                <w:lang w:val="en-GB" w:eastAsia="en-GB"/>
              </w:rPr>
            </w:pPr>
          </w:p>
        </w:tc>
        <w:tc>
          <w:tcPr>
            <w:tcW w:w="749" w:type="dxa"/>
            <w:tcBorders>
              <w:top w:val="single" w:sz="6" w:space="0" w:color="auto"/>
              <w:left w:val="single" w:sz="6" w:space="0" w:color="auto"/>
              <w:bottom w:val="single" w:sz="6" w:space="0" w:color="auto"/>
              <w:right w:val="single" w:sz="6" w:space="0" w:color="auto"/>
            </w:tcBorders>
            <w:vAlign w:val="center"/>
            <w:hideMark/>
          </w:tcPr>
          <w:p w14:paraId="57141079"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eastAsia="en-GB"/>
              </w:rPr>
              <w:t>Salary and Fees</w:t>
            </w:r>
            <w:r w:rsidRPr="004030DB">
              <w:rPr>
                <w:rFonts w:ascii="Arial" w:eastAsia="Times New Roman" w:hAnsi="Arial" w:cs="Arial"/>
                <w:color w:val="D13438"/>
                <w:sz w:val="20"/>
                <w:szCs w:val="20"/>
                <w:lang w:val="en-GB" w:eastAsia="en-GB"/>
              </w:rPr>
              <w:t> </w:t>
            </w:r>
          </w:p>
        </w:tc>
        <w:tc>
          <w:tcPr>
            <w:tcW w:w="860" w:type="dxa"/>
            <w:tcBorders>
              <w:top w:val="single" w:sz="6" w:space="0" w:color="auto"/>
              <w:left w:val="single" w:sz="6" w:space="0" w:color="auto"/>
              <w:bottom w:val="single" w:sz="6" w:space="0" w:color="auto"/>
              <w:right w:val="single" w:sz="6" w:space="0" w:color="auto"/>
            </w:tcBorders>
            <w:vAlign w:val="center"/>
            <w:hideMark/>
          </w:tcPr>
          <w:p w14:paraId="37C8E5DF"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eastAsia="en-GB"/>
              </w:rPr>
              <w:t>Taxable Benefits</w:t>
            </w:r>
            <w:r w:rsidRPr="004030DB">
              <w:rPr>
                <w:rFonts w:ascii="Arial" w:eastAsia="Times New Roman" w:hAnsi="Arial" w:cs="Arial"/>
                <w:color w:val="D13438"/>
                <w:sz w:val="20"/>
                <w:szCs w:val="20"/>
                <w:lang w:val="en-GB" w:eastAsia="en-GB"/>
              </w:rPr>
              <w:t> </w:t>
            </w:r>
          </w:p>
        </w:tc>
        <w:tc>
          <w:tcPr>
            <w:tcW w:w="838" w:type="dxa"/>
            <w:tcBorders>
              <w:top w:val="single" w:sz="6" w:space="0" w:color="auto"/>
              <w:left w:val="single" w:sz="6" w:space="0" w:color="auto"/>
              <w:bottom w:val="single" w:sz="6" w:space="0" w:color="auto"/>
              <w:right w:val="single" w:sz="6" w:space="0" w:color="auto"/>
            </w:tcBorders>
            <w:vAlign w:val="center"/>
            <w:hideMark/>
          </w:tcPr>
          <w:p w14:paraId="312775C7"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eastAsia="en-GB"/>
              </w:rPr>
              <w:t>All pension related benefits</w:t>
            </w:r>
            <w:r w:rsidRPr="004030DB">
              <w:rPr>
                <w:rFonts w:ascii="Arial" w:eastAsia="Times New Roman" w:hAnsi="Arial" w:cs="Arial"/>
                <w:color w:val="D13438"/>
                <w:sz w:val="20"/>
                <w:szCs w:val="20"/>
                <w:lang w:val="en-GB" w:eastAsia="en-GB"/>
              </w:rPr>
              <w:t> </w:t>
            </w:r>
          </w:p>
        </w:tc>
        <w:tc>
          <w:tcPr>
            <w:tcW w:w="938" w:type="dxa"/>
            <w:tcBorders>
              <w:top w:val="single" w:sz="6" w:space="0" w:color="auto"/>
              <w:left w:val="single" w:sz="6" w:space="0" w:color="auto"/>
              <w:bottom w:val="single" w:sz="6" w:space="0" w:color="auto"/>
              <w:right w:val="single" w:sz="6" w:space="0" w:color="auto"/>
            </w:tcBorders>
            <w:vAlign w:val="center"/>
            <w:hideMark/>
          </w:tcPr>
          <w:p w14:paraId="51DE1DFF"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eastAsia="en-GB"/>
              </w:rPr>
              <w:t xml:space="preserve">Total (Columns a </w:t>
            </w:r>
            <w:proofErr w:type="spellStart"/>
            <w:r w:rsidRPr="004030DB">
              <w:rPr>
                <w:rFonts w:ascii="Arial" w:eastAsia="Times New Roman" w:hAnsi="Arial" w:cs="Arial"/>
                <w:b/>
                <w:bCs/>
                <w:sz w:val="20"/>
                <w:szCs w:val="20"/>
                <w:lang w:eastAsia="en-GB"/>
              </w:rPr>
              <w:t>to e</w:t>
            </w:r>
            <w:proofErr w:type="spellEnd"/>
            <w:r w:rsidRPr="004030DB">
              <w:rPr>
                <w:rFonts w:ascii="Arial" w:eastAsia="Times New Roman" w:hAnsi="Arial" w:cs="Arial"/>
                <w:b/>
                <w:bCs/>
                <w:sz w:val="20"/>
                <w:szCs w:val="20"/>
                <w:lang w:eastAsia="en-GB"/>
              </w:rPr>
              <w:t>)</w:t>
            </w:r>
            <w:r w:rsidRPr="004030DB">
              <w:rPr>
                <w:rFonts w:ascii="Arial" w:eastAsia="Times New Roman" w:hAnsi="Arial" w:cs="Arial"/>
                <w:color w:val="D13438"/>
                <w:sz w:val="20"/>
                <w:szCs w:val="20"/>
                <w:lang w:val="en-GB" w:eastAsia="en-GB"/>
              </w:rPr>
              <w:t> </w:t>
            </w:r>
          </w:p>
        </w:tc>
        <w:tc>
          <w:tcPr>
            <w:tcW w:w="749" w:type="dxa"/>
            <w:tcBorders>
              <w:top w:val="single" w:sz="6" w:space="0" w:color="auto"/>
              <w:left w:val="single" w:sz="6" w:space="0" w:color="auto"/>
              <w:bottom w:val="single" w:sz="6" w:space="0" w:color="auto"/>
              <w:right w:val="single" w:sz="6" w:space="0" w:color="auto"/>
            </w:tcBorders>
            <w:vAlign w:val="center"/>
            <w:hideMark/>
          </w:tcPr>
          <w:p w14:paraId="51319D26"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eastAsia="en-GB"/>
              </w:rPr>
              <w:t>Salary and Fees</w:t>
            </w:r>
            <w:r w:rsidRPr="004030DB">
              <w:rPr>
                <w:rFonts w:ascii="Arial" w:eastAsia="Times New Roman" w:hAnsi="Arial" w:cs="Arial"/>
                <w:color w:val="D13438"/>
                <w:sz w:val="20"/>
                <w:szCs w:val="20"/>
                <w:lang w:val="en-GB" w:eastAsia="en-GB"/>
              </w:rPr>
              <w:t> </w:t>
            </w:r>
          </w:p>
        </w:tc>
        <w:tc>
          <w:tcPr>
            <w:tcW w:w="860" w:type="dxa"/>
            <w:tcBorders>
              <w:top w:val="single" w:sz="6" w:space="0" w:color="auto"/>
              <w:left w:val="single" w:sz="6" w:space="0" w:color="auto"/>
              <w:bottom w:val="single" w:sz="6" w:space="0" w:color="auto"/>
              <w:right w:val="single" w:sz="6" w:space="0" w:color="auto"/>
            </w:tcBorders>
            <w:vAlign w:val="center"/>
            <w:hideMark/>
          </w:tcPr>
          <w:p w14:paraId="776688A7"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eastAsia="en-GB"/>
              </w:rPr>
              <w:t>Taxable Benefits</w:t>
            </w:r>
            <w:r w:rsidRPr="004030DB">
              <w:rPr>
                <w:rFonts w:ascii="Arial" w:eastAsia="Times New Roman" w:hAnsi="Arial" w:cs="Arial"/>
                <w:color w:val="D13438"/>
                <w:sz w:val="20"/>
                <w:szCs w:val="20"/>
                <w:lang w:val="en-GB" w:eastAsia="en-GB"/>
              </w:rPr>
              <w:t> </w:t>
            </w:r>
          </w:p>
        </w:tc>
        <w:tc>
          <w:tcPr>
            <w:tcW w:w="838" w:type="dxa"/>
            <w:tcBorders>
              <w:top w:val="single" w:sz="6" w:space="0" w:color="auto"/>
              <w:left w:val="single" w:sz="6" w:space="0" w:color="auto"/>
              <w:bottom w:val="single" w:sz="6" w:space="0" w:color="auto"/>
              <w:right w:val="single" w:sz="6" w:space="0" w:color="auto"/>
            </w:tcBorders>
            <w:vAlign w:val="center"/>
            <w:hideMark/>
          </w:tcPr>
          <w:p w14:paraId="3395644E"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eastAsia="en-GB"/>
              </w:rPr>
              <w:t>All pension related benefits</w:t>
            </w:r>
            <w:r w:rsidRPr="004030DB">
              <w:rPr>
                <w:rFonts w:ascii="Arial" w:eastAsia="Times New Roman" w:hAnsi="Arial" w:cs="Arial"/>
                <w:color w:val="D13438"/>
                <w:sz w:val="20"/>
                <w:szCs w:val="20"/>
                <w:lang w:val="en-GB" w:eastAsia="en-GB"/>
              </w:rPr>
              <w:t> </w:t>
            </w:r>
          </w:p>
        </w:tc>
        <w:tc>
          <w:tcPr>
            <w:tcW w:w="938" w:type="dxa"/>
            <w:tcBorders>
              <w:top w:val="single" w:sz="6" w:space="0" w:color="auto"/>
              <w:left w:val="single" w:sz="6" w:space="0" w:color="auto"/>
              <w:bottom w:val="single" w:sz="6" w:space="0" w:color="auto"/>
              <w:right w:val="single" w:sz="6" w:space="0" w:color="auto"/>
            </w:tcBorders>
            <w:vAlign w:val="center"/>
            <w:hideMark/>
          </w:tcPr>
          <w:p w14:paraId="0535E513"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eastAsia="en-GB"/>
              </w:rPr>
              <w:t xml:space="preserve">Total (Columns a </w:t>
            </w:r>
            <w:proofErr w:type="spellStart"/>
            <w:r w:rsidRPr="004030DB">
              <w:rPr>
                <w:rFonts w:ascii="Arial" w:eastAsia="Times New Roman" w:hAnsi="Arial" w:cs="Arial"/>
                <w:b/>
                <w:bCs/>
                <w:sz w:val="20"/>
                <w:szCs w:val="20"/>
                <w:lang w:eastAsia="en-GB"/>
              </w:rPr>
              <w:t>to e</w:t>
            </w:r>
            <w:proofErr w:type="spellEnd"/>
            <w:r w:rsidRPr="004030DB">
              <w:rPr>
                <w:rFonts w:ascii="Arial" w:eastAsia="Times New Roman" w:hAnsi="Arial" w:cs="Arial"/>
                <w:b/>
                <w:bCs/>
                <w:sz w:val="20"/>
                <w:szCs w:val="20"/>
                <w:lang w:eastAsia="en-GB"/>
              </w:rPr>
              <w:t>)</w:t>
            </w:r>
            <w:r w:rsidRPr="004030DB">
              <w:rPr>
                <w:rFonts w:ascii="Arial" w:eastAsia="Times New Roman" w:hAnsi="Arial" w:cs="Arial"/>
                <w:color w:val="D13438"/>
                <w:sz w:val="20"/>
                <w:szCs w:val="20"/>
                <w:lang w:val="en-GB" w:eastAsia="en-GB"/>
              </w:rPr>
              <w:t> </w:t>
            </w:r>
          </w:p>
        </w:tc>
      </w:tr>
      <w:tr w:rsidR="004E2D2F" w:rsidRPr="004030DB" w14:paraId="0EF88CBA" w14:textId="77777777" w:rsidTr="004E2D2F">
        <w:trPr>
          <w:trHeight w:val="300"/>
          <w:jc w:val="center"/>
        </w:trPr>
        <w:tc>
          <w:tcPr>
            <w:tcW w:w="1410" w:type="dxa"/>
            <w:vMerge/>
            <w:tcBorders>
              <w:top w:val="single" w:sz="6" w:space="0" w:color="auto"/>
              <w:left w:val="single" w:sz="6" w:space="0" w:color="auto"/>
              <w:bottom w:val="single" w:sz="6" w:space="0" w:color="auto"/>
              <w:right w:val="single" w:sz="6" w:space="0" w:color="auto"/>
            </w:tcBorders>
            <w:vAlign w:val="center"/>
            <w:hideMark/>
          </w:tcPr>
          <w:p w14:paraId="78084525" w14:textId="77777777" w:rsidR="004E2D2F" w:rsidRPr="004030DB" w:rsidRDefault="004E2D2F" w:rsidP="004E2D2F">
            <w:pPr>
              <w:widowControl/>
              <w:rPr>
                <w:rFonts w:ascii="Arial" w:eastAsia="Times New Roman" w:hAnsi="Arial" w:cs="Arial"/>
                <w:sz w:val="20"/>
                <w:szCs w:val="20"/>
                <w:lang w:val="en-GB" w:eastAsia="en-GB"/>
              </w:rPr>
            </w:pPr>
          </w:p>
        </w:tc>
        <w:tc>
          <w:tcPr>
            <w:tcW w:w="1735" w:type="dxa"/>
            <w:vMerge/>
            <w:tcBorders>
              <w:top w:val="single" w:sz="6" w:space="0" w:color="auto"/>
              <w:left w:val="single" w:sz="6" w:space="0" w:color="auto"/>
              <w:bottom w:val="single" w:sz="6" w:space="0" w:color="auto"/>
              <w:right w:val="single" w:sz="6" w:space="0" w:color="auto"/>
            </w:tcBorders>
            <w:vAlign w:val="center"/>
            <w:hideMark/>
          </w:tcPr>
          <w:p w14:paraId="70518D35" w14:textId="77777777" w:rsidR="004E2D2F" w:rsidRPr="004030DB" w:rsidRDefault="004E2D2F" w:rsidP="004E2D2F">
            <w:pPr>
              <w:widowControl/>
              <w:rPr>
                <w:rFonts w:ascii="Arial" w:eastAsia="Times New Roman" w:hAnsi="Arial" w:cs="Arial"/>
                <w:sz w:val="20"/>
                <w:szCs w:val="20"/>
                <w:lang w:val="en-GB" w:eastAsia="en-GB"/>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3A31255" w14:textId="77777777" w:rsidR="004E2D2F" w:rsidRPr="004030DB" w:rsidRDefault="004E2D2F" w:rsidP="004E2D2F">
            <w:pPr>
              <w:widowControl/>
              <w:rPr>
                <w:rFonts w:ascii="Arial" w:eastAsia="Times New Roman" w:hAnsi="Arial" w:cs="Arial"/>
                <w:sz w:val="20"/>
                <w:szCs w:val="20"/>
                <w:lang w:val="en-GB" w:eastAsia="en-GB"/>
              </w:rPr>
            </w:pPr>
          </w:p>
        </w:tc>
        <w:tc>
          <w:tcPr>
            <w:tcW w:w="749" w:type="dxa"/>
            <w:tcBorders>
              <w:top w:val="single" w:sz="6" w:space="0" w:color="auto"/>
              <w:left w:val="single" w:sz="6" w:space="0" w:color="auto"/>
              <w:bottom w:val="single" w:sz="6" w:space="0" w:color="auto"/>
              <w:right w:val="single" w:sz="6" w:space="0" w:color="auto"/>
            </w:tcBorders>
            <w:vAlign w:val="center"/>
            <w:hideMark/>
          </w:tcPr>
          <w:p w14:paraId="220305E5"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eastAsia="en-GB"/>
              </w:rPr>
              <w:t>(Bands of £5,000)</w:t>
            </w:r>
            <w:r w:rsidRPr="004030DB">
              <w:rPr>
                <w:rFonts w:ascii="Arial" w:eastAsia="Times New Roman" w:hAnsi="Arial" w:cs="Arial"/>
                <w:color w:val="D13438"/>
                <w:sz w:val="20"/>
                <w:szCs w:val="20"/>
                <w:lang w:val="en-GB" w:eastAsia="en-GB"/>
              </w:rPr>
              <w:t> </w:t>
            </w:r>
          </w:p>
        </w:tc>
        <w:tc>
          <w:tcPr>
            <w:tcW w:w="860" w:type="dxa"/>
            <w:tcBorders>
              <w:top w:val="single" w:sz="6" w:space="0" w:color="auto"/>
              <w:left w:val="single" w:sz="6" w:space="0" w:color="auto"/>
              <w:bottom w:val="single" w:sz="6" w:space="0" w:color="auto"/>
              <w:right w:val="single" w:sz="6" w:space="0" w:color="auto"/>
            </w:tcBorders>
            <w:vAlign w:val="center"/>
            <w:hideMark/>
          </w:tcPr>
          <w:p w14:paraId="6905F2D0"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eastAsia="en-GB"/>
              </w:rPr>
              <w:t>(£ to the nearest £100)</w:t>
            </w:r>
            <w:r w:rsidRPr="004030DB">
              <w:rPr>
                <w:rFonts w:ascii="Arial" w:eastAsia="Times New Roman" w:hAnsi="Arial" w:cs="Arial"/>
                <w:color w:val="D13438"/>
                <w:sz w:val="20"/>
                <w:szCs w:val="20"/>
                <w:lang w:val="en-GB" w:eastAsia="en-GB"/>
              </w:rPr>
              <w:t> </w:t>
            </w:r>
          </w:p>
        </w:tc>
        <w:tc>
          <w:tcPr>
            <w:tcW w:w="838" w:type="dxa"/>
            <w:tcBorders>
              <w:top w:val="single" w:sz="6" w:space="0" w:color="auto"/>
              <w:left w:val="single" w:sz="6" w:space="0" w:color="auto"/>
              <w:bottom w:val="single" w:sz="6" w:space="0" w:color="auto"/>
              <w:right w:val="single" w:sz="6" w:space="0" w:color="auto"/>
            </w:tcBorders>
            <w:vAlign w:val="center"/>
            <w:hideMark/>
          </w:tcPr>
          <w:p w14:paraId="2441007D"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eastAsia="en-GB"/>
              </w:rPr>
              <w:t>(Bands of £2,500)</w:t>
            </w:r>
            <w:r w:rsidRPr="004030DB">
              <w:rPr>
                <w:rFonts w:ascii="Arial" w:eastAsia="Times New Roman" w:hAnsi="Arial" w:cs="Arial"/>
                <w:color w:val="D13438"/>
                <w:sz w:val="20"/>
                <w:szCs w:val="20"/>
                <w:lang w:val="en-GB" w:eastAsia="en-GB"/>
              </w:rPr>
              <w:t> </w:t>
            </w:r>
          </w:p>
        </w:tc>
        <w:tc>
          <w:tcPr>
            <w:tcW w:w="938" w:type="dxa"/>
            <w:tcBorders>
              <w:top w:val="single" w:sz="6" w:space="0" w:color="auto"/>
              <w:left w:val="single" w:sz="6" w:space="0" w:color="auto"/>
              <w:bottom w:val="single" w:sz="6" w:space="0" w:color="auto"/>
              <w:right w:val="single" w:sz="6" w:space="0" w:color="auto"/>
            </w:tcBorders>
            <w:vAlign w:val="center"/>
            <w:hideMark/>
          </w:tcPr>
          <w:p w14:paraId="6CBC769A"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eastAsia="en-GB"/>
              </w:rPr>
              <w:t>(Bands of £5,000)</w:t>
            </w:r>
            <w:r w:rsidRPr="004030DB">
              <w:rPr>
                <w:rFonts w:ascii="Arial" w:eastAsia="Times New Roman" w:hAnsi="Arial" w:cs="Arial"/>
                <w:color w:val="D13438"/>
                <w:sz w:val="20"/>
                <w:szCs w:val="20"/>
                <w:lang w:val="en-GB" w:eastAsia="en-GB"/>
              </w:rPr>
              <w:t> </w:t>
            </w:r>
          </w:p>
        </w:tc>
        <w:tc>
          <w:tcPr>
            <w:tcW w:w="749" w:type="dxa"/>
            <w:tcBorders>
              <w:top w:val="single" w:sz="6" w:space="0" w:color="auto"/>
              <w:left w:val="single" w:sz="6" w:space="0" w:color="auto"/>
              <w:bottom w:val="single" w:sz="6" w:space="0" w:color="auto"/>
              <w:right w:val="single" w:sz="6" w:space="0" w:color="auto"/>
            </w:tcBorders>
            <w:vAlign w:val="center"/>
            <w:hideMark/>
          </w:tcPr>
          <w:p w14:paraId="151EDED2"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eastAsia="en-GB"/>
              </w:rPr>
              <w:t>(Bands of £5,000)</w:t>
            </w:r>
            <w:r w:rsidRPr="004030DB">
              <w:rPr>
                <w:rFonts w:ascii="Arial" w:eastAsia="Times New Roman" w:hAnsi="Arial" w:cs="Arial"/>
                <w:color w:val="D13438"/>
                <w:sz w:val="20"/>
                <w:szCs w:val="20"/>
                <w:lang w:val="en-GB" w:eastAsia="en-GB"/>
              </w:rPr>
              <w:t> </w:t>
            </w:r>
          </w:p>
        </w:tc>
        <w:tc>
          <w:tcPr>
            <w:tcW w:w="860" w:type="dxa"/>
            <w:tcBorders>
              <w:top w:val="single" w:sz="6" w:space="0" w:color="auto"/>
              <w:left w:val="single" w:sz="6" w:space="0" w:color="auto"/>
              <w:bottom w:val="single" w:sz="6" w:space="0" w:color="auto"/>
              <w:right w:val="single" w:sz="6" w:space="0" w:color="auto"/>
            </w:tcBorders>
            <w:vAlign w:val="center"/>
            <w:hideMark/>
          </w:tcPr>
          <w:p w14:paraId="5C56CEEB"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eastAsia="en-GB"/>
              </w:rPr>
              <w:t>(£ to the nearest £100)</w:t>
            </w:r>
            <w:r w:rsidRPr="004030DB">
              <w:rPr>
                <w:rFonts w:ascii="Arial" w:eastAsia="Times New Roman" w:hAnsi="Arial" w:cs="Arial"/>
                <w:color w:val="D13438"/>
                <w:sz w:val="20"/>
                <w:szCs w:val="20"/>
                <w:lang w:val="en-GB" w:eastAsia="en-GB"/>
              </w:rPr>
              <w:t> </w:t>
            </w:r>
          </w:p>
        </w:tc>
        <w:tc>
          <w:tcPr>
            <w:tcW w:w="838" w:type="dxa"/>
            <w:tcBorders>
              <w:top w:val="single" w:sz="6" w:space="0" w:color="auto"/>
              <w:left w:val="single" w:sz="6" w:space="0" w:color="auto"/>
              <w:bottom w:val="single" w:sz="6" w:space="0" w:color="auto"/>
              <w:right w:val="single" w:sz="6" w:space="0" w:color="auto"/>
            </w:tcBorders>
            <w:vAlign w:val="center"/>
            <w:hideMark/>
          </w:tcPr>
          <w:p w14:paraId="094CE2CB"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eastAsia="en-GB"/>
              </w:rPr>
              <w:t>(Bands of £2,500)</w:t>
            </w:r>
            <w:r w:rsidRPr="004030DB">
              <w:rPr>
                <w:rFonts w:ascii="Arial" w:eastAsia="Times New Roman" w:hAnsi="Arial" w:cs="Arial"/>
                <w:color w:val="D13438"/>
                <w:sz w:val="20"/>
                <w:szCs w:val="20"/>
                <w:lang w:val="en-GB" w:eastAsia="en-GB"/>
              </w:rPr>
              <w:t> </w:t>
            </w:r>
          </w:p>
        </w:tc>
        <w:tc>
          <w:tcPr>
            <w:tcW w:w="938" w:type="dxa"/>
            <w:tcBorders>
              <w:top w:val="single" w:sz="6" w:space="0" w:color="auto"/>
              <w:left w:val="single" w:sz="6" w:space="0" w:color="auto"/>
              <w:bottom w:val="single" w:sz="6" w:space="0" w:color="auto"/>
              <w:right w:val="single" w:sz="6" w:space="0" w:color="auto"/>
            </w:tcBorders>
            <w:vAlign w:val="center"/>
            <w:hideMark/>
          </w:tcPr>
          <w:p w14:paraId="65A53BEB"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eastAsia="en-GB"/>
              </w:rPr>
              <w:t>(Bands of £5,000)</w:t>
            </w:r>
            <w:r w:rsidRPr="004030DB">
              <w:rPr>
                <w:rFonts w:ascii="Arial" w:eastAsia="Times New Roman" w:hAnsi="Arial" w:cs="Arial"/>
                <w:color w:val="D13438"/>
                <w:sz w:val="20"/>
                <w:szCs w:val="20"/>
                <w:lang w:val="en-GB" w:eastAsia="en-GB"/>
              </w:rPr>
              <w:t> </w:t>
            </w:r>
          </w:p>
        </w:tc>
      </w:tr>
      <w:tr w:rsidR="004E2D2F" w:rsidRPr="004030DB" w14:paraId="704D5D53" w14:textId="77777777" w:rsidTr="004E2D2F">
        <w:trPr>
          <w:trHeight w:val="300"/>
          <w:jc w:val="center"/>
        </w:trPr>
        <w:tc>
          <w:tcPr>
            <w:tcW w:w="1410" w:type="dxa"/>
            <w:vMerge/>
            <w:tcBorders>
              <w:top w:val="single" w:sz="6" w:space="0" w:color="auto"/>
              <w:left w:val="single" w:sz="6" w:space="0" w:color="auto"/>
              <w:bottom w:val="single" w:sz="6" w:space="0" w:color="auto"/>
              <w:right w:val="single" w:sz="6" w:space="0" w:color="auto"/>
            </w:tcBorders>
            <w:vAlign w:val="center"/>
            <w:hideMark/>
          </w:tcPr>
          <w:p w14:paraId="703B73B0" w14:textId="77777777" w:rsidR="004E2D2F" w:rsidRPr="004030DB" w:rsidRDefault="004E2D2F" w:rsidP="004E2D2F">
            <w:pPr>
              <w:widowControl/>
              <w:rPr>
                <w:rFonts w:ascii="Arial" w:eastAsia="Times New Roman" w:hAnsi="Arial" w:cs="Arial"/>
                <w:sz w:val="20"/>
                <w:szCs w:val="20"/>
                <w:lang w:val="en-GB" w:eastAsia="en-GB"/>
              </w:rPr>
            </w:pPr>
          </w:p>
        </w:tc>
        <w:tc>
          <w:tcPr>
            <w:tcW w:w="1735" w:type="dxa"/>
            <w:vMerge/>
            <w:tcBorders>
              <w:top w:val="single" w:sz="6" w:space="0" w:color="auto"/>
              <w:left w:val="single" w:sz="6" w:space="0" w:color="auto"/>
              <w:bottom w:val="single" w:sz="6" w:space="0" w:color="auto"/>
              <w:right w:val="single" w:sz="6" w:space="0" w:color="auto"/>
            </w:tcBorders>
            <w:vAlign w:val="center"/>
            <w:hideMark/>
          </w:tcPr>
          <w:p w14:paraId="33D22904" w14:textId="77777777" w:rsidR="004E2D2F" w:rsidRPr="004030DB" w:rsidRDefault="004E2D2F" w:rsidP="004E2D2F">
            <w:pPr>
              <w:widowControl/>
              <w:rPr>
                <w:rFonts w:ascii="Arial" w:eastAsia="Times New Roman" w:hAnsi="Arial" w:cs="Arial"/>
                <w:sz w:val="20"/>
                <w:szCs w:val="20"/>
                <w:lang w:val="en-GB" w:eastAsia="en-GB"/>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07C3E85" w14:textId="77777777" w:rsidR="004E2D2F" w:rsidRPr="004030DB" w:rsidRDefault="004E2D2F" w:rsidP="004E2D2F">
            <w:pPr>
              <w:widowControl/>
              <w:rPr>
                <w:rFonts w:ascii="Arial" w:eastAsia="Times New Roman" w:hAnsi="Arial" w:cs="Arial"/>
                <w:sz w:val="20"/>
                <w:szCs w:val="20"/>
                <w:lang w:val="en-GB" w:eastAsia="en-GB"/>
              </w:rPr>
            </w:pPr>
          </w:p>
        </w:tc>
        <w:tc>
          <w:tcPr>
            <w:tcW w:w="749" w:type="dxa"/>
            <w:tcBorders>
              <w:top w:val="single" w:sz="6" w:space="0" w:color="auto"/>
              <w:left w:val="single" w:sz="6" w:space="0" w:color="auto"/>
              <w:bottom w:val="single" w:sz="6" w:space="0" w:color="auto"/>
              <w:right w:val="single" w:sz="6" w:space="0" w:color="auto"/>
            </w:tcBorders>
            <w:vAlign w:val="center"/>
            <w:hideMark/>
          </w:tcPr>
          <w:p w14:paraId="59773368"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eastAsia="en-GB"/>
              </w:rPr>
              <w:t>£000</w:t>
            </w:r>
            <w:r w:rsidRPr="004030DB">
              <w:rPr>
                <w:rFonts w:ascii="Arial" w:eastAsia="Times New Roman" w:hAnsi="Arial" w:cs="Arial"/>
                <w:color w:val="D13438"/>
                <w:sz w:val="20"/>
                <w:szCs w:val="20"/>
                <w:lang w:val="en-GB" w:eastAsia="en-GB"/>
              </w:rPr>
              <w:t> </w:t>
            </w:r>
          </w:p>
        </w:tc>
        <w:tc>
          <w:tcPr>
            <w:tcW w:w="860" w:type="dxa"/>
            <w:tcBorders>
              <w:top w:val="single" w:sz="6" w:space="0" w:color="auto"/>
              <w:left w:val="single" w:sz="6" w:space="0" w:color="auto"/>
              <w:bottom w:val="single" w:sz="6" w:space="0" w:color="auto"/>
              <w:right w:val="single" w:sz="6" w:space="0" w:color="auto"/>
            </w:tcBorders>
            <w:vAlign w:val="center"/>
            <w:hideMark/>
          </w:tcPr>
          <w:p w14:paraId="4CFBF45F"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eastAsia="en-GB"/>
              </w:rPr>
              <w:t>£</w:t>
            </w:r>
            <w:r w:rsidRPr="004030DB">
              <w:rPr>
                <w:rFonts w:ascii="Arial" w:eastAsia="Times New Roman" w:hAnsi="Arial" w:cs="Arial"/>
                <w:color w:val="D13438"/>
                <w:sz w:val="20"/>
                <w:szCs w:val="20"/>
                <w:lang w:val="en-GB" w:eastAsia="en-GB"/>
              </w:rPr>
              <w:t> </w:t>
            </w:r>
          </w:p>
        </w:tc>
        <w:tc>
          <w:tcPr>
            <w:tcW w:w="838" w:type="dxa"/>
            <w:tcBorders>
              <w:top w:val="single" w:sz="6" w:space="0" w:color="auto"/>
              <w:left w:val="single" w:sz="6" w:space="0" w:color="auto"/>
              <w:bottom w:val="single" w:sz="6" w:space="0" w:color="auto"/>
              <w:right w:val="single" w:sz="6" w:space="0" w:color="auto"/>
            </w:tcBorders>
            <w:vAlign w:val="center"/>
            <w:hideMark/>
          </w:tcPr>
          <w:p w14:paraId="78DAC74F"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eastAsia="en-GB"/>
              </w:rPr>
              <w:t>£000</w:t>
            </w:r>
            <w:r w:rsidRPr="004030DB">
              <w:rPr>
                <w:rFonts w:ascii="Arial" w:eastAsia="Times New Roman" w:hAnsi="Arial" w:cs="Arial"/>
                <w:color w:val="D13438"/>
                <w:sz w:val="20"/>
                <w:szCs w:val="20"/>
                <w:lang w:val="en-GB" w:eastAsia="en-GB"/>
              </w:rPr>
              <w:t> </w:t>
            </w:r>
          </w:p>
        </w:tc>
        <w:tc>
          <w:tcPr>
            <w:tcW w:w="938" w:type="dxa"/>
            <w:tcBorders>
              <w:top w:val="single" w:sz="6" w:space="0" w:color="auto"/>
              <w:left w:val="single" w:sz="6" w:space="0" w:color="auto"/>
              <w:bottom w:val="single" w:sz="6" w:space="0" w:color="auto"/>
              <w:right w:val="single" w:sz="6" w:space="0" w:color="auto"/>
            </w:tcBorders>
            <w:vAlign w:val="center"/>
            <w:hideMark/>
          </w:tcPr>
          <w:p w14:paraId="7C1D29FE"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eastAsia="en-GB"/>
              </w:rPr>
              <w:t>£000</w:t>
            </w:r>
            <w:r w:rsidRPr="004030DB">
              <w:rPr>
                <w:rFonts w:ascii="Arial" w:eastAsia="Times New Roman" w:hAnsi="Arial" w:cs="Arial"/>
                <w:color w:val="D13438"/>
                <w:sz w:val="20"/>
                <w:szCs w:val="20"/>
                <w:lang w:val="en-GB" w:eastAsia="en-GB"/>
              </w:rPr>
              <w:t> </w:t>
            </w:r>
          </w:p>
        </w:tc>
        <w:tc>
          <w:tcPr>
            <w:tcW w:w="749" w:type="dxa"/>
            <w:tcBorders>
              <w:top w:val="single" w:sz="6" w:space="0" w:color="auto"/>
              <w:left w:val="single" w:sz="6" w:space="0" w:color="auto"/>
              <w:bottom w:val="single" w:sz="6" w:space="0" w:color="auto"/>
              <w:right w:val="single" w:sz="6" w:space="0" w:color="auto"/>
            </w:tcBorders>
            <w:vAlign w:val="center"/>
            <w:hideMark/>
          </w:tcPr>
          <w:p w14:paraId="05E0DEB4"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eastAsia="en-GB"/>
              </w:rPr>
              <w:t>£000</w:t>
            </w:r>
            <w:r w:rsidRPr="004030DB">
              <w:rPr>
                <w:rFonts w:ascii="Arial" w:eastAsia="Times New Roman" w:hAnsi="Arial" w:cs="Arial"/>
                <w:color w:val="D13438"/>
                <w:sz w:val="20"/>
                <w:szCs w:val="20"/>
                <w:lang w:val="en-GB" w:eastAsia="en-GB"/>
              </w:rPr>
              <w:t> </w:t>
            </w:r>
          </w:p>
        </w:tc>
        <w:tc>
          <w:tcPr>
            <w:tcW w:w="860" w:type="dxa"/>
            <w:tcBorders>
              <w:top w:val="single" w:sz="6" w:space="0" w:color="auto"/>
              <w:left w:val="single" w:sz="6" w:space="0" w:color="auto"/>
              <w:bottom w:val="single" w:sz="6" w:space="0" w:color="auto"/>
              <w:right w:val="single" w:sz="6" w:space="0" w:color="auto"/>
            </w:tcBorders>
            <w:vAlign w:val="center"/>
            <w:hideMark/>
          </w:tcPr>
          <w:p w14:paraId="1ECC4262"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eastAsia="en-GB"/>
              </w:rPr>
              <w:t>£</w:t>
            </w:r>
            <w:r w:rsidRPr="004030DB">
              <w:rPr>
                <w:rFonts w:ascii="Arial" w:eastAsia="Times New Roman" w:hAnsi="Arial" w:cs="Arial"/>
                <w:color w:val="D13438"/>
                <w:sz w:val="20"/>
                <w:szCs w:val="20"/>
                <w:lang w:val="en-GB" w:eastAsia="en-GB"/>
              </w:rPr>
              <w:t> </w:t>
            </w:r>
          </w:p>
        </w:tc>
        <w:tc>
          <w:tcPr>
            <w:tcW w:w="838" w:type="dxa"/>
            <w:tcBorders>
              <w:top w:val="single" w:sz="6" w:space="0" w:color="auto"/>
              <w:left w:val="single" w:sz="6" w:space="0" w:color="auto"/>
              <w:bottom w:val="single" w:sz="6" w:space="0" w:color="auto"/>
              <w:right w:val="single" w:sz="6" w:space="0" w:color="auto"/>
            </w:tcBorders>
            <w:vAlign w:val="center"/>
            <w:hideMark/>
          </w:tcPr>
          <w:p w14:paraId="1D1B7CC6"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eastAsia="en-GB"/>
              </w:rPr>
              <w:t>£000</w:t>
            </w:r>
            <w:r w:rsidRPr="004030DB">
              <w:rPr>
                <w:rFonts w:ascii="Arial" w:eastAsia="Times New Roman" w:hAnsi="Arial" w:cs="Arial"/>
                <w:color w:val="D13438"/>
                <w:sz w:val="20"/>
                <w:szCs w:val="20"/>
                <w:lang w:val="en-GB" w:eastAsia="en-GB"/>
              </w:rPr>
              <w:t> </w:t>
            </w:r>
          </w:p>
        </w:tc>
        <w:tc>
          <w:tcPr>
            <w:tcW w:w="938" w:type="dxa"/>
            <w:tcBorders>
              <w:top w:val="single" w:sz="6" w:space="0" w:color="auto"/>
              <w:left w:val="single" w:sz="6" w:space="0" w:color="auto"/>
              <w:bottom w:val="single" w:sz="6" w:space="0" w:color="auto"/>
              <w:right w:val="single" w:sz="6" w:space="0" w:color="auto"/>
            </w:tcBorders>
            <w:vAlign w:val="center"/>
            <w:hideMark/>
          </w:tcPr>
          <w:p w14:paraId="428E833C"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eastAsia="en-GB"/>
              </w:rPr>
              <w:t>£000</w:t>
            </w:r>
            <w:r w:rsidRPr="004030DB">
              <w:rPr>
                <w:rFonts w:ascii="Arial" w:eastAsia="Times New Roman" w:hAnsi="Arial" w:cs="Arial"/>
                <w:color w:val="D13438"/>
                <w:sz w:val="20"/>
                <w:szCs w:val="20"/>
                <w:lang w:val="en-GB" w:eastAsia="en-GB"/>
              </w:rPr>
              <w:t> </w:t>
            </w:r>
          </w:p>
        </w:tc>
      </w:tr>
      <w:tr w:rsidR="004E2D2F" w:rsidRPr="004030DB" w14:paraId="02C776E8" w14:textId="77777777" w:rsidTr="004E2D2F">
        <w:trPr>
          <w:trHeight w:val="300"/>
          <w:jc w:val="center"/>
        </w:trPr>
        <w:tc>
          <w:tcPr>
            <w:tcW w:w="1410" w:type="dxa"/>
            <w:tcBorders>
              <w:top w:val="single" w:sz="6" w:space="0" w:color="auto"/>
              <w:left w:val="single" w:sz="6" w:space="0" w:color="auto"/>
              <w:bottom w:val="single" w:sz="6" w:space="0" w:color="auto"/>
              <w:right w:val="single" w:sz="6" w:space="0" w:color="auto"/>
            </w:tcBorders>
            <w:hideMark/>
          </w:tcPr>
          <w:p w14:paraId="630232C2" w14:textId="77777777" w:rsidR="004E2D2F" w:rsidRPr="004030DB" w:rsidRDefault="004E2D2F" w:rsidP="004E2D2F">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M Spragg</w:t>
            </w:r>
            <w:r w:rsidRPr="004030DB">
              <w:rPr>
                <w:rFonts w:ascii="Arial" w:eastAsia="Times New Roman" w:hAnsi="Arial" w:cs="Arial"/>
                <w:color w:val="D13438"/>
                <w:sz w:val="20"/>
                <w:szCs w:val="20"/>
                <w:lang w:val="en-GB" w:eastAsia="en-GB"/>
              </w:rPr>
              <w:t> </w:t>
            </w:r>
          </w:p>
        </w:tc>
        <w:tc>
          <w:tcPr>
            <w:tcW w:w="1735" w:type="dxa"/>
            <w:tcBorders>
              <w:top w:val="single" w:sz="6" w:space="0" w:color="auto"/>
              <w:left w:val="single" w:sz="6" w:space="0" w:color="auto"/>
              <w:bottom w:val="single" w:sz="6" w:space="0" w:color="auto"/>
              <w:right w:val="single" w:sz="6" w:space="0" w:color="auto"/>
            </w:tcBorders>
            <w:hideMark/>
          </w:tcPr>
          <w:p w14:paraId="6662352F" w14:textId="77777777" w:rsidR="004E2D2F" w:rsidRPr="004030DB" w:rsidRDefault="004E2D2F" w:rsidP="004E2D2F">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Chair (Acting)</w:t>
            </w:r>
            <w:r w:rsidRPr="004030DB">
              <w:rPr>
                <w:rFonts w:ascii="Arial" w:eastAsia="Times New Roman" w:hAnsi="Arial" w:cs="Arial"/>
                <w:color w:val="D13438"/>
                <w:sz w:val="20"/>
                <w:szCs w:val="20"/>
                <w:lang w:val="en-GB" w:eastAsia="en-GB"/>
              </w:rPr>
              <w:t> </w:t>
            </w:r>
          </w:p>
        </w:tc>
        <w:tc>
          <w:tcPr>
            <w:tcW w:w="850" w:type="dxa"/>
            <w:tcBorders>
              <w:top w:val="single" w:sz="6" w:space="0" w:color="auto"/>
              <w:left w:val="single" w:sz="6" w:space="0" w:color="auto"/>
              <w:bottom w:val="single" w:sz="6" w:space="0" w:color="auto"/>
              <w:right w:val="single" w:sz="6" w:space="0" w:color="auto"/>
            </w:tcBorders>
            <w:hideMark/>
          </w:tcPr>
          <w:p w14:paraId="609F3DD0" w14:textId="77777777" w:rsidR="004E2D2F" w:rsidRPr="004030DB" w:rsidRDefault="004E2D2F" w:rsidP="004E2D2F">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01/04/24 - 31/05/24</w:t>
            </w:r>
            <w:r w:rsidRPr="004030DB">
              <w:rPr>
                <w:rFonts w:ascii="Arial" w:eastAsia="Times New Roman" w:hAnsi="Arial" w:cs="Arial"/>
                <w:color w:val="D13438"/>
                <w:sz w:val="20"/>
                <w:szCs w:val="20"/>
                <w:lang w:val="en-GB" w:eastAsia="en-GB"/>
              </w:rPr>
              <w:t> </w:t>
            </w:r>
          </w:p>
        </w:tc>
        <w:tc>
          <w:tcPr>
            <w:tcW w:w="749" w:type="dxa"/>
            <w:tcBorders>
              <w:top w:val="single" w:sz="6" w:space="0" w:color="auto"/>
              <w:left w:val="single" w:sz="6" w:space="0" w:color="auto"/>
              <w:bottom w:val="single" w:sz="6" w:space="0" w:color="auto"/>
              <w:right w:val="single" w:sz="6" w:space="0" w:color="auto"/>
            </w:tcBorders>
            <w:hideMark/>
          </w:tcPr>
          <w:p w14:paraId="58134A6C"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10-15</w:t>
            </w:r>
            <w:r w:rsidRPr="004030DB">
              <w:rPr>
                <w:rFonts w:ascii="Arial" w:eastAsia="Times New Roman" w:hAnsi="Arial" w:cs="Arial"/>
                <w:color w:val="D13438"/>
                <w:sz w:val="20"/>
                <w:szCs w:val="20"/>
                <w:lang w:val="en-GB" w:eastAsia="en-GB"/>
              </w:rPr>
              <w:t> </w:t>
            </w:r>
          </w:p>
        </w:tc>
        <w:tc>
          <w:tcPr>
            <w:tcW w:w="860" w:type="dxa"/>
            <w:tcBorders>
              <w:top w:val="single" w:sz="6" w:space="0" w:color="auto"/>
              <w:left w:val="single" w:sz="6" w:space="0" w:color="auto"/>
              <w:bottom w:val="single" w:sz="6" w:space="0" w:color="auto"/>
              <w:right w:val="single" w:sz="6" w:space="0" w:color="auto"/>
            </w:tcBorders>
            <w:hideMark/>
          </w:tcPr>
          <w:p w14:paraId="771B06B8" w14:textId="1C9D3867" w:rsidR="004E2D2F" w:rsidRPr="004030DB" w:rsidRDefault="002520AD" w:rsidP="004E2D2F">
            <w:pPr>
              <w:widowControl/>
              <w:jc w:val="center"/>
              <w:textAlignment w:val="baseline"/>
              <w:rPr>
                <w:rFonts w:ascii="Arial" w:eastAsia="Times New Roman" w:hAnsi="Arial" w:cs="Arial"/>
                <w:sz w:val="20"/>
                <w:szCs w:val="20"/>
                <w:lang w:val="en-GB" w:eastAsia="en-GB"/>
              </w:rPr>
            </w:pPr>
            <w:r>
              <w:rPr>
                <w:rFonts w:ascii="Arial" w:eastAsia="Times New Roman" w:hAnsi="Arial" w:cs="Arial"/>
                <w:sz w:val="20"/>
                <w:szCs w:val="20"/>
                <w:lang w:eastAsia="en-GB"/>
              </w:rPr>
              <w:t>900</w:t>
            </w:r>
            <w:r w:rsidR="004E2D2F" w:rsidRPr="004030DB">
              <w:rPr>
                <w:rFonts w:ascii="Arial" w:eastAsia="Times New Roman" w:hAnsi="Arial" w:cs="Arial"/>
                <w:color w:val="D13438"/>
                <w:sz w:val="20"/>
                <w:szCs w:val="20"/>
                <w:lang w:val="en-GB" w:eastAsia="en-GB"/>
              </w:rPr>
              <w:t> </w:t>
            </w:r>
          </w:p>
        </w:tc>
        <w:tc>
          <w:tcPr>
            <w:tcW w:w="838" w:type="dxa"/>
            <w:tcBorders>
              <w:top w:val="single" w:sz="6" w:space="0" w:color="auto"/>
              <w:left w:val="single" w:sz="6" w:space="0" w:color="auto"/>
              <w:bottom w:val="single" w:sz="6" w:space="0" w:color="auto"/>
              <w:right w:val="single" w:sz="6" w:space="0" w:color="auto"/>
            </w:tcBorders>
            <w:hideMark/>
          </w:tcPr>
          <w:p w14:paraId="62DDB9DA"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w:t>
            </w:r>
            <w:r w:rsidRPr="004030DB">
              <w:rPr>
                <w:rFonts w:ascii="Arial" w:eastAsia="Times New Roman" w:hAnsi="Arial" w:cs="Arial"/>
                <w:color w:val="D13438"/>
                <w:sz w:val="20"/>
                <w:szCs w:val="20"/>
                <w:lang w:val="en-GB" w:eastAsia="en-GB"/>
              </w:rPr>
              <w:t> </w:t>
            </w:r>
          </w:p>
        </w:tc>
        <w:tc>
          <w:tcPr>
            <w:tcW w:w="938" w:type="dxa"/>
            <w:tcBorders>
              <w:top w:val="single" w:sz="6" w:space="0" w:color="auto"/>
              <w:left w:val="single" w:sz="6" w:space="0" w:color="auto"/>
              <w:bottom w:val="single" w:sz="6" w:space="0" w:color="auto"/>
              <w:right w:val="single" w:sz="6" w:space="0" w:color="auto"/>
            </w:tcBorders>
            <w:hideMark/>
          </w:tcPr>
          <w:p w14:paraId="6F2FC785"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10-15</w:t>
            </w:r>
            <w:r w:rsidRPr="004030DB">
              <w:rPr>
                <w:rFonts w:ascii="Arial" w:eastAsia="Times New Roman" w:hAnsi="Arial" w:cs="Arial"/>
                <w:color w:val="D13438"/>
                <w:sz w:val="20"/>
                <w:szCs w:val="20"/>
                <w:lang w:val="en-GB" w:eastAsia="en-GB"/>
              </w:rPr>
              <w:t> </w:t>
            </w:r>
          </w:p>
        </w:tc>
        <w:tc>
          <w:tcPr>
            <w:tcW w:w="749" w:type="dxa"/>
            <w:tcBorders>
              <w:top w:val="single" w:sz="6" w:space="0" w:color="auto"/>
              <w:left w:val="single" w:sz="6" w:space="0" w:color="auto"/>
              <w:bottom w:val="single" w:sz="6" w:space="0" w:color="auto"/>
              <w:right w:val="single" w:sz="6" w:space="0" w:color="auto"/>
            </w:tcBorders>
            <w:hideMark/>
          </w:tcPr>
          <w:p w14:paraId="170625AA"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30-35</w:t>
            </w:r>
            <w:r w:rsidRPr="004030DB">
              <w:rPr>
                <w:rFonts w:ascii="Arial" w:eastAsia="Times New Roman" w:hAnsi="Arial" w:cs="Arial"/>
                <w:sz w:val="20"/>
                <w:szCs w:val="20"/>
                <w:lang w:val="en-GB" w:eastAsia="en-GB"/>
              </w:rPr>
              <w:t> </w:t>
            </w:r>
          </w:p>
        </w:tc>
        <w:tc>
          <w:tcPr>
            <w:tcW w:w="860" w:type="dxa"/>
            <w:tcBorders>
              <w:top w:val="single" w:sz="6" w:space="0" w:color="auto"/>
              <w:left w:val="single" w:sz="6" w:space="0" w:color="auto"/>
              <w:bottom w:val="single" w:sz="6" w:space="0" w:color="auto"/>
              <w:right w:val="single" w:sz="6" w:space="0" w:color="auto"/>
            </w:tcBorders>
            <w:hideMark/>
          </w:tcPr>
          <w:p w14:paraId="61DFB768"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1300</w:t>
            </w:r>
            <w:r w:rsidRPr="004030DB">
              <w:rPr>
                <w:rFonts w:ascii="Arial" w:eastAsia="Times New Roman" w:hAnsi="Arial" w:cs="Arial"/>
                <w:sz w:val="20"/>
                <w:szCs w:val="20"/>
                <w:lang w:val="en-GB" w:eastAsia="en-GB"/>
              </w:rPr>
              <w:t> </w:t>
            </w:r>
          </w:p>
        </w:tc>
        <w:tc>
          <w:tcPr>
            <w:tcW w:w="838" w:type="dxa"/>
            <w:tcBorders>
              <w:top w:val="single" w:sz="6" w:space="0" w:color="auto"/>
              <w:left w:val="single" w:sz="6" w:space="0" w:color="auto"/>
              <w:bottom w:val="single" w:sz="6" w:space="0" w:color="auto"/>
              <w:right w:val="single" w:sz="6" w:space="0" w:color="auto"/>
            </w:tcBorders>
            <w:hideMark/>
          </w:tcPr>
          <w:p w14:paraId="5E8C0A04"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 -   </w:t>
            </w:r>
            <w:r w:rsidRPr="004030DB">
              <w:rPr>
                <w:rFonts w:ascii="Arial" w:eastAsia="Times New Roman" w:hAnsi="Arial" w:cs="Arial"/>
                <w:color w:val="D13438"/>
                <w:sz w:val="20"/>
                <w:szCs w:val="20"/>
                <w:lang w:val="en-GB" w:eastAsia="en-GB"/>
              </w:rPr>
              <w:t> </w:t>
            </w:r>
          </w:p>
        </w:tc>
        <w:tc>
          <w:tcPr>
            <w:tcW w:w="938" w:type="dxa"/>
            <w:tcBorders>
              <w:top w:val="single" w:sz="6" w:space="0" w:color="auto"/>
              <w:left w:val="single" w:sz="6" w:space="0" w:color="auto"/>
              <w:bottom w:val="single" w:sz="6" w:space="0" w:color="auto"/>
              <w:right w:val="single" w:sz="6" w:space="0" w:color="auto"/>
            </w:tcBorders>
            <w:hideMark/>
          </w:tcPr>
          <w:p w14:paraId="3D69113F"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30-35</w:t>
            </w:r>
            <w:r w:rsidRPr="004030DB">
              <w:rPr>
                <w:rFonts w:ascii="Arial" w:eastAsia="Times New Roman" w:hAnsi="Arial" w:cs="Arial"/>
                <w:sz w:val="20"/>
                <w:szCs w:val="20"/>
                <w:lang w:val="en-GB" w:eastAsia="en-GB"/>
              </w:rPr>
              <w:t> </w:t>
            </w:r>
          </w:p>
        </w:tc>
      </w:tr>
      <w:tr w:rsidR="004E2D2F" w:rsidRPr="004030DB" w14:paraId="70F41927" w14:textId="77777777" w:rsidTr="004E2D2F">
        <w:trPr>
          <w:trHeight w:val="300"/>
          <w:jc w:val="center"/>
        </w:trPr>
        <w:tc>
          <w:tcPr>
            <w:tcW w:w="1410" w:type="dxa"/>
            <w:tcBorders>
              <w:top w:val="single" w:sz="6" w:space="0" w:color="auto"/>
              <w:left w:val="single" w:sz="6" w:space="0" w:color="auto"/>
              <w:bottom w:val="single" w:sz="6" w:space="0" w:color="auto"/>
              <w:right w:val="single" w:sz="6" w:space="0" w:color="auto"/>
            </w:tcBorders>
            <w:hideMark/>
          </w:tcPr>
          <w:p w14:paraId="39294DAA" w14:textId="77777777" w:rsidR="004E2D2F" w:rsidRPr="004030DB" w:rsidRDefault="004E2D2F" w:rsidP="004E2D2F">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J Goulston </w:t>
            </w:r>
            <w:r w:rsidRPr="004030DB">
              <w:rPr>
                <w:rFonts w:ascii="Arial" w:eastAsia="Times New Roman" w:hAnsi="Arial" w:cs="Arial"/>
                <w:color w:val="D13438"/>
                <w:sz w:val="20"/>
                <w:szCs w:val="20"/>
                <w:lang w:val="en-GB" w:eastAsia="en-GB"/>
              </w:rPr>
              <w:t> </w:t>
            </w:r>
          </w:p>
        </w:tc>
        <w:tc>
          <w:tcPr>
            <w:tcW w:w="1735" w:type="dxa"/>
            <w:tcBorders>
              <w:top w:val="single" w:sz="6" w:space="0" w:color="auto"/>
              <w:left w:val="single" w:sz="6" w:space="0" w:color="auto"/>
              <w:bottom w:val="single" w:sz="6" w:space="0" w:color="auto"/>
              <w:right w:val="single" w:sz="6" w:space="0" w:color="auto"/>
            </w:tcBorders>
            <w:hideMark/>
          </w:tcPr>
          <w:p w14:paraId="0095531F" w14:textId="77777777" w:rsidR="004E2D2F" w:rsidRPr="004030DB" w:rsidRDefault="004E2D2F" w:rsidP="004E2D2F">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Chair </w:t>
            </w:r>
            <w:r w:rsidRPr="004030DB">
              <w:rPr>
                <w:rFonts w:ascii="Arial" w:eastAsia="Times New Roman" w:hAnsi="Arial" w:cs="Arial"/>
                <w:color w:val="D13438"/>
                <w:sz w:val="20"/>
                <w:szCs w:val="20"/>
                <w:lang w:val="en-GB" w:eastAsia="en-GB"/>
              </w:rPr>
              <w:t> </w:t>
            </w:r>
          </w:p>
        </w:tc>
        <w:tc>
          <w:tcPr>
            <w:tcW w:w="850" w:type="dxa"/>
            <w:tcBorders>
              <w:top w:val="single" w:sz="6" w:space="0" w:color="auto"/>
              <w:left w:val="single" w:sz="6" w:space="0" w:color="auto"/>
              <w:bottom w:val="single" w:sz="6" w:space="0" w:color="auto"/>
              <w:right w:val="single" w:sz="6" w:space="0" w:color="auto"/>
            </w:tcBorders>
            <w:hideMark/>
          </w:tcPr>
          <w:p w14:paraId="7BA28701" w14:textId="77777777" w:rsidR="004E2D2F" w:rsidRPr="004030DB" w:rsidRDefault="004E2D2F" w:rsidP="004E2D2F">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01/06/24 - 31/03/25</w:t>
            </w:r>
            <w:r w:rsidRPr="004030DB">
              <w:rPr>
                <w:rFonts w:ascii="Arial" w:eastAsia="Times New Roman" w:hAnsi="Arial" w:cs="Arial"/>
                <w:color w:val="D13438"/>
                <w:sz w:val="20"/>
                <w:szCs w:val="20"/>
                <w:lang w:val="en-GB" w:eastAsia="en-GB"/>
              </w:rPr>
              <w:t> </w:t>
            </w:r>
          </w:p>
        </w:tc>
        <w:tc>
          <w:tcPr>
            <w:tcW w:w="749" w:type="dxa"/>
            <w:tcBorders>
              <w:top w:val="single" w:sz="6" w:space="0" w:color="auto"/>
              <w:left w:val="single" w:sz="6" w:space="0" w:color="auto"/>
              <w:bottom w:val="single" w:sz="6" w:space="0" w:color="auto"/>
              <w:right w:val="single" w:sz="6" w:space="0" w:color="auto"/>
            </w:tcBorders>
            <w:hideMark/>
          </w:tcPr>
          <w:p w14:paraId="25221ACA"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40-45</w:t>
            </w:r>
            <w:r w:rsidRPr="004030DB">
              <w:rPr>
                <w:rFonts w:ascii="Arial" w:eastAsia="Times New Roman" w:hAnsi="Arial" w:cs="Arial"/>
                <w:color w:val="D13438"/>
                <w:sz w:val="20"/>
                <w:szCs w:val="20"/>
                <w:lang w:val="en-GB" w:eastAsia="en-GB"/>
              </w:rPr>
              <w:t> </w:t>
            </w:r>
          </w:p>
        </w:tc>
        <w:tc>
          <w:tcPr>
            <w:tcW w:w="860" w:type="dxa"/>
            <w:tcBorders>
              <w:top w:val="single" w:sz="6" w:space="0" w:color="auto"/>
              <w:left w:val="single" w:sz="6" w:space="0" w:color="auto"/>
              <w:bottom w:val="single" w:sz="6" w:space="0" w:color="auto"/>
              <w:right w:val="single" w:sz="6" w:space="0" w:color="auto"/>
            </w:tcBorders>
            <w:hideMark/>
          </w:tcPr>
          <w:p w14:paraId="286A8C47"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1300</w:t>
            </w:r>
            <w:r w:rsidRPr="004030DB">
              <w:rPr>
                <w:rFonts w:ascii="Arial" w:eastAsia="Times New Roman" w:hAnsi="Arial" w:cs="Arial"/>
                <w:color w:val="D13438"/>
                <w:sz w:val="20"/>
                <w:szCs w:val="20"/>
                <w:lang w:val="en-GB" w:eastAsia="en-GB"/>
              </w:rPr>
              <w:t> </w:t>
            </w:r>
          </w:p>
        </w:tc>
        <w:tc>
          <w:tcPr>
            <w:tcW w:w="838" w:type="dxa"/>
            <w:tcBorders>
              <w:top w:val="single" w:sz="6" w:space="0" w:color="auto"/>
              <w:left w:val="single" w:sz="6" w:space="0" w:color="auto"/>
              <w:bottom w:val="single" w:sz="6" w:space="0" w:color="auto"/>
              <w:right w:val="single" w:sz="6" w:space="0" w:color="auto"/>
            </w:tcBorders>
            <w:hideMark/>
          </w:tcPr>
          <w:p w14:paraId="1A9451EB"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w:t>
            </w:r>
            <w:r w:rsidRPr="004030DB">
              <w:rPr>
                <w:rFonts w:ascii="Arial" w:eastAsia="Times New Roman" w:hAnsi="Arial" w:cs="Arial"/>
                <w:color w:val="D13438"/>
                <w:sz w:val="20"/>
                <w:szCs w:val="20"/>
                <w:lang w:val="en-GB" w:eastAsia="en-GB"/>
              </w:rPr>
              <w:t> </w:t>
            </w:r>
          </w:p>
        </w:tc>
        <w:tc>
          <w:tcPr>
            <w:tcW w:w="938" w:type="dxa"/>
            <w:tcBorders>
              <w:top w:val="single" w:sz="6" w:space="0" w:color="auto"/>
              <w:left w:val="single" w:sz="6" w:space="0" w:color="auto"/>
              <w:bottom w:val="single" w:sz="6" w:space="0" w:color="auto"/>
              <w:right w:val="single" w:sz="6" w:space="0" w:color="auto"/>
            </w:tcBorders>
            <w:hideMark/>
          </w:tcPr>
          <w:p w14:paraId="47175AD8"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40-45</w:t>
            </w:r>
            <w:r w:rsidRPr="004030DB">
              <w:rPr>
                <w:rFonts w:ascii="Arial" w:eastAsia="Times New Roman" w:hAnsi="Arial" w:cs="Arial"/>
                <w:color w:val="D13438"/>
                <w:sz w:val="20"/>
                <w:szCs w:val="20"/>
                <w:lang w:val="en-GB" w:eastAsia="en-GB"/>
              </w:rPr>
              <w:t> </w:t>
            </w:r>
          </w:p>
        </w:tc>
        <w:tc>
          <w:tcPr>
            <w:tcW w:w="749" w:type="dxa"/>
            <w:tcBorders>
              <w:top w:val="single" w:sz="6" w:space="0" w:color="auto"/>
              <w:left w:val="single" w:sz="6" w:space="0" w:color="auto"/>
              <w:bottom w:val="single" w:sz="6" w:space="0" w:color="auto"/>
              <w:right w:val="single" w:sz="6" w:space="0" w:color="auto"/>
            </w:tcBorders>
            <w:hideMark/>
          </w:tcPr>
          <w:p w14:paraId="6604EC54"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 -</w:t>
            </w:r>
            <w:r w:rsidRPr="004030DB">
              <w:rPr>
                <w:rFonts w:ascii="Arial" w:eastAsia="Times New Roman" w:hAnsi="Arial" w:cs="Arial"/>
                <w:color w:val="D13438"/>
                <w:sz w:val="20"/>
                <w:szCs w:val="20"/>
                <w:lang w:val="en-GB" w:eastAsia="en-GB"/>
              </w:rPr>
              <w:t> </w:t>
            </w:r>
          </w:p>
        </w:tc>
        <w:tc>
          <w:tcPr>
            <w:tcW w:w="860" w:type="dxa"/>
            <w:tcBorders>
              <w:top w:val="single" w:sz="6" w:space="0" w:color="auto"/>
              <w:left w:val="single" w:sz="6" w:space="0" w:color="auto"/>
              <w:bottom w:val="single" w:sz="6" w:space="0" w:color="auto"/>
              <w:right w:val="single" w:sz="6" w:space="0" w:color="auto"/>
            </w:tcBorders>
            <w:hideMark/>
          </w:tcPr>
          <w:p w14:paraId="65EB46E1"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w:t>
            </w:r>
            <w:r w:rsidRPr="004030DB">
              <w:rPr>
                <w:rFonts w:ascii="Arial" w:eastAsia="Times New Roman" w:hAnsi="Arial" w:cs="Arial"/>
                <w:sz w:val="20"/>
                <w:szCs w:val="20"/>
                <w:lang w:val="en-GB" w:eastAsia="en-GB"/>
              </w:rPr>
              <w:t> </w:t>
            </w:r>
          </w:p>
        </w:tc>
        <w:tc>
          <w:tcPr>
            <w:tcW w:w="838" w:type="dxa"/>
            <w:tcBorders>
              <w:top w:val="single" w:sz="6" w:space="0" w:color="auto"/>
              <w:left w:val="single" w:sz="6" w:space="0" w:color="auto"/>
              <w:bottom w:val="single" w:sz="6" w:space="0" w:color="auto"/>
              <w:right w:val="single" w:sz="6" w:space="0" w:color="auto"/>
            </w:tcBorders>
            <w:hideMark/>
          </w:tcPr>
          <w:p w14:paraId="0E0B02F4"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 -   </w:t>
            </w:r>
            <w:r w:rsidRPr="004030DB">
              <w:rPr>
                <w:rFonts w:ascii="Arial" w:eastAsia="Times New Roman" w:hAnsi="Arial" w:cs="Arial"/>
                <w:color w:val="D13438"/>
                <w:sz w:val="20"/>
                <w:szCs w:val="20"/>
                <w:lang w:val="en-GB" w:eastAsia="en-GB"/>
              </w:rPr>
              <w:t> </w:t>
            </w:r>
          </w:p>
        </w:tc>
        <w:tc>
          <w:tcPr>
            <w:tcW w:w="938" w:type="dxa"/>
            <w:tcBorders>
              <w:top w:val="single" w:sz="6" w:space="0" w:color="auto"/>
              <w:left w:val="single" w:sz="6" w:space="0" w:color="auto"/>
              <w:bottom w:val="single" w:sz="6" w:space="0" w:color="auto"/>
              <w:right w:val="single" w:sz="6" w:space="0" w:color="auto"/>
            </w:tcBorders>
            <w:hideMark/>
          </w:tcPr>
          <w:p w14:paraId="577CFC9E"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 </w:t>
            </w:r>
            <w:r w:rsidRPr="004030DB">
              <w:rPr>
                <w:rFonts w:ascii="Arial" w:eastAsia="Times New Roman" w:hAnsi="Arial" w:cs="Arial"/>
                <w:color w:val="D13438"/>
                <w:sz w:val="20"/>
                <w:szCs w:val="20"/>
                <w:lang w:val="en-GB" w:eastAsia="en-GB"/>
              </w:rPr>
              <w:t> </w:t>
            </w:r>
          </w:p>
        </w:tc>
      </w:tr>
      <w:tr w:rsidR="004E2D2F" w:rsidRPr="004030DB" w14:paraId="587E4AFB" w14:textId="77777777" w:rsidTr="004E2D2F">
        <w:trPr>
          <w:trHeight w:val="300"/>
          <w:jc w:val="center"/>
        </w:trPr>
        <w:tc>
          <w:tcPr>
            <w:tcW w:w="1410" w:type="dxa"/>
            <w:tcBorders>
              <w:top w:val="single" w:sz="6" w:space="0" w:color="auto"/>
              <w:left w:val="single" w:sz="6" w:space="0" w:color="auto"/>
              <w:bottom w:val="single" w:sz="6" w:space="0" w:color="auto"/>
              <w:right w:val="single" w:sz="6" w:space="0" w:color="auto"/>
            </w:tcBorders>
            <w:hideMark/>
          </w:tcPr>
          <w:p w14:paraId="5F75F29D" w14:textId="77777777" w:rsidR="004E2D2F" w:rsidRPr="004030DB" w:rsidRDefault="004E2D2F" w:rsidP="004E2D2F">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A Ward</w:t>
            </w:r>
            <w:r w:rsidRPr="004030DB">
              <w:rPr>
                <w:rFonts w:ascii="Arial" w:eastAsia="Times New Roman" w:hAnsi="Arial" w:cs="Arial"/>
                <w:color w:val="D13438"/>
                <w:sz w:val="20"/>
                <w:szCs w:val="20"/>
                <w:lang w:val="en-GB" w:eastAsia="en-GB"/>
              </w:rPr>
              <w:t> </w:t>
            </w:r>
          </w:p>
        </w:tc>
        <w:tc>
          <w:tcPr>
            <w:tcW w:w="1735" w:type="dxa"/>
            <w:tcBorders>
              <w:top w:val="single" w:sz="6" w:space="0" w:color="auto"/>
              <w:left w:val="single" w:sz="6" w:space="0" w:color="auto"/>
              <w:bottom w:val="single" w:sz="6" w:space="0" w:color="auto"/>
              <w:right w:val="single" w:sz="6" w:space="0" w:color="auto"/>
            </w:tcBorders>
            <w:hideMark/>
          </w:tcPr>
          <w:p w14:paraId="4AE95E35" w14:textId="77777777" w:rsidR="004E2D2F" w:rsidRPr="004030DB" w:rsidRDefault="004E2D2F" w:rsidP="004E2D2F">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Non-Executive Director</w:t>
            </w:r>
            <w:r w:rsidRPr="004030DB">
              <w:rPr>
                <w:rFonts w:ascii="Arial" w:eastAsia="Times New Roman" w:hAnsi="Arial" w:cs="Arial"/>
                <w:color w:val="D13438"/>
                <w:sz w:val="20"/>
                <w:szCs w:val="20"/>
                <w:lang w:val="en-GB" w:eastAsia="en-GB"/>
              </w:rPr>
              <w:t> </w:t>
            </w:r>
          </w:p>
        </w:tc>
        <w:tc>
          <w:tcPr>
            <w:tcW w:w="850" w:type="dxa"/>
            <w:tcBorders>
              <w:top w:val="single" w:sz="6" w:space="0" w:color="auto"/>
              <w:left w:val="single" w:sz="6" w:space="0" w:color="auto"/>
              <w:bottom w:val="single" w:sz="6" w:space="0" w:color="auto"/>
              <w:right w:val="single" w:sz="6" w:space="0" w:color="auto"/>
            </w:tcBorders>
            <w:hideMark/>
          </w:tcPr>
          <w:p w14:paraId="75CFE3AE" w14:textId="77777777" w:rsidR="004E2D2F" w:rsidRPr="004030DB" w:rsidRDefault="004E2D2F" w:rsidP="004E2D2F">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01/04/24 - 31/07/24</w:t>
            </w:r>
            <w:r w:rsidRPr="004030DB">
              <w:rPr>
                <w:rFonts w:ascii="Arial" w:eastAsia="Times New Roman" w:hAnsi="Arial" w:cs="Arial"/>
                <w:color w:val="D13438"/>
                <w:sz w:val="20"/>
                <w:szCs w:val="20"/>
                <w:lang w:val="en-GB" w:eastAsia="en-GB"/>
              </w:rPr>
              <w:t> </w:t>
            </w:r>
          </w:p>
        </w:tc>
        <w:tc>
          <w:tcPr>
            <w:tcW w:w="749" w:type="dxa"/>
            <w:tcBorders>
              <w:top w:val="single" w:sz="6" w:space="0" w:color="auto"/>
              <w:left w:val="single" w:sz="6" w:space="0" w:color="auto"/>
              <w:bottom w:val="single" w:sz="6" w:space="0" w:color="auto"/>
              <w:right w:val="single" w:sz="6" w:space="0" w:color="auto"/>
            </w:tcBorders>
            <w:hideMark/>
          </w:tcPr>
          <w:p w14:paraId="435E6E8A"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0-5</w:t>
            </w:r>
            <w:r w:rsidRPr="004030DB">
              <w:rPr>
                <w:rFonts w:ascii="Arial" w:eastAsia="Times New Roman" w:hAnsi="Arial" w:cs="Arial"/>
                <w:color w:val="D13438"/>
                <w:sz w:val="20"/>
                <w:szCs w:val="20"/>
                <w:lang w:val="en-GB" w:eastAsia="en-GB"/>
              </w:rPr>
              <w:t> </w:t>
            </w:r>
          </w:p>
        </w:tc>
        <w:tc>
          <w:tcPr>
            <w:tcW w:w="860" w:type="dxa"/>
            <w:tcBorders>
              <w:top w:val="single" w:sz="6" w:space="0" w:color="auto"/>
              <w:left w:val="single" w:sz="6" w:space="0" w:color="auto"/>
              <w:bottom w:val="single" w:sz="6" w:space="0" w:color="auto"/>
              <w:right w:val="single" w:sz="6" w:space="0" w:color="auto"/>
            </w:tcBorders>
            <w:hideMark/>
          </w:tcPr>
          <w:p w14:paraId="18C3865E"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200</w:t>
            </w:r>
            <w:r w:rsidRPr="004030DB">
              <w:rPr>
                <w:rFonts w:ascii="Arial" w:eastAsia="Times New Roman" w:hAnsi="Arial" w:cs="Arial"/>
                <w:color w:val="D13438"/>
                <w:sz w:val="20"/>
                <w:szCs w:val="20"/>
                <w:lang w:val="en-GB" w:eastAsia="en-GB"/>
              </w:rPr>
              <w:t> </w:t>
            </w:r>
          </w:p>
        </w:tc>
        <w:tc>
          <w:tcPr>
            <w:tcW w:w="838" w:type="dxa"/>
            <w:tcBorders>
              <w:top w:val="single" w:sz="6" w:space="0" w:color="auto"/>
              <w:left w:val="single" w:sz="6" w:space="0" w:color="auto"/>
              <w:bottom w:val="single" w:sz="6" w:space="0" w:color="auto"/>
              <w:right w:val="single" w:sz="6" w:space="0" w:color="auto"/>
            </w:tcBorders>
            <w:hideMark/>
          </w:tcPr>
          <w:p w14:paraId="20067CA6"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w:t>
            </w:r>
            <w:r w:rsidRPr="004030DB">
              <w:rPr>
                <w:rFonts w:ascii="Arial" w:eastAsia="Times New Roman" w:hAnsi="Arial" w:cs="Arial"/>
                <w:color w:val="D13438"/>
                <w:sz w:val="20"/>
                <w:szCs w:val="20"/>
                <w:lang w:val="en-GB" w:eastAsia="en-GB"/>
              </w:rPr>
              <w:t> </w:t>
            </w:r>
          </w:p>
        </w:tc>
        <w:tc>
          <w:tcPr>
            <w:tcW w:w="938" w:type="dxa"/>
            <w:tcBorders>
              <w:top w:val="single" w:sz="6" w:space="0" w:color="auto"/>
              <w:left w:val="single" w:sz="6" w:space="0" w:color="auto"/>
              <w:bottom w:val="single" w:sz="6" w:space="0" w:color="auto"/>
              <w:right w:val="single" w:sz="6" w:space="0" w:color="auto"/>
            </w:tcBorders>
            <w:hideMark/>
          </w:tcPr>
          <w:p w14:paraId="33E89E22"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0-5</w:t>
            </w:r>
            <w:r w:rsidRPr="004030DB">
              <w:rPr>
                <w:rFonts w:ascii="Arial" w:eastAsia="Times New Roman" w:hAnsi="Arial" w:cs="Arial"/>
                <w:color w:val="D13438"/>
                <w:sz w:val="20"/>
                <w:szCs w:val="20"/>
                <w:lang w:val="en-GB" w:eastAsia="en-GB"/>
              </w:rPr>
              <w:t> </w:t>
            </w:r>
          </w:p>
        </w:tc>
        <w:tc>
          <w:tcPr>
            <w:tcW w:w="749" w:type="dxa"/>
            <w:tcBorders>
              <w:top w:val="single" w:sz="6" w:space="0" w:color="auto"/>
              <w:left w:val="single" w:sz="6" w:space="0" w:color="auto"/>
              <w:bottom w:val="single" w:sz="6" w:space="0" w:color="auto"/>
              <w:right w:val="single" w:sz="6" w:space="0" w:color="auto"/>
            </w:tcBorders>
            <w:hideMark/>
          </w:tcPr>
          <w:p w14:paraId="7E07502B"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10-15</w:t>
            </w:r>
            <w:r w:rsidRPr="004030DB">
              <w:rPr>
                <w:rFonts w:ascii="Arial" w:eastAsia="Times New Roman" w:hAnsi="Arial" w:cs="Arial"/>
                <w:color w:val="D13438"/>
                <w:sz w:val="20"/>
                <w:szCs w:val="20"/>
                <w:lang w:val="en-GB" w:eastAsia="en-GB"/>
              </w:rPr>
              <w:t> </w:t>
            </w:r>
          </w:p>
        </w:tc>
        <w:tc>
          <w:tcPr>
            <w:tcW w:w="860" w:type="dxa"/>
            <w:tcBorders>
              <w:top w:val="single" w:sz="6" w:space="0" w:color="auto"/>
              <w:left w:val="single" w:sz="6" w:space="0" w:color="auto"/>
              <w:bottom w:val="single" w:sz="6" w:space="0" w:color="auto"/>
              <w:right w:val="single" w:sz="6" w:space="0" w:color="auto"/>
            </w:tcBorders>
            <w:hideMark/>
          </w:tcPr>
          <w:p w14:paraId="799B8F4F"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w:t>
            </w:r>
            <w:r w:rsidRPr="004030DB">
              <w:rPr>
                <w:rFonts w:ascii="Arial" w:eastAsia="Times New Roman" w:hAnsi="Arial" w:cs="Arial"/>
                <w:color w:val="D13438"/>
                <w:sz w:val="20"/>
                <w:szCs w:val="20"/>
                <w:lang w:val="en-GB" w:eastAsia="en-GB"/>
              </w:rPr>
              <w:t> </w:t>
            </w:r>
          </w:p>
        </w:tc>
        <w:tc>
          <w:tcPr>
            <w:tcW w:w="838" w:type="dxa"/>
            <w:tcBorders>
              <w:top w:val="single" w:sz="6" w:space="0" w:color="auto"/>
              <w:left w:val="single" w:sz="6" w:space="0" w:color="auto"/>
              <w:bottom w:val="single" w:sz="6" w:space="0" w:color="auto"/>
              <w:right w:val="single" w:sz="6" w:space="0" w:color="auto"/>
            </w:tcBorders>
            <w:hideMark/>
          </w:tcPr>
          <w:p w14:paraId="5FD5B61E"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w:t>
            </w:r>
            <w:r w:rsidRPr="004030DB">
              <w:rPr>
                <w:rFonts w:ascii="Arial" w:eastAsia="Times New Roman" w:hAnsi="Arial" w:cs="Arial"/>
                <w:color w:val="D13438"/>
                <w:sz w:val="20"/>
                <w:szCs w:val="20"/>
                <w:lang w:val="en-GB" w:eastAsia="en-GB"/>
              </w:rPr>
              <w:t> </w:t>
            </w:r>
          </w:p>
        </w:tc>
        <w:tc>
          <w:tcPr>
            <w:tcW w:w="938" w:type="dxa"/>
            <w:tcBorders>
              <w:top w:val="single" w:sz="6" w:space="0" w:color="auto"/>
              <w:left w:val="single" w:sz="6" w:space="0" w:color="auto"/>
              <w:bottom w:val="single" w:sz="6" w:space="0" w:color="auto"/>
              <w:right w:val="single" w:sz="6" w:space="0" w:color="auto"/>
            </w:tcBorders>
            <w:hideMark/>
          </w:tcPr>
          <w:p w14:paraId="24B896CF"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10-15</w:t>
            </w:r>
            <w:r w:rsidRPr="004030DB">
              <w:rPr>
                <w:rFonts w:ascii="Arial" w:eastAsia="Times New Roman" w:hAnsi="Arial" w:cs="Arial"/>
                <w:color w:val="D13438"/>
                <w:sz w:val="20"/>
                <w:szCs w:val="20"/>
                <w:lang w:val="en-GB" w:eastAsia="en-GB"/>
              </w:rPr>
              <w:t> </w:t>
            </w:r>
          </w:p>
        </w:tc>
      </w:tr>
      <w:tr w:rsidR="004E2D2F" w:rsidRPr="004030DB" w14:paraId="79268A53" w14:textId="77777777" w:rsidTr="004E2D2F">
        <w:trPr>
          <w:trHeight w:val="300"/>
          <w:jc w:val="center"/>
        </w:trPr>
        <w:tc>
          <w:tcPr>
            <w:tcW w:w="1410" w:type="dxa"/>
            <w:tcBorders>
              <w:top w:val="single" w:sz="6" w:space="0" w:color="auto"/>
              <w:left w:val="single" w:sz="6" w:space="0" w:color="auto"/>
              <w:bottom w:val="single" w:sz="6" w:space="0" w:color="auto"/>
              <w:right w:val="single" w:sz="6" w:space="0" w:color="auto"/>
            </w:tcBorders>
            <w:hideMark/>
          </w:tcPr>
          <w:p w14:paraId="000F597A" w14:textId="77777777" w:rsidR="004E2D2F" w:rsidRPr="004030DB" w:rsidRDefault="004E2D2F" w:rsidP="004E2D2F">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G Lupton</w:t>
            </w:r>
            <w:r w:rsidRPr="004030DB">
              <w:rPr>
                <w:rFonts w:ascii="Arial" w:eastAsia="Times New Roman" w:hAnsi="Arial" w:cs="Arial"/>
                <w:color w:val="D13438"/>
                <w:sz w:val="20"/>
                <w:szCs w:val="20"/>
                <w:lang w:val="en-GB" w:eastAsia="en-GB"/>
              </w:rPr>
              <w:t> </w:t>
            </w:r>
          </w:p>
        </w:tc>
        <w:tc>
          <w:tcPr>
            <w:tcW w:w="1735" w:type="dxa"/>
            <w:tcBorders>
              <w:top w:val="single" w:sz="6" w:space="0" w:color="auto"/>
              <w:left w:val="single" w:sz="6" w:space="0" w:color="auto"/>
              <w:bottom w:val="single" w:sz="6" w:space="0" w:color="auto"/>
              <w:right w:val="single" w:sz="6" w:space="0" w:color="auto"/>
            </w:tcBorders>
            <w:hideMark/>
          </w:tcPr>
          <w:p w14:paraId="67E84C13" w14:textId="77777777" w:rsidR="004E2D2F" w:rsidRPr="004030DB" w:rsidRDefault="004E2D2F" w:rsidP="004E2D2F">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Non-Executive Director</w:t>
            </w:r>
            <w:r w:rsidRPr="004030DB">
              <w:rPr>
                <w:rFonts w:ascii="Arial" w:eastAsia="Times New Roman" w:hAnsi="Arial" w:cs="Arial"/>
                <w:color w:val="D13438"/>
                <w:sz w:val="20"/>
                <w:szCs w:val="20"/>
                <w:lang w:val="en-GB" w:eastAsia="en-GB"/>
              </w:rPr>
              <w:t> </w:t>
            </w:r>
          </w:p>
        </w:tc>
        <w:tc>
          <w:tcPr>
            <w:tcW w:w="850" w:type="dxa"/>
            <w:tcBorders>
              <w:top w:val="single" w:sz="6" w:space="0" w:color="auto"/>
              <w:left w:val="single" w:sz="6" w:space="0" w:color="auto"/>
              <w:bottom w:val="single" w:sz="6" w:space="0" w:color="auto"/>
              <w:right w:val="single" w:sz="6" w:space="0" w:color="auto"/>
            </w:tcBorders>
            <w:hideMark/>
          </w:tcPr>
          <w:p w14:paraId="55BB5BEE" w14:textId="77777777" w:rsidR="004E2D2F" w:rsidRPr="004030DB" w:rsidRDefault="004E2D2F" w:rsidP="004E2D2F">
            <w:pPr>
              <w:widowControl/>
              <w:textAlignment w:val="baseline"/>
              <w:rPr>
                <w:rFonts w:ascii="Arial" w:eastAsia="Times New Roman" w:hAnsi="Arial" w:cs="Arial"/>
                <w:sz w:val="20"/>
                <w:szCs w:val="20"/>
                <w:lang w:val="en-GB" w:eastAsia="en-GB"/>
              </w:rPr>
            </w:pPr>
            <w:r w:rsidRPr="004030DB">
              <w:rPr>
                <w:rFonts w:ascii="Arial" w:eastAsia="Times New Roman" w:hAnsi="Arial" w:cs="Arial"/>
                <w:color w:val="D13438"/>
                <w:sz w:val="20"/>
                <w:szCs w:val="20"/>
                <w:lang w:val="en-GB" w:eastAsia="en-GB"/>
              </w:rPr>
              <w:t> </w:t>
            </w:r>
          </w:p>
        </w:tc>
        <w:tc>
          <w:tcPr>
            <w:tcW w:w="749" w:type="dxa"/>
            <w:tcBorders>
              <w:top w:val="single" w:sz="6" w:space="0" w:color="auto"/>
              <w:left w:val="single" w:sz="6" w:space="0" w:color="auto"/>
              <w:bottom w:val="single" w:sz="6" w:space="0" w:color="auto"/>
              <w:right w:val="single" w:sz="6" w:space="0" w:color="auto"/>
            </w:tcBorders>
            <w:hideMark/>
          </w:tcPr>
          <w:p w14:paraId="0FC29793"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10-15</w:t>
            </w:r>
            <w:r w:rsidRPr="004030DB">
              <w:rPr>
                <w:rFonts w:ascii="Arial" w:eastAsia="Times New Roman" w:hAnsi="Arial" w:cs="Arial"/>
                <w:color w:val="D13438"/>
                <w:sz w:val="20"/>
                <w:szCs w:val="20"/>
                <w:lang w:val="en-GB" w:eastAsia="en-GB"/>
              </w:rPr>
              <w:t> </w:t>
            </w:r>
          </w:p>
        </w:tc>
        <w:tc>
          <w:tcPr>
            <w:tcW w:w="860" w:type="dxa"/>
            <w:tcBorders>
              <w:top w:val="single" w:sz="6" w:space="0" w:color="auto"/>
              <w:left w:val="single" w:sz="6" w:space="0" w:color="auto"/>
              <w:bottom w:val="single" w:sz="6" w:space="0" w:color="auto"/>
              <w:right w:val="single" w:sz="6" w:space="0" w:color="auto"/>
            </w:tcBorders>
            <w:hideMark/>
          </w:tcPr>
          <w:p w14:paraId="373D9B46"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1000</w:t>
            </w:r>
            <w:r w:rsidRPr="004030DB">
              <w:rPr>
                <w:rFonts w:ascii="Arial" w:eastAsia="Times New Roman" w:hAnsi="Arial" w:cs="Arial"/>
                <w:color w:val="D13438"/>
                <w:sz w:val="20"/>
                <w:szCs w:val="20"/>
                <w:lang w:val="en-GB" w:eastAsia="en-GB"/>
              </w:rPr>
              <w:t> </w:t>
            </w:r>
          </w:p>
        </w:tc>
        <w:tc>
          <w:tcPr>
            <w:tcW w:w="838" w:type="dxa"/>
            <w:tcBorders>
              <w:top w:val="single" w:sz="6" w:space="0" w:color="auto"/>
              <w:left w:val="single" w:sz="6" w:space="0" w:color="auto"/>
              <w:bottom w:val="single" w:sz="6" w:space="0" w:color="auto"/>
              <w:right w:val="single" w:sz="6" w:space="0" w:color="auto"/>
            </w:tcBorders>
            <w:hideMark/>
          </w:tcPr>
          <w:p w14:paraId="517AA119"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w:t>
            </w:r>
            <w:r w:rsidRPr="004030DB">
              <w:rPr>
                <w:rFonts w:ascii="Arial" w:eastAsia="Times New Roman" w:hAnsi="Arial" w:cs="Arial"/>
                <w:color w:val="D13438"/>
                <w:sz w:val="20"/>
                <w:szCs w:val="20"/>
                <w:lang w:val="en-GB" w:eastAsia="en-GB"/>
              </w:rPr>
              <w:t> </w:t>
            </w:r>
          </w:p>
        </w:tc>
        <w:tc>
          <w:tcPr>
            <w:tcW w:w="938" w:type="dxa"/>
            <w:tcBorders>
              <w:top w:val="single" w:sz="6" w:space="0" w:color="auto"/>
              <w:left w:val="single" w:sz="6" w:space="0" w:color="auto"/>
              <w:bottom w:val="single" w:sz="6" w:space="0" w:color="auto"/>
              <w:right w:val="single" w:sz="6" w:space="0" w:color="auto"/>
            </w:tcBorders>
            <w:hideMark/>
          </w:tcPr>
          <w:p w14:paraId="68831FA9"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15-20</w:t>
            </w:r>
            <w:r w:rsidRPr="004030DB">
              <w:rPr>
                <w:rFonts w:ascii="Arial" w:eastAsia="Times New Roman" w:hAnsi="Arial" w:cs="Arial"/>
                <w:color w:val="D13438"/>
                <w:sz w:val="20"/>
                <w:szCs w:val="20"/>
                <w:lang w:val="en-GB" w:eastAsia="en-GB"/>
              </w:rPr>
              <w:t> </w:t>
            </w:r>
          </w:p>
        </w:tc>
        <w:tc>
          <w:tcPr>
            <w:tcW w:w="749" w:type="dxa"/>
            <w:tcBorders>
              <w:top w:val="single" w:sz="6" w:space="0" w:color="auto"/>
              <w:left w:val="single" w:sz="6" w:space="0" w:color="auto"/>
              <w:bottom w:val="single" w:sz="6" w:space="0" w:color="auto"/>
              <w:right w:val="single" w:sz="6" w:space="0" w:color="auto"/>
            </w:tcBorders>
            <w:hideMark/>
          </w:tcPr>
          <w:p w14:paraId="09627F99"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5-10</w:t>
            </w:r>
            <w:r w:rsidRPr="004030DB">
              <w:rPr>
                <w:rFonts w:ascii="Arial" w:eastAsia="Times New Roman" w:hAnsi="Arial" w:cs="Arial"/>
                <w:color w:val="D13438"/>
                <w:sz w:val="20"/>
                <w:szCs w:val="20"/>
                <w:lang w:val="en-GB" w:eastAsia="en-GB"/>
              </w:rPr>
              <w:t> </w:t>
            </w:r>
          </w:p>
        </w:tc>
        <w:tc>
          <w:tcPr>
            <w:tcW w:w="860" w:type="dxa"/>
            <w:tcBorders>
              <w:top w:val="single" w:sz="6" w:space="0" w:color="auto"/>
              <w:left w:val="single" w:sz="6" w:space="0" w:color="auto"/>
              <w:bottom w:val="single" w:sz="6" w:space="0" w:color="auto"/>
              <w:right w:val="single" w:sz="6" w:space="0" w:color="auto"/>
            </w:tcBorders>
            <w:hideMark/>
          </w:tcPr>
          <w:p w14:paraId="22C5C4F6"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600</w:t>
            </w:r>
            <w:r w:rsidRPr="004030DB">
              <w:rPr>
                <w:rFonts w:ascii="Arial" w:eastAsia="Times New Roman" w:hAnsi="Arial" w:cs="Arial"/>
                <w:color w:val="D13438"/>
                <w:sz w:val="20"/>
                <w:szCs w:val="20"/>
                <w:lang w:val="en-GB" w:eastAsia="en-GB"/>
              </w:rPr>
              <w:t> </w:t>
            </w:r>
          </w:p>
        </w:tc>
        <w:tc>
          <w:tcPr>
            <w:tcW w:w="838" w:type="dxa"/>
            <w:tcBorders>
              <w:top w:val="single" w:sz="6" w:space="0" w:color="auto"/>
              <w:left w:val="single" w:sz="6" w:space="0" w:color="auto"/>
              <w:bottom w:val="single" w:sz="6" w:space="0" w:color="auto"/>
              <w:right w:val="single" w:sz="6" w:space="0" w:color="auto"/>
            </w:tcBorders>
            <w:hideMark/>
          </w:tcPr>
          <w:p w14:paraId="1821C392"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w:t>
            </w:r>
            <w:r w:rsidRPr="004030DB">
              <w:rPr>
                <w:rFonts w:ascii="Arial" w:eastAsia="Times New Roman" w:hAnsi="Arial" w:cs="Arial"/>
                <w:color w:val="D13438"/>
                <w:sz w:val="20"/>
                <w:szCs w:val="20"/>
                <w:lang w:val="en-GB" w:eastAsia="en-GB"/>
              </w:rPr>
              <w:t> </w:t>
            </w:r>
          </w:p>
        </w:tc>
        <w:tc>
          <w:tcPr>
            <w:tcW w:w="938" w:type="dxa"/>
            <w:tcBorders>
              <w:top w:val="single" w:sz="6" w:space="0" w:color="auto"/>
              <w:left w:val="single" w:sz="6" w:space="0" w:color="auto"/>
              <w:bottom w:val="single" w:sz="6" w:space="0" w:color="auto"/>
              <w:right w:val="single" w:sz="6" w:space="0" w:color="auto"/>
            </w:tcBorders>
            <w:hideMark/>
          </w:tcPr>
          <w:p w14:paraId="62588656"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5-10</w:t>
            </w:r>
            <w:r w:rsidRPr="004030DB">
              <w:rPr>
                <w:rFonts w:ascii="Arial" w:eastAsia="Times New Roman" w:hAnsi="Arial" w:cs="Arial"/>
                <w:color w:val="D13438"/>
                <w:sz w:val="20"/>
                <w:szCs w:val="20"/>
                <w:lang w:val="en-GB" w:eastAsia="en-GB"/>
              </w:rPr>
              <w:t> </w:t>
            </w:r>
          </w:p>
        </w:tc>
      </w:tr>
      <w:tr w:rsidR="004E2D2F" w:rsidRPr="004030DB" w14:paraId="6094083C" w14:textId="77777777" w:rsidTr="004E2D2F">
        <w:trPr>
          <w:trHeight w:val="300"/>
          <w:jc w:val="center"/>
        </w:trPr>
        <w:tc>
          <w:tcPr>
            <w:tcW w:w="1410" w:type="dxa"/>
            <w:tcBorders>
              <w:top w:val="single" w:sz="6" w:space="0" w:color="auto"/>
              <w:left w:val="single" w:sz="6" w:space="0" w:color="auto"/>
              <w:bottom w:val="single" w:sz="6" w:space="0" w:color="auto"/>
              <w:right w:val="single" w:sz="6" w:space="0" w:color="auto"/>
            </w:tcBorders>
            <w:hideMark/>
          </w:tcPr>
          <w:p w14:paraId="5695805F" w14:textId="77777777" w:rsidR="004E2D2F" w:rsidRPr="004030DB" w:rsidRDefault="004E2D2F" w:rsidP="004E2D2F">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lastRenderedPageBreak/>
              <w:t>J Chong</w:t>
            </w:r>
            <w:r w:rsidRPr="004030DB">
              <w:rPr>
                <w:rFonts w:ascii="Arial" w:eastAsia="Times New Roman" w:hAnsi="Arial" w:cs="Arial"/>
                <w:color w:val="D13438"/>
                <w:sz w:val="20"/>
                <w:szCs w:val="20"/>
                <w:lang w:val="en-GB" w:eastAsia="en-GB"/>
              </w:rPr>
              <w:t> </w:t>
            </w:r>
          </w:p>
        </w:tc>
        <w:tc>
          <w:tcPr>
            <w:tcW w:w="1735" w:type="dxa"/>
            <w:tcBorders>
              <w:top w:val="single" w:sz="6" w:space="0" w:color="auto"/>
              <w:left w:val="single" w:sz="6" w:space="0" w:color="auto"/>
              <w:bottom w:val="single" w:sz="6" w:space="0" w:color="auto"/>
              <w:right w:val="single" w:sz="6" w:space="0" w:color="auto"/>
            </w:tcBorders>
            <w:hideMark/>
          </w:tcPr>
          <w:p w14:paraId="406A9DD8" w14:textId="77777777" w:rsidR="004E2D2F" w:rsidRPr="004030DB" w:rsidRDefault="004E2D2F" w:rsidP="004E2D2F">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Non-Executive Director</w:t>
            </w:r>
            <w:r w:rsidRPr="004030DB">
              <w:rPr>
                <w:rFonts w:ascii="Arial" w:eastAsia="Times New Roman" w:hAnsi="Arial" w:cs="Arial"/>
                <w:color w:val="D13438"/>
                <w:sz w:val="20"/>
                <w:szCs w:val="20"/>
                <w:lang w:val="en-GB" w:eastAsia="en-GB"/>
              </w:rPr>
              <w:t> </w:t>
            </w:r>
          </w:p>
        </w:tc>
        <w:tc>
          <w:tcPr>
            <w:tcW w:w="850" w:type="dxa"/>
            <w:tcBorders>
              <w:top w:val="single" w:sz="6" w:space="0" w:color="auto"/>
              <w:left w:val="single" w:sz="6" w:space="0" w:color="auto"/>
              <w:bottom w:val="single" w:sz="6" w:space="0" w:color="auto"/>
              <w:right w:val="single" w:sz="6" w:space="0" w:color="auto"/>
            </w:tcBorders>
            <w:hideMark/>
          </w:tcPr>
          <w:p w14:paraId="55363F6F" w14:textId="77777777" w:rsidR="004E2D2F" w:rsidRPr="004030DB" w:rsidRDefault="004E2D2F" w:rsidP="004E2D2F">
            <w:pPr>
              <w:widowControl/>
              <w:textAlignment w:val="baseline"/>
              <w:rPr>
                <w:rFonts w:ascii="Arial" w:eastAsia="Times New Roman" w:hAnsi="Arial" w:cs="Arial"/>
                <w:sz w:val="20"/>
                <w:szCs w:val="20"/>
                <w:lang w:val="en-GB" w:eastAsia="en-GB"/>
              </w:rPr>
            </w:pPr>
            <w:r w:rsidRPr="004030DB">
              <w:rPr>
                <w:rFonts w:ascii="Arial" w:eastAsia="Times New Roman" w:hAnsi="Arial" w:cs="Arial"/>
                <w:color w:val="D13438"/>
                <w:sz w:val="20"/>
                <w:szCs w:val="20"/>
                <w:lang w:val="en-GB" w:eastAsia="en-GB"/>
              </w:rPr>
              <w:t> </w:t>
            </w:r>
          </w:p>
        </w:tc>
        <w:tc>
          <w:tcPr>
            <w:tcW w:w="749" w:type="dxa"/>
            <w:tcBorders>
              <w:top w:val="single" w:sz="6" w:space="0" w:color="auto"/>
              <w:left w:val="single" w:sz="6" w:space="0" w:color="auto"/>
              <w:bottom w:val="single" w:sz="6" w:space="0" w:color="auto"/>
              <w:right w:val="single" w:sz="6" w:space="0" w:color="auto"/>
            </w:tcBorders>
            <w:hideMark/>
          </w:tcPr>
          <w:p w14:paraId="1D2C689B"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10-15</w:t>
            </w:r>
            <w:r w:rsidRPr="004030DB">
              <w:rPr>
                <w:rFonts w:ascii="Arial" w:eastAsia="Times New Roman" w:hAnsi="Arial" w:cs="Arial"/>
                <w:color w:val="D13438"/>
                <w:sz w:val="20"/>
                <w:szCs w:val="20"/>
                <w:lang w:val="en-GB" w:eastAsia="en-GB"/>
              </w:rPr>
              <w:t> </w:t>
            </w:r>
          </w:p>
        </w:tc>
        <w:tc>
          <w:tcPr>
            <w:tcW w:w="860" w:type="dxa"/>
            <w:tcBorders>
              <w:top w:val="single" w:sz="6" w:space="0" w:color="auto"/>
              <w:left w:val="single" w:sz="6" w:space="0" w:color="auto"/>
              <w:bottom w:val="single" w:sz="6" w:space="0" w:color="auto"/>
              <w:right w:val="single" w:sz="6" w:space="0" w:color="auto"/>
            </w:tcBorders>
            <w:hideMark/>
          </w:tcPr>
          <w:p w14:paraId="4BB5CFA2"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w:t>
            </w:r>
            <w:r w:rsidRPr="004030DB">
              <w:rPr>
                <w:rFonts w:ascii="Arial" w:eastAsia="Times New Roman" w:hAnsi="Arial" w:cs="Arial"/>
                <w:color w:val="D13438"/>
                <w:sz w:val="20"/>
                <w:szCs w:val="20"/>
                <w:lang w:val="en-GB" w:eastAsia="en-GB"/>
              </w:rPr>
              <w:t> </w:t>
            </w:r>
          </w:p>
        </w:tc>
        <w:tc>
          <w:tcPr>
            <w:tcW w:w="838" w:type="dxa"/>
            <w:tcBorders>
              <w:top w:val="single" w:sz="6" w:space="0" w:color="auto"/>
              <w:left w:val="single" w:sz="6" w:space="0" w:color="auto"/>
              <w:bottom w:val="single" w:sz="6" w:space="0" w:color="auto"/>
              <w:right w:val="single" w:sz="6" w:space="0" w:color="auto"/>
            </w:tcBorders>
            <w:hideMark/>
          </w:tcPr>
          <w:p w14:paraId="18EB6514"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w:t>
            </w:r>
            <w:r w:rsidRPr="004030DB">
              <w:rPr>
                <w:rFonts w:ascii="Arial" w:eastAsia="Times New Roman" w:hAnsi="Arial" w:cs="Arial"/>
                <w:color w:val="D13438"/>
                <w:sz w:val="20"/>
                <w:szCs w:val="20"/>
                <w:lang w:val="en-GB" w:eastAsia="en-GB"/>
              </w:rPr>
              <w:t> </w:t>
            </w:r>
          </w:p>
        </w:tc>
        <w:tc>
          <w:tcPr>
            <w:tcW w:w="938" w:type="dxa"/>
            <w:tcBorders>
              <w:top w:val="single" w:sz="6" w:space="0" w:color="auto"/>
              <w:left w:val="single" w:sz="6" w:space="0" w:color="auto"/>
              <w:bottom w:val="single" w:sz="6" w:space="0" w:color="auto"/>
              <w:right w:val="single" w:sz="6" w:space="0" w:color="auto"/>
            </w:tcBorders>
            <w:hideMark/>
          </w:tcPr>
          <w:p w14:paraId="199160F9"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10-15</w:t>
            </w:r>
            <w:r w:rsidRPr="004030DB">
              <w:rPr>
                <w:rFonts w:ascii="Arial" w:eastAsia="Times New Roman" w:hAnsi="Arial" w:cs="Arial"/>
                <w:color w:val="D13438"/>
                <w:sz w:val="20"/>
                <w:szCs w:val="20"/>
                <w:lang w:val="en-GB" w:eastAsia="en-GB"/>
              </w:rPr>
              <w:t> </w:t>
            </w:r>
          </w:p>
        </w:tc>
        <w:tc>
          <w:tcPr>
            <w:tcW w:w="749" w:type="dxa"/>
            <w:tcBorders>
              <w:top w:val="single" w:sz="6" w:space="0" w:color="auto"/>
              <w:left w:val="single" w:sz="6" w:space="0" w:color="auto"/>
              <w:bottom w:val="single" w:sz="6" w:space="0" w:color="auto"/>
              <w:right w:val="single" w:sz="6" w:space="0" w:color="auto"/>
            </w:tcBorders>
            <w:hideMark/>
          </w:tcPr>
          <w:p w14:paraId="7941E67A"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5-10</w:t>
            </w:r>
            <w:r w:rsidRPr="004030DB">
              <w:rPr>
                <w:rFonts w:ascii="Arial" w:eastAsia="Times New Roman" w:hAnsi="Arial" w:cs="Arial"/>
                <w:color w:val="D13438"/>
                <w:sz w:val="20"/>
                <w:szCs w:val="20"/>
                <w:lang w:val="en-GB" w:eastAsia="en-GB"/>
              </w:rPr>
              <w:t> </w:t>
            </w:r>
          </w:p>
        </w:tc>
        <w:tc>
          <w:tcPr>
            <w:tcW w:w="860" w:type="dxa"/>
            <w:tcBorders>
              <w:top w:val="single" w:sz="6" w:space="0" w:color="auto"/>
              <w:left w:val="single" w:sz="6" w:space="0" w:color="auto"/>
              <w:bottom w:val="single" w:sz="6" w:space="0" w:color="auto"/>
              <w:right w:val="single" w:sz="6" w:space="0" w:color="auto"/>
            </w:tcBorders>
            <w:hideMark/>
          </w:tcPr>
          <w:p w14:paraId="7033D519"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w:t>
            </w:r>
            <w:r w:rsidRPr="004030DB">
              <w:rPr>
                <w:rFonts w:ascii="Arial" w:eastAsia="Times New Roman" w:hAnsi="Arial" w:cs="Arial"/>
                <w:color w:val="D13438"/>
                <w:sz w:val="20"/>
                <w:szCs w:val="20"/>
                <w:lang w:val="en-GB" w:eastAsia="en-GB"/>
              </w:rPr>
              <w:t> </w:t>
            </w:r>
          </w:p>
        </w:tc>
        <w:tc>
          <w:tcPr>
            <w:tcW w:w="838" w:type="dxa"/>
            <w:tcBorders>
              <w:top w:val="single" w:sz="6" w:space="0" w:color="auto"/>
              <w:left w:val="single" w:sz="6" w:space="0" w:color="auto"/>
              <w:bottom w:val="single" w:sz="6" w:space="0" w:color="auto"/>
              <w:right w:val="single" w:sz="6" w:space="0" w:color="auto"/>
            </w:tcBorders>
            <w:hideMark/>
          </w:tcPr>
          <w:p w14:paraId="0F8306D0"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w:t>
            </w:r>
            <w:r w:rsidRPr="004030DB">
              <w:rPr>
                <w:rFonts w:ascii="Arial" w:eastAsia="Times New Roman" w:hAnsi="Arial" w:cs="Arial"/>
                <w:color w:val="D13438"/>
                <w:sz w:val="20"/>
                <w:szCs w:val="20"/>
                <w:lang w:val="en-GB" w:eastAsia="en-GB"/>
              </w:rPr>
              <w:t> </w:t>
            </w:r>
          </w:p>
        </w:tc>
        <w:tc>
          <w:tcPr>
            <w:tcW w:w="938" w:type="dxa"/>
            <w:tcBorders>
              <w:top w:val="single" w:sz="6" w:space="0" w:color="auto"/>
              <w:left w:val="single" w:sz="6" w:space="0" w:color="auto"/>
              <w:bottom w:val="single" w:sz="6" w:space="0" w:color="auto"/>
              <w:right w:val="single" w:sz="6" w:space="0" w:color="auto"/>
            </w:tcBorders>
            <w:hideMark/>
          </w:tcPr>
          <w:p w14:paraId="30A90E3D"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5-10</w:t>
            </w:r>
            <w:r w:rsidRPr="004030DB">
              <w:rPr>
                <w:rFonts w:ascii="Arial" w:eastAsia="Times New Roman" w:hAnsi="Arial" w:cs="Arial"/>
                <w:color w:val="D13438"/>
                <w:sz w:val="20"/>
                <w:szCs w:val="20"/>
                <w:lang w:val="en-GB" w:eastAsia="en-GB"/>
              </w:rPr>
              <w:t> </w:t>
            </w:r>
          </w:p>
        </w:tc>
      </w:tr>
      <w:tr w:rsidR="004E2D2F" w:rsidRPr="004030DB" w14:paraId="78B8D50C" w14:textId="77777777" w:rsidTr="004E2D2F">
        <w:trPr>
          <w:trHeight w:val="300"/>
          <w:jc w:val="center"/>
        </w:trPr>
        <w:tc>
          <w:tcPr>
            <w:tcW w:w="1410" w:type="dxa"/>
            <w:tcBorders>
              <w:top w:val="single" w:sz="6" w:space="0" w:color="auto"/>
              <w:left w:val="single" w:sz="6" w:space="0" w:color="auto"/>
              <w:bottom w:val="single" w:sz="6" w:space="0" w:color="auto"/>
              <w:right w:val="single" w:sz="6" w:space="0" w:color="auto"/>
            </w:tcBorders>
            <w:hideMark/>
          </w:tcPr>
          <w:p w14:paraId="2A0CC9FA" w14:textId="77777777" w:rsidR="004E2D2F" w:rsidRPr="004030DB" w:rsidRDefault="004E2D2F" w:rsidP="004E2D2F">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M Sani</w:t>
            </w:r>
            <w:r w:rsidRPr="004030DB">
              <w:rPr>
                <w:rFonts w:ascii="Arial" w:eastAsia="Times New Roman" w:hAnsi="Arial" w:cs="Arial"/>
                <w:color w:val="D13438"/>
                <w:sz w:val="20"/>
                <w:szCs w:val="20"/>
                <w:lang w:val="en-GB" w:eastAsia="en-GB"/>
              </w:rPr>
              <w:t> </w:t>
            </w:r>
          </w:p>
        </w:tc>
        <w:tc>
          <w:tcPr>
            <w:tcW w:w="1735" w:type="dxa"/>
            <w:tcBorders>
              <w:top w:val="single" w:sz="6" w:space="0" w:color="auto"/>
              <w:left w:val="single" w:sz="6" w:space="0" w:color="auto"/>
              <w:bottom w:val="single" w:sz="6" w:space="0" w:color="auto"/>
              <w:right w:val="single" w:sz="6" w:space="0" w:color="auto"/>
            </w:tcBorders>
            <w:hideMark/>
          </w:tcPr>
          <w:p w14:paraId="47AD500A" w14:textId="77777777" w:rsidR="004E2D2F" w:rsidRPr="004030DB" w:rsidRDefault="004E2D2F" w:rsidP="004E2D2F">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Non-Executive Director</w:t>
            </w:r>
            <w:r w:rsidRPr="004030DB">
              <w:rPr>
                <w:rFonts w:ascii="Arial" w:eastAsia="Times New Roman" w:hAnsi="Arial" w:cs="Arial"/>
                <w:color w:val="D13438"/>
                <w:sz w:val="20"/>
                <w:szCs w:val="20"/>
                <w:lang w:val="en-GB" w:eastAsia="en-GB"/>
              </w:rPr>
              <w:t> </w:t>
            </w:r>
          </w:p>
        </w:tc>
        <w:tc>
          <w:tcPr>
            <w:tcW w:w="850" w:type="dxa"/>
            <w:tcBorders>
              <w:top w:val="single" w:sz="6" w:space="0" w:color="auto"/>
              <w:left w:val="single" w:sz="6" w:space="0" w:color="auto"/>
              <w:bottom w:val="single" w:sz="6" w:space="0" w:color="auto"/>
              <w:right w:val="single" w:sz="6" w:space="0" w:color="auto"/>
            </w:tcBorders>
            <w:hideMark/>
          </w:tcPr>
          <w:p w14:paraId="5EE46FC4" w14:textId="77777777" w:rsidR="004E2D2F" w:rsidRPr="004030DB" w:rsidRDefault="004E2D2F" w:rsidP="004E2D2F">
            <w:pPr>
              <w:widowControl/>
              <w:textAlignment w:val="baseline"/>
              <w:rPr>
                <w:rFonts w:ascii="Arial" w:eastAsia="Times New Roman" w:hAnsi="Arial" w:cs="Arial"/>
                <w:sz w:val="20"/>
                <w:szCs w:val="20"/>
                <w:lang w:val="en-GB" w:eastAsia="en-GB"/>
              </w:rPr>
            </w:pPr>
            <w:r w:rsidRPr="004030DB">
              <w:rPr>
                <w:rFonts w:ascii="Arial" w:eastAsia="Times New Roman" w:hAnsi="Arial" w:cs="Arial"/>
                <w:color w:val="D13438"/>
                <w:sz w:val="20"/>
                <w:szCs w:val="20"/>
                <w:lang w:val="en-GB" w:eastAsia="en-GB"/>
              </w:rPr>
              <w:t> </w:t>
            </w:r>
          </w:p>
        </w:tc>
        <w:tc>
          <w:tcPr>
            <w:tcW w:w="749" w:type="dxa"/>
            <w:tcBorders>
              <w:top w:val="single" w:sz="6" w:space="0" w:color="auto"/>
              <w:left w:val="single" w:sz="6" w:space="0" w:color="auto"/>
              <w:bottom w:val="single" w:sz="6" w:space="0" w:color="auto"/>
              <w:right w:val="single" w:sz="6" w:space="0" w:color="auto"/>
            </w:tcBorders>
            <w:hideMark/>
          </w:tcPr>
          <w:p w14:paraId="7CA08DC3"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10-15</w:t>
            </w:r>
            <w:r w:rsidRPr="004030DB">
              <w:rPr>
                <w:rFonts w:ascii="Arial" w:eastAsia="Times New Roman" w:hAnsi="Arial" w:cs="Arial"/>
                <w:color w:val="D13438"/>
                <w:sz w:val="20"/>
                <w:szCs w:val="20"/>
                <w:lang w:val="en-GB" w:eastAsia="en-GB"/>
              </w:rPr>
              <w:t> </w:t>
            </w:r>
          </w:p>
        </w:tc>
        <w:tc>
          <w:tcPr>
            <w:tcW w:w="860" w:type="dxa"/>
            <w:tcBorders>
              <w:top w:val="single" w:sz="6" w:space="0" w:color="auto"/>
              <w:left w:val="single" w:sz="6" w:space="0" w:color="auto"/>
              <w:bottom w:val="single" w:sz="6" w:space="0" w:color="auto"/>
              <w:right w:val="single" w:sz="6" w:space="0" w:color="auto"/>
            </w:tcBorders>
            <w:hideMark/>
          </w:tcPr>
          <w:p w14:paraId="366B70B2"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100</w:t>
            </w:r>
            <w:r w:rsidRPr="004030DB">
              <w:rPr>
                <w:rFonts w:ascii="Arial" w:eastAsia="Times New Roman" w:hAnsi="Arial" w:cs="Arial"/>
                <w:color w:val="D13438"/>
                <w:sz w:val="20"/>
                <w:szCs w:val="20"/>
                <w:lang w:val="en-GB" w:eastAsia="en-GB"/>
              </w:rPr>
              <w:t> </w:t>
            </w:r>
          </w:p>
        </w:tc>
        <w:tc>
          <w:tcPr>
            <w:tcW w:w="838" w:type="dxa"/>
            <w:tcBorders>
              <w:top w:val="single" w:sz="6" w:space="0" w:color="auto"/>
              <w:left w:val="single" w:sz="6" w:space="0" w:color="auto"/>
              <w:bottom w:val="single" w:sz="6" w:space="0" w:color="auto"/>
              <w:right w:val="single" w:sz="6" w:space="0" w:color="auto"/>
            </w:tcBorders>
            <w:hideMark/>
          </w:tcPr>
          <w:p w14:paraId="52CF2412"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w:t>
            </w:r>
            <w:r w:rsidRPr="004030DB">
              <w:rPr>
                <w:rFonts w:ascii="Arial" w:eastAsia="Times New Roman" w:hAnsi="Arial" w:cs="Arial"/>
                <w:color w:val="D13438"/>
                <w:sz w:val="20"/>
                <w:szCs w:val="20"/>
                <w:lang w:val="en-GB" w:eastAsia="en-GB"/>
              </w:rPr>
              <w:t> </w:t>
            </w:r>
          </w:p>
        </w:tc>
        <w:tc>
          <w:tcPr>
            <w:tcW w:w="938" w:type="dxa"/>
            <w:tcBorders>
              <w:top w:val="single" w:sz="6" w:space="0" w:color="auto"/>
              <w:left w:val="single" w:sz="6" w:space="0" w:color="auto"/>
              <w:bottom w:val="single" w:sz="6" w:space="0" w:color="auto"/>
              <w:right w:val="single" w:sz="6" w:space="0" w:color="auto"/>
            </w:tcBorders>
            <w:hideMark/>
          </w:tcPr>
          <w:p w14:paraId="6FA7A459"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10-15</w:t>
            </w:r>
            <w:r w:rsidRPr="004030DB">
              <w:rPr>
                <w:rFonts w:ascii="Arial" w:eastAsia="Times New Roman" w:hAnsi="Arial" w:cs="Arial"/>
                <w:color w:val="D13438"/>
                <w:sz w:val="20"/>
                <w:szCs w:val="20"/>
                <w:lang w:val="en-GB" w:eastAsia="en-GB"/>
              </w:rPr>
              <w:t> </w:t>
            </w:r>
          </w:p>
        </w:tc>
        <w:tc>
          <w:tcPr>
            <w:tcW w:w="749" w:type="dxa"/>
            <w:tcBorders>
              <w:top w:val="single" w:sz="6" w:space="0" w:color="auto"/>
              <w:left w:val="single" w:sz="6" w:space="0" w:color="auto"/>
              <w:bottom w:val="single" w:sz="6" w:space="0" w:color="auto"/>
              <w:right w:val="single" w:sz="6" w:space="0" w:color="auto"/>
            </w:tcBorders>
            <w:hideMark/>
          </w:tcPr>
          <w:p w14:paraId="0D58D40F"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5-10</w:t>
            </w:r>
            <w:r w:rsidRPr="004030DB">
              <w:rPr>
                <w:rFonts w:ascii="Arial" w:eastAsia="Times New Roman" w:hAnsi="Arial" w:cs="Arial"/>
                <w:color w:val="D13438"/>
                <w:sz w:val="20"/>
                <w:szCs w:val="20"/>
                <w:lang w:val="en-GB" w:eastAsia="en-GB"/>
              </w:rPr>
              <w:t> </w:t>
            </w:r>
          </w:p>
        </w:tc>
        <w:tc>
          <w:tcPr>
            <w:tcW w:w="860" w:type="dxa"/>
            <w:tcBorders>
              <w:top w:val="single" w:sz="6" w:space="0" w:color="auto"/>
              <w:left w:val="single" w:sz="6" w:space="0" w:color="auto"/>
              <w:bottom w:val="single" w:sz="6" w:space="0" w:color="auto"/>
              <w:right w:val="single" w:sz="6" w:space="0" w:color="auto"/>
            </w:tcBorders>
            <w:hideMark/>
          </w:tcPr>
          <w:p w14:paraId="23CC0251"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300</w:t>
            </w:r>
            <w:r w:rsidRPr="004030DB">
              <w:rPr>
                <w:rFonts w:ascii="Arial" w:eastAsia="Times New Roman" w:hAnsi="Arial" w:cs="Arial"/>
                <w:sz w:val="20"/>
                <w:szCs w:val="20"/>
                <w:lang w:val="en-GB" w:eastAsia="en-GB"/>
              </w:rPr>
              <w:t> </w:t>
            </w:r>
          </w:p>
        </w:tc>
        <w:tc>
          <w:tcPr>
            <w:tcW w:w="838" w:type="dxa"/>
            <w:tcBorders>
              <w:top w:val="single" w:sz="6" w:space="0" w:color="auto"/>
              <w:left w:val="single" w:sz="6" w:space="0" w:color="auto"/>
              <w:bottom w:val="single" w:sz="6" w:space="0" w:color="auto"/>
              <w:right w:val="single" w:sz="6" w:space="0" w:color="auto"/>
            </w:tcBorders>
            <w:hideMark/>
          </w:tcPr>
          <w:p w14:paraId="6481A01C"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w:t>
            </w:r>
            <w:r w:rsidRPr="004030DB">
              <w:rPr>
                <w:rFonts w:ascii="Arial" w:eastAsia="Times New Roman" w:hAnsi="Arial" w:cs="Arial"/>
                <w:color w:val="D13438"/>
                <w:sz w:val="20"/>
                <w:szCs w:val="20"/>
                <w:lang w:val="en-GB" w:eastAsia="en-GB"/>
              </w:rPr>
              <w:t> </w:t>
            </w:r>
          </w:p>
        </w:tc>
        <w:tc>
          <w:tcPr>
            <w:tcW w:w="938" w:type="dxa"/>
            <w:tcBorders>
              <w:top w:val="single" w:sz="6" w:space="0" w:color="auto"/>
              <w:left w:val="single" w:sz="6" w:space="0" w:color="auto"/>
              <w:bottom w:val="single" w:sz="6" w:space="0" w:color="auto"/>
              <w:right w:val="single" w:sz="6" w:space="0" w:color="auto"/>
            </w:tcBorders>
            <w:hideMark/>
          </w:tcPr>
          <w:p w14:paraId="5BE84556"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5-10</w:t>
            </w:r>
            <w:r w:rsidRPr="004030DB">
              <w:rPr>
                <w:rFonts w:ascii="Arial" w:eastAsia="Times New Roman" w:hAnsi="Arial" w:cs="Arial"/>
                <w:color w:val="D13438"/>
                <w:sz w:val="20"/>
                <w:szCs w:val="20"/>
                <w:lang w:val="en-GB" w:eastAsia="en-GB"/>
              </w:rPr>
              <w:t> </w:t>
            </w:r>
          </w:p>
        </w:tc>
      </w:tr>
      <w:tr w:rsidR="004E2D2F" w:rsidRPr="004030DB" w14:paraId="64C65A23" w14:textId="77777777" w:rsidTr="004E2D2F">
        <w:trPr>
          <w:trHeight w:val="300"/>
          <w:jc w:val="center"/>
        </w:trPr>
        <w:tc>
          <w:tcPr>
            <w:tcW w:w="1410" w:type="dxa"/>
            <w:tcBorders>
              <w:top w:val="single" w:sz="6" w:space="0" w:color="auto"/>
              <w:left w:val="single" w:sz="6" w:space="0" w:color="auto"/>
              <w:bottom w:val="single" w:sz="6" w:space="0" w:color="auto"/>
              <w:right w:val="single" w:sz="6" w:space="0" w:color="auto"/>
            </w:tcBorders>
            <w:hideMark/>
          </w:tcPr>
          <w:p w14:paraId="65D22145" w14:textId="77777777" w:rsidR="004E2D2F" w:rsidRPr="004030DB" w:rsidRDefault="004E2D2F" w:rsidP="004E2D2F">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A Laheurte</w:t>
            </w:r>
            <w:r w:rsidRPr="004030DB">
              <w:rPr>
                <w:rFonts w:ascii="Arial" w:eastAsia="Times New Roman" w:hAnsi="Arial" w:cs="Arial"/>
                <w:color w:val="D13438"/>
                <w:sz w:val="20"/>
                <w:szCs w:val="20"/>
                <w:lang w:val="en-GB" w:eastAsia="en-GB"/>
              </w:rPr>
              <w:t> </w:t>
            </w:r>
          </w:p>
        </w:tc>
        <w:tc>
          <w:tcPr>
            <w:tcW w:w="1735" w:type="dxa"/>
            <w:tcBorders>
              <w:top w:val="single" w:sz="6" w:space="0" w:color="auto"/>
              <w:left w:val="single" w:sz="6" w:space="0" w:color="auto"/>
              <w:bottom w:val="single" w:sz="6" w:space="0" w:color="auto"/>
              <w:right w:val="single" w:sz="6" w:space="0" w:color="auto"/>
            </w:tcBorders>
            <w:hideMark/>
          </w:tcPr>
          <w:p w14:paraId="49535445" w14:textId="77777777" w:rsidR="004E2D2F" w:rsidRPr="004030DB" w:rsidRDefault="004E2D2F" w:rsidP="004E2D2F">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Non-Executive Director</w:t>
            </w:r>
            <w:r w:rsidRPr="004030DB">
              <w:rPr>
                <w:rFonts w:ascii="Arial" w:eastAsia="Times New Roman" w:hAnsi="Arial" w:cs="Arial"/>
                <w:color w:val="D13438"/>
                <w:sz w:val="20"/>
                <w:szCs w:val="20"/>
                <w:lang w:val="en-GB" w:eastAsia="en-GB"/>
              </w:rPr>
              <w:t> </w:t>
            </w:r>
          </w:p>
        </w:tc>
        <w:tc>
          <w:tcPr>
            <w:tcW w:w="850" w:type="dxa"/>
            <w:tcBorders>
              <w:top w:val="single" w:sz="6" w:space="0" w:color="auto"/>
              <w:left w:val="single" w:sz="6" w:space="0" w:color="auto"/>
              <w:bottom w:val="single" w:sz="6" w:space="0" w:color="auto"/>
              <w:right w:val="single" w:sz="6" w:space="0" w:color="auto"/>
            </w:tcBorders>
            <w:hideMark/>
          </w:tcPr>
          <w:p w14:paraId="1CD4ACBE" w14:textId="77777777" w:rsidR="004E2D2F" w:rsidRPr="004030DB" w:rsidRDefault="004E2D2F" w:rsidP="004E2D2F">
            <w:pPr>
              <w:widowControl/>
              <w:textAlignment w:val="baseline"/>
              <w:rPr>
                <w:rFonts w:ascii="Arial" w:eastAsia="Times New Roman" w:hAnsi="Arial" w:cs="Arial"/>
                <w:sz w:val="20"/>
                <w:szCs w:val="20"/>
                <w:lang w:val="en-GB" w:eastAsia="en-GB"/>
              </w:rPr>
            </w:pPr>
            <w:r w:rsidRPr="004030DB">
              <w:rPr>
                <w:rFonts w:ascii="Arial" w:eastAsia="Times New Roman" w:hAnsi="Arial" w:cs="Arial"/>
                <w:color w:val="D13438"/>
                <w:sz w:val="20"/>
                <w:szCs w:val="20"/>
                <w:lang w:val="en-GB" w:eastAsia="en-GB"/>
              </w:rPr>
              <w:t> </w:t>
            </w:r>
          </w:p>
        </w:tc>
        <w:tc>
          <w:tcPr>
            <w:tcW w:w="749" w:type="dxa"/>
            <w:tcBorders>
              <w:top w:val="single" w:sz="6" w:space="0" w:color="auto"/>
              <w:left w:val="single" w:sz="6" w:space="0" w:color="auto"/>
              <w:bottom w:val="single" w:sz="6" w:space="0" w:color="auto"/>
              <w:right w:val="single" w:sz="6" w:space="0" w:color="auto"/>
            </w:tcBorders>
            <w:hideMark/>
          </w:tcPr>
          <w:p w14:paraId="25F3A80D"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10-15</w:t>
            </w:r>
            <w:r w:rsidRPr="004030DB">
              <w:rPr>
                <w:rFonts w:ascii="Arial" w:eastAsia="Times New Roman" w:hAnsi="Arial" w:cs="Arial"/>
                <w:color w:val="D13438"/>
                <w:sz w:val="20"/>
                <w:szCs w:val="20"/>
                <w:lang w:val="en-GB" w:eastAsia="en-GB"/>
              </w:rPr>
              <w:t> </w:t>
            </w:r>
          </w:p>
        </w:tc>
        <w:tc>
          <w:tcPr>
            <w:tcW w:w="860" w:type="dxa"/>
            <w:tcBorders>
              <w:top w:val="single" w:sz="6" w:space="0" w:color="auto"/>
              <w:left w:val="single" w:sz="6" w:space="0" w:color="auto"/>
              <w:bottom w:val="single" w:sz="6" w:space="0" w:color="auto"/>
              <w:right w:val="single" w:sz="6" w:space="0" w:color="auto"/>
            </w:tcBorders>
            <w:hideMark/>
          </w:tcPr>
          <w:p w14:paraId="0F82C8F3"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w:t>
            </w:r>
            <w:r w:rsidRPr="004030DB">
              <w:rPr>
                <w:rFonts w:ascii="Arial" w:eastAsia="Times New Roman" w:hAnsi="Arial" w:cs="Arial"/>
                <w:color w:val="D13438"/>
                <w:sz w:val="20"/>
                <w:szCs w:val="20"/>
                <w:lang w:val="en-GB" w:eastAsia="en-GB"/>
              </w:rPr>
              <w:t> </w:t>
            </w:r>
          </w:p>
        </w:tc>
        <w:tc>
          <w:tcPr>
            <w:tcW w:w="838" w:type="dxa"/>
            <w:tcBorders>
              <w:top w:val="single" w:sz="6" w:space="0" w:color="auto"/>
              <w:left w:val="single" w:sz="6" w:space="0" w:color="auto"/>
              <w:bottom w:val="single" w:sz="6" w:space="0" w:color="auto"/>
              <w:right w:val="single" w:sz="6" w:space="0" w:color="auto"/>
            </w:tcBorders>
            <w:hideMark/>
          </w:tcPr>
          <w:p w14:paraId="2763DE08"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w:t>
            </w:r>
            <w:r w:rsidRPr="004030DB">
              <w:rPr>
                <w:rFonts w:ascii="Arial" w:eastAsia="Times New Roman" w:hAnsi="Arial" w:cs="Arial"/>
                <w:color w:val="D13438"/>
                <w:sz w:val="20"/>
                <w:szCs w:val="20"/>
                <w:lang w:val="en-GB" w:eastAsia="en-GB"/>
              </w:rPr>
              <w:t> </w:t>
            </w:r>
          </w:p>
        </w:tc>
        <w:tc>
          <w:tcPr>
            <w:tcW w:w="938" w:type="dxa"/>
            <w:tcBorders>
              <w:top w:val="single" w:sz="6" w:space="0" w:color="auto"/>
              <w:left w:val="single" w:sz="6" w:space="0" w:color="auto"/>
              <w:bottom w:val="single" w:sz="6" w:space="0" w:color="auto"/>
              <w:right w:val="single" w:sz="6" w:space="0" w:color="auto"/>
            </w:tcBorders>
            <w:hideMark/>
          </w:tcPr>
          <w:p w14:paraId="3D49A4E2"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10-15</w:t>
            </w:r>
            <w:r w:rsidRPr="004030DB">
              <w:rPr>
                <w:rFonts w:ascii="Arial" w:eastAsia="Times New Roman" w:hAnsi="Arial" w:cs="Arial"/>
                <w:color w:val="D13438"/>
                <w:sz w:val="20"/>
                <w:szCs w:val="20"/>
                <w:lang w:val="en-GB" w:eastAsia="en-GB"/>
              </w:rPr>
              <w:t> </w:t>
            </w:r>
          </w:p>
        </w:tc>
        <w:tc>
          <w:tcPr>
            <w:tcW w:w="749" w:type="dxa"/>
            <w:tcBorders>
              <w:top w:val="single" w:sz="6" w:space="0" w:color="auto"/>
              <w:left w:val="single" w:sz="6" w:space="0" w:color="auto"/>
              <w:bottom w:val="single" w:sz="6" w:space="0" w:color="auto"/>
              <w:right w:val="single" w:sz="6" w:space="0" w:color="auto"/>
            </w:tcBorders>
            <w:hideMark/>
          </w:tcPr>
          <w:p w14:paraId="4D4752FC"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10-15</w:t>
            </w:r>
            <w:r w:rsidRPr="004030DB">
              <w:rPr>
                <w:rFonts w:ascii="Arial" w:eastAsia="Times New Roman" w:hAnsi="Arial" w:cs="Arial"/>
                <w:color w:val="D13438"/>
                <w:sz w:val="20"/>
                <w:szCs w:val="20"/>
                <w:lang w:val="en-GB" w:eastAsia="en-GB"/>
              </w:rPr>
              <w:t> </w:t>
            </w:r>
          </w:p>
        </w:tc>
        <w:tc>
          <w:tcPr>
            <w:tcW w:w="860" w:type="dxa"/>
            <w:tcBorders>
              <w:top w:val="single" w:sz="6" w:space="0" w:color="auto"/>
              <w:left w:val="single" w:sz="6" w:space="0" w:color="auto"/>
              <w:bottom w:val="single" w:sz="6" w:space="0" w:color="auto"/>
              <w:right w:val="single" w:sz="6" w:space="0" w:color="auto"/>
            </w:tcBorders>
            <w:hideMark/>
          </w:tcPr>
          <w:p w14:paraId="44476211"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100</w:t>
            </w:r>
            <w:r w:rsidRPr="004030DB">
              <w:rPr>
                <w:rFonts w:ascii="Arial" w:eastAsia="Times New Roman" w:hAnsi="Arial" w:cs="Arial"/>
                <w:color w:val="D13438"/>
                <w:sz w:val="20"/>
                <w:szCs w:val="20"/>
                <w:lang w:val="en-GB" w:eastAsia="en-GB"/>
              </w:rPr>
              <w:t> </w:t>
            </w:r>
          </w:p>
        </w:tc>
        <w:tc>
          <w:tcPr>
            <w:tcW w:w="838" w:type="dxa"/>
            <w:tcBorders>
              <w:top w:val="single" w:sz="6" w:space="0" w:color="auto"/>
              <w:left w:val="single" w:sz="6" w:space="0" w:color="auto"/>
              <w:bottom w:val="single" w:sz="6" w:space="0" w:color="auto"/>
              <w:right w:val="single" w:sz="6" w:space="0" w:color="auto"/>
            </w:tcBorders>
            <w:hideMark/>
          </w:tcPr>
          <w:p w14:paraId="0189FBD3"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w:t>
            </w:r>
            <w:r w:rsidRPr="004030DB">
              <w:rPr>
                <w:rFonts w:ascii="Arial" w:eastAsia="Times New Roman" w:hAnsi="Arial" w:cs="Arial"/>
                <w:color w:val="D13438"/>
                <w:sz w:val="20"/>
                <w:szCs w:val="20"/>
                <w:lang w:val="en-GB" w:eastAsia="en-GB"/>
              </w:rPr>
              <w:t> </w:t>
            </w:r>
          </w:p>
        </w:tc>
        <w:tc>
          <w:tcPr>
            <w:tcW w:w="938" w:type="dxa"/>
            <w:tcBorders>
              <w:top w:val="single" w:sz="6" w:space="0" w:color="auto"/>
              <w:left w:val="single" w:sz="6" w:space="0" w:color="auto"/>
              <w:bottom w:val="single" w:sz="6" w:space="0" w:color="auto"/>
              <w:right w:val="single" w:sz="6" w:space="0" w:color="auto"/>
            </w:tcBorders>
            <w:hideMark/>
          </w:tcPr>
          <w:p w14:paraId="258E725F"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10-15</w:t>
            </w:r>
            <w:r w:rsidRPr="004030DB">
              <w:rPr>
                <w:rFonts w:ascii="Arial" w:eastAsia="Times New Roman" w:hAnsi="Arial" w:cs="Arial"/>
                <w:color w:val="D13438"/>
                <w:sz w:val="20"/>
                <w:szCs w:val="20"/>
                <w:lang w:val="en-GB" w:eastAsia="en-GB"/>
              </w:rPr>
              <w:t> </w:t>
            </w:r>
          </w:p>
        </w:tc>
      </w:tr>
      <w:tr w:rsidR="004E2D2F" w:rsidRPr="004030DB" w14:paraId="7767B548" w14:textId="77777777" w:rsidTr="004E2D2F">
        <w:trPr>
          <w:trHeight w:val="300"/>
          <w:jc w:val="center"/>
        </w:trPr>
        <w:tc>
          <w:tcPr>
            <w:tcW w:w="1410" w:type="dxa"/>
            <w:tcBorders>
              <w:top w:val="single" w:sz="6" w:space="0" w:color="auto"/>
              <w:left w:val="single" w:sz="6" w:space="0" w:color="auto"/>
              <w:bottom w:val="single" w:sz="6" w:space="0" w:color="auto"/>
              <w:right w:val="single" w:sz="6" w:space="0" w:color="auto"/>
            </w:tcBorders>
            <w:hideMark/>
          </w:tcPr>
          <w:p w14:paraId="287CDBD4" w14:textId="77777777" w:rsidR="004E2D2F" w:rsidRPr="004030DB" w:rsidRDefault="004E2D2F" w:rsidP="004E2D2F">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P Lewis</w:t>
            </w:r>
            <w:r w:rsidRPr="004030DB">
              <w:rPr>
                <w:rFonts w:ascii="Arial" w:eastAsia="Times New Roman" w:hAnsi="Arial" w:cs="Arial"/>
                <w:color w:val="D13438"/>
                <w:sz w:val="20"/>
                <w:szCs w:val="20"/>
                <w:lang w:val="en-GB" w:eastAsia="en-GB"/>
              </w:rPr>
              <w:t> </w:t>
            </w:r>
          </w:p>
        </w:tc>
        <w:tc>
          <w:tcPr>
            <w:tcW w:w="1735" w:type="dxa"/>
            <w:tcBorders>
              <w:top w:val="single" w:sz="6" w:space="0" w:color="auto"/>
              <w:left w:val="single" w:sz="6" w:space="0" w:color="auto"/>
              <w:bottom w:val="single" w:sz="6" w:space="0" w:color="auto"/>
              <w:right w:val="single" w:sz="6" w:space="0" w:color="auto"/>
            </w:tcBorders>
            <w:hideMark/>
          </w:tcPr>
          <w:p w14:paraId="590A0D69" w14:textId="77777777" w:rsidR="004E2D2F" w:rsidRPr="004030DB" w:rsidRDefault="004E2D2F" w:rsidP="004E2D2F">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Non-Executive Director</w:t>
            </w:r>
            <w:r w:rsidRPr="004030DB">
              <w:rPr>
                <w:rFonts w:ascii="Arial" w:eastAsia="Times New Roman" w:hAnsi="Arial" w:cs="Arial"/>
                <w:color w:val="D13438"/>
                <w:sz w:val="20"/>
                <w:szCs w:val="20"/>
                <w:lang w:val="en-GB" w:eastAsia="en-GB"/>
              </w:rPr>
              <w:t> </w:t>
            </w:r>
          </w:p>
        </w:tc>
        <w:tc>
          <w:tcPr>
            <w:tcW w:w="850" w:type="dxa"/>
            <w:tcBorders>
              <w:top w:val="single" w:sz="6" w:space="0" w:color="auto"/>
              <w:left w:val="single" w:sz="6" w:space="0" w:color="auto"/>
              <w:bottom w:val="single" w:sz="6" w:space="0" w:color="auto"/>
              <w:right w:val="single" w:sz="6" w:space="0" w:color="auto"/>
            </w:tcBorders>
            <w:hideMark/>
          </w:tcPr>
          <w:p w14:paraId="71B1543A" w14:textId="77777777" w:rsidR="004E2D2F" w:rsidRPr="004030DB" w:rsidRDefault="004E2D2F" w:rsidP="004E2D2F">
            <w:pPr>
              <w:widowControl/>
              <w:textAlignment w:val="baseline"/>
              <w:rPr>
                <w:rFonts w:ascii="Arial" w:eastAsia="Times New Roman" w:hAnsi="Arial" w:cs="Arial"/>
                <w:sz w:val="20"/>
                <w:szCs w:val="20"/>
                <w:lang w:val="en-GB" w:eastAsia="en-GB"/>
              </w:rPr>
            </w:pPr>
            <w:r w:rsidRPr="004030DB">
              <w:rPr>
                <w:rFonts w:ascii="Arial" w:eastAsia="Times New Roman" w:hAnsi="Arial" w:cs="Arial"/>
                <w:color w:val="D13438"/>
                <w:sz w:val="20"/>
                <w:szCs w:val="20"/>
                <w:lang w:val="en-GB" w:eastAsia="en-GB"/>
              </w:rPr>
              <w:t> </w:t>
            </w:r>
          </w:p>
        </w:tc>
        <w:tc>
          <w:tcPr>
            <w:tcW w:w="749" w:type="dxa"/>
            <w:tcBorders>
              <w:top w:val="single" w:sz="6" w:space="0" w:color="auto"/>
              <w:left w:val="single" w:sz="6" w:space="0" w:color="auto"/>
              <w:bottom w:val="single" w:sz="6" w:space="0" w:color="auto"/>
              <w:right w:val="single" w:sz="6" w:space="0" w:color="auto"/>
            </w:tcBorders>
            <w:hideMark/>
          </w:tcPr>
          <w:p w14:paraId="3AF9222B"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10-15</w:t>
            </w:r>
            <w:r w:rsidRPr="004030DB">
              <w:rPr>
                <w:rFonts w:ascii="Arial" w:eastAsia="Times New Roman" w:hAnsi="Arial" w:cs="Arial"/>
                <w:color w:val="D13438"/>
                <w:sz w:val="20"/>
                <w:szCs w:val="20"/>
                <w:lang w:val="en-GB" w:eastAsia="en-GB"/>
              </w:rPr>
              <w:t> </w:t>
            </w:r>
          </w:p>
        </w:tc>
        <w:tc>
          <w:tcPr>
            <w:tcW w:w="860" w:type="dxa"/>
            <w:tcBorders>
              <w:top w:val="single" w:sz="6" w:space="0" w:color="auto"/>
              <w:left w:val="single" w:sz="6" w:space="0" w:color="auto"/>
              <w:bottom w:val="single" w:sz="6" w:space="0" w:color="auto"/>
              <w:right w:val="single" w:sz="6" w:space="0" w:color="auto"/>
            </w:tcBorders>
            <w:hideMark/>
          </w:tcPr>
          <w:p w14:paraId="02A09115"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w:t>
            </w:r>
            <w:r w:rsidRPr="004030DB">
              <w:rPr>
                <w:rFonts w:ascii="Arial" w:eastAsia="Times New Roman" w:hAnsi="Arial" w:cs="Arial"/>
                <w:color w:val="D13438"/>
                <w:sz w:val="20"/>
                <w:szCs w:val="20"/>
                <w:lang w:val="en-GB" w:eastAsia="en-GB"/>
              </w:rPr>
              <w:t> </w:t>
            </w:r>
          </w:p>
        </w:tc>
        <w:tc>
          <w:tcPr>
            <w:tcW w:w="838" w:type="dxa"/>
            <w:tcBorders>
              <w:top w:val="single" w:sz="6" w:space="0" w:color="auto"/>
              <w:left w:val="single" w:sz="6" w:space="0" w:color="auto"/>
              <w:bottom w:val="single" w:sz="6" w:space="0" w:color="auto"/>
              <w:right w:val="single" w:sz="6" w:space="0" w:color="auto"/>
            </w:tcBorders>
            <w:hideMark/>
          </w:tcPr>
          <w:p w14:paraId="64EA94B7"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w:t>
            </w:r>
            <w:r w:rsidRPr="004030DB">
              <w:rPr>
                <w:rFonts w:ascii="Arial" w:eastAsia="Times New Roman" w:hAnsi="Arial" w:cs="Arial"/>
                <w:color w:val="D13438"/>
                <w:sz w:val="20"/>
                <w:szCs w:val="20"/>
                <w:lang w:val="en-GB" w:eastAsia="en-GB"/>
              </w:rPr>
              <w:t> </w:t>
            </w:r>
          </w:p>
        </w:tc>
        <w:tc>
          <w:tcPr>
            <w:tcW w:w="938" w:type="dxa"/>
            <w:tcBorders>
              <w:top w:val="single" w:sz="6" w:space="0" w:color="auto"/>
              <w:left w:val="single" w:sz="6" w:space="0" w:color="auto"/>
              <w:bottom w:val="single" w:sz="6" w:space="0" w:color="auto"/>
              <w:right w:val="single" w:sz="6" w:space="0" w:color="auto"/>
            </w:tcBorders>
            <w:hideMark/>
          </w:tcPr>
          <w:p w14:paraId="16581244"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10-15</w:t>
            </w:r>
            <w:r w:rsidRPr="004030DB">
              <w:rPr>
                <w:rFonts w:ascii="Arial" w:eastAsia="Times New Roman" w:hAnsi="Arial" w:cs="Arial"/>
                <w:color w:val="D13438"/>
                <w:sz w:val="20"/>
                <w:szCs w:val="20"/>
                <w:lang w:val="en-GB" w:eastAsia="en-GB"/>
              </w:rPr>
              <w:t> </w:t>
            </w:r>
          </w:p>
        </w:tc>
        <w:tc>
          <w:tcPr>
            <w:tcW w:w="749" w:type="dxa"/>
            <w:tcBorders>
              <w:top w:val="single" w:sz="6" w:space="0" w:color="auto"/>
              <w:left w:val="single" w:sz="6" w:space="0" w:color="auto"/>
              <w:bottom w:val="single" w:sz="6" w:space="0" w:color="auto"/>
              <w:right w:val="single" w:sz="6" w:space="0" w:color="auto"/>
            </w:tcBorders>
            <w:hideMark/>
          </w:tcPr>
          <w:p w14:paraId="4BC186C1"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10-15</w:t>
            </w:r>
            <w:r w:rsidRPr="004030DB">
              <w:rPr>
                <w:rFonts w:ascii="Arial" w:eastAsia="Times New Roman" w:hAnsi="Arial" w:cs="Arial"/>
                <w:color w:val="D13438"/>
                <w:sz w:val="20"/>
                <w:szCs w:val="20"/>
                <w:lang w:val="en-GB" w:eastAsia="en-GB"/>
              </w:rPr>
              <w:t> </w:t>
            </w:r>
          </w:p>
        </w:tc>
        <w:tc>
          <w:tcPr>
            <w:tcW w:w="860" w:type="dxa"/>
            <w:tcBorders>
              <w:top w:val="single" w:sz="6" w:space="0" w:color="auto"/>
              <w:left w:val="single" w:sz="6" w:space="0" w:color="auto"/>
              <w:bottom w:val="single" w:sz="6" w:space="0" w:color="auto"/>
              <w:right w:val="single" w:sz="6" w:space="0" w:color="auto"/>
            </w:tcBorders>
            <w:hideMark/>
          </w:tcPr>
          <w:p w14:paraId="5A5B81F6"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w:t>
            </w:r>
            <w:r w:rsidRPr="004030DB">
              <w:rPr>
                <w:rFonts w:ascii="Arial" w:eastAsia="Times New Roman" w:hAnsi="Arial" w:cs="Arial"/>
                <w:color w:val="D13438"/>
                <w:sz w:val="20"/>
                <w:szCs w:val="20"/>
                <w:lang w:val="en-GB" w:eastAsia="en-GB"/>
              </w:rPr>
              <w:t> </w:t>
            </w:r>
          </w:p>
        </w:tc>
        <w:tc>
          <w:tcPr>
            <w:tcW w:w="838" w:type="dxa"/>
            <w:tcBorders>
              <w:top w:val="single" w:sz="6" w:space="0" w:color="auto"/>
              <w:left w:val="single" w:sz="6" w:space="0" w:color="auto"/>
              <w:bottom w:val="single" w:sz="6" w:space="0" w:color="auto"/>
              <w:right w:val="single" w:sz="6" w:space="0" w:color="auto"/>
            </w:tcBorders>
            <w:hideMark/>
          </w:tcPr>
          <w:p w14:paraId="0395B122"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w:t>
            </w:r>
            <w:r w:rsidRPr="004030DB">
              <w:rPr>
                <w:rFonts w:ascii="Arial" w:eastAsia="Times New Roman" w:hAnsi="Arial" w:cs="Arial"/>
                <w:color w:val="D13438"/>
                <w:sz w:val="20"/>
                <w:szCs w:val="20"/>
                <w:lang w:val="en-GB" w:eastAsia="en-GB"/>
              </w:rPr>
              <w:t> </w:t>
            </w:r>
          </w:p>
        </w:tc>
        <w:tc>
          <w:tcPr>
            <w:tcW w:w="938" w:type="dxa"/>
            <w:tcBorders>
              <w:top w:val="single" w:sz="6" w:space="0" w:color="auto"/>
              <w:left w:val="single" w:sz="6" w:space="0" w:color="auto"/>
              <w:bottom w:val="single" w:sz="6" w:space="0" w:color="auto"/>
              <w:right w:val="single" w:sz="6" w:space="0" w:color="auto"/>
            </w:tcBorders>
            <w:hideMark/>
          </w:tcPr>
          <w:p w14:paraId="20B91502"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10-15</w:t>
            </w:r>
            <w:r w:rsidRPr="004030DB">
              <w:rPr>
                <w:rFonts w:ascii="Arial" w:eastAsia="Times New Roman" w:hAnsi="Arial" w:cs="Arial"/>
                <w:color w:val="D13438"/>
                <w:sz w:val="20"/>
                <w:szCs w:val="20"/>
                <w:lang w:val="en-GB" w:eastAsia="en-GB"/>
              </w:rPr>
              <w:t> </w:t>
            </w:r>
          </w:p>
        </w:tc>
      </w:tr>
      <w:tr w:rsidR="004E2D2F" w:rsidRPr="004030DB" w14:paraId="32B1C60C" w14:textId="77777777" w:rsidTr="004E2D2F">
        <w:trPr>
          <w:trHeight w:val="300"/>
          <w:jc w:val="center"/>
        </w:trPr>
        <w:tc>
          <w:tcPr>
            <w:tcW w:w="1410" w:type="dxa"/>
            <w:tcBorders>
              <w:top w:val="single" w:sz="6" w:space="0" w:color="auto"/>
              <w:left w:val="single" w:sz="6" w:space="0" w:color="auto"/>
              <w:bottom w:val="single" w:sz="6" w:space="0" w:color="auto"/>
              <w:right w:val="single" w:sz="6" w:space="0" w:color="auto"/>
            </w:tcBorders>
            <w:hideMark/>
          </w:tcPr>
          <w:p w14:paraId="60A276E7" w14:textId="77777777" w:rsidR="004E2D2F" w:rsidRPr="004030DB" w:rsidRDefault="004E2D2F" w:rsidP="004E2D2F">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J Black</w:t>
            </w:r>
            <w:r w:rsidRPr="004030DB">
              <w:rPr>
                <w:rFonts w:ascii="Arial" w:eastAsia="Times New Roman" w:hAnsi="Arial" w:cs="Arial"/>
                <w:color w:val="D13438"/>
                <w:sz w:val="20"/>
                <w:szCs w:val="20"/>
                <w:lang w:val="en-GB" w:eastAsia="en-GB"/>
              </w:rPr>
              <w:t> </w:t>
            </w:r>
          </w:p>
        </w:tc>
        <w:tc>
          <w:tcPr>
            <w:tcW w:w="1735" w:type="dxa"/>
            <w:tcBorders>
              <w:top w:val="single" w:sz="6" w:space="0" w:color="auto"/>
              <w:left w:val="single" w:sz="6" w:space="0" w:color="auto"/>
              <w:bottom w:val="single" w:sz="6" w:space="0" w:color="auto"/>
              <w:right w:val="single" w:sz="6" w:space="0" w:color="auto"/>
            </w:tcBorders>
            <w:hideMark/>
          </w:tcPr>
          <w:p w14:paraId="53B85D8C" w14:textId="77777777" w:rsidR="004E2D2F" w:rsidRPr="004030DB" w:rsidRDefault="004E2D2F" w:rsidP="004E2D2F">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Chief Executive</w:t>
            </w:r>
            <w:r w:rsidRPr="004030DB">
              <w:rPr>
                <w:rFonts w:ascii="Arial" w:eastAsia="Times New Roman" w:hAnsi="Arial" w:cs="Arial"/>
                <w:color w:val="D13438"/>
                <w:sz w:val="20"/>
                <w:szCs w:val="20"/>
                <w:lang w:val="en-GB" w:eastAsia="en-GB"/>
              </w:rPr>
              <w:t> </w:t>
            </w:r>
          </w:p>
        </w:tc>
        <w:tc>
          <w:tcPr>
            <w:tcW w:w="850" w:type="dxa"/>
            <w:tcBorders>
              <w:top w:val="single" w:sz="6" w:space="0" w:color="auto"/>
              <w:left w:val="single" w:sz="6" w:space="0" w:color="auto"/>
              <w:bottom w:val="single" w:sz="6" w:space="0" w:color="auto"/>
              <w:right w:val="single" w:sz="6" w:space="0" w:color="auto"/>
            </w:tcBorders>
            <w:hideMark/>
          </w:tcPr>
          <w:p w14:paraId="62E9B7B2" w14:textId="77777777" w:rsidR="004E2D2F" w:rsidRPr="004030DB" w:rsidRDefault="004E2D2F" w:rsidP="004E2D2F">
            <w:pPr>
              <w:widowControl/>
              <w:textAlignment w:val="baseline"/>
              <w:rPr>
                <w:rFonts w:ascii="Arial" w:eastAsia="Times New Roman" w:hAnsi="Arial" w:cs="Arial"/>
                <w:sz w:val="20"/>
                <w:szCs w:val="20"/>
                <w:lang w:val="en-GB" w:eastAsia="en-GB"/>
              </w:rPr>
            </w:pPr>
            <w:r w:rsidRPr="004030DB">
              <w:rPr>
                <w:rFonts w:ascii="Arial" w:eastAsia="Times New Roman" w:hAnsi="Arial" w:cs="Arial"/>
                <w:color w:val="D13438"/>
                <w:sz w:val="20"/>
                <w:szCs w:val="20"/>
                <w:lang w:val="en-GB" w:eastAsia="en-GB"/>
              </w:rPr>
              <w:t> </w:t>
            </w:r>
          </w:p>
        </w:tc>
        <w:tc>
          <w:tcPr>
            <w:tcW w:w="749" w:type="dxa"/>
            <w:tcBorders>
              <w:top w:val="single" w:sz="6" w:space="0" w:color="auto"/>
              <w:left w:val="single" w:sz="6" w:space="0" w:color="auto"/>
              <w:bottom w:val="single" w:sz="6" w:space="0" w:color="auto"/>
              <w:right w:val="single" w:sz="6" w:space="0" w:color="auto"/>
            </w:tcBorders>
            <w:hideMark/>
          </w:tcPr>
          <w:p w14:paraId="3B3920D3"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205-210</w:t>
            </w:r>
            <w:r w:rsidRPr="004030DB">
              <w:rPr>
                <w:rFonts w:ascii="Arial" w:eastAsia="Times New Roman" w:hAnsi="Arial" w:cs="Arial"/>
                <w:color w:val="D13438"/>
                <w:sz w:val="20"/>
                <w:szCs w:val="20"/>
                <w:lang w:val="en-GB" w:eastAsia="en-GB"/>
              </w:rPr>
              <w:t> </w:t>
            </w:r>
          </w:p>
        </w:tc>
        <w:tc>
          <w:tcPr>
            <w:tcW w:w="860" w:type="dxa"/>
            <w:tcBorders>
              <w:top w:val="single" w:sz="6" w:space="0" w:color="auto"/>
              <w:left w:val="single" w:sz="6" w:space="0" w:color="auto"/>
              <w:bottom w:val="single" w:sz="6" w:space="0" w:color="auto"/>
              <w:right w:val="single" w:sz="6" w:space="0" w:color="auto"/>
            </w:tcBorders>
            <w:hideMark/>
          </w:tcPr>
          <w:p w14:paraId="19AD0D7B"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w:t>
            </w:r>
            <w:r w:rsidRPr="004030DB">
              <w:rPr>
                <w:rFonts w:ascii="Arial" w:eastAsia="Times New Roman" w:hAnsi="Arial" w:cs="Arial"/>
                <w:color w:val="D13438"/>
                <w:sz w:val="20"/>
                <w:szCs w:val="20"/>
                <w:lang w:val="en-GB" w:eastAsia="en-GB"/>
              </w:rPr>
              <w:t> </w:t>
            </w:r>
          </w:p>
        </w:tc>
        <w:tc>
          <w:tcPr>
            <w:tcW w:w="838" w:type="dxa"/>
            <w:tcBorders>
              <w:top w:val="single" w:sz="6" w:space="0" w:color="auto"/>
              <w:left w:val="single" w:sz="6" w:space="0" w:color="auto"/>
              <w:bottom w:val="single" w:sz="6" w:space="0" w:color="auto"/>
              <w:right w:val="single" w:sz="6" w:space="0" w:color="auto"/>
            </w:tcBorders>
            <w:hideMark/>
          </w:tcPr>
          <w:p w14:paraId="1EEADE75"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w:t>
            </w:r>
            <w:r w:rsidRPr="004030DB">
              <w:rPr>
                <w:rFonts w:ascii="Arial" w:eastAsia="Times New Roman" w:hAnsi="Arial" w:cs="Arial"/>
                <w:color w:val="D13438"/>
                <w:sz w:val="20"/>
                <w:szCs w:val="20"/>
                <w:lang w:val="en-GB" w:eastAsia="en-GB"/>
              </w:rPr>
              <w:t> </w:t>
            </w:r>
          </w:p>
        </w:tc>
        <w:tc>
          <w:tcPr>
            <w:tcW w:w="938" w:type="dxa"/>
            <w:tcBorders>
              <w:top w:val="single" w:sz="6" w:space="0" w:color="auto"/>
              <w:left w:val="single" w:sz="6" w:space="0" w:color="auto"/>
              <w:bottom w:val="single" w:sz="6" w:space="0" w:color="auto"/>
              <w:right w:val="single" w:sz="6" w:space="0" w:color="auto"/>
            </w:tcBorders>
            <w:hideMark/>
          </w:tcPr>
          <w:p w14:paraId="3364FFE1"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205-210</w:t>
            </w:r>
            <w:r w:rsidRPr="004030DB">
              <w:rPr>
                <w:rFonts w:ascii="Arial" w:eastAsia="Times New Roman" w:hAnsi="Arial" w:cs="Arial"/>
                <w:color w:val="D13438"/>
                <w:sz w:val="20"/>
                <w:szCs w:val="20"/>
                <w:lang w:val="en-GB" w:eastAsia="en-GB"/>
              </w:rPr>
              <w:t> </w:t>
            </w:r>
          </w:p>
        </w:tc>
        <w:tc>
          <w:tcPr>
            <w:tcW w:w="749" w:type="dxa"/>
            <w:tcBorders>
              <w:top w:val="single" w:sz="6" w:space="0" w:color="auto"/>
              <w:left w:val="single" w:sz="6" w:space="0" w:color="auto"/>
              <w:bottom w:val="single" w:sz="6" w:space="0" w:color="auto"/>
              <w:right w:val="single" w:sz="6" w:space="0" w:color="auto"/>
            </w:tcBorders>
            <w:hideMark/>
          </w:tcPr>
          <w:p w14:paraId="44B91841"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195-200</w:t>
            </w:r>
            <w:r w:rsidRPr="004030DB">
              <w:rPr>
                <w:rFonts w:ascii="Arial" w:eastAsia="Times New Roman" w:hAnsi="Arial" w:cs="Arial"/>
                <w:color w:val="D13438"/>
                <w:sz w:val="20"/>
                <w:szCs w:val="20"/>
                <w:lang w:val="en-GB" w:eastAsia="en-GB"/>
              </w:rPr>
              <w:t> </w:t>
            </w:r>
          </w:p>
        </w:tc>
        <w:tc>
          <w:tcPr>
            <w:tcW w:w="860" w:type="dxa"/>
            <w:tcBorders>
              <w:top w:val="single" w:sz="6" w:space="0" w:color="auto"/>
              <w:left w:val="single" w:sz="6" w:space="0" w:color="auto"/>
              <w:bottom w:val="single" w:sz="6" w:space="0" w:color="auto"/>
              <w:right w:val="single" w:sz="6" w:space="0" w:color="auto"/>
            </w:tcBorders>
            <w:hideMark/>
          </w:tcPr>
          <w:p w14:paraId="0BE45453"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w:t>
            </w:r>
            <w:r w:rsidRPr="004030DB">
              <w:rPr>
                <w:rFonts w:ascii="Arial" w:eastAsia="Times New Roman" w:hAnsi="Arial" w:cs="Arial"/>
                <w:color w:val="D13438"/>
                <w:sz w:val="20"/>
                <w:szCs w:val="20"/>
                <w:lang w:val="en-GB" w:eastAsia="en-GB"/>
              </w:rPr>
              <w:t> </w:t>
            </w:r>
          </w:p>
        </w:tc>
        <w:tc>
          <w:tcPr>
            <w:tcW w:w="838" w:type="dxa"/>
            <w:tcBorders>
              <w:top w:val="single" w:sz="6" w:space="0" w:color="auto"/>
              <w:left w:val="single" w:sz="6" w:space="0" w:color="auto"/>
              <w:bottom w:val="single" w:sz="6" w:space="0" w:color="auto"/>
              <w:right w:val="single" w:sz="6" w:space="0" w:color="auto"/>
            </w:tcBorders>
            <w:hideMark/>
          </w:tcPr>
          <w:p w14:paraId="5183BE68"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w:t>
            </w:r>
            <w:r w:rsidRPr="004030DB">
              <w:rPr>
                <w:rFonts w:ascii="Arial" w:eastAsia="Times New Roman" w:hAnsi="Arial" w:cs="Arial"/>
                <w:color w:val="D13438"/>
                <w:sz w:val="20"/>
                <w:szCs w:val="20"/>
                <w:lang w:val="en-GB" w:eastAsia="en-GB"/>
              </w:rPr>
              <w:t> </w:t>
            </w:r>
          </w:p>
        </w:tc>
        <w:tc>
          <w:tcPr>
            <w:tcW w:w="938" w:type="dxa"/>
            <w:tcBorders>
              <w:top w:val="single" w:sz="6" w:space="0" w:color="auto"/>
              <w:left w:val="single" w:sz="6" w:space="0" w:color="auto"/>
              <w:bottom w:val="single" w:sz="6" w:space="0" w:color="auto"/>
              <w:right w:val="single" w:sz="6" w:space="0" w:color="auto"/>
            </w:tcBorders>
            <w:hideMark/>
          </w:tcPr>
          <w:p w14:paraId="462C75D8"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195-200</w:t>
            </w:r>
            <w:r w:rsidRPr="004030DB">
              <w:rPr>
                <w:rFonts w:ascii="Arial" w:eastAsia="Times New Roman" w:hAnsi="Arial" w:cs="Arial"/>
                <w:color w:val="D13438"/>
                <w:sz w:val="20"/>
                <w:szCs w:val="20"/>
                <w:lang w:val="en-GB" w:eastAsia="en-GB"/>
              </w:rPr>
              <w:t> </w:t>
            </w:r>
          </w:p>
        </w:tc>
      </w:tr>
      <w:tr w:rsidR="004E2D2F" w:rsidRPr="004030DB" w14:paraId="7D63285E" w14:textId="77777777" w:rsidTr="004E2D2F">
        <w:trPr>
          <w:trHeight w:val="300"/>
          <w:jc w:val="center"/>
        </w:trPr>
        <w:tc>
          <w:tcPr>
            <w:tcW w:w="1410" w:type="dxa"/>
            <w:tcBorders>
              <w:top w:val="single" w:sz="6" w:space="0" w:color="auto"/>
              <w:left w:val="single" w:sz="6" w:space="0" w:color="auto"/>
              <w:bottom w:val="single" w:sz="6" w:space="0" w:color="auto"/>
              <w:right w:val="single" w:sz="6" w:space="0" w:color="auto"/>
            </w:tcBorders>
            <w:hideMark/>
          </w:tcPr>
          <w:p w14:paraId="69078762" w14:textId="77777777" w:rsidR="004E2D2F" w:rsidRPr="004030DB" w:rsidRDefault="004E2D2F" w:rsidP="004E2D2F">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S Vaux</w:t>
            </w:r>
            <w:r w:rsidRPr="004030DB">
              <w:rPr>
                <w:rFonts w:ascii="Arial" w:eastAsia="Times New Roman" w:hAnsi="Arial" w:cs="Arial"/>
                <w:color w:val="D13438"/>
                <w:sz w:val="20"/>
                <w:szCs w:val="20"/>
                <w:lang w:val="en-GB" w:eastAsia="en-GB"/>
              </w:rPr>
              <w:t> </w:t>
            </w:r>
          </w:p>
        </w:tc>
        <w:tc>
          <w:tcPr>
            <w:tcW w:w="1735" w:type="dxa"/>
            <w:tcBorders>
              <w:top w:val="single" w:sz="6" w:space="0" w:color="auto"/>
              <w:left w:val="single" w:sz="6" w:space="0" w:color="auto"/>
              <w:bottom w:val="single" w:sz="6" w:space="0" w:color="auto"/>
              <w:right w:val="single" w:sz="6" w:space="0" w:color="auto"/>
            </w:tcBorders>
            <w:hideMark/>
          </w:tcPr>
          <w:p w14:paraId="60E1B050" w14:textId="77777777" w:rsidR="004E2D2F" w:rsidRPr="004030DB" w:rsidRDefault="004E2D2F" w:rsidP="004E2D2F">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Chief Nurse (Interim)</w:t>
            </w:r>
            <w:r w:rsidRPr="004030DB">
              <w:rPr>
                <w:rFonts w:ascii="Arial" w:eastAsia="Times New Roman" w:hAnsi="Arial" w:cs="Arial"/>
                <w:color w:val="D13438"/>
                <w:sz w:val="20"/>
                <w:szCs w:val="20"/>
                <w:lang w:val="en-GB" w:eastAsia="en-GB"/>
              </w:rPr>
              <w:t> </w:t>
            </w:r>
          </w:p>
        </w:tc>
        <w:tc>
          <w:tcPr>
            <w:tcW w:w="850" w:type="dxa"/>
            <w:tcBorders>
              <w:top w:val="single" w:sz="6" w:space="0" w:color="auto"/>
              <w:left w:val="single" w:sz="6" w:space="0" w:color="auto"/>
              <w:bottom w:val="single" w:sz="6" w:space="0" w:color="auto"/>
              <w:right w:val="single" w:sz="6" w:space="0" w:color="auto"/>
            </w:tcBorders>
            <w:hideMark/>
          </w:tcPr>
          <w:p w14:paraId="4D35D49D" w14:textId="77777777" w:rsidR="004E2D2F" w:rsidRPr="004030DB" w:rsidRDefault="004E2D2F" w:rsidP="004E2D2F">
            <w:pPr>
              <w:widowControl/>
              <w:textAlignment w:val="baseline"/>
              <w:rPr>
                <w:rFonts w:ascii="Arial" w:eastAsia="Times New Roman" w:hAnsi="Arial" w:cs="Arial"/>
                <w:sz w:val="20"/>
                <w:szCs w:val="20"/>
                <w:lang w:val="en-GB" w:eastAsia="en-GB"/>
              </w:rPr>
            </w:pPr>
            <w:r w:rsidRPr="004030DB">
              <w:rPr>
                <w:rFonts w:ascii="Arial" w:eastAsia="Times New Roman" w:hAnsi="Arial" w:cs="Arial"/>
                <w:color w:val="D13438"/>
                <w:sz w:val="20"/>
                <w:szCs w:val="20"/>
                <w:lang w:val="en-GB" w:eastAsia="en-GB"/>
              </w:rPr>
              <w:t> </w:t>
            </w:r>
          </w:p>
        </w:tc>
        <w:tc>
          <w:tcPr>
            <w:tcW w:w="749" w:type="dxa"/>
            <w:tcBorders>
              <w:top w:val="single" w:sz="6" w:space="0" w:color="auto"/>
              <w:left w:val="single" w:sz="6" w:space="0" w:color="auto"/>
              <w:bottom w:val="single" w:sz="6" w:space="0" w:color="auto"/>
              <w:right w:val="single" w:sz="6" w:space="0" w:color="auto"/>
            </w:tcBorders>
            <w:hideMark/>
          </w:tcPr>
          <w:p w14:paraId="252A65ED"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140-145</w:t>
            </w:r>
            <w:r w:rsidRPr="004030DB">
              <w:rPr>
                <w:rFonts w:ascii="Arial" w:eastAsia="Times New Roman" w:hAnsi="Arial" w:cs="Arial"/>
                <w:color w:val="D13438"/>
                <w:sz w:val="20"/>
                <w:szCs w:val="20"/>
                <w:lang w:val="en-GB" w:eastAsia="en-GB"/>
              </w:rPr>
              <w:t> </w:t>
            </w:r>
          </w:p>
        </w:tc>
        <w:tc>
          <w:tcPr>
            <w:tcW w:w="860" w:type="dxa"/>
            <w:tcBorders>
              <w:top w:val="single" w:sz="6" w:space="0" w:color="auto"/>
              <w:left w:val="single" w:sz="6" w:space="0" w:color="auto"/>
              <w:bottom w:val="single" w:sz="6" w:space="0" w:color="auto"/>
              <w:right w:val="single" w:sz="6" w:space="0" w:color="auto"/>
            </w:tcBorders>
            <w:hideMark/>
          </w:tcPr>
          <w:p w14:paraId="6694F53C"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w:t>
            </w:r>
            <w:r w:rsidRPr="004030DB">
              <w:rPr>
                <w:rFonts w:ascii="Arial" w:eastAsia="Times New Roman" w:hAnsi="Arial" w:cs="Arial"/>
                <w:color w:val="D13438"/>
                <w:sz w:val="20"/>
                <w:szCs w:val="20"/>
                <w:lang w:val="en-GB" w:eastAsia="en-GB"/>
              </w:rPr>
              <w:t> </w:t>
            </w:r>
          </w:p>
        </w:tc>
        <w:tc>
          <w:tcPr>
            <w:tcW w:w="838" w:type="dxa"/>
            <w:tcBorders>
              <w:top w:val="single" w:sz="6" w:space="0" w:color="auto"/>
              <w:left w:val="single" w:sz="6" w:space="0" w:color="auto"/>
              <w:bottom w:val="single" w:sz="6" w:space="0" w:color="auto"/>
              <w:right w:val="single" w:sz="6" w:space="0" w:color="auto"/>
            </w:tcBorders>
            <w:hideMark/>
          </w:tcPr>
          <w:p w14:paraId="7B90EB37"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w:t>
            </w:r>
            <w:r w:rsidRPr="004030DB">
              <w:rPr>
                <w:rFonts w:ascii="Arial" w:eastAsia="Times New Roman" w:hAnsi="Arial" w:cs="Arial"/>
                <w:color w:val="D13438"/>
                <w:sz w:val="20"/>
                <w:szCs w:val="20"/>
                <w:lang w:val="en-GB" w:eastAsia="en-GB"/>
              </w:rPr>
              <w:t> </w:t>
            </w:r>
          </w:p>
        </w:tc>
        <w:tc>
          <w:tcPr>
            <w:tcW w:w="938" w:type="dxa"/>
            <w:tcBorders>
              <w:top w:val="single" w:sz="6" w:space="0" w:color="auto"/>
              <w:left w:val="single" w:sz="6" w:space="0" w:color="auto"/>
              <w:bottom w:val="single" w:sz="6" w:space="0" w:color="auto"/>
              <w:right w:val="single" w:sz="6" w:space="0" w:color="auto"/>
            </w:tcBorders>
            <w:hideMark/>
          </w:tcPr>
          <w:p w14:paraId="019C96D1"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140-145</w:t>
            </w:r>
            <w:r w:rsidRPr="004030DB">
              <w:rPr>
                <w:rFonts w:ascii="Arial" w:eastAsia="Times New Roman" w:hAnsi="Arial" w:cs="Arial"/>
                <w:color w:val="D13438"/>
                <w:sz w:val="20"/>
                <w:szCs w:val="20"/>
                <w:lang w:val="en-GB" w:eastAsia="en-GB"/>
              </w:rPr>
              <w:t> </w:t>
            </w:r>
          </w:p>
        </w:tc>
        <w:tc>
          <w:tcPr>
            <w:tcW w:w="749" w:type="dxa"/>
            <w:tcBorders>
              <w:top w:val="single" w:sz="6" w:space="0" w:color="auto"/>
              <w:left w:val="single" w:sz="6" w:space="0" w:color="auto"/>
              <w:bottom w:val="single" w:sz="6" w:space="0" w:color="auto"/>
              <w:right w:val="single" w:sz="6" w:space="0" w:color="auto"/>
            </w:tcBorders>
            <w:hideMark/>
          </w:tcPr>
          <w:p w14:paraId="6F5290E3"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125-130</w:t>
            </w:r>
            <w:r w:rsidRPr="004030DB">
              <w:rPr>
                <w:rFonts w:ascii="Arial" w:eastAsia="Times New Roman" w:hAnsi="Arial" w:cs="Arial"/>
                <w:color w:val="D13438"/>
                <w:sz w:val="20"/>
                <w:szCs w:val="20"/>
                <w:lang w:val="en-GB" w:eastAsia="en-GB"/>
              </w:rPr>
              <w:t> </w:t>
            </w:r>
          </w:p>
        </w:tc>
        <w:tc>
          <w:tcPr>
            <w:tcW w:w="860" w:type="dxa"/>
            <w:tcBorders>
              <w:top w:val="single" w:sz="6" w:space="0" w:color="auto"/>
              <w:left w:val="single" w:sz="6" w:space="0" w:color="auto"/>
              <w:bottom w:val="single" w:sz="6" w:space="0" w:color="auto"/>
              <w:right w:val="single" w:sz="6" w:space="0" w:color="auto"/>
            </w:tcBorders>
            <w:hideMark/>
          </w:tcPr>
          <w:p w14:paraId="4D8D40D0"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w:t>
            </w:r>
            <w:r w:rsidRPr="004030DB">
              <w:rPr>
                <w:rFonts w:ascii="Arial" w:eastAsia="Times New Roman" w:hAnsi="Arial" w:cs="Arial"/>
                <w:color w:val="D13438"/>
                <w:sz w:val="20"/>
                <w:szCs w:val="20"/>
                <w:lang w:val="en-GB" w:eastAsia="en-GB"/>
              </w:rPr>
              <w:t> </w:t>
            </w:r>
          </w:p>
        </w:tc>
        <w:tc>
          <w:tcPr>
            <w:tcW w:w="838" w:type="dxa"/>
            <w:tcBorders>
              <w:top w:val="single" w:sz="6" w:space="0" w:color="auto"/>
              <w:left w:val="single" w:sz="6" w:space="0" w:color="auto"/>
              <w:bottom w:val="single" w:sz="6" w:space="0" w:color="auto"/>
              <w:right w:val="single" w:sz="6" w:space="0" w:color="auto"/>
            </w:tcBorders>
            <w:hideMark/>
          </w:tcPr>
          <w:p w14:paraId="3EFC439B"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w:t>
            </w:r>
            <w:r w:rsidRPr="004030DB">
              <w:rPr>
                <w:rFonts w:ascii="Arial" w:eastAsia="Times New Roman" w:hAnsi="Arial" w:cs="Arial"/>
                <w:color w:val="D13438"/>
                <w:sz w:val="20"/>
                <w:szCs w:val="20"/>
                <w:lang w:val="en-GB" w:eastAsia="en-GB"/>
              </w:rPr>
              <w:t> </w:t>
            </w:r>
          </w:p>
        </w:tc>
        <w:tc>
          <w:tcPr>
            <w:tcW w:w="938" w:type="dxa"/>
            <w:tcBorders>
              <w:top w:val="single" w:sz="6" w:space="0" w:color="auto"/>
              <w:left w:val="single" w:sz="6" w:space="0" w:color="auto"/>
              <w:bottom w:val="single" w:sz="6" w:space="0" w:color="auto"/>
              <w:right w:val="single" w:sz="6" w:space="0" w:color="auto"/>
            </w:tcBorders>
            <w:hideMark/>
          </w:tcPr>
          <w:p w14:paraId="6EBA5531"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125-130</w:t>
            </w:r>
            <w:r w:rsidRPr="004030DB">
              <w:rPr>
                <w:rFonts w:ascii="Arial" w:eastAsia="Times New Roman" w:hAnsi="Arial" w:cs="Arial"/>
                <w:color w:val="D13438"/>
                <w:sz w:val="20"/>
                <w:szCs w:val="20"/>
                <w:lang w:val="en-GB" w:eastAsia="en-GB"/>
              </w:rPr>
              <w:t> </w:t>
            </w:r>
          </w:p>
        </w:tc>
      </w:tr>
      <w:tr w:rsidR="004E2D2F" w:rsidRPr="004030DB" w14:paraId="4C5E946F" w14:textId="77777777" w:rsidTr="004E2D2F">
        <w:trPr>
          <w:trHeight w:val="300"/>
          <w:jc w:val="center"/>
        </w:trPr>
        <w:tc>
          <w:tcPr>
            <w:tcW w:w="1410" w:type="dxa"/>
            <w:tcBorders>
              <w:top w:val="single" w:sz="6" w:space="0" w:color="auto"/>
              <w:left w:val="single" w:sz="6" w:space="0" w:color="auto"/>
              <w:bottom w:val="single" w:sz="6" w:space="0" w:color="auto"/>
              <w:right w:val="single" w:sz="6" w:space="0" w:color="auto"/>
            </w:tcBorders>
            <w:hideMark/>
          </w:tcPr>
          <w:p w14:paraId="601089D2" w14:textId="77777777" w:rsidR="004E2D2F" w:rsidRPr="004030DB" w:rsidRDefault="004E2D2F" w:rsidP="004E2D2F">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L Hinton</w:t>
            </w:r>
            <w:r w:rsidRPr="004030DB">
              <w:rPr>
                <w:rFonts w:ascii="Arial" w:eastAsia="Times New Roman" w:hAnsi="Arial" w:cs="Arial"/>
                <w:color w:val="D13438"/>
                <w:sz w:val="20"/>
                <w:szCs w:val="20"/>
                <w:lang w:val="en-GB" w:eastAsia="en-GB"/>
              </w:rPr>
              <w:t> </w:t>
            </w:r>
          </w:p>
        </w:tc>
        <w:tc>
          <w:tcPr>
            <w:tcW w:w="1735" w:type="dxa"/>
            <w:tcBorders>
              <w:top w:val="single" w:sz="6" w:space="0" w:color="auto"/>
              <w:left w:val="single" w:sz="6" w:space="0" w:color="auto"/>
              <w:bottom w:val="single" w:sz="6" w:space="0" w:color="auto"/>
              <w:right w:val="single" w:sz="6" w:space="0" w:color="auto"/>
            </w:tcBorders>
            <w:hideMark/>
          </w:tcPr>
          <w:p w14:paraId="758417E0" w14:textId="77777777" w:rsidR="004E2D2F" w:rsidRPr="004030DB" w:rsidRDefault="004E2D2F" w:rsidP="004E2D2F">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Chief People Officer</w:t>
            </w:r>
            <w:r w:rsidRPr="004030DB">
              <w:rPr>
                <w:rFonts w:ascii="Arial" w:eastAsia="Times New Roman" w:hAnsi="Arial" w:cs="Arial"/>
                <w:color w:val="D13438"/>
                <w:sz w:val="20"/>
                <w:szCs w:val="20"/>
                <w:lang w:val="en-GB" w:eastAsia="en-GB"/>
              </w:rPr>
              <w:t> </w:t>
            </w:r>
          </w:p>
        </w:tc>
        <w:tc>
          <w:tcPr>
            <w:tcW w:w="850" w:type="dxa"/>
            <w:tcBorders>
              <w:top w:val="single" w:sz="6" w:space="0" w:color="auto"/>
              <w:left w:val="single" w:sz="6" w:space="0" w:color="auto"/>
              <w:bottom w:val="single" w:sz="6" w:space="0" w:color="auto"/>
              <w:right w:val="single" w:sz="6" w:space="0" w:color="auto"/>
            </w:tcBorders>
            <w:hideMark/>
          </w:tcPr>
          <w:p w14:paraId="6794DD5D" w14:textId="77777777" w:rsidR="004E2D2F" w:rsidRPr="004030DB" w:rsidRDefault="004E2D2F" w:rsidP="004E2D2F">
            <w:pPr>
              <w:widowControl/>
              <w:textAlignment w:val="baseline"/>
              <w:rPr>
                <w:rFonts w:ascii="Arial" w:eastAsia="Times New Roman" w:hAnsi="Arial" w:cs="Arial"/>
                <w:sz w:val="20"/>
                <w:szCs w:val="20"/>
                <w:lang w:val="en-GB" w:eastAsia="en-GB"/>
              </w:rPr>
            </w:pPr>
            <w:r w:rsidRPr="004030DB">
              <w:rPr>
                <w:rFonts w:ascii="Arial" w:eastAsia="Times New Roman" w:hAnsi="Arial" w:cs="Arial"/>
                <w:color w:val="D13438"/>
                <w:sz w:val="20"/>
                <w:szCs w:val="20"/>
                <w:lang w:val="en-GB" w:eastAsia="en-GB"/>
              </w:rPr>
              <w:t> </w:t>
            </w:r>
          </w:p>
        </w:tc>
        <w:tc>
          <w:tcPr>
            <w:tcW w:w="749" w:type="dxa"/>
            <w:tcBorders>
              <w:top w:val="single" w:sz="6" w:space="0" w:color="auto"/>
              <w:left w:val="single" w:sz="6" w:space="0" w:color="auto"/>
              <w:bottom w:val="single" w:sz="6" w:space="0" w:color="auto"/>
              <w:right w:val="single" w:sz="6" w:space="0" w:color="auto"/>
            </w:tcBorders>
            <w:hideMark/>
          </w:tcPr>
          <w:p w14:paraId="54FD35B1"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135-140</w:t>
            </w:r>
            <w:r w:rsidRPr="004030DB">
              <w:rPr>
                <w:rFonts w:ascii="Arial" w:eastAsia="Times New Roman" w:hAnsi="Arial" w:cs="Arial"/>
                <w:color w:val="D13438"/>
                <w:sz w:val="20"/>
                <w:szCs w:val="20"/>
                <w:lang w:val="en-GB" w:eastAsia="en-GB"/>
              </w:rPr>
              <w:t> </w:t>
            </w:r>
          </w:p>
        </w:tc>
        <w:tc>
          <w:tcPr>
            <w:tcW w:w="860" w:type="dxa"/>
            <w:tcBorders>
              <w:top w:val="single" w:sz="6" w:space="0" w:color="auto"/>
              <w:left w:val="single" w:sz="6" w:space="0" w:color="auto"/>
              <w:bottom w:val="single" w:sz="6" w:space="0" w:color="auto"/>
              <w:right w:val="single" w:sz="6" w:space="0" w:color="auto"/>
            </w:tcBorders>
            <w:hideMark/>
          </w:tcPr>
          <w:p w14:paraId="11019947"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w:t>
            </w:r>
            <w:r w:rsidRPr="004030DB">
              <w:rPr>
                <w:rFonts w:ascii="Arial" w:eastAsia="Times New Roman" w:hAnsi="Arial" w:cs="Arial"/>
                <w:color w:val="D13438"/>
                <w:sz w:val="20"/>
                <w:szCs w:val="20"/>
                <w:lang w:val="en-GB" w:eastAsia="en-GB"/>
              </w:rPr>
              <w:t> </w:t>
            </w:r>
          </w:p>
        </w:tc>
        <w:tc>
          <w:tcPr>
            <w:tcW w:w="838" w:type="dxa"/>
            <w:tcBorders>
              <w:top w:val="single" w:sz="6" w:space="0" w:color="auto"/>
              <w:left w:val="single" w:sz="6" w:space="0" w:color="auto"/>
              <w:bottom w:val="single" w:sz="6" w:space="0" w:color="auto"/>
              <w:right w:val="single" w:sz="6" w:space="0" w:color="auto"/>
            </w:tcBorders>
            <w:hideMark/>
          </w:tcPr>
          <w:p w14:paraId="0561E155"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5-7.5</w:t>
            </w:r>
            <w:r w:rsidRPr="004030DB">
              <w:rPr>
                <w:rFonts w:ascii="Arial" w:eastAsia="Times New Roman" w:hAnsi="Arial" w:cs="Arial"/>
                <w:color w:val="D13438"/>
                <w:sz w:val="20"/>
                <w:szCs w:val="20"/>
                <w:lang w:val="en-GB" w:eastAsia="en-GB"/>
              </w:rPr>
              <w:t> </w:t>
            </w:r>
          </w:p>
        </w:tc>
        <w:tc>
          <w:tcPr>
            <w:tcW w:w="938" w:type="dxa"/>
            <w:tcBorders>
              <w:top w:val="single" w:sz="6" w:space="0" w:color="auto"/>
              <w:left w:val="single" w:sz="6" w:space="0" w:color="auto"/>
              <w:bottom w:val="single" w:sz="6" w:space="0" w:color="auto"/>
              <w:right w:val="single" w:sz="6" w:space="0" w:color="auto"/>
            </w:tcBorders>
            <w:hideMark/>
          </w:tcPr>
          <w:p w14:paraId="170E379F"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145-150</w:t>
            </w:r>
            <w:r w:rsidRPr="004030DB">
              <w:rPr>
                <w:rFonts w:ascii="Arial" w:eastAsia="Times New Roman" w:hAnsi="Arial" w:cs="Arial"/>
                <w:color w:val="D13438"/>
                <w:sz w:val="20"/>
                <w:szCs w:val="20"/>
                <w:lang w:val="en-GB" w:eastAsia="en-GB"/>
              </w:rPr>
              <w:t> </w:t>
            </w:r>
          </w:p>
        </w:tc>
        <w:tc>
          <w:tcPr>
            <w:tcW w:w="749" w:type="dxa"/>
            <w:tcBorders>
              <w:top w:val="single" w:sz="6" w:space="0" w:color="auto"/>
              <w:left w:val="single" w:sz="6" w:space="0" w:color="auto"/>
              <w:bottom w:val="single" w:sz="6" w:space="0" w:color="auto"/>
              <w:right w:val="single" w:sz="6" w:space="0" w:color="auto"/>
            </w:tcBorders>
            <w:hideMark/>
          </w:tcPr>
          <w:p w14:paraId="17789C04"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130-135</w:t>
            </w:r>
            <w:r w:rsidRPr="004030DB">
              <w:rPr>
                <w:rFonts w:ascii="Arial" w:eastAsia="Times New Roman" w:hAnsi="Arial" w:cs="Arial"/>
                <w:color w:val="D13438"/>
                <w:sz w:val="20"/>
                <w:szCs w:val="20"/>
                <w:lang w:val="en-GB" w:eastAsia="en-GB"/>
              </w:rPr>
              <w:t> </w:t>
            </w:r>
          </w:p>
        </w:tc>
        <w:tc>
          <w:tcPr>
            <w:tcW w:w="860" w:type="dxa"/>
            <w:tcBorders>
              <w:top w:val="single" w:sz="6" w:space="0" w:color="auto"/>
              <w:left w:val="single" w:sz="6" w:space="0" w:color="auto"/>
              <w:bottom w:val="single" w:sz="6" w:space="0" w:color="auto"/>
              <w:right w:val="single" w:sz="6" w:space="0" w:color="auto"/>
            </w:tcBorders>
            <w:hideMark/>
          </w:tcPr>
          <w:p w14:paraId="09060359"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w:t>
            </w:r>
            <w:r w:rsidRPr="004030DB">
              <w:rPr>
                <w:rFonts w:ascii="Arial" w:eastAsia="Times New Roman" w:hAnsi="Arial" w:cs="Arial"/>
                <w:color w:val="D13438"/>
                <w:sz w:val="20"/>
                <w:szCs w:val="20"/>
                <w:lang w:val="en-GB" w:eastAsia="en-GB"/>
              </w:rPr>
              <w:t> </w:t>
            </w:r>
          </w:p>
        </w:tc>
        <w:tc>
          <w:tcPr>
            <w:tcW w:w="838" w:type="dxa"/>
            <w:tcBorders>
              <w:top w:val="single" w:sz="6" w:space="0" w:color="auto"/>
              <w:left w:val="single" w:sz="6" w:space="0" w:color="auto"/>
              <w:bottom w:val="single" w:sz="6" w:space="0" w:color="auto"/>
              <w:right w:val="single" w:sz="6" w:space="0" w:color="auto"/>
            </w:tcBorders>
            <w:hideMark/>
          </w:tcPr>
          <w:p w14:paraId="46BB2228"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45-47.5</w:t>
            </w:r>
            <w:r w:rsidRPr="004030DB">
              <w:rPr>
                <w:rFonts w:ascii="Arial" w:eastAsia="Times New Roman" w:hAnsi="Arial" w:cs="Arial"/>
                <w:color w:val="D13438"/>
                <w:sz w:val="20"/>
                <w:szCs w:val="20"/>
                <w:lang w:val="en-GB" w:eastAsia="en-GB"/>
              </w:rPr>
              <w:t> </w:t>
            </w:r>
          </w:p>
        </w:tc>
        <w:tc>
          <w:tcPr>
            <w:tcW w:w="938" w:type="dxa"/>
            <w:tcBorders>
              <w:top w:val="single" w:sz="6" w:space="0" w:color="auto"/>
              <w:left w:val="single" w:sz="6" w:space="0" w:color="auto"/>
              <w:bottom w:val="single" w:sz="6" w:space="0" w:color="auto"/>
              <w:right w:val="single" w:sz="6" w:space="0" w:color="auto"/>
            </w:tcBorders>
            <w:hideMark/>
          </w:tcPr>
          <w:p w14:paraId="141A348C"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175-180</w:t>
            </w:r>
            <w:r w:rsidRPr="004030DB">
              <w:rPr>
                <w:rFonts w:ascii="Arial" w:eastAsia="Times New Roman" w:hAnsi="Arial" w:cs="Arial"/>
                <w:color w:val="D13438"/>
                <w:sz w:val="20"/>
                <w:szCs w:val="20"/>
                <w:lang w:val="en-GB" w:eastAsia="en-GB"/>
              </w:rPr>
              <w:t> </w:t>
            </w:r>
          </w:p>
        </w:tc>
      </w:tr>
      <w:tr w:rsidR="004E2D2F" w:rsidRPr="004030DB" w14:paraId="7AD80200" w14:textId="77777777" w:rsidTr="004E2D2F">
        <w:trPr>
          <w:trHeight w:val="300"/>
          <w:jc w:val="center"/>
        </w:trPr>
        <w:tc>
          <w:tcPr>
            <w:tcW w:w="1410" w:type="dxa"/>
            <w:tcBorders>
              <w:top w:val="single" w:sz="6" w:space="0" w:color="auto"/>
              <w:left w:val="single" w:sz="6" w:space="0" w:color="auto"/>
              <w:bottom w:val="single" w:sz="6" w:space="0" w:color="auto"/>
              <w:right w:val="single" w:sz="6" w:space="0" w:color="auto"/>
            </w:tcBorders>
            <w:hideMark/>
          </w:tcPr>
          <w:p w14:paraId="63713B4B" w14:textId="77777777" w:rsidR="004E2D2F" w:rsidRPr="004030DB" w:rsidRDefault="004E2D2F" w:rsidP="004E2D2F">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A Davis</w:t>
            </w:r>
            <w:r w:rsidRPr="004030DB">
              <w:rPr>
                <w:rFonts w:ascii="Arial" w:eastAsia="Times New Roman" w:hAnsi="Arial" w:cs="Arial"/>
                <w:color w:val="D13438"/>
                <w:sz w:val="20"/>
                <w:szCs w:val="20"/>
                <w:lang w:val="en-GB" w:eastAsia="en-GB"/>
              </w:rPr>
              <w:t> </w:t>
            </w:r>
          </w:p>
        </w:tc>
        <w:tc>
          <w:tcPr>
            <w:tcW w:w="1735" w:type="dxa"/>
            <w:tcBorders>
              <w:top w:val="single" w:sz="6" w:space="0" w:color="auto"/>
              <w:left w:val="single" w:sz="6" w:space="0" w:color="auto"/>
              <w:bottom w:val="single" w:sz="6" w:space="0" w:color="auto"/>
              <w:right w:val="single" w:sz="6" w:space="0" w:color="auto"/>
            </w:tcBorders>
            <w:hideMark/>
          </w:tcPr>
          <w:p w14:paraId="09FC8557" w14:textId="77777777" w:rsidR="004E2D2F" w:rsidRPr="004030DB" w:rsidRDefault="004E2D2F" w:rsidP="004E2D2F">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Chief Medical Officer</w:t>
            </w:r>
            <w:r w:rsidRPr="004030DB">
              <w:rPr>
                <w:rFonts w:ascii="Arial" w:eastAsia="Times New Roman" w:hAnsi="Arial" w:cs="Arial"/>
                <w:color w:val="D13438"/>
                <w:sz w:val="20"/>
                <w:szCs w:val="20"/>
                <w:lang w:val="en-GB" w:eastAsia="en-GB"/>
              </w:rPr>
              <w:t> </w:t>
            </w:r>
          </w:p>
        </w:tc>
        <w:tc>
          <w:tcPr>
            <w:tcW w:w="850" w:type="dxa"/>
            <w:tcBorders>
              <w:top w:val="single" w:sz="6" w:space="0" w:color="auto"/>
              <w:left w:val="single" w:sz="6" w:space="0" w:color="auto"/>
              <w:bottom w:val="single" w:sz="6" w:space="0" w:color="auto"/>
              <w:right w:val="single" w:sz="6" w:space="0" w:color="auto"/>
            </w:tcBorders>
            <w:hideMark/>
          </w:tcPr>
          <w:p w14:paraId="37940CF5" w14:textId="77777777" w:rsidR="004E2D2F" w:rsidRPr="004030DB" w:rsidRDefault="004E2D2F" w:rsidP="004E2D2F">
            <w:pPr>
              <w:widowControl/>
              <w:textAlignment w:val="baseline"/>
              <w:rPr>
                <w:rFonts w:ascii="Arial" w:eastAsia="Times New Roman" w:hAnsi="Arial" w:cs="Arial"/>
                <w:sz w:val="20"/>
                <w:szCs w:val="20"/>
                <w:lang w:val="en-GB" w:eastAsia="en-GB"/>
              </w:rPr>
            </w:pPr>
            <w:r w:rsidRPr="004030DB">
              <w:rPr>
                <w:rFonts w:ascii="Arial" w:eastAsia="Times New Roman" w:hAnsi="Arial" w:cs="Arial"/>
                <w:color w:val="D13438"/>
                <w:sz w:val="20"/>
                <w:szCs w:val="20"/>
                <w:lang w:val="en-GB" w:eastAsia="en-GB"/>
              </w:rPr>
              <w:t> </w:t>
            </w:r>
          </w:p>
        </w:tc>
        <w:tc>
          <w:tcPr>
            <w:tcW w:w="749" w:type="dxa"/>
            <w:tcBorders>
              <w:top w:val="single" w:sz="6" w:space="0" w:color="auto"/>
              <w:left w:val="single" w:sz="6" w:space="0" w:color="auto"/>
              <w:bottom w:val="single" w:sz="6" w:space="0" w:color="auto"/>
              <w:right w:val="single" w:sz="6" w:space="0" w:color="auto"/>
            </w:tcBorders>
            <w:hideMark/>
          </w:tcPr>
          <w:p w14:paraId="45C1EF3E"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200-205</w:t>
            </w:r>
            <w:r w:rsidRPr="004030DB">
              <w:rPr>
                <w:rFonts w:ascii="Arial" w:eastAsia="Times New Roman" w:hAnsi="Arial" w:cs="Arial"/>
                <w:color w:val="D13438"/>
                <w:sz w:val="20"/>
                <w:szCs w:val="20"/>
                <w:lang w:val="en-GB" w:eastAsia="en-GB"/>
              </w:rPr>
              <w:t> </w:t>
            </w:r>
          </w:p>
        </w:tc>
        <w:tc>
          <w:tcPr>
            <w:tcW w:w="860" w:type="dxa"/>
            <w:tcBorders>
              <w:top w:val="single" w:sz="6" w:space="0" w:color="auto"/>
              <w:left w:val="single" w:sz="6" w:space="0" w:color="auto"/>
              <w:bottom w:val="single" w:sz="6" w:space="0" w:color="auto"/>
              <w:right w:val="single" w:sz="6" w:space="0" w:color="auto"/>
            </w:tcBorders>
            <w:hideMark/>
          </w:tcPr>
          <w:p w14:paraId="3C03E801"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w:t>
            </w:r>
            <w:r w:rsidRPr="004030DB">
              <w:rPr>
                <w:rFonts w:ascii="Arial" w:eastAsia="Times New Roman" w:hAnsi="Arial" w:cs="Arial"/>
                <w:color w:val="D13438"/>
                <w:sz w:val="20"/>
                <w:szCs w:val="20"/>
                <w:lang w:val="en-GB" w:eastAsia="en-GB"/>
              </w:rPr>
              <w:t> </w:t>
            </w:r>
          </w:p>
        </w:tc>
        <w:tc>
          <w:tcPr>
            <w:tcW w:w="838" w:type="dxa"/>
            <w:tcBorders>
              <w:top w:val="single" w:sz="6" w:space="0" w:color="auto"/>
              <w:left w:val="single" w:sz="6" w:space="0" w:color="auto"/>
              <w:bottom w:val="single" w:sz="6" w:space="0" w:color="auto"/>
              <w:right w:val="single" w:sz="6" w:space="0" w:color="auto"/>
            </w:tcBorders>
            <w:hideMark/>
          </w:tcPr>
          <w:p w14:paraId="7CE836F7"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75-77.5</w:t>
            </w:r>
            <w:r w:rsidRPr="004030DB">
              <w:rPr>
                <w:rFonts w:ascii="Arial" w:eastAsia="Times New Roman" w:hAnsi="Arial" w:cs="Arial"/>
                <w:color w:val="D13438"/>
                <w:sz w:val="20"/>
                <w:szCs w:val="20"/>
                <w:lang w:val="en-GB" w:eastAsia="en-GB"/>
              </w:rPr>
              <w:t> </w:t>
            </w:r>
          </w:p>
        </w:tc>
        <w:tc>
          <w:tcPr>
            <w:tcW w:w="938" w:type="dxa"/>
            <w:tcBorders>
              <w:top w:val="single" w:sz="6" w:space="0" w:color="auto"/>
              <w:left w:val="single" w:sz="6" w:space="0" w:color="auto"/>
              <w:bottom w:val="single" w:sz="6" w:space="0" w:color="auto"/>
              <w:right w:val="single" w:sz="6" w:space="0" w:color="auto"/>
            </w:tcBorders>
            <w:hideMark/>
          </w:tcPr>
          <w:p w14:paraId="7391A24E"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280-285</w:t>
            </w:r>
            <w:r w:rsidRPr="004030DB">
              <w:rPr>
                <w:rFonts w:ascii="Arial" w:eastAsia="Times New Roman" w:hAnsi="Arial" w:cs="Arial"/>
                <w:color w:val="D13438"/>
                <w:sz w:val="20"/>
                <w:szCs w:val="20"/>
                <w:lang w:val="en-GB" w:eastAsia="en-GB"/>
              </w:rPr>
              <w:t> </w:t>
            </w:r>
          </w:p>
        </w:tc>
        <w:tc>
          <w:tcPr>
            <w:tcW w:w="749" w:type="dxa"/>
            <w:tcBorders>
              <w:top w:val="single" w:sz="6" w:space="0" w:color="auto"/>
              <w:left w:val="single" w:sz="6" w:space="0" w:color="auto"/>
              <w:bottom w:val="single" w:sz="6" w:space="0" w:color="auto"/>
              <w:right w:val="single" w:sz="6" w:space="0" w:color="auto"/>
            </w:tcBorders>
            <w:hideMark/>
          </w:tcPr>
          <w:p w14:paraId="350C7EDA"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225-230</w:t>
            </w:r>
            <w:r w:rsidRPr="004030DB">
              <w:rPr>
                <w:rFonts w:ascii="Arial" w:eastAsia="Times New Roman" w:hAnsi="Arial" w:cs="Arial"/>
                <w:color w:val="D13438"/>
                <w:sz w:val="20"/>
                <w:szCs w:val="20"/>
                <w:lang w:val="en-GB" w:eastAsia="en-GB"/>
              </w:rPr>
              <w:t> </w:t>
            </w:r>
          </w:p>
        </w:tc>
        <w:tc>
          <w:tcPr>
            <w:tcW w:w="860" w:type="dxa"/>
            <w:tcBorders>
              <w:top w:val="single" w:sz="6" w:space="0" w:color="auto"/>
              <w:left w:val="single" w:sz="6" w:space="0" w:color="auto"/>
              <w:bottom w:val="single" w:sz="6" w:space="0" w:color="auto"/>
              <w:right w:val="single" w:sz="6" w:space="0" w:color="auto"/>
            </w:tcBorders>
            <w:hideMark/>
          </w:tcPr>
          <w:p w14:paraId="3B6B360E"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w:t>
            </w:r>
            <w:r w:rsidRPr="004030DB">
              <w:rPr>
                <w:rFonts w:ascii="Arial" w:eastAsia="Times New Roman" w:hAnsi="Arial" w:cs="Arial"/>
                <w:color w:val="D13438"/>
                <w:sz w:val="20"/>
                <w:szCs w:val="20"/>
                <w:lang w:val="en-GB" w:eastAsia="en-GB"/>
              </w:rPr>
              <w:t> </w:t>
            </w:r>
          </w:p>
        </w:tc>
        <w:tc>
          <w:tcPr>
            <w:tcW w:w="838" w:type="dxa"/>
            <w:tcBorders>
              <w:top w:val="single" w:sz="6" w:space="0" w:color="auto"/>
              <w:left w:val="single" w:sz="6" w:space="0" w:color="auto"/>
              <w:bottom w:val="single" w:sz="6" w:space="0" w:color="auto"/>
              <w:right w:val="single" w:sz="6" w:space="0" w:color="auto"/>
            </w:tcBorders>
            <w:hideMark/>
          </w:tcPr>
          <w:p w14:paraId="1B058E28"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w:t>
            </w:r>
            <w:r w:rsidRPr="004030DB">
              <w:rPr>
                <w:rFonts w:ascii="Arial" w:eastAsia="Times New Roman" w:hAnsi="Arial" w:cs="Arial"/>
                <w:color w:val="D13438"/>
                <w:sz w:val="20"/>
                <w:szCs w:val="20"/>
                <w:lang w:val="en-GB" w:eastAsia="en-GB"/>
              </w:rPr>
              <w:t> </w:t>
            </w:r>
          </w:p>
        </w:tc>
        <w:tc>
          <w:tcPr>
            <w:tcW w:w="938" w:type="dxa"/>
            <w:tcBorders>
              <w:top w:val="single" w:sz="6" w:space="0" w:color="auto"/>
              <w:left w:val="single" w:sz="6" w:space="0" w:color="auto"/>
              <w:bottom w:val="single" w:sz="6" w:space="0" w:color="auto"/>
              <w:right w:val="single" w:sz="6" w:space="0" w:color="auto"/>
            </w:tcBorders>
            <w:hideMark/>
          </w:tcPr>
          <w:p w14:paraId="3F2B4A8E"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225-230</w:t>
            </w:r>
            <w:r w:rsidRPr="004030DB">
              <w:rPr>
                <w:rFonts w:ascii="Arial" w:eastAsia="Times New Roman" w:hAnsi="Arial" w:cs="Arial"/>
                <w:color w:val="D13438"/>
                <w:sz w:val="20"/>
                <w:szCs w:val="20"/>
                <w:lang w:val="en-GB" w:eastAsia="en-GB"/>
              </w:rPr>
              <w:t> </w:t>
            </w:r>
          </w:p>
        </w:tc>
      </w:tr>
      <w:tr w:rsidR="004E2D2F" w:rsidRPr="004030DB" w14:paraId="71CE1EA3" w14:textId="77777777" w:rsidTr="004E2D2F">
        <w:trPr>
          <w:trHeight w:val="300"/>
          <w:jc w:val="center"/>
        </w:trPr>
        <w:tc>
          <w:tcPr>
            <w:tcW w:w="1410" w:type="dxa"/>
            <w:tcBorders>
              <w:top w:val="single" w:sz="6" w:space="0" w:color="auto"/>
              <w:left w:val="single" w:sz="6" w:space="0" w:color="auto"/>
              <w:bottom w:val="single" w:sz="6" w:space="0" w:color="auto"/>
              <w:right w:val="single" w:sz="6" w:space="0" w:color="auto"/>
            </w:tcBorders>
            <w:hideMark/>
          </w:tcPr>
          <w:p w14:paraId="4BD1A0BA" w14:textId="77777777" w:rsidR="004E2D2F" w:rsidRPr="004030DB" w:rsidRDefault="004E2D2F" w:rsidP="004E2D2F">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G MacDonald</w:t>
            </w:r>
            <w:r w:rsidRPr="004030DB">
              <w:rPr>
                <w:rFonts w:ascii="Arial" w:eastAsia="Times New Roman" w:hAnsi="Arial" w:cs="Arial"/>
                <w:color w:val="D13438"/>
                <w:sz w:val="20"/>
                <w:szCs w:val="20"/>
                <w:lang w:val="en-GB" w:eastAsia="en-GB"/>
              </w:rPr>
              <w:t> </w:t>
            </w:r>
          </w:p>
        </w:tc>
        <w:tc>
          <w:tcPr>
            <w:tcW w:w="1735" w:type="dxa"/>
            <w:tcBorders>
              <w:top w:val="single" w:sz="6" w:space="0" w:color="auto"/>
              <w:left w:val="single" w:sz="6" w:space="0" w:color="auto"/>
              <w:bottom w:val="single" w:sz="6" w:space="0" w:color="auto"/>
              <w:right w:val="single" w:sz="6" w:space="0" w:color="auto"/>
            </w:tcBorders>
            <w:hideMark/>
          </w:tcPr>
          <w:p w14:paraId="440FDA9C" w14:textId="77777777" w:rsidR="004E2D2F" w:rsidRPr="004030DB" w:rsidRDefault="004E2D2F" w:rsidP="004E2D2F">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Chief Delivery Officer</w:t>
            </w:r>
            <w:r w:rsidRPr="004030DB">
              <w:rPr>
                <w:rFonts w:ascii="Arial" w:eastAsia="Times New Roman" w:hAnsi="Arial" w:cs="Arial"/>
                <w:color w:val="D13438"/>
                <w:sz w:val="20"/>
                <w:szCs w:val="20"/>
                <w:lang w:val="en-GB" w:eastAsia="en-GB"/>
              </w:rPr>
              <w:t> </w:t>
            </w:r>
          </w:p>
        </w:tc>
        <w:tc>
          <w:tcPr>
            <w:tcW w:w="850" w:type="dxa"/>
            <w:tcBorders>
              <w:top w:val="single" w:sz="6" w:space="0" w:color="auto"/>
              <w:left w:val="single" w:sz="6" w:space="0" w:color="auto"/>
              <w:bottom w:val="single" w:sz="6" w:space="0" w:color="auto"/>
              <w:right w:val="single" w:sz="6" w:space="0" w:color="auto"/>
            </w:tcBorders>
            <w:hideMark/>
          </w:tcPr>
          <w:p w14:paraId="2F4260C0" w14:textId="77777777" w:rsidR="004E2D2F" w:rsidRPr="004030DB" w:rsidRDefault="004E2D2F" w:rsidP="004E2D2F">
            <w:pPr>
              <w:widowControl/>
              <w:textAlignment w:val="baseline"/>
              <w:rPr>
                <w:rFonts w:ascii="Arial" w:eastAsia="Times New Roman" w:hAnsi="Arial" w:cs="Arial"/>
                <w:sz w:val="20"/>
                <w:szCs w:val="20"/>
                <w:lang w:val="en-GB" w:eastAsia="en-GB"/>
              </w:rPr>
            </w:pPr>
            <w:r w:rsidRPr="004030DB">
              <w:rPr>
                <w:rFonts w:ascii="Arial" w:eastAsia="Times New Roman" w:hAnsi="Arial" w:cs="Arial"/>
                <w:color w:val="D13438"/>
                <w:sz w:val="20"/>
                <w:szCs w:val="20"/>
                <w:lang w:val="en-GB" w:eastAsia="en-GB"/>
              </w:rPr>
              <w:t> </w:t>
            </w:r>
          </w:p>
        </w:tc>
        <w:tc>
          <w:tcPr>
            <w:tcW w:w="749" w:type="dxa"/>
            <w:tcBorders>
              <w:top w:val="single" w:sz="6" w:space="0" w:color="auto"/>
              <w:left w:val="single" w:sz="6" w:space="0" w:color="auto"/>
              <w:bottom w:val="single" w:sz="6" w:space="0" w:color="auto"/>
              <w:right w:val="single" w:sz="6" w:space="0" w:color="auto"/>
            </w:tcBorders>
            <w:hideMark/>
          </w:tcPr>
          <w:p w14:paraId="20866391"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140-145</w:t>
            </w:r>
            <w:r w:rsidRPr="004030DB">
              <w:rPr>
                <w:rFonts w:ascii="Arial" w:eastAsia="Times New Roman" w:hAnsi="Arial" w:cs="Arial"/>
                <w:color w:val="D13438"/>
                <w:sz w:val="20"/>
                <w:szCs w:val="20"/>
                <w:lang w:val="en-GB" w:eastAsia="en-GB"/>
              </w:rPr>
              <w:t> </w:t>
            </w:r>
          </w:p>
        </w:tc>
        <w:tc>
          <w:tcPr>
            <w:tcW w:w="860" w:type="dxa"/>
            <w:tcBorders>
              <w:top w:val="single" w:sz="6" w:space="0" w:color="auto"/>
              <w:left w:val="single" w:sz="6" w:space="0" w:color="auto"/>
              <w:bottom w:val="single" w:sz="6" w:space="0" w:color="auto"/>
              <w:right w:val="single" w:sz="6" w:space="0" w:color="auto"/>
            </w:tcBorders>
            <w:hideMark/>
          </w:tcPr>
          <w:p w14:paraId="5EA685E5"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w:t>
            </w:r>
            <w:r w:rsidRPr="004030DB">
              <w:rPr>
                <w:rFonts w:ascii="Arial" w:eastAsia="Times New Roman" w:hAnsi="Arial" w:cs="Arial"/>
                <w:color w:val="D13438"/>
                <w:sz w:val="20"/>
                <w:szCs w:val="20"/>
                <w:lang w:val="en-GB" w:eastAsia="en-GB"/>
              </w:rPr>
              <w:t> </w:t>
            </w:r>
          </w:p>
        </w:tc>
        <w:tc>
          <w:tcPr>
            <w:tcW w:w="838" w:type="dxa"/>
            <w:tcBorders>
              <w:top w:val="single" w:sz="6" w:space="0" w:color="auto"/>
              <w:left w:val="single" w:sz="6" w:space="0" w:color="auto"/>
              <w:bottom w:val="single" w:sz="6" w:space="0" w:color="auto"/>
              <w:right w:val="single" w:sz="6" w:space="0" w:color="auto"/>
            </w:tcBorders>
            <w:hideMark/>
          </w:tcPr>
          <w:p w14:paraId="356B8253"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w:t>
            </w:r>
            <w:r w:rsidRPr="004030DB">
              <w:rPr>
                <w:rFonts w:ascii="Arial" w:eastAsia="Times New Roman" w:hAnsi="Arial" w:cs="Arial"/>
                <w:color w:val="D13438"/>
                <w:sz w:val="20"/>
                <w:szCs w:val="20"/>
                <w:lang w:val="en-GB" w:eastAsia="en-GB"/>
              </w:rPr>
              <w:t> </w:t>
            </w:r>
          </w:p>
        </w:tc>
        <w:tc>
          <w:tcPr>
            <w:tcW w:w="938" w:type="dxa"/>
            <w:tcBorders>
              <w:top w:val="single" w:sz="6" w:space="0" w:color="auto"/>
              <w:left w:val="single" w:sz="6" w:space="0" w:color="auto"/>
              <w:bottom w:val="single" w:sz="6" w:space="0" w:color="auto"/>
              <w:right w:val="single" w:sz="6" w:space="0" w:color="auto"/>
            </w:tcBorders>
            <w:hideMark/>
          </w:tcPr>
          <w:p w14:paraId="787385B6"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140-145</w:t>
            </w:r>
            <w:r w:rsidRPr="004030DB">
              <w:rPr>
                <w:rFonts w:ascii="Arial" w:eastAsia="Times New Roman" w:hAnsi="Arial" w:cs="Arial"/>
                <w:color w:val="D13438"/>
                <w:sz w:val="20"/>
                <w:szCs w:val="20"/>
                <w:lang w:val="en-GB" w:eastAsia="en-GB"/>
              </w:rPr>
              <w:t> </w:t>
            </w:r>
          </w:p>
        </w:tc>
        <w:tc>
          <w:tcPr>
            <w:tcW w:w="749" w:type="dxa"/>
            <w:tcBorders>
              <w:top w:val="single" w:sz="6" w:space="0" w:color="auto"/>
              <w:left w:val="single" w:sz="6" w:space="0" w:color="auto"/>
              <w:bottom w:val="single" w:sz="6" w:space="0" w:color="auto"/>
              <w:right w:val="single" w:sz="6" w:space="0" w:color="auto"/>
            </w:tcBorders>
            <w:hideMark/>
          </w:tcPr>
          <w:p w14:paraId="02DD95FA"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195-200</w:t>
            </w:r>
            <w:r w:rsidRPr="004030DB">
              <w:rPr>
                <w:rFonts w:ascii="Arial" w:eastAsia="Times New Roman" w:hAnsi="Arial" w:cs="Arial"/>
                <w:color w:val="D13438"/>
                <w:sz w:val="20"/>
                <w:szCs w:val="20"/>
                <w:lang w:val="en-GB" w:eastAsia="en-GB"/>
              </w:rPr>
              <w:t> </w:t>
            </w:r>
          </w:p>
        </w:tc>
        <w:tc>
          <w:tcPr>
            <w:tcW w:w="860" w:type="dxa"/>
            <w:tcBorders>
              <w:top w:val="single" w:sz="6" w:space="0" w:color="auto"/>
              <w:left w:val="single" w:sz="6" w:space="0" w:color="auto"/>
              <w:bottom w:val="single" w:sz="6" w:space="0" w:color="auto"/>
              <w:right w:val="single" w:sz="6" w:space="0" w:color="auto"/>
            </w:tcBorders>
            <w:hideMark/>
          </w:tcPr>
          <w:p w14:paraId="09CF38DE"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w:t>
            </w:r>
            <w:r w:rsidRPr="004030DB">
              <w:rPr>
                <w:rFonts w:ascii="Arial" w:eastAsia="Times New Roman" w:hAnsi="Arial" w:cs="Arial"/>
                <w:color w:val="D13438"/>
                <w:sz w:val="20"/>
                <w:szCs w:val="20"/>
                <w:lang w:val="en-GB" w:eastAsia="en-GB"/>
              </w:rPr>
              <w:t> </w:t>
            </w:r>
          </w:p>
        </w:tc>
        <w:tc>
          <w:tcPr>
            <w:tcW w:w="838" w:type="dxa"/>
            <w:tcBorders>
              <w:top w:val="single" w:sz="6" w:space="0" w:color="auto"/>
              <w:left w:val="single" w:sz="6" w:space="0" w:color="auto"/>
              <w:bottom w:val="single" w:sz="6" w:space="0" w:color="auto"/>
              <w:right w:val="single" w:sz="6" w:space="0" w:color="auto"/>
            </w:tcBorders>
            <w:hideMark/>
          </w:tcPr>
          <w:p w14:paraId="6DC55418"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w:t>
            </w:r>
            <w:r w:rsidRPr="004030DB">
              <w:rPr>
                <w:rFonts w:ascii="Arial" w:eastAsia="Times New Roman" w:hAnsi="Arial" w:cs="Arial"/>
                <w:color w:val="D13438"/>
                <w:sz w:val="20"/>
                <w:szCs w:val="20"/>
                <w:lang w:val="en-GB" w:eastAsia="en-GB"/>
              </w:rPr>
              <w:t> </w:t>
            </w:r>
          </w:p>
        </w:tc>
        <w:tc>
          <w:tcPr>
            <w:tcW w:w="938" w:type="dxa"/>
            <w:tcBorders>
              <w:top w:val="single" w:sz="6" w:space="0" w:color="auto"/>
              <w:left w:val="single" w:sz="6" w:space="0" w:color="auto"/>
              <w:bottom w:val="single" w:sz="6" w:space="0" w:color="auto"/>
              <w:right w:val="single" w:sz="6" w:space="0" w:color="auto"/>
            </w:tcBorders>
            <w:hideMark/>
          </w:tcPr>
          <w:p w14:paraId="46381D70"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195-200</w:t>
            </w:r>
            <w:r w:rsidRPr="004030DB">
              <w:rPr>
                <w:rFonts w:ascii="Arial" w:eastAsia="Times New Roman" w:hAnsi="Arial" w:cs="Arial"/>
                <w:color w:val="D13438"/>
                <w:sz w:val="20"/>
                <w:szCs w:val="20"/>
                <w:lang w:val="en-GB" w:eastAsia="en-GB"/>
              </w:rPr>
              <w:t> </w:t>
            </w:r>
          </w:p>
        </w:tc>
      </w:tr>
      <w:tr w:rsidR="004E2D2F" w:rsidRPr="004030DB" w14:paraId="33005D80" w14:textId="77777777" w:rsidTr="004E2D2F">
        <w:trPr>
          <w:trHeight w:val="300"/>
          <w:jc w:val="center"/>
        </w:trPr>
        <w:tc>
          <w:tcPr>
            <w:tcW w:w="1410" w:type="dxa"/>
            <w:tcBorders>
              <w:top w:val="single" w:sz="6" w:space="0" w:color="auto"/>
              <w:left w:val="single" w:sz="6" w:space="0" w:color="auto"/>
              <w:bottom w:val="single" w:sz="6" w:space="0" w:color="auto"/>
              <w:right w:val="single" w:sz="6" w:space="0" w:color="auto"/>
            </w:tcBorders>
            <w:hideMark/>
          </w:tcPr>
          <w:p w14:paraId="0B7A41F6" w14:textId="77777777" w:rsidR="004E2D2F" w:rsidRPr="004030DB" w:rsidRDefault="004E2D2F" w:rsidP="004E2D2F">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N Sinclair</w:t>
            </w:r>
            <w:r w:rsidRPr="004030DB">
              <w:rPr>
                <w:rFonts w:ascii="Arial" w:eastAsia="Times New Roman" w:hAnsi="Arial" w:cs="Arial"/>
                <w:color w:val="D13438"/>
                <w:sz w:val="20"/>
                <w:szCs w:val="20"/>
                <w:lang w:val="en-GB" w:eastAsia="en-GB"/>
              </w:rPr>
              <w:t> </w:t>
            </w:r>
          </w:p>
        </w:tc>
        <w:tc>
          <w:tcPr>
            <w:tcW w:w="1735" w:type="dxa"/>
            <w:tcBorders>
              <w:top w:val="single" w:sz="6" w:space="0" w:color="auto"/>
              <w:left w:val="single" w:sz="6" w:space="0" w:color="auto"/>
              <w:bottom w:val="single" w:sz="6" w:space="0" w:color="auto"/>
              <w:right w:val="single" w:sz="6" w:space="0" w:color="auto"/>
            </w:tcBorders>
            <w:hideMark/>
          </w:tcPr>
          <w:p w14:paraId="6C413FD3" w14:textId="77777777" w:rsidR="004E2D2F" w:rsidRPr="004030DB" w:rsidRDefault="004E2D2F" w:rsidP="004E2D2F">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Chief Operating Officer</w:t>
            </w:r>
            <w:r w:rsidRPr="004030DB">
              <w:rPr>
                <w:rFonts w:ascii="Arial" w:eastAsia="Times New Roman" w:hAnsi="Arial" w:cs="Arial"/>
                <w:color w:val="D13438"/>
                <w:sz w:val="20"/>
                <w:szCs w:val="20"/>
                <w:lang w:val="en-GB" w:eastAsia="en-GB"/>
              </w:rPr>
              <w:t> </w:t>
            </w:r>
          </w:p>
        </w:tc>
        <w:tc>
          <w:tcPr>
            <w:tcW w:w="850" w:type="dxa"/>
            <w:tcBorders>
              <w:top w:val="single" w:sz="6" w:space="0" w:color="auto"/>
              <w:left w:val="single" w:sz="6" w:space="0" w:color="auto"/>
              <w:bottom w:val="single" w:sz="6" w:space="0" w:color="auto"/>
              <w:right w:val="single" w:sz="6" w:space="0" w:color="auto"/>
            </w:tcBorders>
            <w:hideMark/>
          </w:tcPr>
          <w:p w14:paraId="1E3A6A1B" w14:textId="77777777" w:rsidR="004E2D2F" w:rsidRPr="004030DB" w:rsidRDefault="004E2D2F" w:rsidP="004E2D2F">
            <w:pPr>
              <w:widowControl/>
              <w:textAlignment w:val="baseline"/>
              <w:rPr>
                <w:rFonts w:ascii="Arial" w:eastAsia="Times New Roman" w:hAnsi="Arial" w:cs="Arial"/>
                <w:sz w:val="20"/>
                <w:szCs w:val="20"/>
                <w:lang w:val="en-GB" w:eastAsia="en-GB"/>
              </w:rPr>
            </w:pPr>
            <w:r w:rsidRPr="004030DB">
              <w:rPr>
                <w:rFonts w:ascii="Arial" w:eastAsia="Times New Roman" w:hAnsi="Arial" w:cs="Arial"/>
                <w:color w:val="D13438"/>
                <w:sz w:val="20"/>
                <w:szCs w:val="20"/>
                <w:lang w:val="en-GB" w:eastAsia="en-GB"/>
              </w:rPr>
              <w:t> </w:t>
            </w:r>
          </w:p>
        </w:tc>
        <w:tc>
          <w:tcPr>
            <w:tcW w:w="749" w:type="dxa"/>
            <w:tcBorders>
              <w:top w:val="single" w:sz="6" w:space="0" w:color="auto"/>
              <w:left w:val="single" w:sz="6" w:space="0" w:color="auto"/>
              <w:bottom w:val="single" w:sz="6" w:space="0" w:color="auto"/>
              <w:right w:val="single" w:sz="6" w:space="0" w:color="auto"/>
            </w:tcBorders>
            <w:hideMark/>
          </w:tcPr>
          <w:p w14:paraId="42054960"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140-145</w:t>
            </w:r>
            <w:r w:rsidRPr="004030DB">
              <w:rPr>
                <w:rFonts w:ascii="Arial" w:eastAsia="Times New Roman" w:hAnsi="Arial" w:cs="Arial"/>
                <w:color w:val="D13438"/>
                <w:sz w:val="20"/>
                <w:szCs w:val="20"/>
                <w:lang w:val="en-GB" w:eastAsia="en-GB"/>
              </w:rPr>
              <w:t> </w:t>
            </w:r>
          </w:p>
        </w:tc>
        <w:tc>
          <w:tcPr>
            <w:tcW w:w="860" w:type="dxa"/>
            <w:tcBorders>
              <w:top w:val="single" w:sz="6" w:space="0" w:color="auto"/>
              <w:left w:val="single" w:sz="6" w:space="0" w:color="auto"/>
              <w:bottom w:val="single" w:sz="6" w:space="0" w:color="auto"/>
              <w:right w:val="single" w:sz="6" w:space="0" w:color="auto"/>
            </w:tcBorders>
            <w:hideMark/>
          </w:tcPr>
          <w:p w14:paraId="5FDCD139"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w:t>
            </w:r>
            <w:r w:rsidRPr="004030DB">
              <w:rPr>
                <w:rFonts w:ascii="Arial" w:eastAsia="Times New Roman" w:hAnsi="Arial" w:cs="Arial"/>
                <w:color w:val="D13438"/>
                <w:sz w:val="20"/>
                <w:szCs w:val="20"/>
                <w:lang w:val="en-GB" w:eastAsia="en-GB"/>
              </w:rPr>
              <w:t> </w:t>
            </w:r>
          </w:p>
        </w:tc>
        <w:tc>
          <w:tcPr>
            <w:tcW w:w="838" w:type="dxa"/>
            <w:tcBorders>
              <w:top w:val="single" w:sz="6" w:space="0" w:color="auto"/>
              <w:left w:val="single" w:sz="6" w:space="0" w:color="auto"/>
              <w:bottom w:val="single" w:sz="6" w:space="0" w:color="auto"/>
              <w:right w:val="single" w:sz="6" w:space="0" w:color="auto"/>
            </w:tcBorders>
            <w:hideMark/>
          </w:tcPr>
          <w:p w14:paraId="35536062"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55-57.5</w:t>
            </w:r>
            <w:r w:rsidRPr="004030DB">
              <w:rPr>
                <w:rFonts w:ascii="Arial" w:eastAsia="Times New Roman" w:hAnsi="Arial" w:cs="Arial"/>
                <w:color w:val="D13438"/>
                <w:sz w:val="20"/>
                <w:szCs w:val="20"/>
                <w:lang w:val="en-GB" w:eastAsia="en-GB"/>
              </w:rPr>
              <w:t> </w:t>
            </w:r>
          </w:p>
        </w:tc>
        <w:tc>
          <w:tcPr>
            <w:tcW w:w="938" w:type="dxa"/>
            <w:tcBorders>
              <w:top w:val="single" w:sz="6" w:space="0" w:color="auto"/>
              <w:left w:val="single" w:sz="6" w:space="0" w:color="auto"/>
              <w:bottom w:val="single" w:sz="6" w:space="0" w:color="auto"/>
              <w:right w:val="single" w:sz="6" w:space="0" w:color="auto"/>
            </w:tcBorders>
            <w:hideMark/>
          </w:tcPr>
          <w:p w14:paraId="5AA55FEC"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195-200</w:t>
            </w:r>
            <w:r w:rsidRPr="004030DB">
              <w:rPr>
                <w:rFonts w:ascii="Arial" w:eastAsia="Times New Roman" w:hAnsi="Arial" w:cs="Arial"/>
                <w:color w:val="D13438"/>
                <w:sz w:val="20"/>
                <w:szCs w:val="20"/>
                <w:lang w:val="en-GB" w:eastAsia="en-GB"/>
              </w:rPr>
              <w:t> </w:t>
            </w:r>
          </w:p>
        </w:tc>
        <w:tc>
          <w:tcPr>
            <w:tcW w:w="749" w:type="dxa"/>
            <w:tcBorders>
              <w:top w:val="single" w:sz="6" w:space="0" w:color="auto"/>
              <w:left w:val="single" w:sz="6" w:space="0" w:color="auto"/>
              <w:bottom w:val="single" w:sz="6" w:space="0" w:color="auto"/>
              <w:right w:val="single" w:sz="6" w:space="0" w:color="auto"/>
            </w:tcBorders>
            <w:hideMark/>
          </w:tcPr>
          <w:p w14:paraId="155DD626"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130-135</w:t>
            </w:r>
            <w:r w:rsidRPr="004030DB">
              <w:rPr>
                <w:rFonts w:ascii="Arial" w:eastAsia="Times New Roman" w:hAnsi="Arial" w:cs="Arial"/>
                <w:color w:val="D13438"/>
                <w:sz w:val="20"/>
                <w:szCs w:val="20"/>
                <w:lang w:val="en-GB" w:eastAsia="en-GB"/>
              </w:rPr>
              <w:t> </w:t>
            </w:r>
          </w:p>
        </w:tc>
        <w:tc>
          <w:tcPr>
            <w:tcW w:w="860" w:type="dxa"/>
            <w:tcBorders>
              <w:top w:val="single" w:sz="6" w:space="0" w:color="auto"/>
              <w:left w:val="single" w:sz="6" w:space="0" w:color="auto"/>
              <w:bottom w:val="single" w:sz="6" w:space="0" w:color="auto"/>
              <w:right w:val="single" w:sz="6" w:space="0" w:color="auto"/>
            </w:tcBorders>
            <w:hideMark/>
          </w:tcPr>
          <w:p w14:paraId="4BED3B7B"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w:t>
            </w:r>
            <w:r w:rsidRPr="004030DB">
              <w:rPr>
                <w:rFonts w:ascii="Arial" w:eastAsia="Times New Roman" w:hAnsi="Arial" w:cs="Arial"/>
                <w:color w:val="D13438"/>
                <w:sz w:val="20"/>
                <w:szCs w:val="20"/>
                <w:lang w:val="en-GB" w:eastAsia="en-GB"/>
              </w:rPr>
              <w:t> </w:t>
            </w:r>
          </w:p>
        </w:tc>
        <w:tc>
          <w:tcPr>
            <w:tcW w:w="838" w:type="dxa"/>
            <w:tcBorders>
              <w:top w:val="single" w:sz="6" w:space="0" w:color="auto"/>
              <w:left w:val="single" w:sz="6" w:space="0" w:color="auto"/>
              <w:bottom w:val="single" w:sz="6" w:space="0" w:color="auto"/>
              <w:right w:val="single" w:sz="6" w:space="0" w:color="auto"/>
            </w:tcBorders>
            <w:hideMark/>
          </w:tcPr>
          <w:p w14:paraId="670FC90E"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175-180</w:t>
            </w:r>
            <w:r w:rsidRPr="004030DB">
              <w:rPr>
                <w:rFonts w:ascii="Arial" w:eastAsia="Times New Roman" w:hAnsi="Arial" w:cs="Arial"/>
                <w:color w:val="D13438"/>
                <w:sz w:val="20"/>
                <w:szCs w:val="20"/>
                <w:lang w:val="en-GB" w:eastAsia="en-GB"/>
              </w:rPr>
              <w:t> </w:t>
            </w:r>
          </w:p>
        </w:tc>
        <w:tc>
          <w:tcPr>
            <w:tcW w:w="938" w:type="dxa"/>
            <w:tcBorders>
              <w:top w:val="single" w:sz="6" w:space="0" w:color="auto"/>
              <w:left w:val="single" w:sz="6" w:space="0" w:color="auto"/>
              <w:bottom w:val="single" w:sz="6" w:space="0" w:color="auto"/>
              <w:right w:val="single" w:sz="6" w:space="0" w:color="auto"/>
            </w:tcBorders>
            <w:hideMark/>
          </w:tcPr>
          <w:p w14:paraId="63A10316"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310-315</w:t>
            </w:r>
            <w:r w:rsidRPr="004030DB">
              <w:rPr>
                <w:rFonts w:ascii="Arial" w:eastAsia="Times New Roman" w:hAnsi="Arial" w:cs="Arial"/>
                <w:color w:val="D13438"/>
                <w:sz w:val="20"/>
                <w:szCs w:val="20"/>
                <w:lang w:val="en-GB" w:eastAsia="en-GB"/>
              </w:rPr>
              <w:t> </w:t>
            </w:r>
          </w:p>
        </w:tc>
      </w:tr>
      <w:tr w:rsidR="004E2D2F" w:rsidRPr="004030DB" w14:paraId="5E5240F9" w14:textId="77777777" w:rsidTr="004E2D2F">
        <w:trPr>
          <w:trHeight w:val="300"/>
          <w:jc w:val="center"/>
        </w:trPr>
        <w:tc>
          <w:tcPr>
            <w:tcW w:w="1410" w:type="dxa"/>
            <w:tcBorders>
              <w:top w:val="single" w:sz="6" w:space="0" w:color="auto"/>
              <w:left w:val="single" w:sz="6" w:space="0" w:color="auto"/>
              <w:bottom w:val="single" w:sz="6" w:space="0" w:color="auto"/>
              <w:right w:val="single" w:sz="6" w:space="0" w:color="auto"/>
            </w:tcBorders>
            <w:hideMark/>
          </w:tcPr>
          <w:p w14:paraId="300FD0AA" w14:textId="77777777" w:rsidR="004E2D2F" w:rsidRPr="004030DB" w:rsidRDefault="004E2D2F" w:rsidP="004E2D2F">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A Davies</w:t>
            </w:r>
            <w:r w:rsidRPr="004030DB">
              <w:rPr>
                <w:rFonts w:ascii="Arial" w:eastAsia="Times New Roman" w:hAnsi="Arial" w:cs="Arial"/>
                <w:color w:val="D13438"/>
                <w:sz w:val="20"/>
                <w:szCs w:val="20"/>
                <w:lang w:val="en-GB" w:eastAsia="en-GB"/>
              </w:rPr>
              <w:t> </w:t>
            </w:r>
          </w:p>
        </w:tc>
        <w:tc>
          <w:tcPr>
            <w:tcW w:w="1735" w:type="dxa"/>
            <w:tcBorders>
              <w:top w:val="single" w:sz="6" w:space="0" w:color="auto"/>
              <w:left w:val="single" w:sz="6" w:space="0" w:color="auto"/>
              <w:bottom w:val="single" w:sz="6" w:space="0" w:color="auto"/>
              <w:right w:val="single" w:sz="6" w:space="0" w:color="auto"/>
            </w:tcBorders>
            <w:hideMark/>
          </w:tcPr>
          <w:p w14:paraId="69C4E970" w14:textId="77777777" w:rsidR="004E2D2F" w:rsidRPr="004030DB" w:rsidRDefault="004E2D2F" w:rsidP="004E2D2F">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Chief Financial Officer</w:t>
            </w:r>
            <w:r w:rsidRPr="004030DB">
              <w:rPr>
                <w:rFonts w:ascii="Arial" w:eastAsia="Times New Roman" w:hAnsi="Arial" w:cs="Arial"/>
                <w:color w:val="D13438"/>
                <w:sz w:val="20"/>
                <w:szCs w:val="20"/>
                <w:lang w:val="en-GB" w:eastAsia="en-GB"/>
              </w:rPr>
              <w:t> </w:t>
            </w:r>
          </w:p>
        </w:tc>
        <w:tc>
          <w:tcPr>
            <w:tcW w:w="850" w:type="dxa"/>
            <w:tcBorders>
              <w:top w:val="single" w:sz="6" w:space="0" w:color="auto"/>
              <w:left w:val="single" w:sz="6" w:space="0" w:color="auto"/>
              <w:bottom w:val="single" w:sz="6" w:space="0" w:color="auto"/>
              <w:right w:val="single" w:sz="6" w:space="0" w:color="auto"/>
            </w:tcBorders>
            <w:hideMark/>
          </w:tcPr>
          <w:p w14:paraId="423C6C2B" w14:textId="77777777" w:rsidR="004E2D2F" w:rsidRPr="004030DB" w:rsidRDefault="004E2D2F" w:rsidP="004E2D2F">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01/04/24 - 31/12/24</w:t>
            </w:r>
            <w:r w:rsidRPr="004030DB">
              <w:rPr>
                <w:rFonts w:ascii="Arial" w:eastAsia="Times New Roman" w:hAnsi="Arial" w:cs="Arial"/>
                <w:color w:val="D13438"/>
                <w:sz w:val="20"/>
                <w:szCs w:val="20"/>
                <w:lang w:val="en-GB" w:eastAsia="en-GB"/>
              </w:rPr>
              <w:t> </w:t>
            </w:r>
          </w:p>
        </w:tc>
        <w:tc>
          <w:tcPr>
            <w:tcW w:w="749" w:type="dxa"/>
            <w:tcBorders>
              <w:top w:val="single" w:sz="6" w:space="0" w:color="auto"/>
              <w:left w:val="single" w:sz="6" w:space="0" w:color="auto"/>
              <w:bottom w:val="single" w:sz="6" w:space="0" w:color="auto"/>
              <w:right w:val="single" w:sz="6" w:space="0" w:color="auto"/>
            </w:tcBorders>
            <w:hideMark/>
          </w:tcPr>
          <w:p w14:paraId="230E787A"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110-115</w:t>
            </w:r>
            <w:r w:rsidRPr="004030DB">
              <w:rPr>
                <w:rFonts w:ascii="Arial" w:eastAsia="Times New Roman" w:hAnsi="Arial" w:cs="Arial"/>
                <w:color w:val="D13438"/>
                <w:sz w:val="20"/>
                <w:szCs w:val="20"/>
                <w:lang w:val="en-GB" w:eastAsia="en-GB"/>
              </w:rPr>
              <w:t> </w:t>
            </w:r>
          </w:p>
        </w:tc>
        <w:tc>
          <w:tcPr>
            <w:tcW w:w="860" w:type="dxa"/>
            <w:tcBorders>
              <w:top w:val="single" w:sz="6" w:space="0" w:color="auto"/>
              <w:left w:val="single" w:sz="6" w:space="0" w:color="auto"/>
              <w:bottom w:val="single" w:sz="6" w:space="0" w:color="auto"/>
              <w:right w:val="single" w:sz="6" w:space="0" w:color="auto"/>
            </w:tcBorders>
            <w:hideMark/>
          </w:tcPr>
          <w:p w14:paraId="7D30A567"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w:t>
            </w:r>
            <w:r w:rsidRPr="004030DB">
              <w:rPr>
                <w:rFonts w:ascii="Arial" w:eastAsia="Times New Roman" w:hAnsi="Arial" w:cs="Arial"/>
                <w:color w:val="D13438"/>
                <w:sz w:val="20"/>
                <w:szCs w:val="20"/>
                <w:lang w:val="en-GB" w:eastAsia="en-GB"/>
              </w:rPr>
              <w:t> </w:t>
            </w:r>
          </w:p>
        </w:tc>
        <w:tc>
          <w:tcPr>
            <w:tcW w:w="838" w:type="dxa"/>
            <w:tcBorders>
              <w:top w:val="single" w:sz="6" w:space="0" w:color="auto"/>
              <w:left w:val="single" w:sz="6" w:space="0" w:color="auto"/>
              <w:bottom w:val="single" w:sz="6" w:space="0" w:color="auto"/>
              <w:right w:val="single" w:sz="6" w:space="0" w:color="auto"/>
            </w:tcBorders>
            <w:hideMark/>
          </w:tcPr>
          <w:p w14:paraId="4E464C64"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w:t>
            </w:r>
            <w:r w:rsidRPr="004030DB">
              <w:rPr>
                <w:rFonts w:ascii="Arial" w:eastAsia="Times New Roman" w:hAnsi="Arial" w:cs="Arial"/>
                <w:color w:val="D13438"/>
                <w:sz w:val="20"/>
                <w:szCs w:val="20"/>
                <w:lang w:val="en-GB" w:eastAsia="en-GB"/>
              </w:rPr>
              <w:t> </w:t>
            </w:r>
          </w:p>
        </w:tc>
        <w:tc>
          <w:tcPr>
            <w:tcW w:w="938" w:type="dxa"/>
            <w:tcBorders>
              <w:top w:val="single" w:sz="6" w:space="0" w:color="auto"/>
              <w:left w:val="single" w:sz="6" w:space="0" w:color="auto"/>
              <w:bottom w:val="single" w:sz="6" w:space="0" w:color="auto"/>
              <w:right w:val="single" w:sz="6" w:space="0" w:color="auto"/>
            </w:tcBorders>
            <w:hideMark/>
          </w:tcPr>
          <w:p w14:paraId="79ED686C"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110-115</w:t>
            </w:r>
            <w:r w:rsidRPr="004030DB">
              <w:rPr>
                <w:rFonts w:ascii="Arial" w:eastAsia="Times New Roman" w:hAnsi="Arial" w:cs="Arial"/>
                <w:color w:val="D13438"/>
                <w:sz w:val="20"/>
                <w:szCs w:val="20"/>
                <w:lang w:val="en-GB" w:eastAsia="en-GB"/>
              </w:rPr>
              <w:t> </w:t>
            </w:r>
          </w:p>
        </w:tc>
        <w:tc>
          <w:tcPr>
            <w:tcW w:w="749" w:type="dxa"/>
            <w:tcBorders>
              <w:top w:val="single" w:sz="6" w:space="0" w:color="auto"/>
              <w:left w:val="single" w:sz="6" w:space="0" w:color="auto"/>
              <w:bottom w:val="single" w:sz="6" w:space="0" w:color="auto"/>
              <w:right w:val="single" w:sz="6" w:space="0" w:color="auto"/>
            </w:tcBorders>
            <w:hideMark/>
          </w:tcPr>
          <w:p w14:paraId="23CBFE1B"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145-150</w:t>
            </w:r>
            <w:r w:rsidRPr="004030DB">
              <w:rPr>
                <w:rFonts w:ascii="Arial" w:eastAsia="Times New Roman" w:hAnsi="Arial" w:cs="Arial"/>
                <w:color w:val="D13438"/>
                <w:sz w:val="20"/>
                <w:szCs w:val="20"/>
                <w:lang w:val="en-GB" w:eastAsia="en-GB"/>
              </w:rPr>
              <w:t> </w:t>
            </w:r>
          </w:p>
        </w:tc>
        <w:tc>
          <w:tcPr>
            <w:tcW w:w="860" w:type="dxa"/>
            <w:tcBorders>
              <w:top w:val="single" w:sz="6" w:space="0" w:color="auto"/>
              <w:left w:val="single" w:sz="6" w:space="0" w:color="auto"/>
              <w:bottom w:val="single" w:sz="6" w:space="0" w:color="auto"/>
              <w:right w:val="single" w:sz="6" w:space="0" w:color="auto"/>
            </w:tcBorders>
            <w:hideMark/>
          </w:tcPr>
          <w:p w14:paraId="63E029D9"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w:t>
            </w:r>
            <w:r w:rsidRPr="004030DB">
              <w:rPr>
                <w:rFonts w:ascii="Arial" w:eastAsia="Times New Roman" w:hAnsi="Arial" w:cs="Arial"/>
                <w:color w:val="D13438"/>
                <w:sz w:val="20"/>
                <w:szCs w:val="20"/>
                <w:lang w:val="en-GB" w:eastAsia="en-GB"/>
              </w:rPr>
              <w:t> </w:t>
            </w:r>
          </w:p>
        </w:tc>
        <w:tc>
          <w:tcPr>
            <w:tcW w:w="838" w:type="dxa"/>
            <w:tcBorders>
              <w:top w:val="single" w:sz="6" w:space="0" w:color="auto"/>
              <w:left w:val="single" w:sz="6" w:space="0" w:color="auto"/>
              <w:bottom w:val="single" w:sz="6" w:space="0" w:color="auto"/>
              <w:right w:val="single" w:sz="6" w:space="0" w:color="auto"/>
            </w:tcBorders>
            <w:hideMark/>
          </w:tcPr>
          <w:p w14:paraId="29B25415"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w:t>
            </w:r>
            <w:r w:rsidRPr="004030DB">
              <w:rPr>
                <w:rFonts w:ascii="Arial" w:eastAsia="Times New Roman" w:hAnsi="Arial" w:cs="Arial"/>
                <w:color w:val="D13438"/>
                <w:sz w:val="20"/>
                <w:szCs w:val="20"/>
                <w:lang w:val="en-GB" w:eastAsia="en-GB"/>
              </w:rPr>
              <w:t> </w:t>
            </w:r>
          </w:p>
        </w:tc>
        <w:tc>
          <w:tcPr>
            <w:tcW w:w="938" w:type="dxa"/>
            <w:tcBorders>
              <w:top w:val="single" w:sz="6" w:space="0" w:color="auto"/>
              <w:left w:val="single" w:sz="6" w:space="0" w:color="auto"/>
              <w:bottom w:val="single" w:sz="6" w:space="0" w:color="auto"/>
              <w:right w:val="single" w:sz="6" w:space="0" w:color="auto"/>
            </w:tcBorders>
            <w:hideMark/>
          </w:tcPr>
          <w:p w14:paraId="395072D6"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145-150</w:t>
            </w:r>
            <w:r w:rsidRPr="004030DB">
              <w:rPr>
                <w:rFonts w:ascii="Arial" w:eastAsia="Times New Roman" w:hAnsi="Arial" w:cs="Arial"/>
                <w:color w:val="D13438"/>
                <w:sz w:val="20"/>
                <w:szCs w:val="20"/>
                <w:lang w:val="en-GB" w:eastAsia="en-GB"/>
              </w:rPr>
              <w:t> </w:t>
            </w:r>
          </w:p>
        </w:tc>
      </w:tr>
      <w:tr w:rsidR="004E2D2F" w:rsidRPr="004030DB" w14:paraId="1059FAFF" w14:textId="77777777" w:rsidTr="004E2D2F">
        <w:trPr>
          <w:trHeight w:val="300"/>
          <w:jc w:val="center"/>
        </w:trPr>
        <w:tc>
          <w:tcPr>
            <w:tcW w:w="1410" w:type="dxa"/>
            <w:tcBorders>
              <w:top w:val="single" w:sz="6" w:space="0" w:color="auto"/>
              <w:left w:val="single" w:sz="6" w:space="0" w:color="auto"/>
              <w:bottom w:val="single" w:sz="6" w:space="0" w:color="auto"/>
              <w:right w:val="single" w:sz="6" w:space="0" w:color="auto"/>
            </w:tcBorders>
            <w:hideMark/>
          </w:tcPr>
          <w:p w14:paraId="14938A5E" w14:textId="77777777" w:rsidR="004E2D2F" w:rsidRPr="004030DB" w:rsidRDefault="004E2D2F" w:rsidP="004E2D2F">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S Wombwell</w:t>
            </w:r>
            <w:r w:rsidRPr="004030DB">
              <w:rPr>
                <w:rFonts w:ascii="Arial" w:eastAsia="Times New Roman" w:hAnsi="Arial" w:cs="Arial"/>
                <w:color w:val="D13438"/>
                <w:sz w:val="20"/>
                <w:szCs w:val="20"/>
                <w:lang w:val="en-GB" w:eastAsia="en-GB"/>
              </w:rPr>
              <w:t> </w:t>
            </w:r>
          </w:p>
        </w:tc>
        <w:tc>
          <w:tcPr>
            <w:tcW w:w="1735" w:type="dxa"/>
            <w:tcBorders>
              <w:top w:val="single" w:sz="6" w:space="0" w:color="auto"/>
              <w:left w:val="single" w:sz="6" w:space="0" w:color="auto"/>
              <w:bottom w:val="single" w:sz="6" w:space="0" w:color="auto"/>
              <w:right w:val="single" w:sz="6" w:space="0" w:color="auto"/>
            </w:tcBorders>
            <w:hideMark/>
          </w:tcPr>
          <w:p w14:paraId="7B2FFFED" w14:textId="77777777" w:rsidR="004E2D2F" w:rsidRPr="004030DB" w:rsidRDefault="004E2D2F" w:rsidP="004E2D2F">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Chief Financial Officer</w:t>
            </w:r>
            <w:r w:rsidRPr="004030DB">
              <w:rPr>
                <w:rFonts w:ascii="Arial" w:eastAsia="Times New Roman" w:hAnsi="Arial" w:cs="Arial"/>
                <w:color w:val="D13438"/>
                <w:sz w:val="20"/>
                <w:szCs w:val="20"/>
                <w:lang w:val="en-GB" w:eastAsia="en-GB"/>
              </w:rPr>
              <w:t> </w:t>
            </w:r>
          </w:p>
        </w:tc>
        <w:tc>
          <w:tcPr>
            <w:tcW w:w="850" w:type="dxa"/>
            <w:tcBorders>
              <w:top w:val="single" w:sz="6" w:space="0" w:color="auto"/>
              <w:left w:val="single" w:sz="6" w:space="0" w:color="auto"/>
              <w:bottom w:val="single" w:sz="6" w:space="0" w:color="auto"/>
              <w:right w:val="single" w:sz="6" w:space="0" w:color="auto"/>
            </w:tcBorders>
            <w:hideMark/>
          </w:tcPr>
          <w:p w14:paraId="7B7A27BF" w14:textId="77777777" w:rsidR="004E2D2F" w:rsidRPr="004030DB" w:rsidRDefault="004E2D2F" w:rsidP="004E2D2F">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01/01/25 - 31/03/25</w:t>
            </w:r>
            <w:r w:rsidRPr="004030DB">
              <w:rPr>
                <w:rFonts w:ascii="Arial" w:eastAsia="Times New Roman" w:hAnsi="Arial" w:cs="Arial"/>
                <w:color w:val="D13438"/>
                <w:sz w:val="20"/>
                <w:szCs w:val="20"/>
                <w:lang w:val="en-GB" w:eastAsia="en-GB"/>
              </w:rPr>
              <w:t> </w:t>
            </w:r>
          </w:p>
        </w:tc>
        <w:tc>
          <w:tcPr>
            <w:tcW w:w="749" w:type="dxa"/>
            <w:tcBorders>
              <w:top w:val="single" w:sz="6" w:space="0" w:color="auto"/>
              <w:left w:val="single" w:sz="6" w:space="0" w:color="auto"/>
              <w:bottom w:val="single" w:sz="6" w:space="0" w:color="auto"/>
              <w:right w:val="single" w:sz="6" w:space="0" w:color="auto"/>
            </w:tcBorders>
            <w:hideMark/>
          </w:tcPr>
          <w:p w14:paraId="1853C5F2"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55-60</w:t>
            </w:r>
            <w:r w:rsidRPr="004030DB">
              <w:rPr>
                <w:rFonts w:ascii="Arial" w:eastAsia="Times New Roman" w:hAnsi="Arial" w:cs="Arial"/>
                <w:color w:val="D13438"/>
                <w:sz w:val="20"/>
                <w:szCs w:val="20"/>
                <w:lang w:val="en-GB" w:eastAsia="en-GB"/>
              </w:rPr>
              <w:t> </w:t>
            </w:r>
          </w:p>
        </w:tc>
        <w:tc>
          <w:tcPr>
            <w:tcW w:w="860" w:type="dxa"/>
            <w:tcBorders>
              <w:top w:val="single" w:sz="6" w:space="0" w:color="auto"/>
              <w:left w:val="single" w:sz="6" w:space="0" w:color="auto"/>
              <w:bottom w:val="single" w:sz="6" w:space="0" w:color="auto"/>
              <w:right w:val="single" w:sz="6" w:space="0" w:color="auto"/>
            </w:tcBorders>
            <w:hideMark/>
          </w:tcPr>
          <w:p w14:paraId="60DD9C9E"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w:t>
            </w:r>
            <w:r w:rsidRPr="004030DB">
              <w:rPr>
                <w:rFonts w:ascii="Arial" w:eastAsia="Times New Roman" w:hAnsi="Arial" w:cs="Arial"/>
                <w:color w:val="D13438"/>
                <w:sz w:val="20"/>
                <w:szCs w:val="20"/>
                <w:lang w:val="en-GB" w:eastAsia="en-GB"/>
              </w:rPr>
              <w:t> </w:t>
            </w:r>
          </w:p>
        </w:tc>
        <w:tc>
          <w:tcPr>
            <w:tcW w:w="838" w:type="dxa"/>
            <w:tcBorders>
              <w:top w:val="single" w:sz="6" w:space="0" w:color="auto"/>
              <w:left w:val="single" w:sz="6" w:space="0" w:color="auto"/>
              <w:bottom w:val="single" w:sz="6" w:space="0" w:color="auto"/>
              <w:right w:val="single" w:sz="6" w:space="0" w:color="auto"/>
            </w:tcBorders>
            <w:hideMark/>
          </w:tcPr>
          <w:p w14:paraId="30CE5315"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0-2.5</w:t>
            </w:r>
            <w:r w:rsidRPr="004030DB">
              <w:rPr>
                <w:rFonts w:ascii="Arial" w:eastAsia="Times New Roman" w:hAnsi="Arial" w:cs="Arial"/>
                <w:color w:val="D13438"/>
                <w:sz w:val="20"/>
                <w:szCs w:val="20"/>
                <w:lang w:val="en-GB" w:eastAsia="en-GB"/>
              </w:rPr>
              <w:t> </w:t>
            </w:r>
          </w:p>
        </w:tc>
        <w:tc>
          <w:tcPr>
            <w:tcW w:w="938" w:type="dxa"/>
            <w:tcBorders>
              <w:top w:val="single" w:sz="6" w:space="0" w:color="auto"/>
              <w:left w:val="single" w:sz="6" w:space="0" w:color="auto"/>
              <w:bottom w:val="single" w:sz="6" w:space="0" w:color="auto"/>
              <w:right w:val="single" w:sz="6" w:space="0" w:color="auto"/>
            </w:tcBorders>
            <w:hideMark/>
          </w:tcPr>
          <w:p w14:paraId="765625DE"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55-60</w:t>
            </w:r>
            <w:r w:rsidRPr="004030DB">
              <w:rPr>
                <w:rFonts w:ascii="Arial" w:eastAsia="Times New Roman" w:hAnsi="Arial" w:cs="Arial"/>
                <w:color w:val="D13438"/>
                <w:sz w:val="20"/>
                <w:szCs w:val="20"/>
                <w:lang w:val="en-GB" w:eastAsia="en-GB"/>
              </w:rPr>
              <w:t> </w:t>
            </w:r>
          </w:p>
        </w:tc>
        <w:tc>
          <w:tcPr>
            <w:tcW w:w="749" w:type="dxa"/>
            <w:tcBorders>
              <w:top w:val="single" w:sz="6" w:space="0" w:color="auto"/>
              <w:left w:val="single" w:sz="6" w:space="0" w:color="auto"/>
              <w:bottom w:val="single" w:sz="6" w:space="0" w:color="auto"/>
              <w:right w:val="single" w:sz="6" w:space="0" w:color="auto"/>
            </w:tcBorders>
            <w:hideMark/>
          </w:tcPr>
          <w:p w14:paraId="61F79C4C"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w:t>
            </w:r>
            <w:r w:rsidRPr="004030DB">
              <w:rPr>
                <w:rFonts w:ascii="Arial" w:eastAsia="Times New Roman" w:hAnsi="Arial" w:cs="Arial"/>
                <w:color w:val="D13438"/>
                <w:sz w:val="20"/>
                <w:szCs w:val="20"/>
                <w:lang w:val="en-GB" w:eastAsia="en-GB"/>
              </w:rPr>
              <w:t> </w:t>
            </w:r>
          </w:p>
        </w:tc>
        <w:tc>
          <w:tcPr>
            <w:tcW w:w="860" w:type="dxa"/>
            <w:tcBorders>
              <w:top w:val="single" w:sz="6" w:space="0" w:color="auto"/>
              <w:left w:val="single" w:sz="6" w:space="0" w:color="auto"/>
              <w:bottom w:val="single" w:sz="6" w:space="0" w:color="auto"/>
              <w:right w:val="single" w:sz="6" w:space="0" w:color="auto"/>
            </w:tcBorders>
            <w:hideMark/>
          </w:tcPr>
          <w:p w14:paraId="73340A1D"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w:t>
            </w:r>
            <w:r w:rsidRPr="004030DB">
              <w:rPr>
                <w:rFonts w:ascii="Arial" w:eastAsia="Times New Roman" w:hAnsi="Arial" w:cs="Arial"/>
                <w:color w:val="D13438"/>
                <w:sz w:val="20"/>
                <w:szCs w:val="20"/>
                <w:lang w:val="en-GB" w:eastAsia="en-GB"/>
              </w:rPr>
              <w:t> </w:t>
            </w:r>
          </w:p>
        </w:tc>
        <w:tc>
          <w:tcPr>
            <w:tcW w:w="838" w:type="dxa"/>
            <w:tcBorders>
              <w:top w:val="single" w:sz="6" w:space="0" w:color="auto"/>
              <w:left w:val="single" w:sz="6" w:space="0" w:color="auto"/>
              <w:bottom w:val="single" w:sz="6" w:space="0" w:color="auto"/>
              <w:right w:val="single" w:sz="6" w:space="0" w:color="auto"/>
            </w:tcBorders>
            <w:hideMark/>
          </w:tcPr>
          <w:p w14:paraId="2E74FA11"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w:t>
            </w:r>
            <w:r w:rsidRPr="004030DB">
              <w:rPr>
                <w:rFonts w:ascii="Arial" w:eastAsia="Times New Roman" w:hAnsi="Arial" w:cs="Arial"/>
                <w:color w:val="D13438"/>
                <w:sz w:val="20"/>
                <w:szCs w:val="20"/>
                <w:lang w:val="en-GB" w:eastAsia="en-GB"/>
              </w:rPr>
              <w:t> </w:t>
            </w:r>
          </w:p>
        </w:tc>
        <w:tc>
          <w:tcPr>
            <w:tcW w:w="938" w:type="dxa"/>
            <w:tcBorders>
              <w:top w:val="single" w:sz="6" w:space="0" w:color="auto"/>
              <w:left w:val="single" w:sz="6" w:space="0" w:color="auto"/>
              <w:bottom w:val="single" w:sz="6" w:space="0" w:color="auto"/>
              <w:right w:val="single" w:sz="6" w:space="0" w:color="auto"/>
            </w:tcBorders>
            <w:hideMark/>
          </w:tcPr>
          <w:p w14:paraId="58AA17A5"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w:t>
            </w:r>
            <w:r w:rsidRPr="004030DB">
              <w:rPr>
                <w:rFonts w:ascii="Arial" w:eastAsia="Times New Roman" w:hAnsi="Arial" w:cs="Arial"/>
                <w:color w:val="D13438"/>
                <w:sz w:val="20"/>
                <w:szCs w:val="20"/>
                <w:lang w:val="en-GB" w:eastAsia="en-GB"/>
              </w:rPr>
              <w:t> </w:t>
            </w:r>
          </w:p>
        </w:tc>
      </w:tr>
    </w:tbl>
    <w:p w14:paraId="66FECB3F" w14:textId="77777777" w:rsidR="005864BF" w:rsidRPr="004030DB" w:rsidRDefault="005864BF" w:rsidP="002F7D8F">
      <w:pPr>
        <w:rPr>
          <w:rFonts w:ascii="Arial" w:hAnsi="Arial" w:cs="Arial"/>
          <w:sz w:val="20"/>
          <w:szCs w:val="20"/>
          <w:highlight w:val="yellow"/>
          <w:lang w:val="en-GB"/>
        </w:rPr>
      </w:pPr>
    </w:p>
    <w:p w14:paraId="57C81C15" w14:textId="77777777" w:rsidR="004E2D2F" w:rsidRPr="004030DB" w:rsidRDefault="004E2D2F" w:rsidP="004E2D2F">
      <w:pPr>
        <w:widowControl/>
        <w:jc w:val="both"/>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For 2024/25, there were no annual or long-term performance-related bonuses.  Taxable benefit amounts are all in relation to reimbursement of travel and expenses whilst undertaking Trust duties</w:t>
      </w:r>
      <w:r w:rsidRPr="004030DB">
        <w:rPr>
          <w:rFonts w:ascii="Arial" w:eastAsia="Times New Roman" w:hAnsi="Arial" w:cs="Arial"/>
          <w:color w:val="D13438"/>
          <w:sz w:val="20"/>
          <w:szCs w:val="20"/>
          <w:lang w:val="en-GB" w:eastAsia="en-GB"/>
        </w:rPr>
        <w:t> </w:t>
      </w:r>
    </w:p>
    <w:p w14:paraId="32EA368F" w14:textId="77777777" w:rsidR="004E2D2F" w:rsidRPr="004030DB" w:rsidRDefault="004E2D2F" w:rsidP="004E2D2F">
      <w:pPr>
        <w:widowControl/>
        <w:jc w:val="both"/>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Taxable benefit amounts are all in relation to reimbursement of travel and expenses whilst undertaking Trust duties.</w:t>
      </w:r>
      <w:r w:rsidRPr="004030DB">
        <w:rPr>
          <w:rFonts w:ascii="Arial" w:eastAsia="Times New Roman" w:hAnsi="Arial" w:cs="Arial"/>
          <w:color w:val="D13438"/>
          <w:sz w:val="20"/>
          <w:szCs w:val="20"/>
          <w:lang w:val="en-GB" w:eastAsia="en-GB"/>
        </w:rPr>
        <w:t> </w:t>
      </w:r>
    </w:p>
    <w:p w14:paraId="5E3BD920" w14:textId="77777777" w:rsidR="004E2D2F" w:rsidRPr="004030DB" w:rsidRDefault="004E2D2F" w:rsidP="004E2D2F">
      <w:pPr>
        <w:widowControl/>
        <w:jc w:val="both"/>
        <w:textAlignment w:val="baseline"/>
        <w:rPr>
          <w:rFonts w:ascii="Arial" w:eastAsia="Times New Roman" w:hAnsi="Arial" w:cs="Arial"/>
          <w:sz w:val="20"/>
          <w:szCs w:val="20"/>
          <w:lang w:val="en-GB" w:eastAsia="en-GB"/>
        </w:rPr>
      </w:pPr>
      <w:r w:rsidRPr="004030DB">
        <w:rPr>
          <w:rFonts w:ascii="Arial" w:eastAsia="Times New Roman" w:hAnsi="Arial" w:cs="Arial"/>
          <w:color w:val="D13438"/>
          <w:sz w:val="20"/>
          <w:szCs w:val="20"/>
          <w:lang w:val="en-GB" w:eastAsia="en-GB"/>
        </w:rPr>
        <w:t> </w:t>
      </w:r>
    </w:p>
    <w:p w14:paraId="39057DE9" w14:textId="77777777" w:rsidR="004E2D2F" w:rsidRPr="004030DB" w:rsidRDefault="004E2D2F" w:rsidP="004E2D2F">
      <w:pPr>
        <w:widowControl/>
        <w:jc w:val="both"/>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val="en-GB" w:eastAsia="en-GB"/>
        </w:rPr>
        <w:t>Total Pension Entitlement </w:t>
      </w:r>
      <w:r w:rsidRPr="004030DB">
        <w:rPr>
          <w:rFonts w:ascii="Arial" w:eastAsia="Times New Roman" w:hAnsi="Arial" w:cs="Arial"/>
          <w:color w:val="D13438"/>
          <w:sz w:val="20"/>
          <w:szCs w:val="20"/>
          <w:lang w:val="en-GB" w:eastAsia="en-GB"/>
        </w:rPr>
        <w:t> </w:t>
      </w:r>
    </w:p>
    <w:p w14:paraId="22BC32F5" w14:textId="77777777" w:rsidR="004E2D2F" w:rsidRPr="004030DB" w:rsidRDefault="004E2D2F" w:rsidP="004E2D2F">
      <w:pPr>
        <w:widowControl/>
        <w:jc w:val="both"/>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The table below excludes director who are paid via off-payroll arrangements, on another organisation’s payroll and those who have drawn their pension.  These figures have been audited.</w:t>
      </w:r>
      <w:r w:rsidRPr="004030DB">
        <w:rPr>
          <w:rFonts w:ascii="Arial" w:eastAsia="Times New Roman" w:hAnsi="Arial" w:cs="Arial"/>
          <w:color w:val="D13438"/>
          <w:sz w:val="20"/>
          <w:szCs w:val="20"/>
          <w:lang w:val="en-GB" w:eastAsia="en-GB"/>
        </w:rPr>
        <w:t> </w:t>
      </w:r>
    </w:p>
    <w:p w14:paraId="28FB9648" w14:textId="77777777" w:rsidR="004E2D2F" w:rsidRPr="004030DB" w:rsidRDefault="004E2D2F" w:rsidP="004E2D2F">
      <w:pPr>
        <w:widowControl/>
        <w:jc w:val="both"/>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 </w:t>
      </w:r>
    </w:p>
    <w:tbl>
      <w:tblPr>
        <w:tblW w:w="10915" w:type="dxa"/>
        <w:tblInd w:w="-71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60"/>
        <w:gridCol w:w="1673"/>
        <w:gridCol w:w="967"/>
        <w:gridCol w:w="935"/>
        <w:gridCol w:w="920"/>
        <w:gridCol w:w="1317"/>
        <w:gridCol w:w="1134"/>
        <w:gridCol w:w="1134"/>
        <w:gridCol w:w="1275"/>
      </w:tblGrid>
      <w:tr w:rsidR="004E2D2F" w:rsidRPr="004030DB" w14:paraId="4559DDD3" w14:textId="77777777" w:rsidTr="004E2D2F">
        <w:trPr>
          <w:trHeight w:val="300"/>
        </w:trPr>
        <w:tc>
          <w:tcPr>
            <w:tcW w:w="10915" w:type="dxa"/>
            <w:gridSpan w:val="9"/>
            <w:tcBorders>
              <w:top w:val="single" w:sz="6" w:space="0" w:color="auto"/>
              <w:left w:val="single" w:sz="6" w:space="0" w:color="auto"/>
              <w:bottom w:val="single" w:sz="6" w:space="0" w:color="auto"/>
              <w:right w:val="single" w:sz="6" w:space="0" w:color="auto"/>
            </w:tcBorders>
            <w:hideMark/>
          </w:tcPr>
          <w:p w14:paraId="56C10140" w14:textId="77777777" w:rsidR="004E2D2F" w:rsidRPr="004030DB" w:rsidRDefault="004E2D2F" w:rsidP="004E2D2F">
            <w:pPr>
              <w:widowControl/>
              <w:textAlignment w:val="baseline"/>
              <w:rPr>
                <w:rFonts w:ascii="Segoe UI" w:eastAsia="Times New Roman" w:hAnsi="Segoe UI" w:cs="Segoe UI"/>
                <w:sz w:val="20"/>
                <w:szCs w:val="20"/>
                <w:lang w:val="en-GB" w:eastAsia="en-GB"/>
              </w:rPr>
            </w:pPr>
            <w:r w:rsidRPr="004030DB">
              <w:rPr>
                <w:rFonts w:ascii="Arial" w:eastAsia="Times New Roman" w:hAnsi="Arial" w:cs="Arial"/>
                <w:b/>
                <w:bCs/>
                <w:sz w:val="20"/>
                <w:szCs w:val="20"/>
                <w:lang w:val="en-GB" w:eastAsia="en-GB"/>
              </w:rPr>
              <w:t>Salaries and Pension Entitlements of Senior Managers</w:t>
            </w:r>
            <w:r w:rsidRPr="004030DB">
              <w:rPr>
                <w:rFonts w:ascii="Arial" w:eastAsia="Times New Roman" w:hAnsi="Arial" w:cs="Arial"/>
                <w:color w:val="D13438"/>
                <w:sz w:val="20"/>
                <w:szCs w:val="20"/>
                <w:lang w:val="en-GB" w:eastAsia="en-GB"/>
              </w:rPr>
              <w:t> </w:t>
            </w:r>
          </w:p>
        </w:tc>
      </w:tr>
      <w:tr w:rsidR="004E2D2F" w:rsidRPr="004030DB" w14:paraId="426A34F9" w14:textId="77777777" w:rsidTr="004E2D2F">
        <w:trPr>
          <w:trHeight w:val="300"/>
        </w:trPr>
        <w:tc>
          <w:tcPr>
            <w:tcW w:w="10915" w:type="dxa"/>
            <w:gridSpan w:val="9"/>
            <w:tcBorders>
              <w:top w:val="single" w:sz="6" w:space="0" w:color="auto"/>
              <w:left w:val="single" w:sz="6" w:space="0" w:color="auto"/>
              <w:bottom w:val="single" w:sz="6" w:space="0" w:color="auto"/>
              <w:right w:val="single" w:sz="6" w:space="0" w:color="auto"/>
            </w:tcBorders>
            <w:hideMark/>
          </w:tcPr>
          <w:p w14:paraId="239FBEDF" w14:textId="77777777" w:rsidR="004E2D2F" w:rsidRPr="004030DB" w:rsidRDefault="004E2D2F" w:rsidP="004E2D2F">
            <w:pPr>
              <w:widowControl/>
              <w:textAlignment w:val="baseline"/>
              <w:rPr>
                <w:rFonts w:ascii="Segoe UI" w:eastAsia="Times New Roman" w:hAnsi="Segoe UI" w:cs="Segoe UI"/>
                <w:sz w:val="20"/>
                <w:szCs w:val="20"/>
                <w:lang w:val="en-GB" w:eastAsia="en-GB"/>
              </w:rPr>
            </w:pPr>
            <w:r w:rsidRPr="004030DB">
              <w:rPr>
                <w:rFonts w:ascii="Arial" w:eastAsia="Times New Roman" w:hAnsi="Arial" w:cs="Arial"/>
                <w:b/>
                <w:bCs/>
                <w:sz w:val="20"/>
                <w:szCs w:val="20"/>
                <w:lang w:val="en-GB" w:eastAsia="en-GB"/>
              </w:rPr>
              <w:t>Salaries and Allowances </w:t>
            </w:r>
            <w:r w:rsidRPr="004030DB">
              <w:rPr>
                <w:rFonts w:ascii="Arial" w:eastAsia="Times New Roman" w:hAnsi="Arial" w:cs="Arial"/>
                <w:color w:val="D13438"/>
                <w:sz w:val="20"/>
                <w:szCs w:val="20"/>
                <w:lang w:val="en-GB" w:eastAsia="en-GB"/>
              </w:rPr>
              <w:t> </w:t>
            </w:r>
          </w:p>
        </w:tc>
      </w:tr>
      <w:tr w:rsidR="004E2D2F" w:rsidRPr="004030DB" w14:paraId="46E17BF7" w14:textId="77777777" w:rsidTr="004E2D2F">
        <w:trPr>
          <w:trHeight w:val="300"/>
        </w:trPr>
        <w:tc>
          <w:tcPr>
            <w:tcW w:w="10915" w:type="dxa"/>
            <w:gridSpan w:val="9"/>
            <w:tcBorders>
              <w:top w:val="single" w:sz="6" w:space="0" w:color="auto"/>
              <w:left w:val="single" w:sz="6" w:space="0" w:color="auto"/>
              <w:bottom w:val="single" w:sz="6" w:space="0" w:color="auto"/>
              <w:right w:val="single" w:sz="6" w:space="0" w:color="auto"/>
            </w:tcBorders>
            <w:hideMark/>
          </w:tcPr>
          <w:p w14:paraId="7F7F04A0" w14:textId="77777777" w:rsidR="004E2D2F" w:rsidRPr="004030DB" w:rsidRDefault="004E2D2F" w:rsidP="004E2D2F">
            <w:pPr>
              <w:widowControl/>
              <w:textAlignment w:val="baseline"/>
              <w:rPr>
                <w:rFonts w:ascii="Segoe UI" w:eastAsia="Times New Roman" w:hAnsi="Segoe UI" w:cs="Segoe UI"/>
                <w:sz w:val="20"/>
                <w:szCs w:val="20"/>
                <w:lang w:val="en-GB" w:eastAsia="en-GB"/>
              </w:rPr>
            </w:pPr>
            <w:r w:rsidRPr="004030DB">
              <w:rPr>
                <w:rFonts w:ascii="Arial" w:eastAsia="Times New Roman" w:hAnsi="Arial" w:cs="Arial"/>
                <w:b/>
                <w:bCs/>
                <w:sz w:val="20"/>
                <w:szCs w:val="20"/>
                <w:lang w:val="en-GB" w:eastAsia="en-GB"/>
              </w:rPr>
              <w:t>Pension Benefits </w:t>
            </w:r>
            <w:r w:rsidRPr="004030DB">
              <w:rPr>
                <w:rFonts w:ascii="Arial" w:eastAsia="Times New Roman" w:hAnsi="Arial" w:cs="Arial"/>
                <w:color w:val="D13438"/>
                <w:sz w:val="20"/>
                <w:szCs w:val="20"/>
                <w:lang w:val="en-GB" w:eastAsia="en-GB"/>
              </w:rPr>
              <w:t> </w:t>
            </w:r>
          </w:p>
        </w:tc>
      </w:tr>
      <w:tr w:rsidR="004E2D2F" w:rsidRPr="004030DB" w14:paraId="7C897208" w14:textId="77777777" w:rsidTr="004E2D2F">
        <w:trPr>
          <w:trHeight w:val="300"/>
        </w:trPr>
        <w:tc>
          <w:tcPr>
            <w:tcW w:w="3233" w:type="dxa"/>
            <w:gridSpan w:val="2"/>
            <w:vMerge w:val="restart"/>
            <w:tcBorders>
              <w:top w:val="single" w:sz="6" w:space="0" w:color="auto"/>
              <w:left w:val="single" w:sz="6" w:space="0" w:color="auto"/>
              <w:bottom w:val="single" w:sz="6" w:space="0" w:color="auto"/>
              <w:right w:val="single" w:sz="6" w:space="0" w:color="auto"/>
            </w:tcBorders>
            <w:hideMark/>
          </w:tcPr>
          <w:p w14:paraId="535D86B9" w14:textId="77777777" w:rsidR="004E2D2F" w:rsidRPr="004030DB" w:rsidRDefault="004E2D2F" w:rsidP="004E2D2F">
            <w:pPr>
              <w:widowControl/>
              <w:textAlignment w:val="baseline"/>
              <w:rPr>
                <w:rFonts w:ascii="Segoe UI" w:eastAsia="Times New Roman" w:hAnsi="Segoe UI" w:cs="Segoe UI"/>
                <w:sz w:val="20"/>
                <w:szCs w:val="20"/>
                <w:lang w:val="en-GB" w:eastAsia="en-GB"/>
              </w:rPr>
            </w:pPr>
            <w:r w:rsidRPr="004030DB">
              <w:rPr>
                <w:rFonts w:ascii="Arial" w:eastAsia="Times New Roman" w:hAnsi="Arial" w:cs="Arial"/>
                <w:color w:val="D13438"/>
                <w:sz w:val="20"/>
                <w:szCs w:val="20"/>
                <w:lang w:val="en-GB" w:eastAsia="en-GB"/>
              </w:rPr>
              <w:t> </w:t>
            </w:r>
          </w:p>
        </w:tc>
        <w:tc>
          <w:tcPr>
            <w:tcW w:w="7682" w:type="dxa"/>
            <w:gridSpan w:val="7"/>
            <w:tcBorders>
              <w:top w:val="single" w:sz="6" w:space="0" w:color="auto"/>
              <w:left w:val="single" w:sz="6" w:space="0" w:color="auto"/>
              <w:bottom w:val="single" w:sz="6" w:space="0" w:color="auto"/>
              <w:right w:val="single" w:sz="6" w:space="0" w:color="auto"/>
            </w:tcBorders>
            <w:hideMark/>
          </w:tcPr>
          <w:p w14:paraId="460658CC" w14:textId="77777777" w:rsidR="004E2D2F" w:rsidRPr="004030DB" w:rsidRDefault="004E2D2F" w:rsidP="004E2D2F">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b/>
                <w:bCs/>
                <w:sz w:val="20"/>
                <w:szCs w:val="20"/>
                <w:lang w:eastAsia="en-GB"/>
              </w:rPr>
              <w:t>Current Year </w:t>
            </w:r>
            <w:r w:rsidRPr="004030DB">
              <w:rPr>
                <w:rFonts w:ascii="Arial" w:eastAsia="Times New Roman" w:hAnsi="Arial" w:cs="Arial"/>
                <w:color w:val="D13438"/>
                <w:sz w:val="20"/>
                <w:szCs w:val="20"/>
                <w:lang w:val="en-GB" w:eastAsia="en-GB"/>
              </w:rPr>
              <w:t> </w:t>
            </w:r>
          </w:p>
        </w:tc>
      </w:tr>
      <w:tr w:rsidR="004E2D2F" w:rsidRPr="004030DB" w14:paraId="58CCAD4B" w14:textId="77777777" w:rsidTr="004E2D2F">
        <w:trPr>
          <w:trHeight w:val="300"/>
        </w:trPr>
        <w:tc>
          <w:tcPr>
            <w:tcW w:w="3233" w:type="dxa"/>
            <w:gridSpan w:val="2"/>
            <w:vMerge/>
            <w:tcBorders>
              <w:top w:val="single" w:sz="6" w:space="0" w:color="auto"/>
              <w:left w:val="single" w:sz="6" w:space="0" w:color="auto"/>
              <w:bottom w:val="single" w:sz="6" w:space="0" w:color="auto"/>
              <w:right w:val="single" w:sz="6" w:space="0" w:color="auto"/>
            </w:tcBorders>
            <w:vAlign w:val="center"/>
            <w:hideMark/>
          </w:tcPr>
          <w:p w14:paraId="3FE89AA3" w14:textId="77777777" w:rsidR="004E2D2F" w:rsidRPr="004030DB" w:rsidRDefault="004E2D2F" w:rsidP="004E2D2F">
            <w:pPr>
              <w:widowControl/>
              <w:rPr>
                <w:rFonts w:ascii="Segoe UI" w:eastAsia="Times New Roman" w:hAnsi="Segoe UI" w:cs="Segoe UI"/>
                <w:sz w:val="20"/>
                <w:szCs w:val="20"/>
                <w:lang w:val="en-GB" w:eastAsia="en-GB"/>
              </w:rPr>
            </w:pPr>
          </w:p>
        </w:tc>
        <w:tc>
          <w:tcPr>
            <w:tcW w:w="967" w:type="dxa"/>
            <w:tcBorders>
              <w:top w:val="single" w:sz="6" w:space="0" w:color="auto"/>
              <w:left w:val="single" w:sz="6" w:space="0" w:color="auto"/>
              <w:bottom w:val="single" w:sz="6" w:space="0" w:color="auto"/>
              <w:right w:val="single" w:sz="6" w:space="0" w:color="auto"/>
            </w:tcBorders>
            <w:vAlign w:val="center"/>
            <w:hideMark/>
          </w:tcPr>
          <w:p w14:paraId="59813143" w14:textId="77777777" w:rsidR="004E2D2F" w:rsidRPr="004030DB" w:rsidRDefault="004E2D2F" w:rsidP="004E2D2F">
            <w:pPr>
              <w:widowControl/>
              <w:jc w:val="center"/>
              <w:textAlignment w:val="baseline"/>
              <w:rPr>
                <w:rFonts w:ascii="Segoe UI" w:eastAsia="Times New Roman" w:hAnsi="Segoe UI" w:cs="Segoe UI"/>
                <w:sz w:val="20"/>
                <w:szCs w:val="20"/>
                <w:lang w:val="en-GB" w:eastAsia="en-GB"/>
              </w:rPr>
            </w:pPr>
            <w:proofErr w:type="gramStart"/>
            <w:r w:rsidRPr="004030DB">
              <w:rPr>
                <w:rFonts w:ascii="Arial" w:eastAsia="Times New Roman" w:hAnsi="Arial" w:cs="Arial"/>
                <w:b/>
                <w:bCs/>
                <w:sz w:val="20"/>
                <w:szCs w:val="20"/>
                <w:lang w:eastAsia="en-GB"/>
              </w:rPr>
              <w:t>( a</w:t>
            </w:r>
            <w:proofErr w:type="gramEnd"/>
            <w:r w:rsidRPr="004030DB">
              <w:rPr>
                <w:rFonts w:ascii="Arial" w:eastAsia="Times New Roman" w:hAnsi="Arial" w:cs="Arial"/>
                <w:b/>
                <w:bCs/>
                <w:sz w:val="20"/>
                <w:szCs w:val="20"/>
                <w:lang w:eastAsia="en-GB"/>
              </w:rPr>
              <w:t xml:space="preserve"> )</w:t>
            </w:r>
            <w:r w:rsidRPr="004030DB">
              <w:rPr>
                <w:rFonts w:ascii="Arial" w:eastAsia="Times New Roman" w:hAnsi="Arial" w:cs="Arial"/>
                <w:color w:val="D13438"/>
                <w:sz w:val="20"/>
                <w:szCs w:val="20"/>
                <w:lang w:val="en-GB" w:eastAsia="en-GB"/>
              </w:rPr>
              <w:t> </w:t>
            </w:r>
          </w:p>
        </w:tc>
        <w:tc>
          <w:tcPr>
            <w:tcW w:w="935" w:type="dxa"/>
            <w:tcBorders>
              <w:top w:val="single" w:sz="6" w:space="0" w:color="auto"/>
              <w:left w:val="single" w:sz="6" w:space="0" w:color="auto"/>
              <w:bottom w:val="single" w:sz="6" w:space="0" w:color="auto"/>
              <w:right w:val="single" w:sz="6" w:space="0" w:color="auto"/>
            </w:tcBorders>
            <w:vAlign w:val="center"/>
            <w:hideMark/>
          </w:tcPr>
          <w:p w14:paraId="4C4BAD35" w14:textId="77777777" w:rsidR="004E2D2F" w:rsidRPr="004030DB" w:rsidRDefault="004E2D2F" w:rsidP="004E2D2F">
            <w:pPr>
              <w:widowControl/>
              <w:jc w:val="center"/>
              <w:textAlignment w:val="baseline"/>
              <w:rPr>
                <w:rFonts w:ascii="Segoe UI" w:eastAsia="Times New Roman" w:hAnsi="Segoe UI" w:cs="Segoe UI"/>
                <w:sz w:val="20"/>
                <w:szCs w:val="20"/>
                <w:lang w:val="en-GB" w:eastAsia="en-GB"/>
              </w:rPr>
            </w:pPr>
            <w:proofErr w:type="gramStart"/>
            <w:r w:rsidRPr="004030DB">
              <w:rPr>
                <w:rFonts w:ascii="Arial" w:eastAsia="Times New Roman" w:hAnsi="Arial" w:cs="Arial"/>
                <w:b/>
                <w:bCs/>
                <w:sz w:val="20"/>
                <w:szCs w:val="20"/>
                <w:lang w:eastAsia="en-GB"/>
              </w:rPr>
              <w:t>( b</w:t>
            </w:r>
            <w:proofErr w:type="gramEnd"/>
            <w:r w:rsidRPr="004030DB">
              <w:rPr>
                <w:rFonts w:ascii="Arial" w:eastAsia="Times New Roman" w:hAnsi="Arial" w:cs="Arial"/>
                <w:b/>
                <w:bCs/>
                <w:sz w:val="20"/>
                <w:szCs w:val="20"/>
                <w:lang w:eastAsia="en-GB"/>
              </w:rPr>
              <w:t xml:space="preserve"> )</w:t>
            </w:r>
            <w:r w:rsidRPr="004030DB">
              <w:rPr>
                <w:rFonts w:ascii="Arial" w:eastAsia="Times New Roman" w:hAnsi="Arial" w:cs="Arial"/>
                <w:color w:val="D13438"/>
                <w:sz w:val="20"/>
                <w:szCs w:val="20"/>
                <w:lang w:val="en-GB" w:eastAsia="en-GB"/>
              </w:rPr>
              <w:t> </w:t>
            </w:r>
          </w:p>
        </w:tc>
        <w:tc>
          <w:tcPr>
            <w:tcW w:w="920" w:type="dxa"/>
            <w:tcBorders>
              <w:top w:val="single" w:sz="6" w:space="0" w:color="auto"/>
              <w:left w:val="single" w:sz="6" w:space="0" w:color="auto"/>
              <w:bottom w:val="single" w:sz="6" w:space="0" w:color="auto"/>
              <w:right w:val="single" w:sz="6" w:space="0" w:color="auto"/>
            </w:tcBorders>
            <w:vAlign w:val="center"/>
            <w:hideMark/>
          </w:tcPr>
          <w:p w14:paraId="0E40AA3E" w14:textId="77777777" w:rsidR="004E2D2F" w:rsidRPr="004030DB" w:rsidRDefault="004E2D2F" w:rsidP="004E2D2F">
            <w:pPr>
              <w:widowControl/>
              <w:jc w:val="center"/>
              <w:textAlignment w:val="baseline"/>
              <w:rPr>
                <w:rFonts w:ascii="Segoe UI" w:eastAsia="Times New Roman" w:hAnsi="Segoe UI" w:cs="Segoe UI"/>
                <w:sz w:val="20"/>
                <w:szCs w:val="20"/>
                <w:lang w:val="en-GB" w:eastAsia="en-GB"/>
              </w:rPr>
            </w:pPr>
            <w:proofErr w:type="gramStart"/>
            <w:r w:rsidRPr="004030DB">
              <w:rPr>
                <w:rFonts w:ascii="Arial" w:eastAsia="Times New Roman" w:hAnsi="Arial" w:cs="Arial"/>
                <w:b/>
                <w:bCs/>
                <w:sz w:val="20"/>
                <w:szCs w:val="20"/>
                <w:lang w:eastAsia="en-GB"/>
              </w:rPr>
              <w:t>( c</w:t>
            </w:r>
            <w:proofErr w:type="gramEnd"/>
            <w:r w:rsidRPr="004030DB">
              <w:rPr>
                <w:rFonts w:ascii="Arial" w:eastAsia="Times New Roman" w:hAnsi="Arial" w:cs="Arial"/>
                <w:b/>
                <w:bCs/>
                <w:sz w:val="20"/>
                <w:szCs w:val="20"/>
                <w:lang w:eastAsia="en-GB"/>
              </w:rPr>
              <w:t xml:space="preserve"> )</w:t>
            </w:r>
            <w:r w:rsidRPr="004030DB">
              <w:rPr>
                <w:rFonts w:ascii="Arial" w:eastAsia="Times New Roman" w:hAnsi="Arial" w:cs="Arial"/>
                <w:color w:val="D13438"/>
                <w:sz w:val="20"/>
                <w:szCs w:val="20"/>
                <w:lang w:val="en-GB" w:eastAsia="en-GB"/>
              </w:rPr>
              <w:t> </w:t>
            </w:r>
          </w:p>
        </w:tc>
        <w:tc>
          <w:tcPr>
            <w:tcW w:w="1317" w:type="dxa"/>
            <w:tcBorders>
              <w:top w:val="single" w:sz="6" w:space="0" w:color="auto"/>
              <w:left w:val="single" w:sz="6" w:space="0" w:color="auto"/>
              <w:bottom w:val="single" w:sz="6" w:space="0" w:color="auto"/>
              <w:right w:val="single" w:sz="6" w:space="0" w:color="auto"/>
            </w:tcBorders>
            <w:vAlign w:val="center"/>
            <w:hideMark/>
          </w:tcPr>
          <w:p w14:paraId="61CFB3C9" w14:textId="77777777" w:rsidR="004E2D2F" w:rsidRPr="004030DB" w:rsidRDefault="004E2D2F" w:rsidP="004E2D2F">
            <w:pPr>
              <w:widowControl/>
              <w:jc w:val="center"/>
              <w:textAlignment w:val="baseline"/>
              <w:rPr>
                <w:rFonts w:ascii="Segoe UI" w:eastAsia="Times New Roman" w:hAnsi="Segoe UI" w:cs="Segoe UI"/>
                <w:sz w:val="20"/>
                <w:szCs w:val="20"/>
                <w:lang w:val="en-GB" w:eastAsia="en-GB"/>
              </w:rPr>
            </w:pPr>
            <w:proofErr w:type="gramStart"/>
            <w:r w:rsidRPr="004030DB">
              <w:rPr>
                <w:rFonts w:ascii="Arial" w:eastAsia="Times New Roman" w:hAnsi="Arial" w:cs="Arial"/>
                <w:b/>
                <w:bCs/>
                <w:sz w:val="20"/>
                <w:szCs w:val="20"/>
                <w:lang w:eastAsia="en-GB"/>
              </w:rPr>
              <w:t>( d</w:t>
            </w:r>
            <w:proofErr w:type="gramEnd"/>
            <w:r w:rsidRPr="004030DB">
              <w:rPr>
                <w:rFonts w:ascii="Arial" w:eastAsia="Times New Roman" w:hAnsi="Arial" w:cs="Arial"/>
                <w:b/>
                <w:bCs/>
                <w:sz w:val="20"/>
                <w:szCs w:val="20"/>
                <w:lang w:eastAsia="en-GB"/>
              </w:rPr>
              <w:t xml:space="preserve"> )</w:t>
            </w:r>
            <w:r w:rsidRPr="004030DB">
              <w:rPr>
                <w:rFonts w:ascii="Arial" w:eastAsia="Times New Roman" w:hAnsi="Arial" w:cs="Arial"/>
                <w:color w:val="D13438"/>
                <w:sz w:val="20"/>
                <w:szCs w:val="20"/>
                <w:lang w:val="en-GB" w:eastAsia="en-GB"/>
              </w:rPr>
              <w:t> </w:t>
            </w:r>
          </w:p>
        </w:tc>
        <w:tc>
          <w:tcPr>
            <w:tcW w:w="1134" w:type="dxa"/>
            <w:tcBorders>
              <w:top w:val="single" w:sz="6" w:space="0" w:color="auto"/>
              <w:left w:val="single" w:sz="6" w:space="0" w:color="auto"/>
              <w:bottom w:val="single" w:sz="6" w:space="0" w:color="auto"/>
              <w:right w:val="single" w:sz="6" w:space="0" w:color="auto"/>
            </w:tcBorders>
            <w:vAlign w:val="center"/>
            <w:hideMark/>
          </w:tcPr>
          <w:p w14:paraId="783106C0" w14:textId="77777777" w:rsidR="004E2D2F" w:rsidRPr="004030DB" w:rsidRDefault="004E2D2F" w:rsidP="004E2D2F">
            <w:pPr>
              <w:widowControl/>
              <w:jc w:val="center"/>
              <w:textAlignment w:val="baseline"/>
              <w:rPr>
                <w:rFonts w:ascii="Segoe UI" w:eastAsia="Times New Roman" w:hAnsi="Segoe UI" w:cs="Segoe UI"/>
                <w:sz w:val="20"/>
                <w:szCs w:val="20"/>
                <w:lang w:val="en-GB" w:eastAsia="en-GB"/>
              </w:rPr>
            </w:pPr>
            <w:proofErr w:type="gramStart"/>
            <w:r w:rsidRPr="004030DB">
              <w:rPr>
                <w:rFonts w:ascii="Arial" w:eastAsia="Times New Roman" w:hAnsi="Arial" w:cs="Arial"/>
                <w:b/>
                <w:bCs/>
                <w:sz w:val="20"/>
                <w:szCs w:val="20"/>
                <w:lang w:eastAsia="en-GB"/>
              </w:rPr>
              <w:t>( e</w:t>
            </w:r>
            <w:proofErr w:type="gramEnd"/>
            <w:r w:rsidRPr="004030DB">
              <w:rPr>
                <w:rFonts w:ascii="Arial" w:eastAsia="Times New Roman" w:hAnsi="Arial" w:cs="Arial"/>
                <w:b/>
                <w:bCs/>
                <w:sz w:val="20"/>
                <w:szCs w:val="20"/>
                <w:lang w:eastAsia="en-GB"/>
              </w:rPr>
              <w:t xml:space="preserve"> )</w:t>
            </w:r>
            <w:r w:rsidRPr="004030DB">
              <w:rPr>
                <w:rFonts w:ascii="Arial" w:eastAsia="Times New Roman" w:hAnsi="Arial" w:cs="Arial"/>
                <w:color w:val="D13438"/>
                <w:sz w:val="20"/>
                <w:szCs w:val="20"/>
                <w:lang w:val="en-GB" w:eastAsia="en-GB"/>
              </w:rPr>
              <w:t> </w:t>
            </w:r>
          </w:p>
        </w:tc>
        <w:tc>
          <w:tcPr>
            <w:tcW w:w="1134" w:type="dxa"/>
            <w:tcBorders>
              <w:top w:val="single" w:sz="6" w:space="0" w:color="auto"/>
              <w:left w:val="single" w:sz="6" w:space="0" w:color="auto"/>
              <w:bottom w:val="single" w:sz="6" w:space="0" w:color="auto"/>
              <w:right w:val="single" w:sz="6" w:space="0" w:color="auto"/>
            </w:tcBorders>
            <w:vAlign w:val="center"/>
            <w:hideMark/>
          </w:tcPr>
          <w:p w14:paraId="0BDCE0B3" w14:textId="77777777" w:rsidR="004E2D2F" w:rsidRPr="004030DB" w:rsidRDefault="004E2D2F" w:rsidP="004E2D2F">
            <w:pPr>
              <w:widowControl/>
              <w:jc w:val="center"/>
              <w:textAlignment w:val="baseline"/>
              <w:rPr>
                <w:rFonts w:ascii="Segoe UI" w:eastAsia="Times New Roman" w:hAnsi="Segoe UI" w:cs="Segoe UI"/>
                <w:sz w:val="20"/>
                <w:szCs w:val="20"/>
                <w:lang w:val="en-GB" w:eastAsia="en-GB"/>
              </w:rPr>
            </w:pPr>
            <w:proofErr w:type="gramStart"/>
            <w:r w:rsidRPr="004030DB">
              <w:rPr>
                <w:rFonts w:ascii="Arial" w:eastAsia="Times New Roman" w:hAnsi="Arial" w:cs="Arial"/>
                <w:b/>
                <w:bCs/>
                <w:sz w:val="20"/>
                <w:szCs w:val="20"/>
                <w:lang w:eastAsia="en-GB"/>
              </w:rPr>
              <w:t>( f</w:t>
            </w:r>
            <w:proofErr w:type="gramEnd"/>
            <w:r w:rsidRPr="004030DB">
              <w:rPr>
                <w:rFonts w:ascii="Arial" w:eastAsia="Times New Roman" w:hAnsi="Arial" w:cs="Arial"/>
                <w:b/>
                <w:bCs/>
                <w:sz w:val="20"/>
                <w:szCs w:val="20"/>
                <w:lang w:eastAsia="en-GB"/>
              </w:rPr>
              <w:t xml:space="preserve"> )</w:t>
            </w:r>
            <w:r w:rsidRPr="004030DB">
              <w:rPr>
                <w:rFonts w:ascii="Arial" w:eastAsia="Times New Roman" w:hAnsi="Arial" w:cs="Arial"/>
                <w:color w:val="D13438"/>
                <w:sz w:val="20"/>
                <w:szCs w:val="20"/>
                <w:lang w:val="en-GB" w:eastAsia="en-GB"/>
              </w:rPr>
              <w:t> </w:t>
            </w:r>
          </w:p>
        </w:tc>
        <w:tc>
          <w:tcPr>
            <w:tcW w:w="1275" w:type="dxa"/>
            <w:tcBorders>
              <w:top w:val="single" w:sz="6" w:space="0" w:color="auto"/>
              <w:left w:val="single" w:sz="6" w:space="0" w:color="auto"/>
              <w:bottom w:val="single" w:sz="6" w:space="0" w:color="auto"/>
              <w:right w:val="single" w:sz="6" w:space="0" w:color="auto"/>
            </w:tcBorders>
            <w:vAlign w:val="center"/>
            <w:hideMark/>
          </w:tcPr>
          <w:p w14:paraId="33A4EAB3" w14:textId="77777777" w:rsidR="004E2D2F" w:rsidRPr="004030DB" w:rsidRDefault="004E2D2F" w:rsidP="004E2D2F">
            <w:pPr>
              <w:widowControl/>
              <w:jc w:val="center"/>
              <w:textAlignment w:val="baseline"/>
              <w:rPr>
                <w:rFonts w:ascii="Segoe UI" w:eastAsia="Times New Roman" w:hAnsi="Segoe UI" w:cs="Segoe UI"/>
                <w:sz w:val="20"/>
                <w:szCs w:val="20"/>
                <w:lang w:val="en-GB" w:eastAsia="en-GB"/>
              </w:rPr>
            </w:pPr>
            <w:proofErr w:type="gramStart"/>
            <w:r w:rsidRPr="004030DB">
              <w:rPr>
                <w:rFonts w:ascii="Arial" w:eastAsia="Times New Roman" w:hAnsi="Arial" w:cs="Arial"/>
                <w:b/>
                <w:bCs/>
                <w:sz w:val="20"/>
                <w:szCs w:val="20"/>
                <w:lang w:eastAsia="en-GB"/>
              </w:rPr>
              <w:t>( g</w:t>
            </w:r>
            <w:proofErr w:type="gramEnd"/>
            <w:r w:rsidRPr="004030DB">
              <w:rPr>
                <w:rFonts w:ascii="Arial" w:eastAsia="Times New Roman" w:hAnsi="Arial" w:cs="Arial"/>
                <w:b/>
                <w:bCs/>
                <w:sz w:val="20"/>
                <w:szCs w:val="20"/>
                <w:lang w:eastAsia="en-GB"/>
              </w:rPr>
              <w:t xml:space="preserve"> )</w:t>
            </w:r>
            <w:r w:rsidRPr="004030DB">
              <w:rPr>
                <w:rFonts w:ascii="Arial" w:eastAsia="Times New Roman" w:hAnsi="Arial" w:cs="Arial"/>
                <w:color w:val="D13438"/>
                <w:sz w:val="20"/>
                <w:szCs w:val="20"/>
                <w:lang w:val="en-GB" w:eastAsia="en-GB"/>
              </w:rPr>
              <w:t> </w:t>
            </w:r>
          </w:p>
        </w:tc>
      </w:tr>
      <w:tr w:rsidR="004E2D2F" w:rsidRPr="004030DB" w14:paraId="5C4230EA" w14:textId="77777777" w:rsidTr="004E2D2F">
        <w:trPr>
          <w:trHeight w:val="300"/>
        </w:trPr>
        <w:tc>
          <w:tcPr>
            <w:tcW w:w="1560" w:type="dxa"/>
            <w:vMerge w:val="restart"/>
            <w:tcBorders>
              <w:top w:val="single" w:sz="6" w:space="0" w:color="auto"/>
              <w:left w:val="single" w:sz="6" w:space="0" w:color="auto"/>
              <w:bottom w:val="single" w:sz="6" w:space="0" w:color="auto"/>
              <w:right w:val="single" w:sz="6" w:space="0" w:color="auto"/>
            </w:tcBorders>
            <w:hideMark/>
          </w:tcPr>
          <w:p w14:paraId="3F20EF09" w14:textId="77777777" w:rsidR="004E2D2F" w:rsidRPr="004030DB" w:rsidRDefault="004E2D2F" w:rsidP="004E2D2F">
            <w:pPr>
              <w:widowControl/>
              <w:textAlignment w:val="baseline"/>
              <w:rPr>
                <w:rFonts w:ascii="Segoe UI" w:eastAsia="Times New Roman" w:hAnsi="Segoe UI" w:cs="Segoe UI"/>
                <w:sz w:val="20"/>
                <w:szCs w:val="20"/>
                <w:lang w:val="en-GB" w:eastAsia="en-GB"/>
              </w:rPr>
            </w:pPr>
            <w:r w:rsidRPr="004030DB">
              <w:rPr>
                <w:rFonts w:ascii="Arial" w:eastAsia="Times New Roman" w:hAnsi="Arial" w:cs="Arial"/>
                <w:b/>
                <w:bCs/>
                <w:sz w:val="20"/>
                <w:szCs w:val="20"/>
                <w:lang w:val="en-GB" w:eastAsia="en-GB"/>
              </w:rPr>
              <w:t>Name </w:t>
            </w:r>
            <w:r w:rsidRPr="004030DB">
              <w:rPr>
                <w:rFonts w:ascii="Arial" w:eastAsia="Times New Roman" w:hAnsi="Arial" w:cs="Arial"/>
                <w:color w:val="D13438"/>
                <w:sz w:val="20"/>
                <w:szCs w:val="20"/>
                <w:lang w:val="en-GB" w:eastAsia="en-GB"/>
              </w:rPr>
              <w:t> </w:t>
            </w:r>
          </w:p>
        </w:tc>
        <w:tc>
          <w:tcPr>
            <w:tcW w:w="1673" w:type="dxa"/>
            <w:vMerge w:val="restart"/>
            <w:tcBorders>
              <w:top w:val="single" w:sz="6" w:space="0" w:color="auto"/>
              <w:left w:val="single" w:sz="6" w:space="0" w:color="auto"/>
              <w:bottom w:val="single" w:sz="6" w:space="0" w:color="auto"/>
              <w:right w:val="single" w:sz="6" w:space="0" w:color="auto"/>
            </w:tcBorders>
            <w:hideMark/>
          </w:tcPr>
          <w:p w14:paraId="6D7F0F79" w14:textId="77777777" w:rsidR="004E2D2F" w:rsidRPr="004030DB" w:rsidRDefault="004E2D2F" w:rsidP="004E2D2F">
            <w:pPr>
              <w:widowControl/>
              <w:textAlignment w:val="baseline"/>
              <w:rPr>
                <w:rFonts w:ascii="Segoe UI" w:eastAsia="Times New Roman" w:hAnsi="Segoe UI" w:cs="Segoe UI"/>
                <w:sz w:val="20"/>
                <w:szCs w:val="20"/>
                <w:lang w:val="en-GB" w:eastAsia="en-GB"/>
              </w:rPr>
            </w:pPr>
            <w:r w:rsidRPr="004030DB">
              <w:rPr>
                <w:rFonts w:ascii="Arial" w:eastAsia="Times New Roman" w:hAnsi="Arial" w:cs="Arial"/>
                <w:b/>
                <w:bCs/>
                <w:sz w:val="20"/>
                <w:szCs w:val="20"/>
                <w:lang w:val="en-GB" w:eastAsia="en-GB"/>
              </w:rPr>
              <w:t>Job Title </w:t>
            </w:r>
            <w:r w:rsidRPr="004030DB">
              <w:rPr>
                <w:rFonts w:ascii="Arial" w:eastAsia="Times New Roman" w:hAnsi="Arial" w:cs="Arial"/>
                <w:color w:val="D13438"/>
                <w:sz w:val="20"/>
                <w:szCs w:val="20"/>
                <w:lang w:val="en-GB" w:eastAsia="en-GB"/>
              </w:rPr>
              <w:t> </w:t>
            </w:r>
          </w:p>
        </w:tc>
        <w:tc>
          <w:tcPr>
            <w:tcW w:w="967" w:type="dxa"/>
            <w:tcBorders>
              <w:top w:val="single" w:sz="6" w:space="0" w:color="auto"/>
              <w:left w:val="single" w:sz="6" w:space="0" w:color="auto"/>
              <w:bottom w:val="single" w:sz="6" w:space="0" w:color="auto"/>
              <w:right w:val="single" w:sz="6" w:space="0" w:color="auto"/>
            </w:tcBorders>
            <w:vAlign w:val="center"/>
            <w:hideMark/>
          </w:tcPr>
          <w:p w14:paraId="3E8181AE" w14:textId="77777777" w:rsidR="004E2D2F" w:rsidRPr="004030DB" w:rsidRDefault="004E2D2F" w:rsidP="004E2D2F">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b/>
                <w:bCs/>
                <w:sz w:val="20"/>
                <w:szCs w:val="20"/>
                <w:lang w:eastAsia="en-GB"/>
              </w:rPr>
              <w:t>Real Increase in pensions at pension age</w:t>
            </w:r>
            <w:r w:rsidRPr="004030DB">
              <w:rPr>
                <w:rFonts w:ascii="Arial" w:eastAsia="Times New Roman" w:hAnsi="Arial" w:cs="Arial"/>
                <w:color w:val="D13438"/>
                <w:sz w:val="20"/>
                <w:szCs w:val="20"/>
                <w:lang w:val="en-GB" w:eastAsia="en-GB"/>
              </w:rPr>
              <w:t> </w:t>
            </w:r>
          </w:p>
        </w:tc>
        <w:tc>
          <w:tcPr>
            <w:tcW w:w="935" w:type="dxa"/>
            <w:tcBorders>
              <w:top w:val="single" w:sz="6" w:space="0" w:color="auto"/>
              <w:left w:val="single" w:sz="6" w:space="0" w:color="auto"/>
              <w:bottom w:val="single" w:sz="6" w:space="0" w:color="auto"/>
              <w:right w:val="single" w:sz="6" w:space="0" w:color="auto"/>
            </w:tcBorders>
            <w:vAlign w:val="center"/>
            <w:hideMark/>
          </w:tcPr>
          <w:p w14:paraId="0958B945" w14:textId="77777777" w:rsidR="004E2D2F" w:rsidRPr="004030DB" w:rsidRDefault="004E2D2F" w:rsidP="004E2D2F">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b/>
                <w:bCs/>
                <w:sz w:val="20"/>
                <w:szCs w:val="20"/>
                <w:lang w:eastAsia="en-GB"/>
              </w:rPr>
              <w:t>Real increase in pension lump sum at pension age </w:t>
            </w:r>
            <w:r w:rsidRPr="004030DB">
              <w:rPr>
                <w:rFonts w:ascii="Arial" w:eastAsia="Times New Roman" w:hAnsi="Arial" w:cs="Arial"/>
                <w:color w:val="D13438"/>
                <w:sz w:val="20"/>
                <w:szCs w:val="20"/>
                <w:lang w:val="en-GB" w:eastAsia="en-GB"/>
              </w:rPr>
              <w:t> </w:t>
            </w:r>
          </w:p>
        </w:tc>
        <w:tc>
          <w:tcPr>
            <w:tcW w:w="920" w:type="dxa"/>
            <w:tcBorders>
              <w:top w:val="single" w:sz="6" w:space="0" w:color="auto"/>
              <w:left w:val="single" w:sz="6" w:space="0" w:color="auto"/>
              <w:bottom w:val="single" w:sz="6" w:space="0" w:color="auto"/>
              <w:right w:val="single" w:sz="6" w:space="0" w:color="auto"/>
            </w:tcBorders>
            <w:vAlign w:val="center"/>
            <w:hideMark/>
          </w:tcPr>
          <w:p w14:paraId="2BC8435D" w14:textId="668E0314" w:rsidR="004E2D2F" w:rsidRPr="004030DB" w:rsidRDefault="004E2D2F" w:rsidP="004E2D2F">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b/>
                <w:bCs/>
                <w:sz w:val="20"/>
                <w:szCs w:val="20"/>
                <w:lang w:eastAsia="en-GB"/>
              </w:rPr>
              <w:t>Total accrued pension at pension age at 31 March 202</w:t>
            </w:r>
            <w:r w:rsidR="0051546D">
              <w:rPr>
                <w:rFonts w:ascii="Arial" w:eastAsia="Times New Roman" w:hAnsi="Arial" w:cs="Arial"/>
                <w:b/>
                <w:bCs/>
                <w:sz w:val="20"/>
                <w:szCs w:val="20"/>
                <w:lang w:eastAsia="en-GB"/>
              </w:rPr>
              <w:t>5</w:t>
            </w:r>
          </w:p>
        </w:tc>
        <w:tc>
          <w:tcPr>
            <w:tcW w:w="1317" w:type="dxa"/>
            <w:tcBorders>
              <w:top w:val="single" w:sz="6" w:space="0" w:color="auto"/>
              <w:left w:val="single" w:sz="6" w:space="0" w:color="auto"/>
              <w:bottom w:val="single" w:sz="6" w:space="0" w:color="auto"/>
              <w:right w:val="single" w:sz="6" w:space="0" w:color="auto"/>
            </w:tcBorders>
            <w:vAlign w:val="center"/>
            <w:hideMark/>
          </w:tcPr>
          <w:p w14:paraId="3CCD2293" w14:textId="45EA048D" w:rsidR="004E2D2F" w:rsidRPr="004030DB" w:rsidRDefault="004E2D2F" w:rsidP="004E2D2F">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b/>
                <w:bCs/>
                <w:sz w:val="20"/>
                <w:szCs w:val="20"/>
                <w:lang w:eastAsia="en-GB"/>
              </w:rPr>
              <w:t>Lump sum at pension age related to accrued pension at 31 March 202</w:t>
            </w:r>
            <w:r w:rsidR="0051546D">
              <w:rPr>
                <w:rFonts w:ascii="Arial" w:eastAsia="Times New Roman" w:hAnsi="Arial" w:cs="Arial"/>
                <w:b/>
                <w:bCs/>
                <w:sz w:val="20"/>
                <w:szCs w:val="20"/>
                <w:lang w:eastAsia="en-GB"/>
              </w:rPr>
              <w:t>5</w:t>
            </w:r>
          </w:p>
        </w:tc>
        <w:tc>
          <w:tcPr>
            <w:tcW w:w="1134" w:type="dxa"/>
            <w:vMerge w:val="restart"/>
            <w:tcBorders>
              <w:top w:val="single" w:sz="6" w:space="0" w:color="auto"/>
              <w:left w:val="single" w:sz="6" w:space="0" w:color="auto"/>
              <w:bottom w:val="single" w:sz="6" w:space="0" w:color="auto"/>
              <w:right w:val="single" w:sz="6" w:space="0" w:color="auto"/>
            </w:tcBorders>
            <w:vAlign w:val="center"/>
            <w:hideMark/>
          </w:tcPr>
          <w:p w14:paraId="24B42870" w14:textId="7C97E961" w:rsidR="004E2D2F" w:rsidRPr="004030DB" w:rsidRDefault="004E2D2F" w:rsidP="004E2D2F">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b/>
                <w:bCs/>
                <w:sz w:val="20"/>
                <w:szCs w:val="20"/>
                <w:lang w:eastAsia="en-GB"/>
              </w:rPr>
              <w:t>Cash Equivalent Transfer Value at 01 April 202</w:t>
            </w:r>
            <w:r w:rsidR="0051546D">
              <w:rPr>
                <w:rFonts w:ascii="Arial" w:eastAsia="Times New Roman" w:hAnsi="Arial" w:cs="Arial"/>
                <w:b/>
                <w:bCs/>
                <w:sz w:val="20"/>
                <w:szCs w:val="20"/>
                <w:lang w:eastAsia="en-GB"/>
              </w:rPr>
              <w:t>4</w:t>
            </w:r>
            <w:r w:rsidRPr="004030DB">
              <w:rPr>
                <w:rFonts w:ascii="Arial" w:eastAsia="Times New Roman" w:hAnsi="Arial" w:cs="Arial"/>
                <w:color w:val="D13438"/>
                <w:sz w:val="20"/>
                <w:szCs w:val="20"/>
                <w:lang w:val="en-GB" w:eastAsia="en-GB"/>
              </w:rPr>
              <w:t> </w:t>
            </w:r>
          </w:p>
        </w:tc>
        <w:tc>
          <w:tcPr>
            <w:tcW w:w="1134" w:type="dxa"/>
            <w:vMerge w:val="restart"/>
            <w:tcBorders>
              <w:top w:val="single" w:sz="6" w:space="0" w:color="auto"/>
              <w:left w:val="single" w:sz="6" w:space="0" w:color="auto"/>
              <w:bottom w:val="single" w:sz="6" w:space="0" w:color="auto"/>
              <w:right w:val="single" w:sz="6" w:space="0" w:color="auto"/>
            </w:tcBorders>
            <w:vAlign w:val="center"/>
            <w:hideMark/>
          </w:tcPr>
          <w:p w14:paraId="2E800BA8" w14:textId="476EA42D" w:rsidR="004E2D2F" w:rsidRPr="004030DB" w:rsidRDefault="004E2D2F" w:rsidP="004E2D2F">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b/>
                <w:bCs/>
                <w:sz w:val="20"/>
                <w:szCs w:val="20"/>
                <w:lang w:eastAsia="en-GB"/>
              </w:rPr>
              <w:t>Cash Equivalent Transfer Value at 31 March 202</w:t>
            </w:r>
            <w:r w:rsidR="0051546D">
              <w:rPr>
                <w:rFonts w:ascii="Arial" w:eastAsia="Times New Roman" w:hAnsi="Arial" w:cs="Arial"/>
                <w:b/>
                <w:bCs/>
                <w:sz w:val="20"/>
                <w:szCs w:val="20"/>
                <w:lang w:eastAsia="en-GB"/>
              </w:rPr>
              <w:t>5</w:t>
            </w:r>
          </w:p>
        </w:tc>
        <w:tc>
          <w:tcPr>
            <w:tcW w:w="1275" w:type="dxa"/>
            <w:vMerge w:val="restart"/>
            <w:tcBorders>
              <w:top w:val="single" w:sz="6" w:space="0" w:color="auto"/>
              <w:left w:val="single" w:sz="6" w:space="0" w:color="auto"/>
              <w:bottom w:val="single" w:sz="6" w:space="0" w:color="auto"/>
              <w:right w:val="single" w:sz="6" w:space="0" w:color="auto"/>
            </w:tcBorders>
            <w:vAlign w:val="center"/>
            <w:hideMark/>
          </w:tcPr>
          <w:p w14:paraId="014C0400" w14:textId="77777777" w:rsidR="004E2D2F" w:rsidRPr="004030DB" w:rsidRDefault="004E2D2F" w:rsidP="004E2D2F">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b/>
                <w:bCs/>
                <w:sz w:val="20"/>
                <w:szCs w:val="20"/>
                <w:lang w:eastAsia="en-GB"/>
              </w:rPr>
              <w:t>Real increase in Cash equivalent Transfer value</w:t>
            </w:r>
            <w:r w:rsidRPr="004030DB">
              <w:rPr>
                <w:rFonts w:ascii="Arial" w:eastAsia="Times New Roman" w:hAnsi="Arial" w:cs="Arial"/>
                <w:color w:val="D13438"/>
                <w:sz w:val="20"/>
                <w:szCs w:val="20"/>
                <w:lang w:val="en-GB" w:eastAsia="en-GB"/>
              </w:rPr>
              <w:t> </w:t>
            </w:r>
          </w:p>
        </w:tc>
      </w:tr>
      <w:tr w:rsidR="004E2D2F" w:rsidRPr="004030DB" w14:paraId="00796FB9" w14:textId="77777777" w:rsidTr="004E2D2F">
        <w:trPr>
          <w:trHeight w:val="300"/>
        </w:trPr>
        <w:tc>
          <w:tcPr>
            <w:tcW w:w="1560" w:type="dxa"/>
            <w:vMerge/>
            <w:tcBorders>
              <w:top w:val="single" w:sz="6" w:space="0" w:color="auto"/>
              <w:left w:val="single" w:sz="6" w:space="0" w:color="auto"/>
              <w:bottom w:val="single" w:sz="6" w:space="0" w:color="auto"/>
              <w:right w:val="single" w:sz="6" w:space="0" w:color="auto"/>
            </w:tcBorders>
            <w:vAlign w:val="center"/>
            <w:hideMark/>
          </w:tcPr>
          <w:p w14:paraId="725B74B2" w14:textId="77777777" w:rsidR="004E2D2F" w:rsidRPr="004030DB" w:rsidRDefault="004E2D2F" w:rsidP="004E2D2F">
            <w:pPr>
              <w:widowControl/>
              <w:rPr>
                <w:rFonts w:ascii="Segoe UI" w:eastAsia="Times New Roman" w:hAnsi="Segoe UI" w:cs="Segoe UI"/>
                <w:sz w:val="20"/>
                <w:szCs w:val="20"/>
                <w:lang w:val="en-GB" w:eastAsia="en-GB"/>
              </w:rPr>
            </w:pPr>
          </w:p>
        </w:tc>
        <w:tc>
          <w:tcPr>
            <w:tcW w:w="1673" w:type="dxa"/>
            <w:vMerge/>
            <w:tcBorders>
              <w:top w:val="single" w:sz="6" w:space="0" w:color="auto"/>
              <w:left w:val="single" w:sz="6" w:space="0" w:color="auto"/>
              <w:bottom w:val="single" w:sz="6" w:space="0" w:color="auto"/>
              <w:right w:val="single" w:sz="6" w:space="0" w:color="auto"/>
            </w:tcBorders>
            <w:vAlign w:val="center"/>
            <w:hideMark/>
          </w:tcPr>
          <w:p w14:paraId="3998C75A" w14:textId="77777777" w:rsidR="004E2D2F" w:rsidRPr="004030DB" w:rsidRDefault="004E2D2F" w:rsidP="004E2D2F">
            <w:pPr>
              <w:widowControl/>
              <w:rPr>
                <w:rFonts w:ascii="Segoe UI" w:eastAsia="Times New Roman" w:hAnsi="Segoe UI" w:cs="Segoe UI"/>
                <w:sz w:val="20"/>
                <w:szCs w:val="20"/>
                <w:lang w:val="en-GB" w:eastAsia="en-GB"/>
              </w:rPr>
            </w:pPr>
          </w:p>
        </w:tc>
        <w:tc>
          <w:tcPr>
            <w:tcW w:w="967" w:type="dxa"/>
            <w:tcBorders>
              <w:top w:val="single" w:sz="6" w:space="0" w:color="auto"/>
              <w:left w:val="single" w:sz="6" w:space="0" w:color="auto"/>
              <w:bottom w:val="single" w:sz="6" w:space="0" w:color="auto"/>
              <w:right w:val="single" w:sz="6" w:space="0" w:color="auto"/>
            </w:tcBorders>
            <w:vAlign w:val="center"/>
            <w:hideMark/>
          </w:tcPr>
          <w:p w14:paraId="352496BF" w14:textId="77777777" w:rsidR="004E2D2F" w:rsidRPr="004030DB" w:rsidRDefault="004E2D2F" w:rsidP="004E2D2F">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b/>
                <w:bCs/>
                <w:sz w:val="20"/>
                <w:szCs w:val="20"/>
                <w:lang w:eastAsia="en-GB"/>
              </w:rPr>
              <w:t>(Bands of £2,500)</w:t>
            </w:r>
            <w:r w:rsidRPr="004030DB">
              <w:rPr>
                <w:rFonts w:ascii="Arial" w:eastAsia="Times New Roman" w:hAnsi="Arial" w:cs="Arial"/>
                <w:color w:val="D13438"/>
                <w:sz w:val="20"/>
                <w:szCs w:val="20"/>
                <w:lang w:val="en-GB" w:eastAsia="en-GB"/>
              </w:rPr>
              <w:t> </w:t>
            </w:r>
          </w:p>
        </w:tc>
        <w:tc>
          <w:tcPr>
            <w:tcW w:w="935" w:type="dxa"/>
            <w:tcBorders>
              <w:top w:val="single" w:sz="6" w:space="0" w:color="auto"/>
              <w:left w:val="single" w:sz="6" w:space="0" w:color="auto"/>
              <w:bottom w:val="single" w:sz="6" w:space="0" w:color="auto"/>
              <w:right w:val="single" w:sz="6" w:space="0" w:color="auto"/>
            </w:tcBorders>
            <w:vAlign w:val="center"/>
            <w:hideMark/>
          </w:tcPr>
          <w:p w14:paraId="57B7E910" w14:textId="77777777" w:rsidR="004E2D2F" w:rsidRPr="004030DB" w:rsidRDefault="004E2D2F" w:rsidP="004E2D2F">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b/>
                <w:bCs/>
                <w:sz w:val="20"/>
                <w:szCs w:val="20"/>
                <w:lang w:eastAsia="en-GB"/>
              </w:rPr>
              <w:t>(Bands of £2,500)</w:t>
            </w:r>
            <w:r w:rsidRPr="004030DB">
              <w:rPr>
                <w:rFonts w:ascii="Arial" w:eastAsia="Times New Roman" w:hAnsi="Arial" w:cs="Arial"/>
                <w:color w:val="D13438"/>
                <w:sz w:val="20"/>
                <w:szCs w:val="20"/>
                <w:lang w:val="en-GB" w:eastAsia="en-GB"/>
              </w:rPr>
              <w:t> </w:t>
            </w:r>
          </w:p>
        </w:tc>
        <w:tc>
          <w:tcPr>
            <w:tcW w:w="920" w:type="dxa"/>
            <w:tcBorders>
              <w:top w:val="single" w:sz="6" w:space="0" w:color="auto"/>
              <w:left w:val="single" w:sz="6" w:space="0" w:color="auto"/>
              <w:bottom w:val="single" w:sz="6" w:space="0" w:color="auto"/>
              <w:right w:val="single" w:sz="6" w:space="0" w:color="auto"/>
            </w:tcBorders>
            <w:vAlign w:val="center"/>
            <w:hideMark/>
          </w:tcPr>
          <w:p w14:paraId="4574F62F" w14:textId="77777777" w:rsidR="004E2D2F" w:rsidRPr="004030DB" w:rsidRDefault="004E2D2F" w:rsidP="004E2D2F">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b/>
                <w:bCs/>
                <w:sz w:val="20"/>
                <w:szCs w:val="20"/>
                <w:lang w:eastAsia="en-GB"/>
              </w:rPr>
              <w:t>(Bands of £5,000)</w:t>
            </w:r>
            <w:r w:rsidRPr="004030DB">
              <w:rPr>
                <w:rFonts w:ascii="Arial" w:eastAsia="Times New Roman" w:hAnsi="Arial" w:cs="Arial"/>
                <w:color w:val="D13438"/>
                <w:sz w:val="20"/>
                <w:szCs w:val="20"/>
                <w:lang w:val="en-GB" w:eastAsia="en-GB"/>
              </w:rPr>
              <w:t> </w:t>
            </w:r>
          </w:p>
        </w:tc>
        <w:tc>
          <w:tcPr>
            <w:tcW w:w="1317" w:type="dxa"/>
            <w:tcBorders>
              <w:top w:val="single" w:sz="6" w:space="0" w:color="auto"/>
              <w:left w:val="single" w:sz="6" w:space="0" w:color="auto"/>
              <w:bottom w:val="single" w:sz="6" w:space="0" w:color="auto"/>
              <w:right w:val="single" w:sz="6" w:space="0" w:color="auto"/>
            </w:tcBorders>
            <w:vAlign w:val="center"/>
            <w:hideMark/>
          </w:tcPr>
          <w:p w14:paraId="33154E14" w14:textId="77777777" w:rsidR="004E2D2F" w:rsidRPr="004030DB" w:rsidRDefault="004E2D2F" w:rsidP="004E2D2F">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b/>
                <w:bCs/>
                <w:sz w:val="20"/>
                <w:szCs w:val="20"/>
                <w:lang w:eastAsia="en-GB"/>
              </w:rPr>
              <w:t>(Bands of £5,000)</w:t>
            </w:r>
            <w:r w:rsidRPr="004030DB">
              <w:rPr>
                <w:rFonts w:ascii="Arial" w:eastAsia="Times New Roman" w:hAnsi="Arial" w:cs="Arial"/>
                <w:color w:val="D13438"/>
                <w:sz w:val="20"/>
                <w:szCs w:val="20"/>
                <w:lang w:val="en-GB" w:eastAsia="en-GB"/>
              </w:rPr>
              <w:t> </w:t>
            </w:r>
          </w:p>
        </w:tc>
        <w:tc>
          <w:tcPr>
            <w:tcW w:w="1134" w:type="dxa"/>
            <w:vMerge/>
            <w:tcBorders>
              <w:top w:val="single" w:sz="6" w:space="0" w:color="auto"/>
              <w:left w:val="single" w:sz="6" w:space="0" w:color="auto"/>
              <w:bottom w:val="single" w:sz="6" w:space="0" w:color="auto"/>
              <w:right w:val="single" w:sz="6" w:space="0" w:color="auto"/>
            </w:tcBorders>
            <w:vAlign w:val="center"/>
            <w:hideMark/>
          </w:tcPr>
          <w:p w14:paraId="53612969" w14:textId="77777777" w:rsidR="004E2D2F" w:rsidRPr="004030DB" w:rsidRDefault="004E2D2F" w:rsidP="004E2D2F">
            <w:pPr>
              <w:widowControl/>
              <w:rPr>
                <w:rFonts w:ascii="Segoe UI" w:eastAsia="Times New Roman" w:hAnsi="Segoe UI" w:cs="Segoe UI"/>
                <w:sz w:val="20"/>
                <w:szCs w:val="20"/>
                <w:lang w:val="en-GB" w:eastAsia="en-GB"/>
              </w:rPr>
            </w:pPr>
          </w:p>
        </w:tc>
        <w:tc>
          <w:tcPr>
            <w:tcW w:w="1134" w:type="dxa"/>
            <w:vMerge/>
            <w:tcBorders>
              <w:top w:val="single" w:sz="6" w:space="0" w:color="auto"/>
              <w:left w:val="single" w:sz="6" w:space="0" w:color="auto"/>
              <w:bottom w:val="single" w:sz="6" w:space="0" w:color="auto"/>
              <w:right w:val="single" w:sz="6" w:space="0" w:color="auto"/>
            </w:tcBorders>
            <w:vAlign w:val="center"/>
            <w:hideMark/>
          </w:tcPr>
          <w:p w14:paraId="517E7A4F" w14:textId="77777777" w:rsidR="004E2D2F" w:rsidRPr="004030DB" w:rsidRDefault="004E2D2F" w:rsidP="004E2D2F">
            <w:pPr>
              <w:widowControl/>
              <w:rPr>
                <w:rFonts w:ascii="Segoe UI" w:eastAsia="Times New Roman" w:hAnsi="Segoe UI" w:cs="Segoe UI"/>
                <w:sz w:val="20"/>
                <w:szCs w:val="20"/>
                <w:lang w:val="en-GB" w:eastAsia="en-GB"/>
              </w:rPr>
            </w:pPr>
          </w:p>
        </w:tc>
        <w:tc>
          <w:tcPr>
            <w:tcW w:w="1275" w:type="dxa"/>
            <w:vMerge/>
            <w:tcBorders>
              <w:top w:val="single" w:sz="6" w:space="0" w:color="auto"/>
              <w:left w:val="single" w:sz="6" w:space="0" w:color="auto"/>
              <w:bottom w:val="single" w:sz="6" w:space="0" w:color="auto"/>
              <w:right w:val="single" w:sz="6" w:space="0" w:color="auto"/>
            </w:tcBorders>
            <w:vAlign w:val="center"/>
            <w:hideMark/>
          </w:tcPr>
          <w:p w14:paraId="7C270861" w14:textId="77777777" w:rsidR="004E2D2F" w:rsidRPr="004030DB" w:rsidRDefault="004E2D2F" w:rsidP="004E2D2F">
            <w:pPr>
              <w:widowControl/>
              <w:rPr>
                <w:rFonts w:ascii="Segoe UI" w:eastAsia="Times New Roman" w:hAnsi="Segoe UI" w:cs="Segoe UI"/>
                <w:sz w:val="20"/>
                <w:szCs w:val="20"/>
                <w:lang w:val="en-GB" w:eastAsia="en-GB"/>
              </w:rPr>
            </w:pPr>
          </w:p>
        </w:tc>
      </w:tr>
      <w:tr w:rsidR="004E2D2F" w:rsidRPr="004030DB" w14:paraId="4DFA6F47" w14:textId="77777777" w:rsidTr="004E2D2F">
        <w:trPr>
          <w:trHeight w:val="300"/>
        </w:trPr>
        <w:tc>
          <w:tcPr>
            <w:tcW w:w="1560" w:type="dxa"/>
            <w:vMerge/>
            <w:tcBorders>
              <w:top w:val="single" w:sz="6" w:space="0" w:color="auto"/>
              <w:left w:val="single" w:sz="6" w:space="0" w:color="auto"/>
              <w:bottom w:val="single" w:sz="6" w:space="0" w:color="auto"/>
              <w:right w:val="single" w:sz="6" w:space="0" w:color="auto"/>
            </w:tcBorders>
            <w:vAlign w:val="center"/>
            <w:hideMark/>
          </w:tcPr>
          <w:p w14:paraId="4DBFB0B2" w14:textId="77777777" w:rsidR="004E2D2F" w:rsidRPr="004030DB" w:rsidRDefault="004E2D2F" w:rsidP="004E2D2F">
            <w:pPr>
              <w:widowControl/>
              <w:rPr>
                <w:rFonts w:ascii="Segoe UI" w:eastAsia="Times New Roman" w:hAnsi="Segoe UI" w:cs="Segoe UI"/>
                <w:sz w:val="20"/>
                <w:szCs w:val="20"/>
                <w:lang w:val="en-GB" w:eastAsia="en-GB"/>
              </w:rPr>
            </w:pPr>
          </w:p>
        </w:tc>
        <w:tc>
          <w:tcPr>
            <w:tcW w:w="1673" w:type="dxa"/>
            <w:vMerge/>
            <w:tcBorders>
              <w:top w:val="single" w:sz="6" w:space="0" w:color="auto"/>
              <w:left w:val="single" w:sz="6" w:space="0" w:color="auto"/>
              <w:bottom w:val="single" w:sz="6" w:space="0" w:color="auto"/>
              <w:right w:val="single" w:sz="6" w:space="0" w:color="auto"/>
            </w:tcBorders>
            <w:vAlign w:val="center"/>
            <w:hideMark/>
          </w:tcPr>
          <w:p w14:paraId="4DEA881D" w14:textId="77777777" w:rsidR="004E2D2F" w:rsidRPr="004030DB" w:rsidRDefault="004E2D2F" w:rsidP="004E2D2F">
            <w:pPr>
              <w:widowControl/>
              <w:rPr>
                <w:rFonts w:ascii="Segoe UI" w:eastAsia="Times New Roman" w:hAnsi="Segoe UI" w:cs="Segoe UI"/>
                <w:sz w:val="20"/>
                <w:szCs w:val="20"/>
                <w:lang w:val="en-GB" w:eastAsia="en-GB"/>
              </w:rPr>
            </w:pPr>
          </w:p>
        </w:tc>
        <w:tc>
          <w:tcPr>
            <w:tcW w:w="967" w:type="dxa"/>
            <w:tcBorders>
              <w:top w:val="single" w:sz="6" w:space="0" w:color="auto"/>
              <w:left w:val="single" w:sz="6" w:space="0" w:color="auto"/>
              <w:bottom w:val="single" w:sz="6" w:space="0" w:color="auto"/>
              <w:right w:val="single" w:sz="6" w:space="0" w:color="auto"/>
            </w:tcBorders>
            <w:vAlign w:val="center"/>
            <w:hideMark/>
          </w:tcPr>
          <w:p w14:paraId="3974919C" w14:textId="77777777" w:rsidR="004E2D2F" w:rsidRPr="004030DB" w:rsidRDefault="004E2D2F" w:rsidP="004E2D2F">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b/>
                <w:bCs/>
                <w:sz w:val="20"/>
                <w:szCs w:val="20"/>
                <w:lang w:eastAsia="en-GB"/>
              </w:rPr>
              <w:t>£000</w:t>
            </w:r>
            <w:r w:rsidRPr="004030DB">
              <w:rPr>
                <w:rFonts w:ascii="Arial" w:eastAsia="Times New Roman" w:hAnsi="Arial" w:cs="Arial"/>
                <w:color w:val="D13438"/>
                <w:sz w:val="20"/>
                <w:szCs w:val="20"/>
                <w:lang w:val="en-GB" w:eastAsia="en-GB"/>
              </w:rPr>
              <w:t> </w:t>
            </w:r>
          </w:p>
        </w:tc>
        <w:tc>
          <w:tcPr>
            <w:tcW w:w="935" w:type="dxa"/>
            <w:tcBorders>
              <w:top w:val="single" w:sz="6" w:space="0" w:color="auto"/>
              <w:left w:val="single" w:sz="6" w:space="0" w:color="auto"/>
              <w:bottom w:val="single" w:sz="6" w:space="0" w:color="auto"/>
              <w:right w:val="single" w:sz="6" w:space="0" w:color="auto"/>
            </w:tcBorders>
            <w:vAlign w:val="center"/>
            <w:hideMark/>
          </w:tcPr>
          <w:p w14:paraId="4802D5AE" w14:textId="77777777" w:rsidR="004E2D2F" w:rsidRPr="004030DB" w:rsidRDefault="004E2D2F" w:rsidP="004E2D2F">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b/>
                <w:bCs/>
                <w:sz w:val="20"/>
                <w:szCs w:val="20"/>
                <w:lang w:eastAsia="en-GB"/>
              </w:rPr>
              <w:t>£000</w:t>
            </w:r>
            <w:r w:rsidRPr="004030DB">
              <w:rPr>
                <w:rFonts w:ascii="Arial" w:eastAsia="Times New Roman" w:hAnsi="Arial" w:cs="Arial"/>
                <w:color w:val="D13438"/>
                <w:sz w:val="20"/>
                <w:szCs w:val="20"/>
                <w:lang w:val="en-GB" w:eastAsia="en-GB"/>
              </w:rPr>
              <w:t> </w:t>
            </w:r>
          </w:p>
        </w:tc>
        <w:tc>
          <w:tcPr>
            <w:tcW w:w="920" w:type="dxa"/>
            <w:tcBorders>
              <w:top w:val="single" w:sz="6" w:space="0" w:color="auto"/>
              <w:left w:val="single" w:sz="6" w:space="0" w:color="auto"/>
              <w:bottom w:val="single" w:sz="6" w:space="0" w:color="auto"/>
              <w:right w:val="single" w:sz="6" w:space="0" w:color="auto"/>
            </w:tcBorders>
            <w:vAlign w:val="center"/>
            <w:hideMark/>
          </w:tcPr>
          <w:p w14:paraId="2FCC3D0B" w14:textId="77777777" w:rsidR="004E2D2F" w:rsidRPr="004030DB" w:rsidRDefault="004E2D2F" w:rsidP="004E2D2F">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b/>
                <w:bCs/>
                <w:sz w:val="20"/>
                <w:szCs w:val="20"/>
                <w:lang w:eastAsia="en-GB"/>
              </w:rPr>
              <w:t>£000</w:t>
            </w:r>
            <w:r w:rsidRPr="004030DB">
              <w:rPr>
                <w:rFonts w:ascii="Arial" w:eastAsia="Times New Roman" w:hAnsi="Arial" w:cs="Arial"/>
                <w:color w:val="D13438"/>
                <w:sz w:val="20"/>
                <w:szCs w:val="20"/>
                <w:lang w:val="en-GB" w:eastAsia="en-GB"/>
              </w:rPr>
              <w:t> </w:t>
            </w:r>
          </w:p>
        </w:tc>
        <w:tc>
          <w:tcPr>
            <w:tcW w:w="1317" w:type="dxa"/>
            <w:tcBorders>
              <w:top w:val="single" w:sz="6" w:space="0" w:color="auto"/>
              <w:left w:val="single" w:sz="6" w:space="0" w:color="auto"/>
              <w:bottom w:val="single" w:sz="6" w:space="0" w:color="auto"/>
              <w:right w:val="single" w:sz="6" w:space="0" w:color="auto"/>
            </w:tcBorders>
            <w:vAlign w:val="center"/>
            <w:hideMark/>
          </w:tcPr>
          <w:p w14:paraId="494E97C0" w14:textId="77777777" w:rsidR="004E2D2F" w:rsidRPr="004030DB" w:rsidRDefault="004E2D2F" w:rsidP="004E2D2F">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b/>
                <w:bCs/>
                <w:sz w:val="20"/>
                <w:szCs w:val="20"/>
                <w:lang w:eastAsia="en-GB"/>
              </w:rPr>
              <w:t>£000</w:t>
            </w:r>
            <w:r w:rsidRPr="004030DB">
              <w:rPr>
                <w:rFonts w:ascii="Arial" w:eastAsia="Times New Roman" w:hAnsi="Arial" w:cs="Arial"/>
                <w:color w:val="D13438"/>
                <w:sz w:val="20"/>
                <w:szCs w:val="20"/>
                <w:lang w:val="en-GB" w:eastAsia="en-GB"/>
              </w:rPr>
              <w:t> </w:t>
            </w:r>
          </w:p>
        </w:tc>
        <w:tc>
          <w:tcPr>
            <w:tcW w:w="1134" w:type="dxa"/>
            <w:tcBorders>
              <w:top w:val="single" w:sz="6" w:space="0" w:color="auto"/>
              <w:left w:val="single" w:sz="6" w:space="0" w:color="auto"/>
              <w:bottom w:val="single" w:sz="6" w:space="0" w:color="auto"/>
              <w:right w:val="single" w:sz="6" w:space="0" w:color="auto"/>
            </w:tcBorders>
            <w:vAlign w:val="center"/>
            <w:hideMark/>
          </w:tcPr>
          <w:p w14:paraId="672088E6" w14:textId="77777777" w:rsidR="004E2D2F" w:rsidRPr="004030DB" w:rsidRDefault="004E2D2F" w:rsidP="004E2D2F">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b/>
                <w:bCs/>
                <w:sz w:val="20"/>
                <w:szCs w:val="20"/>
                <w:lang w:eastAsia="en-GB"/>
              </w:rPr>
              <w:t>£000</w:t>
            </w:r>
            <w:r w:rsidRPr="004030DB">
              <w:rPr>
                <w:rFonts w:ascii="Arial" w:eastAsia="Times New Roman" w:hAnsi="Arial" w:cs="Arial"/>
                <w:color w:val="D13438"/>
                <w:sz w:val="20"/>
                <w:szCs w:val="20"/>
                <w:lang w:val="en-GB" w:eastAsia="en-GB"/>
              </w:rPr>
              <w:t> </w:t>
            </w:r>
          </w:p>
        </w:tc>
        <w:tc>
          <w:tcPr>
            <w:tcW w:w="1134" w:type="dxa"/>
            <w:tcBorders>
              <w:top w:val="single" w:sz="6" w:space="0" w:color="auto"/>
              <w:left w:val="single" w:sz="6" w:space="0" w:color="auto"/>
              <w:bottom w:val="single" w:sz="6" w:space="0" w:color="auto"/>
              <w:right w:val="single" w:sz="6" w:space="0" w:color="auto"/>
            </w:tcBorders>
            <w:vAlign w:val="center"/>
            <w:hideMark/>
          </w:tcPr>
          <w:p w14:paraId="6630CBD3" w14:textId="77777777" w:rsidR="004E2D2F" w:rsidRPr="004030DB" w:rsidRDefault="004E2D2F" w:rsidP="004E2D2F">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b/>
                <w:bCs/>
                <w:sz w:val="20"/>
                <w:szCs w:val="20"/>
                <w:lang w:eastAsia="en-GB"/>
              </w:rPr>
              <w:t>£000</w:t>
            </w:r>
            <w:r w:rsidRPr="004030DB">
              <w:rPr>
                <w:rFonts w:ascii="Arial" w:eastAsia="Times New Roman" w:hAnsi="Arial" w:cs="Arial"/>
                <w:color w:val="D13438"/>
                <w:sz w:val="20"/>
                <w:szCs w:val="20"/>
                <w:lang w:val="en-GB" w:eastAsia="en-GB"/>
              </w:rPr>
              <w:t> </w:t>
            </w:r>
          </w:p>
        </w:tc>
        <w:tc>
          <w:tcPr>
            <w:tcW w:w="1275" w:type="dxa"/>
            <w:tcBorders>
              <w:top w:val="single" w:sz="6" w:space="0" w:color="auto"/>
              <w:left w:val="single" w:sz="6" w:space="0" w:color="auto"/>
              <w:bottom w:val="single" w:sz="6" w:space="0" w:color="auto"/>
              <w:right w:val="single" w:sz="6" w:space="0" w:color="auto"/>
            </w:tcBorders>
            <w:vAlign w:val="center"/>
            <w:hideMark/>
          </w:tcPr>
          <w:p w14:paraId="7908498C" w14:textId="77777777" w:rsidR="004E2D2F" w:rsidRPr="004030DB" w:rsidRDefault="004E2D2F" w:rsidP="004E2D2F">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b/>
                <w:bCs/>
                <w:sz w:val="20"/>
                <w:szCs w:val="20"/>
                <w:lang w:eastAsia="en-GB"/>
              </w:rPr>
              <w:t>£000</w:t>
            </w:r>
            <w:r w:rsidRPr="004030DB">
              <w:rPr>
                <w:rFonts w:ascii="Arial" w:eastAsia="Times New Roman" w:hAnsi="Arial" w:cs="Arial"/>
                <w:color w:val="D13438"/>
                <w:sz w:val="20"/>
                <w:szCs w:val="20"/>
                <w:lang w:val="en-GB" w:eastAsia="en-GB"/>
              </w:rPr>
              <w:t> </w:t>
            </w:r>
          </w:p>
        </w:tc>
      </w:tr>
      <w:tr w:rsidR="004E2D2F" w:rsidRPr="004030DB" w14:paraId="705EEC7F" w14:textId="77777777" w:rsidTr="004E2D2F">
        <w:trPr>
          <w:trHeight w:val="300"/>
        </w:trPr>
        <w:tc>
          <w:tcPr>
            <w:tcW w:w="1560" w:type="dxa"/>
            <w:tcBorders>
              <w:top w:val="single" w:sz="6" w:space="0" w:color="auto"/>
              <w:left w:val="single" w:sz="6" w:space="0" w:color="auto"/>
              <w:bottom w:val="single" w:sz="6" w:space="0" w:color="auto"/>
              <w:right w:val="single" w:sz="6" w:space="0" w:color="auto"/>
            </w:tcBorders>
            <w:hideMark/>
          </w:tcPr>
          <w:p w14:paraId="1B8BD488" w14:textId="77777777" w:rsidR="004E2D2F" w:rsidRPr="004030DB" w:rsidRDefault="004E2D2F" w:rsidP="004E2D2F">
            <w:pPr>
              <w:widowControl/>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eastAsia="en-GB"/>
              </w:rPr>
              <w:t>L Hinton</w:t>
            </w:r>
            <w:r w:rsidRPr="004030DB">
              <w:rPr>
                <w:rFonts w:ascii="Arial" w:eastAsia="Times New Roman" w:hAnsi="Arial" w:cs="Arial"/>
                <w:color w:val="D13438"/>
                <w:sz w:val="20"/>
                <w:szCs w:val="20"/>
                <w:lang w:val="en-GB" w:eastAsia="en-GB"/>
              </w:rPr>
              <w:t> </w:t>
            </w:r>
          </w:p>
        </w:tc>
        <w:tc>
          <w:tcPr>
            <w:tcW w:w="1673" w:type="dxa"/>
            <w:tcBorders>
              <w:top w:val="single" w:sz="6" w:space="0" w:color="auto"/>
              <w:left w:val="single" w:sz="6" w:space="0" w:color="auto"/>
              <w:bottom w:val="single" w:sz="6" w:space="0" w:color="auto"/>
              <w:right w:val="single" w:sz="6" w:space="0" w:color="auto"/>
            </w:tcBorders>
            <w:hideMark/>
          </w:tcPr>
          <w:p w14:paraId="5E6521CC" w14:textId="77777777" w:rsidR="004E2D2F" w:rsidRPr="004030DB" w:rsidRDefault="004E2D2F" w:rsidP="004E2D2F">
            <w:pPr>
              <w:widowControl/>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eastAsia="en-GB"/>
              </w:rPr>
              <w:t>Chief People Officer</w:t>
            </w:r>
            <w:r w:rsidRPr="004030DB">
              <w:rPr>
                <w:rFonts w:ascii="Arial" w:eastAsia="Times New Roman" w:hAnsi="Arial" w:cs="Arial"/>
                <w:color w:val="D13438"/>
                <w:sz w:val="20"/>
                <w:szCs w:val="20"/>
                <w:lang w:val="en-GB" w:eastAsia="en-GB"/>
              </w:rPr>
              <w:t> </w:t>
            </w:r>
          </w:p>
        </w:tc>
        <w:tc>
          <w:tcPr>
            <w:tcW w:w="967" w:type="dxa"/>
            <w:tcBorders>
              <w:top w:val="single" w:sz="6" w:space="0" w:color="auto"/>
              <w:left w:val="single" w:sz="6" w:space="0" w:color="auto"/>
              <w:bottom w:val="single" w:sz="6" w:space="0" w:color="auto"/>
              <w:right w:val="single" w:sz="6" w:space="0" w:color="auto"/>
            </w:tcBorders>
            <w:hideMark/>
          </w:tcPr>
          <w:p w14:paraId="68CE7862" w14:textId="77777777" w:rsidR="004E2D2F" w:rsidRPr="004030DB" w:rsidRDefault="004E2D2F" w:rsidP="004E2D2F">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eastAsia="en-GB"/>
              </w:rPr>
              <w:t>0-2.5</w:t>
            </w:r>
            <w:r w:rsidRPr="004030DB">
              <w:rPr>
                <w:rFonts w:ascii="Arial" w:eastAsia="Times New Roman" w:hAnsi="Arial" w:cs="Arial"/>
                <w:color w:val="D13438"/>
                <w:sz w:val="20"/>
                <w:szCs w:val="20"/>
                <w:lang w:val="en-GB" w:eastAsia="en-GB"/>
              </w:rPr>
              <w:t> </w:t>
            </w:r>
          </w:p>
        </w:tc>
        <w:tc>
          <w:tcPr>
            <w:tcW w:w="935" w:type="dxa"/>
            <w:tcBorders>
              <w:top w:val="single" w:sz="6" w:space="0" w:color="auto"/>
              <w:left w:val="single" w:sz="6" w:space="0" w:color="auto"/>
              <w:bottom w:val="single" w:sz="6" w:space="0" w:color="auto"/>
              <w:right w:val="single" w:sz="6" w:space="0" w:color="auto"/>
            </w:tcBorders>
            <w:hideMark/>
          </w:tcPr>
          <w:p w14:paraId="53ED294F" w14:textId="77777777" w:rsidR="004E2D2F" w:rsidRPr="004030DB" w:rsidRDefault="004E2D2F" w:rsidP="004E2D2F">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eastAsia="en-GB"/>
              </w:rPr>
              <w:t>0</w:t>
            </w:r>
            <w:r w:rsidRPr="004030DB">
              <w:rPr>
                <w:rFonts w:ascii="Arial" w:eastAsia="Times New Roman" w:hAnsi="Arial" w:cs="Arial"/>
                <w:color w:val="D13438"/>
                <w:sz w:val="20"/>
                <w:szCs w:val="20"/>
                <w:lang w:val="en-GB" w:eastAsia="en-GB"/>
              </w:rPr>
              <w:t> </w:t>
            </w:r>
          </w:p>
        </w:tc>
        <w:tc>
          <w:tcPr>
            <w:tcW w:w="920" w:type="dxa"/>
            <w:tcBorders>
              <w:top w:val="single" w:sz="6" w:space="0" w:color="auto"/>
              <w:left w:val="single" w:sz="6" w:space="0" w:color="auto"/>
              <w:bottom w:val="single" w:sz="6" w:space="0" w:color="auto"/>
              <w:right w:val="single" w:sz="6" w:space="0" w:color="auto"/>
            </w:tcBorders>
            <w:hideMark/>
          </w:tcPr>
          <w:p w14:paraId="4C569025" w14:textId="77777777" w:rsidR="004E2D2F" w:rsidRPr="004030DB" w:rsidRDefault="004E2D2F" w:rsidP="004E2D2F">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eastAsia="en-GB"/>
              </w:rPr>
              <w:t>45-50</w:t>
            </w:r>
            <w:r w:rsidRPr="004030DB">
              <w:rPr>
                <w:rFonts w:ascii="Arial" w:eastAsia="Times New Roman" w:hAnsi="Arial" w:cs="Arial"/>
                <w:color w:val="D13438"/>
                <w:sz w:val="20"/>
                <w:szCs w:val="20"/>
                <w:lang w:val="en-GB" w:eastAsia="en-GB"/>
              </w:rPr>
              <w:t> </w:t>
            </w:r>
          </w:p>
        </w:tc>
        <w:tc>
          <w:tcPr>
            <w:tcW w:w="1317" w:type="dxa"/>
            <w:tcBorders>
              <w:top w:val="single" w:sz="6" w:space="0" w:color="auto"/>
              <w:left w:val="single" w:sz="6" w:space="0" w:color="auto"/>
              <w:bottom w:val="single" w:sz="6" w:space="0" w:color="auto"/>
              <w:right w:val="single" w:sz="6" w:space="0" w:color="auto"/>
            </w:tcBorders>
            <w:hideMark/>
          </w:tcPr>
          <w:p w14:paraId="2FE4AA1E" w14:textId="77777777" w:rsidR="004E2D2F" w:rsidRPr="004030DB" w:rsidRDefault="004E2D2F" w:rsidP="004E2D2F">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eastAsia="en-GB"/>
              </w:rPr>
              <w:t>25-30</w:t>
            </w:r>
            <w:r w:rsidRPr="004030DB">
              <w:rPr>
                <w:rFonts w:ascii="Arial" w:eastAsia="Times New Roman" w:hAnsi="Arial" w:cs="Arial"/>
                <w:color w:val="D13438"/>
                <w:sz w:val="20"/>
                <w:szCs w:val="20"/>
                <w:lang w:val="en-GB" w:eastAsia="en-GB"/>
              </w:rPr>
              <w:t> </w:t>
            </w:r>
          </w:p>
        </w:tc>
        <w:tc>
          <w:tcPr>
            <w:tcW w:w="1134" w:type="dxa"/>
            <w:tcBorders>
              <w:top w:val="single" w:sz="6" w:space="0" w:color="auto"/>
              <w:left w:val="single" w:sz="6" w:space="0" w:color="auto"/>
              <w:bottom w:val="single" w:sz="6" w:space="0" w:color="auto"/>
              <w:right w:val="single" w:sz="6" w:space="0" w:color="auto"/>
            </w:tcBorders>
            <w:hideMark/>
          </w:tcPr>
          <w:p w14:paraId="725F1018" w14:textId="77777777" w:rsidR="004E2D2F" w:rsidRPr="004030DB" w:rsidRDefault="004E2D2F" w:rsidP="004E2D2F">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eastAsia="en-GB"/>
              </w:rPr>
              <w:t>629 </w:t>
            </w:r>
            <w:r w:rsidRPr="004030DB">
              <w:rPr>
                <w:rFonts w:ascii="Arial" w:eastAsia="Times New Roman" w:hAnsi="Arial" w:cs="Arial"/>
                <w:color w:val="D13438"/>
                <w:sz w:val="20"/>
                <w:szCs w:val="20"/>
                <w:lang w:val="en-GB" w:eastAsia="en-GB"/>
              </w:rPr>
              <w:t> </w:t>
            </w:r>
          </w:p>
        </w:tc>
        <w:tc>
          <w:tcPr>
            <w:tcW w:w="1134" w:type="dxa"/>
            <w:tcBorders>
              <w:top w:val="single" w:sz="6" w:space="0" w:color="auto"/>
              <w:left w:val="single" w:sz="6" w:space="0" w:color="auto"/>
              <w:bottom w:val="single" w:sz="6" w:space="0" w:color="auto"/>
              <w:right w:val="single" w:sz="6" w:space="0" w:color="auto"/>
            </w:tcBorders>
            <w:hideMark/>
          </w:tcPr>
          <w:p w14:paraId="43F968B2" w14:textId="77777777" w:rsidR="004E2D2F" w:rsidRPr="004030DB" w:rsidRDefault="004E2D2F" w:rsidP="004E2D2F">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eastAsia="en-GB"/>
              </w:rPr>
              <w:t> 707 </w:t>
            </w:r>
            <w:r w:rsidRPr="004030DB">
              <w:rPr>
                <w:rFonts w:ascii="Arial" w:eastAsia="Times New Roman" w:hAnsi="Arial" w:cs="Arial"/>
                <w:color w:val="D13438"/>
                <w:sz w:val="20"/>
                <w:szCs w:val="20"/>
                <w:lang w:val="en-GB" w:eastAsia="en-GB"/>
              </w:rPr>
              <w:t> </w:t>
            </w:r>
          </w:p>
        </w:tc>
        <w:tc>
          <w:tcPr>
            <w:tcW w:w="1275" w:type="dxa"/>
            <w:tcBorders>
              <w:top w:val="single" w:sz="6" w:space="0" w:color="auto"/>
              <w:left w:val="single" w:sz="6" w:space="0" w:color="auto"/>
              <w:bottom w:val="single" w:sz="6" w:space="0" w:color="auto"/>
              <w:right w:val="single" w:sz="6" w:space="0" w:color="auto"/>
            </w:tcBorders>
            <w:hideMark/>
          </w:tcPr>
          <w:p w14:paraId="523257CB" w14:textId="77777777" w:rsidR="004E2D2F" w:rsidRPr="004030DB" w:rsidRDefault="004E2D2F" w:rsidP="004E2D2F">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eastAsia="en-GB"/>
              </w:rPr>
              <w:t> -   </w:t>
            </w:r>
            <w:r w:rsidRPr="004030DB">
              <w:rPr>
                <w:rFonts w:ascii="Arial" w:eastAsia="Times New Roman" w:hAnsi="Arial" w:cs="Arial"/>
                <w:color w:val="D13438"/>
                <w:sz w:val="20"/>
                <w:szCs w:val="20"/>
                <w:lang w:val="en-GB" w:eastAsia="en-GB"/>
              </w:rPr>
              <w:t> </w:t>
            </w:r>
          </w:p>
        </w:tc>
      </w:tr>
      <w:tr w:rsidR="004E2D2F" w:rsidRPr="004030DB" w14:paraId="070CF824" w14:textId="77777777" w:rsidTr="004E2D2F">
        <w:trPr>
          <w:trHeight w:val="300"/>
        </w:trPr>
        <w:tc>
          <w:tcPr>
            <w:tcW w:w="1560" w:type="dxa"/>
            <w:tcBorders>
              <w:top w:val="single" w:sz="6" w:space="0" w:color="auto"/>
              <w:left w:val="single" w:sz="6" w:space="0" w:color="auto"/>
              <w:bottom w:val="single" w:sz="6" w:space="0" w:color="auto"/>
              <w:right w:val="single" w:sz="6" w:space="0" w:color="auto"/>
            </w:tcBorders>
            <w:hideMark/>
          </w:tcPr>
          <w:p w14:paraId="04A3B79B" w14:textId="77777777" w:rsidR="004E2D2F" w:rsidRPr="004030DB" w:rsidRDefault="004E2D2F" w:rsidP="004E2D2F">
            <w:pPr>
              <w:widowControl/>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eastAsia="en-GB"/>
              </w:rPr>
              <w:t>A Davis</w:t>
            </w:r>
            <w:r w:rsidRPr="004030DB">
              <w:rPr>
                <w:rFonts w:ascii="Arial" w:eastAsia="Times New Roman" w:hAnsi="Arial" w:cs="Arial"/>
                <w:color w:val="D13438"/>
                <w:sz w:val="20"/>
                <w:szCs w:val="20"/>
                <w:lang w:val="en-GB" w:eastAsia="en-GB"/>
              </w:rPr>
              <w:t> </w:t>
            </w:r>
          </w:p>
        </w:tc>
        <w:tc>
          <w:tcPr>
            <w:tcW w:w="1673" w:type="dxa"/>
            <w:tcBorders>
              <w:top w:val="single" w:sz="6" w:space="0" w:color="auto"/>
              <w:left w:val="single" w:sz="6" w:space="0" w:color="auto"/>
              <w:bottom w:val="single" w:sz="6" w:space="0" w:color="auto"/>
              <w:right w:val="single" w:sz="6" w:space="0" w:color="auto"/>
            </w:tcBorders>
            <w:hideMark/>
          </w:tcPr>
          <w:p w14:paraId="17C76557" w14:textId="77777777" w:rsidR="004E2D2F" w:rsidRPr="004030DB" w:rsidRDefault="004E2D2F" w:rsidP="004E2D2F">
            <w:pPr>
              <w:widowControl/>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eastAsia="en-GB"/>
              </w:rPr>
              <w:t>Chief Medical Officer</w:t>
            </w:r>
            <w:r w:rsidRPr="004030DB">
              <w:rPr>
                <w:rFonts w:ascii="Arial" w:eastAsia="Times New Roman" w:hAnsi="Arial" w:cs="Arial"/>
                <w:color w:val="D13438"/>
                <w:sz w:val="20"/>
                <w:szCs w:val="20"/>
                <w:lang w:val="en-GB" w:eastAsia="en-GB"/>
              </w:rPr>
              <w:t> </w:t>
            </w:r>
          </w:p>
        </w:tc>
        <w:tc>
          <w:tcPr>
            <w:tcW w:w="967" w:type="dxa"/>
            <w:tcBorders>
              <w:top w:val="single" w:sz="6" w:space="0" w:color="auto"/>
              <w:left w:val="single" w:sz="6" w:space="0" w:color="auto"/>
              <w:bottom w:val="single" w:sz="6" w:space="0" w:color="auto"/>
              <w:right w:val="single" w:sz="6" w:space="0" w:color="auto"/>
            </w:tcBorders>
            <w:hideMark/>
          </w:tcPr>
          <w:p w14:paraId="57877EA4" w14:textId="77777777" w:rsidR="004E2D2F" w:rsidRPr="004030DB" w:rsidRDefault="004E2D2F" w:rsidP="004E2D2F">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eastAsia="en-GB"/>
              </w:rPr>
              <w:t>5-7.5</w:t>
            </w:r>
            <w:r w:rsidRPr="004030DB">
              <w:rPr>
                <w:rFonts w:ascii="Arial" w:eastAsia="Times New Roman" w:hAnsi="Arial" w:cs="Arial"/>
                <w:color w:val="D13438"/>
                <w:sz w:val="20"/>
                <w:szCs w:val="20"/>
                <w:lang w:val="en-GB" w:eastAsia="en-GB"/>
              </w:rPr>
              <w:t> </w:t>
            </w:r>
          </w:p>
        </w:tc>
        <w:tc>
          <w:tcPr>
            <w:tcW w:w="935" w:type="dxa"/>
            <w:tcBorders>
              <w:top w:val="single" w:sz="6" w:space="0" w:color="auto"/>
              <w:left w:val="single" w:sz="6" w:space="0" w:color="auto"/>
              <w:bottom w:val="single" w:sz="6" w:space="0" w:color="auto"/>
              <w:right w:val="single" w:sz="6" w:space="0" w:color="auto"/>
            </w:tcBorders>
            <w:hideMark/>
          </w:tcPr>
          <w:p w14:paraId="041230B9" w14:textId="77777777" w:rsidR="004E2D2F" w:rsidRPr="004030DB" w:rsidRDefault="004E2D2F" w:rsidP="004E2D2F">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eastAsia="en-GB"/>
              </w:rPr>
              <w:t>5-7.5</w:t>
            </w:r>
            <w:r w:rsidRPr="004030DB">
              <w:rPr>
                <w:rFonts w:ascii="Arial" w:eastAsia="Times New Roman" w:hAnsi="Arial" w:cs="Arial"/>
                <w:color w:val="D13438"/>
                <w:sz w:val="20"/>
                <w:szCs w:val="20"/>
                <w:lang w:val="en-GB" w:eastAsia="en-GB"/>
              </w:rPr>
              <w:t> </w:t>
            </w:r>
          </w:p>
        </w:tc>
        <w:tc>
          <w:tcPr>
            <w:tcW w:w="920" w:type="dxa"/>
            <w:tcBorders>
              <w:top w:val="single" w:sz="6" w:space="0" w:color="auto"/>
              <w:left w:val="single" w:sz="6" w:space="0" w:color="auto"/>
              <w:bottom w:val="single" w:sz="6" w:space="0" w:color="auto"/>
              <w:right w:val="single" w:sz="6" w:space="0" w:color="auto"/>
            </w:tcBorders>
            <w:hideMark/>
          </w:tcPr>
          <w:p w14:paraId="48E3E633" w14:textId="77777777" w:rsidR="004E2D2F" w:rsidRPr="004030DB" w:rsidRDefault="004E2D2F" w:rsidP="004E2D2F">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eastAsia="en-GB"/>
              </w:rPr>
              <w:t>85-90</w:t>
            </w:r>
            <w:r w:rsidRPr="004030DB">
              <w:rPr>
                <w:rFonts w:ascii="Arial" w:eastAsia="Times New Roman" w:hAnsi="Arial" w:cs="Arial"/>
                <w:color w:val="D13438"/>
                <w:sz w:val="20"/>
                <w:szCs w:val="20"/>
                <w:lang w:val="en-GB" w:eastAsia="en-GB"/>
              </w:rPr>
              <w:t> </w:t>
            </w:r>
          </w:p>
        </w:tc>
        <w:tc>
          <w:tcPr>
            <w:tcW w:w="1317" w:type="dxa"/>
            <w:tcBorders>
              <w:top w:val="single" w:sz="6" w:space="0" w:color="auto"/>
              <w:left w:val="single" w:sz="6" w:space="0" w:color="auto"/>
              <w:bottom w:val="single" w:sz="6" w:space="0" w:color="auto"/>
              <w:right w:val="single" w:sz="6" w:space="0" w:color="auto"/>
            </w:tcBorders>
            <w:hideMark/>
          </w:tcPr>
          <w:p w14:paraId="6A0306D2" w14:textId="77777777" w:rsidR="004E2D2F" w:rsidRPr="004030DB" w:rsidRDefault="004E2D2F" w:rsidP="004E2D2F">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eastAsia="en-GB"/>
              </w:rPr>
              <w:t>225-230</w:t>
            </w:r>
            <w:r w:rsidRPr="004030DB">
              <w:rPr>
                <w:rFonts w:ascii="Arial" w:eastAsia="Times New Roman" w:hAnsi="Arial" w:cs="Arial"/>
                <w:color w:val="D13438"/>
                <w:sz w:val="20"/>
                <w:szCs w:val="20"/>
                <w:lang w:val="en-GB" w:eastAsia="en-GB"/>
              </w:rPr>
              <w:t> </w:t>
            </w:r>
          </w:p>
        </w:tc>
        <w:tc>
          <w:tcPr>
            <w:tcW w:w="1134" w:type="dxa"/>
            <w:tcBorders>
              <w:top w:val="single" w:sz="6" w:space="0" w:color="auto"/>
              <w:left w:val="single" w:sz="6" w:space="0" w:color="auto"/>
              <w:bottom w:val="single" w:sz="6" w:space="0" w:color="auto"/>
              <w:right w:val="single" w:sz="6" w:space="0" w:color="auto"/>
            </w:tcBorders>
            <w:hideMark/>
          </w:tcPr>
          <w:p w14:paraId="11298D65" w14:textId="77777777" w:rsidR="004E2D2F" w:rsidRPr="004030DB" w:rsidRDefault="004E2D2F" w:rsidP="004E2D2F">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eastAsia="en-GB"/>
              </w:rPr>
              <w:t> 1,896 </w:t>
            </w:r>
            <w:r w:rsidRPr="004030DB">
              <w:rPr>
                <w:rFonts w:ascii="Arial" w:eastAsia="Times New Roman" w:hAnsi="Arial" w:cs="Arial"/>
                <w:color w:val="D13438"/>
                <w:sz w:val="20"/>
                <w:szCs w:val="20"/>
                <w:lang w:val="en-GB" w:eastAsia="en-GB"/>
              </w:rPr>
              <w:t> </w:t>
            </w:r>
          </w:p>
        </w:tc>
        <w:tc>
          <w:tcPr>
            <w:tcW w:w="1134" w:type="dxa"/>
            <w:tcBorders>
              <w:top w:val="single" w:sz="6" w:space="0" w:color="auto"/>
              <w:left w:val="single" w:sz="6" w:space="0" w:color="auto"/>
              <w:bottom w:val="single" w:sz="6" w:space="0" w:color="auto"/>
              <w:right w:val="single" w:sz="6" w:space="0" w:color="auto"/>
            </w:tcBorders>
            <w:hideMark/>
          </w:tcPr>
          <w:p w14:paraId="02220CC6" w14:textId="77777777" w:rsidR="004E2D2F" w:rsidRPr="004030DB" w:rsidRDefault="004E2D2F" w:rsidP="004E2D2F">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eastAsia="en-GB"/>
              </w:rPr>
              <w:t> 2,182</w:t>
            </w:r>
            <w:r w:rsidRPr="004030DB">
              <w:rPr>
                <w:rFonts w:ascii="Arial" w:eastAsia="Times New Roman" w:hAnsi="Arial" w:cs="Arial"/>
                <w:color w:val="D13438"/>
                <w:sz w:val="20"/>
                <w:szCs w:val="20"/>
                <w:lang w:val="en-GB" w:eastAsia="en-GB"/>
              </w:rPr>
              <w:t> </w:t>
            </w:r>
          </w:p>
        </w:tc>
        <w:tc>
          <w:tcPr>
            <w:tcW w:w="1275" w:type="dxa"/>
            <w:tcBorders>
              <w:top w:val="single" w:sz="6" w:space="0" w:color="auto"/>
              <w:left w:val="single" w:sz="6" w:space="0" w:color="auto"/>
              <w:bottom w:val="single" w:sz="6" w:space="0" w:color="auto"/>
              <w:right w:val="single" w:sz="6" w:space="0" w:color="auto"/>
            </w:tcBorders>
            <w:hideMark/>
          </w:tcPr>
          <w:p w14:paraId="6F50BA6E" w14:textId="77777777" w:rsidR="004E2D2F" w:rsidRPr="004030DB" w:rsidRDefault="004E2D2F" w:rsidP="004E2D2F">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eastAsia="en-GB"/>
              </w:rPr>
              <w:t>104 </w:t>
            </w:r>
            <w:r w:rsidRPr="004030DB">
              <w:rPr>
                <w:rFonts w:ascii="Arial" w:eastAsia="Times New Roman" w:hAnsi="Arial" w:cs="Arial"/>
                <w:color w:val="D13438"/>
                <w:sz w:val="20"/>
                <w:szCs w:val="20"/>
                <w:lang w:val="en-GB" w:eastAsia="en-GB"/>
              </w:rPr>
              <w:t> </w:t>
            </w:r>
          </w:p>
        </w:tc>
      </w:tr>
      <w:tr w:rsidR="004E2D2F" w:rsidRPr="004030DB" w14:paraId="0FFDF649" w14:textId="77777777" w:rsidTr="004E2D2F">
        <w:trPr>
          <w:trHeight w:val="300"/>
        </w:trPr>
        <w:tc>
          <w:tcPr>
            <w:tcW w:w="1560" w:type="dxa"/>
            <w:tcBorders>
              <w:top w:val="single" w:sz="6" w:space="0" w:color="auto"/>
              <w:left w:val="single" w:sz="6" w:space="0" w:color="auto"/>
              <w:bottom w:val="single" w:sz="6" w:space="0" w:color="auto"/>
              <w:right w:val="single" w:sz="6" w:space="0" w:color="auto"/>
            </w:tcBorders>
            <w:hideMark/>
          </w:tcPr>
          <w:p w14:paraId="17982FF5" w14:textId="77777777" w:rsidR="004E2D2F" w:rsidRPr="004030DB" w:rsidRDefault="004E2D2F" w:rsidP="004E2D2F">
            <w:pPr>
              <w:widowControl/>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eastAsia="en-GB"/>
              </w:rPr>
              <w:lastRenderedPageBreak/>
              <w:t>G Macdonald</w:t>
            </w:r>
            <w:r w:rsidRPr="004030DB">
              <w:rPr>
                <w:rFonts w:ascii="Arial" w:eastAsia="Times New Roman" w:hAnsi="Arial" w:cs="Arial"/>
                <w:color w:val="D13438"/>
                <w:sz w:val="20"/>
                <w:szCs w:val="20"/>
                <w:lang w:val="en-GB" w:eastAsia="en-GB"/>
              </w:rPr>
              <w:t> </w:t>
            </w:r>
          </w:p>
        </w:tc>
        <w:tc>
          <w:tcPr>
            <w:tcW w:w="1673" w:type="dxa"/>
            <w:tcBorders>
              <w:top w:val="single" w:sz="6" w:space="0" w:color="auto"/>
              <w:left w:val="single" w:sz="6" w:space="0" w:color="auto"/>
              <w:bottom w:val="single" w:sz="6" w:space="0" w:color="auto"/>
              <w:right w:val="single" w:sz="6" w:space="0" w:color="auto"/>
            </w:tcBorders>
            <w:hideMark/>
          </w:tcPr>
          <w:p w14:paraId="44748A4B" w14:textId="77777777" w:rsidR="004E2D2F" w:rsidRPr="004030DB" w:rsidRDefault="004E2D2F" w:rsidP="004E2D2F">
            <w:pPr>
              <w:widowControl/>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eastAsia="en-GB"/>
              </w:rPr>
              <w:t>Chief Delivery Officer</w:t>
            </w:r>
            <w:r w:rsidRPr="004030DB">
              <w:rPr>
                <w:rFonts w:ascii="Arial" w:eastAsia="Times New Roman" w:hAnsi="Arial" w:cs="Arial"/>
                <w:color w:val="D13438"/>
                <w:sz w:val="20"/>
                <w:szCs w:val="20"/>
                <w:lang w:val="en-GB" w:eastAsia="en-GB"/>
              </w:rPr>
              <w:t> </w:t>
            </w:r>
          </w:p>
        </w:tc>
        <w:tc>
          <w:tcPr>
            <w:tcW w:w="967" w:type="dxa"/>
            <w:tcBorders>
              <w:top w:val="single" w:sz="6" w:space="0" w:color="auto"/>
              <w:left w:val="single" w:sz="6" w:space="0" w:color="auto"/>
              <w:bottom w:val="single" w:sz="6" w:space="0" w:color="auto"/>
              <w:right w:val="single" w:sz="6" w:space="0" w:color="auto"/>
            </w:tcBorders>
            <w:hideMark/>
          </w:tcPr>
          <w:p w14:paraId="45EA333E" w14:textId="77777777" w:rsidR="004E2D2F" w:rsidRPr="004030DB" w:rsidRDefault="004E2D2F" w:rsidP="004E2D2F">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eastAsia="en-GB"/>
              </w:rPr>
              <w:t>0</w:t>
            </w:r>
            <w:r w:rsidRPr="004030DB">
              <w:rPr>
                <w:rFonts w:ascii="Arial" w:eastAsia="Times New Roman" w:hAnsi="Arial" w:cs="Arial"/>
                <w:color w:val="D13438"/>
                <w:sz w:val="20"/>
                <w:szCs w:val="20"/>
                <w:lang w:val="en-GB" w:eastAsia="en-GB"/>
              </w:rPr>
              <w:t> </w:t>
            </w:r>
          </w:p>
        </w:tc>
        <w:tc>
          <w:tcPr>
            <w:tcW w:w="935" w:type="dxa"/>
            <w:tcBorders>
              <w:top w:val="single" w:sz="6" w:space="0" w:color="auto"/>
              <w:left w:val="single" w:sz="6" w:space="0" w:color="auto"/>
              <w:bottom w:val="single" w:sz="6" w:space="0" w:color="auto"/>
              <w:right w:val="single" w:sz="6" w:space="0" w:color="auto"/>
            </w:tcBorders>
            <w:hideMark/>
          </w:tcPr>
          <w:p w14:paraId="44BC9CC0" w14:textId="77777777" w:rsidR="004E2D2F" w:rsidRPr="004030DB" w:rsidRDefault="004E2D2F" w:rsidP="004E2D2F">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eastAsia="en-GB"/>
              </w:rPr>
              <w:t>0</w:t>
            </w:r>
            <w:r w:rsidRPr="004030DB">
              <w:rPr>
                <w:rFonts w:ascii="Arial" w:eastAsia="Times New Roman" w:hAnsi="Arial" w:cs="Arial"/>
                <w:color w:val="D13438"/>
                <w:sz w:val="20"/>
                <w:szCs w:val="20"/>
                <w:lang w:val="en-GB" w:eastAsia="en-GB"/>
              </w:rPr>
              <w:t> </w:t>
            </w:r>
          </w:p>
        </w:tc>
        <w:tc>
          <w:tcPr>
            <w:tcW w:w="920" w:type="dxa"/>
            <w:tcBorders>
              <w:top w:val="single" w:sz="6" w:space="0" w:color="auto"/>
              <w:left w:val="single" w:sz="6" w:space="0" w:color="auto"/>
              <w:bottom w:val="single" w:sz="6" w:space="0" w:color="auto"/>
              <w:right w:val="single" w:sz="6" w:space="0" w:color="auto"/>
            </w:tcBorders>
            <w:hideMark/>
          </w:tcPr>
          <w:p w14:paraId="12D659AE" w14:textId="77777777" w:rsidR="004E2D2F" w:rsidRPr="004030DB" w:rsidRDefault="004E2D2F" w:rsidP="004E2D2F">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eastAsia="en-GB"/>
              </w:rPr>
              <w:t>30-35</w:t>
            </w:r>
            <w:r w:rsidRPr="004030DB">
              <w:rPr>
                <w:rFonts w:ascii="Arial" w:eastAsia="Times New Roman" w:hAnsi="Arial" w:cs="Arial"/>
                <w:color w:val="D13438"/>
                <w:sz w:val="20"/>
                <w:szCs w:val="20"/>
                <w:lang w:val="en-GB" w:eastAsia="en-GB"/>
              </w:rPr>
              <w:t> </w:t>
            </w:r>
          </w:p>
        </w:tc>
        <w:tc>
          <w:tcPr>
            <w:tcW w:w="1317" w:type="dxa"/>
            <w:tcBorders>
              <w:top w:val="single" w:sz="6" w:space="0" w:color="auto"/>
              <w:left w:val="single" w:sz="6" w:space="0" w:color="auto"/>
              <w:bottom w:val="single" w:sz="6" w:space="0" w:color="auto"/>
              <w:right w:val="single" w:sz="6" w:space="0" w:color="auto"/>
            </w:tcBorders>
            <w:hideMark/>
          </w:tcPr>
          <w:p w14:paraId="443B1937" w14:textId="77777777" w:rsidR="004E2D2F" w:rsidRPr="004030DB" w:rsidRDefault="004E2D2F" w:rsidP="004E2D2F">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eastAsia="en-GB"/>
              </w:rPr>
              <w:t>85-90</w:t>
            </w:r>
            <w:r w:rsidRPr="004030DB">
              <w:rPr>
                <w:rFonts w:ascii="Arial" w:eastAsia="Times New Roman" w:hAnsi="Arial" w:cs="Arial"/>
                <w:color w:val="D13438"/>
                <w:sz w:val="20"/>
                <w:szCs w:val="20"/>
                <w:lang w:val="en-GB" w:eastAsia="en-GB"/>
              </w:rPr>
              <w:t> </w:t>
            </w:r>
          </w:p>
        </w:tc>
        <w:tc>
          <w:tcPr>
            <w:tcW w:w="1134" w:type="dxa"/>
            <w:tcBorders>
              <w:top w:val="single" w:sz="6" w:space="0" w:color="auto"/>
              <w:left w:val="single" w:sz="6" w:space="0" w:color="auto"/>
              <w:bottom w:val="single" w:sz="6" w:space="0" w:color="auto"/>
              <w:right w:val="single" w:sz="6" w:space="0" w:color="auto"/>
            </w:tcBorders>
            <w:hideMark/>
          </w:tcPr>
          <w:p w14:paraId="2A4324E1" w14:textId="77777777" w:rsidR="004E2D2F" w:rsidRPr="004030DB" w:rsidRDefault="004E2D2F" w:rsidP="004E2D2F">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eastAsia="en-GB"/>
              </w:rPr>
              <w:t> 687 </w:t>
            </w:r>
            <w:r w:rsidRPr="004030DB">
              <w:rPr>
                <w:rFonts w:ascii="Arial" w:eastAsia="Times New Roman" w:hAnsi="Arial" w:cs="Arial"/>
                <w:color w:val="D13438"/>
                <w:sz w:val="20"/>
                <w:szCs w:val="20"/>
                <w:lang w:val="en-GB" w:eastAsia="en-GB"/>
              </w:rPr>
              <w:t> </w:t>
            </w:r>
          </w:p>
        </w:tc>
        <w:tc>
          <w:tcPr>
            <w:tcW w:w="1134" w:type="dxa"/>
            <w:tcBorders>
              <w:top w:val="single" w:sz="6" w:space="0" w:color="auto"/>
              <w:left w:val="single" w:sz="6" w:space="0" w:color="auto"/>
              <w:bottom w:val="single" w:sz="6" w:space="0" w:color="auto"/>
              <w:right w:val="single" w:sz="6" w:space="0" w:color="auto"/>
            </w:tcBorders>
            <w:hideMark/>
          </w:tcPr>
          <w:p w14:paraId="6CEA93AB" w14:textId="77777777" w:rsidR="004E2D2F" w:rsidRPr="004030DB" w:rsidRDefault="004E2D2F" w:rsidP="004E2D2F">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eastAsia="en-GB"/>
              </w:rPr>
              <w:t>713 </w:t>
            </w:r>
            <w:r w:rsidRPr="004030DB">
              <w:rPr>
                <w:rFonts w:ascii="Arial" w:eastAsia="Times New Roman" w:hAnsi="Arial" w:cs="Arial"/>
                <w:color w:val="D13438"/>
                <w:sz w:val="20"/>
                <w:szCs w:val="20"/>
                <w:lang w:val="en-GB" w:eastAsia="en-GB"/>
              </w:rPr>
              <w:t> </w:t>
            </w:r>
          </w:p>
        </w:tc>
        <w:tc>
          <w:tcPr>
            <w:tcW w:w="1275" w:type="dxa"/>
            <w:tcBorders>
              <w:top w:val="single" w:sz="6" w:space="0" w:color="auto"/>
              <w:left w:val="single" w:sz="6" w:space="0" w:color="auto"/>
              <w:bottom w:val="single" w:sz="6" w:space="0" w:color="auto"/>
              <w:right w:val="single" w:sz="6" w:space="0" w:color="auto"/>
            </w:tcBorders>
            <w:hideMark/>
          </w:tcPr>
          <w:p w14:paraId="7E2FEF58" w14:textId="77777777" w:rsidR="004E2D2F" w:rsidRPr="004030DB" w:rsidRDefault="004E2D2F" w:rsidP="004E2D2F">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eastAsia="en-GB"/>
              </w:rPr>
              <w:t>-   </w:t>
            </w:r>
            <w:r w:rsidRPr="004030DB">
              <w:rPr>
                <w:rFonts w:ascii="Arial" w:eastAsia="Times New Roman" w:hAnsi="Arial" w:cs="Arial"/>
                <w:color w:val="D13438"/>
                <w:sz w:val="20"/>
                <w:szCs w:val="20"/>
                <w:lang w:val="en-GB" w:eastAsia="en-GB"/>
              </w:rPr>
              <w:t> </w:t>
            </w:r>
          </w:p>
        </w:tc>
      </w:tr>
      <w:tr w:rsidR="004E2D2F" w:rsidRPr="004030DB" w14:paraId="32E9FBB6" w14:textId="77777777" w:rsidTr="004E2D2F">
        <w:trPr>
          <w:trHeight w:val="300"/>
        </w:trPr>
        <w:tc>
          <w:tcPr>
            <w:tcW w:w="1560" w:type="dxa"/>
            <w:tcBorders>
              <w:top w:val="single" w:sz="6" w:space="0" w:color="auto"/>
              <w:left w:val="single" w:sz="6" w:space="0" w:color="auto"/>
              <w:bottom w:val="single" w:sz="6" w:space="0" w:color="auto"/>
              <w:right w:val="single" w:sz="6" w:space="0" w:color="auto"/>
            </w:tcBorders>
            <w:hideMark/>
          </w:tcPr>
          <w:p w14:paraId="1CDE16FA" w14:textId="77777777" w:rsidR="004E2D2F" w:rsidRPr="004030DB" w:rsidRDefault="004E2D2F" w:rsidP="004E2D2F">
            <w:pPr>
              <w:widowControl/>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eastAsia="en-GB"/>
              </w:rPr>
              <w:t>N Sinclair</w:t>
            </w:r>
            <w:r w:rsidRPr="004030DB">
              <w:rPr>
                <w:rFonts w:ascii="Arial" w:eastAsia="Times New Roman" w:hAnsi="Arial" w:cs="Arial"/>
                <w:color w:val="D13438"/>
                <w:sz w:val="20"/>
                <w:szCs w:val="20"/>
                <w:lang w:val="en-GB" w:eastAsia="en-GB"/>
              </w:rPr>
              <w:t> </w:t>
            </w:r>
          </w:p>
        </w:tc>
        <w:tc>
          <w:tcPr>
            <w:tcW w:w="1673" w:type="dxa"/>
            <w:tcBorders>
              <w:top w:val="single" w:sz="6" w:space="0" w:color="auto"/>
              <w:left w:val="single" w:sz="6" w:space="0" w:color="auto"/>
              <w:bottom w:val="single" w:sz="6" w:space="0" w:color="auto"/>
              <w:right w:val="single" w:sz="6" w:space="0" w:color="auto"/>
            </w:tcBorders>
            <w:hideMark/>
          </w:tcPr>
          <w:p w14:paraId="0F24411A" w14:textId="77777777" w:rsidR="004E2D2F" w:rsidRPr="004030DB" w:rsidRDefault="004E2D2F" w:rsidP="004E2D2F">
            <w:pPr>
              <w:widowControl/>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eastAsia="en-GB"/>
              </w:rPr>
              <w:t>Chief Operating Officer</w:t>
            </w:r>
            <w:r w:rsidRPr="004030DB">
              <w:rPr>
                <w:rFonts w:ascii="Arial" w:eastAsia="Times New Roman" w:hAnsi="Arial" w:cs="Arial"/>
                <w:color w:val="D13438"/>
                <w:sz w:val="20"/>
                <w:szCs w:val="20"/>
                <w:lang w:val="en-GB" w:eastAsia="en-GB"/>
              </w:rPr>
              <w:t> </w:t>
            </w:r>
          </w:p>
        </w:tc>
        <w:tc>
          <w:tcPr>
            <w:tcW w:w="967" w:type="dxa"/>
            <w:tcBorders>
              <w:top w:val="single" w:sz="6" w:space="0" w:color="auto"/>
              <w:left w:val="single" w:sz="6" w:space="0" w:color="auto"/>
              <w:bottom w:val="single" w:sz="6" w:space="0" w:color="auto"/>
              <w:right w:val="single" w:sz="6" w:space="0" w:color="auto"/>
            </w:tcBorders>
            <w:hideMark/>
          </w:tcPr>
          <w:p w14:paraId="7CE23279" w14:textId="77777777" w:rsidR="004E2D2F" w:rsidRPr="004030DB" w:rsidRDefault="004E2D2F" w:rsidP="004E2D2F">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eastAsia="en-GB"/>
              </w:rPr>
              <w:t>2.5-5</w:t>
            </w:r>
            <w:r w:rsidRPr="004030DB">
              <w:rPr>
                <w:rFonts w:ascii="Arial" w:eastAsia="Times New Roman" w:hAnsi="Arial" w:cs="Arial"/>
                <w:color w:val="D13438"/>
                <w:sz w:val="20"/>
                <w:szCs w:val="20"/>
                <w:lang w:val="en-GB" w:eastAsia="en-GB"/>
              </w:rPr>
              <w:t> </w:t>
            </w:r>
          </w:p>
        </w:tc>
        <w:tc>
          <w:tcPr>
            <w:tcW w:w="935" w:type="dxa"/>
            <w:tcBorders>
              <w:top w:val="single" w:sz="6" w:space="0" w:color="auto"/>
              <w:left w:val="single" w:sz="6" w:space="0" w:color="auto"/>
              <w:bottom w:val="single" w:sz="6" w:space="0" w:color="auto"/>
              <w:right w:val="single" w:sz="6" w:space="0" w:color="auto"/>
            </w:tcBorders>
            <w:hideMark/>
          </w:tcPr>
          <w:p w14:paraId="0CB7365C" w14:textId="77777777" w:rsidR="004E2D2F" w:rsidRPr="004030DB" w:rsidRDefault="004E2D2F" w:rsidP="004E2D2F">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eastAsia="en-GB"/>
              </w:rPr>
              <w:t>2.5-5</w:t>
            </w:r>
            <w:r w:rsidRPr="004030DB">
              <w:rPr>
                <w:rFonts w:ascii="Arial" w:eastAsia="Times New Roman" w:hAnsi="Arial" w:cs="Arial"/>
                <w:color w:val="D13438"/>
                <w:sz w:val="20"/>
                <w:szCs w:val="20"/>
                <w:lang w:val="en-GB" w:eastAsia="en-GB"/>
              </w:rPr>
              <w:t> </w:t>
            </w:r>
          </w:p>
        </w:tc>
        <w:tc>
          <w:tcPr>
            <w:tcW w:w="920" w:type="dxa"/>
            <w:tcBorders>
              <w:top w:val="single" w:sz="6" w:space="0" w:color="auto"/>
              <w:left w:val="single" w:sz="6" w:space="0" w:color="auto"/>
              <w:bottom w:val="single" w:sz="6" w:space="0" w:color="auto"/>
              <w:right w:val="single" w:sz="6" w:space="0" w:color="auto"/>
            </w:tcBorders>
            <w:hideMark/>
          </w:tcPr>
          <w:p w14:paraId="6BAD1833" w14:textId="77777777" w:rsidR="004E2D2F" w:rsidRPr="004030DB" w:rsidRDefault="004E2D2F" w:rsidP="004E2D2F">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eastAsia="en-GB"/>
              </w:rPr>
              <w:t>50-55</w:t>
            </w:r>
            <w:r w:rsidRPr="004030DB">
              <w:rPr>
                <w:rFonts w:ascii="Arial" w:eastAsia="Times New Roman" w:hAnsi="Arial" w:cs="Arial"/>
                <w:color w:val="D13438"/>
                <w:sz w:val="20"/>
                <w:szCs w:val="20"/>
                <w:lang w:val="en-GB" w:eastAsia="en-GB"/>
              </w:rPr>
              <w:t> </w:t>
            </w:r>
          </w:p>
        </w:tc>
        <w:tc>
          <w:tcPr>
            <w:tcW w:w="1317" w:type="dxa"/>
            <w:tcBorders>
              <w:top w:val="single" w:sz="6" w:space="0" w:color="auto"/>
              <w:left w:val="single" w:sz="6" w:space="0" w:color="auto"/>
              <w:bottom w:val="single" w:sz="6" w:space="0" w:color="auto"/>
              <w:right w:val="single" w:sz="6" w:space="0" w:color="auto"/>
            </w:tcBorders>
            <w:hideMark/>
          </w:tcPr>
          <w:p w14:paraId="6A863FE1" w14:textId="77777777" w:rsidR="004E2D2F" w:rsidRPr="004030DB" w:rsidRDefault="004E2D2F" w:rsidP="004E2D2F">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eastAsia="en-GB"/>
              </w:rPr>
              <w:t>140-145</w:t>
            </w:r>
            <w:r w:rsidRPr="004030DB">
              <w:rPr>
                <w:rFonts w:ascii="Arial" w:eastAsia="Times New Roman" w:hAnsi="Arial" w:cs="Arial"/>
                <w:color w:val="D13438"/>
                <w:sz w:val="20"/>
                <w:szCs w:val="20"/>
                <w:lang w:val="en-GB" w:eastAsia="en-GB"/>
              </w:rPr>
              <w:t> </w:t>
            </w:r>
          </w:p>
        </w:tc>
        <w:tc>
          <w:tcPr>
            <w:tcW w:w="1134" w:type="dxa"/>
            <w:tcBorders>
              <w:top w:val="single" w:sz="6" w:space="0" w:color="auto"/>
              <w:left w:val="single" w:sz="6" w:space="0" w:color="auto"/>
              <w:bottom w:val="single" w:sz="6" w:space="0" w:color="auto"/>
              <w:right w:val="single" w:sz="6" w:space="0" w:color="auto"/>
            </w:tcBorders>
            <w:hideMark/>
          </w:tcPr>
          <w:p w14:paraId="3B4D958C" w14:textId="77777777" w:rsidR="004E2D2F" w:rsidRPr="004030DB" w:rsidRDefault="004E2D2F" w:rsidP="004E2D2F">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eastAsia="en-GB"/>
              </w:rPr>
              <w:t> 1,004 </w:t>
            </w:r>
            <w:r w:rsidRPr="004030DB">
              <w:rPr>
                <w:rFonts w:ascii="Arial" w:eastAsia="Times New Roman" w:hAnsi="Arial" w:cs="Arial"/>
                <w:color w:val="D13438"/>
                <w:sz w:val="20"/>
                <w:szCs w:val="20"/>
                <w:lang w:val="en-GB" w:eastAsia="en-GB"/>
              </w:rPr>
              <w:t> </w:t>
            </w:r>
          </w:p>
        </w:tc>
        <w:tc>
          <w:tcPr>
            <w:tcW w:w="1134" w:type="dxa"/>
            <w:tcBorders>
              <w:top w:val="single" w:sz="6" w:space="0" w:color="auto"/>
              <w:left w:val="single" w:sz="6" w:space="0" w:color="auto"/>
              <w:bottom w:val="single" w:sz="6" w:space="0" w:color="auto"/>
              <w:right w:val="single" w:sz="6" w:space="0" w:color="auto"/>
            </w:tcBorders>
            <w:hideMark/>
          </w:tcPr>
          <w:p w14:paraId="2A6EEA89" w14:textId="77777777" w:rsidR="004E2D2F" w:rsidRPr="004030DB" w:rsidRDefault="004E2D2F" w:rsidP="004E2D2F">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eastAsia="en-GB"/>
              </w:rPr>
              <w:t>  1,165 </w:t>
            </w:r>
            <w:r w:rsidRPr="004030DB">
              <w:rPr>
                <w:rFonts w:ascii="Arial" w:eastAsia="Times New Roman" w:hAnsi="Arial" w:cs="Arial"/>
                <w:color w:val="D13438"/>
                <w:sz w:val="20"/>
                <w:szCs w:val="20"/>
                <w:lang w:val="en-GB" w:eastAsia="en-GB"/>
              </w:rPr>
              <w:t> </w:t>
            </w:r>
          </w:p>
        </w:tc>
        <w:tc>
          <w:tcPr>
            <w:tcW w:w="1275" w:type="dxa"/>
            <w:tcBorders>
              <w:top w:val="single" w:sz="6" w:space="0" w:color="auto"/>
              <w:left w:val="single" w:sz="6" w:space="0" w:color="auto"/>
              <w:bottom w:val="single" w:sz="6" w:space="0" w:color="auto"/>
              <w:right w:val="single" w:sz="6" w:space="0" w:color="auto"/>
            </w:tcBorders>
            <w:hideMark/>
          </w:tcPr>
          <w:p w14:paraId="7C2858F7" w14:textId="77777777" w:rsidR="004E2D2F" w:rsidRPr="004030DB" w:rsidRDefault="004E2D2F" w:rsidP="004E2D2F">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eastAsia="en-GB"/>
              </w:rPr>
              <w:t>56 </w:t>
            </w:r>
            <w:r w:rsidRPr="004030DB">
              <w:rPr>
                <w:rFonts w:ascii="Arial" w:eastAsia="Times New Roman" w:hAnsi="Arial" w:cs="Arial"/>
                <w:color w:val="D13438"/>
                <w:sz w:val="20"/>
                <w:szCs w:val="20"/>
                <w:lang w:val="en-GB" w:eastAsia="en-GB"/>
              </w:rPr>
              <w:t> </w:t>
            </w:r>
          </w:p>
        </w:tc>
      </w:tr>
      <w:tr w:rsidR="004E2D2F" w:rsidRPr="004030DB" w14:paraId="520D71D8" w14:textId="77777777" w:rsidTr="004E2D2F">
        <w:trPr>
          <w:trHeight w:val="300"/>
        </w:trPr>
        <w:tc>
          <w:tcPr>
            <w:tcW w:w="1560" w:type="dxa"/>
            <w:tcBorders>
              <w:top w:val="single" w:sz="6" w:space="0" w:color="auto"/>
              <w:left w:val="single" w:sz="6" w:space="0" w:color="auto"/>
              <w:bottom w:val="single" w:sz="6" w:space="0" w:color="auto"/>
              <w:right w:val="single" w:sz="6" w:space="0" w:color="auto"/>
            </w:tcBorders>
            <w:hideMark/>
          </w:tcPr>
          <w:p w14:paraId="556A31E2" w14:textId="77777777" w:rsidR="004E2D2F" w:rsidRPr="004030DB" w:rsidRDefault="004E2D2F" w:rsidP="004E2D2F">
            <w:pPr>
              <w:widowControl/>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eastAsia="en-GB"/>
              </w:rPr>
              <w:t>A Davies</w:t>
            </w:r>
            <w:r w:rsidRPr="004030DB">
              <w:rPr>
                <w:rFonts w:ascii="Arial" w:eastAsia="Times New Roman" w:hAnsi="Arial" w:cs="Arial"/>
                <w:color w:val="D13438"/>
                <w:sz w:val="20"/>
                <w:szCs w:val="20"/>
                <w:lang w:val="en-GB" w:eastAsia="en-GB"/>
              </w:rPr>
              <w:t> </w:t>
            </w:r>
          </w:p>
        </w:tc>
        <w:tc>
          <w:tcPr>
            <w:tcW w:w="1673" w:type="dxa"/>
            <w:tcBorders>
              <w:top w:val="single" w:sz="6" w:space="0" w:color="auto"/>
              <w:left w:val="single" w:sz="6" w:space="0" w:color="auto"/>
              <w:bottom w:val="single" w:sz="6" w:space="0" w:color="auto"/>
              <w:right w:val="single" w:sz="6" w:space="0" w:color="auto"/>
            </w:tcBorders>
            <w:hideMark/>
          </w:tcPr>
          <w:p w14:paraId="660890DA" w14:textId="77777777" w:rsidR="004E2D2F" w:rsidRPr="004030DB" w:rsidRDefault="004E2D2F" w:rsidP="004E2D2F">
            <w:pPr>
              <w:widowControl/>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eastAsia="en-GB"/>
              </w:rPr>
              <w:t>Chief Financial Officer</w:t>
            </w:r>
            <w:r w:rsidRPr="004030DB">
              <w:rPr>
                <w:rFonts w:ascii="Arial" w:eastAsia="Times New Roman" w:hAnsi="Arial" w:cs="Arial"/>
                <w:color w:val="D13438"/>
                <w:sz w:val="20"/>
                <w:szCs w:val="20"/>
                <w:lang w:val="en-GB" w:eastAsia="en-GB"/>
              </w:rPr>
              <w:t> </w:t>
            </w:r>
          </w:p>
        </w:tc>
        <w:tc>
          <w:tcPr>
            <w:tcW w:w="967" w:type="dxa"/>
            <w:tcBorders>
              <w:top w:val="single" w:sz="6" w:space="0" w:color="auto"/>
              <w:left w:val="single" w:sz="6" w:space="0" w:color="auto"/>
              <w:bottom w:val="single" w:sz="6" w:space="0" w:color="auto"/>
              <w:right w:val="single" w:sz="6" w:space="0" w:color="auto"/>
            </w:tcBorders>
            <w:hideMark/>
          </w:tcPr>
          <w:p w14:paraId="71A9EEA8" w14:textId="77777777" w:rsidR="004E2D2F" w:rsidRPr="004030DB" w:rsidRDefault="004E2D2F" w:rsidP="004E2D2F">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eastAsia="en-GB"/>
              </w:rPr>
              <w:t>0</w:t>
            </w:r>
            <w:r w:rsidRPr="004030DB">
              <w:rPr>
                <w:rFonts w:ascii="Arial" w:eastAsia="Times New Roman" w:hAnsi="Arial" w:cs="Arial"/>
                <w:color w:val="D13438"/>
                <w:sz w:val="20"/>
                <w:szCs w:val="20"/>
                <w:lang w:val="en-GB" w:eastAsia="en-GB"/>
              </w:rPr>
              <w:t> </w:t>
            </w:r>
          </w:p>
        </w:tc>
        <w:tc>
          <w:tcPr>
            <w:tcW w:w="935" w:type="dxa"/>
            <w:tcBorders>
              <w:top w:val="single" w:sz="6" w:space="0" w:color="auto"/>
              <w:left w:val="single" w:sz="6" w:space="0" w:color="auto"/>
              <w:bottom w:val="single" w:sz="6" w:space="0" w:color="auto"/>
              <w:right w:val="single" w:sz="6" w:space="0" w:color="auto"/>
            </w:tcBorders>
            <w:hideMark/>
          </w:tcPr>
          <w:p w14:paraId="1F359FB7" w14:textId="77777777" w:rsidR="004E2D2F" w:rsidRPr="004030DB" w:rsidRDefault="004E2D2F" w:rsidP="004E2D2F">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eastAsia="en-GB"/>
              </w:rPr>
              <w:t>0</w:t>
            </w:r>
            <w:r w:rsidRPr="004030DB">
              <w:rPr>
                <w:rFonts w:ascii="Arial" w:eastAsia="Times New Roman" w:hAnsi="Arial" w:cs="Arial"/>
                <w:color w:val="D13438"/>
                <w:sz w:val="20"/>
                <w:szCs w:val="20"/>
                <w:lang w:val="en-GB" w:eastAsia="en-GB"/>
              </w:rPr>
              <w:t> </w:t>
            </w:r>
          </w:p>
        </w:tc>
        <w:tc>
          <w:tcPr>
            <w:tcW w:w="920" w:type="dxa"/>
            <w:tcBorders>
              <w:top w:val="single" w:sz="6" w:space="0" w:color="auto"/>
              <w:left w:val="single" w:sz="6" w:space="0" w:color="auto"/>
              <w:bottom w:val="single" w:sz="6" w:space="0" w:color="auto"/>
              <w:right w:val="single" w:sz="6" w:space="0" w:color="auto"/>
            </w:tcBorders>
            <w:hideMark/>
          </w:tcPr>
          <w:p w14:paraId="673CEC8C" w14:textId="77777777" w:rsidR="004E2D2F" w:rsidRPr="004030DB" w:rsidRDefault="004E2D2F" w:rsidP="004E2D2F">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eastAsia="en-GB"/>
              </w:rPr>
              <w:t>55-60</w:t>
            </w:r>
            <w:r w:rsidRPr="004030DB">
              <w:rPr>
                <w:rFonts w:ascii="Arial" w:eastAsia="Times New Roman" w:hAnsi="Arial" w:cs="Arial"/>
                <w:color w:val="D13438"/>
                <w:sz w:val="20"/>
                <w:szCs w:val="20"/>
                <w:lang w:val="en-GB" w:eastAsia="en-GB"/>
              </w:rPr>
              <w:t> </w:t>
            </w:r>
          </w:p>
        </w:tc>
        <w:tc>
          <w:tcPr>
            <w:tcW w:w="1317" w:type="dxa"/>
            <w:tcBorders>
              <w:top w:val="single" w:sz="6" w:space="0" w:color="auto"/>
              <w:left w:val="single" w:sz="6" w:space="0" w:color="auto"/>
              <w:bottom w:val="single" w:sz="6" w:space="0" w:color="auto"/>
              <w:right w:val="single" w:sz="6" w:space="0" w:color="auto"/>
            </w:tcBorders>
            <w:hideMark/>
          </w:tcPr>
          <w:p w14:paraId="274B9220" w14:textId="77777777" w:rsidR="004E2D2F" w:rsidRPr="004030DB" w:rsidRDefault="004E2D2F" w:rsidP="004E2D2F">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eastAsia="en-GB"/>
              </w:rPr>
              <w:t>155-160</w:t>
            </w:r>
            <w:r w:rsidRPr="004030DB">
              <w:rPr>
                <w:rFonts w:ascii="Arial" w:eastAsia="Times New Roman" w:hAnsi="Arial" w:cs="Arial"/>
                <w:color w:val="D13438"/>
                <w:sz w:val="20"/>
                <w:szCs w:val="20"/>
                <w:lang w:val="en-GB" w:eastAsia="en-GB"/>
              </w:rPr>
              <w:t> </w:t>
            </w:r>
          </w:p>
        </w:tc>
        <w:tc>
          <w:tcPr>
            <w:tcW w:w="1134" w:type="dxa"/>
            <w:tcBorders>
              <w:top w:val="single" w:sz="6" w:space="0" w:color="auto"/>
              <w:left w:val="single" w:sz="6" w:space="0" w:color="auto"/>
              <w:bottom w:val="single" w:sz="6" w:space="0" w:color="auto"/>
              <w:right w:val="single" w:sz="6" w:space="0" w:color="auto"/>
            </w:tcBorders>
            <w:hideMark/>
          </w:tcPr>
          <w:p w14:paraId="1931923F" w14:textId="77777777" w:rsidR="004E2D2F" w:rsidRPr="004030DB" w:rsidRDefault="004E2D2F" w:rsidP="004E2D2F">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eastAsia="en-GB"/>
              </w:rPr>
              <w:t>93 </w:t>
            </w:r>
            <w:r w:rsidRPr="004030DB">
              <w:rPr>
                <w:rFonts w:ascii="Arial" w:eastAsia="Times New Roman" w:hAnsi="Arial" w:cs="Arial"/>
                <w:color w:val="D13438"/>
                <w:sz w:val="20"/>
                <w:szCs w:val="20"/>
                <w:lang w:val="en-GB" w:eastAsia="en-GB"/>
              </w:rPr>
              <w:t> </w:t>
            </w:r>
          </w:p>
        </w:tc>
        <w:tc>
          <w:tcPr>
            <w:tcW w:w="1134" w:type="dxa"/>
            <w:tcBorders>
              <w:top w:val="single" w:sz="6" w:space="0" w:color="auto"/>
              <w:left w:val="single" w:sz="6" w:space="0" w:color="auto"/>
              <w:bottom w:val="single" w:sz="6" w:space="0" w:color="auto"/>
              <w:right w:val="single" w:sz="6" w:space="0" w:color="auto"/>
            </w:tcBorders>
            <w:hideMark/>
          </w:tcPr>
          <w:p w14:paraId="1DC42C58" w14:textId="77777777" w:rsidR="004E2D2F" w:rsidRPr="004030DB" w:rsidRDefault="004E2D2F" w:rsidP="004E2D2F">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eastAsia="en-GB"/>
              </w:rPr>
              <w:t>105 </w:t>
            </w:r>
            <w:r w:rsidRPr="004030DB">
              <w:rPr>
                <w:rFonts w:ascii="Arial" w:eastAsia="Times New Roman" w:hAnsi="Arial" w:cs="Arial"/>
                <w:color w:val="D13438"/>
                <w:sz w:val="20"/>
                <w:szCs w:val="20"/>
                <w:lang w:val="en-GB" w:eastAsia="en-GB"/>
              </w:rPr>
              <w:t> </w:t>
            </w:r>
          </w:p>
        </w:tc>
        <w:tc>
          <w:tcPr>
            <w:tcW w:w="1275" w:type="dxa"/>
            <w:tcBorders>
              <w:top w:val="single" w:sz="6" w:space="0" w:color="auto"/>
              <w:left w:val="single" w:sz="6" w:space="0" w:color="auto"/>
              <w:bottom w:val="single" w:sz="6" w:space="0" w:color="auto"/>
              <w:right w:val="single" w:sz="6" w:space="0" w:color="auto"/>
            </w:tcBorders>
            <w:hideMark/>
          </w:tcPr>
          <w:p w14:paraId="09E5DAF4" w14:textId="77777777" w:rsidR="004E2D2F" w:rsidRPr="004030DB" w:rsidRDefault="004E2D2F" w:rsidP="004E2D2F">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eastAsia="en-GB"/>
              </w:rPr>
              <w:t>-   </w:t>
            </w:r>
            <w:r w:rsidRPr="004030DB">
              <w:rPr>
                <w:rFonts w:ascii="Arial" w:eastAsia="Times New Roman" w:hAnsi="Arial" w:cs="Arial"/>
                <w:color w:val="D13438"/>
                <w:sz w:val="20"/>
                <w:szCs w:val="20"/>
                <w:lang w:val="en-GB" w:eastAsia="en-GB"/>
              </w:rPr>
              <w:t> </w:t>
            </w:r>
          </w:p>
        </w:tc>
      </w:tr>
      <w:tr w:rsidR="004E2D2F" w:rsidRPr="004030DB" w14:paraId="2A53F5E7" w14:textId="77777777" w:rsidTr="004E2D2F">
        <w:trPr>
          <w:trHeight w:val="300"/>
        </w:trPr>
        <w:tc>
          <w:tcPr>
            <w:tcW w:w="1560" w:type="dxa"/>
            <w:tcBorders>
              <w:top w:val="single" w:sz="6" w:space="0" w:color="auto"/>
              <w:left w:val="single" w:sz="6" w:space="0" w:color="auto"/>
              <w:bottom w:val="single" w:sz="6" w:space="0" w:color="auto"/>
              <w:right w:val="single" w:sz="6" w:space="0" w:color="auto"/>
            </w:tcBorders>
            <w:hideMark/>
          </w:tcPr>
          <w:p w14:paraId="68D555F1" w14:textId="77777777" w:rsidR="004E2D2F" w:rsidRPr="004030DB" w:rsidRDefault="004E2D2F" w:rsidP="004E2D2F">
            <w:pPr>
              <w:widowControl/>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eastAsia="en-GB"/>
              </w:rPr>
              <w:t>S Wombwell</w:t>
            </w:r>
            <w:r w:rsidRPr="004030DB">
              <w:rPr>
                <w:rFonts w:ascii="Arial" w:eastAsia="Times New Roman" w:hAnsi="Arial" w:cs="Arial"/>
                <w:color w:val="D13438"/>
                <w:sz w:val="20"/>
                <w:szCs w:val="20"/>
                <w:lang w:val="en-GB" w:eastAsia="en-GB"/>
              </w:rPr>
              <w:t> </w:t>
            </w:r>
          </w:p>
        </w:tc>
        <w:tc>
          <w:tcPr>
            <w:tcW w:w="1673" w:type="dxa"/>
            <w:tcBorders>
              <w:top w:val="single" w:sz="6" w:space="0" w:color="auto"/>
              <w:left w:val="single" w:sz="6" w:space="0" w:color="auto"/>
              <w:bottom w:val="single" w:sz="6" w:space="0" w:color="auto"/>
              <w:right w:val="single" w:sz="6" w:space="0" w:color="auto"/>
            </w:tcBorders>
            <w:hideMark/>
          </w:tcPr>
          <w:p w14:paraId="5B4EDCA9" w14:textId="77777777" w:rsidR="004E2D2F" w:rsidRPr="004030DB" w:rsidRDefault="004E2D2F" w:rsidP="004E2D2F">
            <w:pPr>
              <w:widowControl/>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eastAsia="en-GB"/>
              </w:rPr>
              <w:t>Chief Financial Officer</w:t>
            </w:r>
            <w:r w:rsidRPr="004030DB">
              <w:rPr>
                <w:rFonts w:ascii="Arial" w:eastAsia="Times New Roman" w:hAnsi="Arial" w:cs="Arial"/>
                <w:color w:val="D13438"/>
                <w:sz w:val="20"/>
                <w:szCs w:val="20"/>
                <w:lang w:val="en-GB" w:eastAsia="en-GB"/>
              </w:rPr>
              <w:t> </w:t>
            </w:r>
          </w:p>
        </w:tc>
        <w:tc>
          <w:tcPr>
            <w:tcW w:w="967" w:type="dxa"/>
            <w:tcBorders>
              <w:top w:val="single" w:sz="6" w:space="0" w:color="auto"/>
              <w:left w:val="single" w:sz="6" w:space="0" w:color="auto"/>
              <w:bottom w:val="single" w:sz="6" w:space="0" w:color="auto"/>
              <w:right w:val="single" w:sz="6" w:space="0" w:color="auto"/>
            </w:tcBorders>
            <w:hideMark/>
          </w:tcPr>
          <w:p w14:paraId="7B741EA0" w14:textId="77777777" w:rsidR="004E2D2F" w:rsidRPr="004030DB" w:rsidRDefault="004E2D2F" w:rsidP="004E2D2F">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eastAsia="en-GB"/>
              </w:rPr>
              <w:t>0-2.5</w:t>
            </w:r>
            <w:r w:rsidRPr="004030DB">
              <w:rPr>
                <w:rFonts w:ascii="Arial" w:eastAsia="Times New Roman" w:hAnsi="Arial" w:cs="Arial"/>
                <w:color w:val="D13438"/>
                <w:sz w:val="20"/>
                <w:szCs w:val="20"/>
                <w:lang w:val="en-GB" w:eastAsia="en-GB"/>
              </w:rPr>
              <w:t> </w:t>
            </w:r>
          </w:p>
        </w:tc>
        <w:tc>
          <w:tcPr>
            <w:tcW w:w="935" w:type="dxa"/>
            <w:tcBorders>
              <w:top w:val="single" w:sz="6" w:space="0" w:color="auto"/>
              <w:left w:val="single" w:sz="6" w:space="0" w:color="auto"/>
              <w:bottom w:val="single" w:sz="6" w:space="0" w:color="auto"/>
              <w:right w:val="single" w:sz="6" w:space="0" w:color="auto"/>
            </w:tcBorders>
            <w:hideMark/>
          </w:tcPr>
          <w:p w14:paraId="30C7DB29" w14:textId="77777777" w:rsidR="004E2D2F" w:rsidRPr="004030DB" w:rsidRDefault="004E2D2F" w:rsidP="004E2D2F">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eastAsia="en-GB"/>
              </w:rPr>
              <w:t>0-2.5</w:t>
            </w:r>
            <w:r w:rsidRPr="004030DB">
              <w:rPr>
                <w:rFonts w:ascii="Arial" w:eastAsia="Times New Roman" w:hAnsi="Arial" w:cs="Arial"/>
                <w:color w:val="D13438"/>
                <w:sz w:val="20"/>
                <w:szCs w:val="20"/>
                <w:lang w:val="en-GB" w:eastAsia="en-GB"/>
              </w:rPr>
              <w:t> </w:t>
            </w:r>
          </w:p>
        </w:tc>
        <w:tc>
          <w:tcPr>
            <w:tcW w:w="920" w:type="dxa"/>
            <w:tcBorders>
              <w:top w:val="single" w:sz="6" w:space="0" w:color="auto"/>
              <w:left w:val="single" w:sz="6" w:space="0" w:color="auto"/>
              <w:bottom w:val="single" w:sz="6" w:space="0" w:color="auto"/>
              <w:right w:val="single" w:sz="6" w:space="0" w:color="auto"/>
            </w:tcBorders>
            <w:hideMark/>
          </w:tcPr>
          <w:p w14:paraId="7E2F7142" w14:textId="77777777" w:rsidR="004E2D2F" w:rsidRPr="004030DB" w:rsidRDefault="004E2D2F" w:rsidP="004E2D2F">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eastAsia="en-GB"/>
              </w:rPr>
              <w:t>20-25</w:t>
            </w:r>
            <w:r w:rsidRPr="004030DB">
              <w:rPr>
                <w:rFonts w:ascii="Arial" w:eastAsia="Times New Roman" w:hAnsi="Arial" w:cs="Arial"/>
                <w:color w:val="D13438"/>
                <w:sz w:val="20"/>
                <w:szCs w:val="20"/>
                <w:lang w:val="en-GB" w:eastAsia="en-GB"/>
              </w:rPr>
              <w:t> </w:t>
            </w:r>
          </w:p>
        </w:tc>
        <w:tc>
          <w:tcPr>
            <w:tcW w:w="1317" w:type="dxa"/>
            <w:tcBorders>
              <w:top w:val="single" w:sz="6" w:space="0" w:color="auto"/>
              <w:left w:val="single" w:sz="6" w:space="0" w:color="auto"/>
              <w:bottom w:val="single" w:sz="6" w:space="0" w:color="auto"/>
              <w:right w:val="single" w:sz="6" w:space="0" w:color="auto"/>
            </w:tcBorders>
            <w:hideMark/>
          </w:tcPr>
          <w:p w14:paraId="7D18E81C" w14:textId="77777777" w:rsidR="004E2D2F" w:rsidRPr="004030DB" w:rsidRDefault="004E2D2F" w:rsidP="004E2D2F">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eastAsia="en-GB"/>
              </w:rPr>
              <w:t>55-60</w:t>
            </w:r>
            <w:r w:rsidRPr="004030DB">
              <w:rPr>
                <w:rFonts w:ascii="Arial" w:eastAsia="Times New Roman" w:hAnsi="Arial" w:cs="Arial"/>
                <w:color w:val="D13438"/>
                <w:sz w:val="20"/>
                <w:szCs w:val="20"/>
                <w:lang w:val="en-GB" w:eastAsia="en-GB"/>
              </w:rPr>
              <w:t> </w:t>
            </w:r>
          </w:p>
        </w:tc>
        <w:tc>
          <w:tcPr>
            <w:tcW w:w="1134" w:type="dxa"/>
            <w:tcBorders>
              <w:top w:val="single" w:sz="6" w:space="0" w:color="auto"/>
              <w:left w:val="single" w:sz="6" w:space="0" w:color="auto"/>
              <w:bottom w:val="single" w:sz="6" w:space="0" w:color="auto"/>
              <w:right w:val="single" w:sz="6" w:space="0" w:color="auto"/>
            </w:tcBorders>
            <w:hideMark/>
          </w:tcPr>
          <w:p w14:paraId="3F8D732E" w14:textId="77777777" w:rsidR="004E2D2F" w:rsidRPr="004030DB" w:rsidRDefault="004E2D2F" w:rsidP="004E2D2F">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eastAsia="en-GB"/>
              </w:rPr>
              <w:t> 464 </w:t>
            </w:r>
            <w:r w:rsidRPr="004030DB">
              <w:rPr>
                <w:rFonts w:ascii="Arial" w:eastAsia="Times New Roman" w:hAnsi="Arial" w:cs="Arial"/>
                <w:color w:val="D13438"/>
                <w:sz w:val="20"/>
                <w:szCs w:val="20"/>
                <w:lang w:val="en-GB" w:eastAsia="en-GB"/>
              </w:rPr>
              <w:t> </w:t>
            </w:r>
          </w:p>
        </w:tc>
        <w:tc>
          <w:tcPr>
            <w:tcW w:w="1134" w:type="dxa"/>
            <w:tcBorders>
              <w:top w:val="single" w:sz="6" w:space="0" w:color="auto"/>
              <w:left w:val="single" w:sz="6" w:space="0" w:color="auto"/>
              <w:bottom w:val="single" w:sz="6" w:space="0" w:color="auto"/>
              <w:right w:val="single" w:sz="6" w:space="0" w:color="auto"/>
            </w:tcBorders>
            <w:hideMark/>
          </w:tcPr>
          <w:p w14:paraId="3088930A" w14:textId="77777777" w:rsidR="004E2D2F" w:rsidRPr="004030DB" w:rsidRDefault="004E2D2F" w:rsidP="004E2D2F">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eastAsia="en-GB"/>
              </w:rPr>
              <w:t> 520 </w:t>
            </w:r>
            <w:r w:rsidRPr="004030DB">
              <w:rPr>
                <w:rFonts w:ascii="Arial" w:eastAsia="Times New Roman" w:hAnsi="Arial" w:cs="Arial"/>
                <w:color w:val="D13438"/>
                <w:sz w:val="20"/>
                <w:szCs w:val="20"/>
                <w:lang w:val="en-GB" w:eastAsia="en-GB"/>
              </w:rPr>
              <w:t> </w:t>
            </w:r>
          </w:p>
        </w:tc>
        <w:tc>
          <w:tcPr>
            <w:tcW w:w="1275" w:type="dxa"/>
            <w:tcBorders>
              <w:top w:val="single" w:sz="6" w:space="0" w:color="auto"/>
              <w:left w:val="single" w:sz="6" w:space="0" w:color="auto"/>
              <w:bottom w:val="single" w:sz="6" w:space="0" w:color="auto"/>
              <w:right w:val="single" w:sz="6" w:space="0" w:color="auto"/>
            </w:tcBorders>
            <w:hideMark/>
          </w:tcPr>
          <w:p w14:paraId="027DAC9F" w14:textId="77777777" w:rsidR="004E2D2F" w:rsidRPr="004030DB" w:rsidRDefault="004E2D2F" w:rsidP="004E2D2F">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eastAsia="en-GB"/>
              </w:rPr>
              <w:t> -   </w:t>
            </w:r>
            <w:r w:rsidRPr="004030DB">
              <w:rPr>
                <w:rFonts w:ascii="Arial" w:eastAsia="Times New Roman" w:hAnsi="Arial" w:cs="Arial"/>
                <w:color w:val="D13438"/>
                <w:sz w:val="20"/>
                <w:szCs w:val="20"/>
                <w:lang w:val="en-GB" w:eastAsia="en-GB"/>
              </w:rPr>
              <w:t> </w:t>
            </w:r>
          </w:p>
        </w:tc>
      </w:tr>
    </w:tbl>
    <w:p w14:paraId="3CF6DF09" w14:textId="77777777" w:rsidR="00FB1E47" w:rsidRPr="004030DB" w:rsidRDefault="00FB1E47" w:rsidP="004E2D2F">
      <w:pPr>
        <w:jc w:val="both"/>
        <w:rPr>
          <w:rFonts w:ascii="Arial" w:hAnsi="Arial" w:cs="Arial"/>
          <w:sz w:val="20"/>
          <w:szCs w:val="20"/>
          <w:highlight w:val="yellow"/>
          <w:lang w:val="en-GB"/>
        </w:rPr>
      </w:pPr>
    </w:p>
    <w:p w14:paraId="06BC973D" w14:textId="58433B96" w:rsidR="000130E5" w:rsidRPr="00FB1E47" w:rsidRDefault="000130E5" w:rsidP="000130E5">
      <w:pPr>
        <w:pStyle w:val="paragraph"/>
        <w:spacing w:before="0" w:beforeAutospacing="0" w:after="0" w:afterAutospacing="0"/>
        <w:jc w:val="both"/>
        <w:textAlignment w:val="baseline"/>
        <w:rPr>
          <w:rStyle w:val="eop"/>
          <w:rFonts w:ascii="Arial" w:eastAsiaTheme="majorEastAsia" w:hAnsi="Arial" w:cs="Arial"/>
          <w:color w:val="D13438"/>
          <w:sz w:val="20"/>
          <w:szCs w:val="20"/>
        </w:rPr>
      </w:pPr>
      <w:r w:rsidRPr="00FB1E47">
        <w:rPr>
          <w:rStyle w:val="normaltextrun"/>
          <w:rFonts w:ascii="Arial" w:hAnsi="Arial" w:cs="Arial"/>
          <w:b/>
          <w:bCs/>
          <w:sz w:val="20"/>
          <w:szCs w:val="20"/>
        </w:rPr>
        <w:t>Notes</w:t>
      </w:r>
      <w:r w:rsidRPr="00FB1E47">
        <w:rPr>
          <w:rStyle w:val="tabchar"/>
          <w:rFonts w:ascii="Arial" w:hAnsi="Arial" w:cs="Arial"/>
          <w:sz w:val="20"/>
          <w:szCs w:val="20"/>
        </w:rPr>
        <w:t xml:space="preserve"> </w:t>
      </w:r>
      <w:r w:rsidRPr="00FB1E47">
        <w:rPr>
          <w:rStyle w:val="eop"/>
          <w:rFonts w:ascii="Arial" w:eastAsiaTheme="majorEastAsia" w:hAnsi="Arial" w:cs="Arial"/>
          <w:color w:val="D13438"/>
          <w:sz w:val="20"/>
          <w:szCs w:val="20"/>
        </w:rPr>
        <w:t> </w:t>
      </w:r>
    </w:p>
    <w:p w14:paraId="2651DBC2" w14:textId="7E0F1065" w:rsidR="00FB1E47" w:rsidRPr="00FB1E47" w:rsidRDefault="00FB1E47" w:rsidP="000130E5">
      <w:pPr>
        <w:pStyle w:val="paragraph"/>
        <w:spacing w:before="0" w:beforeAutospacing="0" w:after="0" w:afterAutospacing="0"/>
        <w:jc w:val="both"/>
        <w:textAlignment w:val="baseline"/>
        <w:rPr>
          <w:rFonts w:ascii="Arial" w:hAnsi="Arial" w:cs="Arial"/>
          <w:sz w:val="20"/>
          <w:szCs w:val="20"/>
        </w:rPr>
      </w:pPr>
      <w:r w:rsidRPr="00FB1E47">
        <w:rPr>
          <w:rFonts w:ascii="Arial" w:hAnsi="Arial" w:cs="Arial"/>
          <w:sz w:val="20"/>
          <w:szCs w:val="20"/>
        </w:rPr>
        <w:t>J</w:t>
      </w:r>
      <w:r>
        <w:rPr>
          <w:rFonts w:ascii="Arial" w:hAnsi="Arial" w:cs="Arial"/>
          <w:sz w:val="20"/>
          <w:szCs w:val="20"/>
        </w:rPr>
        <w:t>ayne</w:t>
      </w:r>
      <w:r w:rsidRPr="00FB1E47">
        <w:rPr>
          <w:rFonts w:ascii="Arial" w:hAnsi="Arial" w:cs="Arial"/>
          <w:sz w:val="20"/>
          <w:szCs w:val="20"/>
        </w:rPr>
        <w:t xml:space="preserve"> Black chose not to be covered by the pension arrangements during the reporting year.</w:t>
      </w:r>
      <w:r>
        <w:rPr>
          <w:rFonts w:ascii="Arial" w:hAnsi="Arial" w:cs="Arial"/>
          <w:sz w:val="20"/>
          <w:szCs w:val="20"/>
        </w:rPr>
        <w:t xml:space="preserve">  </w:t>
      </w:r>
      <w:r w:rsidRPr="00FB1E47">
        <w:rPr>
          <w:rFonts w:ascii="Arial" w:hAnsi="Arial" w:cs="Arial"/>
          <w:sz w:val="20"/>
          <w:szCs w:val="20"/>
        </w:rPr>
        <w:t>S</w:t>
      </w:r>
      <w:r>
        <w:rPr>
          <w:rFonts w:ascii="Arial" w:hAnsi="Arial" w:cs="Arial"/>
          <w:sz w:val="20"/>
          <w:szCs w:val="20"/>
        </w:rPr>
        <w:t>arah</w:t>
      </w:r>
      <w:r w:rsidRPr="00FB1E47">
        <w:rPr>
          <w:rFonts w:ascii="Arial" w:hAnsi="Arial" w:cs="Arial"/>
          <w:sz w:val="20"/>
          <w:szCs w:val="20"/>
        </w:rPr>
        <w:t xml:space="preserve"> Vaux is on secondment from NHS England.</w:t>
      </w:r>
    </w:p>
    <w:p w14:paraId="5CBDBFE7" w14:textId="77777777" w:rsidR="00FB1E47" w:rsidRPr="00FB1E47" w:rsidRDefault="00FB1E47" w:rsidP="000130E5">
      <w:pPr>
        <w:pStyle w:val="paragraph"/>
        <w:spacing w:before="0" w:beforeAutospacing="0" w:after="0" w:afterAutospacing="0"/>
        <w:jc w:val="both"/>
        <w:textAlignment w:val="baseline"/>
        <w:rPr>
          <w:rFonts w:ascii="Arial" w:hAnsi="Arial" w:cs="Arial"/>
          <w:sz w:val="20"/>
          <w:szCs w:val="20"/>
        </w:rPr>
      </w:pPr>
    </w:p>
    <w:p w14:paraId="0C02A826" w14:textId="77777777" w:rsidR="000130E5" w:rsidRPr="00FB1E47" w:rsidRDefault="000130E5" w:rsidP="000130E5">
      <w:pPr>
        <w:pStyle w:val="paragraph"/>
        <w:spacing w:before="0" w:beforeAutospacing="0" w:after="0" w:afterAutospacing="0"/>
        <w:jc w:val="both"/>
        <w:textAlignment w:val="baseline"/>
        <w:rPr>
          <w:rFonts w:ascii="Arial" w:hAnsi="Arial" w:cs="Arial"/>
          <w:sz w:val="20"/>
          <w:szCs w:val="20"/>
        </w:rPr>
      </w:pPr>
      <w:r w:rsidRPr="00FB1E47">
        <w:rPr>
          <w:rStyle w:val="normaltextrun"/>
          <w:rFonts w:ascii="Arial" w:hAnsi="Arial" w:cs="Arial"/>
          <w:sz w:val="20"/>
          <w:szCs w:val="20"/>
          <w:lang w:val="en-US"/>
        </w:rPr>
        <w:t xml:space="preserve">As Non-executive Directors do not receive pensionable remuneration there are no entries in respect of pensions for Non-Executive Directors.  </w:t>
      </w:r>
      <w:r w:rsidRPr="00FB1E47">
        <w:rPr>
          <w:rStyle w:val="eop"/>
          <w:rFonts w:ascii="Arial" w:eastAsiaTheme="majorEastAsia" w:hAnsi="Arial" w:cs="Arial"/>
          <w:color w:val="D13438"/>
          <w:sz w:val="20"/>
          <w:szCs w:val="20"/>
        </w:rPr>
        <w:t> </w:t>
      </w:r>
    </w:p>
    <w:p w14:paraId="5CF97AFE" w14:textId="77777777" w:rsidR="000130E5" w:rsidRPr="004030DB" w:rsidRDefault="000130E5" w:rsidP="000130E5">
      <w:pPr>
        <w:pStyle w:val="paragraph"/>
        <w:spacing w:before="0" w:beforeAutospacing="0" w:after="0" w:afterAutospacing="0"/>
        <w:ind w:firstLine="5040"/>
        <w:jc w:val="both"/>
        <w:textAlignment w:val="baseline"/>
        <w:rPr>
          <w:rFonts w:ascii="Segoe UI" w:hAnsi="Segoe UI" w:cs="Segoe UI"/>
          <w:sz w:val="20"/>
          <w:szCs w:val="20"/>
        </w:rPr>
      </w:pPr>
      <w:r w:rsidRPr="004030DB">
        <w:rPr>
          <w:rStyle w:val="eop"/>
          <w:rFonts w:ascii="Arial" w:eastAsiaTheme="majorEastAsia" w:hAnsi="Arial" w:cs="Arial"/>
          <w:color w:val="D13438"/>
          <w:sz w:val="20"/>
          <w:szCs w:val="20"/>
        </w:rPr>
        <w:t> </w:t>
      </w:r>
    </w:p>
    <w:p w14:paraId="69F03D29" w14:textId="77777777" w:rsidR="000130E5" w:rsidRPr="004030DB" w:rsidRDefault="000130E5" w:rsidP="000130E5">
      <w:pPr>
        <w:pStyle w:val="paragraph"/>
        <w:spacing w:before="0" w:beforeAutospacing="0" w:after="0" w:afterAutospacing="0"/>
        <w:jc w:val="both"/>
        <w:textAlignment w:val="baseline"/>
        <w:rPr>
          <w:rFonts w:ascii="Segoe UI" w:hAnsi="Segoe UI" w:cs="Segoe UI"/>
          <w:sz w:val="20"/>
          <w:szCs w:val="20"/>
        </w:rPr>
      </w:pPr>
      <w:r w:rsidRPr="004030DB">
        <w:rPr>
          <w:rStyle w:val="normaltextrun"/>
          <w:rFonts w:ascii="Arial" w:hAnsi="Arial" w:cs="Arial"/>
          <w:sz w:val="20"/>
          <w:szCs w:val="20"/>
        </w:rPr>
        <w:t>(e - g)</w:t>
      </w:r>
      <w:r w:rsidRPr="004030DB">
        <w:rPr>
          <w:rStyle w:val="tabchar"/>
          <w:rFonts w:ascii="Calibri" w:hAnsi="Calibri" w:cs="Calibri"/>
          <w:sz w:val="20"/>
          <w:szCs w:val="20"/>
        </w:rPr>
        <w:t xml:space="preserve"> </w:t>
      </w:r>
      <w:r w:rsidRPr="004030DB">
        <w:rPr>
          <w:rStyle w:val="normaltextrun"/>
          <w:rFonts w:ascii="Arial" w:hAnsi="Arial" w:cs="Arial"/>
          <w:sz w:val="20"/>
          <w:szCs w:val="20"/>
        </w:rPr>
        <w:t>A Cash Equivalent Transfer Value (CETV) is the actuarially assessed capital value of the pension scheme benefits accrued by a member at a particular point in time.  The benefits values are the members’ accrued benefits and any allowable beneficiaries pension payable from the scheme.  CETVs are calculated in accordance with the Occupational Pension Schemes (Transfer Values) Regulations 2008.</w:t>
      </w:r>
      <w:r w:rsidRPr="004030DB">
        <w:rPr>
          <w:rStyle w:val="tabchar"/>
          <w:rFonts w:ascii="Calibri" w:hAnsi="Calibri" w:cs="Calibri"/>
          <w:sz w:val="20"/>
          <w:szCs w:val="20"/>
        </w:rPr>
        <w:t xml:space="preserve"> </w:t>
      </w:r>
      <w:r w:rsidRPr="004030DB">
        <w:rPr>
          <w:rStyle w:val="eop"/>
          <w:rFonts w:ascii="Arial" w:eastAsiaTheme="majorEastAsia" w:hAnsi="Arial" w:cs="Arial"/>
          <w:color w:val="D13438"/>
          <w:sz w:val="20"/>
          <w:szCs w:val="20"/>
        </w:rPr>
        <w:t> </w:t>
      </w:r>
    </w:p>
    <w:p w14:paraId="40673466" w14:textId="77777777" w:rsidR="000130E5" w:rsidRPr="004030DB" w:rsidRDefault="000130E5" w:rsidP="000130E5">
      <w:pPr>
        <w:pStyle w:val="paragraph"/>
        <w:spacing w:before="0" w:beforeAutospacing="0" w:after="0" w:afterAutospacing="0"/>
        <w:jc w:val="both"/>
        <w:textAlignment w:val="baseline"/>
        <w:rPr>
          <w:rFonts w:ascii="Segoe UI" w:hAnsi="Segoe UI" w:cs="Segoe UI"/>
          <w:sz w:val="20"/>
          <w:szCs w:val="20"/>
        </w:rPr>
      </w:pPr>
      <w:r w:rsidRPr="004030DB">
        <w:rPr>
          <w:rStyle w:val="eop"/>
          <w:rFonts w:ascii="Arial" w:eastAsiaTheme="majorEastAsia" w:hAnsi="Arial" w:cs="Arial"/>
          <w:color w:val="D13438"/>
          <w:sz w:val="20"/>
          <w:szCs w:val="20"/>
        </w:rPr>
        <w:t> </w:t>
      </w:r>
    </w:p>
    <w:p w14:paraId="5251F31D" w14:textId="77777777" w:rsidR="000130E5" w:rsidRPr="004030DB" w:rsidRDefault="000130E5" w:rsidP="000130E5">
      <w:pPr>
        <w:pStyle w:val="paragraph"/>
        <w:spacing w:before="0" w:beforeAutospacing="0" w:after="0" w:afterAutospacing="0"/>
        <w:jc w:val="both"/>
        <w:textAlignment w:val="baseline"/>
        <w:rPr>
          <w:rFonts w:ascii="Segoe UI" w:hAnsi="Segoe UI" w:cs="Segoe UI"/>
          <w:sz w:val="20"/>
          <w:szCs w:val="20"/>
        </w:rPr>
      </w:pPr>
      <w:r w:rsidRPr="004030DB">
        <w:rPr>
          <w:rStyle w:val="normaltextrun"/>
          <w:rFonts w:ascii="Arial" w:hAnsi="Arial" w:cs="Arial"/>
          <w:sz w:val="20"/>
          <w:szCs w:val="20"/>
        </w:rPr>
        <w:t>(g)</w:t>
      </w:r>
      <w:r w:rsidRPr="004030DB">
        <w:rPr>
          <w:rStyle w:val="tabchar"/>
          <w:rFonts w:ascii="Calibri" w:hAnsi="Calibri" w:cs="Calibri"/>
          <w:sz w:val="20"/>
          <w:szCs w:val="20"/>
        </w:rPr>
        <w:t xml:space="preserve"> </w:t>
      </w:r>
      <w:r w:rsidRPr="004030DB">
        <w:rPr>
          <w:rStyle w:val="normaltextrun"/>
          <w:rFonts w:ascii="Arial" w:hAnsi="Arial" w:cs="Arial"/>
          <w:sz w:val="20"/>
          <w:szCs w:val="20"/>
        </w:rPr>
        <w:t>Real increase in CETV reflects the increase effectively funded by the employer. It takes account of the increase in accrued pension due to inflation, contributions paid by the employee (including value of any benefits transferred from another scheme or arrangement) and uses common market valuation factors for the start and end of the period.</w:t>
      </w:r>
      <w:r w:rsidRPr="004030DB">
        <w:rPr>
          <w:rStyle w:val="eop"/>
          <w:rFonts w:ascii="Arial" w:eastAsiaTheme="majorEastAsia" w:hAnsi="Arial" w:cs="Arial"/>
          <w:color w:val="D13438"/>
          <w:sz w:val="20"/>
          <w:szCs w:val="20"/>
        </w:rPr>
        <w:t> </w:t>
      </w:r>
    </w:p>
    <w:p w14:paraId="2CE87302" w14:textId="77777777" w:rsidR="000130E5" w:rsidRPr="004030DB" w:rsidRDefault="000130E5" w:rsidP="000130E5">
      <w:pPr>
        <w:pStyle w:val="paragraph"/>
        <w:spacing w:before="0" w:beforeAutospacing="0" w:after="0" w:afterAutospacing="0"/>
        <w:jc w:val="both"/>
        <w:textAlignment w:val="baseline"/>
        <w:rPr>
          <w:rFonts w:ascii="Segoe UI" w:hAnsi="Segoe UI" w:cs="Segoe UI"/>
          <w:sz w:val="20"/>
          <w:szCs w:val="20"/>
        </w:rPr>
      </w:pPr>
      <w:r w:rsidRPr="004030DB">
        <w:rPr>
          <w:rStyle w:val="eop"/>
          <w:rFonts w:ascii="Arial" w:eastAsiaTheme="majorEastAsia" w:hAnsi="Arial" w:cs="Arial"/>
          <w:color w:val="D13438"/>
          <w:sz w:val="20"/>
          <w:szCs w:val="20"/>
        </w:rPr>
        <w:t> </w:t>
      </w:r>
    </w:p>
    <w:p w14:paraId="6C90D48A" w14:textId="77777777" w:rsidR="000130E5" w:rsidRPr="004030DB" w:rsidRDefault="000130E5" w:rsidP="000130E5">
      <w:pPr>
        <w:pStyle w:val="paragraph"/>
        <w:spacing w:before="0" w:beforeAutospacing="0" w:after="0" w:afterAutospacing="0"/>
        <w:jc w:val="both"/>
        <w:textAlignment w:val="baseline"/>
        <w:rPr>
          <w:rStyle w:val="normaltextrun"/>
          <w:rFonts w:ascii="Arial" w:hAnsi="Arial" w:cs="Arial"/>
          <w:sz w:val="20"/>
          <w:szCs w:val="20"/>
        </w:rPr>
      </w:pPr>
      <w:r w:rsidRPr="004030DB">
        <w:rPr>
          <w:rStyle w:val="normaltextrun"/>
          <w:rFonts w:ascii="Arial" w:hAnsi="Arial" w:cs="Arial"/>
          <w:sz w:val="20"/>
          <w:szCs w:val="20"/>
        </w:rPr>
        <w:t>In 2015 the government made changes to most public service pension schemes, including the NHS Pension Scheme. These reforms didn’t apply to members closest to retirement. The Court of Appeal later found that this discriminated against younger members.</w:t>
      </w:r>
      <w:r w:rsidRPr="004030DB">
        <w:rPr>
          <w:rStyle w:val="eop"/>
          <w:rFonts w:ascii="Arial" w:eastAsiaTheme="majorEastAsia" w:hAnsi="Arial" w:cs="Arial"/>
          <w:color w:val="D13438"/>
          <w:sz w:val="20"/>
          <w:szCs w:val="20"/>
        </w:rPr>
        <w:t xml:space="preserve">  </w:t>
      </w:r>
      <w:r w:rsidRPr="004030DB">
        <w:rPr>
          <w:rStyle w:val="normaltextrun"/>
          <w:rFonts w:ascii="Arial" w:hAnsi="Arial" w:cs="Arial"/>
          <w:sz w:val="20"/>
          <w:szCs w:val="20"/>
        </w:rPr>
        <w:t xml:space="preserve">The government is removing this age discrimination from public service pension schemes. It is doing this in two parts; </w:t>
      </w:r>
    </w:p>
    <w:p w14:paraId="0B36908C" w14:textId="77777777" w:rsidR="000130E5" w:rsidRPr="004030DB" w:rsidRDefault="000130E5" w:rsidP="000130E5">
      <w:pPr>
        <w:pStyle w:val="paragraph"/>
        <w:spacing w:before="0" w:beforeAutospacing="0" w:after="0" w:afterAutospacing="0"/>
        <w:jc w:val="both"/>
        <w:textAlignment w:val="baseline"/>
        <w:rPr>
          <w:rFonts w:ascii="Segoe UI" w:hAnsi="Segoe UI" w:cs="Segoe UI"/>
          <w:sz w:val="20"/>
          <w:szCs w:val="20"/>
        </w:rPr>
      </w:pPr>
      <w:r w:rsidRPr="004030DB">
        <w:rPr>
          <w:rStyle w:val="eop"/>
          <w:rFonts w:ascii="Arial" w:eastAsiaTheme="majorEastAsia" w:hAnsi="Arial" w:cs="Arial"/>
          <w:color w:val="D13438"/>
          <w:sz w:val="20"/>
          <w:szCs w:val="20"/>
        </w:rPr>
        <w:t> </w:t>
      </w:r>
    </w:p>
    <w:p w14:paraId="4753F93D" w14:textId="77777777" w:rsidR="000130E5" w:rsidRPr="004030DB" w:rsidRDefault="000130E5" w:rsidP="000130E5">
      <w:pPr>
        <w:pStyle w:val="paragraph"/>
        <w:spacing w:before="0" w:beforeAutospacing="0" w:after="0" w:afterAutospacing="0"/>
        <w:jc w:val="both"/>
        <w:textAlignment w:val="baseline"/>
        <w:rPr>
          <w:rFonts w:ascii="Segoe UI" w:hAnsi="Segoe UI" w:cs="Segoe UI"/>
          <w:sz w:val="20"/>
          <w:szCs w:val="20"/>
        </w:rPr>
      </w:pPr>
      <w:r w:rsidRPr="004030DB">
        <w:rPr>
          <w:rStyle w:val="normaltextrun"/>
          <w:rFonts w:ascii="Arial" w:hAnsi="Arial" w:cs="Arial"/>
          <w:sz w:val="20"/>
          <w:szCs w:val="20"/>
        </w:rPr>
        <w:t>The first part was completed in 2022 with all active members now being members of the 2015 Scheme, this provides equal treatment for all active pension scheme members.</w:t>
      </w:r>
      <w:r w:rsidRPr="004030DB">
        <w:rPr>
          <w:rStyle w:val="eop"/>
          <w:rFonts w:ascii="Arial" w:eastAsiaTheme="majorEastAsia" w:hAnsi="Arial" w:cs="Arial"/>
          <w:color w:val="D13438"/>
          <w:sz w:val="20"/>
          <w:szCs w:val="20"/>
        </w:rPr>
        <w:t> </w:t>
      </w:r>
    </w:p>
    <w:p w14:paraId="7B8D83B4" w14:textId="77777777" w:rsidR="000130E5" w:rsidRPr="004030DB" w:rsidRDefault="000130E5" w:rsidP="000130E5">
      <w:pPr>
        <w:pStyle w:val="paragraph"/>
        <w:spacing w:before="0" w:beforeAutospacing="0" w:after="0" w:afterAutospacing="0"/>
        <w:jc w:val="both"/>
        <w:textAlignment w:val="baseline"/>
        <w:rPr>
          <w:rStyle w:val="eop"/>
          <w:rFonts w:ascii="Arial" w:eastAsiaTheme="majorEastAsia" w:hAnsi="Arial" w:cs="Arial"/>
          <w:color w:val="D13438"/>
          <w:sz w:val="20"/>
          <w:szCs w:val="20"/>
        </w:rPr>
      </w:pPr>
      <w:r w:rsidRPr="004030DB">
        <w:rPr>
          <w:rStyle w:val="normaltextrun"/>
          <w:rFonts w:ascii="Arial" w:hAnsi="Arial" w:cs="Arial"/>
          <w:sz w:val="20"/>
          <w:szCs w:val="20"/>
        </w:rPr>
        <w:t>The second part is to put right, or 'remedy,’ the discrimination that could have taken place during between 1 April 2015 and 31 March 2022, known as the remedy period. The Public Service Pension Remedy, sometimes known as the McCloud Remedy will:</w:t>
      </w:r>
      <w:r w:rsidRPr="004030DB">
        <w:rPr>
          <w:rStyle w:val="eop"/>
          <w:rFonts w:ascii="Arial" w:eastAsiaTheme="majorEastAsia" w:hAnsi="Arial" w:cs="Arial"/>
          <w:color w:val="D13438"/>
          <w:sz w:val="20"/>
          <w:szCs w:val="20"/>
        </w:rPr>
        <w:t> </w:t>
      </w:r>
    </w:p>
    <w:p w14:paraId="7F029BD4" w14:textId="77777777" w:rsidR="000130E5" w:rsidRPr="004030DB" w:rsidRDefault="000130E5" w:rsidP="000130E5">
      <w:pPr>
        <w:pStyle w:val="paragraph"/>
        <w:spacing w:before="0" w:beforeAutospacing="0" w:after="0" w:afterAutospacing="0"/>
        <w:jc w:val="both"/>
        <w:textAlignment w:val="baseline"/>
        <w:rPr>
          <w:rFonts w:ascii="Segoe UI" w:hAnsi="Segoe UI" w:cs="Segoe UI"/>
          <w:sz w:val="20"/>
          <w:szCs w:val="20"/>
        </w:rPr>
      </w:pPr>
    </w:p>
    <w:p w14:paraId="22211592" w14:textId="77777777" w:rsidR="000130E5" w:rsidRPr="004030DB" w:rsidRDefault="000130E5" w:rsidP="00E00F90">
      <w:pPr>
        <w:pStyle w:val="paragraph"/>
        <w:numPr>
          <w:ilvl w:val="0"/>
          <w:numId w:val="31"/>
        </w:numPr>
        <w:spacing w:before="0" w:beforeAutospacing="0" w:after="0" w:afterAutospacing="0"/>
        <w:jc w:val="both"/>
        <w:textAlignment w:val="baseline"/>
        <w:rPr>
          <w:rFonts w:ascii="Segoe UI" w:hAnsi="Segoe UI" w:cs="Segoe UI"/>
          <w:sz w:val="20"/>
          <w:szCs w:val="20"/>
        </w:rPr>
      </w:pPr>
      <w:r w:rsidRPr="004030DB">
        <w:rPr>
          <w:rStyle w:val="normaltextrun"/>
          <w:rFonts w:ascii="Arial" w:hAnsi="Arial" w:cs="Arial"/>
          <w:sz w:val="20"/>
          <w:szCs w:val="20"/>
        </w:rPr>
        <w:t>give affected members a choice of whether they receive 1995/2008 Scheme or 2015 Scheme benefits for their service in the remedy period</w:t>
      </w:r>
      <w:r w:rsidRPr="004030DB">
        <w:rPr>
          <w:rStyle w:val="eop"/>
          <w:rFonts w:ascii="Arial" w:eastAsiaTheme="majorEastAsia" w:hAnsi="Arial" w:cs="Arial"/>
          <w:color w:val="D13438"/>
          <w:sz w:val="20"/>
          <w:szCs w:val="20"/>
        </w:rPr>
        <w:t> </w:t>
      </w:r>
    </w:p>
    <w:p w14:paraId="6A4537C3" w14:textId="77777777" w:rsidR="000130E5" w:rsidRPr="004030DB" w:rsidRDefault="000130E5" w:rsidP="00E00F90">
      <w:pPr>
        <w:pStyle w:val="paragraph"/>
        <w:numPr>
          <w:ilvl w:val="0"/>
          <w:numId w:val="31"/>
        </w:numPr>
        <w:spacing w:before="0" w:beforeAutospacing="0" w:after="0" w:afterAutospacing="0"/>
        <w:jc w:val="both"/>
        <w:textAlignment w:val="baseline"/>
        <w:rPr>
          <w:rStyle w:val="eop"/>
          <w:rFonts w:ascii="Segoe UI" w:hAnsi="Segoe UI" w:cs="Segoe UI"/>
          <w:sz w:val="20"/>
          <w:szCs w:val="20"/>
        </w:rPr>
      </w:pPr>
      <w:r w:rsidRPr="004030DB">
        <w:rPr>
          <w:rStyle w:val="normaltextrun"/>
          <w:rFonts w:ascii="Arial" w:hAnsi="Arial" w:cs="Arial"/>
          <w:sz w:val="20"/>
          <w:szCs w:val="20"/>
        </w:rPr>
        <w:t>return any service that affected members have in the 2015 Scheme during the remedy period back into the 1995/2008 Scheme</w:t>
      </w:r>
      <w:r w:rsidRPr="004030DB">
        <w:rPr>
          <w:rStyle w:val="eop"/>
          <w:rFonts w:ascii="Arial" w:eastAsiaTheme="majorEastAsia" w:hAnsi="Arial" w:cs="Arial"/>
          <w:color w:val="D13438"/>
          <w:sz w:val="20"/>
          <w:szCs w:val="20"/>
        </w:rPr>
        <w:t> </w:t>
      </w:r>
    </w:p>
    <w:p w14:paraId="7C7916BE" w14:textId="77777777" w:rsidR="00AC0BAB" w:rsidRDefault="00AC0BAB" w:rsidP="00AC0BAB">
      <w:pPr>
        <w:pStyle w:val="paragraph"/>
        <w:spacing w:before="0" w:beforeAutospacing="0" w:after="0" w:afterAutospacing="0"/>
        <w:jc w:val="both"/>
        <w:textAlignment w:val="baseline"/>
        <w:rPr>
          <w:rFonts w:ascii="Segoe UI" w:hAnsi="Segoe UI" w:cs="Segoe UI"/>
          <w:sz w:val="20"/>
          <w:szCs w:val="20"/>
        </w:rPr>
      </w:pPr>
    </w:p>
    <w:p w14:paraId="4C6A6E3C" w14:textId="77777777" w:rsidR="004030DB" w:rsidRDefault="004030DB" w:rsidP="00AC0BAB">
      <w:pPr>
        <w:pStyle w:val="paragraph"/>
        <w:spacing w:before="0" w:beforeAutospacing="0" w:after="0" w:afterAutospacing="0"/>
        <w:jc w:val="both"/>
        <w:textAlignment w:val="baseline"/>
        <w:rPr>
          <w:rFonts w:ascii="Segoe UI" w:hAnsi="Segoe UI" w:cs="Segoe UI"/>
          <w:sz w:val="20"/>
          <w:szCs w:val="20"/>
        </w:rPr>
      </w:pPr>
    </w:p>
    <w:p w14:paraId="2A13CD56" w14:textId="77777777" w:rsidR="000130E5" w:rsidRPr="004030DB" w:rsidRDefault="000130E5" w:rsidP="000130E5">
      <w:pPr>
        <w:pStyle w:val="paragraph"/>
        <w:spacing w:before="0" w:beforeAutospacing="0" w:after="0" w:afterAutospacing="0"/>
        <w:jc w:val="both"/>
        <w:textAlignment w:val="baseline"/>
        <w:rPr>
          <w:rFonts w:ascii="Segoe UI" w:hAnsi="Segoe UI" w:cs="Segoe UI"/>
          <w:sz w:val="20"/>
          <w:szCs w:val="20"/>
        </w:rPr>
      </w:pPr>
      <w:r w:rsidRPr="004030DB">
        <w:rPr>
          <w:rStyle w:val="normaltextrun"/>
          <w:rFonts w:ascii="Arial" w:hAnsi="Arial" w:cs="Arial"/>
          <w:b/>
          <w:bCs/>
          <w:sz w:val="20"/>
          <w:szCs w:val="20"/>
        </w:rPr>
        <w:t>Staff Costs</w:t>
      </w:r>
      <w:r w:rsidRPr="004030DB">
        <w:rPr>
          <w:rStyle w:val="eop"/>
          <w:rFonts w:ascii="Arial" w:eastAsiaTheme="majorEastAsia" w:hAnsi="Arial" w:cs="Arial"/>
          <w:color w:val="D13438"/>
          <w:sz w:val="20"/>
          <w:szCs w:val="20"/>
        </w:rPr>
        <w:t> </w:t>
      </w:r>
    </w:p>
    <w:p w14:paraId="54B93867" w14:textId="77777777" w:rsidR="00010A15" w:rsidRPr="004030DB" w:rsidRDefault="00010A15" w:rsidP="00010A15">
      <w:pPr>
        <w:rPr>
          <w:rFonts w:ascii="Arial" w:hAnsi="Arial" w:cs="Arial"/>
          <w:sz w:val="20"/>
          <w:szCs w:val="20"/>
          <w:highlight w:val="yellow"/>
          <w:lang w:val="en-GB"/>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00"/>
        <w:gridCol w:w="1800"/>
        <w:gridCol w:w="1155"/>
        <w:gridCol w:w="645"/>
        <w:gridCol w:w="600"/>
        <w:gridCol w:w="900"/>
        <w:gridCol w:w="300"/>
        <w:gridCol w:w="750"/>
        <w:gridCol w:w="1050"/>
      </w:tblGrid>
      <w:tr w:rsidR="000130E5" w:rsidRPr="004030DB" w14:paraId="2A46A516" w14:textId="77777777" w:rsidTr="000130E5">
        <w:trPr>
          <w:trHeight w:val="300"/>
        </w:trPr>
        <w:tc>
          <w:tcPr>
            <w:tcW w:w="4755" w:type="dxa"/>
            <w:gridSpan w:val="3"/>
            <w:tcBorders>
              <w:top w:val="nil"/>
              <w:left w:val="nil"/>
              <w:bottom w:val="nil"/>
              <w:right w:val="nil"/>
            </w:tcBorders>
            <w:hideMark/>
          </w:tcPr>
          <w:p w14:paraId="60B5B14A" w14:textId="77777777" w:rsidR="000130E5" w:rsidRPr="004030DB" w:rsidRDefault="000130E5" w:rsidP="000130E5">
            <w:pPr>
              <w:widowControl/>
              <w:textAlignment w:val="baseline"/>
              <w:rPr>
                <w:rFonts w:ascii="Segoe UI" w:eastAsia="Times New Roman" w:hAnsi="Segoe UI" w:cs="Segoe UI"/>
                <w:sz w:val="20"/>
                <w:szCs w:val="20"/>
                <w:lang w:val="en-GB" w:eastAsia="en-GB"/>
              </w:rPr>
            </w:pPr>
            <w:r w:rsidRPr="004030DB">
              <w:rPr>
                <w:rFonts w:ascii="Arial" w:eastAsia="Times New Roman" w:hAnsi="Arial" w:cs="Arial"/>
                <w:color w:val="D13438"/>
                <w:sz w:val="20"/>
                <w:szCs w:val="20"/>
                <w:lang w:val="en-GB" w:eastAsia="en-GB"/>
              </w:rPr>
              <w:t> </w:t>
            </w:r>
          </w:p>
        </w:tc>
        <w:tc>
          <w:tcPr>
            <w:tcW w:w="1245" w:type="dxa"/>
            <w:gridSpan w:val="2"/>
            <w:tcBorders>
              <w:top w:val="nil"/>
              <w:left w:val="nil"/>
              <w:bottom w:val="single" w:sz="6" w:space="0" w:color="auto"/>
              <w:right w:val="nil"/>
            </w:tcBorders>
            <w:hideMark/>
          </w:tcPr>
          <w:p w14:paraId="355F56F9" w14:textId="77777777" w:rsidR="000130E5" w:rsidRPr="004030DB" w:rsidRDefault="000130E5" w:rsidP="000130E5">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color w:val="D13438"/>
                <w:sz w:val="20"/>
                <w:szCs w:val="20"/>
                <w:lang w:val="en-GB" w:eastAsia="en-GB"/>
              </w:rPr>
              <w:t> </w:t>
            </w:r>
          </w:p>
        </w:tc>
        <w:tc>
          <w:tcPr>
            <w:tcW w:w="900" w:type="dxa"/>
            <w:tcBorders>
              <w:top w:val="nil"/>
              <w:left w:val="nil"/>
              <w:bottom w:val="single" w:sz="6" w:space="0" w:color="auto"/>
              <w:right w:val="single" w:sz="6" w:space="0" w:color="auto"/>
            </w:tcBorders>
            <w:hideMark/>
          </w:tcPr>
          <w:p w14:paraId="2598684C" w14:textId="77777777" w:rsidR="000130E5" w:rsidRPr="004030DB" w:rsidRDefault="000130E5" w:rsidP="000130E5">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color w:val="D13438"/>
                <w:sz w:val="20"/>
                <w:szCs w:val="20"/>
                <w:lang w:val="en-GB" w:eastAsia="en-GB"/>
              </w:rPr>
              <w:t> </w:t>
            </w:r>
          </w:p>
        </w:tc>
        <w:tc>
          <w:tcPr>
            <w:tcW w:w="1050" w:type="dxa"/>
            <w:gridSpan w:val="2"/>
            <w:tcBorders>
              <w:top w:val="single" w:sz="6" w:space="0" w:color="auto"/>
              <w:left w:val="single" w:sz="6" w:space="0" w:color="auto"/>
              <w:bottom w:val="single" w:sz="6" w:space="0" w:color="auto"/>
              <w:right w:val="single" w:sz="6" w:space="0" w:color="auto"/>
            </w:tcBorders>
            <w:shd w:val="clear" w:color="auto" w:fill="DEEAF6"/>
            <w:hideMark/>
          </w:tcPr>
          <w:p w14:paraId="62E5FD48" w14:textId="77777777" w:rsidR="000130E5" w:rsidRPr="004030DB" w:rsidRDefault="000130E5" w:rsidP="000130E5">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b/>
                <w:bCs/>
                <w:sz w:val="20"/>
                <w:szCs w:val="20"/>
                <w:lang w:eastAsia="en-GB"/>
              </w:rPr>
              <w:t>2024/25</w:t>
            </w:r>
            <w:r w:rsidRPr="004030DB">
              <w:rPr>
                <w:rFonts w:ascii="Arial" w:eastAsia="Times New Roman" w:hAnsi="Arial" w:cs="Arial"/>
                <w:color w:val="D13438"/>
                <w:sz w:val="20"/>
                <w:szCs w:val="20"/>
                <w:lang w:val="en-GB" w:eastAsia="en-GB"/>
              </w:rPr>
              <w:t> </w:t>
            </w:r>
          </w:p>
        </w:tc>
        <w:tc>
          <w:tcPr>
            <w:tcW w:w="1035" w:type="dxa"/>
            <w:tcBorders>
              <w:top w:val="single" w:sz="6" w:space="0" w:color="auto"/>
              <w:left w:val="single" w:sz="6" w:space="0" w:color="auto"/>
              <w:bottom w:val="single" w:sz="6" w:space="0" w:color="auto"/>
              <w:right w:val="single" w:sz="6" w:space="0" w:color="auto"/>
            </w:tcBorders>
            <w:shd w:val="clear" w:color="auto" w:fill="DEEAF6"/>
            <w:hideMark/>
          </w:tcPr>
          <w:p w14:paraId="2C328C8C" w14:textId="77777777" w:rsidR="000130E5" w:rsidRPr="004030DB" w:rsidRDefault="000130E5" w:rsidP="000130E5">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b/>
                <w:bCs/>
                <w:sz w:val="20"/>
                <w:szCs w:val="20"/>
                <w:lang w:eastAsia="en-GB"/>
              </w:rPr>
              <w:t>2023/24</w:t>
            </w:r>
            <w:r w:rsidRPr="004030DB">
              <w:rPr>
                <w:rFonts w:ascii="Arial" w:eastAsia="Times New Roman" w:hAnsi="Arial" w:cs="Arial"/>
                <w:color w:val="D13438"/>
                <w:sz w:val="20"/>
                <w:szCs w:val="20"/>
                <w:lang w:val="en-GB" w:eastAsia="en-GB"/>
              </w:rPr>
              <w:t> </w:t>
            </w:r>
          </w:p>
        </w:tc>
      </w:tr>
      <w:tr w:rsidR="000130E5" w:rsidRPr="004030DB" w14:paraId="2E58C1EF" w14:textId="77777777" w:rsidTr="000130E5">
        <w:trPr>
          <w:trHeight w:val="300"/>
        </w:trPr>
        <w:tc>
          <w:tcPr>
            <w:tcW w:w="4755" w:type="dxa"/>
            <w:gridSpan w:val="3"/>
            <w:tcBorders>
              <w:top w:val="nil"/>
              <w:left w:val="nil"/>
              <w:bottom w:val="single" w:sz="6" w:space="0" w:color="auto"/>
              <w:right w:val="single" w:sz="6" w:space="0" w:color="auto"/>
            </w:tcBorders>
            <w:hideMark/>
          </w:tcPr>
          <w:p w14:paraId="733808BE" w14:textId="77777777" w:rsidR="000130E5" w:rsidRPr="004030DB" w:rsidRDefault="000130E5" w:rsidP="000130E5">
            <w:pPr>
              <w:widowControl/>
              <w:textAlignment w:val="baseline"/>
              <w:rPr>
                <w:rFonts w:ascii="Segoe UI" w:eastAsia="Times New Roman" w:hAnsi="Segoe UI" w:cs="Segoe UI"/>
                <w:sz w:val="20"/>
                <w:szCs w:val="20"/>
                <w:lang w:val="en-GB" w:eastAsia="en-GB"/>
              </w:rPr>
            </w:pPr>
            <w:r w:rsidRPr="004030DB">
              <w:rPr>
                <w:rFonts w:ascii="Arial" w:eastAsia="Times New Roman" w:hAnsi="Arial" w:cs="Arial"/>
                <w:color w:val="D13438"/>
                <w:sz w:val="20"/>
                <w:szCs w:val="20"/>
                <w:lang w:val="en-GB" w:eastAsia="en-GB"/>
              </w:rPr>
              <w:t> </w:t>
            </w:r>
          </w:p>
        </w:tc>
        <w:tc>
          <w:tcPr>
            <w:tcW w:w="1245" w:type="dxa"/>
            <w:gridSpan w:val="2"/>
            <w:tcBorders>
              <w:top w:val="single" w:sz="6" w:space="0" w:color="auto"/>
              <w:left w:val="single" w:sz="6" w:space="0" w:color="auto"/>
              <w:bottom w:val="single" w:sz="6" w:space="0" w:color="auto"/>
              <w:right w:val="single" w:sz="6" w:space="0" w:color="auto"/>
            </w:tcBorders>
            <w:shd w:val="clear" w:color="auto" w:fill="DEEAF6"/>
            <w:hideMark/>
          </w:tcPr>
          <w:p w14:paraId="47B4535D" w14:textId="77777777" w:rsidR="000130E5" w:rsidRPr="004030DB" w:rsidRDefault="000130E5" w:rsidP="000130E5">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b/>
                <w:bCs/>
                <w:sz w:val="20"/>
                <w:szCs w:val="20"/>
                <w:lang w:eastAsia="en-GB"/>
              </w:rPr>
              <w:t>Permanent</w:t>
            </w:r>
            <w:r w:rsidRPr="004030DB">
              <w:rPr>
                <w:rFonts w:ascii="Arial" w:eastAsia="Times New Roman" w:hAnsi="Arial" w:cs="Arial"/>
                <w:color w:val="D13438"/>
                <w:sz w:val="20"/>
                <w:szCs w:val="20"/>
                <w:lang w:val="en-GB" w:eastAsia="en-GB"/>
              </w:rPr>
              <w:t> </w:t>
            </w:r>
          </w:p>
        </w:tc>
        <w:tc>
          <w:tcPr>
            <w:tcW w:w="900" w:type="dxa"/>
            <w:tcBorders>
              <w:top w:val="single" w:sz="6" w:space="0" w:color="auto"/>
              <w:left w:val="single" w:sz="6" w:space="0" w:color="auto"/>
              <w:bottom w:val="single" w:sz="6" w:space="0" w:color="auto"/>
              <w:right w:val="single" w:sz="6" w:space="0" w:color="auto"/>
            </w:tcBorders>
            <w:shd w:val="clear" w:color="auto" w:fill="DEEAF6"/>
            <w:hideMark/>
          </w:tcPr>
          <w:p w14:paraId="6BEEF7D1" w14:textId="77777777" w:rsidR="000130E5" w:rsidRPr="004030DB" w:rsidRDefault="000130E5" w:rsidP="000130E5">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b/>
                <w:bCs/>
                <w:sz w:val="20"/>
                <w:szCs w:val="20"/>
                <w:lang w:eastAsia="en-GB"/>
              </w:rPr>
              <w:t>Other</w:t>
            </w:r>
            <w:r w:rsidRPr="004030DB">
              <w:rPr>
                <w:rFonts w:ascii="Arial" w:eastAsia="Times New Roman" w:hAnsi="Arial" w:cs="Arial"/>
                <w:color w:val="D13438"/>
                <w:sz w:val="20"/>
                <w:szCs w:val="20"/>
                <w:lang w:val="en-GB" w:eastAsia="en-GB"/>
              </w:rPr>
              <w:t> </w:t>
            </w:r>
          </w:p>
        </w:tc>
        <w:tc>
          <w:tcPr>
            <w:tcW w:w="1050" w:type="dxa"/>
            <w:gridSpan w:val="2"/>
            <w:tcBorders>
              <w:top w:val="single" w:sz="6" w:space="0" w:color="auto"/>
              <w:left w:val="single" w:sz="6" w:space="0" w:color="auto"/>
              <w:bottom w:val="single" w:sz="6" w:space="0" w:color="auto"/>
              <w:right w:val="single" w:sz="6" w:space="0" w:color="auto"/>
            </w:tcBorders>
            <w:shd w:val="clear" w:color="auto" w:fill="DEEAF6"/>
            <w:hideMark/>
          </w:tcPr>
          <w:p w14:paraId="49A5EF62" w14:textId="77777777" w:rsidR="000130E5" w:rsidRPr="004030DB" w:rsidRDefault="000130E5" w:rsidP="000130E5">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b/>
                <w:bCs/>
                <w:sz w:val="20"/>
                <w:szCs w:val="20"/>
                <w:lang w:eastAsia="en-GB"/>
              </w:rPr>
              <w:t>Total</w:t>
            </w:r>
            <w:r w:rsidRPr="004030DB">
              <w:rPr>
                <w:rFonts w:ascii="Arial" w:eastAsia="Times New Roman" w:hAnsi="Arial" w:cs="Arial"/>
                <w:color w:val="D13438"/>
                <w:sz w:val="20"/>
                <w:szCs w:val="20"/>
                <w:lang w:val="en-GB" w:eastAsia="en-GB"/>
              </w:rPr>
              <w:t> </w:t>
            </w:r>
          </w:p>
        </w:tc>
        <w:tc>
          <w:tcPr>
            <w:tcW w:w="1035" w:type="dxa"/>
            <w:tcBorders>
              <w:top w:val="single" w:sz="6" w:space="0" w:color="auto"/>
              <w:left w:val="single" w:sz="6" w:space="0" w:color="auto"/>
              <w:bottom w:val="single" w:sz="6" w:space="0" w:color="auto"/>
              <w:right w:val="single" w:sz="6" w:space="0" w:color="auto"/>
            </w:tcBorders>
            <w:shd w:val="clear" w:color="auto" w:fill="DEEAF6"/>
            <w:hideMark/>
          </w:tcPr>
          <w:p w14:paraId="7DDD5026" w14:textId="77777777" w:rsidR="000130E5" w:rsidRPr="004030DB" w:rsidRDefault="000130E5" w:rsidP="000130E5">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b/>
                <w:bCs/>
                <w:sz w:val="20"/>
                <w:szCs w:val="20"/>
                <w:lang w:eastAsia="en-GB"/>
              </w:rPr>
              <w:t>Total</w:t>
            </w:r>
            <w:r w:rsidRPr="004030DB">
              <w:rPr>
                <w:rFonts w:ascii="Arial" w:eastAsia="Times New Roman" w:hAnsi="Arial" w:cs="Arial"/>
                <w:color w:val="D13438"/>
                <w:sz w:val="20"/>
                <w:szCs w:val="20"/>
                <w:lang w:val="en-GB" w:eastAsia="en-GB"/>
              </w:rPr>
              <w:t> </w:t>
            </w:r>
          </w:p>
        </w:tc>
      </w:tr>
      <w:tr w:rsidR="000130E5" w:rsidRPr="004030DB" w14:paraId="48E16019" w14:textId="77777777" w:rsidTr="000130E5">
        <w:trPr>
          <w:trHeight w:val="300"/>
        </w:trPr>
        <w:tc>
          <w:tcPr>
            <w:tcW w:w="4755" w:type="dxa"/>
            <w:gridSpan w:val="3"/>
            <w:tcBorders>
              <w:top w:val="single" w:sz="6" w:space="0" w:color="auto"/>
              <w:left w:val="single" w:sz="6" w:space="0" w:color="auto"/>
              <w:bottom w:val="single" w:sz="6" w:space="0" w:color="auto"/>
              <w:right w:val="single" w:sz="6" w:space="0" w:color="auto"/>
            </w:tcBorders>
            <w:hideMark/>
          </w:tcPr>
          <w:p w14:paraId="1E14B8AE" w14:textId="77777777" w:rsidR="000130E5" w:rsidRPr="004030DB" w:rsidRDefault="000130E5" w:rsidP="000130E5">
            <w:pPr>
              <w:widowControl/>
              <w:textAlignment w:val="baseline"/>
              <w:rPr>
                <w:rFonts w:ascii="Segoe UI" w:eastAsia="Times New Roman" w:hAnsi="Segoe UI" w:cs="Segoe UI"/>
                <w:sz w:val="20"/>
                <w:szCs w:val="20"/>
                <w:lang w:val="en-GB" w:eastAsia="en-GB"/>
              </w:rPr>
            </w:pPr>
            <w:r w:rsidRPr="004030DB">
              <w:rPr>
                <w:rFonts w:ascii="Arial" w:eastAsia="Times New Roman" w:hAnsi="Arial" w:cs="Arial"/>
                <w:color w:val="D13438"/>
                <w:sz w:val="20"/>
                <w:szCs w:val="20"/>
                <w:lang w:val="en-GB" w:eastAsia="en-GB"/>
              </w:rPr>
              <w:t> </w:t>
            </w:r>
          </w:p>
        </w:tc>
        <w:tc>
          <w:tcPr>
            <w:tcW w:w="1245" w:type="dxa"/>
            <w:gridSpan w:val="2"/>
            <w:tcBorders>
              <w:top w:val="single" w:sz="6" w:space="0" w:color="auto"/>
              <w:left w:val="single" w:sz="6" w:space="0" w:color="auto"/>
              <w:bottom w:val="single" w:sz="6" w:space="0" w:color="auto"/>
              <w:right w:val="single" w:sz="6" w:space="0" w:color="auto"/>
            </w:tcBorders>
            <w:shd w:val="clear" w:color="auto" w:fill="DEEAF6"/>
            <w:hideMark/>
          </w:tcPr>
          <w:p w14:paraId="1BFDB04C" w14:textId="77777777" w:rsidR="000130E5" w:rsidRPr="004030DB" w:rsidRDefault="000130E5" w:rsidP="000130E5">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b/>
                <w:bCs/>
                <w:sz w:val="20"/>
                <w:szCs w:val="20"/>
                <w:lang w:eastAsia="en-GB"/>
              </w:rPr>
              <w:t>£000</w:t>
            </w:r>
            <w:r w:rsidRPr="004030DB">
              <w:rPr>
                <w:rFonts w:ascii="Arial" w:eastAsia="Times New Roman" w:hAnsi="Arial" w:cs="Arial"/>
                <w:color w:val="D13438"/>
                <w:sz w:val="20"/>
                <w:szCs w:val="20"/>
                <w:lang w:val="en-GB" w:eastAsia="en-GB"/>
              </w:rPr>
              <w:t> </w:t>
            </w:r>
          </w:p>
        </w:tc>
        <w:tc>
          <w:tcPr>
            <w:tcW w:w="900" w:type="dxa"/>
            <w:tcBorders>
              <w:top w:val="single" w:sz="6" w:space="0" w:color="auto"/>
              <w:left w:val="single" w:sz="6" w:space="0" w:color="auto"/>
              <w:bottom w:val="single" w:sz="6" w:space="0" w:color="auto"/>
              <w:right w:val="single" w:sz="6" w:space="0" w:color="auto"/>
            </w:tcBorders>
            <w:shd w:val="clear" w:color="auto" w:fill="DEEAF6"/>
            <w:hideMark/>
          </w:tcPr>
          <w:p w14:paraId="6E611937" w14:textId="77777777" w:rsidR="000130E5" w:rsidRPr="004030DB" w:rsidRDefault="000130E5" w:rsidP="000130E5">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b/>
                <w:bCs/>
                <w:sz w:val="20"/>
                <w:szCs w:val="20"/>
                <w:lang w:eastAsia="en-GB"/>
              </w:rPr>
              <w:t>£000</w:t>
            </w:r>
            <w:r w:rsidRPr="004030DB">
              <w:rPr>
                <w:rFonts w:ascii="Arial" w:eastAsia="Times New Roman" w:hAnsi="Arial" w:cs="Arial"/>
                <w:color w:val="D13438"/>
                <w:sz w:val="20"/>
                <w:szCs w:val="20"/>
                <w:lang w:val="en-GB" w:eastAsia="en-GB"/>
              </w:rPr>
              <w:t> </w:t>
            </w:r>
          </w:p>
        </w:tc>
        <w:tc>
          <w:tcPr>
            <w:tcW w:w="1050" w:type="dxa"/>
            <w:gridSpan w:val="2"/>
            <w:tcBorders>
              <w:top w:val="single" w:sz="6" w:space="0" w:color="auto"/>
              <w:left w:val="single" w:sz="6" w:space="0" w:color="auto"/>
              <w:bottom w:val="single" w:sz="6" w:space="0" w:color="auto"/>
              <w:right w:val="single" w:sz="6" w:space="0" w:color="auto"/>
            </w:tcBorders>
            <w:shd w:val="clear" w:color="auto" w:fill="DEEAF6"/>
            <w:hideMark/>
          </w:tcPr>
          <w:p w14:paraId="1E11495F" w14:textId="77777777" w:rsidR="000130E5" w:rsidRPr="004030DB" w:rsidRDefault="000130E5" w:rsidP="000130E5">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b/>
                <w:bCs/>
                <w:sz w:val="20"/>
                <w:szCs w:val="20"/>
                <w:lang w:eastAsia="en-GB"/>
              </w:rPr>
              <w:t>£000</w:t>
            </w:r>
            <w:r w:rsidRPr="004030DB">
              <w:rPr>
                <w:rFonts w:ascii="Arial" w:eastAsia="Times New Roman" w:hAnsi="Arial" w:cs="Arial"/>
                <w:color w:val="D13438"/>
                <w:sz w:val="20"/>
                <w:szCs w:val="20"/>
                <w:lang w:val="en-GB" w:eastAsia="en-GB"/>
              </w:rPr>
              <w:t> </w:t>
            </w:r>
          </w:p>
        </w:tc>
        <w:tc>
          <w:tcPr>
            <w:tcW w:w="1035" w:type="dxa"/>
            <w:tcBorders>
              <w:top w:val="single" w:sz="6" w:space="0" w:color="auto"/>
              <w:left w:val="single" w:sz="6" w:space="0" w:color="auto"/>
              <w:bottom w:val="single" w:sz="6" w:space="0" w:color="auto"/>
              <w:right w:val="single" w:sz="6" w:space="0" w:color="auto"/>
            </w:tcBorders>
            <w:shd w:val="clear" w:color="auto" w:fill="DEEAF6"/>
            <w:hideMark/>
          </w:tcPr>
          <w:p w14:paraId="183874B1" w14:textId="77777777" w:rsidR="000130E5" w:rsidRPr="004030DB" w:rsidRDefault="000130E5" w:rsidP="000130E5">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b/>
                <w:bCs/>
                <w:sz w:val="20"/>
                <w:szCs w:val="20"/>
                <w:lang w:eastAsia="en-GB"/>
              </w:rPr>
              <w:t>£000</w:t>
            </w:r>
            <w:r w:rsidRPr="004030DB">
              <w:rPr>
                <w:rFonts w:ascii="Arial" w:eastAsia="Times New Roman" w:hAnsi="Arial" w:cs="Arial"/>
                <w:color w:val="D13438"/>
                <w:sz w:val="20"/>
                <w:szCs w:val="20"/>
                <w:lang w:val="en-GB" w:eastAsia="en-GB"/>
              </w:rPr>
              <w:t> </w:t>
            </w:r>
          </w:p>
        </w:tc>
      </w:tr>
      <w:tr w:rsidR="000130E5" w:rsidRPr="004030DB" w14:paraId="19ED2578" w14:textId="77777777" w:rsidTr="000130E5">
        <w:trPr>
          <w:trHeight w:val="300"/>
        </w:trPr>
        <w:tc>
          <w:tcPr>
            <w:tcW w:w="4755" w:type="dxa"/>
            <w:gridSpan w:val="3"/>
            <w:tcBorders>
              <w:top w:val="single" w:sz="6" w:space="0" w:color="auto"/>
              <w:left w:val="single" w:sz="6" w:space="0" w:color="auto"/>
              <w:bottom w:val="single" w:sz="6" w:space="0" w:color="auto"/>
              <w:right w:val="single" w:sz="6" w:space="0" w:color="auto"/>
            </w:tcBorders>
            <w:hideMark/>
          </w:tcPr>
          <w:p w14:paraId="093088F6" w14:textId="77777777" w:rsidR="000130E5" w:rsidRPr="004030DB" w:rsidRDefault="000130E5" w:rsidP="000130E5">
            <w:pPr>
              <w:widowControl/>
              <w:textAlignment w:val="baseline"/>
              <w:rPr>
                <w:rFonts w:ascii="Segoe UI" w:eastAsia="Times New Roman" w:hAnsi="Segoe UI" w:cs="Segoe UI"/>
                <w:sz w:val="20"/>
                <w:szCs w:val="20"/>
                <w:lang w:val="en-GB" w:eastAsia="en-GB"/>
              </w:rPr>
            </w:pPr>
            <w:r w:rsidRPr="004030DB">
              <w:rPr>
                <w:rFonts w:ascii="Arial" w:eastAsia="Times New Roman" w:hAnsi="Arial" w:cs="Arial"/>
                <w:color w:val="000000"/>
                <w:sz w:val="20"/>
                <w:szCs w:val="20"/>
                <w:lang w:eastAsia="en-GB"/>
              </w:rPr>
              <w:t>Salaries and wages</w:t>
            </w:r>
            <w:r w:rsidRPr="004030DB">
              <w:rPr>
                <w:rFonts w:ascii="Arial" w:eastAsia="Times New Roman" w:hAnsi="Arial" w:cs="Arial"/>
                <w:color w:val="D13438"/>
                <w:sz w:val="20"/>
                <w:szCs w:val="20"/>
                <w:lang w:val="en-GB" w:eastAsia="en-GB"/>
              </w:rPr>
              <w:t> </w:t>
            </w:r>
          </w:p>
        </w:tc>
        <w:tc>
          <w:tcPr>
            <w:tcW w:w="1245" w:type="dxa"/>
            <w:gridSpan w:val="2"/>
            <w:tcBorders>
              <w:top w:val="single" w:sz="6" w:space="0" w:color="auto"/>
              <w:left w:val="single" w:sz="6" w:space="0" w:color="auto"/>
              <w:bottom w:val="single" w:sz="6" w:space="0" w:color="auto"/>
              <w:right w:val="single" w:sz="6" w:space="0" w:color="auto"/>
            </w:tcBorders>
            <w:vAlign w:val="bottom"/>
            <w:hideMark/>
          </w:tcPr>
          <w:p w14:paraId="2602EBBB" w14:textId="77777777" w:rsidR="000130E5" w:rsidRPr="004030DB" w:rsidRDefault="000130E5" w:rsidP="000130E5">
            <w:pPr>
              <w:widowControl/>
              <w:jc w:val="right"/>
              <w:textAlignment w:val="baseline"/>
              <w:rPr>
                <w:rFonts w:ascii="Segoe UI" w:eastAsia="Times New Roman" w:hAnsi="Segoe UI" w:cs="Segoe UI"/>
                <w:sz w:val="20"/>
                <w:szCs w:val="20"/>
                <w:lang w:val="en-GB" w:eastAsia="en-GB"/>
              </w:rPr>
            </w:pPr>
            <w:r w:rsidRPr="004030DB">
              <w:rPr>
                <w:rFonts w:ascii="Arial" w:eastAsia="Times New Roman" w:hAnsi="Arial" w:cs="Arial"/>
                <w:color w:val="000000"/>
                <w:sz w:val="20"/>
                <w:szCs w:val="20"/>
                <w:lang w:eastAsia="en-GB"/>
              </w:rPr>
              <w:t>268,343 </w:t>
            </w:r>
            <w:r w:rsidRPr="004030DB">
              <w:rPr>
                <w:rFonts w:ascii="Arial" w:eastAsia="Times New Roman" w:hAnsi="Arial" w:cs="Arial"/>
                <w:color w:val="D13438"/>
                <w:sz w:val="20"/>
                <w:szCs w:val="20"/>
                <w:lang w:val="en-GB" w:eastAsia="en-GB"/>
              </w:rPr>
              <w:t> </w:t>
            </w:r>
          </w:p>
        </w:tc>
        <w:tc>
          <w:tcPr>
            <w:tcW w:w="900" w:type="dxa"/>
            <w:tcBorders>
              <w:top w:val="single" w:sz="6" w:space="0" w:color="auto"/>
              <w:left w:val="single" w:sz="6" w:space="0" w:color="auto"/>
              <w:bottom w:val="single" w:sz="6" w:space="0" w:color="auto"/>
              <w:right w:val="single" w:sz="6" w:space="0" w:color="auto"/>
            </w:tcBorders>
            <w:vAlign w:val="bottom"/>
            <w:hideMark/>
          </w:tcPr>
          <w:p w14:paraId="591A3EC5" w14:textId="77777777" w:rsidR="000130E5" w:rsidRPr="004030DB" w:rsidRDefault="000130E5" w:rsidP="000130E5">
            <w:pPr>
              <w:widowControl/>
              <w:jc w:val="right"/>
              <w:textAlignment w:val="baseline"/>
              <w:rPr>
                <w:rFonts w:ascii="Segoe UI" w:eastAsia="Times New Roman" w:hAnsi="Segoe UI" w:cs="Segoe UI"/>
                <w:sz w:val="20"/>
                <w:szCs w:val="20"/>
                <w:lang w:val="en-GB" w:eastAsia="en-GB"/>
              </w:rPr>
            </w:pPr>
            <w:r w:rsidRPr="004030DB">
              <w:rPr>
                <w:rFonts w:ascii="Arial" w:eastAsia="Times New Roman" w:hAnsi="Arial" w:cs="Arial"/>
                <w:color w:val="000000"/>
                <w:sz w:val="20"/>
                <w:szCs w:val="20"/>
                <w:lang w:eastAsia="en-GB"/>
              </w:rPr>
              <w:t>- </w:t>
            </w:r>
            <w:r w:rsidRPr="004030DB">
              <w:rPr>
                <w:rFonts w:ascii="Arial" w:eastAsia="Times New Roman" w:hAnsi="Arial" w:cs="Arial"/>
                <w:color w:val="D13438"/>
                <w:sz w:val="20"/>
                <w:szCs w:val="20"/>
                <w:lang w:val="en-GB" w:eastAsia="en-GB"/>
              </w:rPr>
              <w:t> </w:t>
            </w:r>
          </w:p>
        </w:tc>
        <w:tc>
          <w:tcPr>
            <w:tcW w:w="1050" w:type="dxa"/>
            <w:gridSpan w:val="2"/>
            <w:tcBorders>
              <w:top w:val="single" w:sz="6" w:space="0" w:color="auto"/>
              <w:left w:val="single" w:sz="6" w:space="0" w:color="auto"/>
              <w:bottom w:val="single" w:sz="6" w:space="0" w:color="auto"/>
              <w:right w:val="single" w:sz="6" w:space="0" w:color="auto"/>
            </w:tcBorders>
            <w:vAlign w:val="bottom"/>
            <w:hideMark/>
          </w:tcPr>
          <w:p w14:paraId="5EE7039A" w14:textId="77777777" w:rsidR="000130E5" w:rsidRPr="004030DB" w:rsidRDefault="000130E5" w:rsidP="000130E5">
            <w:pPr>
              <w:widowControl/>
              <w:jc w:val="right"/>
              <w:textAlignment w:val="baseline"/>
              <w:rPr>
                <w:rFonts w:ascii="Segoe UI" w:eastAsia="Times New Roman" w:hAnsi="Segoe UI" w:cs="Segoe UI"/>
                <w:sz w:val="20"/>
                <w:szCs w:val="20"/>
                <w:lang w:val="en-GB" w:eastAsia="en-GB"/>
              </w:rPr>
            </w:pPr>
            <w:r w:rsidRPr="004030DB">
              <w:rPr>
                <w:rFonts w:ascii="Arial" w:eastAsia="Times New Roman" w:hAnsi="Arial" w:cs="Arial"/>
                <w:b/>
                <w:bCs/>
                <w:color w:val="000000"/>
                <w:sz w:val="20"/>
                <w:szCs w:val="20"/>
                <w:lang w:eastAsia="en-GB"/>
              </w:rPr>
              <w:t>268,343 </w:t>
            </w:r>
            <w:r w:rsidRPr="004030DB">
              <w:rPr>
                <w:rFonts w:ascii="Arial" w:eastAsia="Times New Roman" w:hAnsi="Arial" w:cs="Arial"/>
                <w:color w:val="D13438"/>
                <w:sz w:val="20"/>
                <w:szCs w:val="20"/>
                <w:lang w:val="en-GB" w:eastAsia="en-GB"/>
              </w:rPr>
              <w:t> </w:t>
            </w:r>
          </w:p>
        </w:tc>
        <w:tc>
          <w:tcPr>
            <w:tcW w:w="1035" w:type="dxa"/>
            <w:tcBorders>
              <w:top w:val="single" w:sz="6" w:space="0" w:color="auto"/>
              <w:left w:val="single" w:sz="6" w:space="0" w:color="auto"/>
              <w:bottom w:val="single" w:sz="6" w:space="0" w:color="auto"/>
              <w:right w:val="single" w:sz="6" w:space="0" w:color="auto"/>
            </w:tcBorders>
            <w:vAlign w:val="bottom"/>
            <w:hideMark/>
          </w:tcPr>
          <w:p w14:paraId="5F820455" w14:textId="77777777" w:rsidR="000130E5" w:rsidRPr="004030DB" w:rsidRDefault="000130E5" w:rsidP="000130E5">
            <w:pPr>
              <w:widowControl/>
              <w:jc w:val="right"/>
              <w:textAlignment w:val="baseline"/>
              <w:rPr>
                <w:rFonts w:ascii="Segoe UI" w:eastAsia="Times New Roman" w:hAnsi="Segoe UI" w:cs="Segoe UI"/>
                <w:sz w:val="20"/>
                <w:szCs w:val="20"/>
                <w:lang w:val="en-GB" w:eastAsia="en-GB"/>
              </w:rPr>
            </w:pPr>
            <w:r w:rsidRPr="004030DB">
              <w:rPr>
                <w:rFonts w:ascii="Arial" w:eastAsia="Times New Roman" w:hAnsi="Arial" w:cs="Arial"/>
                <w:color w:val="000000"/>
                <w:sz w:val="20"/>
                <w:szCs w:val="20"/>
                <w:lang w:eastAsia="en-GB"/>
              </w:rPr>
              <w:t>241,346 </w:t>
            </w:r>
            <w:r w:rsidRPr="004030DB">
              <w:rPr>
                <w:rFonts w:ascii="Arial" w:eastAsia="Times New Roman" w:hAnsi="Arial" w:cs="Arial"/>
                <w:color w:val="D13438"/>
                <w:sz w:val="20"/>
                <w:szCs w:val="20"/>
                <w:lang w:val="en-GB" w:eastAsia="en-GB"/>
              </w:rPr>
              <w:t> </w:t>
            </w:r>
          </w:p>
        </w:tc>
      </w:tr>
      <w:tr w:rsidR="000130E5" w:rsidRPr="004030DB" w14:paraId="22368B5C" w14:textId="77777777" w:rsidTr="000130E5">
        <w:trPr>
          <w:trHeight w:val="300"/>
        </w:trPr>
        <w:tc>
          <w:tcPr>
            <w:tcW w:w="4755" w:type="dxa"/>
            <w:gridSpan w:val="3"/>
            <w:tcBorders>
              <w:top w:val="single" w:sz="6" w:space="0" w:color="auto"/>
              <w:left w:val="single" w:sz="6" w:space="0" w:color="auto"/>
              <w:bottom w:val="single" w:sz="6" w:space="0" w:color="auto"/>
              <w:right w:val="single" w:sz="6" w:space="0" w:color="auto"/>
            </w:tcBorders>
            <w:hideMark/>
          </w:tcPr>
          <w:p w14:paraId="39C33859" w14:textId="77777777" w:rsidR="000130E5" w:rsidRPr="004030DB" w:rsidRDefault="000130E5" w:rsidP="000130E5">
            <w:pPr>
              <w:widowControl/>
              <w:textAlignment w:val="baseline"/>
              <w:rPr>
                <w:rFonts w:ascii="Segoe UI" w:eastAsia="Times New Roman" w:hAnsi="Segoe UI" w:cs="Segoe UI"/>
                <w:sz w:val="20"/>
                <w:szCs w:val="20"/>
                <w:lang w:val="en-GB" w:eastAsia="en-GB"/>
              </w:rPr>
            </w:pPr>
            <w:r w:rsidRPr="004030DB">
              <w:rPr>
                <w:rFonts w:ascii="Arial" w:eastAsia="Times New Roman" w:hAnsi="Arial" w:cs="Arial"/>
                <w:color w:val="000000"/>
                <w:sz w:val="20"/>
                <w:szCs w:val="20"/>
                <w:lang w:eastAsia="en-GB"/>
              </w:rPr>
              <w:t>Social security costs </w:t>
            </w:r>
            <w:r w:rsidRPr="004030DB">
              <w:rPr>
                <w:rFonts w:ascii="Arial" w:eastAsia="Times New Roman" w:hAnsi="Arial" w:cs="Arial"/>
                <w:color w:val="D13438"/>
                <w:sz w:val="20"/>
                <w:szCs w:val="20"/>
                <w:lang w:val="en-GB" w:eastAsia="en-GB"/>
              </w:rPr>
              <w:t> </w:t>
            </w:r>
          </w:p>
        </w:tc>
        <w:tc>
          <w:tcPr>
            <w:tcW w:w="1245" w:type="dxa"/>
            <w:gridSpan w:val="2"/>
            <w:tcBorders>
              <w:top w:val="single" w:sz="6" w:space="0" w:color="auto"/>
              <w:left w:val="single" w:sz="6" w:space="0" w:color="auto"/>
              <w:bottom w:val="single" w:sz="6" w:space="0" w:color="auto"/>
              <w:right w:val="single" w:sz="6" w:space="0" w:color="auto"/>
            </w:tcBorders>
            <w:vAlign w:val="bottom"/>
            <w:hideMark/>
          </w:tcPr>
          <w:p w14:paraId="11557A50" w14:textId="77777777" w:rsidR="000130E5" w:rsidRPr="004030DB" w:rsidRDefault="000130E5" w:rsidP="000130E5">
            <w:pPr>
              <w:widowControl/>
              <w:jc w:val="right"/>
              <w:textAlignment w:val="baseline"/>
              <w:rPr>
                <w:rFonts w:ascii="Segoe UI" w:eastAsia="Times New Roman" w:hAnsi="Segoe UI" w:cs="Segoe UI"/>
                <w:sz w:val="20"/>
                <w:szCs w:val="20"/>
                <w:lang w:val="en-GB" w:eastAsia="en-GB"/>
              </w:rPr>
            </w:pPr>
            <w:r w:rsidRPr="004030DB">
              <w:rPr>
                <w:rFonts w:ascii="Arial" w:eastAsia="Times New Roman" w:hAnsi="Arial" w:cs="Arial"/>
                <w:color w:val="000000"/>
                <w:sz w:val="20"/>
                <w:szCs w:val="20"/>
                <w:lang w:eastAsia="en-GB"/>
              </w:rPr>
              <w:t>29,604 </w:t>
            </w:r>
            <w:r w:rsidRPr="004030DB">
              <w:rPr>
                <w:rFonts w:ascii="Arial" w:eastAsia="Times New Roman" w:hAnsi="Arial" w:cs="Arial"/>
                <w:color w:val="D13438"/>
                <w:sz w:val="20"/>
                <w:szCs w:val="20"/>
                <w:lang w:val="en-GB" w:eastAsia="en-GB"/>
              </w:rPr>
              <w:t> </w:t>
            </w:r>
          </w:p>
        </w:tc>
        <w:tc>
          <w:tcPr>
            <w:tcW w:w="900" w:type="dxa"/>
            <w:tcBorders>
              <w:top w:val="single" w:sz="6" w:space="0" w:color="auto"/>
              <w:left w:val="single" w:sz="6" w:space="0" w:color="auto"/>
              <w:bottom w:val="single" w:sz="6" w:space="0" w:color="auto"/>
              <w:right w:val="single" w:sz="6" w:space="0" w:color="auto"/>
            </w:tcBorders>
            <w:vAlign w:val="bottom"/>
            <w:hideMark/>
          </w:tcPr>
          <w:p w14:paraId="17420996" w14:textId="77777777" w:rsidR="000130E5" w:rsidRPr="004030DB" w:rsidRDefault="000130E5" w:rsidP="000130E5">
            <w:pPr>
              <w:widowControl/>
              <w:jc w:val="right"/>
              <w:textAlignment w:val="baseline"/>
              <w:rPr>
                <w:rFonts w:ascii="Segoe UI" w:eastAsia="Times New Roman" w:hAnsi="Segoe UI" w:cs="Segoe UI"/>
                <w:sz w:val="20"/>
                <w:szCs w:val="20"/>
                <w:lang w:val="en-GB" w:eastAsia="en-GB"/>
              </w:rPr>
            </w:pPr>
            <w:r w:rsidRPr="004030DB">
              <w:rPr>
                <w:rFonts w:ascii="Arial" w:eastAsia="Times New Roman" w:hAnsi="Arial" w:cs="Arial"/>
                <w:color w:val="000000"/>
                <w:sz w:val="20"/>
                <w:szCs w:val="20"/>
                <w:lang w:eastAsia="en-GB"/>
              </w:rPr>
              <w:t>- </w:t>
            </w:r>
            <w:r w:rsidRPr="004030DB">
              <w:rPr>
                <w:rFonts w:ascii="Arial" w:eastAsia="Times New Roman" w:hAnsi="Arial" w:cs="Arial"/>
                <w:color w:val="D13438"/>
                <w:sz w:val="20"/>
                <w:szCs w:val="20"/>
                <w:lang w:val="en-GB" w:eastAsia="en-GB"/>
              </w:rPr>
              <w:t> </w:t>
            </w:r>
          </w:p>
        </w:tc>
        <w:tc>
          <w:tcPr>
            <w:tcW w:w="1050" w:type="dxa"/>
            <w:gridSpan w:val="2"/>
            <w:tcBorders>
              <w:top w:val="single" w:sz="6" w:space="0" w:color="auto"/>
              <w:left w:val="single" w:sz="6" w:space="0" w:color="auto"/>
              <w:bottom w:val="single" w:sz="6" w:space="0" w:color="auto"/>
              <w:right w:val="single" w:sz="6" w:space="0" w:color="auto"/>
            </w:tcBorders>
            <w:vAlign w:val="bottom"/>
            <w:hideMark/>
          </w:tcPr>
          <w:p w14:paraId="5B766DA6" w14:textId="77777777" w:rsidR="000130E5" w:rsidRPr="004030DB" w:rsidRDefault="000130E5" w:rsidP="000130E5">
            <w:pPr>
              <w:widowControl/>
              <w:jc w:val="right"/>
              <w:textAlignment w:val="baseline"/>
              <w:rPr>
                <w:rFonts w:ascii="Segoe UI" w:eastAsia="Times New Roman" w:hAnsi="Segoe UI" w:cs="Segoe UI"/>
                <w:sz w:val="20"/>
                <w:szCs w:val="20"/>
                <w:lang w:val="en-GB" w:eastAsia="en-GB"/>
              </w:rPr>
            </w:pPr>
            <w:r w:rsidRPr="004030DB">
              <w:rPr>
                <w:rFonts w:ascii="Arial" w:eastAsia="Times New Roman" w:hAnsi="Arial" w:cs="Arial"/>
                <w:b/>
                <w:bCs/>
                <w:color w:val="000000"/>
                <w:sz w:val="20"/>
                <w:szCs w:val="20"/>
                <w:lang w:eastAsia="en-GB"/>
              </w:rPr>
              <w:t>29,604 </w:t>
            </w:r>
            <w:r w:rsidRPr="004030DB">
              <w:rPr>
                <w:rFonts w:ascii="Arial" w:eastAsia="Times New Roman" w:hAnsi="Arial" w:cs="Arial"/>
                <w:color w:val="D13438"/>
                <w:sz w:val="20"/>
                <w:szCs w:val="20"/>
                <w:lang w:val="en-GB" w:eastAsia="en-GB"/>
              </w:rPr>
              <w:t> </w:t>
            </w:r>
          </w:p>
        </w:tc>
        <w:tc>
          <w:tcPr>
            <w:tcW w:w="1035" w:type="dxa"/>
            <w:tcBorders>
              <w:top w:val="single" w:sz="6" w:space="0" w:color="auto"/>
              <w:left w:val="single" w:sz="6" w:space="0" w:color="auto"/>
              <w:bottom w:val="single" w:sz="6" w:space="0" w:color="auto"/>
              <w:right w:val="single" w:sz="6" w:space="0" w:color="auto"/>
            </w:tcBorders>
            <w:vAlign w:val="bottom"/>
            <w:hideMark/>
          </w:tcPr>
          <w:p w14:paraId="69594EF2" w14:textId="77777777" w:rsidR="000130E5" w:rsidRPr="004030DB" w:rsidRDefault="000130E5" w:rsidP="000130E5">
            <w:pPr>
              <w:widowControl/>
              <w:jc w:val="right"/>
              <w:textAlignment w:val="baseline"/>
              <w:rPr>
                <w:rFonts w:ascii="Segoe UI" w:eastAsia="Times New Roman" w:hAnsi="Segoe UI" w:cs="Segoe UI"/>
                <w:sz w:val="20"/>
                <w:szCs w:val="20"/>
                <w:lang w:val="en-GB" w:eastAsia="en-GB"/>
              </w:rPr>
            </w:pPr>
            <w:r w:rsidRPr="004030DB">
              <w:rPr>
                <w:rFonts w:ascii="Arial" w:eastAsia="Times New Roman" w:hAnsi="Arial" w:cs="Arial"/>
                <w:color w:val="000000"/>
                <w:sz w:val="20"/>
                <w:szCs w:val="20"/>
                <w:lang w:eastAsia="en-GB"/>
              </w:rPr>
              <w:t>27,443 </w:t>
            </w:r>
            <w:r w:rsidRPr="004030DB">
              <w:rPr>
                <w:rFonts w:ascii="Arial" w:eastAsia="Times New Roman" w:hAnsi="Arial" w:cs="Arial"/>
                <w:color w:val="D13438"/>
                <w:sz w:val="20"/>
                <w:szCs w:val="20"/>
                <w:lang w:val="en-GB" w:eastAsia="en-GB"/>
              </w:rPr>
              <w:t> </w:t>
            </w:r>
          </w:p>
        </w:tc>
      </w:tr>
      <w:tr w:rsidR="000130E5" w:rsidRPr="004030DB" w14:paraId="22FE96C0" w14:textId="77777777" w:rsidTr="000130E5">
        <w:trPr>
          <w:trHeight w:val="300"/>
        </w:trPr>
        <w:tc>
          <w:tcPr>
            <w:tcW w:w="4755" w:type="dxa"/>
            <w:gridSpan w:val="3"/>
            <w:tcBorders>
              <w:top w:val="single" w:sz="6" w:space="0" w:color="auto"/>
              <w:left w:val="single" w:sz="6" w:space="0" w:color="auto"/>
              <w:bottom w:val="single" w:sz="6" w:space="0" w:color="auto"/>
              <w:right w:val="single" w:sz="6" w:space="0" w:color="auto"/>
            </w:tcBorders>
            <w:hideMark/>
          </w:tcPr>
          <w:p w14:paraId="218CFC0D" w14:textId="77777777" w:rsidR="000130E5" w:rsidRPr="004030DB" w:rsidRDefault="000130E5" w:rsidP="000130E5">
            <w:pPr>
              <w:widowControl/>
              <w:textAlignment w:val="baseline"/>
              <w:rPr>
                <w:rFonts w:ascii="Segoe UI" w:eastAsia="Times New Roman" w:hAnsi="Segoe UI" w:cs="Segoe UI"/>
                <w:sz w:val="20"/>
                <w:szCs w:val="20"/>
                <w:lang w:val="en-GB" w:eastAsia="en-GB"/>
              </w:rPr>
            </w:pPr>
            <w:r w:rsidRPr="004030DB">
              <w:rPr>
                <w:rFonts w:ascii="Arial" w:eastAsia="Times New Roman" w:hAnsi="Arial" w:cs="Arial"/>
                <w:color w:val="000000"/>
                <w:sz w:val="20"/>
                <w:szCs w:val="20"/>
                <w:lang w:eastAsia="en-GB"/>
              </w:rPr>
              <w:t>Apprenticeship levy</w:t>
            </w:r>
            <w:r w:rsidRPr="004030DB">
              <w:rPr>
                <w:rFonts w:ascii="Arial" w:eastAsia="Times New Roman" w:hAnsi="Arial" w:cs="Arial"/>
                <w:color w:val="D13438"/>
                <w:sz w:val="20"/>
                <w:szCs w:val="20"/>
                <w:lang w:val="en-GB" w:eastAsia="en-GB"/>
              </w:rPr>
              <w:t> </w:t>
            </w:r>
          </w:p>
        </w:tc>
        <w:tc>
          <w:tcPr>
            <w:tcW w:w="1245" w:type="dxa"/>
            <w:gridSpan w:val="2"/>
            <w:tcBorders>
              <w:top w:val="single" w:sz="6" w:space="0" w:color="auto"/>
              <w:left w:val="single" w:sz="6" w:space="0" w:color="auto"/>
              <w:bottom w:val="single" w:sz="6" w:space="0" w:color="auto"/>
              <w:right w:val="single" w:sz="6" w:space="0" w:color="auto"/>
            </w:tcBorders>
            <w:vAlign w:val="bottom"/>
            <w:hideMark/>
          </w:tcPr>
          <w:p w14:paraId="38AE37F8" w14:textId="77777777" w:rsidR="000130E5" w:rsidRPr="004030DB" w:rsidRDefault="000130E5" w:rsidP="000130E5">
            <w:pPr>
              <w:widowControl/>
              <w:jc w:val="right"/>
              <w:textAlignment w:val="baseline"/>
              <w:rPr>
                <w:rFonts w:ascii="Segoe UI" w:eastAsia="Times New Roman" w:hAnsi="Segoe UI" w:cs="Segoe UI"/>
                <w:sz w:val="20"/>
                <w:szCs w:val="20"/>
                <w:lang w:val="en-GB" w:eastAsia="en-GB"/>
              </w:rPr>
            </w:pPr>
            <w:r w:rsidRPr="004030DB">
              <w:rPr>
                <w:rFonts w:ascii="Arial" w:eastAsia="Times New Roman" w:hAnsi="Arial" w:cs="Arial"/>
                <w:color w:val="000000"/>
                <w:sz w:val="20"/>
                <w:szCs w:val="20"/>
                <w:lang w:eastAsia="en-GB"/>
              </w:rPr>
              <w:t>1,336 </w:t>
            </w:r>
            <w:r w:rsidRPr="004030DB">
              <w:rPr>
                <w:rFonts w:ascii="Arial" w:eastAsia="Times New Roman" w:hAnsi="Arial" w:cs="Arial"/>
                <w:color w:val="D13438"/>
                <w:sz w:val="20"/>
                <w:szCs w:val="20"/>
                <w:lang w:val="en-GB" w:eastAsia="en-GB"/>
              </w:rPr>
              <w:t> </w:t>
            </w:r>
          </w:p>
        </w:tc>
        <w:tc>
          <w:tcPr>
            <w:tcW w:w="900" w:type="dxa"/>
            <w:tcBorders>
              <w:top w:val="single" w:sz="6" w:space="0" w:color="auto"/>
              <w:left w:val="single" w:sz="6" w:space="0" w:color="auto"/>
              <w:bottom w:val="single" w:sz="6" w:space="0" w:color="auto"/>
              <w:right w:val="single" w:sz="6" w:space="0" w:color="auto"/>
            </w:tcBorders>
            <w:vAlign w:val="bottom"/>
            <w:hideMark/>
          </w:tcPr>
          <w:p w14:paraId="0EA5F63F" w14:textId="77777777" w:rsidR="000130E5" w:rsidRPr="004030DB" w:rsidRDefault="000130E5" w:rsidP="000130E5">
            <w:pPr>
              <w:widowControl/>
              <w:jc w:val="right"/>
              <w:textAlignment w:val="baseline"/>
              <w:rPr>
                <w:rFonts w:ascii="Segoe UI" w:eastAsia="Times New Roman" w:hAnsi="Segoe UI" w:cs="Segoe UI"/>
                <w:sz w:val="20"/>
                <w:szCs w:val="20"/>
                <w:lang w:val="en-GB" w:eastAsia="en-GB"/>
              </w:rPr>
            </w:pPr>
            <w:r w:rsidRPr="004030DB">
              <w:rPr>
                <w:rFonts w:ascii="Arial" w:eastAsia="Times New Roman" w:hAnsi="Arial" w:cs="Arial"/>
                <w:color w:val="000000"/>
                <w:sz w:val="20"/>
                <w:szCs w:val="20"/>
                <w:lang w:eastAsia="en-GB"/>
              </w:rPr>
              <w:t>- </w:t>
            </w:r>
            <w:r w:rsidRPr="004030DB">
              <w:rPr>
                <w:rFonts w:ascii="Arial" w:eastAsia="Times New Roman" w:hAnsi="Arial" w:cs="Arial"/>
                <w:color w:val="D13438"/>
                <w:sz w:val="20"/>
                <w:szCs w:val="20"/>
                <w:lang w:val="en-GB" w:eastAsia="en-GB"/>
              </w:rPr>
              <w:t> </w:t>
            </w:r>
          </w:p>
        </w:tc>
        <w:tc>
          <w:tcPr>
            <w:tcW w:w="1050" w:type="dxa"/>
            <w:gridSpan w:val="2"/>
            <w:tcBorders>
              <w:top w:val="single" w:sz="6" w:space="0" w:color="auto"/>
              <w:left w:val="single" w:sz="6" w:space="0" w:color="auto"/>
              <w:bottom w:val="single" w:sz="6" w:space="0" w:color="auto"/>
              <w:right w:val="single" w:sz="6" w:space="0" w:color="auto"/>
            </w:tcBorders>
            <w:vAlign w:val="bottom"/>
            <w:hideMark/>
          </w:tcPr>
          <w:p w14:paraId="0FE47780" w14:textId="77777777" w:rsidR="000130E5" w:rsidRPr="004030DB" w:rsidRDefault="000130E5" w:rsidP="000130E5">
            <w:pPr>
              <w:widowControl/>
              <w:jc w:val="right"/>
              <w:textAlignment w:val="baseline"/>
              <w:rPr>
                <w:rFonts w:ascii="Segoe UI" w:eastAsia="Times New Roman" w:hAnsi="Segoe UI" w:cs="Segoe UI"/>
                <w:sz w:val="20"/>
                <w:szCs w:val="20"/>
                <w:lang w:val="en-GB" w:eastAsia="en-GB"/>
              </w:rPr>
            </w:pPr>
            <w:r w:rsidRPr="004030DB">
              <w:rPr>
                <w:rFonts w:ascii="Arial" w:eastAsia="Times New Roman" w:hAnsi="Arial" w:cs="Arial"/>
                <w:b/>
                <w:bCs/>
                <w:color w:val="000000"/>
                <w:sz w:val="20"/>
                <w:szCs w:val="20"/>
                <w:lang w:eastAsia="en-GB"/>
              </w:rPr>
              <w:t>1,336 </w:t>
            </w:r>
            <w:r w:rsidRPr="004030DB">
              <w:rPr>
                <w:rFonts w:ascii="Arial" w:eastAsia="Times New Roman" w:hAnsi="Arial" w:cs="Arial"/>
                <w:color w:val="D13438"/>
                <w:sz w:val="20"/>
                <w:szCs w:val="20"/>
                <w:lang w:val="en-GB" w:eastAsia="en-GB"/>
              </w:rPr>
              <w:t> </w:t>
            </w:r>
          </w:p>
        </w:tc>
        <w:tc>
          <w:tcPr>
            <w:tcW w:w="1035" w:type="dxa"/>
            <w:tcBorders>
              <w:top w:val="single" w:sz="6" w:space="0" w:color="auto"/>
              <w:left w:val="single" w:sz="6" w:space="0" w:color="auto"/>
              <w:bottom w:val="single" w:sz="6" w:space="0" w:color="auto"/>
              <w:right w:val="single" w:sz="6" w:space="0" w:color="auto"/>
            </w:tcBorders>
            <w:vAlign w:val="bottom"/>
            <w:hideMark/>
          </w:tcPr>
          <w:p w14:paraId="4AC92E35" w14:textId="77777777" w:rsidR="000130E5" w:rsidRPr="004030DB" w:rsidRDefault="000130E5" w:rsidP="000130E5">
            <w:pPr>
              <w:widowControl/>
              <w:jc w:val="right"/>
              <w:textAlignment w:val="baseline"/>
              <w:rPr>
                <w:rFonts w:ascii="Segoe UI" w:eastAsia="Times New Roman" w:hAnsi="Segoe UI" w:cs="Segoe UI"/>
                <w:sz w:val="20"/>
                <w:szCs w:val="20"/>
                <w:lang w:val="en-GB" w:eastAsia="en-GB"/>
              </w:rPr>
            </w:pPr>
            <w:r w:rsidRPr="004030DB">
              <w:rPr>
                <w:rFonts w:ascii="Arial" w:eastAsia="Times New Roman" w:hAnsi="Arial" w:cs="Arial"/>
                <w:color w:val="000000"/>
                <w:sz w:val="20"/>
                <w:szCs w:val="20"/>
                <w:lang w:eastAsia="en-GB"/>
              </w:rPr>
              <w:t>1,246 </w:t>
            </w:r>
            <w:r w:rsidRPr="004030DB">
              <w:rPr>
                <w:rFonts w:ascii="Arial" w:eastAsia="Times New Roman" w:hAnsi="Arial" w:cs="Arial"/>
                <w:color w:val="D13438"/>
                <w:sz w:val="20"/>
                <w:szCs w:val="20"/>
                <w:lang w:val="en-GB" w:eastAsia="en-GB"/>
              </w:rPr>
              <w:t> </w:t>
            </w:r>
          </w:p>
        </w:tc>
      </w:tr>
      <w:tr w:rsidR="000130E5" w:rsidRPr="004030DB" w14:paraId="71BC7A1E" w14:textId="77777777" w:rsidTr="000130E5">
        <w:trPr>
          <w:trHeight w:val="300"/>
        </w:trPr>
        <w:tc>
          <w:tcPr>
            <w:tcW w:w="4755" w:type="dxa"/>
            <w:gridSpan w:val="3"/>
            <w:tcBorders>
              <w:top w:val="single" w:sz="6" w:space="0" w:color="auto"/>
              <w:left w:val="single" w:sz="6" w:space="0" w:color="auto"/>
              <w:bottom w:val="single" w:sz="6" w:space="0" w:color="auto"/>
              <w:right w:val="single" w:sz="6" w:space="0" w:color="auto"/>
            </w:tcBorders>
            <w:hideMark/>
          </w:tcPr>
          <w:p w14:paraId="1BEA0205" w14:textId="77777777" w:rsidR="000130E5" w:rsidRPr="004030DB" w:rsidRDefault="000130E5" w:rsidP="000130E5">
            <w:pPr>
              <w:widowControl/>
              <w:textAlignment w:val="baseline"/>
              <w:rPr>
                <w:rFonts w:ascii="Segoe UI" w:eastAsia="Times New Roman" w:hAnsi="Segoe UI" w:cs="Segoe UI"/>
                <w:sz w:val="20"/>
                <w:szCs w:val="20"/>
                <w:lang w:val="en-GB" w:eastAsia="en-GB"/>
              </w:rPr>
            </w:pPr>
            <w:r w:rsidRPr="004030DB">
              <w:rPr>
                <w:rFonts w:ascii="Arial" w:eastAsia="Times New Roman" w:hAnsi="Arial" w:cs="Arial"/>
                <w:color w:val="000000"/>
                <w:sz w:val="20"/>
                <w:szCs w:val="20"/>
                <w:lang w:eastAsia="en-GB"/>
              </w:rPr>
              <w:t>Employer's contributions to NHS pension scheme</w:t>
            </w:r>
            <w:r w:rsidRPr="004030DB">
              <w:rPr>
                <w:rFonts w:ascii="Arial" w:eastAsia="Times New Roman" w:hAnsi="Arial" w:cs="Arial"/>
                <w:color w:val="D13438"/>
                <w:sz w:val="20"/>
                <w:szCs w:val="20"/>
                <w:lang w:val="en-GB" w:eastAsia="en-GB"/>
              </w:rPr>
              <w:t> </w:t>
            </w:r>
          </w:p>
        </w:tc>
        <w:tc>
          <w:tcPr>
            <w:tcW w:w="1245" w:type="dxa"/>
            <w:gridSpan w:val="2"/>
            <w:tcBorders>
              <w:top w:val="single" w:sz="6" w:space="0" w:color="auto"/>
              <w:left w:val="single" w:sz="6" w:space="0" w:color="auto"/>
              <w:bottom w:val="single" w:sz="6" w:space="0" w:color="auto"/>
              <w:right w:val="single" w:sz="6" w:space="0" w:color="auto"/>
            </w:tcBorders>
            <w:vAlign w:val="bottom"/>
            <w:hideMark/>
          </w:tcPr>
          <w:p w14:paraId="7B5C2B1E" w14:textId="77777777" w:rsidR="000130E5" w:rsidRPr="004030DB" w:rsidRDefault="000130E5" w:rsidP="000130E5">
            <w:pPr>
              <w:widowControl/>
              <w:jc w:val="right"/>
              <w:textAlignment w:val="baseline"/>
              <w:rPr>
                <w:rFonts w:ascii="Segoe UI" w:eastAsia="Times New Roman" w:hAnsi="Segoe UI" w:cs="Segoe UI"/>
                <w:sz w:val="20"/>
                <w:szCs w:val="20"/>
                <w:lang w:val="en-GB" w:eastAsia="en-GB"/>
              </w:rPr>
            </w:pPr>
            <w:r w:rsidRPr="004030DB">
              <w:rPr>
                <w:rFonts w:ascii="Arial" w:eastAsia="Times New Roman" w:hAnsi="Arial" w:cs="Arial"/>
                <w:color w:val="000000"/>
                <w:sz w:val="20"/>
                <w:szCs w:val="20"/>
                <w:lang w:eastAsia="en-GB"/>
              </w:rPr>
              <w:t>45,503 </w:t>
            </w:r>
            <w:r w:rsidRPr="004030DB">
              <w:rPr>
                <w:rFonts w:ascii="Arial" w:eastAsia="Times New Roman" w:hAnsi="Arial" w:cs="Arial"/>
                <w:color w:val="D13438"/>
                <w:sz w:val="20"/>
                <w:szCs w:val="20"/>
                <w:lang w:val="en-GB" w:eastAsia="en-GB"/>
              </w:rPr>
              <w:t> </w:t>
            </w:r>
          </w:p>
        </w:tc>
        <w:tc>
          <w:tcPr>
            <w:tcW w:w="900" w:type="dxa"/>
            <w:tcBorders>
              <w:top w:val="single" w:sz="6" w:space="0" w:color="auto"/>
              <w:left w:val="single" w:sz="6" w:space="0" w:color="auto"/>
              <w:bottom w:val="single" w:sz="6" w:space="0" w:color="auto"/>
              <w:right w:val="single" w:sz="6" w:space="0" w:color="auto"/>
            </w:tcBorders>
            <w:vAlign w:val="bottom"/>
            <w:hideMark/>
          </w:tcPr>
          <w:p w14:paraId="19EF0BAC" w14:textId="77777777" w:rsidR="000130E5" w:rsidRPr="004030DB" w:rsidRDefault="000130E5" w:rsidP="000130E5">
            <w:pPr>
              <w:widowControl/>
              <w:jc w:val="right"/>
              <w:textAlignment w:val="baseline"/>
              <w:rPr>
                <w:rFonts w:ascii="Segoe UI" w:eastAsia="Times New Roman" w:hAnsi="Segoe UI" w:cs="Segoe UI"/>
                <w:sz w:val="20"/>
                <w:szCs w:val="20"/>
                <w:lang w:val="en-GB" w:eastAsia="en-GB"/>
              </w:rPr>
            </w:pPr>
            <w:r w:rsidRPr="004030DB">
              <w:rPr>
                <w:rFonts w:ascii="Arial" w:eastAsia="Times New Roman" w:hAnsi="Arial" w:cs="Arial"/>
                <w:color w:val="000000"/>
                <w:sz w:val="20"/>
                <w:szCs w:val="20"/>
                <w:lang w:eastAsia="en-GB"/>
              </w:rPr>
              <w:t>- </w:t>
            </w:r>
            <w:r w:rsidRPr="004030DB">
              <w:rPr>
                <w:rFonts w:ascii="Arial" w:eastAsia="Times New Roman" w:hAnsi="Arial" w:cs="Arial"/>
                <w:color w:val="D13438"/>
                <w:sz w:val="20"/>
                <w:szCs w:val="20"/>
                <w:lang w:val="en-GB" w:eastAsia="en-GB"/>
              </w:rPr>
              <w:t> </w:t>
            </w:r>
          </w:p>
        </w:tc>
        <w:tc>
          <w:tcPr>
            <w:tcW w:w="1050" w:type="dxa"/>
            <w:gridSpan w:val="2"/>
            <w:tcBorders>
              <w:top w:val="single" w:sz="6" w:space="0" w:color="auto"/>
              <w:left w:val="single" w:sz="6" w:space="0" w:color="auto"/>
              <w:bottom w:val="single" w:sz="6" w:space="0" w:color="auto"/>
              <w:right w:val="single" w:sz="6" w:space="0" w:color="auto"/>
            </w:tcBorders>
            <w:vAlign w:val="bottom"/>
            <w:hideMark/>
          </w:tcPr>
          <w:p w14:paraId="029F7D03" w14:textId="77777777" w:rsidR="000130E5" w:rsidRPr="004030DB" w:rsidRDefault="000130E5" w:rsidP="000130E5">
            <w:pPr>
              <w:widowControl/>
              <w:jc w:val="right"/>
              <w:textAlignment w:val="baseline"/>
              <w:rPr>
                <w:rFonts w:ascii="Segoe UI" w:eastAsia="Times New Roman" w:hAnsi="Segoe UI" w:cs="Segoe UI"/>
                <w:sz w:val="20"/>
                <w:szCs w:val="20"/>
                <w:lang w:val="en-GB" w:eastAsia="en-GB"/>
              </w:rPr>
            </w:pPr>
            <w:r w:rsidRPr="004030DB">
              <w:rPr>
                <w:rFonts w:ascii="Arial" w:eastAsia="Times New Roman" w:hAnsi="Arial" w:cs="Arial"/>
                <w:b/>
                <w:bCs/>
                <w:color w:val="000000"/>
                <w:sz w:val="20"/>
                <w:szCs w:val="20"/>
                <w:lang w:eastAsia="en-GB"/>
              </w:rPr>
              <w:t>45,503 </w:t>
            </w:r>
            <w:r w:rsidRPr="004030DB">
              <w:rPr>
                <w:rFonts w:ascii="Arial" w:eastAsia="Times New Roman" w:hAnsi="Arial" w:cs="Arial"/>
                <w:color w:val="D13438"/>
                <w:sz w:val="20"/>
                <w:szCs w:val="20"/>
                <w:lang w:val="en-GB" w:eastAsia="en-GB"/>
              </w:rPr>
              <w:t> </w:t>
            </w:r>
          </w:p>
        </w:tc>
        <w:tc>
          <w:tcPr>
            <w:tcW w:w="1035" w:type="dxa"/>
            <w:tcBorders>
              <w:top w:val="single" w:sz="6" w:space="0" w:color="auto"/>
              <w:left w:val="single" w:sz="6" w:space="0" w:color="auto"/>
              <w:bottom w:val="single" w:sz="6" w:space="0" w:color="auto"/>
              <w:right w:val="single" w:sz="6" w:space="0" w:color="auto"/>
            </w:tcBorders>
            <w:vAlign w:val="bottom"/>
            <w:hideMark/>
          </w:tcPr>
          <w:p w14:paraId="3B8B800E" w14:textId="77777777" w:rsidR="000130E5" w:rsidRPr="004030DB" w:rsidRDefault="000130E5" w:rsidP="000130E5">
            <w:pPr>
              <w:widowControl/>
              <w:jc w:val="right"/>
              <w:textAlignment w:val="baseline"/>
              <w:rPr>
                <w:rFonts w:ascii="Segoe UI" w:eastAsia="Times New Roman" w:hAnsi="Segoe UI" w:cs="Segoe UI"/>
                <w:sz w:val="20"/>
                <w:szCs w:val="20"/>
                <w:lang w:val="en-GB" w:eastAsia="en-GB"/>
              </w:rPr>
            </w:pPr>
            <w:r w:rsidRPr="004030DB">
              <w:rPr>
                <w:rFonts w:ascii="Arial" w:eastAsia="Times New Roman" w:hAnsi="Arial" w:cs="Arial"/>
                <w:color w:val="000000"/>
                <w:sz w:val="20"/>
                <w:szCs w:val="20"/>
                <w:lang w:eastAsia="en-GB"/>
              </w:rPr>
              <w:t>35,904 </w:t>
            </w:r>
            <w:r w:rsidRPr="004030DB">
              <w:rPr>
                <w:rFonts w:ascii="Arial" w:eastAsia="Times New Roman" w:hAnsi="Arial" w:cs="Arial"/>
                <w:color w:val="D13438"/>
                <w:sz w:val="20"/>
                <w:szCs w:val="20"/>
                <w:lang w:val="en-GB" w:eastAsia="en-GB"/>
              </w:rPr>
              <w:t> </w:t>
            </w:r>
          </w:p>
        </w:tc>
      </w:tr>
      <w:tr w:rsidR="000130E5" w:rsidRPr="004030DB" w14:paraId="78802FF9" w14:textId="77777777" w:rsidTr="000130E5">
        <w:trPr>
          <w:trHeight w:val="300"/>
        </w:trPr>
        <w:tc>
          <w:tcPr>
            <w:tcW w:w="4755" w:type="dxa"/>
            <w:gridSpan w:val="3"/>
            <w:tcBorders>
              <w:top w:val="single" w:sz="6" w:space="0" w:color="auto"/>
              <w:left w:val="single" w:sz="6" w:space="0" w:color="auto"/>
              <w:bottom w:val="single" w:sz="6" w:space="0" w:color="auto"/>
              <w:right w:val="single" w:sz="6" w:space="0" w:color="auto"/>
            </w:tcBorders>
            <w:hideMark/>
          </w:tcPr>
          <w:p w14:paraId="66A5CA5B" w14:textId="77777777" w:rsidR="000130E5" w:rsidRPr="004030DB" w:rsidRDefault="000130E5" w:rsidP="000130E5">
            <w:pPr>
              <w:widowControl/>
              <w:textAlignment w:val="baseline"/>
              <w:rPr>
                <w:rFonts w:ascii="Segoe UI" w:eastAsia="Times New Roman" w:hAnsi="Segoe UI" w:cs="Segoe UI"/>
                <w:sz w:val="20"/>
                <w:szCs w:val="20"/>
                <w:lang w:val="en-GB" w:eastAsia="en-GB"/>
              </w:rPr>
            </w:pPr>
            <w:r w:rsidRPr="004030DB">
              <w:rPr>
                <w:rFonts w:ascii="Arial" w:eastAsia="Times New Roman" w:hAnsi="Arial" w:cs="Arial"/>
                <w:color w:val="000000"/>
                <w:sz w:val="20"/>
                <w:szCs w:val="20"/>
                <w:lang w:eastAsia="en-GB"/>
              </w:rPr>
              <w:t>Pension cost – other</w:t>
            </w:r>
            <w:r w:rsidRPr="004030DB">
              <w:rPr>
                <w:rFonts w:ascii="Arial" w:eastAsia="Times New Roman" w:hAnsi="Arial" w:cs="Arial"/>
                <w:color w:val="D13438"/>
                <w:sz w:val="20"/>
                <w:szCs w:val="20"/>
                <w:lang w:val="en-GB" w:eastAsia="en-GB"/>
              </w:rPr>
              <w:t> </w:t>
            </w:r>
          </w:p>
        </w:tc>
        <w:tc>
          <w:tcPr>
            <w:tcW w:w="1245" w:type="dxa"/>
            <w:gridSpan w:val="2"/>
            <w:tcBorders>
              <w:top w:val="single" w:sz="6" w:space="0" w:color="auto"/>
              <w:left w:val="single" w:sz="6" w:space="0" w:color="auto"/>
              <w:bottom w:val="single" w:sz="6" w:space="0" w:color="auto"/>
              <w:right w:val="single" w:sz="6" w:space="0" w:color="auto"/>
            </w:tcBorders>
            <w:vAlign w:val="bottom"/>
            <w:hideMark/>
          </w:tcPr>
          <w:p w14:paraId="0150EFD6" w14:textId="77777777" w:rsidR="000130E5" w:rsidRPr="004030DB" w:rsidRDefault="000130E5" w:rsidP="000130E5">
            <w:pPr>
              <w:widowControl/>
              <w:jc w:val="right"/>
              <w:textAlignment w:val="baseline"/>
              <w:rPr>
                <w:rFonts w:ascii="Segoe UI" w:eastAsia="Times New Roman" w:hAnsi="Segoe UI" w:cs="Segoe UI"/>
                <w:sz w:val="20"/>
                <w:szCs w:val="20"/>
                <w:lang w:val="en-GB" w:eastAsia="en-GB"/>
              </w:rPr>
            </w:pPr>
            <w:r w:rsidRPr="004030DB">
              <w:rPr>
                <w:rFonts w:ascii="Arial" w:eastAsia="Times New Roman" w:hAnsi="Arial" w:cs="Arial"/>
                <w:color w:val="000000"/>
                <w:sz w:val="20"/>
                <w:szCs w:val="20"/>
                <w:lang w:eastAsia="en-GB"/>
              </w:rPr>
              <w:t>18 </w:t>
            </w:r>
            <w:r w:rsidRPr="004030DB">
              <w:rPr>
                <w:rFonts w:ascii="Arial" w:eastAsia="Times New Roman" w:hAnsi="Arial" w:cs="Arial"/>
                <w:color w:val="D13438"/>
                <w:sz w:val="20"/>
                <w:szCs w:val="20"/>
                <w:lang w:val="en-GB" w:eastAsia="en-GB"/>
              </w:rPr>
              <w:t> </w:t>
            </w:r>
          </w:p>
        </w:tc>
        <w:tc>
          <w:tcPr>
            <w:tcW w:w="900" w:type="dxa"/>
            <w:tcBorders>
              <w:top w:val="single" w:sz="6" w:space="0" w:color="auto"/>
              <w:left w:val="single" w:sz="6" w:space="0" w:color="auto"/>
              <w:bottom w:val="single" w:sz="6" w:space="0" w:color="auto"/>
              <w:right w:val="single" w:sz="6" w:space="0" w:color="auto"/>
            </w:tcBorders>
            <w:vAlign w:val="bottom"/>
            <w:hideMark/>
          </w:tcPr>
          <w:p w14:paraId="190D9200" w14:textId="77777777" w:rsidR="000130E5" w:rsidRPr="004030DB" w:rsidRDefault="000130E5" w:rsidP="000130E5">
            <w:pPr>
              <w:widowControl/>
              <w:jc w:val="right"/>
              <w:textAlignment w:val="baseline"/>
              <w:rPr>
                <w:rFonts w:ascii="Segoe UI" w:eastAsia="Times New Roman" w:hAnsi="Segoe UI" w:cs="Segoe UI"/>
                <w:sz w:val="20"/>
                <w:szCs w:val="20"/>
                <w:lang w:val="en-GB" w:eastAsia="en-GB"/>
              </w:rPr>
            </w:pPr>
            <w:r w:rsidRPr="004030DB">
              <w:rPr>
                <w:rFonts w:ascii="Arial" w:eastAsia="Times New Roman" w:hAnsi="Arial" w:cs="Arial"/>
                <w:color w:val="000000"/>
                <w:sz w:val="20"/>
                <w:szCs w:val="20"/>
                <w:lang w:eastAsia="en-GB"/>
              </w:rPr>
              <w:t>- </w:t>
            </w:r>
            <w:r w:rsidRPr="004030DB">
              <w:rPr>
                <w:rFonts w:ascii="Arial" w:eastAsia="Times New Roman" w:hAnsi="Arial" w:cs="Arial"/>
                <w:color w:val="D13438"/>
                <w:sz w:val="20"/>
                <w:szCs w:val="20"/>
                <w:lang w:val="en-GB" w:eastAsia="en-GB"/>
              </w:rPr>
              <w:t> </w:t>
            </w:r>
          </w:p>
        </w:tc>
        <w:tc>
          <w:tcPr>
            <w:tcW w:w="1050" w:type="dxa"/>
            <w:gridSpan w:val="2"/>
            <w:tcBorders>
              <w:top w:val="single" w:sz="6" w:space="0" w:color="auto"/>
              <w:left w:val="single" w:sz="6" w:space="0" w:color="auto"/>
              <w:bottom w:val="single" w:sz="6" w:space="0" w:color="auto"/>
              <w:right w:val="single" w:sz="6" w:space="0" w:color="auto"/>
            </w:tcBorders>
            <w:vAlign w:val="bottom"/>
            <w:hideMark/>
          </w:tcPr>
          <w:p w14:paraId="38A6D8C0" w14:textId="77777777" w:rsidR="000130E5" w:rsidRPr="004030DB" w:rsidRDefault="000130E5" w:rsidP="000130E5">
            <w:pPr>
              <w:widowControl/>
              <w:jc w:val="right"/>
              <w:textAlignment w:val="baseline"/>
              <w:rPr>
                <w:rFonts w:ascii="Segoe UI" w:eastAsia="Times New Roman" w:hAnsi="Segoe UI" w:cs="Segoe UI"/>
                <w:sz w:val="20"/>
                <w:szCs w:val="20"/>
                <w:lang w:val="en-GB" w:eastAsia="en-GB"/>
              </w:rPr>
            </w:pPr>
            <w:r w:rsidRPr="004030DB">
              <w:rPr>
                <w:rFonts w:ascii="Arial" w:eastAsia="Times New Roman" w:hAnsi="Arial" w:cs="Arial"/>
                <w:b/>
                <w:bCs/>
                <w:color w:val="000000"/>
                <w:sz w:val="20"/>
                <w:szCs w:val="20"/>
                <w:lang w:eastAsia="en-GB"/>
              </w:rPr>
              <w:t>18 </w:t>
            </w:r>
            <w:r w:rsidRPr="004030DB">
              <w:rPr>
                <w:rFonts w:ascii="Arial" w:eastAsia="Times New Roman" w:hAnsi="Arial" w:cs="Arial"/>
                <w:color w:val="D13438"/>
                <w:sz w:val="20"/>
                <w:szCs w:val="20"/>
                <w:lang w:val="en-GB" w:eastAsia="en-GB"/>
              </w:rPr>
              <w:t> </w:t>
            </w:r>
          </w:p>
        </w:tc>
        <w:tc>
          <w:tcPr>
            <w:tcW w:w="1035" w:type="dxa"/>
            <w:tcBorders>
              <w:top w:val="single" w:sz="6" w:space="0" w:color="auto"/>
              <w:left w:val="single" w:sz="6" w:space="0" w:color="auto"/>
              <w:bottom w:val="single" w:sz="6" w:space="0" w:color="auto"/>
              <w:right w:val="single" w:sz="6" w:space="0" w:color="auto"/>
            </w:tcBorders>
            <w:vAlign w:val="bottom"/>
            <w:hideMark/>
          </w:tcPr>
          <w:p w14:paraId="73D61F6B" w14:textId="77777777" w:rsidR="000130E5" w:rsidRPr="004030DB" w:rsidRDefault="000130E5" w:rsidP="000130E5">
            <w:pPr>
              <w:widowControl/>
              <w:jc w:val="right"/>
              <w:textAlignment w:val="baseline"/>
              <w:rPr>
                <w:rFonts w:ascii="Segoe UI" w:eastAsia="Times New Roman" w:hAnsi="Segoe UI" w:cs="Segoe UI"/>
                <w:sz w:val="20"/>
                <w:szCs w:val="20"/>
                <w:lang w:val="en-GB" w:eastAsia="en-GB"/>
              </w:rPr>
            </w:pPr>
            <w:r w:rsidRPr="004030DB">
              <w:rPr>
                <w:rFonts w:ascii="Arial" w:eastAsia="Times New Roman" w:hAnsi="Arial" w:cs="Arial"/>
                <w:color w:val="000000"/>
                <w:sz w:val="20"/>
                <w:szCs w:val="20"/>
                <w:lang w:eastAsia="en-GB"/>
              </w:rPr>
              <w:t>27 </w:t>
            </w:r>
            <w:r w:rsidRPr="004030DB">
              <w:rPr>
                <w:rFonts w:ascii="Arial" w:eastAsia="Times New Roman" w:hAnsi="Arial" w:cs="Arial"/>
                <w:color w:val="D13438"/>
                <w:sz w:val="20"/>
                <w:szCs w:val="20"/>
                <w:lang w:val="en-GB" w:eastAsia="en-GB"/>
              </w:rPr>
              <w:t> </w:t>
            </w:r>
          </w:p>
        </w:tc>
      </w:tr>
      <w:tr w:rsidR="000130E5" w:rsidRPr="004030DB" w14:paraId="1344438D" w14:textId="77777777" w:rsidTr="000130E5">
        <w:trPr>
          <w:trHeight w:val="300"/>
        </w:trPr>
        <w:tc>
          <w:tcPr>
            <w:tcW w:w="4755" w:type="dxa"/>
            <w:gridSpan w:val="3"/>
            <w:tcBorders>
              <w:top w:val="single" w:sz="6" w:space="0" w:color="auto"/>
              <w:left w:val="single" w:sz="6" w:space="0" w:color="auto"/>
              <w:bottom w:val="single" w:sz="6" w:space="0" w:color="auto"/>
              <w:right w:val="single" w:sz="6" w:space="0" w:color="auto"/>
            </w:tcBorders>
            <w:hideMark/>
          </w:tcPr>
          <w:p w14:paraId="68BD5712" w14:textId="77777777" w:rsidR="000130E5" w:rsidRPr="004030DB" w:rsidRDefault="000130E5" w:rsidP="000130E5">
            <w:pPr>
              <w:widowControl/>
              <w:textAlignment w:val="baseline"/>
              <w:rPr>
                <w:rFonts w:ascii="Segoe UI" w:eastAsia="Times New Roman" w:hAnsi="Segoe UI" w:cs="Segoe UI"/>
                <w:sz w:val="20"/>
                <w:szCs w:val="20"/>
                <w:lang w:val="en-GB" w:eastAsia="en-GB"/>
              </w:rPr>
            </w:pPr>
            <w:r w:rsidRPr="004030DB">
              <w:rPr>
                <w:rFonts w:ascii="Arial" w:eastAsia="Times New Roman" w:hAnsi="Arial" w:cs="Arial"/>
                <w:color w:val="000000"/>
                <w:sz w:val="20"/>
                <w:szCs w:val="20"/>
                <w:lang w:eastAsia="en-GB"/>
              </w:rPr>
              <w:t>Other post-employment benefits</w:t>
            </w:r>
            <w:r w:rsidRPr="004030DB">
              <w:rPr>
                <w:rFonts w:ascii="Arial" w:eastAsia="Times New Roman" w:hAnsi="Arial" w:cs="Arial"/>
                <w:color w:val="D13438"/>
                <w:sz w:val="20"/>
                <w:szCs w:val="20"/>
                <w:lang w:val="en-GB" w:eastAsia="en-GB"/>
              </w:rPr>
              <w:t> </w:t>
            </w:r>
          </w:p>
        </w:tc>
        <w:tc>
          <w:tcPr>
            <w:tcW w:w="1245" w:type="dxa"/>
            <w:gridSpan w:val="2"/>
            <w:tcBorders>
              <w:top w:val="single" w:sz="6" w:space="0" w:color="auto"/>
              <w:left w:val="single" w:sz="6" w:space="0" w:color="auto"/>
              <w:bottom w:val="single" w:sz="6" w:space="0" w:color="auto"/>
              <w:right w:val="single" w:sz="6" w:space="0" w:color="auto"/>
            </w:tcBorders>
            <w:vAlign w:val="bottom"/>
            <w:hideMark/>
          </w:tcPr>
          <w:p w14:paraId="42C231DE" w14:textId="77777777" w:rsidR="000130E5" w:rsidRPr="004030DB" w:rsidRDefault="000130E5" w:rsidP="000130E5">
            <w:pPr>
              <w:widowControl/>
              <w:jc w:val="right"/>
              <w:textAlignment w:val="baseline"/>
              <w:rPr>
                <w:rFonts w:ascii="Segoe UI" w:eastAsia="Times New Roman" w:hAnsi="Segoe UI" w:cs="Segoe UI"/>
                <w:sz w:val="20"/>
                <w:szCs w:val="20"/>
                <w:lang w:val="en-GB" w:eastAsia="en-GB"/>
              </w:rPr>
            </w:pPr>
            <w:r w:rsidRPr="004030DB">
              <w:rPr>
                <w:rFonts w:ascii="Arial" w:eastAsia="Times New Roman" w:hAnsi="Arial" w:cs="Arial"/>
                <w:color w:val="000000"/>
                <w:sz w:val="20"/>
                <w:szCs w:val="20"/>
                <w:lang w:eastAsia="en-GB"/>
              </w:rPr>
              <w:t>- </w:t>
            </w:r>
            <w:r w:rsidRPr="004030DB">
              <w:rPr>
                <w:rFonts w:ascii="Arial" w:eastAsia="Times New Roman" w:hAnsi="Arial" w:cs="Arial"/>
                <w:color w:val="D13438"/>
                <w:sz w:val="20"/>
                <w:szCs w:val="20"/>
                <w:lang w:val="en-GB" w:eastAsia="en-GB"/>
              </w:rPr>
              <w:t> </w:t>
            </w:r>
          </w:p>
        </w:tc>
        <w:tc>
          <w:tcPr>
            <w:tcW w:w="900" w:type="dxa"/>
            <w:tcBorders>
              <w:top w:val="single" w:sz="6" w:space="0" w:color="auto"/>
              <w:left w:val="single" w:sz="6" w:space="0" w:color="auto"/>
              <w:bottom w:val="single" w:sz="6" w:space="0" w:color="auto"/>
              <w:right w:val="single" w:sz="6" w:space="0" w:color="auto"/>
            </w:tcBorders>
            <w:vAlign w:val="bottom"/>
            <w:hideMark/>
          </w:tcPr>
          <w:p w14:paraId="2EFFF3CE" w14:textId="77777777" w:rsidR="000130E5" w:rsidRPr="004030DB" w:rsidRDefault="000130E5" w:rsidP="000130E5">
            <w:pPr>
              <w:widowControl/>
              <w:jc w:val="right"/>
              <w:textAlignment w:val="baseline"/>
              <w:rPr>
                <w:rFonts w:ascii="Segoe UI" w:eastAsia="Times New Roman" w:hAnsi="Segoe UI" w:cs="Segoe UI"/>
                <w:sz w:val="20"/>
                <w:szCs w:val="20"/>
                <w:lang w:val="en-GB" w:eastAsia="en-GB"/>
              </w:rPr>
            </w:pPr>
            <w:r w:rsidRPr="004030DB">
              <w:rPr>
                <w:rFonts w:ascii="Arial" w:eastAsia="Times New Roman" w:hAnsi="Arial" w:cs="Arial"/>
                <w:color w:val="000000"/>
                <w:sz w:val="20"/>
                <w:szCs w:val="20"/>
                <w:lang w:eastAsia="en-GB"/>
              </w:rPr>
              <w:t>- </w:t>
            </w:r>
            <w:r w:rsidRPr="004030DB">
              <w:rPr>
                <w:rFonts w:ascii="Arial" w:eastAsia="Times New Roman" w:hAnsi="Arial" w:cs="Arial"/>
                <w:color w:val="D13438"/>
                <w:sz w:val="20"/>
                <w:szCs w:val="20"/>
                <w:lang w:val="en-GB" w:eastAsia="en-GB"/>
              </w:rPr>
              <w:t> </w:t>
            </w:r>
          </w:p>
        </w:tc>
        <w:tc>
          <w:tcPr>
            <w:tcW w:w="1050" w:type="dxa"/>
            <w:gridSpan w:val="2"/>
            <w:tcBorders>
              <w:top w:val="single" w:sz="6" w:space="0" w:color="auto"/>
              <w:left w:val="single" w:sz="6" w:space="0" w:color="auto"/>
              <w:bottom w:val="single" w:sz="6" w:space="0" w:color="auto"/>
              <w:right w:val="single" w:sz="6" w:space="0" w:color="auto"/>
            </w:tcBorders>
            <w:vAlign w:val="bottom"/>
            <w:hideMark/>
          </w:tcPr>
          <w:p w14:paraId="2C38FDBA" w14:textId="77777777" w:rsidR="000130E5" w:rsidRPr="004030DB" w:rsidRDefault="000130E5" w:rsidP="000130E5">
            <w:pPr>
              <w:widowControl/>
              <w:jc w:val="right"/>
              <w:textAlignment w:val="baseline"/>
              <w:rPr>
                <w:rFonts w:ascii="Segoe UI" w:eastAsia="Times New Roman" w:hAnsi="Segoe UI" w:cs="Segoe UI"/>
                <w:sz w:val="20"/>
                <w:szCs w:val="20"/>
                <w:lang w:val="en-GB" w:eastAsia="en-GB"/>
              </w:rPr>
            </w:pPr>
            <w:r w:rsidRPr="004030DB">
              <w:rPr>
                <w:rFonts w:ascii="Arial" w:eastAsia="Times New Roman" w:hAnsi="Arial" w:cs="Arial"/>
                <w:b/>
                <w:bCs/>
                <w:color w:val="000000"/>
                <w:sz w:val="20"/>
                <w:szCs w:val="20"/>
                <w:lang w:eastAsia="en-GB"/>
              </w:rPr>
              <w:t>- </w:t>
            </w:r>
            <w:r w:rsidRPr="004030DB">
              <w:rPr>
                <w:rFonts w:ascii="Arial" w:eastAsia="Times New Roman" w:hAnsi="Arial" w:cs="Arial"/>
                <w:color w:val="D13438"/>
                <w:sz w:val="20"/>
                <w:szCs w:val="20"/>
                <w:lang w:val="en-GB" w:eastAsia="en-GB"/>
              </w:rPr>
              <w:t> </w:t>
            </w:r>
          </w:p>
        </w:tc>
        <w:tc>
          <w:tcPr>
            <w:tcW w:w="1035" w:type="dxa"/>
            <w:tcBorders>
              <w:top w:val="single" w:sz="6" w:space="0" w:color="auto"/>
              <w:left w:val="single" w:sz="6" w:space="0" w:color="auto"/>
              <w:bottom w:val="single" w:sz="6" w:space="0" w:color="auto"/>
              <w:right w:val="single" w:sz="6" w:space="0" w:color="auto"/>
            </w:tcBorders>
            <w:vAlign w:val="bottom"/>
            <w:hideMark/>
          </w:tcPr>
          <w:p w14:paraId="216AA4E2" w14:textId="77777777" w:rsidR="000130E5" w:rsidRPr="004030DB" w:rsidRDefault="000130E5" w:rsidP="000130E5">
            <w:pPr>
              <w:widowControl/>
              <w:jc w:val="right"/>
              <w:textAlignment w:val="baseline"/>
              <w:rPr>
                <w:rFonts w:ascii="Segoe UI" w:eastAsia="Times New Roman" w:hAnsi="Segoe UI" w:cs="Segoe UI"/>
                <w:sz w:val="20"/>
                <w:szCs w:val="20"/>
                <w:lang w:val="en-GB" w:eastAsia="en-GB"/>
              </w:rPr>
            </w:pPr>
            <w:r w:rsidRPr="004030DB">
              <w:rPr>
                <w:rFonts w:ascii="Arial" w:eastAsia="Times New Roman" w:hAnsi="Arial" w:cs="Arial"/>
                <w:color w:val="000000"/>
                <w:sz w:val="20"/>
                <w:szCs w:val="20"/>
                <w:lang w:eastAsia="en-GB"/>
              </w:rPr>
              <w:t>0 </w:t>
            </w:r>
            <w:r w:rsidRPr="004030DB">
              <w:rPr>
                <w:rFonts w:ascii="Arial" w:eastAsia="Times New Roman" w:hAnsi="Arial" w:cs="Arial"/>
                <w:color w:val="D13438"/>
                <w:sz w:val="20"/>
                <w:szCs w:val="20"/>
                <w:lang w:val="en-GB" w:eastAsia="en-GB"/>
              </w:rPr>
              <w:t> </w:t>
            </w:r>
          </w:p>
        </w:tc>
      </w:tr>
      <w:tr w:rsidR="000130E5" w:rsidRPr="004030DB" w14:paraId="340C3FAA" w14:textId="77777777" w:rsidTr="000130E5">
        <w:trPr>
          <w:trHeight w:val="300"/>
        </w:trPr>
        <w:tc>
          <w:tcPr>
            <w:tcW w:w="4755" w:type="dxa"/>
            <w:gridSpan w:val="3"/>
            <w:tcBorders>
              <w:top w:val="single" w:sz="6" w:space="0" w:color="auto"/>
              <w:left w:val="single" w:sz="6" w:space="0" w:color="auto"/>
              <w:bottom w:val="single" w:sz="6" w:space="0" w:color="auto"/>
              <w:right w:val="single" w:sz="6" w:space="0" w:color="auto"/>
            </w:tcBorders>
            <w:hideMark/>
          </w:tcPr>
          <w:p w14:paraId="3CE03CB5" w14:textId="77777777" w:rsidR="000130E5" w:rsidRPr="004030DB" w:rsidRDefault="000130E5" w:rsidP="000130E5">
            <w:pPr>
              <w:widowControl/>
              <w:textAlignment w:val="baseline"/>
              <w:rPr>
                <w:rFonts w:ascii="Segoe UI" w:eastAsia="Times New Roman" w:hAnsi="Segoe UI" w:cs="Segoe UI"/>
                <w:sz w:val="20"/>
                <w:szCs w:val="20"/>
                <w:lang w:val="en-GB" w:eastAsia="en-GB"/>
              </w:rPr>
            </w:pPr>
            <w:r w:rsidRPr="004030DB">
              <w:rPr>
                <w:rFonts w:ascii="Arial" w:eastAsia="Times New Roman" w:hAnsi="Arial" w:cs="Arial"/>
                <w:color w:val="000000"/>
                <w:sz w:val="20"/>
                <w:szCs w:val="20"/>
                <w:lang w:eastAsia="en-GB"/>
              </w:rPr>
              <w:lastRenderedPageBreak/>
              <w:t>Other employment benefits</w:t>
            </w:r>
            <w:r w:rsidRPr="004030DB">
              <w:rPr>
                <w:rFonts w:ascii="Arial" w:eastAsia="Times New Roman" w:hAnsi="Arial" w:cs="Arial"/>
                <w:color w:val="D13438"/>
                <w:sz w:val="20"/>
                <w:szCs w:val="20"/>
                <w:lang w:val="en-GB" w:eastAsia="en-GB"/>
              </w:rPr>
              <w:t> </w:t>
            </w:r>
          </w:p>
        </w:tc>
        <w:tc>
          <w:tcPr>
            <w:tcW w:w="1245" w:type="dxa"/>
            <w:gridSpan w:val="2"/>
            <w:tcBorders>
              <w:top w:val="single" w:sz="6" w:space="0" w:color="auto"/>
              <w:left w:val="single" w:sz="6" w:space="0" w:color="auto"/>
              <w:bottom w:val="single" w:sz="6" w:space="0" w:color="auto"/>
              <w:right w:val="single" w:sz="6" w:space="0" w:color="auto"/>
            </w:tcBorders>
            <w:vAlign w:val="bottom"/>
            <w:hideMark/>
          </w:tcPr>
          <w:p w14:paraId="0185C659" w14:textId="77777777" w:rsidR="000130E5" w:rsidRPr="004030DB" w:rsidRDefault="000130E5" w:rsidP="000130E5">
            <w:pPr>
              <w:widowControl/>
              <w:jc w:val="right"/>
              <w:textAlignment w:val="baseline"/>
              <w:rPr>
                <w:rFonts w:ascii="Segoe UI" w:eastAsia="Times New Roman" w:hAnsi="Segoe UI" w:cs="Segoe UI"/>
                <w:sz w:val="20"/>
                <w:szCs w:val="20"/>
                <w:lang w:val="en-GB" w:eastAsia="en-GB"/>
              </w:rPr>
            </w:pPr>
            <w:r w:rsidRPr="004030DB">
              <w:rPr>
                <w:rFonts w:ascii="Arial" w:eastAsia="Times New Roman" w:hAnsi="Arial" w:cs="Arial"/>
                <w:color w:val="000000"/>
                <w:sz w:val="20"/>
                <w:szCs w:val="20"/>
                <w:lang w:eastAsia="en-GB"/>
              </w:rPr>
              <w:t>- </w:t>
            </w:r>
            <w:r w:rsidRPr="004030DB">
              <w:rPr>
                <w:rFonts w:ascii="Arial" w:eastAsia="Times New Roman" w:hAnsi="Arial" w:cs="Arial"/>
                <w:color w:val="D13438"/>
                <w:sz w:val="20"/>
                <w:szCs w:val="20"/>
                <w:lang w:val="en-GB" w:eastAsia="en-GB"/>
              </w:rPr>
              <w:t> </w:t>
            </w:r>
          </w:p>
        </w:tc>
        <w:tc>
          <w:tcPr>
            <w:tcW w:w="900" w:type="dxa"/>
            <w:tcBorders>
              <w:top w:val="single" w:sz="6" w:space="0" w:color="auto"/>
              <w:left w:val="single" w:sz="6" w:space="0" w:color="auto"/>
              <w:bottom w:val="single" w:sz="6" w:space="0" w:color="auto"/>
              <w:right w:val="single" w:sz="6" w:space="0" w:color="auto"/>
            </w:tcBorders>
            <w:vAlign w:val="bottom"/>
            <w:hideMark/>
          </w:tcPr>
          <w:p w14:paraId="0416E89A" w14:textId="77777777" w:rsidR="000130E5" w:rsidRPr="004030DB" w:rsidRDefault="000130E5" w:rsidP="000130E5">
            <w:pPr>
              <w:widowControl/>
              <w:jc w:val="right"/>
              <w:textAlignment w:val="baseline"/>
              <w:rPr>
                <w:rFonts w:ascii="Segoe UI" w:eastAsia="Times New Roman" w:hAnsi="Segoe UI" w:cs="Segoe UI"/>
                <w:sz w:val="20"/>
                <w:szCs w:val="20"/>
                <w:lang w:val="en-GB" w:eastAsia="en-GB"/>
              </w:rPr>
            </w:pPr>
            <w:r w:rsidRPr="004030DB">
              <w:rPr>
                <w:rFonts w:ascii="Arial" w:eastAsia="Times New Roman" w:hAnsi="Arial" w:cs="Arial"/>
                <w:color w:val="000000"/>
                <w:sz w:val="20"/>
                <w:szCs w:val="20"/>
                <w:lang w:eastAsia="en-GB"/>
              </w:rPr>
              <w:t>- </w:t>
            </w:r>
            <w:r w:rsidRPr="004030DB">
              <w:rPr>
                <w:rFonts w:ascii="Arial" w:eastAsia="Times New Roman" w:hAnsi="Arial" w:cs="Arial"/>
                <w:color w:val="D13438"/>
                <w:sz w:val="20"/>
                <w:szCs w:val="20"/>
                <w:lang w:val="en-GB" w:eastAsia="en-GB"/>
              </w:rPr>
              <w:t> </w:t>
            </w:r>
          </w:p>
        </w:tc>
        <w:tc>
          <w:tcPr>
            <w:tcW w:w="1050" w:type="dxa"/>
            <w:gridSpan w:val="2"/>
            <w:tcBorders>
              <w:top w:val="single" w:sz="6" w:space="0" w:color="auto"/>
              <w:left w:val="single" w:sz="6" w:space="0" w:color="auto"/>
              <w:bottom w:val="single" w:sz="6" w:space="0" w:color="auto"/>
              <w:right w:val="single" w:sz="6" w:space="0" w:color="auto"/>
            </w:tcBorders>
            <w:vAlign w:val="bottom"/>
            <w:hideMark/>
          </w:tcPr>
          <w:p w14:paraId="7DE60C1F" w14:textId="77777777" w:rsidR="000130E5" w:rsidRPr="004030DB" w:rsidRDefault="000130E5" w:rsidP="000130E5">
            <w:pPr>
              <w:widowControl/>
              <w:jc w:val="right"/>
              <w:textAlignment w:val="baseline"/>
              <w:rPr>
                <w:rFonts w:ascii="Segoe UI" w:eastAsia="Times New Roman" w:hAnsi="Segoe UI" w:cs="Segoe UI"/>
                <w:sz w:val="20"/>
                <w:szCs w:val="20"/>
                <w:lang w:val="en-GB" w:eastAsia="en-GB"/>
              </w:rPr>
            </w:pPr>
            <w:r w:rsidRPr="004030DB">
              <w:rPr>
                <w:rFonts w:ascii="Arial" w:eastAsia="Times New Roman" w:hAnsi="Arial" w:cs="Arial"/>
                <w:b/>
                <w:bCs/>
                <w:color w:val="000000"/>
                <w:sz w:val="20"/>
                <w:szCs w:val="20"/>
                <w:lang w:eastAsia="en-GB"/>
              </w:rPr>
              <w:t>- </w:t>
            </w:r>
            <w:r w:rsidRPr="004030DB">
              <w:rPr>
                <w:rFonts w:ascii="Arial" w:eastAsia="Times New Roman" w:hAnsi="Arial" w:cs="Arial"/>
                <w:color w:val="D13438"/>
                <w:sz w:val="20"/>
                <w:szCs w:val="20"/>
                <w:lang w:val="en-GB" w:eastAsia="en-GB"/>
              </w:rPr>
              <w:t> </w:t>
            </w:r>
          </w:p>
        </w:tc>
        <w:tc>
          <w:tcPr>
            <w:tcW w:w="1035" w:type="dxa"/>
            <w:tcBorders>
              <w:top w:val="single" w:sz="6" w:space="0" w:color="auto"/>
              <w:left w:val="single" w:sz="6" w:space="0" w:color="auto"/>
              <w:bottom w:val="single" w:sz="6" w:space="0" w:color="auto"/>
              <w:right w:val="single" w:sz="6" w:space="0" w:color="auto"/>
            </w:tcBorders>
            <w:vAlign w:val="bottom"/>
            <w:hideMark/>
          </w:tcPr>
          <w:p w14:paraId="7D6C0517" w14:textId="77777777" w:rsidR="000130E5" w:rsidRPr="004030DB" w:rsidRDefault="000130E5" w:rsidP="000130E5">
            <w:pPr>
              <w:widowControl/>
              <w:jc w:val="right"/>
              <w:textAlignment w:val="baseline"/>
              <w:rPr>
                <w:rFonts w:ascii="Segoe UI" w:eastAsia="Times New Roman" w:hAnsi="Segoe UI" w:cs="Segoe UI"/>
                <w:sz w:val="20"/>
                <w:szCs w:val="20"/>
                <w:lang w:val="en-GB" w:eastAsia="en-GB"/>
              </w:rPr>
            </w:pPr>
            <w:r w:rsidRPr="004030DB">
              <w:rPr>
                <w:rFonts w:ascii="Arial" w:eastAsia="Times New Roman" w:hAnsi="Arial" w:cs="Arial"/>
                <w:color w:val="000000"/>
                <w:sz w:val="20"/>
                <w:szCs w:val="20"/>
                <w:lang w:eastAsia="en-GB"/>
              </w:rPr>
              <w:t>0 </w:t>
            </w:r>
            <w:r w:rsidRPr="004030DB">
              <w:rPr>
                <w:rFonts w:ascii="Arial" w:eastAsia="Times New Roman" w:hAnsi="Arial" w:cs="Arial"/>
                <w:color w:val="D13438"/>
                <w:sz w:val="20"/>
                <w:szCs w:val="20"/>
                <w:lang w:val="en-GB" w:eastAsia="en-GB"/>
              </w:rPr>
              <w:t> </w:t>
            </w:r>
          </w:p>
        </w:tc>
      </w:tr>
      <w:tr w:rsidR="000130E5" w:rsidRPr="004030DB" w14:paraId="0D640C17" w14:textId="77777777" w:rsidTr="000130E5">
        <w:trPr>
          <w:trHeight w:val="300"/>
        </w:trPr>
        <w:tc>
          <w:tcPr>
            <w:tcW w:w="4755" w:type="dxa"/>
            <w:gridSpan w:val="3"/>
            <w:tcBorders>
              <w:top w:val="single" w:sz="6" w:space="0" w:color="auto"/>
              <w:left w:val="single" w:sz="6" w:space="0" w:color="auto"/>
              <w:bottom w:val="single" w:sz="6" w:space="0" w:color="auto"/>
              <w:right w:val="single" w:sz="6" w:space="0" w:color="auto"/>
            </w:tcBorders>
            <w:hideMark/>
          </w:tcPr>
          <w:p w14:paraId="54F31D6C" w14:textId="77777777" w:rsidR="000130E5" w:rsidRPr="004030DB" w:rsidRDefault="000130E5" w:rsidP="000130E5">
            <w:pPr>
              <w:widowControl/>
              <w:textAlignment w:val="baseline"/>
              <w:rPr>
                <w:rFonts w:ascii="Segoe UI" w:eastAsia="Times New Roman" w:hAnsi="Segoe UI" w:cs="Segoe UI"/>
                <w:sz w:val="20"/>
                <w:szCs w:val="20"/>
                <w:lang w:val="en-GB" w:eastAsia="en-GB"/>
              </w:rPr>
            </w:pPr>
            <w:r w:rsidRPr="004030DB">
              <w:rPr>
                <w:rFonts w:ascii="Arial" w:eastAsia="Times New Roman" w:hAnsi="Arial" w:cs="Arial"/>
                <w:color w:val="000000"/>
                <w:sz w:val="20"/>
                <w:szCs w:val="20"/>
                <w:lang w:eastAsia="en-GB"/>
              </w:rPr>
              <w:t>Termination benefits</w:t>
            </w:r>
            <w:r w:rsidRPr="004030DB">
              <w:rPr>
                <w:rFonts w:ascii="Arial" w:eastAsia="Times New Roman" w:hAnsi="Arial" w:cs="Arial"/>
                <w:color w:val="D13438"/>
                <w:sz w:val="20"/>
                <w:szCs w:val="20"/>
                <w:lang w:val="en-GB" w:eastAsia="en-GB"/>
              </w:rPr>
              <w:t> </w:t>
            </w:r>
          </w:p>
        </w:tc>
        <w:tc>
          <w:tcPr>
            <w:tcW w:w="1245" w:type="dxa"/>
            <w:gridSpan w:val="2"/>
            <w:tcBorders>
              <w:top w:val="single" w:sz="6" w:space="0" w:color="auto"/>
              <w:left w:val="single" w:sz="6" w:space="0" w:color="auto"/>
              <w:bottom w:val="single" w:sz="6" w:space="0" w:color="auto"/>
              <w:right w:val="single" w:sz="6" w:space="0" w:color="auto"/>
            </w:tcBorders>
            <w:vAlign w:val="bottom"/>
            <w:hideMark/>
          </w:tcPr>
          <w:p w14:paraId="0DBC88B6" w14:textId="77777777" w:rsidR="000130E5" w:rsidRPr="004030DB" w:rsidRDefault="000130E5" w:rsidP="000130E5">
            <w:pPr>
              <w:widowControl/>
              <w:jc w:val="right"/>
              <w:textAlignment w:val="baseline"/>
              <w:rPr>
                <w:rFonts w:ascii="Segoe UI" w:eastAsia="Times New Roman" w:hAnsi="Segoe UI" w:cs="Segoe UI"/>
                <w:sz w:val="20"/>
                <w:szCs w:val="20"/>
                <w:lang w:val="en-GB" w:eastAsia="en-GB"/>
              </w:rPr>
            </w:pPr>
            <w:r w:rsidRPr="004030DB">
              <w:rPr>
                <w:rFonts w:ascii="Arial" w:eastAsia="Times New Roman" w:hAnsi="Arial" w:cs="Arial"/>
                <w:color w:val="000000"/>
                <w:sz w:val="20"/>
                <w:szCs w:val="20"/>
                <w:lang w:eastAsia="en-GB"/>
              </w:rPr>
              <w:t>- </w:t>
            </w:r>
            <w:r w:rsidRPr="004030DB">
              <w:rPr>
                <w:rFonts w:ascii="Arial" w:eastAsia="Times New Roman" w:hAnsi="Arial" w:cs="Arial"/>
                <w:color w:val="D13438"/>
                <w:sz w:val="20"/>
                <w:szCs w:val="20"/>
                <w:lang w:val="en-GB" w:eastAsia="en-GB"/>
              </w:rPr>
              <w:t> </w:t>
            </w:r>
          </w:p>
        </w:tc>
        <w:tc>
          <w:tcPr>
            <w:tcW w:w="900" w:type="dxa"/>
            <w:tcBorders>
              <w:top w:val="single" w:sz="6" w:space="0" w:color="auto"/>
              <w:left w:val="single" w:sz="6" w:space="0" w:color="auto"/>
              <w:bottom w:val="single" w:sz="6" w:space="0" w:color="auto"/>
              <w:right w:val="single" w:sz="6" w:space="0" w:color="auto"/>
            </w:tcBorders>
            <w:vAlign w:val="bottom"/>
            <w:hideMark/>
          </w:tcPr>
          <w:p w14:paraId="14D564BE" w14:textId="77777777" w:rsidR="000130E5" w:rsidRPr="004030DB" w:rsidRDefault="000130E5" w:rsidP="000130E5">
            <w:pPr>
              <w:widowControl/>
              <w:jc w:val="right"/>
              <w:textAlignment w:val="baseline"/>
              <w:rPr>
                <w:rFonts w:ascii="Segoe UI" w:eastAsia="Times New Roman" w:hAnsi="Segoe UI" w:cs="Segoe UI"/>
                <w:sz w:val="20"/>
                <w:szCs w:val="20"/>
                <w:lang w:val="en-GB" w:eastAsia="en-GB"/>
              </w:rPr>
            </w:pPr>
            <w:r w:rsidRPr="004030DB">
              <w:rPr>
                <w:rFonts w:ascii="Arial" w:eastAsia="Times New Roman" w:hAnsi="Arial" w:cs="Arial"/>
                <w:color w:val="000000"/>
                <w:sz w:val="20"/>
                <w:szCs w:val="20"/>
                <w:lang w:eastAsia="en-GB"/>
              </w:rPr>
              <w:t>- </w:t>
            </w:r>
            <w:r w:rsidRPr="004030DB">
              <w:rPr>
                <w:rFonts w:ascii="Arial" w:eastAsia="Times New Roman" w:hAnsi="Arial" w:cs="Arial"/>
                <w:color w:val="D13438"/>
                <w:sz w:val="20"/>
                <w:szCs w:val="20"/>
                <w:lang w:val="en-GB" w:eastAsia="en-GB"/>
              </w:rPr>
              <w:t> </w:t>
            </w:r>
          </w:p>
        </w:tc>
        <w:tc>
          <w:tcPr>
            <w:tcW w:w="1050" w:type="dxa"/>
            <w:gridSpan w:val="2"/>
            <w:tcBorders>
              <w:top w:val="single" w:sz="6" w:space="0" w:color="auto"/>
              <w:left w:val="single" w:sz="6" w:space="0" w:color="auto"/>
              <w:bottom w:val="single" w:sz="6" w:space="0" w:color="auto"/>
              <w:right w:val="single" w:sz="6" w:space="0" w:color="auto"/>
            </w:tcBorders>
            <w:vAlign w:val="bottom"/>
            <w:hideMark/>
          </w:tcPr>
          <w:p w14:paraId="59869075" w14:textId="77777777" w:rsidR="000130E5" w:rsidRPr="004030DB" w:rsidRDefault="000130E5" w:rsidP="000130E5">
            <w:pPr>
              <w:widowControl/>
              <w:jc w:val="right"/>
              <w:textAlignment w:val="baseline"/>
              <w:rPr>
                <w:rFonts w:ascii="Segoe UI" w:eastAsia="Times New Roman" w:hAnsi="Segoe UI" w:cs="Segoe UI"/>
                <w:sz w:val="20"/>
                <w:szCs w:val="20"/>
                <w:lang w:val="en-GB" w:eastAsia="en-GB"/>
              </w:rPr>
            </w:pPr>
            <w:r w:rsidRPr="004030DB">
              <w:rPr>
                <w:rFonts w:ascii="Arial" w:eastAsia="Times New Roman" w:hAnsi="Arial" w:cs="Arial"/>
                <w:b/>
                <w:bCs/>
                <w:color w:val="000000"/>
                <w:sz w:val="20"/>
                <w:szCs w:val="20"/>
                <w:lang w:eastAsia="en-GB"/>
              </w:rPr>
              <w:t>- </w:t>
            </w:r>
            <w:r w:rsidRPr="004030DB">
              <w:rPr>
                <w:rFonts w:ascii="Arial" w:eastAsia="Times New Roman" w:hAnsi="Arial" w:cs="Arial"/>
                <w:color w:val="D13438"/>
                <w:sz w:val="20"/>
                <w:szCs w:val="20"/>
                <w:lang w:val="en-GB" w:eastAsia="en-GB"/>
              </w:rPr>
              <w:t> </w:t>
            </w:r>
          </w:p>
        </w:tc>
        <w:tc>
          <w:tcPr>
            <w:tcW w:w="1035" w:type="dxa"/>
            <w:tcBorders>
              <w:top w:val="single" w:sz="6" w:space="0" w:color="auto"/>
              <w:left w:val="single" w:sz="6" w:space="0" w:color="auto"/>
              <w:bottom w:val="single" w:sz="6" w:space="0" w:color="auto"/>
              <w:right w:val="single" w:sz="6" w:space="0" w:color="auto"/>
            </w:tcBorders>
            <w:vAlign w:val="bottom"/>
            <w:hideMark/>
          </w:tcPr>
          <w:p w14:paraId="1A60C4A1" w14:textId="77777777" w:rsidR="000130E5" w:rsidRPr="004030DB" w:rsidRDefault="000130E5" w:rsidP="000130E5">
            <w:pPr>
              <w:widowControl/>
              <w:jc w:val="right"/>
              <w:textAlignment w:val="baseline"/>
              <w:rPr>
                <w:rFonts w:ascii="Segoe UI" w:eastAsia="Times New Roman" w:hAnsi="Segoe UI" w:cs="Segoe UI"/>
                <w:sz w:val="20"/>
                <w:szCs w:val="20"/>
                <w:lang w:val="en-GB" w:eastAsia="en-GB"/>
              </w:rPr>
            </w:pPr>
            <w:r w:rsidRPr="004030DB">
              <w:rPr>
                <w:rFonts w:ascii="Arial" w:eastAsia="Times New Roman" w:hAnsi="Arial" w:cs="Arial"/>
                <w:color w:val="000000"/>
                <w:sz w:val="20"/>
                <w:szCs w:val="20"/>
                <w:lang w:eastAsia="en-GB"/>
              </w:rPr>
              <w:t>0 </w:t>
            </w:r>
            <w:r w:rsidRPr="004030DB">
              <w:rPr>
                <w:rFonts w:ascii="Arial" w:eastAsia="Times New Roman" w:hAnsi="Arial" w:cs="Arial"/>
                <w:color w:val="D13438"/>
                <w:sz w:val="20"/>
                <w:szCs w:val="20"/>
                <w:lang w:val="en-GB" w:eastAsia="en-GB"/>
              </w:rPr>
              <w:t> </w:t>
            </w:r>
          </w:p>
        </w:tc>
      </w:tr>
      <w:tr w:rsidR="000130E5" w:rsidRPr="004030DB" w14:paraId="29D8C7DD" w14:textId="77777777" w:rsidTr="000130E5">
        <w:trPr>
          <w:trHeight w:val="300"/>
        </w:trPr>
        <w:tc>
          <w:tcPr>
            <w:tcW w:w="4755" w:type="dxa"/>
            <w:gridSpan w:val="3"/>
            <w:tcBorders>
              <w:top w:val="single" w:sz="6" w:space="0" w:color="auto"/>
              <w:left w:val="single" w:sz="6" w:space="0" w:color="auto"/>
              <w:bottom w:val="single" w:sz="6" w:space="0" w:color="auto"/>
              <w:right w:val="single" w:sz="6" w:space="0" w:color="auto"/>
            </w:tcBorders>
            <w:hideMark/>
          </w:tcPr>
          <w:p w14:paraId="5230794A" w14:textId="77777777" w:rsidR="000130E5" w:rsidRPr="004030DB" w:rsidRDefault="000130E5" w:rsidP="000130E5">
            <w:pPr>
              <w:widowControl/>
              <w:textAlignment w:val="baseline"/>
              <w:rPr>
                <w:rFonts w:ascii="Segoe UI" w:eastAsia="Times New Roman" w:hAnsi="Segoe UI" w:cs="Segoe UI"/>
                <w:sz w:val="20"/>
                <w:szCs w:val="20"/>
                <w:lang w:val="en-GB" w:eastAsia="en-GB"/>
              </w:rPr>
            </w:pPr>
            <w:r w:rsidRPr="004030DB">
              <w:rPr>
                <w:rFonts w:ascii="Arial" w:eastAsia="Times New Roman" w:hAnsi="Arial" w:cs="Arial"/>
                <w:color w:val="000000"/>
                <w:sz w:val="20"/>
                <w:szCs w:val="20"/>
                <w:lang w:eastAsia="en-GB"/>
              </w:rPr>
              <w:t>Temporary staff</w:t>
            </w:r>
            <w:r w:rsidRPr="004030DB">
              <w:rPr>
                <w:rFonts w:ascii="Arial" w:eastAsia="Times New Roman" w:hAnsi="Arial" w:cs="Arial"/>
                <w:color w:val="D13438"/>
                <w:sz w:val="20"/>
                <w:szCs w:val="20"/>
                <w:lang w:val="en-GB" w:eastAsia="en-GB"/>
              </w:rPr>
              <w:t> </w:t>
            </w:r>
          </w:p>
        </w:tc>
        <w:tc>
          <w:tcPr>
            <w:tcW w:w="1245" w:type="dxa"/>
            <w:gridSpan w:val="2"/>
            <w:tcBorders>
              <w:top w:val="single" w:sz="6" w:space="0" w:color="auto"/>
              <w:left w:val="single" w:sz="6" w:space="0" w:color="auto"/>
              <w:bottom w:val="single" w:sz="6" w:space="0" w:color="auto"/>
              <w:right w:val="single" w:sz="6" w:space="0" w:color="auto"/>
            </w:tcBorders>
            <w:vAlign w:val="bottom"/>
            <w:hideMark/>
          </w:tcPr>
          <w:p w14:paraId="28A9E8CC" w14:textId="77777777" w:rsidR="000130E5" w:rsidRPr="004030DB" w:rsidRDefault="000130E5" w:rsidP="000130E5">
            <w:pPr>
              <w:widowControl/>
              <w:jc w:val="right"/>
              <w:textAlignment w:val="baseline"/>
              <w:rPr>
                <w:rFonts w:ascii="Segoe UI" w:eastAsia="Times New Roman" w:hAnsi="Segoe UI" w:cs="Segoe UI"/>
                <w:sz w:val="20"/>
                <w:szCs w:val="20"/>
                <w:lang w:val="en-GB" w:eastAsia="en-GB"/>
              </w:rPr>
            </w:pPr>
            <w:r w:rsidRPr="004030DB">
              <w:rPr>
                <w:rFonts w:ascii="Arial" w:eastAsia="Times New Roman" w:hAnsi="Arial" w:cs="Arial"/>
                <w:color w:val="000000"/>
                <w:sz w:val="20"/>
                <w:szCs w:val="20"/>
                <w:lang w:eastAsia="en-GB"/>
              </w:rPr>
              <w:t>- </w:t>
            </w:r>
            <w:r w:rsidRPr="004030DB">
              <w:rPr>
                <w:rFonts w:ascii="Arial" w:eastAsia="Times New Roman" w:hAnsi="Arial" w:cs="Arial"/>
                <w:color w:val="D13438"/>
                <w:sz w:val="20"/>
                <w:szCs w:val="20"/>
                <w:lang w:val="en-GB" w:eastAsia="en-GB"/>
              </w:rPr>
              <w:t> </w:t>
            </w:r>
          </w:p>
        </w:tc>
        <w:tc>
          <w:tcPr>
            <w:tcW w:w="900" w:type="dxa"/>
            <w:tcBorders>
              <w:top w:val="single" w:sz="6" w:space="0" w:color="auto"/>
              <w:left w:val="single" w:sz="6" w:space="0" w:color="auto"/>
              <w:bottom w:val="single" w:sz="6" w:space="0" w:color="auto"/>
              <w:right w:val="single" w:sz="6" w:space="0" w:color="auto"/>
            </w:tcBorders>
            <w:vAlign w:val="bottom"/>
            <w:hideMark/>
          </w:tcPr>
          <w:p w14:paraId="19549694" w14:textId="77777777" w:rsidR="000130E5" w:rsidRPr="004030DB" w:rsidRDefault="000130E5" w:rsidP="000130E5">
            <w:pPr>
              <w:widowControl/>
              <w:jc w:val="right"/>
              <w:textAlignment w:val="baseline"/>
              <w:rPr>
                <w:rFonts w:ascii="Segoe UI" w:eastAsia="Times New Roman" w:hAnsi="Segoe UI" w:cs="Segoe UI"/>
                <w:sz w:val="20"/>
                <w:szCs w:val="20"/>
                <w:lang w:val="en-GB" w:eastAsia="en-GB"/>
              </w:rPr>
            </w:pPr>
            <w:r w:rsidRPr="004030DB">
              <w:rPr>
                <w:rFonts w:ascii="Arial" w:eastAsia="Times New Roman" w:hAnsi="Arial" w:cs="Arial"/>
                <w:color w:val="000000"/>
                <w:sz w:val="20"/>
                <w:szCs w:val="20"/>
                <w:lang w:eastAsia="en-GB"/>
              </w:rPr>
              <w:t>5,185 </w:t>
            </w:r>
            <w:r w:rsidRPr="004030DB">
              <w:rPr>
                <w:rFonts w:ascii="Arial" w:eastAsia="Times New Roman" w:hAnsi="Arial" w:cs="Arial"/>
                <w:color w:val="D13438"/>
                <w:sz w:val="20"/>
                <w:szCs w:val="20"/>
                <w:lang w:val="en-GB" w:eastAsia="en-GB"/>
              </w:rPr>
              <w:t> </w:t>
            </w:r>
          </w:p>
        </w:tc>
        <w:tc>
          <w:tcPr>
            <w:tcW w:w="1050" w:type="dxa"/>
            <w:gridSpan w:val="2"/>
            <w:tcBorders>
              <w:top w:val="single" w:sz="6" w:space="0" w:color="auto"/>
              <w:left w:val="single" w:sz="6" w:space="0" w:color="auto"/>
              <w:bottom w:val="single" w:sz="6" w:space="0" w:color="auto"/>
              <w:right w:val="single" w:sz="6" w:space="0" w:color="auto"/>
            </w:tcBorders>
            <w:vAlign w:val="bottom"/>
            <w:hideMark/>
          </w:tcPr>
          <w:p w14:paraId="5D2175A5" w14:textId="77777777" w:rsidR="000130E5" w:rsidRPr="004030DB" w:rsidRDefault="000130E5" w:rsidP="000130E5">
            <w:pPr>
              <w:widowControl/>
              <w:jc w:val="right"/>
              <w:textAlignment w:val="baseline"/>
              <w:rPr>
                <w:rFonts w:ascii="Segoe UI" w:eastAsia="Times New Roman" w:hAnsi="Segoe UI" w:cs="Segoe UI"/>
                <w:sz w:val="20"/>
                <w:szCs w:val="20"/>
                <w:lang w:val="en-GB" w:eastAsia="en-GB"/>
              </w:rPr>
            </w:pPr>
            <w:r w:rsidRPr="004030DB">
              <w:rPr>
                <w:rFonts w:ascii="Arial" w:eastAsia="Times New Roman" w:hAnsi="Arial" w:cs="Arial"/>
                <w:b/>
                <w:bCs/>
                <w:color w:val="000000"/>
                <w:sz w:val="20"/>
                <w:szCs w:val="20"/>
                <w:lang w:eastAsia="en-GB"/>
              </w:rPr>
              <w:t>5,185 </w:t>
            </w:r>
            <w:r w:rsidRPr="004030DB">
              <w:rPr>
                <w:rFonts w:ascii="Arial" w:eastAsia="Times New Roman" w:hAnsi="Arial" w:cs="Arial"/>
                <w:color w:val="D13438"/>
                <w:sz w:val="20"/>
                <w:szCs w:val="20"/>
                <w:lang w:val="en-GB" w:eastAsia="en-GB"/>
              </w:rPr>
              <w:t> </w:t>
            </w:r>
          </w:p>
        </w:tc>
        <w:tc>
          <w:tcPr>
            <w:tcW w:w="1035" w:type="dxa"/>
            <w:tcBorders>
              <w:top w:val="single" w:sz="6" w:space="0" w:color="auto"/>
              <w:left w:val="single" w:sz="6" w:space="0" w:color="auto"/>
              <w:bottom w:val="single" w:sz="6" w:space="0" w:color="auto"/>
              <w:right w:val="single" w:sz="6" w:space="0" w:color="auto"/>
            </w:tcBorders>
            <w:vAlign w:val="bottom"/>
            <w:hideMark/>
          </w:tcPr>
          <w:p w14:paraId="67AB1886" w14:textId="77777777" w:rsidR="000130E5" w:rsidRPr="004030DB" w:rsidRDefault="000130E5" w:rsidP="000130E5">
            <w:pPr>
              <w:widowControl/>
              <w:jc w:val="right"/>
              <w:textAlignment w:val="baseline"/>
              <w:rPr>
                <w:rFonts w:ascii="Segoe UI" w:eastAsia="Times New Roman" w:hAnsi="Segoe UI" w:cs="Segoe UI"/>
                <w:sz w:val="20"/>
                <w:szCs w:val="20"/>
                <w:lang w:val="en-GB" w:eastAsia="en-GB"/>
              </w:rPr>
            </w:pPr>
            <w:r w:rsidRPr="004030DB">
              <w:rPr>
                <w:rFonts w:ascii="Arial" w:eastAsia="Times New Roman" w:hAnsi="Arial" w:cs="Arial"/>
                <w:color w:val="000000"/>
                <w:sz w:val="20"/>
                <w:szCs w:val="20"/>
                <w:lang w:eastAsia="en-GB"/>
              </w:rPr>
              <w:t>8,160 </w:t>
            </w:r>
            <w:r w:rsidRPr="004030DB">
              <w:rPr>
                <w:rFonts w:ascii="Arial" w:eastAsia="Times New Roman" w:hAnsi="Arial" w:cs="Arial"/>
                <w:color w:val="D13438"/>
                <w:sz w:val="20"/>
                <w:szCs w:val="20"/>
                <w:lang w:val="en-GB" w:eastAsia="en-GB"/>
              </w:rPr>
              <w:t> </w:t>
            </w:r>
          </w:p>
        </w:tc>
      </w:tr>
      <w:tr w:rsidR="000130E5" w:rsidRPr="004030DB" w14:paraId="420B005F" w14:textId="77777777" w:rsidTr="000130E5">
        <w:trPr>
          <w:trHeight w:val="300"/>
        </w:trPr>
        <w:tc>
          <w:tcPr>
            <w:tcW w:w="4755" w:type="dxa"/>
            <w:gridSpan w:val="3"/>
            <w:tcBorders>
              <w:top w:val="single" w:sz="6" w:space="0" w:color="auto"/>
              <w:left w:val="single" w:sz="6" w:space="0" w:color="auto"/>
              <w:bottom w:val="single" w:sz="6" w:space="0" w:color="auto"/>
              <w:right w:val="single" w:sz="6" w:space="0" w:color="auto"/>
            </w:tcBorders>
            <w:shd w:val="clear" w:color="auto" w:fill="DEEAF6"/>
            <w:hideMark/>
          </w:tcPr>
          <w:p w14:paraId="7C78346F" w14:textId="77777777" w:rsidR="000130E5" w:rsidRPr="004030DB" w:rsidRDefault="000130E5" w:rsidP="000130E5">
            <w:pPr>
              <w:widowControl/>
              <w:textAlignment w:val="baseline"/>
              <w:rPr>
                <w:rFonts w:ascii="Segoe UI" w:eastAsia="Times New Roman" w:hAnsi="Segoe UI" w:cs="Segoe UI"/>
                <w:sz w:val="20"/>
                <w:szCs w:val="20"/>
                <w:lang w:val="en-GB" w:eastAsia="en-GB"/>
              </w:rPr>
            </w:pPr>
            <w:r w:rsidRPr="004030DB">
              <w:rPr>
                <w:rFonts w:ascii="Arial" w:eastAsia="Times New Roman" w:hAnsi="Arial" w:cs="Arial"/>
                <w:b/>
                <w:bCs/>
                <w:color w:val="000000"/>
                <w:sz w:val="20"/>
                <w:szCs w:val="20"/>
                <w:lang w:eastAsia="en-GB"/>
              </w:rPr>
              <w:t>Total gross staff costs</w:t>
            </w:r>
            <w:r w:rsidRPr="004030DB">
              <w:rPr>
                <w:rFonts w:ascii="Arial" w:eastAsia="Times New Roman" w:hAnsi="Arial" w:cs="Arial"/>
                <w:color w:val="D13438"/>
                <w:sz w:val="20"/>
                <w:szCs w:val="20"/>
                <w:lang w:val="en-GB" w:eastAsia="en-GB"/>
              </w:rPr>
              <w:t> </w:t>
            </w:r>
          </w:p>
        </w:tc>
        <w:tc>
          <w:tcPr>
            <w:tcW w:w="1245" w:type="dxa"/>
            <w:gridSpan w:val="2"/>
            <w:tcBorders>
              <w:top w:val="single" w:sz="6" w:space="0" w:color="auto"/>
              <w:left w:val="single" w:sz="6" w:space="0" w:color="auto"/>
              <w:bottom w:val="single" w:sz="6" w:space="0" w:color="auto"/>
              <w:right w:val="single" w:sz="6" w:space="0" w:color="auto"/>
            </w:tcBorders>
            <w:shd w:val="clear" w:color="auto" w:fill="DEEAF6"/>
            <w:vAlign w:val="bottom"/>
            <w:hideMark/>
          </w:tcPr>
          <w:p w14:paraId="2A808DA5" w14:textId="77777777" w:rsidR="000130E5" w:rsidRPr="004030DB" w:rsidRDefault="000130E5" w:rsidP="000130E5">
            <w:pPr>
              <w:widowControl/>
              <w:jc w:val="right"/>
              <w:textAlignment w:val="baseline"/>
              <w:rPr>
                <w:rFonts w:ascii="Segoe UI" w:eastAsia="Times New Roman" w:hAnsi="Segoe UI" w:cs="Segoe UI"/>
                <w:sz w:val="20"/>
                <w:szCs w:val="20"/>
                <w:lang w:val="en-GB" w:eastAsia="en-GB"/>
              </w:rPr>
            </w:pPr>
            <w:r w:rsidRPr="004030DB">
              <w:rPr>
                <w:rFonts w:ascii="Arial" w:eastAsia="Times New Roman" w:hAnsi="Arial" w:cs="Arial"/>
                <w:b/>
                <w:bCs/>
                <w:color w:val="000000"/>
                <w:sz w:val="20"/>
                <w:szCs w:val="20"/>
                <w:lang w:eastAsia="en-GB"/>
              </w:rPr>
              <w:t>344,804 </w:t>
            </w:r>
            <w:r w:rsidRPr="004030DB">
              <w:rPr>
                <w:rFonts w:ascii="Arial" w:eastAsia="Times New Roman" w:hAnsi="Arial" w:cs="Arial"/>
                <w:color w:val="D13438"/>
                <w:sz w:val="20"/>
                <w:szCs w:val="20"/>
                <w:lang w:val="en-GB" w:eastAsia="en-GB"/>
              </w:rPr>
              <w:t> </w:t>
            </w:r>
          </w:p>
        </w:tc>
        <w:tc>
          <w:tcPr>
            <w:tcW w:w="900" w:type="dxa"/>
            <w:tcBorders>
              <w:top w:val="single" w:sz="6" w:space="0" w:color="auto"/>
              <w:left w:val="single" w:sz="6" w:space="0" w:color="auto"/>
              <w:bottom w:val="single" w:sz="6" w:space="0" w:color="auto"/>
              <w:right w:val="single" w:sz="6" w:space="0" w:color="auto"/>
            </w:tcBorders>
            <w:shd w:val="clear" w:color="auto" w:fill="DEEAF6"/>
            <w:vAlign w:val="bottom"/>
            <w:hideMark/>
          </w:tcPr>
          <w:p w14:paraId="20C6CE95" w14:textId="77777777" w:rsidR="000130E5" w:rsidRPr="004030DB" w:rsidRDefault="000130E5" w:rsidP="000130E5">
            <w:pPr>
              <w:widowControl/>
              <w:jc w:val="right"/>
              <w:textAlignment w:val="baseline"/>
              <w:rPr>
                <w:rFonts w:ascii="Segoe UI" w:eastAsia="Times New Roman" w:hAnsi="Segoe UI" w:cs="Segoe UI"/>
                <w:sz w:val="20"/>
                <w:szCs w:val="20"/>
                <w:lang w:val="en-GB" w:eastAsia="en-GB"/>
              </w:rPr>
            </w:pPr>
            <w:r w:rsidRPr="004030DB">
              <w:rPr>
                <w:rFonts w:ascii="Arial" w:eastAsia="Times New Roman" w:hAnsi="Arial" w:cs="Arial"/>
                <w:b/>
                <w:bCs/>
                <w:color w:val="000000"/>
                <w:sz w:val="20"/>
                <w:szCs w:val="20"/>
                <w:lang w:eastAsia="en-GB"/>
              </w:rPr>
              <w:t>5,185 </w:t>
            </w:r>
            <w:r w:rsidRPr="004030DB">
              <w:rPr>
                <w:rFonts w:ascii="Arial" w:eastAsia="Times New Roman" w:hAnsi="Arial" w:cs="Arial"/>
                <w:color w:val="D13438"/>
                <w:sz w:val="20"/>
                <w:szCs w:val="20"/>
                <w:lang w:val="en-GB" w:eastAsia="en-GB"/>
              </w:rPr>
              <w:t> </w:t>
            </w:r>
          </w:p>
        </w:tc>
        <w:tc>
          <w:tcPr>
            <w:tcW w:w="1050" w:type="dxa"/>
            <w:gridSpan w:val="2"/>
            <w:tcBorders>
              <w:top w:val="single" w:sz="6" w:space="0" w:color="auto"/>
              <w:left w:val="single" w:sz="6" w:space="0" w:color="auto"/>
              <w:bottom w:val="single" w:sz="6" w:space="0" w:color="auto"/>
              <w:right w:val="single" w:sz="6" w:space="0" w:color="auto"/>
            </w:tcBorders>
            <w:shd w:val="clear" w:color="auto" w:fill="DEEAF6"/>
            <w:vAlign w:val="bottom"/>
            <w:hideMark/>
          </w:tcPr>
          <w:p w14:paraId="05EFE33A" w14:textId="77777777" w:rsidR="000130E5" w:rsidRPr="004030DB" w:rsidRDefault="000130E5" w:rsidP="000130E5">
            <w:pPr>
              <w:widowControl/>
              <w:jc w:val="right"/>
              <w:textAlignment w:val="baseline"/>
              <w:rPr>
                <w:rFonts w:ascii="Segoe UI" w:eastAsia="Times New Roman" w:hAnsi="Segoe UI" w:cs="Segoe UI"/>
                <w:sz w:val="20"/>
                <w:szCs w:val="20"/>
                <w:lang w:val="en-GB" w:eastAsia="en-GB"/>
              </w:rPr>
            </w:pPr>
            <w:r w:rsidRPr="004030DB">
              <w:rPr>
                <w:rFonts w:ascii="Arial" w:eastAsia="Times New Roman" w:hAnsi="Arial" w:cs="Arial"/>
                <w:b/>
                <w:bCs/>
                <w:color w:val="000000"/>
                <w:sz w:val="20"/>
                <w:szCs w:val="20"/>
                <w:lang w:eastAsia="en-GB"/>
              </w:rPr>
              <w:t>349,989 </w:t>
            </w:r>
            <w:r w:rsidRPr="004030DB">
              <w:rPr>
                <w:rFonts w:ascii="Arial" w:eastAsia="Times New Roman" w:hAnsi="Arial" w:cs="Arial"/>
                <w:color w:val="D13438"/>
                <w:sz w:val="20"/>
                <w:szCs w:val="20"/>
                <w:lang w:val="en-GB" w:eastAsia="en-GB"/>
              </w:rPr>
              <w:t> </w:t>
            </w:r>
          </w:p>
        </w:tc>
        <w:tc>
          <w:tcPr>
            <w:tcW w:w="1035" w:type="dxa"/>
            <w:tcBorders>
              <w:top w:val="single" w:sz="6" w:space="0" w:color="auto"/>
              <w:left w:val="single" w:sz="6" w:space="0" w:color="auto"/>
              <w:bottom w:val="single" w:sz="6" w:space="0" w:color="auto"/>
              <w:right w:val="single" w:sz="6" w:space="0" w:color="auto"/>
            </w:tcBorders>
            <w:shd w:val="clear" w:color="auto" w:fill="DEEAF6"/>
            <w:vAlign w:val="bottom"/>
            <w:hideMark/>
          </w:tcPr>
          <w:p w14:paraId="5EECEB48" w14:textId="77777777" w:rsidR="000130E5" w:rsidRPr="004030DB" w:rsidRDefault="000130E5" w:rsidP="000130E5">
            <w:pPr>
              <w:widowControl/>
              <w:jc w:val="right"/>
              <w:textAlignment w:val="baseline"/>
              <w:rPr>
                <w:rFonts w:ascii="Segoe UI" w:eastAsia="Times New Roman" w:hAnsi="Segoe UI" w:cs="Segoe UI"/>
                <w:sz w:val="20"/>
                <w:szCs w:val="20"/>
                <w:lang w:val="en-GB" w:eastAsia="en-GB"/>
              </w:rPr>
            </w:pPr>
            <w:r w:rsidRPr="004030DB">
              <w:rPr>
                <w:rFonts w:ascii="Arial" w:eastAsia="Times New Roman" w:hAnsi="Arial" w:cs="Arial"/>
                <w:b/>
                <w:bCs/>
                <w:color w:val="000000"/>
                <w:sz w:val="20"/>
                <w:szCs w:val="20"/>
                <w:lang w:eastAsia="en-GB"/>
              </w:rPr>
              <w:t>314,126 </w:t>
            </w:r>
            <w:r w:rsidRPr="004030DB">
              <w:rPr>
                <w:rFonts w:ascii="Arial" w:eastAsia="Times New Roman" w:hAnsi="Arial" w:cs="Arial"/>
                <w:color w:val="D13438"/>
                <w:sz w:val="20"/>
                <w:szCs w:val="20"/>
                <w:lang w:val="en-GB" w:eastAsia="en-GB"/>
              </w:rPr>
              <w:t> </w:t>
            </w:r>
          </w:p>
        </w:tc>
      </w:tr>
      <w:tr w:rsidR="000130E5" w:rsidRPr="004030DB" w14:paraId="6E40A7A1" w14:textId="77777777" w:rsidTr="000130E5">
        <w:trPr>
          <w:trHeight w:val="300"/>
        </w:trPr>
        <w:tc>
          <w:tcPr>
            <w:tcW w:w="4755" w:type="dxa"/>
            <w:gridSpan w:val="3"/>
            <w:tcBorders>
              <w:top w:val="single" w:sz="6" w:space="0" w:color="auto"/>
              <w:left w:val="single" w:sz="6" w:space="0" w:color="auto"/>
              <w:bottom w:val="single" w:sz="6" w:space="0" w:color="auto"/>
              <w:right w:val="single" w:sz="6" w:space="0" w:color="auto"/>
            </w:tcBorders>
            <w:hideMark/>
          </w:tcPr>
          <w:p w14:paraId="3B1A26D6" w14:textId="77777777" w:rsidR="000130E5" w:rsidRPr="004030DB" w:rsidRDefault="000130E5" w:rsidP="000130E5">
            <w:pPr>
              <w:widowControl/>
              <w:textAlignment w:val="baseline"/>
              <w:rPr>
                <w:rFonts w:ascii="Segoe UI" w:eastAsia="Times New Roman" w:hAnsi="Segoe UI" w:cs="Segoe UI"/>
                <w:sz w:val="20"/>
                <w:szCs w:val="20"/>
                <w:lang w:val="en-GB" w:eastAsia="en-GB"/>
              </w:rPr>
            </w:pPr>
            <w:r w:rsidRPr="004030DB">
              <w:rPr>
                <w:rFonts w:ascii="Arial" w:eastAsia="Times New Roman" w:hAnsi="Arial" w:cs="Arial"/>
                <w:color w:val="000000"/>
                <w:sz w:val="20"/>
                <w:szCs w:val="20"/>
                <w:lang w:eastAsia="en-GB"/>
              </w:rPr>
              <w:t>Recoveries in respect of seconded staff</w:t>
            </w:r>
            <w:r w:rsidRPr="004030DB">
              <w:rPr>
                <w:rFonts w:ascii="Arial" w:eastAsia="Times New Roman" w:hAnsi="Arial" w:cs="Arial"/>
                <w:color w:val="D13438"/>
                <w:sz w:val="20"/>
                <w:szCs w:val="20"/>
                <w:lang w:val="en-GB" w:eastAsia="en-GB"/>
              </w:rPr>
              <w:t> </w:t>
            </w:r>
          </w:p>
        </w:tc>
        <w:tc>
          <w:tcPr>
            <w:tcW w:w="1245" w:type="dxa"/>
            <w:gridSpan w:val="2"/>
            <w:tcBorders>
              <w:top w:val="single" w:sz="6" w:space="0" w:color="auto"/>
              <w:left w:val="single" w:sz="6" w:space="0" w:color="auto"/>
              <w:bottom w:val="single" w:sz="6" w:space="0" w:color="auto"/>
              <w:right w:val="single" w:sz="6" w:space="0" w:color="auto"/>
            </w:tcBorders>
            <w:vAlign w:val="bottom"/>
            <w:hideMark/>
          </w:tcPr>
          <w:p w14:paraId="7550AFEA" w14:textId="77777777" w:rsidR="000130E5" w:rsidRPr="004030DB" w:rsidRDefault="000130E5" w:rsidP="000130E5">
            <w:pPr>
              <w:widowControl/>
              <w:jc w:val="right"/>
              <w:textAlignment w:val="baseline"/>
              <w:rPr>
                <w:rFonts w:ascii="Segoe UI" w:eastAsia="Times New Roman" w:hAnsi="Segoe UI" w:cs="Segoe UI"/>
                <w:sz w:val="20"/>
                <w:szCs w:val="20"/>
                <w:lang w:val="en-GB" w:eastAsia="en-GB"/>
              </w:rPr>
            </w:pPr>
            <w:r w:rsidRPr="004030DB">
              <w:rPr>
                <w:rFonts w:ascii="Arial" w:eastAsia="Times New Roman" w:hAnsi="Arial" w:cs="Arial"/>
                <w:color w:val="000000"/>
                <w:sz w:val="20"/>
                <w:szCs w:val="20"/>
                <w:lang w:eastAsia="en-GB"/>
              </w:rPr>
              <w:t>- </w:t>
            </w:r>
            <w:r w:rsidRPr="004030DB">
              <w:rPr>
                <w:rFonts w:ascii="Arial" w:eastAsia="Times New Roman" w:hAnsi="Arial" w:cs="Arial"/>
                <w:color w:val="D13438"/>
                <w:sz w:val="20"/>
                <w:szCs w:val="20"/>
                <w:lang w:val="en-GB" w:eastAsia="en-GB"/>
              </w:rPr>
              <w:t> </w:t>
            </w:r>
          </w:p>
        </w:tc>
        <w:tc>
          <w:tcPr>
            <w:tcW w:w="900" w:type="dxa"/>
            <w:tcBorders>
              <w:top w:val="single" w:sz="6" w:space="0" w:color="auto"/>
              <w:left w:val="single" w:sz="6" w:space="0" w:color="auto"/>
              <w:bottom w:val="single" w:sz="6" w:space="0" w:color="auto"/>
              <w:right w:val="single" w:sz="6" w:space="0" w:color="auto"/>
            </w:tcBorders>
            <w:vAlign w:val="bottom"/>
            <w:hideMark/>
          </w:tcPr>
          <w:p w14:paraId="33798B7C" w14:textId="77777777" w:rsidR="000130E5" w:rsidRPr="004030DB" w:rsidRDefault="000130E5" w:rsidP="000130E5">
            <w:pPr>
              <w:widowControl/>
              <w:jc w:val="right"/>
              <w:textAlignment w:val="baseline"/>
              <w:rPr>
                <w:rFonts w:ascii="Segoe UI" w:eastAsia="Times New Roman" w:hAnsi="Segoe UI" w:cs="Segoe UI"/>
                <w:sz w:val="20"/>
                <w:szCs w:val="20"/>
                <w:lang w:val="en-GB" w:eastAsia="en-GB"/>
              </w:rPr>
            </w:pPr>
            <w:r w:rsidRPr="004030DB">
              <w:rPr>
                <w:rFonts w:ascii="Arial" w:eastAsia="Times New Roman" w:hAnsi="Arial" w:cs="Arial"/>
                <w:color w:val="000000"/>
                <w:sz w:val="20"/>
                <w:szCs w:val="20"/>
                <w:lang w:eastAsia="en-GB"/>
              </w:rPr>
              <w:t>- </w:t>
            </w:r>
            <w:r w:rsidRPr="004030DB">
              <w:rPr>
                <w:rFonts w:ascii="Arial" w:eastAsia="Times New Roman" w:hAnsi="Arial" w:cs="Arial"/>
                <w:color w:val="D13438"/>
                <w:sz w:val="20"/>
                <w:szCs w:val="20"/>
                <w:lang w:val="en-GB" w:eastAsia="en-GB"/>
              </w:rPr>
              <w:t> </w:t>
            </w:r>
          </w:p>
        </w:tc>
        <w:tc>
          <w:tcPr>
            <w:tcW w:w="1050" w:type="dxa"/>
            <w:gridSpan w:val="2"/>
            <w:tcBorders>
              <w:top w:val="single" w:sz="6" w:space="0" w:color="auto"/>
              <w:left w:val="single" w:sz="6" w:space="0" w:color="auto"/>
              <w:bottom w:val="single" w:sz="6" w:space="0" w:color="auto"/>
              <w:right w:val="single" w:sz="6" w:space="0" w:color="auto"/>
            </w:tcBorders>
            <w:vAlign w:val="bottom"/>
            <w:hideMark/>
          </w:tcPr>
          <w:p w14:paraId="58E8E80A" w14:textId="77777777" w:rsidR="000130E5" w:rsidRPr="004030DB" w:rsidRDefault="000130E5" w:rsidP="000130E5">
            <w:pPr>
              <w:widowControl/>
              <w:jc w:val="right"/>
              <w:textAlignment w:val="baseline"/>
              <w:rPr>
                <w:rFonts w:ascii="Segoe UI" w:eastAsia="Times New Roman" w:hAnsi="Segoe UI" w:cs="Segoe UI"/>
                <w:sz w:val="20"/>
                <w:szCs w:val="20"/>
                <w:lang w:val="en-GB" w:eastAsia="en-GB"/>
              </w:rPr>
            </w:pPr>
            <w:r w:rsidRPr="004030DB">
              <w:rPr>
                <w:rFonts w:ascii="Arial" w:eastAsia="Times New Roman" w:hAnsi="Arial" w:cs="Arial"/>
                <w:b/>
                <w:bCs/>
                <w:color w:val="000000"/>
                <w:sz w:val="20"/>
                <w:szCs w:val="20"/>
                <w:lang w:eastAsia="en-GB"/>
              </w:rPr>
              <w:t>- </w:t>
            </w:r>
            <w:r w:rsidRPr="004030DB">
              <w:rPr>
                <w:rFonts w:ascii="Arial" w:eastAsia="Times New Roman" w:hAnsi="Arial" w:cs="Arial"/>
                <w:color w:val="D13438"/>
                <w:sz w:val="20"/>
                <w:szCs w:val="20"/>
                <w:lang w:val="en-GB" w:eastAsia="en-GB"/>
              </w:rPr>
              <w:t> </w:t>
            </w:r>
          </w:p>
        </w:tc>
        <w:tc>
          <w:tcPr>
            <w:tcW w:w="1035" w:type="dxa"/>
            <w:tcBorders>
              <w:top w:val="single" w:sz="6" w:space="0" w:color="auto"/>
              <w:left w:val="single" w:sz="6" w:space="0" w:color="auto"/>
              <w:bottom w:val="single" w:sz="6" w:space="0" w:color="auto"/>
              <w:right w:val="single" w:sz="6" w:space="0" w:color="auto"/>
            </w:tcBorders>
            <w:vAlign w:val="bottom"/>
            <w:hideMark/>
          </w:tcPr>
          <w:p w14:paraId="7A1AB939" w14:textId="77777777" w:rsidR="000130E5" w:rsidRPr="004030DB" w:rsidRDefault="000130E5" w:rsidP="000130E5">
            <w:pPr>
              <w:widowControl/>
              <w:jc w:val="right"/>
              <w:textAlignment w:val="baseline"/>
              <w:rPr>
                <w:rFonts w:ascii="Segoe UI" w:eastAsia="Times New Roman" w:hAnsi="Segoe UI" w:cs="Segoe UI"/>
                <w:sz w:val="20"/>
                <w:szCs w:val="20"/>
                <w:lang w:val="en-GB" w:eastAsia="en-GB"/>
              </w:rPr>
            </w:pPr>
            <w:r w:rsidRPr="004030DB">
              <w:rPr>
                <w:rFonts w:ascii="Arial" w:eastAsia="Times New Roman" w:hAnsi="Arial" w:cs="Arial"/>
                <w:color w:val="000000"/>
                <w:sz w:val="20"/>
                <w:szCs w:val="20"/>
                <w:lang w:eastAsia="en-GB"/>
              </w:rPr>
              <w:t>0 </w:t>
            </w:r>
            <w:r w:rsidRPr="004030DB">
              <w:rPr>
                <w:rFonts w:ascii="Arial" w:eastAsia="Times New Roman" w:hAnsi="Arial" w:cs="Arial"/>
                <w:color w:val="D13438"/>
                <w:sz w:val="20"/>
                <w:szCs w:val="20"/>
                <w:lang w:val="en-GB" w:eastAsia="en-GB"/>
              </w:rPr>
              <w:t> </w:t>
            </w:r>
          </w:p>
        </w:tc>
      </w:tr>
      <w:tr w:rsidR="000130E5" w:rsidRPr="004030DB" w14:paraId="74E6DE19" w14:textId="77777777" w:rsidTr="000130E5">
        <w:trPr>
          <w:trHeight w:val="300"/>
        </w:trPr>
        <w:tc>
          <w:tcPr>
            <w:tcW w:w="4755" w:type="dxa"/>
            <w:gridSpan w:val="3"/>
            <w:tcBorders>
              <w:top w:val="single" w:sz="6" w:space="0" w:color="auto"/>
              <w:left w:val="single" w:sz="6" w:space="0" w:color="auto"/>
              <w:bottom w:val="single" w:sz="6" w:space="0" w:color="auto"/>
              <w:right w:val="single" w:sz="6" w:space="0" w:color="auto"/>
            </w:tcBorders>
            <w:shd w:val="clear" w:color="auto" w:fill="DEEAF6"/>
            <w:hideMark/>
          </w:tcPr>
          <w:p w14:paraId="416BC94B" w14:textId="77777777" w:rsidR="000130E5" w:rsidRPr="004030DB" w:rsidRDefault="000130E5" w:rsidP="000130E5">
            <w:pPr>
              <w:widowControl/>
              <w:textAlignment w:val="baseline"/>
              <w:rPr>
                <w:rFonts w:ascii="Segoe UI" w:eastAsia="Times New Roman" w:hAnsi="Segoe UI" w:cs="Segoe UI"/>
                <w:sz w:val="20"/>
                <w:szCs w:val="20"/>
                <w:lang w:val="en-GB" w:eastAsia="en-GB"/>
              </w:rPr>
            </w:pPr>
            <w:r w:rsidRPr="004030DB">
              <w:rPr>
                <w:rFonts w:ascii="Arial" w:eastAsia="Times New Roman" w:hAnsi="Arial" w:cs="Arial"/>
                <w:b/>
                <w:bCs/>
                <w:color w:val="000000"/>
                <w:sz w:val="20"/>
                <w:szCs w:val="20"/>
                <w:lang w:eastAsia="en-GB"/>
              </w:rPr>
              <w:t>Total staff costs</w:t>
            </w:r>
            <w:r w:rsidRPr="004030DB">
              <w:rPr>
                <w:rFonts w:ascii="Arial" w:eastAsia="Times New Roman" w:hAnsi="Arial" w:cs="Arial"/>
                <w:color w:val="D13438"/>
                <w:sz w:val="20"/>
                <w:szCs w:val="20"/>
                <w:lang w:val="en-GB" w:eastAsia="en-GB"/>
              </w:rPr>
              <w:t> </w:t>
            </w:r>
          </w:p>
        </w:tc>
        <w:tc>
          <w:tcPr>
            <w:tcW w:w="1245" w:type="dxa"/>
            <w:gridSpan w:val="2"/>
            <w:tcBorders>
              <w:top w:val="single" w:sz="6" w:space="0" w:color="auto"/>
              <w:left w:val="single" w:sz="6" w:space="0" w:color="auto"/>
              <w:bottom w:val="single" w:sz="6" w:space="0" w:color="auto"/>
              <w:right w:val="single" w:sz="6" w:space="0" w:color="auto"/>
            </w:tcBorders>
            <w:shd w:val="clear" w:color="auto" w:fill="DEEAF6"/>
            <w:vAlign w:val="bottom"/>
            <w:hideMark/>
          </w:tcPr>
          <w:p w14:paraId="5F161B2F" w14:textId="77777777" w:rsidR="000130E5" w:rsidRPr="004030DB" w:rsidRDefault="000130E5" w:rsidP="000130E5">
            <w:pPr>
              <w:widowControl/>
              <w:jc w:val="right"/>
              <w:textAlignment w:val="baseline"/>
              <w:rPr>
                <w:rFonts w:ascii="Segoe UI" w:eastAsia="Times New Roman" w:hAnsi="Segoe UI" w:cs="Segoe UI"/>
                <w:sz w:val="20"/>
                <w:szCs w:val="20"/>
                <w:lang w:val="en-GB" w:eastAsia="en-GB"/>
              </w:rPr>
            </w:pPr>
            <w:r w:rsidRPr="004030DB">
              <w:rPr>
                <w:rFonts w:ascii="Arial" w:eastAsia="Times New Roman" w:hAnsi="Arial" w:cs="Arial"/>
                <w:b/>
                <w:bCs/>
                <w:color w:val="000000"/>
                <w:sz w:val="20"/>
                <w:szCs w:val="20"/>
                <w:lang w:eastAsia="en-GB"/>
              </w:rPr>
              <w:t>344,804 </w:t>
            </w:r>
            <w:r w:rsidRPr="004030DB">
              <w:rPr>
                <w:rFonts w:ascii="Arial" w:eastAsia="Times New Roman" w:hAnsi="Arial" w:cs="Arial"/>
                <w:color w:val="D13438"/>
                <w:sz w:val="20"/>
                <w:szCs w:val="20"/>
                <w:lang w:val="en-GB" w:eastAsia="en-GB"/>
              </w:rPr>
              <w:t> </w:t>
            </w:r>
          </w:p>
        </w:tc>
        <w:tc>
          <w:tcPr>
            <w:tcW w:w="900" w:type="dxa"/>
            <w:tcBorders>
              <w:top w:val="single" w:sz="6" w:space="0" w:color="auto"/>
              <w:left w:val="single" w:sz="6" w:space="0" w:color="auto"/>
              <w:bottom w:val="single" w:sz="6" w:space="0" w:color="auto"/>
              <w:right w:val="single" w:sz="6" w:space="0" w:color="auto"/>
            </w:tcBorders>
            <w:shd w:val="clear" w:color="auto" w:fill="DEEAF6"/>
            <w:vAlign w:val="bottom"/>
            <w:hideMark/>
          </w:tcPr>
          <w:p w14:paraId="6E1DCB37" w14:textId="77777777" w:rsidR="000130E5" w:rsidRPr="004030DB" w:rsidRDefault="000130E5" w:rsidP="000130E5">
            <w:pPr>
              <w:widowControl/>
              <w:jc w:val="right"/>
              <w:textAlignment w:val="baseline"/>
              <w:rPr>
                <w:rFonts w:ascii="Segoe UI" w:eastAsia="Times New Roman" w:hAnsi="Segoe UI" w:cs="Segoe UI"/>
                <w:sz w:val="20"/>
                <w:szCs w:val="20"/>
                <w:lang w:val="en-GB" w:eastAsia="en-GB"/>
              </w:rPr>
            </w:pPr>
            <w:r w:rsidRPr="004030DB">
              <w:rPr>
                <w:rFonts w:ascii="Arial" w:eastAsia="Times New Roman" w:hAnsi="Arial" w:cs="Arial"/>
                <w:b/>
                <w:bCs/>
                <w:color w:val="000000"/>
                <w:sz w:val="20"/>
                <w:szCs w:val="20"/>
                <w:lang w:eastAsia="en-GB"/>
              </w:rPr>
              <w:t>5,185 </w:t>
            </w:r>
            <w:r w:rsidRPr="004030DB">
              <w:rPr>
                <w:rFonts w:ascii="Arial" w:eastAsia="Times New Roman" w:hAnsi="Arial" w:cs="Arial"/>
                <w:color w:val="D13438"/>
                <w:sz w:val="20"/>
                <w:szCs w:val="20"/>
                <w:lang w:val="en-GB" w:eastAsia="en-GB"/>
              </w:rPr>
              <w:t> </w:t>
            </w:r>
          </w:p>
        </w:tc>
        <w:tc>
          <w:tcPr>
            <w:tcW w:w="1050" w:type="dxa"/>
            <w:gridSpan w:val="2"/>
            <w:tcBorders>
              <w:top w:val="single" w:sz="6" w:space="0" w:color="auto"/>
              <w:left w:val="single" w:sz="6" w:space="0" w:color="auto"/>
              <w:bottom w:val="single" w:sz="6" w:space="0" w:color="auto"/>
              <w:right w:val="single" w:sz="6" w:space="0" w:color="auto"/>
            </w:tcBorders>
            <w:shd w:val="clear" w:color="auto" w:fill="DEEAF6"/>
            <w:vAlign w:val="bottom"/>
            <w:hideMark/>
          </w:tcPr>
          <w:p w14:paraId="0809E177" w14:textId="77777777" w:rsidR="000130E5" w:rsidRPr="004030DB" w:rsidRDefault="000130E5" w:rsidP="000130E5">
            <w:pPr>
              <w:widowControl/>
              <w:jc w:val="right"/>
              <w:textAlignment w:val="baseline"/>
              <w:rPr>
                <w:rFonts w:ascii="Segoe UI" w:eastAsia="Times New Roman" w:hAnsi="Segoe UI" w:cs="Segoe UI"/>
                <w:sz w:val="20"/>
                <w:szCs w:val="20"/>
                <w:lang w:val="en-GB" w:eastAsia="en-GB"/>
              </w:rPr>
            </w:pPr>
            <w:r w:rsidRPr="004030DB">
              <w:rPr>
                <w:rFonts w:ascii="Arial" w:eastAsia="Times New Roman" w:hAnsi="Arial" w:cs="Arial"/>
                <w:b/>
                <w:bCs/>
                <w:color w:val="000000"/>
                <w:sz w:val="20"/>
                <w:szCs w:val="20"/>
                <w:lang w:eastAsia="en-GB"/>
              </w:rPr>
              <w:t>349,989 </w:t>
            </w:r>
            <w:r w:rsidRPr="004030DB">
              <w:rPr>
                <w:rFonts w:ascii="Arial" w:eastAsia="Times New Roman" w:hAnsi="Arial" w:cs="Arial"/>
                <w:color w:val="D13438"/>
                <w:sz w:val="20"/>
                <w:szCs w:val="20"/>
                <w:lang w:val="en-GB" w:eastAsia="en-GB"/>
              </w:rPr>
              <w:t> </w:t>
            </w:r>
          </w:p>
        </w:tc>
        <w:tc>
          <w:tcPr>
            <w:tcW w:w="1035" w:type="dxa"/>
            <w:tcBorders>
              <w:top w:val="single" w:sz="6" w:space="0" w:color="auto"/>
              <w:left w:val="single" w:sz="6" w:space="0" w:color="auto"/>
              <w:bottom w:val="single" w:sz="6" w:space="0" w:color="auto"/>
              <w:right w:val="single" w:sz="6" w:space="0" w:color="auto"/>
            </w:tcBorders>
            <w:shd w:val="clear" w:color="auto" w:fill="DEEAF6"/>
            <w:vAlign w:val="bottom"/>
            <w:hideMark/>
          </w:tcPr>
          <w:p w14:paraId="7E1B35AB" w14:textId="77777777" w:rsidR="000130E5" w:rsidRPr="004030DB" w:rsidRDefault="000130E5" w:rsidP="000130E5">
            <w:pPr>
              <w:widowControl/>
              <w:jc w:val="right"/>
              <w:textAlignment w:val="baseline"/>
              <w:rPr>
                <w:rFonts w:ascii="Segoe UI" w:eastAsia="Times New Roman" w:hAnsi="Segoe UI" w:cs="Segoe UI"/>
                <w:sz w:val="20"/>
                <w:szCs w:val="20"/>
                <w:lang w:val="en-GB" w:eastAsia="en-GB"/>
              </w:rPr>
            </w:pPr>
            <w:r w:rsidRPr="004030DB">
              <w:rPr>
                <w:rFonts w:ascii="Arial" w:eastAsia="Times New Roman" w:hAnsi="Arial" w:cs="Arial"/>
                <w:b/>
                <w:bCs/>
                <w:color w:val="000000"/>
                <w:sz w:val="20"/>
                <w:szCs w:val="20"/>
                <w:lang w:eastAsia="en-GB"/>
              </w:rPr>
              <w:t>314,126 </w:t>
            </w:r>
            <w:r w:rsidRPr="004030DB">
              <w:rPr>
                <w:rFonts w:ascii="Arial" w:eastAsia="Times New Roman" w:hAnsi="Arial" w:cs="Arial"/>
                <w:color w:val="D13438"/>
                <w:sz w:val="20"/>
                <w:szCs w:val="20"/>
                <w:lang w:val="en-GB" w:eastAsia="en-GB"/>
              </w:rPr>
              <w:t> </w:t>
            </w:r>
          </w:p>
        </w:tc>
      </w:tr>
      <w:tr w:rsidR="000130E5" w:rsidRPr="004030DB" w14:paraId="3BB60A14" w14:textId="77777777" w:rsidTr="000130E5">
        <w:trPr>
          <w:trHeight w:val="300"/>
        </w:trPr>
        <w:tc>
          <w:tcPr>
            <w:tcW w:w="1800" w:type="dxa"/>
            <w:tcBorders>
              <w:top w:val="single" w:sz="6" w:space="0" w:color="auto"/>
              <w:left w:val="single" w:sz="6" w:space="0" w:color="auto"/>
              <w:bottom w:val="single" w:sz="6" w:space="0" w:color="auto"/>
              <w:right w:val="nil"/>
            </w:tcBorders>
            <w:vAlign w:val="center"/>
            <w:hideMark/>
          </w:tcPr>
          <w:p w14:paraId="57E36462" w14:textId="77777777" w:rsidR="000130E5" w:rsidRPr="004030DB" w:rsidRDefault="000130E5" w:rsidP="000130E5">
            <w:pPr>
              <w:widowControl/>
              <w:textAlignment w:val="baseline"/>
              <w:rPr>
                <w:rFonts w:ascii="Segoe UI" w:eastAsia="Times New Roman" w:hAnsi="Segoe UI" w:cs="Segoe UI"/>
                <w:sz w:val="20"/>
                <w:szCs w:val="20"/>
                <w:lang w:val="en-GB" w:eastAsia="en-GB"/>
              </w:rPr>
            </w:pPr>
            <w:r w:rsidRPr="004030DB">
              <w:rPr>
                <w:rFonts w:ascii="Arial" w:eastAsia="Times New Roman" w:hAnsi="Arial" w:cs="Arial"/>
                <w:b/>
                <w:bCs/>
                <w:color w:val="000000"/>
                <w:sz w:val="20"/>
                <w:szCs w:val="20"/>
                <w:lang w:eastAsia="en-GB"/>
              </w:rPr>
              <w:t>Of which:</w:t>
            </w:r>
            <w:r w:rsidRPr="004030DB">
              <w:rPr>
                <w:rFonts w:ascii="Arial" w:eastAsia="Times New Roman" w:hAnsi="Arial" w:cs="Arial"/>
                <w:color w:val="D13438"/>
                <w:sz w:val="20"/>
                <w:szCs w:val="20"/>
                <w:lang w:val="en-GB" w:eastAsia="en-GB"/>
              </w:rPr>
              <w:t> </w:t>
            </w:r>
          </w:p>
        </w:tc>
        <w:tc>
          <w:tcPr>
            <w:tcW w:w="1800" w:type="dxa"/>
            <w:tcBorders>
              <w:top w:val="single" w:sz="6" w:space="0" w:color="auto"/>
              <w:left w:val="nil"/>
              <w:bottom w:val="single" w:sz="6" w:space="0" w:color="auto"/>
              <w:right w:val="nil"/>
            </w:tcBorders>
            <w:vAlign w:val="center"/>
            <w:hideMark/>
          </w:tcPr>
          <w:p w14:paraId="498EF4D1" w14:textId="77777777" w:rsidR="000130E5" w:rsidRPr="004030DB" w:rsidRDefault="000130E5" w:rsidP="000130E5">
            <w:pPr>
              <w:widowControl/>
              <w:textAlignment w:val="baseline"/>
              <w:rPr>
                <w:rFonts w:ascii="Segoe UI" w:eastAsia="Times New Roman" w:hAnsi="Segoe UI" w:cs="Segoe UI"/>
                <w:sz w:val="20"/>
                <w:szCs w:val="20"/>
                <w:lang w:val="en-GB" w:eastAsia="en-GB"/>
              </w:rPr>
            </w:pPr>
            <w:r w:rsidRPr="004030DB">
              <w:rPr>
                <w:rFonts w:ascii="Arial" w:eastAsia="Times New Roman" w:hAnsi="Arial" w:cs="Arial"/>
                <w:color w:val="D13438"/>
                <w:sz w:val="20"/>
                <w:szCs w:val="20"/>
                <w:lang w:val="en-GB" w:eastAsia="en-GB"/>
              </w:rPr>
              <w:t> </w:t>
            </w:r>
          </w:p>
        </w:tc>
        <w:tc>
          <w:tcPr>
            <w:tcW w:w="1800" w:type="dxa"/>
            <w:gridSpan w:val="2"/>
            <w:tcBorders>
              <w:top w:val="single" w:sz="6" w:space="0" w:color="auto"/>
              <w:left w:val="nil"/>
              <w:bottom w:val="single" w:sz="6" w:space="0" w:color="auto"/>
              <w:right w:val="nil"/>
            </w:tcBorders>
            <w:vAlign w:val="center"/>
            <w:hideMark/>
          </w:tcPr>
          <w:p w14:paraId="0C52E160" w14:textId="77777777" w:rsidR="000130E5" w:rsidRPr="004030DB" w:rsidRDefault="000130E5" w:rsidP="000130E5">
            <w:pPr>
              <w:widowControl/>
              <w:textAlignment w:val="baseline"/>
              <w:rPr>
                <w:rFonts w:ascii="Segoe UI" w:eastAsia="Times New Roman" w:hAnsi="Segoe UI" w:cs="Segoe UI"/>
                <w:sz w:val="20"/>
                <w:szCs w:val="20"/>
                <w:lang w:val="en-GB" w:eastAsia="en-GB"/>
              </w:rPr>
            </w:pPr>
            <w:r w:rsidRPr="004030DB">
              <w:rPr>
                <w:rFonts w:ascii="Arial" w:eastAsia="Times New Roman" w:hAnsi="Arial" w:cs="Arial"/>
                <w:color w:val="D13438"/>
                <w:sz w:val="20"/>
                <w:szCs w:val="20"/>
                <w:lang w:val="en-GB" w:eastAsia="en-GB"/>
              </w:rPr>
              <w:t> </w:t>
            </w:r>
          </w:p>
        </w:tc>
        <w:tc>
          <w:tcPr>
            <w:tcW w:w="1800" w:type="dxa"/>
            <w:gridSpan w:val="3"/>
            <w:tcBorders>
              <w:top w:val="single" w:sz="6" w:space="0" w:color="auto"/>
              <w:left w:val="nil"/>
              <w:bottom w:val="single" w:sz="6" w:space="0" w:color="auto"/>
              <w:right w:val="nil"/>
            </w:tcBorders>
            <w:vAlign w:val="center"/>
            <w:hideMark/>
          </w:tcPr>
          <w:p w14:paraId="629CE57B" w14:textId="77777777" w:rsidR="000130E5" w:rsidRPr="004030DB" w:rsidRDefault="000130E5" w:rsidP="000130E5">
            <w:pPr>
              <w:widowControl/>
              <w:textAlignment w:val="baseline"/>
              <w:rPr>
                <w:rFonts w:ascii="Segoe UI" w:eastAsia="Times New Roman" w:hAnsi="Segoe UI" w:cs="Segoe UI"/>
                <w:sz w:val="20"/>
                <w:szCs w:val="20"/>
                <w:lang w:val="en-GB" w:eastAsia="en-GB"/>
              </w:rPr>
            </w:pPr>
            <w:r w:rsidRPr="004030DB">
              <w:rPr>
                <w:rFonts w:ascii="Arial" w:eastAsia="Times New Roman" w:hAnsi="Arial" w:cs="Arial"/>
                <w:color w:val="D13438"/>
                <w:sz w:val="20"/>
                <w:szCs w:val="20"/>
                <w:lang w:val="en-GB" w:eastAsia="en-GB"/>
              </w:rPr>
              <w:t> </w:t>
            </w:r>
          </w:p>
        </w:tc>
        <w:tc>
          <w:tcPr>
            <w:tcW w:w="1800" w:type="dxa"/>
            <w:gridSpan w:val="2"/>
            <w:tcBorders>
              <w:top w:val="single" w:sz="6" w:space="0" w:color="auto"/>
              <w:left w:val="nil"/>
              <w:bottom w:val="single" w:sz="6" w:space="0" w:color="auto"/>
              <w:right w:val="single" w:sz="6" w:space="0" w:color="auto"/>
            </w:tcBorders>
            <w:vAlign w:val="center"/>
            <w:hideMark/>
          </w:tcPr>
          <w:p w14:paraId="381C9612" w14:textId="77777777" w:rsidR="000130E5" w:rsidRPr="004030DB" w:rsidRDefault="000130E5" w:rsidP="000130E5">
            <w:pPr>
              <w:widowControl/>
              <w:textAlignment w:val="baseline"/>
              <w:rPr>
                <w:rFonts w:ascii="Segoe UI" w:eastAsia="Times New Roman" w:hAnsi="Segoe UI" w:cs="Segoe UI"/>
                <w:sz w:val="20"/>
                <w:szCs w:val="20"/>
                <w:lang w:val="en-GB" w:eastAsia="en-GB"/>
              </w:rPr>
            </w:pPr>
            <w:r w:rsidRPr="004030DB">
              <w:rPr>
                <w:rFonts w:ascii="Arial" w:eastAsia="Times New Roman" w:hAnsi="Arial" w:cs="Arial"/>
                <w:color w:val="D13438"/>
                <w:sz w:val="20"/>
                <w:szCs w:val="20"/>
                <w:lang w:val="en-GB" w:eastAsia="en-GB"/>
              </w:rPr>
              <w:t> </w:t>
            </w:r>
          </w:p>
        </w:tc>
      </w:tr>
      <w:tr w:rsidR="000130E5" w:rsidRPr="004030DB" w14:paraId="2D1ADB1A" w14:textId="77777777" w:rsidTr="000130E5">
        <w:trPr>
          <w:trHeight w:val="300"/>
        </w:trPr>
        <w:tc>
          <w:tcPr>
            <w:tcW w:w="4755" w:type="dxa"/>
            <w:gridSpan w:val="3"/>
            <w:tcBorders>
              <w:top w:val="single" w:sz="6" w:space="0" w:color="auto"/>
              <w:left w:val="single" w:sz="6" w:space="0" w:color="auto"/>
              <w:bottom w:val="single" w:sz="6" w:space="0" w:color="auto"/>
              <w:right w:val="single" w:sz="6" w:space="0" w:color="auto"/>
            </w:tcBorders>
            <w:hideMark/>
          </w:tcPr>
          <w:p w14:paraId="51AD7D6D" w14:textId="77777777" w:rsidR="000130E5" w:rsidRPr="004030DB" w:rsidRDefault="000130E5" w:rsidP="000130E5">
            <w:pPr>
              <w:widowControl/>
              <w:textAlignment w:val="baseline"/>
              <w:rPr>
                <w:rFonts w:ascii="Segoe UI" w:eastAsia="Times New Roman" w:hAnsi="Segoe UI" w:cs="Segoe UI"/>
                <w:sz w:val="20"/>
                <w:szCs w:val="20"/>
                <w:lang w:val="en-GB" w:eastAsia="en-GB"/>
              </w:rPr>
            </w:pPr>
            <w:r w:rsidRPr="004030DB">
              <w:rPr>
                <w:rFonts w:ascii="Arial" w:eastAsia="Times New Roman" w:hAnsi="Arial" w:cs="Arial"/>
                <w:color w:val="000000"/>
                <w:sz w:val="20"/>
                <w:szCs w:val="20"/>
                <w:lang w:eastAsia="en-GB"/>
              </w:rPr>
              <w:t>Costs capitalised as part of assets</w:t>
            </w:r>
            <w:r w:rsidRPr="004030DB">
              <w:rPr>
                <w:rFonts w:ascii="Arial" w:eastAsia="Times New Roman" w:hAnsi="Arial" w:cs="Arial"/>
                <w:color w:val="D13438"/>
                <w:sz w:val="20"/>
                <w:szCs w:val="20"/>
                <w:lang w:val="en-GB" w:eastAsia="en-GB"/>
              </w:rPr>
              <w:t> </w:t>
            </w:r>
          </w:p>
        </w:tc>
        <w:tc>
          <w:tcPr>
            <w:tcW w:w="1245" w:type="dxa"/>
            <w:gridSpan w:val="2"/>
            <w:tcBorders>
              <w:top w:val="single" w:sz="6" w:space="0" w:color="auto"/>
              <w:left w:val="single" w:sz="6" w:space="0" w:color="auto"/>
              <w:bottom w:val="single" w:sz="6" w:space="0" w:color="auto"/>
              <w:right w:val="single" w:sz="6" w:space="0" w:color="auto"/>
            </w:tcBorders>
            <w:vAlign w:val="bottom"/>
            <w:hideMark/>
          </w:tcPr>
          <w:p w14:paraId="07B1A87A" w14:textId="77777777" w:rsidR="000130E5" w:rsidRPr="004030DB" w:rsidRDefault="000130E5" w:rsidP="000130E5">
            <w:pPr>
              <w:widowControl/>
              <w:jc w:val="right"/>
              <w:textAlignment w:val="baseline"/>
              <w:rPr>
                <w:rFonts w:ascii="Segoe UI" w:eastAsia="Times New Roman" w:hAnsi="Segoe UI" w:cs="Segoe UI"/>
                <w:sz w:val="20"/>
                <w:szCs w:val="20"/>
                <w:lang w:val="en-GB" w:eastAsia="en-GB"/>
              </w:rPr>
            </w:pPr>
            <w:r w:rsidRPr="004030DB">
              <w:rPr>
                <w:rFonts w:ascii="Arial" w:eastAsia="Times New Roman" w:hAnsi="Arial" w:cs="Arial"/>
                <w:color w:val="000000"/>
                <w:sz w:val="20"/>
                <w:szCs w:val="20"/>
                <w:lang w:eastAsia="en-GB"/>
              </w:rPr>
              <w:t>1,540</w:t>
            </w:r>
            <w:r w:rsidRPr="004030DB">
              <w:rPr>
                <w:rFonts w:ascii="Arial" w:eastAsia="Times New Roman" w:hAnsi="Arial" w:cs="Arial"/>
                <w:color w:val="D13438"/>
                <w:sz w:val="20"/>
                <w:szCs w:val="20"/>
                <w:lang w:val="en-GB" w:eastAsia="en-GB"/>
              </w:rPr>
              <w:t> </w:t>
            </w:r>
          </w:p>
        </w:tc>
        <w:tc>
          <w:tcPr>
            <w:tcW w:w="900" w:type="dxa"/>
            <w:tcBorders>
              <w:top w:val="single" w:sz="6" w:space="0" w:color="auto"/>
              <w:left w:val="single" w:sz="6" w:space="0" w:color="auto"/>
              <w:bottom w:val="single" w:sz="6" w:space="0" w:color="auto"/>
              <w:right w:val="single" w:sz="6" w:space="0" w:color="auto"/>
            </w:tcBorders>
            <w:vAlign w:val="bottom"/>
            <w:hideMark/>
          </w:tcPr>
          <w:p w14:paraId="4598F6AF" w14:textId="77777777" w:rsidR="000130E5" w:rsidRPr="004030DB" w:rsidRDefault="000130E5" w:rsidP="000130E5">
            <w:pPr>
              <w:widowControl/>
              <w:jc w:val="right"/>
              <w:textAlignment w:val="baseline"/>
              <w:rPr>
                <w:rFonts w:ascii="Segoe UI" w:eastAsia="Times New Roman" w:hAnsi="Segoe UI" w:cs="Segoe UI"/>
                <w:sz w:val="20"/>
                <w:szCs w:val="20"/>
                <w:lang w:val="en-GB" w:eastAsia="en-GB"/>
              </w:rPr>
            </w:pPr>
            <w:r w:rsidRPr="004030DB">
              <w:rPr>
                <w:rFonts w:ascii="Arial" w:eastAsia="Times New Roman" w:hAnsi="Arial" w:cs="Arial"/>
                <w:color w:val="000000"/>
                <w:sz w:val="20"/>
                <w:szCs w:val="20"/>
                <w:lang w:eastAsia="en-GB"/>
              </w:rPr>
              <w:t>-</w:t>
            </w:r>
            <w:r w:rsidRPr="004030DB">
              <w:rPr>
                <w:rFonts w:ascii="Arial" w:eastAsia="Times New Roman" w:hAnsi="Arial" w:cs="Arial"/>
                <w:color w:val="D13438"/>
                <w:sz w:val="20"/>
                <w:szCs w:val="20"/>
                <w:lang w:val="en-GB" w:eastAsia="en-GB"/>
              </w:rPr>
              <w:t> </w:t>
            </w:r>
          </w:p>
        </w:tc>
        <w:tc>
          <w:tcPr>
            <w:tcW w:w="1050" w:type="dxa"/>
            <w:gridSpan w:val="2"/>
            <w:tcBorders>
              <w:top w:val="single" w:sz="6" w:space="0" w:color="auto"/>
              <w:left w:val="single" w:sz="6" w:space="0" w:color="auto"/>
              <w:bottom w:val="single" w:sz="6" w:space="0" w:color="auto"/>
              <w:right w:val="single" w:sz="6" w:space="0" w:color="auto"/>
            </w:tcBorders>
            <w:vAlign w:val="bottom"/>
            <w:hideMark/>
          </w:tcPr>
          <w:p w14:paraId="183C716A" w14:textId="77777777" w:rsidR="000130E5" w:rsidRPr="004030DB" w:rsidRDefault="000130E5" w:rsidP="000130E5">
            <w:pPr>
              <w:widowControl/>
              <w:jc w:val="right"/>
              <w:textAlignment w:val="baseline"/>
              <w:rPr>
                <w:rFonts w:ascii="Segoe UI" w:eastAsia="Times New Roman" w:hAnsi="Segoe UI" w:cs="Segoe UI"/>
                <w:sz w:val="20"/>
                <w:szCs w:val="20"/>
                <w:lang w:val="en-GB" w:eastAsia="en-GB"/>
              </w:rPr>
            </w:pPr>
            <w:r w:rsidRPr="004030DB">
              <w:rPr>
                <w:rFonts w:ascii="Arial" w:eastAsia="Times New Roman" w:hAnsi="Arial" w:cs="Arial"/>
                <w:b/>
                <w:bCs/>
                <w:color w:val="000000"/>
                <w:sz w:val="20"/>
                <w:szCs w:val="20"/>
                <w:lang w:eastAsia="en-GB"/>
              </w:rPr>
              <w:t>1,540</w:t>
            </w:r>
            <w:r w:rsidRPr="004030DB">
              <w:rPr>
                <w:rFonts w:ascii="Arial" w:eastAsia="Times New Roman" w:hAnsi="Arial" w:cs="Arial"/>
                <w:color w:val="D13438"/>
                <w:sz w:val="20"/>
                <w:szCs w:val="20"/>
                <w:lang w:val="en-GB" w:eastAsia="en-GB"/>
              </w:rPr>
              <w:t> </w:t>
            </w:r>
          </w:p>
        </w:tc>
        <w:tc>
          <w:tcPr>
            <w:tcW w:w="1035" w:type="dxa"/>
            <w:tcBorders>
              <w:top w:val="single" w:sz="6" w:space="0" w:color="auto"/>
              <w:left w:val="single" w:sz="6" w:space="0" w:color="auto"/>
              <w:bottom w:val="single" w:sz="6" w:space="0" w:color="auto"/>
              <w:right w:val="single" w:sz="6" w:space="0" w:color="auto"/>
            </w:tcBorders>
            <w:vAlign w:val="bottom"/>
            <w:hideMark/>
          </w:tcPr>
          <w:p w14:paraId="61D7C12E" w14:textId="77777777" w:rsidR="000130E5" w:rsidRPr="004030DB" w:rsidRDefault="000130E5" w:rsidP="000130E5">
            <w:pPr>
              <w:widowControl/>
              <w:jc w:val="right"/>
              <w:textAlignment w:val="baseline"/>
              <w:rPr>
                <w:rFonts w:ascii="Segoe UI" w:eastAsia="Times New Roman" w:hAnsi="Segoe UI" w:cs="Segoe UI"/>
                <w:sz w:val="20"/>
                <w:szCs w:val="20"/>
                <w:lang w:val="en-GB" w:eastAsia="en-GB"/>
              </w:rPr>
            </w:pPr>
            <w:r w:rsidRPr="004030DB">
              <w:rPr>
                <w:rFonts w:ascii="Arial" w:eastAsia="Times New Roman" w:hAnsi="Arial" w:cs="Arial"/>
                <w:color w:val="000000"/>
                <w:sz w:val="20"/>
                <w:szCs w:val="20"/>
                <w:lang w:eastAsia="en-GB"/>
              </w:rPr>
              <w:t>0 </w:t>
            </w:r>
            <w:r w:rsidRPr="004030DB">
              <w:rPr>
                <w:rFonts w:ascii="Arial" w:eastAsia="Times New Roman" w:hAnsi="Arial" w:cs="Arial"/>
                <w:color w:val="D13438"/>
                <w:sz w:val="20"/>
                <w:szCs w:val="20"/>
                <w:lang w:val="en-GB" w:eastAsia="en-GB"/>
              </w:rPr>
              <w:t> </w:t>
            </w:r>
          </w:p>
        </w:tc>
      </w:tr>
    </w:tbl>
    <w:p w14:paraId="7A5442AB" w14:textId="77777777" w:rsidR="00606BA7" w:rsidRPr="004030DB" w:rsidRDefault="00606BA7" w:rsidP="00010A15">
      <w:pPr>
        <w:rPr>
          <w:rFonts w:ascii="Arial" w:hAnsi="Arial" w:cs="Arial"/>
          <w:sz w:val="20"/>
          <w:szCs w:val="20"/>
          <w:highlight w:val="yellow"/>
          <w:lang w:val="en-GB"/>
        </w:rPr>
      </w:pPr>
    </w:p>
    <w:p w14:paraId="0D8E8C3E" w14:textId="77777777" w:rsidR="000130E5" w:rsidRPr="004030DB" w:rsidRDefault="000130E5" w:rsidP="000130E5">
      <w:pPr>
        <w:pStyle w:val="paragraph"/>
        <w:spacing w:before="0" w:beforeAutospacing="0" w:after="0" w:afterAutospacing="0"/>
        <w:jc w:val="both"/>
        <w:textAlignment w:val="baseline"/>
        <w:rPr>
          <w:rStyle w:val="eop"/>
          <w:rFonts w:ascii="Arial" w:hAnsi="Arial" w:cs="Arial"/>
          <w:color w:val="D13438"/>
          <w:sz w:val="20"/>
          <w:szCs w:val="20"/>
        </w:rPr>
      </w:pPr>
      <w:r w:rsidRPr="004030DB">
        <w:rPr>
          <w:rStyle w:val="normaltextrun"/>
          <w:rFonts w:ascii="Arial" w:hAnsi="Arial" w:cs="Arial"/>
          <w:sz w:val="20"/>
          <w:szCs w:val="20"/>
        </w:rPr>
        <w:t>These figures have been audited. </w:t>
      </w:r>
      <w:r w:rsidRPr="004030DB">
        <w:rPr>
          <w:rStyle w:val="eop"/>
          <w:rFonts w:ascii="Arial" w:hAnsi="Arial" w:cs="Arial"/>
          <w:color w:val="D13438"/>
          <w:sz w:val="20"/>
          <w:szCs w:val="20"/>
        </w:rPr>
        <w:t> </w:t>
      </w:r>
    </w:p>
    <w:p w14:paraId="30A6CC37" w14:textId="77777777" w:rsidR="000130E5" w:rsidRPr="004030DB" w:rsidRDefault="000130E5" w:rsidP="000130E5">
      <w:pPr>
        <w:pStyle w:val="paragraph"/>
        <w:spacing w:before="0" w:beforeAutospacing="0" w:after="0" w:afterAutospacing="0"/>
        <w:jc w:val="both"/>
        <w:textAlignment w:val="baseline"/>
        <w:rPr>
          <w:rFonts w:ascii="Segoe UI" w:hAnsi="Segoe UI" w:cs="Segoe UI"/>
          <w:sz w:val="20"/>
          <w:szCs w:val="20"/>
        </w:rPr>
      </w:pPr>
    </w:p>
    <w:p w14:paraId="09F51B79" w14:textId="77777777" w:rsidR="000130E5" w:rsidRPr="004030DB" w:rsidRDefault="000130E5" w:rsidP="000130E5">
      <w:pPr>
        <w:pStyle w:val="paragraph"/>
        <w:spacing w:before="0" w:beforeAutospacing="0" w:after="0" w:afterAutospacing="0"/>
        <w:jc w:val="both"/>
        <w:textAlignment w:val="baseline"/>
        <w:rPr>
          <w:rFonts w:ascii="Segoe UI" w:hAnsi="Segoe UI" w:cs="Segoe UI"/>
          <w:sz w:val="20"/>
          <w:szCs w:val="20"/>
        </w:rPr>
      </w:pPr>
      <w:r w:rsidRPr="004030DB">
        <w:rPr>
          <w:rStyle w:val="normaltextrun"/>
          <w:rFonts w:ascii="Arial" w:hAnsi="Arial" w:cs="Arial"/>
          <w:b/>
          <w:bCs/>
          <w:sz w:val="20"/>
          <w:szCs w:val="20"/>
        </w:rPr>
        <w:t>Expenses of Governors and Directors</w:t>
      </w:r>
      <w:r w:rsidR="00ED63D7" w:rsidRPr="004030DB">
        <w:rPr>
          <w:rStyle w:val="normaltextrun"/>
          <w:rFonts w:ascii="Arial" w:hAnsi="Arial" w:cs="Arial"/>
          <w:b/>
          <w:bCs/>
          <w:sz w:val="20"/>
          <w:szCs w:val="20"/>
        </w:rPr>
        <w:t xml:space="preserve"> (Executive and Non-Executive)</w:t>
      </w:r>
      <w:r w:rsidRPr="004030DB">
        <w:rPr>
          <w:rStyle w:val="eop"/>
          <w:rFonts w:ascii="Arial" w:hAnsi="Arial" w:cs="Arial"/>
          <w:color w:val="D13438"/>
          <w:sz w:val="20"/>
          <w:szCs w:val="20"/>
        </w:rPr>
        <w:t> </w:t>
      </w:r>
    </w:p>
    <w:p w14:paraId="1B2B9AFF" w14:textId="77777777" w:rsidR="000130E5" w:rsidRPr="004030DB" w:rsidRDefault="000130E5" w:rsidP="000130E5">
      <w:pPr>
        <w:pStyle w:val="paragraph"/>
        <w:spacing w:before="0" w:beforeAutospacing="0" w:after="0" w:afterAutospacing="0"/>
        <w:jc w:val="both"/>
        <w:textAlignment w:val="baseline"/>
        <w:rPr>
          <w:rFonts w:ascii="Segoe UI" w:hAnsi="Segoe UI" w:cs="Segoe UI"/>
          <w:sz w:val="20"/>
          <w:szCs w:val="20"/>
        </w:rPr>
      </w:pPr>
      <w:r w:rsidRPr="004030DB">
        <w:rPr>
          <w:rStyle w:val="eop"/>
          <w:rFonts w:ascii="Arial" w:hAnsi="Arial" w:cs="Arial"/>
          <w:color w:val="D13438"/>
          <w:sz w:val="20"/>
          <w:szCs w:val="20"/>
        </w:rPr>
        <w:t> </w:t>
      </w:r>
    </w:p>
    <w:p w14:paraId="72E5D84A" w14:textId="77777777" w:rsidR="000130E5" w:rsidRPr="004030DB" w:rsidRDefault="000130E5" w:rsidP="000130E5">
      <w:pPr>
        <w:pStyle w:val="paragraph"/>
        <w:spacing w:before="0" w:beforeAutospacing="0" w:after="0" w:afterAutospacing="0"/>
        <w:jc w:val="both"/>
        <w:textAlignment w:val="baseline"/>
        <w:rPr>
          <w:rFonts w:ascii="Segoe UI" w:hAnsi="Segoe UI" w:cs="Segoe UI"/>
          <w:sz w:val="20"/>
          <w:szCs w:val="20"/>
        </w:rPr>
      </w:pPr>
      <w:r w:rsidRPr="004030DB">
        <w:rPr>
          <w:rStyle w:val="normaltextrun"/>
          <w:rFonts w:ascii="Arial" w:hAnsi="Arial" w:cs="Arial"/>
          <w:sz w:val="20"/>
          <w:szCs w:val="20"/>
        </w:rPr>
        <w:t>The directors and governors receive reimbursement of travel and incidental expenses incurred as a result of their duties to the Trust, this is presented in the table below.</w:t>
      </w:r>
      <w:r w:rsidRPr="004030DB">
        <w:rPr>
          <w:rStyle w:val="eop"/>
          <w:rFonts w:ascii="Arial" w:hAnsi="Arial" w:cs="Arial"/>
          <w:color w:val="D13438"/>
          <w:sz w:val="20"/>
          <w:szCs w:val="20"/>
        </w:rPr>
        <w:t> </w:t>
      </w:r>
    </w:p>
    <w:p w14:paraId="76A77CCD" w14:textId="77777777" w:rsidR="00204318" w:rsidRPr="004030DB" w:rsidRDefault="00204318" w:rsidP="00204318">
      <w:pPr>
        <w:rPr>
          <w:b/>
          <w:sz w:val="20"/>
          <w:szCs w:val="20"/>
          <w:highlight w:val="yellow"/>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15"/>
        <w:gridCol w:w="1830"/>
        <w:gridCol w:w="1890"/>
        <w:gridCol w:w="1890"/>
      </w:tblGrid>
      <w:tr w:rsidR="000130E5" w:rsidRPr="004030DB" w14:paraId="22F8F6C6" w14:textId="77777777" w:rsidTr="000130E5">
        <w:trPr>
          <w:trHeight w:val="300"/>
        </w:trPr>
        <w:tc>
          <w:tcPr>
            <w:tcW w:w="1815" w:type="dxa"/>
            <w:tcBorders>
              <w:top w:val="nil"/>
              <w:left w:val="nil"/>
              <w:bottom w:val="single" w:sz="6" w:space="0" w:color="auto"/>
              <w:right w:val="single" w:sz="6" w:space="0" w:color="auto"/>
            </w:tcBorders>
            <w:hideMark/>
          </w:tcPr>
          <w:p w14:paraId="126BB04C" w14:textId="77777777" w:rsidR="000130E5" w:rsidRPr="004030DB" w:rsidRDefault="000130E5" w:rsidP="000130E5">
            <w:pPr>
              <w:widowControl/>
              <w:textAlignment w:val="baseline"/>
              <w:rPr>
                <w:rFonts w:ascii="Segoe UI" w:eastAsia="Times New Roman" w:hAnsi="Segoe UI" w:cs="Segoe UI"/>
                <w:sz w:val="20"/>
                <w:szCs w:val="20"/>
                <w:lang w:val="en-GB" w:eastAsia="en-GB"/>
              </w:rPr>
            </w:pPr>
            <w:r w:rsidRPr="004030DB">
              <w:rPr>
                <w:rFonts w:ascii="Arial" w:eastAsia="Times New Roman" w:hAnsi="Arial" w:cs="Arial"/>
                <w:color w:val="D13438"/>
                <w:sz w:val="20"/>
                <w:szCs w:val="20"/>
                <w:lang w:val="en-GB" w:eastAsia="en-GB"/>
              </w:rPr>
              <w:t> </w:t>
            </w:r>
          </w:p>
        </w:tc>
        <w:tc>
          <w:tcPr>
            <w:tcW w:w="1830" w:type="dxa"/>
            <w:tcBorders>
              <w:top w:val="single" w:sz="6" w:space="0" w:color="auto"/>
              <w:left w:val="single" w:sz="6" w:space="0" w:color="auto"/>
              <w:bottom w:val="single" w:sz="6" w:space="0" w:color="auto"/>
              <w:right w:val="single" w:sz="6" w:space="0" w:color="auto"/>
            </w:tcBorders>
            <w:shd w:val="clear" w:color="auto" w:fill="DEEAF6"/>
            <w:hideMark/>
          </w:tcPr>
          <w:p w14:paraId="485715C5" w14:textId="77777777" w:rsidR="000130E5" w:rsidRPr="004030DB" w:rsidRDefault="000130E5" w:rsidP="000130E5">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b/>
                <w:bCs/>
                <w:sz w:val="20"/>
                <w:szCs w:val="20"/>
                <w:lang w:eastAsia="en-GB"/>
              </w:rPr>
              <w:t>Number in receipt of expenses</w:t>
            </w:r>
            <w:r w:rsidRPr="004030DB">
              <w:rPr>
                <w:rFonts w:ascii="Arial" w:eastAsia="Times New Roman" w:hAnsi="Arial" w:cs="Arial"/>
                <w:color w:val="D13438"/>
                <w:sz w:val="20"/>
                <w:szCs w:val="20"/>
                <w:lang w:val="en-GB" w:eastAsia="en-GB"/>
              </w:rPr>
              <w:t> </w:t>
            </w:r>
          </w:p>
        </w:tc>
        <w:tc>
          <w:tcPr>
            <w:tcW w:w="1890" w:type="dxa"/>
            <w:tcBorders>
              <w:top w:val="single" w:sz="6" w:space="0" w:color="auto"/>
              <w:left w:val="single" w:sz="6" w:space="0" w:color="auto"/>
              <w:bottom w:val="single" w:sz="6" w:space="0" w:color="auto"/>
              <w:right w:val="single" w:sz="6" w:space="0" w:color="auto"/>
            </w:tcBorders>
            <w:shd w:val="clear" w:color="auto" w:fill="DEEAF6"/>
            <w:hideMark/>
          </w:tcPr>
          <w:p w14:paraId="4FEB0F51" w14:textId="77777777" w:rsidR="000130E5" w:rsidRPr="004030DB" w:rsidRDefault="000130E5" w:rsidP="000130E5">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b/>
                <w:bCs/>
                <w:sz w:val="20"/>
                <w:szCs w:val="20"/>
                <w:lang w:eastAsia="en-GB"/>
              </w:rPr>
              <w:t>Aggregate sum of expenses (£) 2024/25</w:t>
            </w:r>
            <w:r w:rsidRPr="004030DB">
              <w:rPr>
                <w:rFonts w:ascii="Arial" w:eastAsia="Times New Roman" w:hAnsi="Arial" w:cs="Arial"/>
                <w:color w:val="D13438"/>
                <w:sz w:val="20"/>
                <w:szCs w:val="20"/>
                <w:lang w:val="en-GB" w:eastAsia="en-GB"/>
              </w:rPr>
              <w:t> </w:t>
            </w:r>
          </w:p>
        </w:tc>
        <w:tc>
          <w:tcPr>
            <w:tcW w:w="1890" w:type="dxa"/>
            <w:tcBorders>
              <w:top w:val="single" w:sz="6" w:space="0" w:color="auto"/>
              <w:left w:val="single" w:sz="6" w:space="0" w:color="auto"/>
              <w:bottom w:val="single" w:sz="6" w:space="0" w:color="auto"/>
              <w:right w:val="single" w:sz="6" w:space="0" w:color="auto"/>
            </w:tcBorders>
            <w:shd w:val="clear" w:color="auto" w:fill="DEEAF6"/>
            <w:hideMark/>
          </w:tcPr>
          <w:p w14:paraId="07B76DB9" w14:textId="77777777" w:rsidR="000130E5" w:rsidRPr="004030DB" w:rsidRDefault="000130E5" w:rsidP="000130E5">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b/>
                <w:bCs/>
                <w:sz w:val="20"/>
                <w:szCs w:val="20"/>
                <w:lang w:eastAsia="en-GB"/>
              </w:rPr>
              <w:t>Aggregate sum of expenses (£) 2023/24</w:t>
            </w:r>
            <w:r w:rsidRPr="004030DB">
              <w:rPr>
                <w:rFonts w:ascii="Arial" w:eastAsia="Times New Roman" w:hAnsi="Arial" w:cs="Arial"/>
                <w:color w:val="D13438"/>
                <w:sz w:val="20"/>
                <w:szCs w:val="20"/>
                <w:lang w:val="en-GB" w:eastAsia="en-GB"/>
              </w:rPr>
              <w:t> </w:t>
            </w:r>
          </w:p>
        </w:tc>
      </w:tr>
      <w:tr w:rsidR="000130E5" w:rsidRPr="004030DB" w14:paraId="166F3A11" w14:textId="77777777" w:rsidTr="000130E5">
        <w:trPr>
          <w:trHeight w:val="300"/>
        </w:trPr>
        <w:tc>
          <w:tcPr>
            <w:tcW w:w="1815" w:type="dxa"/>
            <w:tcBorders>
              <w:top w:val="single" w:sz="6" w:space="0" w:color="auto"/>
              <w:left w:val="single" w:sz="6" w:space="0" w:color="auto"/>
              <w:bottom w:val="single" w:sz="6" w:space="0" w:color="auto"/>
              <w:right w:val="single" w:sz="6" w:space="0" w:color="auto"/>
            </w:tcBorders>
            <w:vAlign w:val="center"/>
            <w:hideMark/>
          </w:tcPr>
          <w:p w14:paraId="441FD5FB" w14:textId="77777777" w:rsidR="000130E5" w:rsidRPr="004030DB" w:rsidRDefault="000130E5" w:rsidP="000130E5">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b/>
                <w:bCs/>
                <w:sz w:val="20"/>
                <w:szCs w:val="20"/>
                <w:lang w:eastAsia="en-GB"/>
              </w:rPr>
              <w:t>Number of Directors</w:t>
            </w:r>
            <w:r w:rsidRPr="004030DB">
              <w:rPr>
                <w:rFonts w:ascii="Arial" w:eastAsia="Times New Roman" w:hAnsi="Arial" w:cs="Arial"/>
                <w:color w:val="D13438"/>
                <w:sz w:val="20"/>
                <w:szCs w:val="20"/>
                <w:lang w:val="en-GB" w:eastAsia="en-GB"/>
              </w:rPr>
              <w:t> </w:t>
            </w:r>
          </w:p>
        </w:tc>
        <w:tc>
          <w:tcPr>
            <w:tcW w:w="1830" w:type="dxa"/>
            <w:tcBorders>
              <w:top w:val="single" w:sz="6" w:space="0" w:color="auto"/>
              <w:left w:val="single" w:sz="6" w:space="0" w:color="auto"/>
              <w:bottom w:val="single" w:sz="6" w:space="0" w:color="auto"/>
              <w:right w:val="single" w:sz="6" w:space="0" w:color="auto"/>
            </w:tcBorders>
            <w:vAlign w:val="center"/>
            <w:hideMark/>
          </w:tcPr>
          <w:p w14:paraId="1460E60A" w14:textId="77777777" w:rsidR="000130E5" w:rsidRPr="004030DB" w:rsidRDefault="000130E5" w:rsidP="000130E5">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b/>
                <w:bCs/>
                <w:sz w:val="20"/>
                <w:szCs w:val="20"/>
                <w:lang w:eastAsia="en-GB"/>
              </w:rPr>
              <w:t>14</w:t>
            </w:r>
            <w:r w:rsidRPr="004030DB">
              <w:rPr>
                <w:rFonts w:ascii="Arial" w:eastAsia="Times New Roman" w:hAnsi="Arial" w:cs="Arial"/>
                <w:color w:val="D13438"/>
                <w:sz w:val="20"/>
                <w:szCs w:val="20"/>
                <w:lang w:val="en-GB" w:eastAsia="en-GB"/>
              </w:rPr>
              <w:t> </w:t>
            </w:r>
          </w:p>
        </w:tc>
        <w:tc>
          <w:tcPr>
            <w:tcW w:w="1890" w:type="dxa"/>
            <w:tcBorders>
              <w:top w:val="single" w:sz="6" w:space="0" w:color="auto"/>
              <w:left w:val="single" w:sz="6" w:space="0" w:color="auto"/>
              <w:bottom w:val="single" w:sz="6" w:space="0" w:color="auto"/>
              <w:right w:val="single" w:sz="6" w:space="0" w:color="auto"/>
            </w:tcBorders>
            <w:vAlign w:val="center"/>
            <w:hideMark/>
          </w:tcPr>
          <w:p w14:paraId="6465B7AA" w14:textId="77777777" w:rsidR="000130E5" w:rsidRPr="004030DB" w:rsidRDefault="000130E5" w:rsidP="000130E5">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b/>
                <w:bCs/>
                <w:sz w:val="20"/>
                <w:szCs w:val="20"/>
                <w:lang w:eastAsia="en-GB"/>
              </w:rPr>
              <w:t>10,883</w:t>
            </w:r>
            <w:r w:rsidRPr="004030DB">
              <w:rPr>
                <w:rFonts w:ascii="Arial" w:eastAsia="Times New Roman" w:hAnsi="Arial" w:cs="Arial"/>
                <w:color w:val="D13438"/>
                <w:sz w:val="20"/>
                <w:szCs w:val="20"/>
                <w:lang w:val="en-GB" w:eastAsia="en-GB"/>
              </w:rPr>
              <w:t> </w:t>
            </w:r>
          </w:p>
        </w:tc>
        <w:tc>
          <w:tcPr>
            <w:tcW w:w="1890" w:type="dxa"/>
            <w:tcBorders>
              <w:top w:val="single" w:sz="6" w:space="0" w:color="auto"/>
              <w:left w:val="single" w:sz="6" w:space="0" w:color="auto"/>
              <w:bottom w:val="single" w:sz="6" w:space="0" w:color="auto"/>
              <w:right w:val="single" w:sz="6" w:space="0" w:color="auto"/>
            </w:tcBorders>
            <w:vAlign w:val="center"/>
            <w:hideMark/>
          </w:tcPr>
          <w:p w14:paraId="2D43F124" w14:textId="77777777" w:rsidR="000130E5" w:rsidRPr="004030DB" w:rsidRDefault="000130E5" w:rsidP="000130E5">
            <w:pPr>
              <w:widowControl/>
              <w:jc w:val="center"/>
              <w:textAlignment w:val="baseline"/>
              <w:rPr>
                <w:rFonts w:ascii="Arial" w:eastAsia="Times New Roman" w:hAnsi="Arial" w:cs="Arial"/>
                <w:b/>
                <w:bCs/>
                <w:sz w:val="20"/>
                <w:szCs w:val="20"/>
                <w:lang w:eastAsia="en-GB"/>
              </w:rPr>
            </w:pPr>
          </w:p>
          <w:p w14:paraId="2286B9A3" w14:textId="77777777" w:rsidR="000130E5" w:rsidRPr="004030DB" w:rsidRDefault="000130E5" w:rsidP="000130E5">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b/>
                <w:bCs/>
                <w:sz w:val="20"/>
                <w:szCs w:val="20"/>
                <w:lang w:eastAsia="en-GB"/>
              </w:rPr>
              <w:t>7,130</w:t>
            </w:r>
            <w:r w:rsidRPr="004030DB">
              <w:rPr>
                <w:rFonts w:ascii="Arial" w:eastAsia="Times New Roman" w:hAnsi="Arial" w:cs="Arial"/>
                <w:color w:val="D13438"/>
                <w:sz w:val="20"/>
                <w:szCs w:val="20"/>
                <w:lang w:val="en-GB" w:eastAsia="en-GB"/>
              </w:rPr>
              <w:t> </w:t>
            </w:r>
          </w:p>
          <w:p w14:paraId="258C679A" w14:textId="77777777" w:rsidR="000130E5" w:rsidRPr="004030DB" w:rsidRDefault="000130E5" w:rsidP="000130E5">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color w:val="D13438"/>
                <w:sz w:val="20"/>
                <w:szCs w:val="20"/>
                <w:lang w:val="en-GB" w:eastAsia="en-GB"/>
              </w:rPr>
              <w:t> </w:t>
            </w:r>
          </w:p>
        </w:tc>
      </w:tr>
    </w:tbl>
    <w:p w14:paraId="44135DB7" w14:textId="77777777" w:rsidR="001D1D73" w:rsidRPr="004030DB" w:rsidRDefault="001D1D73" w:rsidP="00010A15">
      <w:pPr>
        <w:rPr>
          <w:rFonts w:ascii="Arial" w:hAnsi="Arial" w:cs="Arial"/>
          <w:b/>
          <w:sz w:val="20"/>
          <w:szCs w:val="20"/>
          <w:highlight w:val="yellow"/>
          <w:lang w:val="en-GB"/>
        </w:rPr>
      </w:pPr>
    </w:p>
    <w:p w14:paraId="2FA1FADA" w14:textId="77777777" w:rsidR="00D055F4" w:rsidRPr="00D055F4" w:rsidRDefault="00D055F4" w:rsidP="00D055F4">
      <w:pPr>
        <w:rPr>
          <w:rFonts w:ascii="Arial" w:hAnsi="Arial" w:cs="Arial"/>
          <w:sz w:val="20"/>
          <w:szCs w:val="20"/>
          <w:lang w:val="en-GB"/>
        </w:rPr>
      </w:pPr>
      <w:r w:rsidRPr="00D055F4">
        <w:rPr>
          <w:rFonts w:ascii="Arial" w:hAnsi="Arial" w:cs="Arial"/>
          <w:b/>
          <w:bCs/>
          <w:sz w:val="20"/>
          <w:szCs w:val="20"/>
        </w:rPr>
        <w:t>Fair pay multiples</w:t>
      </w:r>
      <w:r w:rsidRPr="00D055F4">
        <w:rPr>
          <w:rFonts w:ascii="Arial" w:hAnsi="Arial" w:cs="Arial"/>
          <w:sz w:val="20"/>
          <w:szCs w:val="20"/>
        </w:rPr>
        <w:t xml:space="preserve"> </w:t>
      </w:r>
    </w:p>
    <w:p w14:paraId="742148A5" w14:textId="77777777" w:rsidR="00D055F4" w:rsidRPr="00D055F4" w:rsidRDefault="00D055F4" w:rsidP="00D055F4">
      <w:pPr>
        <w:rPr>
          <w:rFonts w:ascii="Arial" w:hAnsi="Arial" w:cs="Arial"/>
          <w:sz w:val="20"/>
          <w:szCs w:val="20"/>
        </w:rPr>
      </w:pPr>
    </w:p>
    <w:p w14:paraId="3BECDEC6" w14:textId="77777777" w:rsidR="00D055F4" w:rsidRPr="00D055F4" w:rsidRDefault="00D055F4" w:rsidP="00D055F4">
      <w:pPr>
        <w:jc w:val="both"/>
        <w:textAlignment w:val="baseline"/>
        <w:rPr>
          <w:rFonts w:ascii="Arial" w:hAnsi="Arial" w:cs="Arial"/>
          <w:sz w:val="20"/>
          <w:szCs w:val="20"/>
          <w:lang w:eastAsia="en-GB"/>
        </w:rPr>
      </w:pPr>
      <w:r w:rsidRPr="00D055F4">
        <w:rPr>
          <w:rFonts w:ascii="Arial" w:hAnsi="Arial" w:cs="Arial"/>
          <w:sz w:val="20"/>
          <w:szCs w:val="20"/>
          <w:lang w:eastAsia="en-GB"/>
        </w:rPr>
        <w:t>Fair pay disclosures Reporting bodies are required to disclose the relationship between the total remuneration of the highest-paid director in their organisation and the 25th percentile, median and 75th percentile remuneration of the organisation’s workforce. The banded remuneration of the highest-paid director in 2024/25 was £205,000 - £210,000 (£225,000 - £230,000 in 2023/24). This represents a decrease of 8.8% (compared to a 2.17% increase in the previous year).</w:t>
      </w:r>
    </w:p>
    <w:p w14:paraId="092B1D16" w14:textId="77777777" w:rsidR="00D055F4" w:rsidRPr="00D055F4" w:rsidRDefault="00D055F4" w:rsidP="00D055F4">
      <w:pPr>
        <w:jc w:val="both"/>
        <w:textAlignment w:val="baseline"/>
        <w:rPr>
          <w:rFonts w:ascii="Arial" w:hAnsi="Arial" w:cs="Arial"/>
          <w:sz w:val="20"/>
          <w:szCs w:val="20"/>
          <w:lang w:eastAsia="en-GB"/>
          <w14:ligatures w14:val="standardContextual"/>
        </w:rPr>
      </w:pPr>
      <w:r w:rsidRPr="00D055F4">
        <w:rPr>
          <w:rFonts w:ascii="Arial" w:hAnsi="Arial" w:cs="Arial"/>
          <w:sz w:val="20"/>
          <w:szCs w:val="20"/>
          <w:lang w:eastAsia="en-GB"/>
        </w:rPr>
        <w:t> </w:t>
      </w:r>
    </w:p>
    <w:p w14:paraId="56078F96" w14:textId="77777777" w:rsidR="00D055F4" w:rsidRPr="00D055F4" w:rsidRDefault="00D055F4" w:rsidP="00D055F4">
      <w:pPr>
        <w:jc w:val="both"/>
        <w:textAlignment w:val="baseline"/>
        <w:rPr>
          <w:rFonts w:ascii="Arial" w:hAnsi="Arial" w:cs="Arial"/>
          <w:sz w:val="20"/>
          <w:szCs w:val="20"/>
          <w:lang w:eastAsia="en-GB"/>
        </w:rPr>
      </w:pPr>
      <w:r w:rsidRPr="00D055F4">
        <w:rPr>
          <w:rFonts w:ascii="Arial" w:hAnsi="Arial" w:cs="Arial"/>
          <w:sz w:val="20"/>
          <w:szCs w:val="20"/>
          <w:lang w:eastAsia="en-GB"/>
        </w:rPr>
        <w:t>The relationship to the remuneration of the organisation's workforce (calculated as whole-time equivalent salary and exclusive of payments to agency workers) is disclosed in the tables below: </w:t>
      </w:r>
    </w:p>
    <w:p w14:paraId="556AD72E" w14:textId="77777777" w:rsidR="00D055F4" w:rsidRPr="00D055F4" w:rsidRDefault="00D055F4" w:rsidP="00D055F4">
      <w:pPr>
        <w:textAlignment w:val="baseline"/>
        <w:rPr>
          <w:rFonts w:ascii="Arial" w:hAnsi="Arial" w:cs="Arial"/>
          <w:sz w:val="20"/>
          <w:szCs w:val="20"/>
          <w:lang w:eastAsia="en-GB"/>
        </w:rPr>
      </w:pPr>
    </w:p>
    <w:tbl>
      <w:tblPr>
        <w:tblW w:w="6946"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83"/>
        <w:gridCol w:w="1253"/>
        <w:gridCol w:w="1276"/>
        <w:gridCol w:w="1134"/>
      </w:tblGrid>
      <w:tr w:rsidR="00D055F4" w:rsidRPr="00D055F4" w14:paraId="3EC65E6D" w14:textId="77777777" w:rsidTr="00D055F4">
        <w:trPr>
          <w:trHeight w:val="300"/>
          <w:jc w:val="center"/>
        </w:trPr>
        <w:tc>
          <w:tcPr>
            <w:tcW w:w="3283" w:type="dxa"/>
            <w:tcBorders>
              <w:top w:val="nil"/>
              <w:left w:val="nil"/>
              <w:bottom w:val="nil"/>
              <w:right w:val="nil"/>
            </w:tcBorders>
            <w:vAlign w:val="bottom"/>
            <w:hideMark/>
          </w:tcPr>
          <w:p w14:paraId="7ECDE409" w14:textId="77777777" w:rsidR="00D055F4" w:rsidRPr="00D055F4" w:rsidRDefault="00D055F4" w:rsidP="005E0AC5">
            <w:pPr>
              <w:spacing w:line="252" w:lineRule="auto"/>
              <w:textAlignment w:val="baseline"/>
              <w:rPr>
                <w:rFonts w:ascii="Arial" w:hAnsi="Arial" w:cs="Arial"/>
                <w:sz w:val="20"/>
                <w:szCs w:val="20"/>
                <w:lang w:eastAsia="en-GB"/>
              </w:rPr>
            </w:pPr>
            <w:r w:rsidRPr="00D055F4">
              <w:rPr>
                <w:rFonts w:ascii="Arial" w:hAnsi="Arial" w:cs="Arial"/>
                <w:sz w:val="20"/>
                <w:szCs w:val="20"/>
                <w:lang w:eastAsia="en-GB"/>
              </w:rPr>
              <w:t> </w:t>
            </w:r>
          </w:p>
        </w:tc>
        <w:tc>
          <w:tcPr>
            <w:tcW w:w="3663" w:type="dxa"/>
            <w:gridSpan w:val="3"/>
            <w:tcBorders>
              <w:top w:val="single" w:sz="8" w:space="0" w:color="auto"/>
              <w:left w:val="single" w:sz="8" w:space="0" w:color="auto"/>
              <w:bottom w:val="single" w:sz="8" w:space="0" w:color="auto"/>
              <w:right w:val="single" w:sz="8" w:space="0" w:color="000000"/>
            </w:tcBorders>
            <w:shd w:val="clear" w:color="auto" w:fill="DEEAF6"/>
            <w:vAlign w:val="bottom"/>
            <w:hideMark/>
          </w:tcPr>
          <w:p w14:paraId="3BB235CA" w14:textId="77777777" w:rsidR="00D055F4" w:rsidRPr="00D055F4" w:rsidRDefault="00D055F4" w:rsidP="005E0AC5">
            <w:pPr>
              <w:spacing w:line="252" w:lineRule="auto"/>
              <w:jc w:val="center"/>
              <w:textAlignment w:val="baseline"/>
              <w:rPr>
                <w:rFonts w:ascii="Arial" w:hAnsi="Arial" w:cs="Arial"/>
                <w:sz w:val="20"/>
                <w:szCs w:val="20"/>
                <w:lang w:eastAsia="en-GB"/>
              </w:rPr>
            </w:pPr>
            <w:r w:rsidRPr="00D055F4">
              <w:rPr>
                <w:rFonts w:ascii="Arial" w:hAnsi="Arial" w:cs="Arial"/>
                <w:b/>
                <w:bCs/>
                <w:sz w:val="20"/>
                <w:szCs w:val="20"/>
                <w:lang w:eastAsia="en-GB"/>
              </w:rPr>
              <w:t>2024/25</w:t>
            </w:r>
          </w:p>
        </w:tc>
      </w:tr>
      <w:tr w:rsidR="00D055F4" w:rsidRPr="00D055F4" w14:paraId="3FD4A005" w14:textId="77777777" w:rsidTr="00D055F4">
        <w:trPr>
          <w:trHeight w:val="300"/>
          <w:jc w:val="center"/>
        </w:trPr>
        <w:tc>
          <w:tcPr>
            <w:tcW w:w="3283" w:type="dxa"/>
            <w:tcBorders>
              <w:top w:val="nil"/>
              <w:left w:val="nil"/>
              <w:bottom w:val="single" w:sz="8" w:space="0" w:color="auto"/>
              <w:right w:val="nil"/>
            </w:tcBorders>
            <w:vAlign w:val="bottom"/>
            <w:hideMark/>
          </w:tcPr>
          <w:p w14:paraId="5B213F7B" w14:textId="77777777" w:rsidR="00D055F4" w:rsidRPr="00D055F4" w:rsidRDefault="00D055F4" w:rsidP="005E0AC5">
            <w:pPr>
              <w:spacing w:line="252" w:lineRule="auto"/>
              <w:textAlignment w:val="baseline"/>
              <w:rPr>
                <w:rFonts w:ascii="Arial" w:hAnsi="Arial" w:cs="Arial"/>
                <w:sz w:val="20"/>
                <w:szCs w:val="20"/>
                <w:lang w:eastAsia="en-GB"/>
              </w:rPr>
            </w:pPr>
            <w:r w:rsidRPr="00D055F4">
              <w:rPr>
                <w:rFonts w:ascii="Arial" w:hAnsi="Arial" w:cs="Arial"/>
                <w:sz w:val="20"/>
                <w:szCs w:val="20"/>
                <w:lang w:eastAsia="en-GB"/>
              </w:rPr>
              <w:t>  </w:t>
            </w:r>
          </w:p>
        </w:tc>
        <w:tc>
          <w:tcPr>
            <w:tcW w:w="1253" w:type="dxa"/>
            <w:tcBorders>
              <w:top w:val="nil"/>
              <w:left w:val="single" w:sz="8" w:space="0" w:color="auto"/>
              <w:bottom w:val="single" w:sz="8" w:space="0" w:color="auto"/>
              <w:right w:val="single" w:sz="8" w:space="0" w:color="auto"/>
            </w:tcBorders>
            <w:shd w:val="clear" w:color="auto" w:fill="DEEAF6"/>
            <w:vAlign w:val="center"/>
            <w:hideMark/>
          </w:tcPr>
          <w:p w14:paraId="258D4141" w14:textId="77777777" w:rsidR="00D055F4" w:rsidRPr="00D055F4" w:rsidRDefault="00D055F4" w:rsidP="005E0AC5">
            <w:pPr>
              <w:spacing w:line="252" w:lineRule="auto"/>
              <w:jc w:val="center"/>
              <w:textAlignment w:val="baseline"/>
              <w:rPr>
                <w:rFonts w:ascii="Arial" w:hAnsi="Arial" w:cs="Arial"/>
                <w:sz w:val="20"/>
                <w:szCs w:val="20"/>
                <w:lang w:eastAsia="en-GB"/>
              </w:rPr>
            </w:pPr>
            <w:r w:rsidRPr="00D055F4">
              <w:rPr>
                <w:rFonts w:ascii="Arial" w:hAnsi="Arial" w:cs="Arial"/>
                <w:b/>
                <w:bCs/>
                <w:sz w:val="20"/>
                <w:szCs w:val="20"/>
                <w:lang w:eastAsia="en-GB"/>
              </w:rPr>
              <w:t>25</w:t>
            </w:r>
            <w:r w:rsidRPr="00D055F4">
              <w:rPr>
                <w:rFonts w:ascii="Arial" w:hAnsi="Arial" w:cs="Arial"/>
                <w:b/>
                <w:bCs/>
                <w:sz w:val="20"/>
                <w:szCs w:val="20"/>
                <w:vertAlign w:val="superscript"/>
                <w:lang w:eastAsia="en-GB"/>
              </w:rPr>
              <w:t>th</w:t>
            </w:r>
            <w:r w:rsidRPr="00D055F4">
              <w:rPr>
                <w:rFonts w:ascii="Arial" w:hAnsi="Arial" w:cs="Arial"/>
                <w:b/>
                <w:bCs/>
                <w:sz w:val="20"/>
                <w:szCs w:val="20"/>
                <w:lang w:eastAsia="en-GB"/>
              </w:rPr>
              <w:t xml:space="preserve"> Percentile</w:t>
            </w:r>
          </w:p>
        </w:tc>
        <w:tc>
          <w:tcPr>
            <w:tcW w:w="1276" w:type="dxa"/>
            <w:tcBorders>
              <w:top w:val="single" w:sz="8" w:space="0" w:color="auto"/>
              <w:left w:val="nil"/>
              <w:bottom w:val="single" w:sz="8" w:space="0" w:color="auto"/>
              <w:right w:val="single" w:sz="8" w:space="0" w:color="auto"/>
            </w:tcBorders>
            <w:shd w:val="clear" w:color="auto" w:fill="DEEAF6"/>
            <w:vAlign w:val="center"/>
            <w:hideMark/>
          </w:tcPr>
          <w:p w14:paraId="370D1FD9" w14:textId="77777777" w:rsidR="00D055F4" w:rsidRPr="00D055F4" w:rsidRDefault="00D055F4" w:rsidP="005E0AC5">
            <w:pPr>
              <w:spacing w:line="252" w:lineRule="auto"/>
              <w:jc w:val="center"/>
              <w:textAlignment w:val="baseline"/>
              <w:rPr>
                <w:rFonts w:ascii="Arial" w:hAnsi="Arial" w:cs="Arial"/>
                <w:sz w:val="20"/>
                <w:szCs w:val="20"/>
                <w:lang w:eastAsia="en-GB"/>
              </w:rPr>
            </w:pPr>
            <w:r w:rsidRPr="00D055F4">
              <w:rPr>
                <w:rFonts w:ascii="Arial" w:hAnsi="Arial" w:cs="Arial"/>
                <w:b/>
                <w:bCs/>
                <w:sz w:val="20"/>
                <w:szCs w:val="20"/>
                <w:lang w:eastAsia="en-GB"/>
              </w:rPr>
              <w:t>Median</w:t>
            </w:r>
          </w:p>
        </w:tc>
        <w:tc>
          <w:tcPr>
            <w:tcW w:w="1134" w:type="dxa"/>
            <w:tcBorders>
              <w:top w:val="single" w:sz="8" w:space="0" w:color="auto"/>
              <w:left w:val="nil"/>
              <w:bottom w:val="single" w:sz="8" w:space="0" w:color="auto"/>
              <w:right w:val="single" w:sz="8" w:space="0" w:color="auto"/>
            </w:tcBorders>
            <w:shd w:val="clear" w:color="auto" w:fill="DEEAF6"/>
            <w:vAlign w:val="center"/>
            <w:hideMark/>
          </w:tcPr>
          <w:p w14:paraId="0D8B9B61" w14:textId="77777777" w:rsidR="00D055F4" w:rsidRPr="00D055F4" w:rsidRDefault="00D055F4" w:rsidP="005E0AC5">
            <w:pPr>
              <w:spacing w:line="252" w:lineRule="auto"/>
              <w:jc w:val="center"/>
              <w:textAlignment w:val="baseline"/>
              <w:rPr>
                <w:rFonts w:ascii="Arial" w:hAnsi="Arial" w:cs="Arial"/>
                <w:sz w:val="20"/>
                <w:szCs w:val="20"/>
                <w:lang w:eastAsia="en-GB"/>
              </w:rPr>
            </w:pPr>
            <w:r w:rsidRPr="00D055F4">
              <w:rPr>
                <w:rFonts w:ascii="Arial" w:hAnsi="Arial" w:cs="Arial"/>
                <w:b/>
                <w:bCs/>
                <w:sz w:val="20"/>
                <w:szCs w:val="20"/>
                <w:lang w:eastAsia="en-GB"/>
              </w:rPr>
              <w:t>75</w:t>
            </w:r>
            <w:r w:rsidRPr="00D055F4">
              <w:rPr>
                <w:rFonts w:ascii="Arial" w:hAnsi="Arial" w:cs="Arial"/>
                <w:b/>
                <w:bCs/>
                <w:sz w:val="20"/>
                <w:szCs w:val="20"/>
                <w:vertAlign w:val="superscript"/>
                <w:lang w:eastAsia="en-GB"/>
              </w:rPr>
              <w:t>th</w:t>
            </w:r>
            <w:r w:rsidRPr="00D055F4">
              <w:rPr>
                <w:rFonts w:ascii="Arial" w:hAnsi="Arial" w:cs="Arial"/>
                <w:b/>
                <w:bCs/>
                <w:sz w:val="20"/>
                <w:szCs w:val="20"/>
                <w:lang w:eastAsia="en-GB"/>
              </w:rPr>
              <w:t xml:space="preserve"> Percentile</w:t>
            </w:r>
          </w:p>
        </w:tc>
      </w:tr>
      <w:tr w:rsidR="00D055F4" w:rsidRPr="00D055F4" w14:paraId="1D6164F1" w14:textId="77777777" w:rsidTr="00D055F4">
        <w:trPr>
          <w:trHeight w:val="300"/>
          <w:jc w:val="center"/>
        </w:trPr>
        <w:tc>
          <w:tcPr>
            <w:tcW w:w="3283" w:type="dxa"/>
            <w:tcBorders>
              <w:top w:val="nil"/>
              <w:left w:val="single" w:sz="8" w:space="0" w:color="auto"/>
              <w:bottom w:val="single" w:sz="8" w:space="0" w:color="auto"/>
              <w:right w:val="single" w:sz="8" w:space="0" w:color="auto"/>
            </w:tcBorders>
            <w:vAlign w:val="center"/>
            <w:hideMark/>
          </w:tcPr>
          <w:p w14:paraId="5B0BBA1B" w14:textId="77777777" w:rsidR="00D055F4" w:rsidRPr="00D055F4" w:rsidRDefault="00D055F4" w:rsidP="005E0AC5">
            <w:pPr>
              <w:spacing w:line="252" w:lineRule="auto"/>
              <w:textAlignment w:val="baseline"/>
              <w:rPr>
                <w:rFonts w:ascii="Arial" w:hAnsi="Arial" w:cs="Arial"/>
                <w:sz w:val="20"/>
                <w:szCs w:val="20"/>
                <w:lang w:eastAsia="en-GB"/>
              </w:rPr>
            </w:pPr>
            <w:r w:rsidRPr="00D055F4">
              <w:rPr>
                <w:rFonts w:ascii="Arial" w:hAnsi="Arial" w:cs="Arial"/>
                <w:sz w:val="20"/>
                <w:szCs w:val="20"/>
                <w:lang w:eastAsia="en-GB"/>
              </w:rPr>
              <w:t>Salary Component of remuneration (£) </w:t>
            </w:r>
          </w:p>
        </w:tc>
        <w:tc>
          <w:tcPr>
            <w:tcW w:w="1253" w:type="dxa"/>
            <w:tcBorders>
              <w:top w:val="nil"/>
              <w:left w:val="nil"/>
              <w:bottom w:val="single" w:sz="8" w:space="0" w:color="auto"/>
              <w:right w:val="single" w:sz="8" w:space="0" w:color="auto"/>
            </w:tcBorders>
            <w:vAlign w:val="center"/>
            <w:hideMark/>
          </w:tcPr>
          <w:p w14:paraId="6BEF72ED" w14:textId="77777777" w:rsidR="00D055F4" w:rsidRPr="00D055F4" w:rsidRDefault="00D055F4" w:rsidP="005E0AC5">
            <w:pPr>
              <w:spacing w:line="252" w:lineRule="auto"/>
              <w:jc w:val="right"/>
              <w:textAlignment w:val="baseline"/>
              <w:rPr>
                <w:rFonts w:ascii="Arial" w:hAnsi="Arial" w:cs="Arial"/>
                <w:sz w:val="20"/>
                <w:szCs w:val="20"/>
                <w:lang w:eastAsia="en-GB"/>
              </w:rPr>
            </w:pPr>
            <w:r w:rsidRPr="00D055F4">
              <w:rPr>
                <w:rFonts w:ascii="Arial" w:hAnsi="Arial" w:cs="Arial"/>
                <w:sz w:val="20"/>
                <w:szCs w:val="20"/>
                <w:lang w:eastAsia="en-GB"/>
              </w:rPr>
              <w:t>£25,674 </w:t>
            </w:r>
          </w:p>
        </w:tc>
        <w:tc>
          <w:tcPr>
            <w:tcW w:w="1276" w:type="dxa"/>
            <w:tcBorders>
              <w:top w:val="nil"/>
              <w:left w:val="nil"/>
              <w:bottom w:val="single" w:sz="8" w:space="0" w:color="auto"/>
              <w:right w:val="single" w:sz="8" w:space="0" w:color="auto"/>
            </w:tcBorders>
            <w:vAlign w:val="center"/>
            <w:hideMark/>
          </w:tcPr>
          <w:p w14:paraId="5C18D51F" w14:textId="77777777" w:rsidR="00D055F4" w:rsidRPr="00D055F4" w:rsidRDefault="00D055F4" w:rsidP="005E0AC5">
            <w:pPr>
              <w:spacing w:line="252" w:lineRule="auto"/>
              <w:jc w:val="right"/>
              <w:textAlignment w:val="baseline"/>
              <w:rPr>
                <w:rFonts w:ascii="Arial" w:hAnsi="Arial" w:cs="Arial"/>
                <w:sz w:val="20"/>
                <w:szCs w:val="20"/>
                <w:lang w:eastAsia="en-GB"/>
              </w:rPr>
            </w:pPr>
            <w:r w:rsidRPr="00D055F4">
              <w:rPr>
                <w:rFonts w:ascii="Arial" w:hAnsi="Arial" w:cs="Arial"/>
                <w:b/>
                <w:bCs/>
                <w:sz w:val="20"/>
                <w:szCs w:val="20"/>
                <w:lang w:eastAsia="en-GB"/>
              </w:rPr>
              <w:t>£32,324</w:t>
            </w:r>
            <w:r w:rsidRPr="00D055F4">
              <w:rPr>
                <w:rFonts w:ascii="Arial" w:hAnsi="Arial" w:cs="Arial"/>
                <w:sz w:val="20"/>
                <w:szCs w:val="20"/>
                <w:lang w:eastAsia="en-GB"/>
              </w:rPr>
              <w:t> </w:t>
            </w:r>
          </w:p>
        </w:tc>
        <w:tc>
          <w:tcPr>
            <w:tcW w:w="1134" w:type="dxa"/>
            <w:tcBorders>
              <w:top w:val="nil"/>
              <w:left w:val="nil"/>
              <w:bottom w:val="single" w:sz="8" w:space="0" w:color="auto"/>
              <w:right w:val="single" w:sz="8" w:space="0" w:color="auto"/>
            </w:tcBorders>
            <w:vAlign w:val="center"/>
            <w:hideMark/>
          </w:tcPr>
          <w:p w14:paraId="3FB4FD2C" w14:textId="77777777" w:rsidR="00D055F4" w:rsidRPr="00D055F4" w:rsidRDefault="00D055F4" w:rsidP="005E0AC5">
            <w:pPr>
              <w:spacing w:line="252" w:lineRule="auto"/>
              <w:jc w:val="right"/>
              <w:textAlignment w:val="baseline"/>
              <w:rPr>
                <w:rFonts w:ascii="Arial" w:hAnsi="Arial" w:cs="Arial"/>
                <w:sz w:val="20"/>
                <w:szCs w:val="20"/>
                <w:lang w:eastAsia="en-GB"/>
              </w:rPr>
            </w:pPr>
            <w:r w:rsidRPr="00D055F4">
              <w:rPr>
                <w:rFonts w:ascii="Arial" w:hAnsi="Arial" w:cs="Arial"/>
                <w:sz w:val="20"/>
                <w:szCs w:val="20"/>
                <w:lang w:eastAsia="en-GB"/>
              </w:rPr>
              <w:t>£46,148 </w:t>
            </w:r>
          </w:p>
        </w:tc>
      </w:tr>
      <w:tr w:rsidR="00D055F4" w:rsidRPr="00D055F4" w14:paraId="0B8746DE" w14:textId="77777777" w:rsidTr="00D055F4">
        <w:trPr>
          <w:trHeight w:val="300"/>
          <w:jc w:val="center"/>
        </w:trPr>
        <w:tc>
          <w:tcPr>
            <w:tcW w:w="3283" w:type="dxa"/>
            <w:tcBorders>
              <w:top w:val="nil"/>
              <w:left w:val="single" w:sz="8" w:space="0" w:color="auto"/>
              <w:bottom w:val="single" w:sz="8" w:space="0" w:color="auto"/>
              <w:right w:val="single" w:sz="8" w:space="0" w:color="auto"/>
            </w:tcBorders>
            <w:vAlign w:val="center"/>
            <w:hideMark/>
          </w:tcPr>
          <w:p w14:paraId="3C6A30DE" w14:textId="77777777" w:rsidR="00D055F4" w:rsidRPr="00D055F4" w:rsidRDefault="00D055F4" w:rsidP="005E0AC5">
            <w:pPr>
              <w:spacing w:line="252" w:lineRule="auto"/>
              <w:textAlignment w:val="baseline"/>
              <w:rPr>
                <w:rFonts w:ascii="Arial" w:hAnsi="Arial" w:cs="Arial"/>
                <w:sz w:val="20"/>
                <w:szCs w:val="20"/>
                <w:lang w:eastAsia="en-GB"/>
              </w:rPr>
            </w:pPr>
            <w:r w:rsidRPr="00D055F4">
              <w:rPr>
                <w:rFonts w:ascii="Arial" w:hAnsi="Arial" w:cs="Arial"/>
                <w:sz w:val="20"/>
                <w:szCs w:val="20"/>
                <w:lang w:eastAsia="en-GB"/>
              </w:rPr>
              <w:t>Total Contractual Remuneration (£) </w:t>
            </w:r>
          </w:p>
        </w:tc>
        <w:tc>
          <w:tcPr>
            <w:tcW w:w="1253" w:type="dxa"/>
            <w:tcBorders>
              <w:top w:val="nil"/>
              <w:left w:val="nil"/>
              <w:bottom w:val="single" w:sz="8" w:space="0" w:color="auto"/>
              <w:right w:val="single" w:sz="8" w:space="0" w:color="auto"/>
            </w:tcBorders>
            <w:shd w:val="clear" w:color="auto" w:fill="DEEAF6"/>
            <w:vAlign w:val="center"/>
            <w:hideMark/>
          </w:tcPr>
          <w:p w14:paraId="50E17AC8" w14:textId="77777777" w:rsidR="00D055F4" w:rsidRPr="00D055F4" w:rsidRDefault="00D055F4" w:rsidP="005E0AC5">
            <w:pPr>
              <w:spacing w:line="252" w:lineRule="auto"/>
              <w:jc w:val="right"/>
              <w:textAlignment w:val="baseline"/>
              <w:rPr>
                <w:rFonts w:ascii="Arial" w:hAnsi="Arial" w:cs="Arial"/>
                <w:sz w:val="20"/>
                <w:szCs w:val="20"/>
                <w:lang w:eastAsia="en-GB"/>
              </w:rPr>
            </w:pPr>
            <w:r w:rsidRPr="00D055F4">
              <w:rPr>
                <w:rFonts w:ascii="Arial" w:hAnsi="Arial" w:cs="Arial"/>
                <w:sz w:val="20"/>
                <w:szCs w:val="20"/>
                <w:lang w:eastAsia="en-GB"/>
              </w:rPr>
              <w:t>£27,060 </w:t>
            </w:r>
          </w:p>
        </w:tc>
        <w:tc>
          <w:tcPr>
            <w:tcW w:w="1276" w:type="dxa"/>
            <w:tcBorders>
              <w:top w:val="nil"/>
              <w:left w:val="nil"/>
              <w:bottom w:val="single" w:sz="8" w:space="0" w:color="auto"/>
              <w:right w:val="single" w:sz="8" w:space="0" w:color="auto"/>
            </w:tcBorders>
            <w:shd w:val="clear" w:color="auto" w:fill="DEEAF6"/>
            <w:vAlign w:val="center"/>
            <w:hideMark/>
          </w:tcPr>
          <w:p w14:paraId="75302517" w14:textId="77777777" w:rsidR="00D055F4" w:rsidRPr="00D055F4" w:rsidRDefault="00D055F4" w:rsidP="005E0AC5">
            <w:pPr>
              <w:spacing w:line="252" w:lineRule="auto"/>
              <w:jc w:val="right"/>
              <w:textAlignment w:val="baseline"/>
              <w:rPr>
                <w:rFonts w:ascii="Arial" w:hAnsi="Arial" w:cs="Arial"/>
                <w:sz w:val="20"/>
                <w:szCs w:val="20"/>
                <w:lang w:eastAsia="en-GB"/>
              </w:rPr>
            </w:pPr>
            <w:r w:rsidRPr="00D055F4">
              <w:rPr>
                <w:rFonts w:ascii="Arial" w:hAnsi="Arial" w:cs="Arial"/>
                <w:b/>
                <w:bCs/>
                <w:sz w:val="20"/>
                <w:szCs w:val="20"/>
                <w:lang w:eastAsia="en-GB"/>
              </w:rPr>
              <w:t>£36,485</w:t>
            </w:r>
            <w:r w:rsidRPr="00D055F4">
              <w:rPr>
                <w:rFonts w:ascii="Arial" w:hAnsi="Arial" w:cs="Arial"/>
                <w:sz w:val="20"/>
                <w:szCs w:val="20"/>
                <w:lang w:eastAsia="en-GB"/>
              </w:rPr>
              <w:t> </w:t>
            </w:r>
          </w:p>
        </w:tc>
        <w:tc>
          <w:tcPr>
            <w:tcW w:w="1134" w:type="dxa"/>
            <w:tcBorders>
              <w:top w:val="nil"/>
              <w:left w:val="nil"/>
              <w:bottom w:val="single" w:sz="8" w:space="0" w:color="auto"/>
              <w:right w:val="single" w:sz="8" w:space="0" w:color="auto"/>
            </w:tcBorders>
            <w:shd w:val="clear" w:color="auto" w:fill="DEEAF6"/>
            <w:vAlign w:val="center"/>
            <w:hideMark/>
          </w:tcPr>
          <w:p w14:paraId="530BECC6" w14:textId="77777777" w:rsidR="00D055F4" w:rsidRPr="00D055F4" w:rsidRDefault="00D055F4" w:rsidP="005E0AC5">
            <w:pPr>
              <w:spacing w:line="252" w:lineRule="auto"/>
              <w:jc w:val="right"/>
              <w:textAlignment w:val="baseline"/>
              <w:rPr>
                <w:rFonts w:ascii="Arial" w:hAnsi="Arial" w:cs="Arial"/>
                <w:sz w:val="20"/>
                <w:szCs w:val="20"/>
                <w:lang w:eastAsia="en-GB"/>
              </w:rPr>
            </w:pPr>
            <w:r w:rsidRPr="00D055F4">
              <w:rPr>
                <w:rFonts w:ascii="Arial" w:hAnsi="Arial" w:cs="Arial"/>
                <w:sz w:val="20"/>
                <w:szCs w:val="20"/>
                <w:lang w:eastAsia="en-GB"/>
              </w:rPr>
              <w:t>£48,634 </w:t>
            </w:r>
          </w:p>
        </w:tc>
      </w:tr>
      <w:tr w:rsidR="00D055F4" w:rsidRPr="00D055F4" w14:paraId="51F04A05" w14:textId="77777777" w:rsidTr="00D055F4">
        <w:trPr>
          <w:trHeight w:val="300"/>
          <w:jc w:val="center"/>
        </w:trPr>
        <w:tc>
          <w:tcPr>
            <w:tcW w:w="3283" w:type="dxa"/>
            <w:tcBorders>
              <w:top w:val="nil"/>
              <w:left w:val="single" w:sz="8" w:space="0" w:color="auto"/>
              <w:bottom w:val="single" w:sz="8" w:space="0" w:color="auto"/>
              <w:right w:val="single" w:sz="8" w:space="0" w:color="auto"/>
            </w:tcBorders>
            <w:vAlign w:val="center"/>
            <w:hideMark/>
          </w:tcPr>
          <w:p w14:paraId="5FB66B71" w14:textId="77777777" w:rsidR="00D055F4" w:rsidRPr="00D055F4" w:rsidRDefault="00D055F4" w:rsidP="005E0AC5">
            <w:pPr>
              <w:spacing w:line="252" w:lineRule="auto"/>
              <w:textAlignment w:val="baseline"/>
              <w:rPr>
                <w:rFonts w:ascii="Arial" w:hAnsi="Arial" w:cs="Arial"/>
                <w:sz w:val="20"/>
                <w:szCs w:val="20"/>
                <w:lang w:eastAsia="en-GB"/>
              </w:rPr>
            </w:pPr>
            <w:r w:rsidRPr="00D055F4">
              <w:rPr>
                <w:rFonts w:ascii="Arial" w:hAnsi="Arial" w:cs="Arial"/>
                <w:sz w:val="20"/>
                <w:szCs w:val="20"/>
                <w:lang w:eastAsia="en-GB"/>
              </w:rPr>
              <w:t>Ratio (mid-point of highest paid director / total remuneration values </w:t>
            </w:r>
          </w:p>
        </w:tc>
        <w:tc>
          <w:tcPr>
            <w:tcW w:w="1253" w:type="dxa"/>
            <w:tcBorders>
              <w:top w:val="nil"/>
              <w:left w:val="nil"/>
              <w:bottom w:val="single" w:sz="8" w:space="0" w:color="auto"/>
              <w:right w:val="single" w:sz="8" w:space="0" w:color="auto"/>
            </w:tcBorders>
            <w:vAlign w:val="center"/>
            <w:hideMark/>
          </w:tcPr>
          <w:p w14:paraId="7444C21D" w14:textId="77777777" w:rsidR="00D055F4" w:rsidRPr="00D055F4" w:rsidRDefault="00D055F4" w:rsidP="005E0AC5">
            <w:pPr>
              <w:spacing w:line="252" w:lineRule="auto"/>
              <w:jc w:val="right"/>
              <w:textAlignment w:val="baseline"/>
              <w:rPr>
                <w:rFonts w:ascii="Arial" w:hAnsi="Arial" w:cs="Arial"/>
                <w:sz w:val="20"/>
                <w:szCs w:val="20"/>
                <w:lang w:eastAsia="en-GB"/>
              </w:rPr>
            </w:pPr>
            <w:r w:rsidRPr="00D055F4">
              <w:rPr>
                <w:rFonts w:ascii="Arial" w:hAnsi="Arial" w:cs="Arial"/>
                <w:b/>
                <w:bCs/>
                <w:sz w:val="20"/>
                <w:szCs w:val="20"/>
                <w:lang w:eastAsia="en-GB"/>
              </w:rPr>
              <w:t>7.67:1</w:t>
            </w:r>
            <w:r w:rsidRPr="00D055F4">
              <w:rPr>
                <w:rFonts w:ascii="Arial" w:hAnsi="Arial" w:cs="Arial"/>
                <w:sz w:val="20"/>
                <w:szCs w:val="20"/>
                <w:lang w:eastAsia="en-GB"/>
              </w:rPr>
              <w:t> </w:t>
            </w:r>
          </w:p>
        </w:tc>
        <w:tc>
          <w:tcPr>
            <w:tcW w:w="1276" w:type="dxa"/>
            <w:tcBorders>
              <w:top w:val="nil"/>
              <w:left w:val="nil"/>
              <w:bottom w:val="single" w:sz="8" w:space="0" w:color="auto"/>
              <w:right w:val="single" w:sz="8" w:space="0" w:color="auto"/>
            </w:tcBorders>
            <w:vAlign w:val="center"/>
            <w:hideMark/>
          </w:tcPr>
          <w:p w14:paraId="0CD7BA3D" w14:textId="77777777" w:rsidR="00D055F4" w:rsidRPr="00D055F4" w:rsidRDefault="00D055F4" w:rsidP="005E0AC5">
            <w:pPr>
              <w:spacing w:line="252" w:lineRule="auto"/>
              <w:jc w:val="right"/>
              <w:textAlignment w:val="baseline"/>
              <w:rPr>
                <w:rFonts w:ascii="Arial" w:hAnsi="Arial" w:cs="Arial"/>
                <w:sz w:val="20"/>
                <w:szCs w:val="20"/>
                <w:lang w:eastAsia="en-GB"/>
              </w:rPr>
            </w:pPr>
            <w:r w:rsidRPr="00D055F4">
              <w:rPr>
                <w:rFonts w:ascii="Arial" w:hAnsi="Arial" w:cs="Arial"/>
                <w:b/>
                <w:bCs/>
                <w:sz w:val="20"/>
                <w:szCs w:val="20"/>
                <w:lang w:eastAsia="en-GB"/>
              </w:rPr>
              <w:t>5.69:1</w:t>
            </w:r>
            <w:r w:rsidRPr="00D055F4">
              <w:rPr>
                <w:rFonts w:ascii="Arial" w:hAnsi="Arial" w:cs="Arial"/>
                <w:sz w:val="20"/>
                <w:szCs w:val="20"/>
                <w:lang w:eastAsia="en-GB"/>
              </w:rPr>
              <w:t> </w:t>
            </w:r>
          </w:p>
        </w:tc>
        <w:tc>
          <w:tcPr>
            <w:tcW w:w="1134" w:type="dxa"/>
            <w:tcBorders>
              <w:top w:val="nil"/>
              <w:left w:val="nil"/>
              <w:bottom w:val="single" w:sz="8" w:space="0" w:color="auto"/>
              <w:right w:val="single" w:sz="8" w:space="0" w:color="auto"/>
            </w:tcBorders>
            <w:vAlign w:val="center"/>
            <w:hideMark/>
          </w:tcPr>
          <w:p w14:paraId="4B10789F" w14:textId="77777777" w:rsidR="00D055F4" w:rsidRPr="00D055F4" w:rsidRDefault="00D055F4" w:rsidP="005E0AC5">
            <w:pPr>
              <w:spacing w:line="252" w:lineRule="auto"/>
              <w:jc w:val="right"/>
              <w:textAlignment w:val="baseline"/>
              <w:rPr>
                <w:rFonts w:ascii="Arial" w:hAnsi="Arial" w:cs="Arial"/>
                <w:sz w:val="20"/>
                <w:szCs w:val="20"/>
                <w:lang w:eastAsia="en-GB"/>
              </w:rPr>
            </w:pPr>
            <w:r w:rsidRPr="00D055F4">
              <w:rPr>
                <w:rFonts w:ascii="Arial" w:hAnsi="Arial" w:cs="Arial"/>
                <w:b/>
                <w:bCs/>
                <w:sz w:val="20"/>
                <w:szCs w:val="20"/>
                <w:lang w:eastAsia="en-GB"/>
              </w:rPr>
              <w:t>4.27:1</w:t>
            </w:r>
            <w:r w:rsidRPr="00D055F4">
              <w:rPr>
                <w:rFonts w:ascii="Arial" w:hAnsi="Arial" w:cs="Arial"/>
                <w:sz w:val="20"/>
                <w:szCs w:val="20"/>
                <w:lang w:eastAsia="en-GB"/>
              </w:rPr>
              <w:t> </w:t>
            </w:r>
          </w:p>
        </w:tc>
      </w:tr>
      <w:tr w:rsidR="00D055F4" w:rsidRPr="00D055F4" w14:paraId="7EC36391" w14:textId="77777777" w:rsidTr="00D055F4">
        <w:trPr>
          <w:trHeight w:val="300"/>
          <w:jc w:val="center"/>
        </w:trPr>
        <w:tc>
          <w:tcPr>
            <w:tcW w:w="3283" w:type="dxa"/>
            <w:tcBorders>
              <w:top w:val="nil"/>
              <w:left w:val="nil"/>
              <w:bottom w:val="nil"/>
              <w:right w:val="nil"/>
            </w:tcBorders>
            <w:vAlign w:val="bottom"/>
            <w:hideMark/>
          </w:tcPr>
          <w:p w14:paraId="0A548EFE" w14:textId="77777777" w:rsidR="00D055F4" w:rsidRPr="00D055F4" w:rsidRDefault="00D055F4" w:rsidP="005E0AC5">
            <w:pPr>
              <w:spacing w:line="252" w:lineRule="auto"/>
              <w:textAlignment w:val="baseline"/>
              <w:rPr>
                <w:rFonts w:ascii="Arial" w:hAnsi="Arial" w:cs="Arial"/>
                <w:sz w:val="20"/>
                <w:szCs w:val="20"/>
                <w:lang w:eastAsia="en-GB"/>
              </w:rPr>
            </w:pPr>
            <w:r w:rsidRPr="00D055F4">
              <w:rPr>
                <w:rFonts w:ascii="Arial" w:hAnsi="Arial" w:cs="Arial"/>
                <w:b/>
                <w:bCs/>
                <w:sz w:val="20"/>
                <w:szCs w:val="20"/>
                <w:lang w:eastAsia="en-GB"/>
              </w:rPr>
              <w:t> </w:t>
            </w:r>
            <w:r w:rsidRPr="00D055F4">
              <w:rPr>
                <w:rFonts w:ascii="Arial" w:hAnsi="Arial" w:cs="Arial"/>
                <w:sz w:val="20"/>
                <w:szCs w:val="20"/>
                <w:lang w:eastAsia="en-GB"/>
              </w:rPr>
              <w:t> </w:t>
            </w:r>
          </w:p>
        </w:tc>
        <w:tc>
          <w:tcPr>
            <w:tcW w:w="3663" w:type="dxa"/>
            <w:gridSpan w:val="3"/>
            <w:tcBorders>
              <w:top w:val="nil"/>
              <w:left w:val="single" w:sz="8" w:space="0" w:color="auto"/>
              <w:bottom w:val="single" w:sz="8" w:space="0" w:color="auto"/>
              <w:right w:val="single" w:sz="8" w:space="0" w:color="000000"/>
            </w:tcBorders>
            <w:shd w:val="clear" w:color="auto" w:fill="DEEAF6"/>
            <w:vAlign w:val="bottom"/>
            <w:hideMark/>
          </w:tcPr>
          <w:p w14:paraId="68FE4C56" w14:textId="77777777" w:rsidR="00D055F4" w:rsidRPr="00D055F4" w:rsidRDefault="00D055F4" w:rsidP="005E0AC5">
            <w:pPr>
              <w:spacing w:line="252" w:lineRule="auto"/>
              <w:jc w:val="center"/>
              <w:textAlignment w:val="baseline"/>
              <w:rPr>
                <w:rFonts w:ascii="Arial" w:hAnsi="Arial" w:cs="Arial"/>
                <w:sz w:val="20"/>
                <w:szCs w:val="20"/>
                <w:lang w:eastAsia="en-GB"/>
              </w:rPr>
            </w:pPr>
            <w:r w:rsidRPr="00D055F4">
              <w:rPr>
                <w:rFonts w:ascii="Arial" w:hAnsi="Arial" w:cs="Arial"/>
                <w:b/>
                <w:bCs/>
                <w:sz w:val="20"/>
                <w:szCs w:val="20"/>
                <w:lang w:eastAsia="en-GB"/>
              </w:rPr>
              <w:t>2023/24</w:t>
            </w:r>
          </w:p>
        </w:tc>
      </w:tr>
      <w:tr w:rsidR="00D055F4" w:rsidRPr="00D055F4" w14:paraId="2D6C10C1" w14:textId="77777777" w:rsidTr="00D055F4">
        <w:trPr>
          <w:trHeight w:val="300"/>
          <w:jc w:val="center"/>
        </w:trPr>
        <w:tc>
          <w:tcPr>
            <w:tcW w:w="3283" w:type="dxa"/>
            <w:tcBorders>
              <w:top w:val="nil"/>
              <w:left w:val="nil"/>
              <w:bottom w:val="single" w:sz="8" w:space="0" w:color="auto"/>
              <w:right w:val="nil"/>
            </w:tcBorders>
            <w:vAlign w:val="bottom"/>
            <w:hideMark/>
          </w:tcPr>
          <w:p w14:paraId="28CFBA32" w14:textId="77777777" w:rsidR="00D055F4" w:rsidRPr="00D055F4" w:rsidRDefault="00D055F4" w:rsidP="005E0AC5">
            <w:pPr>
              <w:spacing w:line="252" w:lineRule="auto"/>
              <w:textAlignment w:val="baseline"/>
              <w:rPr>
                <w:rFonts w:ascii="Arial" w:hAnsi="Arial" w:cs="Arial"/>
                <w:sz w:val="20"/>
                <w:szCs w:val="20"/>
                <w:lang w:eastAsia="en-GB"/>
              </w:rPr>
            </w:pPr>
            <w:r w:rsidRPr="00D055F4">
              <w:rPr>
                <w:rFonts w:ascii="Arial" w:hAnsi="Arial" w:cs="Arial"/>
                <w:sz w:val="20"/>
                <w:szCs w:val="20"/>
                <w:lang w:eastAsia="en-GB"/>
              </w:rPr>
              <w:t>  </w:t>
            </w:r>
          </w:p>
        </w:tc>
        <w:tc>
          <w:tcPr>
            <w:tcW w:w="1253" w:type="dxa"/>
            <w:tcBorders>
              <w:top w:val="nil"/>
              <w:left w:val="single" w:sz="8" w:space="0" w:color="auto"/>
              <w:bottom w:val="single" w:sz="8" w:space="0" w:color="auto"/>
              <w:right w:val="single" w:sz="8" w:space="0" w:color="auto"/>
            </w:tcBorders>
            <w:shd w:val="clear" w:color="auto" w:fill="DEEAF6"/>
            <w:vAlign w:val="center"/>
            <w:hideMark/>
          </w:tcPr>
          <w:p w14:paraId="4426E834" w14:textId="77777777" w:rsidR="00D055F4" w:rsidRPr="00D055F4" w:rsidRDefault="00D055F4" w:rsidP="005E0AC5">
            <w:pPr>
              <w:spacing w:line="252" w:lineRule="auto"/>
              <w:jc w:val="center"/>
              <w:textAlignment w:val="baseline"/>
              <w:rPr>
                <w:rFonts w:ascii="Arial" w:hAnsi="Arial" w:cs="Arial"/>
                <w:sz w:val="20"/>
                <w:szCs w:val="20"/>
                <w:lang w:eastAsia="en-GB"/>
              </w:rPr>
            </w:pPr>
            <w:r w:rsidRPr="00D055F4">
              <w:rPr>
                <w:rFonts w:ascii="Arial" w:hAnsi="Arial" w:cs="Arial"/>
                <w:b/>
                <w:bCs/>
                <w:sz w:val="20"/>
                <w:szCs w:val="20"/>
                <w:lang w:eastAsia="en-GB"/>
              </w:rPr>
              <w:t>25</w:t>
            </w:r>
            <w:r w:rsidRPr="00D055F4">
              <w:rPr>
                <w:rFonts w:ascii="Arial" w:hAnsi="Arial" w:cs="Arial"/>
                <w:b/>
                <w:bCs/>
                <w:sz w:val="20"/>
                <w:szCs w:val="20"/>
                <w:vertAlign w:val="superscript"/>
                <w:lang w:eastAsia="en-GB"/>
              </w:rPr>
              <w:t>th</w:t>
            </w:r>
            <w:r w:rsidRPr="00D055F4">
              <w:rPr>
                <w:rFonts w:ascii="Arial" w:hAnsi="Arial" w:cs="Arial"/>
                <w:b/>
                <w:bCs/>
                <w:sz w:val="20"/>
                <w:szCs w:val="20"/>
                <w:lang w:eastAsia="en-GB"/>
              </w:rPr>
              <w:t xml:space="preserve"> Percentile</w:t>
            </w:r>
          </w:p>
        </w:tc>
        <w:tc>
          <w:tcPr>
            <w:tcW w:w="1276" w:type="dxa"/>
            <w:tcBorders>
              <w:top w:val="single" w:sz="8" w:space="0" w:color="auto"/>
              <w:left w:val="nil"/>
              <w:bottom w:val="single" w:sz="8" w:space="0" w:color="auto"/>
              <w:right w:val="single" w:sz="8" w:space="0" w:color="auto"/>
            </w:tcBorders>
            <w:shd w:val="clear" w:color="auto" w:fill="DEEAF6"/>
            <w:vAlign w:val="center"/>
            <w:hideMark/>
          </w:tcPr>
          <w:p w14:paraId="23A6FD24" w14:textId="77777777" w:rsidR="00D055F4" w:rsidRPr="00D055F4" w:rsidRDefault="00D055F4" w:rsidP="005E0AC5">
            <w:pPr>
              <w:spacing w:line="252" w:lineRule="auto"/>
              <w:jc w:val="center"/>
              <w:textAlignment w:val="baseline"/>
              <w:rPr>
                <w:rFonts w:ascii="Arial" w:hAnsi="Arial" w:cs="Arial"/>
                <w:sz w:val="20"/>
                <w:szCs w:val="20"/>
                <w:lang w:eastAsia="en-GB"/>
              </w:rPr>
            </w:pPr>
            <w:r w:rsidRPr="00D055F4">
              <w:rPr>
                <w:rFonts w:ascii="Arial" w:hAnsi="Arial" w:cs="Arial"/>
                <w:b/>
                <w:bCs/>
                <w:sz w:val="20"/>
                <w:szCs w:val="20"/>
                <w:lang w:eastAsia="en-GB"/>
              </w:rPr>
              <w:t>Median</w:t>
            </w:r>
          </w:p>
        </w:tc>
        <w:tc>
          <w:tcPr>
            <w:tcW w:w="1134" w:type="dxa"/>
            <w:tcBorders>
              <w:top w:val="single" w:sz="8" w:space="0" w:color="auto"/>
              <w:left w:val="nil"/>
              <w:bottom w:val="single" w:sz="8" w:space="0" w:color="auto"/>
              <w:right w:val="single" w:sz="8" w:space="0" w:color="auto"/>
            </w:tcBorders>
            <w:shd w:val="clear" w:color="auto" w:fill="DEEAF6"/>
            <w:vAlign w:val="center"/>
            <w:hideMark/>
          </w:tcPr>
          <w:p w14:paraId="584A1748" w14:textId="77777777" w:rsidR="00D055F4" w:rsidRPr="00D055F4" w:rsidRDefault="00D055F4" w:rsidP="005E0AC5">
            <w:pPr>
              <w:spacing w:line="252" w:lineRule="auto"/>
              <w:jc w:val="center"/>
              <w:textAlignment w:val="baseline"/>
              <w:rPr>
                <w:rFonts w:ascii="Arial" w:hAnsi="Arial" w:cs="Arial"/>
                <w:sz w:val="20"/>
                <w:szCs w:val="20"/>
                <w:lang w:eastAsia="en-GB"/>
              </w:rPr>
            </w:pPr>
            <w:r w:rsidRPr="00D055F4">
              <w:rPr>
                <w:rFonts w:ascii="Arial" w:hAnsi="Arial" w:cs="Arial"/>
                <w:b/>
                <w:bCs/>
                <w:sz w:val="20"/>
                <w:szCs w:val="20"/>
                <w:lang w:eastAsia="en-GB"/>
              </w:rPr>
              <w:t>75</w:t>
            </w:r>
            <w:r w:rsidRPr="00D055F4">
              <w:rPr>
                <w:rFonts w:ascii="Arial" w:hAnsi="Arial" w:cs="Arial"/>
                <w:b/>
                <w:bCs/>
                <w:sz w:val="20"/>
                <w:szCs w:val="20"/>
                <w:vertAlign w:val="superscript"/>
                <w:lang w:eastAsia="en-GB"/>
              </w:rPr>
              <w:t>th</w:t>
            </w:r>
            <w:r w:rsidRPr="00D055F4">
              <w:rPr>
                <w:rFonts w:ascii="Arial" w:hAnsi="Arial" w:cs="Arial"/>
                <w:b/>
                <w:bCs/>
                <w:sz w:val="20"/>
                <w:szCs w:val="20"/>
                <w:lang w:eastAsia="en-GB"/>
              </w:rPr>
              <w:t xml:space="preserve"> Percentile</w:t>
            </w:r>
          </w:p>
        </w:tc>
      </w:tr>
      <w:tr w:rsidR="00D055F4" w:rsidRPr="00D055F4" w14:paraId="50983BE8" w14:textId="77777777" w:rsidTr="00D055F4">
        <w:trPr>
          <w:trHeight w:val="300"/>
          <w:jc w:val="center"/>
        </w:trPr>
        <w:tc>
          <w:tcPr>
            <w:tcW w:w="3283" w:type="dxa"/>
            <w:tcBorders>
              <w:top w:val="nil"/>
              <w:left w:val="single" w:sz="8" w:space="0" w:color="auto"/>
              <w:bottom w:val="single" w:sz="8" w:space="0" w:color="auto"/>
              <w:right w:val="single" w:sz="8" w:space="0" w:color="auto"/>
            </w:tcBorders>
            <w:vAlign w:val="center"/>
            <w:hideMark/>
          </w:tcPr>
          <w:p w14:paraId="25CB8FA9" w14:textId="77777777" w:rsidR="00D055F4" w:rsidRPr="00D055F4" w:rsidRDefault="00D055F4" w:rsidP="005E0AC5">
            <w:pPr>
              <w:spacing w:line="252" w:lineRule="auto"/>
              <w:textAlignment w:val="baseline"/>
              <w:rPr>
                <w:rFonts w:ascii="Arial" w:hAnsi="Arial" w:cs="Arial"/>
                <w:sz w:val="20"/>
                <w:szCs w:val="20"/>
                <w:lang w:eastAsia="en-GB"/>
              </w:rPr>
            </w:pPr>
            <w:r w:rsidRPr="00D055F4">
              <w:rPr>
                <w:rFonts w:ascii="Arial" w:hAnsi="Arial" w:cs="Arial"/>
                <w:sz w:val="20"/>
                <w:szCs w:val="20"/>
                <w:lang w:eastAsia="en-GB"/>
              </w:rPr>
              <w:t>Salary Component of remuneration (£) </w:t>
            </w:r>
          </w:p>
        </w:tc>
        <w:tc>
          <w:tcPr>
            <w:tcW w:w="1253" w:type="dxa"/>
            <w:tcBorders>
              <w:top w:val="nil"/>
              <w:left w:val="nil"/>
              <w:bottom w:val="single" w:sz="8" w:space="0" w:color="auto"/>
              <w:right w:val="single" w:sz="8" w:space="0" w:color="auto"/>
            </w:tcBorders>
            <w:vAlign w:val="center"/>
            <w:hideMark/>
          </w:tcPr>
          <w:p w14:paraId="0D530E2E" w14:textId="77777777" w:rsidR="00D055F4" w:rsidRPr="00D055F4" w:rsidRDefault="00D055F4" w:rsidP="005E0AC5">
            <w:pPr>
              <w:spacing w:line="252" w:lineRule="auto"/>
              <w:jc w:val="right"/>
              <w:textAlignment w:val="baseline"/>
              <w:rPr>
                <w:rFonts w:ascii="Arial" w:hAnsi="Arial" w:cs="Arial"/>
                <w:sz w:val="20"/>
                <w:szCs w:val="20"/>
                <w:lang w:eastAsia="en-GB"/>
              </w:rPr>
            </w:pPr>
            <w:r w:rsidRPr="00D055F4">
              <w:rPr>
                <w:rFonts w:ascii="Arial" w:hAnsi="Arial" w:cs="Arial"/>
                <w:sz w:val="20"/>
                <w:szCs w:val="20"/>
                <w:lang w:eastAsia="en-GB"/>
              </w:rPr>
              <w:t>22,816 </w:t>
            </w:r>
          </w:p>
        </w:tc>
        <w:tc>
          <w:tcPr>
            <w:tcW w:w="1276" w:type="dxa"/>
            <w:tcBorders>
              <w:top w:val="nil"/>
              <w:left w:val="nil"/>
              <w:bottom w:val="single" w:sz="8" w:space="0" w:color="auto"/>
              <w:right w:val="single" w:sz="8" w:space="0" w:color="auto"/>
            </w:tcBorders>
            <w:vAlign w:val="center"/>
            <w:hideMark/>
          </w:tcPr>
          <w:p w14:paraId="4653AEA3" w14:textId="77777777" w:rsidR="00D055F4" w:rsidRPr="00D055F4" w:rsidRDefault="00D055F4" w:rsidP="005E0AC5">
            <w:pPr>
              <w:spacing w:line="252" w:lineRule="auto"/>
              <w:jc w:val="right"/>
              <w:textAlignment w:val="baseline"/>
              <w:rPr>
                <w:rFonts w:ascii="Arial" w:hAnsi="Arial" w:cs="Arial"/>
                <w:sz w:val="20"/>
                <w:szCs w:val="20"/>
                <w:lang w:eastAsia="en-GB"/>
              </w:rPr>
            </w:pPr>
            <w:r w:rsidRPr="00D055F4">
              <w:rPr>
                <w:rFonts w:ascii="Arial" w:hAnsi="Arial" w:cs="Arial"/>
                <w:sz w:val="20"/>
                <w:szCs w:val="20"/>
                <w:lang w:eastAsia="en-GB"/>
              </w:rPr>
              <w:t>30,639 </w:t>
            </w:r>
          </w:p>
        </w:tc>
        <w:tc>
          <w:tcPr>
            <w:tcW w:w="1134" w:type="dxa"/>
            <w:tcBorders>
              <w:top w:val="nil"/>
              <w:left w:val="nil"/>
              <w:bottom w:val="single" w:sz="8" w:space="0" w:color="auto"/>
              <w:right w:val="single" w:sz="8" w:space="0" w:color="auto"/>
            </w:tcBorders>
            <w:vAlign w:val="center"/>
            <w:hideMark/>
          </w:tcPr>
          <w:p w14:paraId="135F7856" w14:textId="77777777" w:rsidR="00D055F4" w:rsidRPr="00D055F4" w:rsidRDefault="00D055F4" w:rsidP="005E0AC5">
            <w:pPr>
              <w:spacing w:line="252" w:lineRule="auto"/>
              <w:jc w:val="right"/>
              <w:textAlignment w:val="baseline"/>
              <w:rPr>
                <w:rFonts w:ascii="Arial" w:hAnsi="Arial" w:cs="Arial"/>
                <w:sz w:val="20"/>
                <w:szCs w:val="20"/>
                <w:lang w:eastAsia="en-GB"/>
              </w:rPr>
            </w:pPr>
            <w:r w:rsidRPr="00D055F4">
              <w:rPr>
                <w:rFonts w:ascii="Arial" w:hAnsi="Arial" w:cs="Arial"/>
                <w:sz w:val="20"/>
                <w:szCs w:val="20"/>
                <w:lang w:eastAsia="en-GB"/>
              </w:rPr>
              <w:t>43,742 </w:t>
            </w:r>
          </w:p>
        </w:tc>
      </w:tr>
      <w:tr w:rsidR="00D055F4" w:rsidRPr="00D055F4" w14:paraId="6A32BEC5" w14:textId="77777777" w:rsidTr="00D055F4">
        <w:trPr>
          <w:trHeight w:val="300"/>
          <w:jc w:val="center"/>
        </w:trPr>
        <w:tc>
          <w:tcPr>
            <w:tcW w:w="3283" w:type="dxa"/>
            <w:tcBorders>
              <w:top w:val="nil"/>
              <w:left w:val="single" w:sz="8" w:space="0" w:color="auto"/>
              <w:bottom w:val="single" w:sz="8" w:space="0" w:color="auto"/>
              <w:right w:val="single" w:sz="8" w:space="0" w:color="auto"/>
            </w:tcBorders>
            <w:vAlign w:val="center"/>
            <w:hideMark/>
          </w:tcPr>
          <w:p w14:paraId="7B3F03C0" w14:textId="77777777" w:rsidR="00D055F4" w:rsidRPr="00D055F4" w:rsidRDefault="00D055F4" w:rsidP="005E0AC5">
            <w:pPr>
              <w:spacing w:line="252" w:lineRule="auto"/>
              <w:textAlignment w:val="baseline"/>
              <w:rPr>
                <w:rFonts w:ascii="Arial" w:hAnsi="Arial" w:cs="Arial"/>
                <w:sz w:val="20"/>
                <w:szCs w:val="20"/>
                <w:lang w:eastAsia="en-GB"/>
              </w:rPr>
            </w:pPr>
            <w:r w:rsidRPr="00D055F4">
              <w:rPr>
                <w:rFonts w:ascii="Arial" w:hAnsi="Arial" w:cs="Arial"/>
                <w:sz w:val="20"/>
                <w:szCs w:val="20"/>
                <w:lang w:eastAsia="en-GB"/>
              </w:rPr>
              <w:t>Total Contractual Remuneration (£) </w:t>
            </w:r>
          </w:p>
        </w:tc>
        <w:tc>
          <w:tcPr>
            <w:tcW w:w="1253" w:type="dxa"/>
            <w:tcBorders>
              <w:top w:val="nil"/>
              <w:left w:val="nil"/>
              <w:bottom w:val="single" w:sz="8" w:space="0" w:color="auto"/>
              <w:right w:val="single" w:sz="8" w:space="0" w:color="auto"/>
            </w:tcBorders>
            <w:shd w:val="clear" w:color="auto" w:fill="DEEAF6"/>
            <w:vAlign w:val="center"/>
            <w:hideMark/>
          </w:tcPr>
          <w:p w14:paraId="3B7FE01A" w14:textId="77777777" w:rsidR="00D055F4" w:rsidRPr="00D055F4" w:rsidRDefault="00D055F4" w:rsidP="005E0AC5">
            <w:pPr>
              <w:spacing w:line="252" w:lineRule="auto"/>
              <w:jc w:val="right"/>
              <w:textAlignment w:val="baseline"/>
              <w:rPr>
                <w:rFonts w:ascii="Arial" w:hAnsi="Arial" w:cs="Arial"/>
                <w:sz w:val="20"/>
                <w:szCs w:val="20"/>
                <w:lang w:eastAsia="en-GB"/>
              </w:rPr>
            </w:pPr>
            <w:r w:rsidRPr="00D055F4">
              <w:rPr>
                <w:rFonts w:ascii="Arial" w:hAnsi="Arial" w:cs="Arial"/>
                <w:sz w:val="20"/>
                <w:szCs w:val="20"/>
                <w:lang w:eastAsia="en-GB"/>
              </w:rPr>
              <w:t>22,816 </w:t>
            </w:r>
          </w:p>
        </w:tc>
        <w:tc>
          <w:tcPr>
            <w:tcW w:w="1276" w:type="dxa"/>
            <w:tcBorders>
              <w:top w:val="nil"/>
              <w:left w:val="nil"/>
              <w:bottom w:val="single" w:sz="8" w:space="0" w:color="auto"/>
              <w:right w:val="single" w:sz="8" w:space="0" w:color="auto"/>
            </w:tcBorders>
            <w:shd w:val="clear" w:color="auto" w:fill="DEEAF6"/>
            <w:vAlign w:val="center"/>
            <w:hideMark/>
          </w:tcPr>
          <w:p w14:paraId="33C508F5" w14:textId="77777777" w:rsidR="00D055F4" w:rsidRPr="00D055F4" w:rsidRDefault="00D055F4" w:rsidP="005E0AC5">
            <w:pPr>
              <w:spacing w:line="252" w:lineRule="auto"/>
              <w:jc w:val="right"/>
              <w:textAlignment w:val="baseline"/>
              <w:rPr>
                <w:rFonts w:ascii="Arial" w:hAnsi="Arial" w:cs="Arial"/>
                <w:sz w:val="20"/>
                <w:szCs w:val="20"/>
                <w:lang w:eastAsia="en-GB"/>
              </w:rPr>
            </w:pPr>
            <w:r w:rsidRPr="00D055F4">
              <w:rPr>
                <w:rFonts w:ascii="Arial" w:hAnsi="Arial" w:cs="Arial"/>
                <w:sz w:val="20"/>
                <w:szCs w:val="20"/>
                <w:lang w:eastAsia="en-GB"/>
              </w:rPr>
              <w:t>30,639 </w:t>
            </w:r>
          </w:p>
        </w:tc>
        <w:tc>
          <w:tcPr>
            <w:tcW w:w="1134" w:type="dxa"/>
            <w:tcBorders>
              <w:top w:val="nil"/>
              <w:left w:val="nil"/>
              <w:bottom w:val="single" w:sz="8" w:space="0" w:color="auto"/>
              <w:right w:val="single" w:sz="8" w:space="0" w:color="auto"/>
            </w:tcBorders>
            <w:shd w:val="clear" w:color="auto" w:fill="DEEAF6"/>
            <w:vAlign w:val="center"/>
            <w:hideMark/>
          </w:tcPr>
          <w:p w14:paraId="28F56BBB" w14:textId="77777777" w:rsidR="00D055F4" w:rsidRPr="00D055F4" w:rsidRDefault="00D055F4" w:rsidP="005E0AC5">
            <w:pPr>
              <w:spacing w:line="252" w:lineRule="auto"/>
              <w:jc w:val="right"/>
              <w:textAlignment w:val="baseline"/>
              <w:rPr>
                <w:rFonts w:ascii="Arial" w:hAnsi="Arial" w:cs="Arial"/>
                <w:sz w:val="20"/>
                <w:szCs w:val="20"/>
                <w:lang w:eastAsia="en-GB"/>
              </w:rPr>
            </w:pPr>
            <w:r w:rsidRPr="00D055F4">
              <w:rPr>
                <w:rFonts w:ascii="Arial" w:hAnsi="Arial" w:cs="Arial"/>
                <w:sz w:val="20"/>
                <w:szCs w:val="20"/>
                <w:lang w:eastAsia="en-GB"/>
              </w:rPr>
              <w:t>42,618 </w:t>
            </w:r>
          </w:p>
        </w:tc>
      </w:tr>
      <w:tr w:rsidR="00D055F4" w:rsidRPr="00D055F4" w14:paraId="6303FA4F" w14:textId="77777777" w:rsidTr="00D055F4">
        <w:trPr>
          <w:trHeight w:val="300"/>
          <w:jc w:val="center"/>
        </w:trPr>
        <w:tc>
          <w:tcPr>
            <w:tcW w:w="3283" w:type="dxa"/>
            <w:tcBorders>
              <w:top w:val="nil"/>
              <w:left w:val="single" w:sz="8" w:space="0" w:color="auto"/>
              <w:bottom w:val="single" w:sz="8" w:space="0" w:color="auto"/>
              <w:right w:val="single" w:sz="8" w:space="0" w:color="auto"/>
            </w:tcBorders>
            <w:vAlign w:val="bottom"/>
            <w:hideMark/>
          </w:tcPr>
          <w:p w14:paraId="37CD839A" w14:textId="77777777" w:rsidR="00D055F4" w:rsidRPr="00D055F4" w:rsidRDefault="00D055F4" w:rsidP="005E0AC5">
            <w:pPr>
              <w:spacing w:line="252" w:lineRule="auto"/>
              <w:textAlignment w:val="baseline"/>
              <w:rPr>
                <w:rFonts w:ascii="Arial" w:hAnsi="Arial" w:cs="Arial"/>
                <w:sz w:val="20"/>
                <w:szCs w:val="20"/>
                <w:lang w:eastAsia="en-GB"/>
              </w:rPr>
            </w:pPr>
            <w:r w:rsidRPr="00D055F4">
              <w:rPr>
                <w:rFonts w:ascii="Arial" w:hAnsi="Arial" w:cs="Arial"/>
                <w:sz w:val="20"/>
                <w:szCs w:val="20"/>
                <w:lang w:eastAsia="en-GB"/>
              </w:rPr>
              <w:t> Ratio (mid-point of highest paid director / total remuneration values </w:t>
            </w:r>
          </w:p>
        </w:tc>
        <w:tc>
          <w:tcPr>
            <w:tcW w:w="1253" w:type="dxa"/>
            <w:tcBorders>
              <w:top w:val="nil"/>
              <w:left w:val="nil"/>
              <w:bottom w:val="single" w:sz="8" w:space="0" w:color="auto"/>
              <w:right w:val="single" w:sz="8" w:space="0" w:color="auto"/>
            </w:tcBorders>
            <w:vAlign w:val="center"/>
            <w:hideMark/>
          </w:tcPr>
          <w:p w14:paraId="623E8455" w14:textId="77777777" w:rsidR="00D055F4" w:rsidRPr="00D055F4" w:rsidRDefault="00D055F4" w:rsidP="005E0AC5">
            <w:pPr>
              <w:spacing w:line="252" w:lineRule="auto"/>
              <w:jc w:val="right"/>
              <w:textAlignment w:val="baseline"/>
              <w:rPr>
                <w:rFonts w:ascii="Arial" w:hAnsi="Arial" w:cs="Arial"/>
                <w:sz w:val="20"/>
                <w:szCs w:val="20"/>
                <w:lang w:eastAsia="en-GB"/>
              </w:rPr>
            </w:pPr>
            <w:r w:rsidRPr="00D055F4">
              <w:rPr>
                <w:rFonts w:ascii="Arial" w:hAnsi="Arial" w:cs="Arial"/>
                <w:b/>
                <w:bCs/>
                <w:sz w:val="20"/>
                <w:szCs w:val="20"/>
                <w:lang w:eastAsia="en-GB"/>
              </w:rPr>
              <w:t>9.97:1</w:t>
            </w:r>
            <w:r w:rsidRPr="00D055F4">
              <w:rPr>
                <w:rFonts w:ascii="Arial" w:hAnsi="Arial" w:cs="Arial"/>
                <w:sz w:val="20"/>
                <w:szCs w:val="20"/>
                <w:lang w:eastAsia="en-GB"/>
              </w:rPr>
              <w:t> </w:t>
            </w:r>
          </w:p>
        </w:tc>
        <w:tc>
          <w:tcPr>
            <w:tcW w:w="1276" w:type="dxa"/>
            <w:tcBorders>
              <w:top w:val="nil"/>
              <w:left w:val="nil"/>
              <w:bottom w:val="single" w:sz="8" w:space="0" w:color="auto"/>
              <w:right w:val="single" w:sz="8" w:space="0" w:color="auto"/>
            </w:tcBorders>
            <w:vAlign w:val="center"/>
            <w:hideMark/>
          </w:tcPr>
          <w:p w14:paraId="1367A578" w14:textId="77777777" w:rsidR="00D055F4" w:rsidRPr="00D055F4" w:rsidRDefault="00D055F4" w:rsidP="005E0AC5">
            <w:pPr>
              <w:spacing w:line="252" w:lineRule="auto"/>
              <w:jc w:val="right"/>
              <w:textAlignment w:val="baseline"/>
              <w:rPr>
                <w:rFonts w:ascii="Arial" w:hAnsi="Arial" w:cs="Arial"/>
                <w:sz w:val="20"/>
                <w:szCs w:val="20"/>
                <w:lang w:eastAsia="en-GB"/>
              </w:rPr>
            </w:pPr>
            <w:r w:rsidRPr="00D055F4">
              <w:rPr>
                <w:rFonts w:ascii="Arial" w:hAnsi="Arial" w:cs="Arial"/>
                <w:b/>
                <w:bCs/>
                <w:sz w:val="20"/>
                <w:szCs w:val="20"/>
                <w:lang w:eastAsia="en-GB"/>
              </w:rPr>
              <w:t>7.43:1</w:t>
            </w:r>
            <w:r w:rsidRPr="00D055F4">
              <w:rPr>
                <w:rFonts w:ascii="Arial" w:hAnsi="Arial" w:cs="Arial"/>
                <w:sz w:val="20"/>
                <w:szCs w:val="20"/>
                <w:lang w:eastAsia="en-GB"/>
              </w:rPr>
              <w:t> </w:t>
            </w:r>
          </w:p>
        </w:tc>
        <w:tc>
          <w:tcPr>
            <w:tcW w:w="1134" w:type="dxa"/>
            <w:tcBorders>
              <w:top w:val="nil"/>
              <w:left w:val="nil"/>
              <w:bottom w:val="single" w:sz="8" w:space="0" w:color="auto"/>
              <w:right w:val="single" w:sz="8" w:space="0" w:color="auto"/>
            </w:tcBorders>
            <w:vAlign w:val="center"/>
            <w:hideMark/>
          </w:tcPr>
          <w:p w14:paraId="0A43B85A" w14:textId="77777777" w:rsidR="00D055F4" w:rsidRPr="00D055F4" w:rsidRDefault="00D055F4" w:rsidP="005E0AC5">
            <w:pPr>
              <w:spacing w:line="252" w:lineRule="auto"/>
              <w:jc w:val="right"/>
              <w:textAlignment w:val="baseline"/>
              <w:rPr>
                <w:rFonts w:ascii="Arial" w:hAnsi="Arial" w:cs="Arial"/>
                <w:sz w:val="20"/>
                <w:szCs w:val="20"/>
                <w:lang w:eastAsia="en-GB"/>
              </w:rPr>
            </w:pPr>
            <w:r w:rsidRPr="00D055F4">
              <w:rPr>
                <w:rFonts w:ascii="Arial" w:hAnsi="Arial" w:cs="Arial"/>
                <w:b/>
                <w:bCs/>
                <w:sz w:val="20"/>
                <w:szCs w:val="20"/>
                <w:lang w:eastAsia="en-GB"/>
              </w:rPr>
              <w:t>5.33:1</w:t>
            </w:r>
            <w:r w:rsidRPr="00D055F4">
              <w:rPr>
                <w:rFonts w:ascii="Arial" w:hAnsi="Arial" w:cs="Arial"/>
                <w:sz w:val="20"/>
                <w:szCs w:val="20"/>
                <w:lang w:eastAsia="en-GB"/>
              </w:rPr>
              <w:t> </w:t>
            </w:r>
          </w:p>
        </w:tc>
      </w:tr>
    </w:tbl>
    <w:p w14:paraId="43AADC32" w14:textId="51F8EDA6" w:rsidR="00D055F4" w:rsidRPr="00D055F4" w:rsidRDefault="00D055F4" w:rsidP="00D055F4">
      <w:pPr>
        <w:textAlignment w:val="baseline"/>
        <w:rPr>
          <w:rFonts w:ascii="Arial" w:hAnsi="Arial" w:cs="Arial"/>
          <w:sz w:val="20"/>
          <w:szCs w:val="20"/>
          <w:lang w:eastAsia="en-GB"/>
        </w:rPr>
      </w:pPr>
      <w:r w:rsidRPr="00D055F4">
        <w:rPr>
          <w:rFonts w:ascii="Arial" w:hAnsi="Arial" w:cs="Arial"/>
          <w:sz w:val="20"/>
          <w:szCs w:val="20"/>
          <w:lang w:eastAsia="en-GB"/>
        </w:rPr>
        <w:t> </w:t>
      </w:r>
    </w:p>
    <w:p w14:paraId="0CCE3A57" w14:textId="77777777" w:rsidR="00D055F4" w:rsidRPr="00D055F4" w:rsidRDefault="00D055F4" w:rsidP="00D055F4">
      <w:pPr>
        <w:jc w:val="both"/>
        <w:textAlignment w:val="baseline"/>
        <w:rPr>
          <w:rFonts w:ascii="Arial" w:hAnsi="Arial" w:cs="Arial"/>
          <w:sz w:val="20"/>
          <w:szCs w:val="20"/>
          <w:lang w:eastAsia="en-GB"/>
        </w:rPr>
      </w:pPr>
      <w:r w:rsidRPr="00D055F4">
        <w:rPr>
          <w:rFonts w:ascii="Arial" w:hAnsi="Arial" w:cs="Arial"/>
          <w:sz w:val="20"/>
          <w:szCs w:val="20"/>
          <w:lang w:eastAsia="en-GB"/>
        </w:rPr>
        <w:t>During 2024/25 the median salary for all staff increased from £30,639 per annum to £32,324 per annum. This represents an increase of 5.50% (compared to a 5% increase in the previous year).</w:t>
      </w:r>
    </w:p>
    <w:p w14:paraId="5EA0DCB7" w14:textId="77777777" w:rsidR="00D055F4" w:rsidRPr="00D055F4" w:rsidRDefault="00D055F4" w:rsidP="00D055F4">
      <w:pPr>
        <w:jc w:val="both"/>
        <w:textAlignment w:val="baseline"/>
        <w:rPr>
          <w:rFonts w:ascii="Arial" w:hAnsi="Arial" w:cs="Arial"/>
          <w:sz w:val="20"/>
          <w:szCs w:val="20"/>
          <w:lang w:eastAsia="en-GB"/>
        </w:rPr>
      </w:pPr>
    </w:p>
    <w:p w14:paraId="5C4052C3" w14:textId="0AB1CEA7" w:rsidR="00D055F4" w:rsidRPr="00D055F4" w:rsidRDefault="00D055F4" w:rsidP="00D055F4">
      <w:pPr>
        <w:jc w:val="both"/>
        <w:textAlignment w:val="baseline"/>
        <w:rPr>
          <w:rFonts w:ascii="Arial" w:hAnsi="Arial" w:cs="Arial"/>
          <w:sz w:val="20"/>
          <w:szCs w:val="20"/>
          <w:lang w:eastAsia="en-GB"/>
        </w:rPr>
      </w:pPr>
      <w:r w:rsidRPr="00D055F4">
        <w:rPr>
          <w:rFonts w:ascii="Arial" w:hAnsi="Arial" w:cs="Arial"/>
          <w:sz w:val="20"/>
          <w:szCs w:val="20"/>
          <w:lang w:eastAsia="en-GB"/>
        </w:rPr>
        <w:lastRenderedPageBreak/>
        <w:t>The average total contractual remuneration (being the total salary and allowances for individuals) across the organisation as a whole for 2024/25 was £45,502. This is an increase of 16.6% (compared to a 4.94% increase in the previous year) on the same figure for 2023/24 (£39,022).</w:t>
      </w:r>
    </w:p>
    <w:p w14:paraId="2AB3ED77" w14:textId="77777777" w:rsidR="00D055F4" w:rsidRPr="00D055F4" w:rsidRDefault="00D055F4" w:rsidP="00D055F4">
      <w:pPr>
        <w:jc w:val="both"/>
        <w:textAlignment w:val="baseline"/>
        <w:rPr>
          <w:rFonts w:ascii="Arial" w:hAnsi="Arial" w:cs="Arial"/>
          <w:sz w:val="20"/>
          <w:szCs w:val="20"/>
          <w:lang w:eastAsia="en-GB"/>
        </w:rPr>
      </w:pPr>
    </w:p>
    <w:p w14:paraId="53A9B3EA" w14:textId="77777777" w:rsidR="00D055F4" w:rsidRPr="00D055F4" w:rsidRDefault="00D055F4" w:rsidP="00D055F4">
      <w:pPr>
        <w:jc w:val="both"/>
        <w:textAlignment w:val="baseline"/>
        <w:rPr>
          <w:rFonts w:ascii="Arial" w:hAnsi="Arial" w:cs="Arial"/>
          <w:sz w:val="20"/>
          <w:szCs w:val="20"/>
          <w:lang w:eastAsia="en-GB"/>
        </w:rPr>
      </w:pPr>
      <w:r w:rsidRPr="00D055F4">
        <w:rPr>
          <w:rFonts w:ascii="Arial" w:hAnsi="Arial" w:cs="Arial"/>
          <w:sz w:val="20"/>
          <w:szCs w:val="20"/>
          <w:lang w:eastAsia="en-GB"/>
        </w:rPr>
        <w:t>The salary range of lowest to highest paid individuals for 2024/25 was from £23,615 to £210,000 (this compares to £22,383 to £230,000 for 2023/24) </w:t>
      </w:r>
    </w:p>
    <w:p w14:paraId="3067EF00" w14:textId="77777777" w:rsidR="00D055F4" w:rsidRPr="00D055F4" w:rsidRDefault="00D055F4" w:rsidP="00D055F4">
      <w:pPr>
        <w:jc w:val="both"/>
        <w:textAlignment w:val="baseline"/>
        <w:rPr>
          <w:rFonts w:ascii="Arial" w:hAnsi="Arial" w:cs="Arial"/>
          <w:sz w:val="20"/>
          <w:szCs w:val="20"/>
          <w:lang w:eastAsia="en-GB"/>
        </w:rPr>
      </w:pPr>
      <w:r w:rsidRPr="00D055F4">
        <w:rPr>
          <w:rFonts w:ascii="Arial" w:hAnsi="Arial" w:cs="Arial"/>
          <w:sz w:val="20"/>
          <w:szCs w:val="20"/>
          <w:lang w:eastAsia="en-GB"/>
        </w:rPr>
        <w:t>During 2024/25 there was no single individual paid more than the highest paid director (based on total contractual salary remuneration) but factoring in additional non-contractual payments (such as additional bank duties or additional waiting list payments) this number increases to 10 individuals. </w:t>
      </w:r>
    </w:p>
    <w:p w14:paraId="1E48A86C" w14:textId="77777777" w:rsidR="00D055F4" w:rsidRPr="00D055F4" w:rsidRDefault="00D055F4" w:rsidP="00D055F4">
      <w:pPr>
        <w:jc w:val="both"/>
        <w:textAlignment w:val="baseline"/>
        <w:rPr>
          <w:rFonts w:ascii="Arial" w:hAnsi="Arial" w:cs="Arial"/>
          <w:sz w:val="20"/>
          <w:szCs w:val="20"/>
          <w:lang w:eastAsia="en-GB"/>
        </w:rPr>
      </w:pPr>
    </w:p>
    <w:p w14:paraId="6471ED68" w14:textId="77777777" w:rsidR="00D055F4" w:rsidRPr="00D055F4" w:rsidRDefault="00D055F4" w:rsidP="00D055F4">
      <w:pPr>
        <w:jc w:val="both"/>
        <w:textAlignment w:val="baseline"/>
        <w:rPr>
          <w:rFonts w:ascii="Arial" w:hAnsi="Arial" w:cs="Arial"/>
          <w:sz w:val="20"/>
          <w:szCs w:val="20"/>
          <w:lang w:eastAsia="en-GB"/>
        </w:rPr>
      </w:pPr>
      <w:r w:rsidRPr="00D055F4">
        <w:rPr>
          <w:rFonts w:ascii="Arial" w:hAnsi="Arial" w:cs="Arial"/>
          <w:sz w:val="20"/>
          <w:szCs w:val="20"/>
          <w:lang w:eastAsia="en-GB"/>
        </w:rPr>
        <w:t>The pay ratios between 2023/24 and 2024/25 have significantly reduced following a reduction in the highest paid Director from £225,000 - £230,000 to £205,000 - £210,000.</w:t>
      </w:r>
    </w:p>
    <w:p w14:paraId="01AD9523" w14:textId="77777777" w:rsidR="00D055F4" w:rsidRPr="00D055F4" w:rsidRDefault="00D055F4" w:rsidP="00D055F4">
      <w:pPr>
        <w:jc w:val="both"/>
        <w:textAlignment w:val="baseline"/>
        <w:rPr>
          <w:rFonts w:ascii="Arial" w:hAnsi="Arial" w:cs="Arial"/>
          <w:sz w:val="20"/>
          <w:szCs w:val="20"/>
          <w:lang w:eastAsia="en-GB"/>
        </w:rPr>
      </w:pPr>
    </w:p>
    <w:p w14:paraId="7B3F17D5" w14:textId="77777777" w:rsidR="00D055F4" w:rsidRPr="00D055F4" w:rsidRDefault="00D055F4" w:rsidP="00D055F4">
      <w:pPr>
        <w:rPr>
          <w:rFonts w:ascii="Arial" w:hAnsi="Arial" w:cs="Arial"/>
          <w:sz w:val="20"/>
          <w:szCs w:val="20"/>
        </w:rPr>
      </w:pPr>
      <w:r w:rsidRPr="00D055F4">
        <w:rPr>
          <w:rFonts w:ascii="Arial" w:hAnsi="Arial" w:cs="Arial"/>
          <w:sz w:val="20"/>
          <w:szCs w:val="20"/>
          <w:lang w:eastAsia="en-GB"/>
        </w:rPr>
        <w:t>These figures have been audited. </w:t>
      </w:r>
    </w:p>
    <w:p w14:paraId="01B2AD48" w14:textId="77777777" w:rsidR="000130E5" w:rsidRPr="00D055F4" w:rsidRDefault="000130E5" w:rsidP="000130E5">
      <w:pPr>
        <w:widowControl/>
        <w:jc w:val="both"/>
        <w:textAlignment w:val="baseline"/>
        <w:rPr>
          <w:rFonts w:ascii="Arial" w:eastAsia="Times New Roman" w:hAnsi="Arial" w:cs="Arial"/>
          <w:sz w:val="20"/>
          <w:szCs w:val="20"/>
          <w:lang w:val="en-GB" w:eastAsia="en-GB"/>
        </w:rPr>
      </w:pPr>
      <w:r w:rsidRPr="00D055F4">
        <w:rPr>
          <w:rFonts w:ascii="Arial" w:eastAsia="Times New Roman" w:hAnsi="Arial" w:cs="Arial"/>
          <w:sz w:val="20"/>
          <w:szCs w:val="20"/>
          <w:lang w:val="en-GB" w:eastAsia="en-GB"/>
        </w:rPr>
        <w:t> </w:t>
      </w:r>
    </w:p>
    <w:p w14:paraId="3EAE664B" w14:textId="77777777" w:rsidR="000130E5" w:rsidRPr="00D055F4" w:rsidRDefault="000130E5" w:rsidP="000130E5">
      <w:pPr>
        <w:widowControl/>
        <w:jc w:val="both"/>
        <w:textAlignment w:val="baseline"/>
        <w:rPr>
          <w:rFonts w:ascii="Arial" w:eastAsia="Times New Roman" w:hAnsi="Arial" w:cs="Arial"/>
          <w:sz w:val="20"/>
          <w:szCs w:val="20"/>
          <w:lang w:val="en-GB" w:eastAsia="en-GB"/>
        </w:rPr>
      </w:pPr>
      <w:r w:rsidRPr="00D055F4">
        <w:rPr>
          <w:rFonts w:ascii="Arial" w:eastAsia="Times New Roman" w:hAnsi="Arial" w:cs="Arial"/>
          <w:b/>
          <w:bCs/>
          <w:sz w:val="20"/>
          <w:szCs w:val="20"/>
          <w:lang w:eastAsia="en-GB"/>
        </w:rPr>
        <w:t>Expenditure on Consultancy</w:t>
      </w:r>
      <w:r w:rsidRPr="00D055F4">
        <w:rPr>
          <w:rFonts w:ascii="Arial" w:eastAsia="Times New Roman" w:hAnsi="Arial" w:cs="Arial"/>
          <w:color w:val="D13438"/>
          <w:sz w:val="20"/>
          <w:szCs w:val="20"/>
          <w:lang w:val="en-GB" w:eastAsia="en-GB"/>
        </w:rPr>
        <w:t> </w:t>
      </w:r>
    </w:p>
    <w:p w14:paraId="43971B7F" w14:textId="77777777" w:rsidR="000130E5" w:rsidRPr="00D055F4" w:rsidRDefault="000130E5" w:rsidP="000130E5">
      <w:pPr>
        <w:widowControl/>
        <w:jc w:val="both"/>
        <w:textAlignment w:val="baseline"/>
        <w:rPr>
          <w:rFonts w:ascii="Arial" w:eastAsia="Times New Roman" w:hAnsi="Arial" w:cs="Arial"/>
          <w:sz w:val="20"/>
          <w:szCs w:val="20"/>
          <w:lang w:val="en-GB" w:eastAsia="en-GB"/>
        </w:rPr>
      </w:pPr>
      <w:r w:rsidRPr="00D055F4">
        <w:rPr>
          <w:rFonts w:ascii="Arial" w:eastAsia="Times New Roman" w:hAnsi="Arial" w:cs="Arial"/>
          <w:sz w:val="20"/>
          <w:szCs w:val="20"/>
          <w:lang w:eastAsia="en-GB"/>
        </w:rPr>
        <w:t xml:space="preserve">The Trust spent £598,000 on consultancy during 2024/25 (2023/24: £864,000).  The decrease is due to the support and roll out of the Trust’s Patient First improvement methodology, which principally took place in 2022/23. </w:t>
      </w:r>
      <w:r w:rsidRPr="00D055F4">
        <w:rPr>
          <w:rFonts w:ascii="Arial" w:eastAsia="Times New Roman" w:hAnsi="Arial" w:cs="Arial"/>
          <w:sz w:val="20"/>
          <w:szCs w:val="20"/>
          <w:lang w:val="en-GB" w:eastAsia="en-GB"/>
        </w:rPr>
        <w:t> </w:t>
      </w:r>
    </w:p>
    <w:p w14:paraId="1706B639" w14:textId="77777777" w:rsidR="000130E5" w:rsidRPr="00D055F4" w:rsidRDefault="000130E5" w:rsidP="000130E5">
      <w:pPr>
        <w:widowControl/>
        <w:jc w:val="both"/>
        <w:textAlignment w:val="baseline"/>
        <w:rPr>
          <w:rFonts w:ascii="Arial" w:eastAsia="Times New Roman" w:hAnsi="Arial" w:cs="Arial"/>
          <w:sz w:val="20"/>
          <w:szCs w:val="20"/>
          <w:lang w:val="en-GB" w:eastAsia="en-GB"/>
        </w:rPr>
      </w:pPr>
      <w:r w:rsidRPr="00D055F4">
        <w:rPr>
          <w:rFonts w:ascii="Arial" w:eastAsia="Times New Roman" w:hAnsi="Arial" w:cs="Arial"/>
          <w:sz w:val="20"/>
          <w:szCs w:val="20"/>
          <w:lang w:val="en-GB" w:eastAsia="en-GB"/>
        </w:rPr>
        <w:t> </w:t>
      </w:r>
    </w:p>
    <w:p w14:paraId="77896F70" w14:textId="77777777" w:rsidR="002B5A69" w:rsidRPr="004030DB" w:rsidRDefault="002B5A69" w:rsidP="000130E5">
      <w:pPr>
        <w:jc w:val="both"/>
        <w:rPr>
          <w:rFonts w:ascii="Arial" w:hAnsi="Arial" w:cs="Arial"/>
          <w:sz w:val="20"/>
          <w:szCs w:val="20"/>
        </w:rPr>
      </w:pPr>
    </w:p>
    <w:p w14:paraId="237D9869" w14:textId="77777777" w:rsidR="00983279" w:rsidRPr="00983279" w:rsidRDefault="00983279" w:rsidP="00983279">
      <w:pPr>
        <w:rPr>
          <w:rFonts w:ascii="Arial" w:hAnsi="Arial" w:cs="Arial"/>
          <w:sz w:val="20"/>
          <w:szCs w:val="20"/>
          <w:lang w:val="en-GB"/>
        </w:rPr>
      </w:pPr>
      <w:r w:rsidRPr="00983279">
        <w:rPr>
          <w:rFonts w:ascii="Arial" w:hAnsi="Arial" w:cs="Arial"/>
          <w:sz w:val="20"/>
          <w:szCs w:val="20"/>
          <w:lang w:val="en-GB"/>
        </w:rPr>
        <w:t>Signed</w:t>
      </w:r>
    </w:p>
    <w:p w14:paraId="244CC97D" w14:textId="77777777" w:rsidR="00983279" w:rsidRPr="00983279" w:rsidRDefault="00983279" w:rsidP="00983279">
      <w:pPr>
        <w:rPr>
          <w:rFonts w:ascii="Arial" w:hAnsi="Arial" w:cs="Arial"/>
          <w:sz w:val="20"/>
          <w:szCs w:val="20"/>
          <w:lang w:val="en-GB"/>
        </w:rPr>
      </w:pPr>
    </w:p>
    <w:p w14:paraId="30DA95FB" w14:textId="77777777" w:rsidR="00983279" w:rsidRPr="00983279" w:rsidRDefault="00983279" w:rsidP="00983279">
      <w:pPr>
        <w:rPr>
          <w:rFonts w:ascii="Arial" w:hAnsi="Arial" w:cs="Arial"/>
          <w:sz w:val="20"/>
          <w:szCs w:val="20"/>
          <w:lang w:val="en-GB"/>
        </w:rPr>
      </w:pPr>
      <w:r w:rsidRPr="00983279">
        <w:rPr>
          <w:rFonts w:ascii="Arial" w:hAnsi="Arial" w:cs="Arial"/>
          <w:noProof/>
          <w:sz w:val="20"/>
          <w:szCs w:val="20"/>
          <w:lang w:val="en-GB"/>
        </w:rPr>
        <w:drawing>
          <wp:inline distT="0" distB="0" distL="0" distR="0" wp14:anchorId="4A270F6F" wp14:editId="14C3D172">
            <wp:extent cx="2324100" cy="1511300"/>
            <wp:effectExtent l="0" t="0" r="0" b="0"/>
            <wp:docPr id="14" name="Picture 14" descr="Signature of Interim Chief Executive, Jonathan W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ignature of Interim Chief Executive, Jonathan Wad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24100" cy="1511300"/>
                    </a:xfrm>
                    <a:prstGeom prst="rect">
                      <a:avLst/>
                    </a:prstGeom>
                    <a:noFill/>
                    <a:ln>
                      <a:noFill/>
                    </a:ln>
                  </pic:spPr>
                </pic:pic>
              </a:graphicData>
            </a:graphic>
          </wp:inline>
        </w:drawing>
      </w:r>
    </w:p>
    <w:p w14:paraId="4CB8824B" w14:textId="77777777" w:rsidR="00983279" w:rsidRPr="00983279" w:rsidRDefault="00983279" w:rsidP="00983279">
      <w:pPr>
        <w:rPr>
          <w:rFonts w:ascii="Arial" w:hAnsi="Arial" w:cs="Arial"/>
          <w:sz w:val="20"/>
          <w:szCs w:val="20"/>
          <w:lang w:val="en-GB"/>
        </w:rPr>
      </w:pPr>
      <w:r w:rsidRPr="00983279">
        <w:rPr>
          <w:rFonts w:ascii="Arial" w:hAnsi="Arial" w:cs="Arial"/>
          <w:sz w:val="20"/>
          <w:szCs w:val="20"/>
          <w:lang w:val="en-GB"/>
        </w:rPr>
        <w:t>………………………………..</w:t>
      </w:r>
    </w:p>
    <w:p w14:paraId="5D6B555B" w14:textId="77777777" w:rsidR="00983279" w:rsidRPr="00983279" w:rsidRDefault="00983279" w:rsidP="00983279">
      <w:pPr>
        <w:rPr>
          <w:rFonts w:ascii="Arial" w:hAnsi="Arial" w:cs="Arial"/>
          <w:b/>
          <w:sz w:val="20"/>
          <w:szCs w:val="20"/>
          <w:lang w:val="en-GB"/>
        </w:rPr>
      </w:pPr>
      <w:r w:rsidRPr="00983279">
        <w:rPr>
          <w:rFonts w:ascii="Arial" w:hAnsi="Arial" w:cs="Arial"/>
          <w:b/>
          <w:sz w:val="20"/>
          <w:szCs w:val="20"/>
          <w:lang w:val="en-GB"/>
        </w:rPr>
        <w:t>Jon Wade</w:t>
      </w:r>
    </w:p>
    <w:p w14:paraId="79B6634A" w14:textId="77777777" w:rsidR="00983279" w:rsidRPr="00983279" w:rsidRDefault="00983279" w:rsidP="00983279">
      <w:pPr>
        <w:rPr>
          <w:rFonts w:ascii="Arial" w:hAnsi="Arial" w:cs="Arial"/>
          <w:b/>
          <w:sz w:val="20"/>
          <w:szCs w:val="20"/>
          <w:lang w:val="en-GB"/>
        </w:rPr>
      </w:pPr>
      <w:r w:rsidRPr="00983279">
        <w:rPr>
          <w:rFonts w:ascii="Arial" w:hAnsi="Arial" w:cs="Arial"/>
          <w:b/>
          <w:sz w:val="20"/>
          <w:szCs w:val="20"/>
          <w:lang w:val="en-GB"/>
        </w:rPr>
        <w:t>Chief Executive Officer</w:t>
      </w:r>
    </w:p>
    <w:p w14:paraId="650C08EA" w14:textId="77777777" w:rsidR="00983279" w:rsidRPr="00885B57" w:rsidRDefault="00983279" w:rsidP="00983279">
      <w:pPr>
        <w:rPr>
          <w:rFonts w:ascii="Arial" w:hAnsi="Arial" w:cs="Arial"/>
          <w:b/>
          <w:sz w:val="20"/>
          <w:szCs w:val="20"/>
          <w:lang w:val="en-GB"/>
        </w:rPr>
      </w:pPr>
      <w:r w:rsidRPr="00983279">
        <w:rPr>
          <w:rFonts w:ascii="Arial" w:hAnsi="Arial" w:cs="Arial"/>
          <w:b/>
          <w:sz w:val="20"/>
          <w:szCs w:val="20"/>
          <w:lang w:val="en-GB"/>
        </w:rPr>
        <w:t>Date: Friday, 20 June 2025</w:t>
      </w:r>
    </w:p>
    <w:p w14:paraId="19BEDCBD" w14:textId="77777777" w:rsidR="00983279" w:rsidRPr="00885B57" w:rsidRDefault="00983279" w:rsidP="00983279">
      <w:pPr>
        <w:rPr>
          <w:rFonts w:ascii="Arial" w:hAnsi="Arial" w:cs="Arial"/>
          <w:sz w:val="20"/>
          <w:szCs w:val="20"/>
          <w:lang w:val="en-GB"/>
        </w:rPr>
      </w:pPr>
    </w:p>
    <w:p w14:paraId="678BA90B" w14:textId="77777777" w:rsidR="00F46465" w:rsidRDefault="00F46465" w:rsidP="00FB3203">
      <w:pPr>
        <w:rPr>
          <w:rFonts w:ascii="Arial" w:hAnsi="Arial" w:cs="Arial"/>
          <w:sz w:val="20"/>
          <w:szCs w:val="20"/>
          <w:lang w:val="en-GB"/>
        </w:rPr>
      </w:pPr>
    </w:p>
    <w:p w14:paraId="37CD677D" w14:textId="77777777" w:rsidR="00C74C2C" w:rsidRDefault="00C74C2C" w:rsidP="00FB3203">
      <w:pPr>
        <w:rPr>
          <w:rFonts w:ascii="Arial" w:hAnsi="Arial" w:cs="Arial"/>
          <w:sz w:val="20"/>
          <w:szCs w:val="20"/>
          <w:lang w:val="en-GB"/>
        </w:rPr>
      </w:pPr>
    </w:p>
    <w:p w14:paraId="5E080232" w14:textId="77777777" w:rsidR="00C74C2C" w:rsidRDefault="00C74C2C" w:rsidP="00FB3203">
      <w:pPr>
        <w:rPr>
          <w:rFonts w:ascii="Arial" w:hAnsi="Arial" w:cs="Arial"/>
          <w:sz w:val="20"/>
          <w:szCs w:val="20"/>
          <w:lang w:val="en-GB"/>
        </w:rPr>
      </w:pPr>
    </w:p>
    <w:p w14:paraId="7449258E" w14:textId="77777777" w:rsidR="00C74C2C" w:rsidRDefault="00C74C2C" w:rsidP="00FB3203">
      <w:pPr>
        <w:rPr>
          <w:rFonts w:ascii="Arial" w:hAnsi="Arial" w:cs="Arial"/>
          <w:sz w:val="20"/>
          <w:szCs w:val="20"/>
          <w:lang w:val="en-GB"/>
        </w:rPr>
      </w:pPr>
    </w:p>
    <w:p w14:paraId="3532C048" w14:textId="77777777" w:rsidR="00C74C2C" w:rsidRDefault="00C74C2C" w:rsidP="00FB3203">
      <w:pPr>
        <w:rPr>
          <w:rFonts w:ascii="Arial" w:hAnsi="Arial" w:cs="Arial"/>
          <w:sz w:val="20"/>
          <w:szCs w:val="20"/>
          <w:lang w:val="en-GB"/>
        </w:rPr>
      </w:pPr>
    </w:p>
    <w:p w14:paraId="77076232" w14:textId="77777777" w:rsidR="00C74C2C" w:rsidRDefault="00C74C2C" w:rsidP="00FB3203">
      <w:pPr>
        <w:rPr>
          <w:rFonts w:ascii="Arial" w:hAnsi="Arial" w:cs="Arial"/>
          <w:sz w:val="20"/>
          <w:szCs w:val="20"/>
          <w:lang w:val="en-GB"/>
        </w:rPr>
      </w:pPr>
    </w:p>
    <w:p w14:paraId="714F0269" w14:textId="77777777" w:rsidR="00C74C2C" w:rsidRDefault="00C74C2C" w:rsidP="00FB3203">
      <w:pPr>
        <w:rPr>
          <w:rFonts w:ascii="Arial" w:hAnsi="Arial" w:cs="Arial"/>
          <w:sz w:val="20"/>
          <w:szCs w:val="20"/>
          <w:lang w:val="en-GB"/>
        </w:rPr>
      </w:pPr>
    </w:p>
    <w:p w14:paraId="7F1C65DC" w14:textId="77777777" w:rsidR="00C74C2C" w:rsidRDefault="00C74C2C" w:rsidP="00FB3203">
      <w:pPr>
        <w:rPr>
          <w:rFonts w:ascii="Arial" w:hAnsi="Arial" w:cs="Arial"/>
          <w:sz w:val="20"/>
          <w:szCs w:val="20"/>
          <w:lang w:val="en-GB"/>
        </w:rPr>
      </w:pPr>
    </w:p>
    <w:p w14:paraId="7F7CA287" w14:textId="77777777" w:rsidR="00C74C2C" w:rsidRDefault="00C74C2C" w:rsidP="00FB3203">
      <w:pPr>
        <w:rPr>
          <w:rFonts w:ascii="Arial" w:hAnsi="Arial" w:cs="Arial"/>
          <w:sz w:val="20"/>
          <w:szCs w:val="20"/>
          <w:lang w:val="en-GB"/>
        </w:rPr>
      </w:pPr>
    </w:p>
    <w:p w14:paraId="6B740DC0" w14:textId="77777777" w:rsidR="00C74C2C" w:rsidRDefault="00C74C2C" w:rsidP="00FB3203">
      <w:pPr>
        <w:rPr>
          <w:rFonts w:ascii="Arial" w:hAnsi="Arial" w:cs="Arial"/>
          <w:sz w:val="20"/>
          <w:szCs w:val="20"/>
          <w:lang w:val="en-GB"/>
        </w:rPr>
      </w:pPr>
    </w:p>
    <w:p w14:paraId="5E407091" w14:textId="77777777" w:rsidR="00C74C2C" w:rsidRDefault="00C74C2C" w:rsidP="00FB3203">
      <w:pPr>
        <w:rPr>
          <w:rFonts w:ascii="Arial" w:hAnsi="Arial" w:cs="Arial"/>
          <w:sz w:val="20"/>
          <w:szCs w:val="20"/>
          <w:lang w:val="en-GB"/>
        </w:rPr>
      </w:pPr>
    </w:p>
    <w:p w14:paraId="692B4137" w14:textId="77777777" w:rsidR="00C74C2C" w:rsidRDefault="00C74C2C" w:rsidP="00FB3203">
      <w:pPr>
        <w:rPr>
          <w:rFonts w:ascii="Arial" w:hAnsi="Arial" w:cs="Arial"/>
          <w:sz w:val="20"/>
          <w:szCs w:val="20"/>
          <w:lang w:val="en-GB"/>
        </w:rPr>
      </w:pPr>
    </w:p>
    <w:p w14:paraId="3B71D351" w14:textId="77777777" w:rsidR="00C74C2C" w:rsidRDefault="00C74C2C" w:rsidP="00FB3203">
      <w:pPr>
        <w:rPr>
          <w:rFonts w:ascii="Arial" w:hAnsi="Arial" w:cs="Arial"/>
          <w:sz w:val="20"/>
          <w:szCs w:val="20"/>
          <w:lang w:val="en-GB"/>
        </w:rPr>
      </w:pPr>
    </w:p>
    <w:p w14:paraId="18C49954" w14:textId="77777777" w:rsidR="00C74C2C" w:rsidRDefault="00C74C2C" w:rsidP="00FB3203">
      <w:pPr>
        <w:rPr>
          <w:rFonts w:ascii="Arial" w:hAnsi="Arial" w:cs="Arial"/>
          <w:sz w:val="20"/>
          <w:szCs w:val="20"/>
          <w:lang w:val="en-GB"/>
        </w:rPr>
      </w:pPr>
    </w:p>
    <w:p w14:paraId="493AE942" w14:textId="77777777" w:rsidR="00C74C2C" w:rsidRDefault="00C74C2C" w:rsidP="00FB3203">
      <w:pPr>
        <w:rPr>
          <w:rFonts w:ascii="Arial" w:hAnsi="Arial" w:cs="Arial"/>
          <w:sz w:val="20"/>
          <w:szCs w:val="20"/>
          <w:lang w:val="en-GB"/>
        </w:rPr>
      </w:pPr>
    </w:p>
    <w:p w14:paraId="7413563A" w14:textId="77777777" w:rsidR="00C74C2C" w:rsidRDefault="00C74C2C" w:rsidP="00FB3203">
      <w:pPr>
        <w:rPr>
          <w:rFonts w:ascii="Arial" w:hAnsi="Arial" w:cs="Arial"/>
          <w:sz w:val="20"/>
          <w:szCs w:val="20"/>
          <w:lang w:val="en-GB"/>
        </w:rPr>
      </w:pPr>
    </w:p>
    <w:p w14:paraId="24DFD354" w14:textId="77777777" w:rsidR="00C74C2C" w:rsidRDefault="00C74C2C" w:rsidP="00FB3203">
      <w:pPr>
        <w:rPr>
          <w:rFonts w:ascii="Arial" w:hAnsi="Arial" w:cs="Arial"/>
          <w:sz w:val="20"/>
          <w:szCs w:val="20"/>
          <w:lang w:val="en-GB"/>
        </w:rPr>
      </w:pPr>
    </w:p>
    <w:p w14:paraId="39BAF27E" w14:textId="77777777" w:rsidR="00C74C2C" w:rsidRDefault="00C74C2C" w:rsidP="00FB3203">
      <w:pPr>
        <w:rPr>
          <w:rFonts w:ascii="Arial" w:hAnsi="Arial" w:cs="Arial"/>
          <w:sz w:val="20"/>
          <w:szCs w:val="20"/>
          <w:lang w:val="en-GB"/>
        </w:rPr>
      </w:pPr>
    </w:p>
    <w:p w14:paraId="53F58F5C" w14:textId="77777777" w:rsidR="00C74C2C" w:rsidRDefault="00C74C2C" w:rsidP="00FB3203">
      <w:pPr>
        <w:rPr>
          <w:rFonts w:ascii="Arial" w:hAnsi="Arial" w:cs="Arial"/>
          <w:sz w:val="20"/>
          <w:szCs w:val="20"/>
          <w:lang w:val="en-GB"/>
        </w:rPr>
      </w:pPr>
    </w:p>
    <w:p w14:paraId="0E89901F" w14:textId="77777777" w:rsidR="00C74C2C" w:rsidRDefault="00C74C2C" w:rsidP="00FB3203">
      <w:pPr>
        <w:rPr>
          <w:rFonts w:ascii="Arial" w:hAnsi="Arial" w:cs="Arial"/>
          <w:sz w:val="20"/>
          <w:szCs w:val="20"/>
          <w:lang w:val="en-GB"/>
        </w:rPr>
      </w:pPr>
    </w:p>
    <w:p w14:paraId="4E6AA49E" w14:textId="77777777" w:rsidR="00C74C2C" w:rsidRDefault="00C74C2C" w:rsidP="00FB3203">
      <w:pPr>
        <w:rPr>
          <w:rFonts w:ascii="Arial" w:hAnsi="Arial" w:cs="Arial"/>
          <w:sz w:val="20"/>
          <w:szCs w:val="20"/>
          <w:lang w:val="en-GB"/>
        </w:rPr>
      </w:pPr>
    </w:p>
    <w:p w14:paraId="6C3A1371" w14:textId="77777777" w:rsidR="00C74C2C" w:rsidRDefault="00C74C2C" w:rsidP="00FB3203">
      <w:pPr>
        <w:rPr>
          <w:rFonts w:ascii="Arial" w:hAnsi="Arial" w:cs="Arial"/>
          <w:sz w:val="20"/>
          <w:szCs w:val="20"/>
          <w:lang w:val="en-GB"/>
        </w:rPr>
      </w:pPr>
    </w:p>
    <w:p w14:paraId="347623B6" w14:textId="77777777" w:rsidR="00FD2B58" w:rsidRPr="004030DB" w:rsidRDefault="00FD2B58" w:rsidP="00FD2B58">
      <w:pPr>
        <w:widowControl/>
        <w:jc w:val="both"/>
        <w:textAlignment w:val="baseline"/>
        <w:rPr>
          <w:rFonts w:ascii="Segoe UI" w:eastAsia="Times New Roman" w:hAnsi="Segoe UI" w:cs="Segoe UI"/>
          <w:sz w:val="20"/>
          <w:szCs w:val="20"/>
          <w:lang w:val="en-GB" w:eastAsia="en-GB"/>
        </w:rPr>
      </w:pPr>
      <w:r w:rsidRPr="004030DB">
        <w:rPr>
          <w:rFonts w:ascii="Arial" w:eastAsia="Times New Roman" w:hAnsi="Arial" w:cs="Arial"/>
          <w:b/>
          <w:bCs/>
          <w:sz w:val="20"/>
          <w:szCs w:val="20"/>
          <w:lang w:val="en-GB" w:eastAsia="en-GB"/>
        </w:rPr>
        <w:lastRenderedPageBreak/>
        <w:t>Staff Report</w:t>
      </w:r>
      <w:r w:rsidRPr="004030DB">
        <w:rPr>
          <w:rFonts w:ascii="Arial" w:eastAsia="Times New Roman" w:hAnsi="Arial" w:cs="Arial"/>
          <w:sz w:val="20"/>
          <w:szCs w:val="20"/>
          <w:lang w:val="en-GB" w:eastAsia="en-GB"/>
        </w:rPr>
        <w:t> </w:t>
      </w:r>
    </w:p>
    <w:p w14:paraId="3344C952" w14:textId="77777777" w:rsidR="00FD2B58" w:rsidRPr="004030DB" w:rsidRDefault="00FD2B58" w:rsidP="00FD2B58">
      <w:pPr>
        <w:widowControl/>
        <w:jc w:val="both"/>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val="en-GB" w:eastAsia="en-GB"/>
        </w:rPr>
        <w:t> </w:t>
      </w:r>
    </w:p>
    <w:p w14:paraId="70EC1E36" w14:textId="77777777" w:rsidR="00FD2B58" w:rsidRPr="004030DB" w:rsidRDefault="00FD2B58" w:rsidP="00FD2B58">
      <w:pPr>
        <w:widowControl/>
        <w:jc w:val="both"/>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The table below profiles the average worked full-time equivalent workforce across the organisation (including temporary staff) throughout 2024/25.  </w:t>
      </w:r>
      <w:r w:rsidRPr="004030DB">
        <w:rPr>
          <w:rFonts w:ascii="Arial" w:eastAsia="Times New Roman" w:hAnsi="Arial" w:cs="Arial"/>
          <w:sz w:val="20"/>
          <w:szCs w:val="20"/>
          <w:lang w:val="en-GB" w:eastAsia="en-GB"/>
        </w:rPr>
        <w:t> </w:t>
      </w:r>
    </w:p>
    <w:p w14:paraId="2D4FEC23" w14:textId="77777777" w:rsidR="00FD2B58" w:rsidRPr="004030DB" w:rsidRDefault="00FD2B58" w:rsidP="00FD2B58">
      <w:pPr>
        <w:widowControl/>
        <w:jc w:val="both"/>
        <w:textAlignment w:val="baseline"/>
        <w:rPr>
          <w:rFonts w:ascii="Segoe UI" w:eastAsia="Times New Roman" w:hAnsi="Segoe UI" w:cs="Segoe UI"/>
          <w:sz w:val="20"/>
          <w:szCs w:val="20"/>
          <w:lang w:val="en-GB" w:eastAsia="en-GB"/>
        </w:rPr>
      </w:pPr>
    </w:p>
    <w:p w14:paraId="6E22D18E" w14:textId="77777777" w:rsidR="00FD2B58" w:rsidRPr="004030DB" w:rsidRDefault="00FD2B58" w:rsidP="00FD2B58">
      <w:pPr>
        <w:widowControl/>
        <w:jc w:val="both"/>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val="en-GB" w:eastAsia="en-GB"/>
        </w:rPr>
        <w:t>Average number of employees (WTE basis); these numbers are calculated based on monthly actual FTE across the period: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00"/>
        <w:gridCol w:w="1800"/>
        <w:gridCol w:w="750"/>
        <w:gridCol w:w="1050"/>
        <w:gridCol w:w="195"/>
        <w:gridCol w:w="1125"/>
        <w:gridCol w:w="480"/>
        <w:gridCol w:w="645"/>
        <w:gridCol w:w="1155"/>
      </w:tblGrid>
      <w:tr w:rsidR="00FD2B58" w:rsidRPr="004030DB" w14:paraId="21B6D2AD" w14:textId="77777777" w:rsidTr="00FD2B58">
        <w:trPr>
          <w:trHeight w:val="300"/>
        </w:trPr>
        <w:tc>
          <w:tcPr>
            <w:tcW w:w="4350" w:type="dxa"/>
            <w:gridSpan w:val="3"/>
            <w:tcBorders>
              <w:top w:val="nil"/>
              <w:left w:val="nil"/>
              <w:bottom w:val="nil"/>
              <w:right w:val="nil"/>
            </w:tcBorders>
            <w:hideMark/>
          </w:tcPr>
          <w:p w14:paraId="48CE226E"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color w:val="D13438"/>
                <w:sz w:val="20"/>
                <w:szCs w:val="20"/>
                <w:lang w:val="en-GB" w:eastAsia="en-GB"/>
              </w:rPr>
              <w:t> </w:t>
            </w:r>
          </w:p>
        </w:tc>
        <w:tc>
          <w:tcPr>
            <w:tcW w:w="1245" w:type="dxa"/>
            <w:gridSpan w:val="2"/>
            <w:tcBorders>
              <w:top w:val="nil"/>
              <w:left w:val="nil"/>
              <w:bottom w:val="single" w:sz="6" w:space="0" w:color="auto"/>
              <w:right w:val="nil"/>
            </w:tcBorders>
            <w:hideMark/>
          </w:tcPr>
          <w:p w14:paraId="270BBAE4" w14:textId="77777777" w:rsidR="00FD2B58" w:rsidRPr="004030DB" w:rsidRDefault="00FD2B58" w:rsidP="00FD2B58">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color w:val="D13438"/>
                <w:sz w:val="20"/>
                <w:szCs w:val="20"/>
                <w:lang w:val="en-GB" w:eastAsia="en-GB"/>
              </w:rPr>
              <w:t> </w:t>
            </w:r>
          </w:p>
        </w:tc>
        <w:tc>
          <w:tcPr>
            <w:tcW w:w="1125" w:type="dxa"/>
            <w:tcBorders>
              <w:top w:val="nil"/>
              <w:left w:val="nil"/>
              <w:bottom w:val="single" w:sz="6" w:space="0" w:color="auto"/>
              <w:right w:val="single" w:sz="6" w:space="0" w:color="auto"/>
            </w:tcBorders>
            <w:hideMark/>
          </w:tcPr>
          <w:p w14:paraId="080D8A02" w14:textId="77777777" w:rsidR="00FD2B58" w:rsidRPr="004030DB" w:rsidRDefault="00FD2B58" w:rsidP="00FD2B58">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color w:val="D13438"/>
                <w:sz w:val="20"/>
                <w:szCs w:val="20"/>
                <w:lang w:val="en-GB" w:eastAsia="en-GB"/>
              </w:rPr>
              <w:t> </w:t>
            </w:r>
          </w:p>
        </w:tc>
        <w:tc>
          <w:tcPr>
            <w:tcW w:w="1125" w:type="dxa"/>
            <w:gridSpan w:val="2"/>
            <w:tcBorders>
              <w:top w:val="single" w:sz="6" w:space="0" w:color="auto"/>
              <w:left w:val="single" w:sz="6" w:space="0" w:color="auto"/>
              <w:bottom w:val="single" w:sz="6" w:space="0" w:color="auto"/>
              <w:right w:val="single" w:sz="6" w:space="0" w:color="auto"/>
            </w:tcBorders>
            <w:shd w:val="clear" w:color="auto" w:fill="DEEAF6"/>
            <w:hideMark/>
          </w:tcPr>
          <w:p w14:paraId="0A7425A7" w14:textId="77777777" w:rsidR="00FD2B58" w:rsidRPr="004030DB" w:rsidRDefault="00FD2B58" w:rsidP="00FD2B58">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val="en-GB" w:eastAsia="en-GB"/>
              </w:rPr>
              <w:t>2024/25</w:t>
            </w:r>
            <w:r w:rsidRPr="004030DB">
              <w:rPr>
                <w:rFonts w:ascii="Arial" w:eastAsia="Times New Roman" w:hAnsi="Arial" w:cs="Arial"/>
                <w:color w:val="D13438"/>
                <w:sz w:val="20"/>
                <w:szCs w:val="20"/>
                <w:lang w:val="en-GB" w:eastAsia="en-GB"/>
              </w:rPr>
              <w:t> </w:t>
            </w:r>
          </w:p>
        </w:tc>
        <w:tc>
          <w:tcPr>
            <w:tcW w:w="1125" w:type="dxa"/>
            <w:tcBorders>
              <w:top w:val="single" w:sz="6" w:space="0" w:color="auto"/>
              <w:left w:val="single" w:sz="6" w:space="0" w:color="auto"/>
              <w:bottom w:val="single" w:sz="6" w:space="0" w:color="auto"/>
              <w:right w:val="single" w:sz="6" w:space="0" w:color="auto"/>
            </w:tcBorders>
            <w:shd w:val="clear" w:color="auto" w:fill="DEEAF6"/>
            <w:hideMark/>
          </w:tcPr>
          <w:p w14:paraId="24D5309E" w14:textId="77777777" w:rsidR="00FD2B58" w:rsidRPr="004030DB" w:rsidRDefault="00FD2B58" w:rsidP="00FD2B58">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val="en-GB" w:eastAsia="en-GB"/>
              </w:rPr>
              <w:t>2023/24</w:t>
            </w:r>
            <w:r w:rsidRPr="004030DB">
              <w:rPr>
                <w:rFonts w:ascii="Arial" w:eastAsia="Times New Roman" w:hAnsi="Arial" w:cs="Arial"/>
                <w:color w:val="D13438"/>
                <w:sz w:val="20"/>
                <w:szCs w:val="20"/>
                <w:lang w:val="en-GB" w:eastAsia="en-GB"/>
              </w:rPr>
              <w:t> </w:t>
            </w:r>
          </w:p>
        </w:tc>
      </w:tr>
      <w:tr w:rsidR="00FD2B58" w:rsidRPr="004030DB" w14:paraId="1201C209" w14:textId="77777777" w:rsidTr="00FD2B58">
        <w:trPr>
          <w:trHeight w:val="300"/>
        </w:trPr>
        <w:tc>
          <w:tcPr>
            <w:tcW w:w="4350" w:type="dxa"/>
            <w:gridSpan w:val="3"/>
            <w:tcBorders>
              <w:top w:val="nil"/>
              <w:left w:val="nil"/>
              <w:bottom w:val="single" w:sz="6" w:space="0" w:color="auto"/>
              <w:right w:val="single" w:sz="6" w:space="0" w:color="auto"/>
            </w:tcBorders>
            <w:hideMark/>
          </w:tcPr>
          <w:p w14:paraId="7DBCEFF1"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color w:val="D13438"/>
                <w:sz w:val="20"/>
                <w:szCs w:val="20"/>
                <w:lang w:val="en-GB" w:eastAsia="en-GB"/>
              </w:rPr>
              <w:t> </w:t>
            </w:r>
          </w:p>
        </w:tc>
        <w:tc>
          <w:tcPr>
            <w:tcW w:w="1245" w:type="dxa"/>
            <w:gridSpan w:val="2"/>
            <w:tcBorders>
              <w:top w:val="single" w:sz="6" w:space="0" w:color="auto"/>
              <w:left w:val="single" w:sz="6" w:space="0" w:color="auto"/>
              <w:bottom w:val="single" w:sz="6" w:space="0" w:color="auto"/>
              <w:right w:val="single" w:sz="6" w:space="0" w:color="auto"/>
            </w:tcBorders>
            <w:shd w:val="clear" w:color="auto" w:fill="DEEAF6"/>
            <w:hideMark/>
          </w:tcPr>
          <w:p w14:paraId="544DDA20" w14:textId="77777777" w:rsidR="00FD2B58" w:rsidRPr="004030DB" w:rsidRDefault="00FD2B58" w:rsidP="00FD2B58">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val="en-GB" w:eastAsia="en-GB"/>
              </w:rPr>
              <w:t>Permanent</w:t>
            </w:r>
            <w:r w:rsidRPr="004030DB">
              <w:rPr>
                <w:rFonts w:ascii="Arial" w:eastAsia="Times New Roman" w:hAnsi="Arial" w:cs="Arial"/>
                <w:color w:val="D13438"/>
                <w:sz w:val="20"/>
                <w:szCs w:val="20"/>
                <w:lang w:val="en-GB" w:eastAsia="en-GB"/>
              </w:rPr>
              <w:t> </w:t>
            </w:r>
          </w:p>
        </w:tc>
        <w:tc>
          <w:tcPr>
            <w:tcW w:w="1125" w:type="dxa"/>
            <w:tcBorders>
              <w:top w:val="single" w:sz="6" w:space="0" w:color="auto"/>
              <w:left w:val="single" w:sz="6" w:space="0" w:color="auto"/>
              <w:bottom w:val="single" w:sz="6" w:space="0" w:color="auto"/>
              <w:right w:val="single" w:sz="6" w:space="0" w:color="auto"/>
            </w:tcBorders>
            <w:shd w:val="clear" w:color="auto" w:fill="DEEAF6"/>
            <w:hideMark/>
          </w:tcPr>
          <w:p w14:paraId="49B5D4EB" w14:textId="77777777" w:rsidR="00FD2B58" w:rsidRPr="004030DB" w:rsidRDefault="00FD2B58" w:rsidP="00FD2B58">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val="en-GB" w:eastAsia="en-GB"/>
              </w:rPr>
              <w:t>Other</w:t>
            </w:r>
            <w:r w:rsidRPr="004030DB">
              <w:rPr>
                <w:rFonts w:ascii="Arial" w:eastAsia="Times New Roman" w:hAnsi="Arial" w:cs="Arial"/>
                <w:color w:val="D13438"/>
                <w:sz w:val="20"/>
                <w:szCs w:val="20"/>
                <w:lang w:val="en-GB" w:eastAsia="en-GB"/>
              </w:rPr>
              <w:t> </w:t>
            </w:r>
          </w:p>
        </w:tc>
        <w:tc>
          <w:tcPr>
            <w:tcW w:w="1125" w:type="dxa"/>
            <w:gridSpan w:val="2"/>
            <w:tcBorders>
              <w:top w:val="single" w:sz="6" w:space="0" w:color="auto"/>
              <w:left w:val="single" w:sz="6" w:space="0" w:color="auto"/>
              <w:bottom w:val="single" w:sz="6" w:space="0" w:color="auto"/>
              <w:right w:val="single" w:sz="6" w:space="0" w:color="auto"/>
            </w:tcBorders>
            <w:shd w:val="clear" w:color="auto" w:fill="DEEAF6"/>
            <w:hideMark/>
          </w:tcPr>
          <w:p w14:paraId="5FB6064C" w14:textId="77777777" w:rsidR="00FD2B58" w:rsidRPr="004030DB" w:rsidRDefault="00FD2B58" w:rsidP="00FD2B58">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val="en-GB" w:eastAsia="en-GB"/>
              </w:rPr>
              <w:t>Total</w:t>
            </w:r>
            <w:r w:rsidRPr="004030DB">
              <w:rPr>
                <w:rFonts w:ascii="Arial" w:eastAsia="Times New Roman" w:hAnsi="Arial" w:cs="Arial"/>
                <w:color w:val="D13438"/>
                <w:sz w:val="20"/>
                <w:szCs w:val="20"/>
                <w:lang w:val="en-GB" w:eastAsia="en-GB"/>
              </w:rPr>
              <w:t> </w:t>
            </w:r>
          </w:p>
        </w:tc>
        <w:tc>
          <w:tcPr>
            <w:tcW w:w="1125" w:type="dxa"/>
            <w:tcBorders>
              <w:top w:val="single" w:sz="6" w:space="0" w:color="auto"/>
              <w:left w:val="single" w:sz="6" w:space="0" w:color="auto"/>
              <w:bottom w:val="single" w:sz="6" w:space="0" w:color="auto"/>
              <w:right w:val="single" w:sz="6" w:space="0" w:color="auto"/>
            </w:tcBorders>
            <w:shd w:val="clear" w:color="auto" w:fill="DEEAF6"/>
            <w:hideMark/>
          </w:tcPr>
          <w:p w14:paraId="651C8406" w14:textId="77777777" w:rsidR="00FD2B58" w:rsidRPr="004030DB" w:rsidRDefault="00FD2B58" w:rsidP="00FD2B58">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val="en-GB" w:eastAsia="en-GB"/>
              </w:rPr>
              <w:t>Total</w:t>
            </w:r>
            <w:r w:rsidRPr="004030DB">
              <w:rPr>
                <w:rFonts w:ascii="Arial" w:eastAsia="Times New Roman" w:hAnsi="Arial" w:cs="Arial"/>
                <w:color w:val="D13438"/>
                <w:sz w:val="20"/>
                <w:szCs w:val="20"/>
                <w:lang w:val="en-GB" w:eastAsia="en-GB"/>
              </w:rPr>
              <w:t> </w:t>
            </w:r>
          </w:p>
        </w:tc>
      </w:tr>
      <w:tr w:rsidR="00FD2B58" w:rsidRPr="004030DB" w14:paraId="3B03099E" w14:textId="77777777" w:rsidTr="00FD2B58">
        <w:trPr>
          <w:trHeight w:val="300"/>
        </w:trPr>
        <w:tc>
          <w:tcPr>
            <w:tcW w:w="4350" w:type="dxa"/>
            <w:gridSpan w:val="3"/>
            <w:tcBorders>
              <w:top w:val="single" w:sz="6" w:space="0" w:color="auto"/>
              <w:left w:val="single" w:sz="6" w:space="0" w:color="auto"/>
              <w:bottom w:val="single" w:sz="6" w:space="0" w:color="auto"/>
              <w:right w:val="single" w:sz="6" w:space="0" w:color="auto"/>
            </w:tcBorders>
            <w:hideMark/>
          </w:tcPr>
          <w:p w14:paraId="687D7D4D"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color w:val="D13438"/>
                <w:sz w:val="20"/>
                <w:szCs w:val="20"/>
                <w:lang w:val="en-GB" w:eastAsia="en-GB"/>
              </w:rPr>
              <w:t> </w:t>
            </w:r>
          </w:p>
        </w:tc>
        <w:tc>
          <w:tcPr>
            <w:tcW w:w="1245" w:type="dxa"/>
            <w:gridSpan w:val="2"/>
            <w:tcBorders>
              <w:top w:val="single" w:sz="6" w:space="0" w:color="auto"/>
              <w:left w:val="single" w:sz="6" w:space="0" w:color="auto"/>
              <w:bottom w:val="single" w:sz="6" w:space="0" w:color="auto"/>
              <w:right w:val="single" w:sz="6" w:space="0" w:color="auto"/>
            </w:tcBorders>
            <w:shd w:val="clear" w:color="auto" w:fill="DEEAF6"/>
            <w:hideMark/>
          </w:tcPr>
          <w:p w14:paraId="313CEF5B" w14:textId="77777777" w:rsidR="00FD2B58" w:rsidRPr="004030DB" w:rsidRDefault="00FD2B58" w:rsidP="00FD2B58">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val="en-GB" w:eastAsia="en-GB"/>
              </w:rPr>
              <w:t>Average FTE</w:t>
            </w:r>
            <w:r w:rsidRPr="004030DB">
              <w:rPr>
                <w:rFonts w:ascii="Arial" w:eastAsia="Times New Roman" w:hAnsi="Arial" w:cs="Arial"/>
                <w:color w:val="D13438"/>
                <w:sz w:val="20"/>
                <w:szCs w:val="20"/>
                <w:lang w:val="en-GB" w:eastAsia="en-GB"/>
              </w:rPr>
              <w:t> </w:t>
            </w:r>
          </w:p>
        </w:tc>
        <w:tc>
          <w:tcPr>
            <w:tcW w:w="1125" w:type="dxa"/>
            <w:tcBorders>
              <w:top w:val="single" w:sz="6" w:space="0" w:color="auto"/>
              <w:left w:val="single" w:sz="6" w:space="0" w:color="auto"/>
              <w:bottom w:val="single" w:sz="6" w:space="0" w:color="auto"/>
              <w:right w:val="single" w:sz="6" w:space="0" w:color="auto"/>
            </w:tcBorders>
            <w:shd w:val="clear" w:color="auto" w:fill="DEEAF6"/>
            <w:hideMark/>
          </w:tcPr>
          <w:p w14:paraId="09B73D9E" w14:textId="77777777" w:rsidR="00FD2B58" w:rsidRPr="004030DB" w:rsidRDefault="00FD2B58" w:rsidP="00FD2B58">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val="en-GB" w:eastAsia="en-GB"/>
              </w:rPr>
              <w:t>Average FTE</w:t>
            </w:r>
            <w:r w:rsidRPr="004030DB">
              <w:rPr>
                <w:rFonts w:ascii="Arial" w:eastAsia="Times New Roman" w:hAnsi="Arial" w:cs="Arial"/>
                <w:color w:val="D13438"/>
                <w:sz w:val="20"/>
                <w:szCs w:val="20"/>
                <w:lang w:val="en-GB" w:eastAsia="en-GB"/>
              </w:rPr>
              <w:t> </w:t>
            </w:r>
          </w:p>
        </w:tc>
        <w:tc>
          <w:tcPr>
            <w:tcW w:w="1125" w:type="dxa"/>
            <w:gridSpan w:val="2"/>
            <w:tcBorders>
              <w:top w:val="single" w:sz="6" w:space="0" w:color="auto"/>
              <w:left w:val="single" w:sz="6" w:space="0" w:color="auto"/>
              <w:bottom w:val="single" w:sz="6" w:space="0" w:color="auto"/>
              <w:right w:val="single" w:sz="6" w:space="0" w:color="auto"/>
            </w:tcBorders>
            <w:shd w:val="clear" w:color="auto" w:fill="DEEAF6"/>
            <w:hideMark/>
          </w:tcPr>
          <w:p w14:paraId="55C39BC8" w14:textId="77777777" w:rsidR="00FD2B58" w:rsidRPr="004030DB" w:rsidRDefault="00FD2B58" w:rsidP="00FD2B58">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val="en-GB" w:eastAsia="en-GB"/>
              </w:rPr>
              <w:t>Average FTE</w:t>
            </w:r>
            <w:r w:rsidRPr="004030DB">
              <w:rPr>
                <w:rFonts w:ascii="Arial" w:eastAsia="Times New Roman" w:hAnsi="Arial" w:cs="Arial"/>
                <w:color w:val="D13438"/>
                <w:sz w:val="20"/>
                <w:szCs w:val="20"/>
                <w:lang w:val="en-GB" w:eastAsia="en-GB"/>
              </w:rPr>
              <w:t> </w:t>
            </w:r>
          </w:p>
        </w:tc>
        <w:tc>
          <w:tcPr>
            <w:tcW w:w="1125" w:type="dxa"/>
            <w:tcBorders>
              <w:top w:val="single" w:sz="6" w:space="0" w:color="auto"/>
              <w:left w:val="single" w:sz="6" w:space="0" w:color="auto"/>
              <w:bottom w:val="single" w:sz="6" w:space="0" w:color="auto"/>
              <w:right w:val="single" w:sz="6" w:space="0" w:color="auto"/>
            </w:tcBorders>
            <w:shd w:val="clear" w:color="auto" w:fill="DEEAF6"/>
            <w:hideMark/>
          </w:tcPr>
          <w:p w14:paraId="4C3C2923" w14:textId="77777777" w:rsidR="00FD2B58" w:rsidRPr="004030DB" w:rsidRDefault="00FD2B58" w:rsidP="00FD2B58">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val="en-GB" w:eastAsia="en-GB"/>
              </w:rPr>
              <w:t>Average FTE</w:t>
            </w:r>
            <w:r w:rsidRPr="004030DB">
              <w:rPr>
                <w:rFonts w:ascii="Arial" w:eastAsia="Times New Roman" w:hAnsi="Arial" w:cs="Arial"/>
                <w:color w:val="D13438"/>
                <w:sz w:val="20"/>
                <w:szCs w:val="20"/>
                <w:lang w:val="en-GB" w:eastAsia="en-GB"/>
              </w:rPr>
              <w:t> </w:t>
            </w:r>
          </w:p>
        </w:tc>
      </w:tr>
      <w:tr w:rsidR="00FD2B58" w:rsidRPr="004030DB" w14:paraId="2E8CA476" w14:textId="77777777" w:rsidTr="00FD2B58">
        <w:trPr>
          <w:trHeight w:val="300"/>
        </w:trPr>
        <w:tc>
          <w:tcPr>
            <w:tcW w:w="4350" w:type="dxa"/>
            <w:gridSpan w:val="3"/>
            <w:tcBorders>
              <w:top w:val="single" w:sz="6" w:space="0" w:color="auto"/>
              <w:left w:val="single" w:sz="6" w:space="0" w:color="auto"/>
              <w:bottom w:val="single" w:sz="6" w:space="0" w:color="auto"/>
              <w:right w:val="single" w:sz="6" w:space="0" w:color="auto"/>
            </w:tcBorders>
            <w:hideMark/>
          </w:tcPr>
          <w:p w14:paraId="7E94CD6F"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Medical and dental</w:t>
            </w:r>
            <w:r w:rsidRPr="004030DB">
              <w:rPr>
                <w:rFonts w:ascii="Arial" w:eastAsia="Times New Roman" w:hAnsi="Arial" w:cs="Arial"/>
                <w:color w:val="D13438"/>
                <w:sz w:val="20"/>
                <w:szCs w:val="20"/>
                <w:lang w:val="en-GB" w:eastAsia="en-GB"/>
              </w:rPr>
              <w:t> </w:t>
            </w:r>
          </w:p>
        </w:tc>
        <w:tc>
          <w:tcPr>
            <w:tcW w:w="1245" w:type="dxa"/>
            <w:gridSpan w:val="2"/>
            <w:tcBorders>
              <w:top w:val="single" w:sz="6" w:space="0" w:color="auto"/>
              <w:left w:val="single" w:sz="6" w:space="0" w:color="auto"/>
              <w:bottom w:val="single" w:sz="6" w:space="0" w:color="auto"/>
              <w:right w:val="single" w:sz="6" w:space="0" w:color="auto"/>
            </w:tcBorders>
            <w:hideMark/>
          </w:tcPr>
          <w:p w14:paraId="2D9A0FC4" w14:textId="77777777" w:rsidR="00FD2B58" w:rsidRPr="004030DB" w:rsidRDefault="00FD2B58" w:rsidP="00FD2B58">
            <w:pPr>
              <w:widowControl/>
              <w:jc w:val="right"/>
              <w:textAlignment w:val="baseline"/>
              <w:rPr>
                <w:rFonts w:ascii="Arial" w:eastAsia="Times New Roman" w:hAnsi="Arial" w:cs="Arial"/>
                <w:sz w:val="20"/>
                <w:szCs w:val="20"/>
                <w:lang w:val="en-GB" w:eastAsia="en-GB"/>
              </w:rPr>
            </w:pPr>
            <w:r w:rsidRPr="004030DB">
              <w:rPr>
                <w:rFonts w:ascii="Arial" w:eastAsia="Times New Roman" w:hAnsi="Arial" w:cs="Arial"/>
                <w:color w:val="000000"/>
                <w:sz w:val="20"/>
                <w:szCs w:val="20"/>
                <w:lang w:eastAsia="en-GB"/>
              </w:rPr>
              <w:t>846 </w:t>
            </w:r>
            <w:r w:rsidRPr="004030DB">
              <w:rPr>
                <w:rFonts w:ascii="Arial" w:eastAsia="Times New Roman" w:hAnsi="Arial" w:cs="Arial"/>
                <w:color w:val="000000"/>
                <w:sz w:val="20"/>
                <w:szCs w:val="20"/>
                <w:lang w:val="en-GB" w:eastAsia="en-GB"/>
              </w:rPr>
              <w:t> </w:t>
            </w:r>
          </w:p>
        </w:tc>
        <w:tc>
          <w:tcPr>
            <w:tcW w:w="1125" w:type="dxa"/>
            <w:tcBorders>
              <w:top w:val="single" w:sz="6" w:space="0" w:color="auto"/>
              <w:left w:val="single" w:sz="6" w:space="0" w:color="auto"/>
              <w:bottom w:val="single" w:sz="6" w:space="0" w:color="auto"/>
              <w:right w:val="single" w:sz="6" w:space="0" w:color="auto"/>
            </w:tcBorders>
            <w:hideMark/>
          </w:tcPr>
          <w:p w14:paraId="0A5B902C" w14:textId="77777777" w:rsidR="00FD2B58" w:rsidRPr="004030DB" w:rsidRDefault="00FD2B58" w:rsidP="00FD2B58">
            <w:pPr>
              <w:widowControl/>
              <w:jc w:val="right"/>
              <w:textAlignment w:val="baseline"/>
              <w:rPr>
                <w:rFonts w:ascii="Arial" w:eastAsia="Times New Roman" w:hAnsi="Arial" w:cs="Arial"/>
                <w:sz w:val="20"/>
                <w:szCs w:val="20"/>
                <w:lang w:val="en-GB" w:eastAsia="en-GB"/>
              </w:rPr>
            </w:pPr>
            <w:r w:rsidRPr="004030DB">
              <w:rPr>
                <w:rFonts w:ascii="Arial" w:eastAsia="Times New Roman" w:hAnsi="Arial" w:cs="Arial"/>
                <w:color w:val="000000"/>
                <w:sz w:val="20"/>
                <w:szCs w:val="20"/>
                <w:lang w:eastAsia="en-GB"/>
              </w:rPr>
              <w:t>9 </w:t>
            </w:r>
            <w:r w:rsidRPr="004030DB">
              <w:rPr>
                <w:rFonts w:ascii="Arial" w:eastAsia="Times New Roman" w:hAnsi="Arial" w:cs="Arial"/>
                <w:color w:val="000000"/>
                <w:sz w:val="20"/>
                <w:szCs w:val="20"/>
                <w:lang w:val="en-GB" w:eastAsia="en-GB"/>
              </w:rPr>
              <w:t> </w:t>
            </w:r>
          </w:p>
        </w:tc>
        <w:tc>
          <w:tcPr>
            <w:tcW w:w="1125" w:type="dxa"/>
            <w:gridSpan w:val="2"/>
            <w:tcBorders>
              <w:top w:val="single" w:sz="6" w:space="0" w:color="auto"/>
              <w:left w:val="single" w:sz="6" w:space="0" w:color="auto"/>
              <w:bottom w:val="single" w:sz="6" w:space="0" w:color="auto"/>
              <w:right w:val="single" w:sz="6" w:space="0" w:color="auto"/>
            </w:tcBorders>
            <w:hideMark/>
          </w:tcPr>
          <w:p w14:paraId="75B6A3C6" w14:textId="77777777" w:rsidR="00FD2B58" w:rsidRPr="004030DB" w:rsidRDefault="00FD2B58" w:rsidP="00FD2B58">
            <w:pPr>
              <w:widowControl/>
              <w:jc w:val="right"/>
              <w:textAlignment w:val="baseline"/>
              <w:rPr>
                <w:rFonts w:ascii="Arial" w:eastAsia="Times New Roman" w:hAnsi="Arial" w:cs="Arial"/>
                <w:sz w:val="20"/>
                <w:szCs w:val="20"/>
                <w:lang w:val="en-GB" w:eastAsia="en-GB"/>
              </w:rPr>
            </w:pPr>
            <w:r w:rsidRPr="004030DB">
              <w:rPr>
                <w:rFonts w:ascii="Arial" w:eastAsia="Times New Roman" w:hAnsi="Arial" w:cs="Arial"/>
                <w:b/>
                <w:bCs/>
                <w:color w:val="000000"/>
                <w:sz w:val="20"/>
                <w:szCs w:val="20"/>
                <w:lang w:eastAsia="en-GB"/>
              </w:rPr>
              <w:t>855 </w:t>
            </w:r>
            <w:r w:rsidRPr="004030DB">
              <w:rPr>
                <w:rFonts w:ascii="Arial" w:eastAsia="Times New Roman" w:hAnsi="Arial" w:cs="Arial"/>
                <w:color w:val="000000"/>
                <w:sz w:val="20"/>
                <w:szCs w:val="20"/>
                <w:lang w:val="en-GB" w:eastAsia="en-GB"/>
              </w:rPr>
              <w:t> </w:t>
            </w:r>
          </w:p>
        </w:tc>
        <w:tc>
          <w:tcPr>
            <w:tcW w:w="1125" w:type="dxa"/>
            <w:tcBorders>
              <w:top w:val="single" w:sz="6" w:space="0" w:color="auto"/>
              <w:left w:val="single" w:sz="6" w:space="0" w:color="auto"/>
              <w:bottom w:val="single" w:sz="6" w:space="0" w:color="auto"/>
              <w:right w:val="single" w:sz="6" w:space="0" w:color="auto"/>
            </w:tcBorders>
            <w:hideMark/>
          </w:tcPr>
          <w:p w14:paraId="7AB5E12E" w14:textId="77777777" w:rsidR="00FD2B58" w:rsidRPr="004030DB" w:rsidRDefault="00FD2B58" w:rsidP="00FD2B58">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818 </w:t>
            </w:r>
          </w:p>
        </w:tc>
      </w:tr>
      <w:tr w:rsidR="00FD2B58" w:rsidRPr="004030DB" w14:paraId="32D6C042" w14:textId="77777777" w:rsidTr="00FD2B58">
        <w:trPr>
          <w:trHeight w:val="300"/>
        </w:trPr>
        <w:tc>
          <w:tcPr>
            <w:tcW w:w="4350" w:type="dxa"/>
            <w:gridSpan w:val="3"/>
            <w:tcBorders>
              <w:top w:val="single" w:sz="6" w:space="0" w:color="auto"/>
              <w:left w:val="single" w:sz="6" w:space="0" w:color="auto"/>
              <w:bottom w:val="single" w:sz="6" w:space="0" w:color="auto"/>
              <w:right w:val="single" w:sz="6" w:space="0" w:color="auto"/>
            </w:tcBorders>
            <w:hideMark/>
          </w:tcPr>
          <w:p w14:paraId="648E1B5B"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Ambulance staff</w:t>
            </w:r>
            <w:r w:rsidRPr="004030DB">
              <w:rPr>
                <w:rFonts w:ascii="Arial" w:eastAsia="Times New Roman" w:hAnsi="Arial" w:cs="Arial"/>
                <w:color w:val="D13438"/>
                <w:sz w:val="20"/>
                <w:szCs w:val="20"/>
                <w:lang w:val="en-GB" w:eastAsia="en-GB"/>
              </w:rPr>
              <w:t> </w:t>
            </w:r>
          </w:p>
        </w:tc>
        <w:tc>
          <w:tcPr>
            <w:tcW w:w="1245" w:type="dxa"/>
            <w:gridSpan w:val="2"/>
            <w:tcBorders>
              <w:top w:val="single" w:sz="6" w:space="0" w:color="auto"/>
              <w:left w:val="single" w:sz="6" w:space="0" w:color="auto"/>
              <w:bottom w:val="single" w:sz="6" w:space="0" w:color="auto"/>
              <w:right w:val="single" w:sz="6" w:space="0" w:color="auto"/>
            </w:tcBorders>
            <w:hideMark/>
          </w:tcPr>
          <w:p w14:paraId="3ABC5FC1" w14:textId="77777777" w:rsidR="00FD2B58" w:rsidRPr="004030DB" w:rsidRDefault="00FD2B58" w:rsidP="00FD2B58">
            <w:pPr>
              <w:widowControl/>
              <w:jc w:val="right"/>
              <w:textAlignment w:val="baseline"/>
              <w:rPr>
                <w:rFonts w:ascii="Arial" w:eastAsia="Times New Roman" w:hAnsi="Arial" w:cs="Arial"/>
                <w:sz w:val="20"/>
                <w:szCs w:val="20"/>
                <w:lang w:val="en-GB" w:eastAsia="en-GB"/>
              </w:rPr>
            </w:pPr>
            <w:r w:rsidRPr="004030DB">
              <w:rPr>
                <w:rFonts w:ascii="Arial" w:eastAsia="Times New Roman" w:hAnsi="Arial" w:cs="Arial"/>
                <w:color w:val="000000"/>
                <w:sz w:val="20"/>
                <w:szCs w:val="20"/>
                <w:lang w:eastAsia="en-GB"/>
              </w:rPr>
              <w:t>- </w:t>
            </w:r>
            <w:r w:rsidRPr="004030DB">
              <w:rPr>
                <w:rFonts w:ascii="Arial" w:eastAsia="Times New Roman" w:hAnsi="Arial" w:cs="Arial"/>
                <w:color w:val="000000"/>
                <w:sz w:val="20"/>
                <w:szCs w:val="20"/>
                <w:lang w:val="en-GB" w:eastAsia="en-GB"/>
              </w:rPr>
              <w:t> </w:t>
            </w:r>
          </w:p>
        </w:tc>
        <w:tc>
          <w:tcPr>
            <w:tcW w:w="1125" w:type="dxa"/>
            <w:tcBorders>
              <w:top w:val="single" w:sz="6" w:space="0" w:color="auto"/>
              <w:left w:val="single" w:sz="6" w:space="0" w:color="auto"/>
              <w:bottom w:val="single" w:sz="6" w:space="0" w:color="auto"/>
              <w:right w:val="single" w:sz="6" w:space="0" w:color="auto"/>
            </w:tcBorders>
            <w:hideMark/>
          </w:tcPr>
          <w:p w14:paraId="67B245F4" w14:textId="77777777" w:rsidR="00FD2B58" w:rsidRPr="004030DB" w:rsidRDefault="00FD2B58" w:rsidP="00FD2B58">
            <w:pPr>
              <w:widowControl/>
              <w:jc w:val="right"/>
              <w:textAlignment w:val="baseline"/>
              <w:rPr>
                <w:rFonts w:ascii="Arial" w:eastAsia="Times New Roman" w:hAnsi="Arial" w:cs="Arial"/>
                <w:sz w:val="20"/>
                <w:szCs w:val="20"/>
                <w:lang w:val="en-GB" w:eastAsia="en-GB"/>
              </w:rPr>
            </w:pPr>
            <w:r w:rsidRPr="004030DB">
              <w:rPr>
                <w:rFonts w:ascii="Arial" w:eastAsia="Times New Roman" w:hAnsi="Arial" w:cs="Arial"/>
                <w:color w:val="000000"/>
                <w:sz w:val="20"/>
                <w:szCs w:val="20"/>
                <w:lang w:eastAsia="en-GB"/>
              </w:rPr>
              <w:t>- </w:t>
            </w:r>
            <w:r w:rsidRPr="004030DB">
              <w:rPr>
                <w:rFonts w:ascii="Arial" w:eastAsia="Times New Roman" w:hAnsi="Arial" w:cs="Arial"/>
                <w:color w:val="000000"/>
                <w:sz w:val="20"/>
                <w:szCs w:val="20"/>
                <w:lang w:val="en-GB" w:eastAsia="en-GB"/>
              </w:rPr>
              <w:t> </w:t>
            </w:r>
          </w:p>
        </w:tc>
        <w:tc>
          <w:tcPr>
            <w:tcW w:w="1125" w:type="dxa"/>
            <w:gridSpan w:val="2"/>
            <w:tcBorders>
              <w:top w:val="single" w:sz="6" w:space="0" w:color="auto"/>
              <w:left w:val="single" w:sz="6" w:space="0" w:color="auto"/>
              <w:bottom w:val="single" w:sz="6" w:space="0" w:color="auto"/>
              <w:right w:val="single" w:sz="6" w:space="0" w:color="auto"/>
            </w:tcBorders>
            <w:hideMark/>
          </w:tcPr>
          <w:p w14:paraId="3D328F7C" w14:textId="77777777" w:rsidR="00FD2B58" w:rsidRPr="004030DB" w:rsidRDefault="00FD2B58" w:rsidP="00FD2B58">
            <w:pPr>
              <w:widowControl/>
              <w:jc w:val="right"/>
              <w:textAlignment w:val="baseline"/>
              <w:rPr>
                <w:rFonts w:ascii="Arial" w:eastAsia="Times New Roman" w:hAnsi="Arial" w:cs="Arial"/>
                <w:sz w:val="20"/>
                <w:szCs w:val="20"/>
                <w:lang w:val="en-GB" w:eastAsia="en-GB"/>
              </w:rPr>
            </w:pPr>
            <w:r w:rsidRPr="004030DB">
              <w:rPr>
                <w:rFonts w:ascii="Arial" w:eastAsia="Times New Roman" w:hAnsi="Arial" w:cs="Arial"/>
                <w:b/>
                <w:bCs/>
                <w:color w:val="000000"/>
                <w:sz w:val="20"/>
                <w:szCs w:val="20"/>
                <w:lang w:eastAsia="en-GB"/>
              </w:rPr>
              <w:t>- </w:t>
            </w:r>
            <w:r w:rsidRPr="004030DB">
              <w:rPr>
                <w:rFonts w:ascii="Arial" w:eastAsia="Times New Roman" w:hAnsi="Arial" w:cs="Arial"/>
                <w:color w:val="000000"/>
                <w:sz w:val="20"/>
                <w:szCs w:val="20"/>
                <w:lang w:val="en-GB" w:eastAsia="en-GB"/>
              </w:rPr>
              <w:t> </w:t>
            </w:r>
          </w:p>
        </w:tc>
        <w:tc>
          <w:tcPr>
            <w:tcW w:w="1125" w:type="dxa"/>
            <w:tcBorders>
              <w:top w:val="single" w:sz="6" w:space="0" w:color="auto"/>
              <w:left w:val="single" w:sz="6" w:space="0" w:color="auto"/>
              <w:bottom w:val="single" w:sz="6" w:space="0" w:color="auto"/>
              <w:right w:val="single" w:sz="6" w:space="0" w:color="auto"/>
            </w:tcBorders>
            <w:hideMark/>
          </w:tcPr>
          <w:p w14:paraId="57B76CD3" w14:textId="77777777" w:rsidR="00FD2B58" w:rsidRPr="004030DB" w:rsidRDefault="00FD2B58" w:rsidP="00FD2B58">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w:t>
            </w:r>
            <w:r w:rsidRPr="004030DB">
              <w:rPr>
                <w:rFonts w:ascii="Arial" w:eastAsia="Times New Roman" w:hAnsi="Arial" w:cs="Arial"/>
                <w:color w:val="D13438"/>
                <w:sz w:val="20"/>
                <w:szCs w:val="20"/>
                <w:lang w:val="en-GB" w:eastAsia="en-GB"/>
              </w:rPr>
              <w:t> </w:t>
            </w:r>
          </w:p>
        </w:tc>
      </w:tr>
      <w:tr w:rsidR="00FD2B58" w:rsidRPr="004030DB" w14:paraId="45398135" w14:textId="77777777" w:rsidTr="00FD2B58">
        <w:trPr>
          <w:trHeight w:val="300"/>
        </w:trPr>
        <w:tc>
          <w:tcPr>
            <w:tcW w:w="4350" w:type="dxa"/>
            <w:gridSpan w:val="3"/>
            <w:tcBorders>
              <w:top w:val="single" w:sz="6" w:space="0" w:color="auto"/>
              <w:left w:val="single" w:sz="6" w:space="0" w:color="auto"/>
              <w:bottom w:val="single" w:sz="6" w:space="0" w:color="auto"/>
              <w:right w:val="single" w:sz="6" w:space="0" w:color="auto"/>
            </w:tcBorders>
            <w:hideMark/>
          </w:tcPr>
          <w:p w14:paraId="739A6323"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Administration and estates</w:t>
            </w:r>
            <w:r w:rsidRPr="004030DB">
              <w:rPr>
                <w:rFonts w:ascii="Arial" w:eastAsia="Times New Roman" w:hAnsi="Arial" w:cs="Arial"/>
                <w:color w:val="D13438"/>
                <w:sz w:val="20"/>
                <w:szCs w:val="20"/>
                <w:lang w:val="en-GB" w:eastAsia="en-GB"/>
              </w:rPr>
              <w:t> </w:t>
            </w:r>
          </w:p>
        </w:tc>
        <w:tc>
          <w:tcPr>
            <w:tcW w:w="1245" w:type="dxa"/>
            <w:gridSpan w:val="2"/>
            <w:tcBorders>
              <w:top w:val="single" w:sz="6" w:space="0" w:color="auto"/>
              <w:left w:val="single" w:sz="6" w:space="0" w:color="auto"/>
              <w:bottom w:val="single" w:sz="6" w:space="0" w:color="auto"/>
              <w:right w:val="single" w:sz="6" w:space="0" w:color="auto"/>
            </w:tcBorders>
            <w:hideMark/>
          </w:tcPr>
          <w:p w14:paraId="04DA3AA4" w14:textId="77777777" w:rsidR="00FD2B58" w:rsidRPr="004030DB" w:rsidRDefault="00FD2B58" w:rsidP="00FD2B58">
            <w:pPr>
              <w:widowControl/>
              <w:jc w:val="right"/>
              <w:textAlignment w:val="baseline"/>
              <w:rPr>
                <w:rFonts w:ascii="Arial" w:eastAsia="Times New Roman" w:hAnsi="Arial" w:cs="Arial"/>
                <w:sz w:val="20"/>
                <w:szCs w:val="20"/>
                <w:lang w:val="en-GB" w:eastAsia="en-GB"/>
              </w:rPr>
            </w:pPr>
            <w:r w:rsidRPr="004030DB">
              <w:rPr>
                <w:rFonts w:ascii="Arial" w:eastAsia="Times New Roman" w:hAnsi="Arial" w:cs="Arial"/>
                <w:color w:val="000000"/>
                <w:sz w:val="20"/>
                <w:szCs w:val="20"/>
                <w:lang w:eastAsia="en-GB"/>
              </w:rPr>
              <w:t>1,029 </w:t>
            </w:r>
            <w:r w:rsidRPr="004030DB">
              <w:rPr>
                <w:rFonts w:ascii="Arial" w:eastAsia="Times New Roman" w:hAnsi="Arial" w:cs="Arial"/>
                <w:color w:val="000000"/>
                <w:sz w:val="20"/>
                <w:szCs w:val="20"/>
                <w:lang w:val="en-GB" w:eastAsia="en-GB"/>
              </w:rPr>
              <w:t> </w:t>
            </w:r>
          </w:p>
        </w:tc>
        <w:tc>
          <w:tcPr>
            <w:tcW w:w="1125" w:type="dxa"/>
            <w:tcBorders>
              <w:top w:val="single" w:sz="6" w:space="0" w:color="auto"/>
              <w:left w:val="single" w:sz="6" w:space="0" w:color="auto"/>
              <w:bottom w:val="single" w:sz="6" w:space="0" w:color="auto"/>
              <w:right w:val="single" w:sz="6" w:space="0" w:color="auto"/>
            </w:tcBorders>
            <w:hideMark/>
          </w:tcPr>
          <w:p w14:paraId="4308620C" w14:textId="77777777" w:rsidR="00FD2B58" w:rsidRPr="004030DB" w:rsidRDefault="00FD2B58" w:rsidP="00FD2B58">
            <w:pPr>
              <w:widowControl/>
              <w:jc w:val="right"/>
              <w:textAlignment w:val="baseline"/>
              <w:rPr>
                <w:rFonts w:ascii="Arial" w:eastAsia="Times New Roman" w:hAnsi="Arial" w:cs="Arial"/>
                <w:sz w:val="20"/>
                <w:szCs w:val="20"/>
                <w:lang w:val="en-GB" w:eastAsia="en-GB"/>
              </w:rPr>
            </w:pPr>
            <w:r w:rsidRPr="004030DB">
              <w:rPr>
                <w:rFonts w:ascii="Arial" w:eastAsia="Times New Roman" w:hAnsi="Arial" w:cs="Arial"/>
                <w:color w:val="000000"/>
                <w:sz w:val="20"/>
                <w:szCs w:val="20"/>
                <w:lang w:eastAsia="en-GB"/>
              </w:rPr>
              <w:t>1 </w:t>
            </w:r>
            <w:r w:rsidRPr="004030DB">
              <w:rPr>
                <w:rFonts w:ascii="Arial" w:eastAsia="Times New Roman" w:hAnsi="Arial" w:cs="Arial"/>
                <w:color w:val="000000"/>
                <w:sz w:val="20"/>
                <w:szCs w:val="20"/>
                <w:lang w:val="en-GB" w:eastAsia="en-GB"/>
              </w:rPr>
              <w:t> </w:t>
            </w:r>
          </w:p>
        </w:tc>
        <w:tc>
          <w:tcPr>
            <w:tcW w:w="1125" w:type="dxa"/>
            <w:gridSpan w:val="2"/>
            <w:tcBorders>
              <w:top w:val="single" w:sz="6" w:space="0" w:color="auto"/>
              <w:left w:val="single" w:sz="6" w:space="0" w:color="auto"/>
              <w:bottom w:val="single" w:sz="6" w:space="0" w:color="auto"/>
              <w:right w:val="single" w:sz="6" w:space="0" w:color="auto"/>
            </w:tcBorders>
            <w:hideMark/>
          </w:tcPr>
          <w:p w14:paraId="33A6303D" w14:textId="77777777" w:rsidR="00FD2B58" w:rsidRPr="004030DB" w:rsidRDefault="00FD2B58" w:rsidP="00FD2B58">
            <w:pPr>
              <w:widowControl/>
              <w:jc w:val="right"/>
              <w:textAlignment w:val="baseline"/>
              <w:rPr>
                <w:rFonts w:ascii="Arial" w:eastAsia="Times New Roman" w:hAnsi="Arial" w:cs="Arial"/>
                <w:sz w:val="20"/>
                <w:szCs w:val="20"/>
                <w:lang w:val="en-GB" w:eastAsia="en-GB"/>
              </w:rPr>
            </w:pPr>
            <w:r w:rsidRPr="004030DB">
              <w:rPr>
                <w:rFonts w:ascii="Arial" w:eastAsia="Times New Roman" w:hAnsi="Arial" w:cs="Arial"/>
                <w:b/>
                <w:bCs/>
                <w:color w:val="000000"/>
                <w:sz w:val="20"/>
                <w:szCs w:val="20"/>
                <w:lang w:eastAsia="en-GB"/>
              </w:rPr>
              <w:t>1,030 </w:t>
            </w:r>
            <w:r w:rsidRPr="004030DB">
              <w:rPr>
                <w:rFonts w:ascii="Arial" w:eastAsia="Times New Roman" w:hAnsi="Arial" w:cs="Arial"/>
                <w:color w:val="000000"/>
                <w:sz w:val="20"/>
                <w:szCs w:val="20"/>
                <w:lang w:val="en-GB" w:eastAsia="en-GB"/>
              </w:rPr>
              <w:t> </w:t>
            </w:r>
          </w:p>
        </w:tc>
        <w:tc>
          <w:tcPr>
            <w:tcW w:w="1125" w:type="dxa"/>
            <w:tcBorders>
              <w:top w:val="single" w:sz="6" w:space="0" w:color="auto"/>
              <w:left w:val="single" w:sz="6" w:space="0" w:color="auto"/>
              <w:bottom w:val="single" w:sz="6" w:space="0" w:color="auto"/>
              <w:right w:val="single" w:sz="6" w:space="0" w:color="auto"/>
            </w:tcBorders>
            <w:hideMark/>
          </w:tcPr>
          <w:p w14:paraId="099571C0" w14:textId="77777777" w:rsidR="00FD2B58" w:rsidRPr="004030DB" w:rsidRDefault="00FD2B58" w:rsidP="00FD2B58">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943 </w:t>
            </w:r>
          </w:p>
        </w:tc>
      </w:tr>
      <w:tr w:rsidR="00FD2B58" w:rsidRPr="004030DB" w14:paraId="6933F98F" w14:textId="77777777" w:rsidTr="00FD2B58">
        <w:trPr>
          <w:trHeight w:val="300"/>
        </w:trPr>
        <w:tc>
          <w:tcPr>
            <w:tcW w:w="4350" w:type="dxa"/>
            <w:gridSpan w:val="3"/>
            <w:tcBorders>
              <w:top w:val="single" w:sz="6" w:space="0" w:color="auto"/>
              <w:left w:val="single" w:sz="6" w:space="0" w:color="auto"/>
              <w:bottom w:val="single" w:sz="6" w:space="0" w:color="auto"/>
              <w:right w:val="single" w:sz="6" w:space="0" w:color="auto"/>
            </w:tcBorders>
            <w:hideMark/>
          </w:tcPr>
          <w:p w14:paraId="4A1E9968"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Healthcare assistants and other support staff</w:t>
            </w:r>
            <w:r w:rsidRPr="004030DB">
              <w:rPr>
                <w:rFonts w:ascii="Arial" w:eastAsia="Times New Roman" w:hAnsi="Arial" w:cs="Arial"/>
                <w:color w:val="D13438"/>
                <w:sz w:val="20"/>
                <w:szCs w:val="20"/>
                <w:lang w:val="en-GB" w:eastAsia="en-GB"/>
              </w:rPr>
              <w:t> </w:t>
            </w:r>
          </w:p>
        </w:tc>
        <w:tc>
          <w:tcPr>
            <w:tcW w:w="1245" w:type="dxa"/>
            <w:gridSpan w:val="2"/>
            <w:tcBorders>
              <w:top w:val="single" w:sz="6" w:space="0" w:color="auto"/>
              <w:left w:val="single" w:sz="6" w:space="0" w:color="auto"/>
              <w:bottom w:val="single" w:sz="6" w:space="0" w:color="auto"/>
              <w:right w:val="single" w:sz="6" w:space="0" w:color="auto"/>
            </w:tcBorders>
            <w:hideMark/>
          </w:tcPr>
          <w:p w14:paraId="12F00BBE" w14:textId="77777777" w:rsidR="00FD2B58" w:rsidRPr="004030DB" w:rsidRDefault="00FD2B58" w:rsidP="00FD2B58">
            <w:pPr>
              <w:widowControl/>
              <w:jc w:val="right"/>
              <w:textAlignment w:val="baseline"/>
              <w:rPr>
                <w:rFonts w:ascii="Arial" w:eastAsia="Times New Roman" w:hAnsi="Arial" w:cs="Arial"/>
                <w:sz w:val="20"/>
                <w:szCs w:val="20"/>
                <w:lang w:val="en-GB" w:eastAsia="en-GB"/>
              </w:rPr>
            </w:pPr>
            <w:r w:rsidRPr="004030DB">
              <w:rPr>
                <w:rFonts w:ascii="Arial" w:eastAsia="Times New Roman" w:hAnsi="Arial" w:cs="Arial"/>
                <w:color w:val="000000"/>
                <w:sz w:val="20"/>
                <w:szCs w:val="20"/>
                <w:lang w:eastAsia="en-GB"/>
              </w:rPr>
              <w:t>1,505 </w:t>
            </w:r>
            <w:r w:rsidRPr="004030DB">
              <w:rPr>
                <w:rFonts w:ascii="Arial" w:eastAsia="Times New Roman" w:hAnsi="Arial" w:cs="Arial"/>
                <w:color w:val="000000"/>
                <w:sz w:val="20"/>
                <w:szCs w:val="20"/>
                <w:lang w:val="en-GB" w:eastAsia="en-GB"/>
              </w:rPr>
              <w:t> </w:t>
            </w:r>
          </w:p>
        </w:tc>
        <w:tc>
          <w:tcPr>
            <w:tcW w:w="1125" w:type="dxa"/>
            <w:tcBorders>
              <w:top w:val="single" w:sz="6" w:space="0" w:color="auto"/>
              <w:left w:val="single" w:sz="6" w:space="0" w:color="auto"/>
              <w:bottom w:val="single" w:sz="6" w:space="0" w:color="auto"/>
              <w:right w:val="single" w:sz="6" w:space="0" w:color="auto"/>
            </w:tcBorders>
            <w:hideMark/>
          </w:tcPr>
          <w:p w14:paraId="1DFF2D26" w14:textId="77777777" w:rsidR="00FD2B58" w:rsidRPr="004030DB" w:rsidRDefault="00FD2B58" w:rsidP="00FD2B58">
            <w:pPr>
              <w:widowControl/>
              <w:jc w:val="right"/>
              <w:textAlignment w:val="baseline"/>
              <w:rPr>
                <w:rFonts w:ascii="Arial" w:eastAsia="Times New Roman" w:hAnsi="Arial" w:cs="Arial"/>
                <w:sz w:val="20"/>
                <w:szCs w:val="20"/>
                <w:lang w:val="en-GB" w:eastAsia="en-GB"/>
              </w:rPr>
            </w:pPr>
            <w:r w:rsidRPr="004030DB">
              <w:rPr>
                <w:rFonts w:ascii="Arial" w:eastAsia="Times New Roman" w:hAnsi="Arial" w:cs="Arial"/>
                <w:color w:val="000000"/>
                <w:sz w:val="20"/>
                <w:szCs w:val="20"/>
                <w:lang w:eastAsia="en-GB"/>
              </w:rPr>
              <w:t>- </w:t>
            </w:r>
            <w:r w:rsidRPr="004030DB">
              <w:rPr>
                <w:rFonts w:ascii="Arial" w:eastAsia="Times New Roman" w:hAnsi="Arial" w:cs="Arial"/>
                <w:color w:val="000000"/>
                <w:sz w:val="20"/>
                <w:szCs w:val="20"/>
                <w:lang w:val="en-GB" w:eastAsia="en-GB"/>
              </w:rPr>
              <w:t> </w:t>
            </w:r>
          </w:p>
        </w:tc>
        <w:tc>
          <w:tcPr>
            <w:tcW w:w="1125" w:type="dxa"/>
            <w:gridSpan w:val="2"/>
            <w:tcBorders>
              <w:top w:val="single" w:sz="6" w:space="0" w:color="auto"/>
              <w:left w:val="single" w:sz="6" w:space="0" w:color="auto"/>
              <w:bottom w:val="single" w:sz="6" w:space="0" w:color="auto"/>
              <w:right w:val="single" w:sz="6" w:space="0" w:color="auto"/>
            </w:tcBorders>
            <w:hideMark/>
          </w:tcPr>
          <w:p w14:paraId="6173DC53" w14:textId="77777777" w:rsidR="00FD2B58" w:rsidRPr="004030DB" w:rsidRDefault="00FD2B58" w:rsidP="00FD2B58">
            <w:pPr>
              <w:widowControl/>
              <w:jc w:val="right"/>
              <w:textAlignment w:val="baseline"/>
              <w:rPr>
                <w:rFonts w:ascii="Arial" w:eastAsia="Times New Roman" w:hAnsi="Arial" w:cs="Arial"/>
                <w:sz w:val="20"/>
                <w:szCs w:val="20"/>
                <w:lang w:val="en-GB" w:eastAsia="en-GB"/>
              </w:rPr>
            </w:pPr>
            <w:r w:rsidRPr="004030DB">
              <w:rPr>
                <w:rFonts w:ascii="Arial" w:eastAsia="Times New Roman" w:hAnsi="Arial" w:cs="Arial"/>
                <w:b/>
                <w:bCs/>
                <w:color w:val="000000"/>
                <w:sz w:val="20"/>
                <w:szCs w:val="20"/>
                <w:lang w:eastAsia="en-GB"/>
              </w:rPr>
              <w:t>1,505 </w:t>
            </w:r>
            <w:r w:rsidRPr="004030DB">
              <w:rPr>
                <w:rFonts w:ascii="Arial" w:eastAsia="Times New Roman" w:hAnsi="Arial" w:cs="Arial"/>
                <w:color w:val="000000"/>
                <w:sz w:val="20"/>
                <w:szCs w:val="20"/>
                <w:lang w:val="en-GB" w:eastAsia="en-GB"/>
              </w:rPr>
              <w:t> </w:t>
            </w:r>
          </w:p>
        </w:tc>
        <w:tc>
          <w:tcPr>
            <w:tcW w:w="1125" w:type="dxa"/>
            <w:tcBorders>
              <w:top w:val="single" w:sz="6" w:space="0" w:color="auto"/>
              <w:left w:val="single" w:sz="6" w:space="0" w:color="auto"/>
              <w:bottom w:val="single" w:sz="6" w:space="0" w:color="auto"/>
              <w:right w:val="single" w:sz="6" w:space="0" w:color="auto"/>
            </w:tcBorders>
            <w:hideMark/>
          </w:tcPr>
          <w:p w14:paraId="34D84DF8" w14:textId="77777777" w:rsidR="00FD2B58" w:rsidRPr="004030DB" w:rsidRDefault="00FD2B58" w:rsidP="00FD2B58">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1518 </w:t>
            </w:r>
          </w:p>
        </w:tc>
      </w:tr>
      <w:tr w:rsidR="00FD2B58" w:rsidRPr="004030DB" w14:paraId="68EE24A2" w14:textId="77777777" w:rsidTr="00FD2B58">
        <w:trPr>
          <w:trHeight w:val="300"/>
        </w:trPr>
        <w:tc>
          <w:tcPr>
            <w:tcW w:w="4350" w:type="dxa"/>
            <w:gridSpan w:val="3"/>
            <w:tcBorders>
              <w:top w:val="single" w:sz="6" w:space="0" w:color="auto"/>
              <w:left w:val="single" w:sz="6" w:space="0" w:color="auto"/>
              <w:bottom w:val="single" w:sz="6" w:space="0" w:color="auto"/>
              <w:right w:val="single" w:sz="6" w:space="0" w:color="auto"/>
            </w:tcBorders>
            <w:hideMark/>
          </w:tcPr>
          <w:p w14:paraId="09F9D452"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Nursing, midwifery and health visiting staff</w:t>
            </w:r>
            <w:r w:rsidRPr="004030DB">
              <w:rPr>
                <w:rFonts w:ascii="Arial" w:eastAsia="Times New Roman" w:hAnsi="Arial" w:cs="Arial"/>
                <w:color w:val="D13438"/>
                <w:sz w:val="20"/>
                <w:szCs w:val="20"/>
                <w:lang w:val="en-GB" w:eastAsia="en-GB"/>
              </w:rPr>
              <w:t> </w:t>
            </w:r>
          </w:p>
        </w:tc>
        <w:tc>
          <w:tcPr>
            <w:tcW w:w="1245" w:type="dxa"/>
            <w:gridSpan w:val="2"/>
            <w:tcBorders>
              <w:top w:val="single" w:sz="6" w:space="0" w:color="auto"/>
              <w:left w:val="single" w:sz="6" w:space="0" w:color="auto"/>
              <w:bottom w:val="single" w:sz="6" w:space="0" w:color="auto"/>
              <w:right w:val="single" w:sz="6" w:space="0" w:color="auto"/>
            </w:tcBorders>
            <w:hideMark/>
          </w:tcPr>
          <w:p w14:paraId="5052FA72" w14:textId="77777777" w:rsidR="00FD2B58" w:rsidRPr="004030DB" w:rsidRDefault="00FD2B58" w:rsidP="00FD2B58">
            <w:pPr>
              <w:widowControl/>
              <w:jc w:val="right"/>
              <w:textAlignment w:val="baseline"/>
              <w:rPr>
                <w:rFonts w:ascii="Arial" w:eastAsia="Times New Roman" w:hAnsi="Arial" w:cs="Arial"/>
                <w:sz w:val="20"/>
                <w:szCs w:val="20"/>
                <w:lang w:val="en-GB" w:eastAsia="en-GB"/>
              </w:rPr>
            </w:pPr>
            <w:r w:rsidRPr="004030DB">
              <w:rPr>
                <w:rFonts w:ascii="Arial" w:eastAsia="Times New Roman" w:hAnsi="Arial" w:cs="Arial"/>
                <w:color w:val="000000"/>
                <w:sz w:val="20"/>
                <w:szCs w:val="20"/>
                <w:lang w:eastAsia="en-GB"/>
              </w:rPr>
              <w:t>1,581 </w:t>
            </w:r>
            <w:r w:rsidRPr="004030DB">
              <w:rPr>
                <w:rFonts w:ascii="Arial" w:eastAsia="Times New Roman" w:hAnsi="Arial" w:cs="Arial"/>
                <w:color w:val="000000"/>
                <w:sz w:val="20"/>
                <w:szCs w:val="20"/>
                <w:lang w:val="en-GB" w:eastAsia="en-GB"/>
              </w:rPr>
              <w:t> </w:t>
            </w:r>
          </w:p>
        </w:tc>
        <w:tc>
          <w:tcPr>
            <w:tcW w:w="1125" w:type="dxa"/>
            <w:tcBorders>
              <w:top w:val="single" w:sz="6" w:space="0" w:color="auto"/>
              <w:left w:val="single" w:sz="6" w:space="0" w:color="auto"/>
              <w:bottom w:val="single" w:sz="6" w:space="0" w:color="auto"/>
              <w:right w:val="single" w:sz="6" w:space="0" w:color="auto"/>
            </w:tcBorders>
            <w:hideMark/>
          </w:tcPr>
          <w:p w14:paraId="1A5ECB25" w14:textId="77777777" w:rsidR="00FD2B58" w:rsidRPr="004030DB" w:rsidRDefault="00FD2B58" w:rsidP="00FD2B58">
            <w:pPr>
              <w:widowControl/>
              <w:jc w:val="right"/>
              <w:textAlignment w:val="baseline"/>
              <w:rPr>
                <w:rFonts w:ascii="Arial" w:eastAsia="Times New Roman" w:hAnsi="Arial" w:cs="Arial"/>
                <w:sz w:val="20"/>
                <w:szCs w:val="20"/>
                <w:lang w:val="en-GB" w:eastAsia="en-GB"/>
              </w:rPr>
            </w:pPr>
            <w:r w:rsidRPr="004030DB">
              <w:rPr>
                <w:rFonts w:ascii="Arial" w:eastAsia="Times New Roman" w:hAnsi="Arial" w:cs="Arial"/>
                <w:color w:val="000000"/>
                <w:sz w:val="20"/>
                <w:szCs w:val="20"/>
                <w:lang w:eastAsia="en-GB"/>
              </w:rPr>
              <w:t>28 </w:t>
            </w:r>
            <w:r w:rsidRPr="004030DB">
              <w:rPr>
                <w:rFonts w:ascii="Arial" w:eastAsia="Times New Roman" w:hAnsi="Arial" w:cs="Arial"/>
                <w:color w:val="000000"/>
                <w:sz w:val="20"/>
                <w:szCs w:val="20"/>
                <w:lang w:val="en-GB" w:eastAsia="en-GB"/>
              </w:rPr>
              <w:t> </w:t>
            </w:r>
          </w:p>
        </w:tc>
        <w:tc>
          <w:tcPr>
            <w:tcW w:w="1125" w:type="dxa"/>
            <w:gridSpan w:val="2"/>
            <w:tcBorders>
              <w:top w:val="single" w:sz="6" w:space="0" w:color="auto"/>
              <w:left w:val="single" w:sz="6" w:space="0" w:color="auto"/>
              <w:bottom w:val="single" w:sz="6" w:space="0" w:color="auto"/>
              <w:right w:val="single" w:sz="6" w:space="0" w:color="auto"/>
            </w:tcBorders>
            <w:hideMark/>
          </w:tcPr>
          <w:p w14:paraId="41A41B37" w14:textId="77777777" w:rsidR="00FD2B58" w:rsidRPr="004030DB" w:rsidRDefault="00FD2B58" w:rsidP="00FD2B58">
            <w:pPr>
              <w:widowControl/>
              <w:jc w:val="right"/>
              <w:textAlignment w:val="baseline"/>
              <w:rPr>
                <w:rFonts w:ascii="Arial" w:eastAsia="Times New Roman" w:hAnsi="Arial" w:cs="Arial"/>
                <w:sz w:val="20"/>
                <w:szCs w:val="20"/>
                <w:lang w:val="en-GB" w:eastAsia="en-GB"/>
              </w:rPr>
            </w:pPr>
            <w:r w:rsidRPr="004030DB">
              <w:rPr>
                <w:rFonts w:ascii="Arial" w:eastAsia="Times New Roman" w:hAnsi="Arial" w:cs="Arial"/>
                <w:b/>
                <w:bCs/>
                <w:color w:val="000000"/>
                <w:sz w:val="20"/>
                <w:szCs w:val="20"/>
                <w:lang w:eastAsia="en-GB"/>
              </w:rPr>
              <w:t>1,609 </w:t>
            </w:r>
            <w:r w:rsidRPr="004030DB">
              <w:rPr>
                <w:rFonts w:ascii="Arial" w:eastAsia="Times New Roman" w:hAnsi="Arial" w:cs="Arial"/>
                <w:color w:val="000000"/>
                <w:sz w:val="20"/>
                <w:szCs w:val="20"/>
                <w:lang w:val="en-GB" w:eastAsia="en-GB"/>
              </w:rPr>
              <w:t> </w:t>
            </w:r>
          </w:p>
        </w:tc>
        <w:tc>
          <w:tcPr>
            <w:tcW w:w="1125" w:type="dxa"/>
            <w:tcBorders>
              <w:top w:val="single" w:sz="6" w:space="0" w:color="auto"/>
              <w:left w:val="single" w:sz="6" w:space="0" w:color="auto"/>
              <w:bottom w:val="single" w:sz="6" w:space="0" w:color="auto"/>
              <w:right w:val="single" w:sz="6" w:space="0" w:color="auto"/>
            </w:tcBorders>
            <w:hideMark/>
          </w:tcPr>
          <w:p w14:paraId="4FB4DF7A" w14:textId="77777777" w:rsidR="00FD2B58" w:rsidRPr="004030DB" w:rsidRDefault="00FD2B58" w:rsidP="00FD2B58">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1547 </w:t>
            </w:r>
          </w:p>
        </w:tc>
      </w:tr>
      <w:tr w:rsidR="00FD2B58" w:rsidRPr="004030DB" w14:paraId="0601B83F" w14:textId="77777777" w:rsidTr="00FD2B58">
        <w:trPr>
          <w:trHeight w:val="300"/>
        </w:trPr>
        <w:tc>
          <w:tcPr>
            <w:tcW w:w="4350" w:type="dxa"/>
            <w:gridSpan w:val="3"/>
            <w:tcBorders>
              <w:top w:val="single" w:sz="6" w:space="0" w:color="auto"/>
              <w:left w:val="single" w:sz="6" w:space="0" w:color="auto"/>
              <w:bottom w:val="single" w:sz="6" w:space="0" w:color="auto"/>
              <w:right w:val="single" w:sz="6" w:space="0" w:color="auto"/>
            </w:tcBorders>
            <w:hideMark/>
          </w:tcPr>
          <w:p w14:paraId="1300487A"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Nursing, midwifery and health visiting learners</w:t>
            </w:r>
            <w:r w:rsidRPr="004030DB">
              <w:rPr>
                <w:rFonts w:ascii="Arial" w:eastAsia="Times New Roman" w:hAnsi="Arial" w:cs="Arial"/>
                <w:color w:val="D13438"/>
                <w:sz w:val="20"/>
                <w:szCs w:val="20"/>
                <w:lang w:val="en-GB" w:eastAsia="en-GB"/>
              </w:rPr>
              <w:t> </w:t>
            </w:r>
          </w:p>
        </w:tc>
        <w:tc>
          <w:tcPr>
            <w:tcW w:w="1245" w:type="dxa"/>
            <w:gridSpan w:val="2"/>
            <w:tcBorders>
              <w:top w:val="single" w:sz="6" w:space="0" w:color="auto"/>
              <w:left w:val="single" w:sz="6" w:space="0" w:color="auto"/>
              <w:bottom w:val="single" w:sz="6" w:space="0" w:color="auto"/>
              <w:right w:val="single" w:sz="6" w:space="0" w:color="auto"/>
            </w:tcBorders>
            <w:hideMark/>
          </w:tcPr>
          <w:p w14:paraId="0CE919D6" w14:textId="77777777" w:rsidR="00FD2B58" w:rsidRPr="004030DB" w:rsidRDefault="00FD2B58" w:rsidP="00FD2B58">
            <w:pPr>
              <w:widowControl/>
              <w:jc w:val="right"/>
              <w:textAlignment w:val="baseline"/>
              <w:rPr>
                <w:rFonts w:ascii="Arial" w:eastAsia="Times New Roman" w:hAnsi="Arial" w:cs="Arial"/>
                <w:sz w:val="20"/>
                <w:szCs w:val="20"/>
                <w:lang w:val="en-GB" w:eastAsia="en-GB"/>
              </w:rPr>
            </w:pPr>
            <w:r w:rsidRPr="004030DB">
              <w:rPr>
                <w:rFonts w:ascii="Arial" w:eastAsia="Times New Roman" w:hAnsi="Arial" w:cs="Arial"/>
                <w:color w:val="000000"/>
                <w:sz w:val="20"/>
                <w:szCs w:val="20"/>
                <w:lang w:eastAsia="en-GB"/>
              </w:rPr>
              <w:t>- </w:t>
            </w:r>
            <w:r w:rsidRPr="004030DB">
              <w:rPr>
                <w:rFonts w:ascii="Arial" w:eastAsia="Times New Roman" w:hAnsi="Arial" w:cs="Arial"/>
                <w:color w:val="000000"/>
                <w:sz w:val="20"/>
                <w:szCs w:val="20"/>
                <w:lang w:val="en-GB" w:eastAsia="en-GB"/>
              </w:rPr>
              <w:t> </w:t>
            </w:r>
          </w:p>
        </w:tc>
        <w:tc>
          <w:tcPr>
            <w:tcW w:w="1125" w:type="dxa"/>
            <w:tcBorders>
              <w:top w:val="single" w:sz="6" w:space="0" w:color="auto"/>
              <w:left w:val="single" w:sz="6" w:space="0" w:color="auto"/>
              <w:bottom w:val="single" w:sz="6" w:space="0" w:color="auto"/>
              <w:right w:val="single" w:sz="6" w:space="0" w:color="auto"/>
            </w:tcBorders>
            <w:hideMark/>
          </w:tcPr>
          <w:p w14:paraId="6590CBFB" w14:textId="77777777" w:rsidR="00FD2B58" w:rsidRPr="004030DB" w:rsidRDefault="00FD2B58" w:rsidP="00FD2B58">
            <w:pPr>
              <w:widowControl/>
              <w:jc w:val="right"/>
              <w:textAlignment w:val="baseline"/>
              <w:rPr>
                <w:rFonts w:ascii="Arial" w:eastAsia="Times New Roman" w:hAnsi="Arial" w:cs="Arial"/>
                <w:sz w:val="20"/>
                <w:szCs w:val="20"/>
                <w:lang w:val="en-GB" w:eastAsia="en-GB"/>
              </w:rPr>
            </w:pPr>
            <w:r w:rsidRPr="004030DB">
              <w:rPr>
                <w:rFonts w:ascii="Arial" w:eastAsia="Times New Roman" w:hAnsi="Arial" w:cs="Arial"/>
                <w:color w:val="000000"/>
                <w:sz w:val="20"/>
                <w:szCs w:val="20"/>
                <w:lang w:eastAsia="en-GB"/>
              </w:rPr>
              <w:t>- </w:t>
            </w:r>
            <w:r w:rsidRPr="004030DB">
              <w:rPr>
                <w:rFonts w:ascii="Arial" w:eastAsia="Times New Roman" w:hAnsi="Arial" w:cs="Arial"/>
                <w:color w:val="000000"/>
                <w:sz w:val="20"/>
                <w:szCs w:val="20"/>
                <w:lang w:val="en-GB" w:eastAsia="en-GB"/>
              </w:rPr>
              <w:t> </w:t>
            </w:r>
          </w:p>
        </w:tc>
        <w:tc>
          <w:tcPr>
            <w:tcW w:w="1125" w:type="dxa"/>
            <w:gridSpan w:val="2"/>
            <w:tcBorders>
              <w:top w:val="single" w:sz="6" w:space="0" w:color="auto"/>
              <w:left w:val="single" w:sz="6" w:space="0" w:color="auto"/>
              <w:bottom w:val="single" w:sz="6" w:space="0" w:color="auto"/>
              <w:right w:val="single" w:sz="6" w:space="0" w:color="auto"/>
            </w:tcBorders>
            <w:hideMark/>
          </w:tcPr>
          <w:p w14:paraId="7EEE4096" w14:textId="77777777" w:rsidR="00FD2B58" w:rsidRPr="004030DB" w:rsidRDefault="00FD2B58" w:rsidP="00FD2B58">
            <w:pPr>
              <w:widowControl/>
              <w:jc w:val="right"/>
              <w:textAlignment w:val="baseline"/>
              <w:rPr>
                <w:rFonts w:ascii="Arial" w:eastAsia="Times New Roman" w:hAnsi="Arial" w:cs="Arial"/>
                <w:sz w:val="20"/>
                <w:szCs w:val="20"/>
                <w:lang w:val="en-GB" w:eastAsia="en-GB"/>
              </w:rPr>
            </w:pPr>
            <w:r w:rsidRPr="004030DB">
              <w:rPr>
                <w:rFonts w:ascii="Arial" w:eastAsia="Times New Roman" w:hAnsi="Arial" w:cs="Arial"/>
                <w:b/>
                <w:bCs/>
                <w:color w:val="000000"/>
                <w:sz w:val="20"/>
                <w:szCs w:val="20"/>
                <w:lang w:eastAsia="en-GB"/>
              </w:rPr>
              <w:t>- </w:t>
            </w:r>
            <w:r w:rsidRPr="004030DB">
              <w:rPr>
                <w:rFonts w:ascii="Arial" w:eastAsia="Times New Roman" w:hAnsi="Arial" w:cs="Arial"/>
                <w:color w:val="000000"/>
                <w:sz w:val="20"/>
                <w:szCs w:val="20"/>
                <w:lang w:val="en-GB" w:eastAsia="en-GB"/>
              </w:rPr>
              <w:t> </w:t>
            </w:r>
          </w:p>
        </w:tc>
        <w:tc>
          <w:tcPr>
            <w:tcW w:w="1125" w:type="dxa"/>
            <w:tcBorders>
              <w:top w:val="single" w:sz="6" w:space="0" w:color="auto"/>
              <w:left w:val="single" w:sz="6" w:space="0" w:color="auto"/>
              <w:bottom w:val="single" w:sz="6" w:space="0" w:color="auto"/>
              <w:right w:val="single" w:sz="6" w:space="0" w:color="auto"/>
            </w:tcBorders>
            <w:hideMark/>
          </w:tcPr>
          <w:p w14:paraId="1530A39F" w14:textId="77777777" w:rsidR="00FD2B58" w:rsidRPr="004030DB" w:rsidRDefault="00FD2B58" w:rsidP="00FD2B58">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w:t>
            </w:r>
            <w:r w:rsidRPr="004030DB">
              <w:rPr>
                <w:rFonts w:ascii="Arial" w:eastAsia="Times New Roman" w:hAnsi="Arial" w:cs="Arial"/>
                <w:color w:val="D13438"/>
                <w:sz w:val="20"/>
                <w:szCs w:val="20"/>
                <w:lang w:val="en-GB" w:eastAsia="en-GB"/>
              </w:rPr>
              <w:t> </w:t>
            </w:r>
          </w:p>
        </w:tc>
      </w:tr>
      <w:tr w:rsidR="00FD2B58" w:rsidRPr="004030DB" w14:paraId="2982ABCD" w14:textId="77777777" w:rsidTr="00FD2B58">
        <w:trPr>
          <w:trHeight w:val="300"/>
        </w:trPr>
        <w:tc>
          <w:tcPr>
            <w:tcW w:w="4350" w:type="dxa"/>
            <w:gridSpan w:val="3"/>
            <w:tcBorders>
              <w:top w:val="single" w:sz="6" w:space="0" w:color="auto"/>
              <w:left w:val="single" w:sz="6" w:space="0" w:color="auto"/>
              <w:bottom w:val="single" w:sz="6" w:space="0" w:color="auto"/>
              <w:right w:val="single" w:sz="6" w:space="0" w:color="auto"/>
            </w:tcBorders>
            <w:hideMark/>
          </w:tcPr>
          <w:p w14:paraId="0B06062E"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Scientific, therapeutic and technical staff</w:t>
            </w:r>
            <w:r w:rsidRPr="004030DB">
              <w:rPr>
                <w:rFonts w:ascii="Arial" w:eastAsia="Times New Roman" w:hAnsi="Arial" w:cs="Arial"/>
                <w:color w:val="D13438"/>
                <w:sz w:val="20"/>
                <w:szCs w:val="20"/>
                <w:lang w:val="en-GB" w:eastAsia="en-GB"/>
              </w:rPr>
              <w:t> </w:t>
            </w:r>
          </w:p>
        </w:tc>
        <w:tc>
          <w:tcPr>
            <w:tcW w:w="1245" w:type="dxa"/>
            <w:gridSpan w:val="2"/>
            <w:tcBorders>
              <w:top w:val="single" w:sz="6" w:space="0" w:color="auto"/>
              <w:left w:val="single" w:sz="6" w:space="0" w:color="auto"/>
              <w:bottom w:val="single" w:sz="6" w:space="0" w:color="auto"/>
              <w:right w:val="single" w:sz="6" w:space="0" w:color="auto"/>
            </w:tcBorders>
            <w:hideMark/>
          </w:tcPr>
          <w:p w14:paraId="0127DC85" w14:textId="77777777" w:rsidR="00FD2B58" w:rsidRPr="004030DB" w:rsidRDefault="00FD2B58" w:rsidP="00FD2B58">
            <w:pPr>
              <w:widowControl/>
              <w:jc w:val="right"/>
              <w:textAlignment w:val="baseline"/>
              <w:rPr>
                <w:rFonts w:ascii="Arial" w:eastAsia="Times New Roman" w:hAnsi="Arial" w:cs="Arial"/>
                <w:sz w:val="20"/>
                <w:szCs w:val="20"/>
                <w:lang w:val="en-GB" w:eastAsia="en-GB"/>
              </w:rPr>
            </w:pPr>
            <w:r w:rsidRPr="004030DB">
              <w:rPr>
                <w:rFonts w:ascii="Arial" w:eastAsia="Times New Roman" w:hAnsi="Arial" w:cs="Arial"/>
                <w:color w:val="000000"/>
                <w:sz w:val="20"/>
                <w:szCs w:val="20"/>
                <w:lang w:eastAsia="en-GB"/>
              </w:rPr>
              <w:t>516 </w:t>
            </w:r>
            <w:r w:rsidRPr="004030DB">
              <w:rPr>
                <w:rFonts w:ascii="Arial" w:eastAsia="Times New Roman" w:hAnsi="Arial" w:cs="Arial"/>
                <w:color w:val="000000"/>
                <w:sz w:val="20"/>
                <w:szCs w:val="20"/>
                <w:lang w:val="en-GB" w:eastAsia="en-GB"/>
              </w:rPr>
              <w:t> </w:t>
            </w:r>
          </w:p>
        </w:tc>
        <w:tc>
          <w:tcPr>
            <w:tcW w:w="1125" w:type="dxa"/>
            <w:tcBorders>
              <w:top w:val="single" w:sz="6" w:space="0" w:color="auto"/>
              <w:left w:val="single" w:sz="6" w:space="0" w:color="auto"/>
              <w:bottom w:val="single" w:sz="6" w:space="0" w:color="auto"/>
              <w:right w:val="single" w:sz="6" w:space="0" w:color="auto"/>
            </w:tcBorders>
            <w:hideMark/>
          </w:tcPr>
          <w:p w14:paraId="71438A91" w14:textId="77777777" w:rsidR="00FD2B58" w:rsidRPr="004030DB" w:rsidRDefault="00FD2B58" w:rsidP="00FD2B58">
            <w:pPr>
              <w:widowControl/>
              <w:jc w:val="right"/>
              <w:textAlignment w:val="baseline"/>
              <w:rPr>
                <w:rFonts w:ascii="Arial" w:eastAsia="Times New Roman" w:hAnsi="Arial" w:cs="Arial"/>
                <w:sz w:val="20"/>
                <w:szCs w:val="20"/>
                <w:lang w:val="en-GB" w:eastAsia="en-GB"/>
              </w:rPr>
            </w:pPr>
            <w:r w:rsidRPr="004030DB">
              <w:rPr>
                <w:rFonts w:ascii="Arial" w:eastAsia="Times New Roman" w:hAnsi="Arial" w:cs="Arial"/>
                <w:color w:val="000000"/>
                <w:sz w:val="20"/>
                <w:szCs w:val="20"/>
                <w:lang w:eastAsia="en-GB"/>
              </w:rPr>
              <w:t>20 </w:t>
            </w:r>
            <w:r w:rsidRPr="004030DB">
              <w:rPr>
                <w:rFonts w:ascii="Arial" w:eastAsia="Times New Roman" w:hAnsi="Arial" w:cs="Arial"/>
                <w:color w:val="000000"/>
                <w:sz w:val="20"/>
                <w:szCs w:val="20"/>
                <w:lang w:val="en-GB" w:eastAsia="en-GB"/>
              </w:rPr>
              <w:t> </w:t>
            </w:r>
          </w:p>
        </w:tc>
        <w:tc>
          <w:tcPr>
            <w:tcW w:w="1125" w:type="dxa"/>
            <w:gridSpan w:val="2"/>
            <w:tcBorders>
              <w:top w:val="single" w:sz="6" w:space="0" w:color="auto"/>
              <w:left w:val="single" w:sz="6" w:space="0" w:color="auto"/>
              <w:bottom w:val="single" w:sz="6" w:space="0" w:color="auto"/>
              <w:right w:val="single" w:sz="6" w:space="0" w:color="auto"/>
            </w:tcBorders>
            <w:hideMark/>
          </w:tcPr>
          <w:p w14:paraId="4727DBFB" w14:textId="77777777" w:rsidR="00FD2B58" w:rsidRPr="004030DB" w:rsidRDefault="00FD2B58" w:rsidP="00FD2B58">
            <w:pPr>
              <w:widowControl/>
              <w:jc w:val="right"/>
              <w:textAlignment w:val="baseline"/>
              <w:rPr>
                <w:rFonts w:ascii="Arial" w:eastAsia="Times New Roman" w:hAnsi="Arial" w:cs="Arial"/>
                <w:sz w:val="20"/>
                <w:szCs w:val="20"/>
                <w:lang w:val="en-GB" w:eastAsia="en-GB"/>
              </w:rPr>
            </w:pPr>
            <w:r w:rsidRPr="004030DB">
              <w:rPr>
                <w:rFonts w:ascii="Arial" w:eastAsia="Times New Roman" w:hAnsi="Arial" w:cs="Arial"/>
                <w:b/>
                <w:bCs/>
                <w:color w:val="000000"/>
                <w:sz w:val="20"/>
                <w:szCs w:val="20"/>
                <w:lang w:eastAsia="en-GB"/>
              </w:rPr>
              <w:t>536 </w:t>
            </w:r>
            <w:r w:rsidRPr="004030DB">
              <w:rPr>
                <w:rFonts w:ascii="Arial" w:eastAsia="Times New Roman" w:hAnsi="Arial" w:cs="Arial"/>
                <w:color w:val="000000"/>
                <w:sz w:val="20"/>
                <w:szCs w:val="20"/>
                <w:lang w:val="en-GB" w:eastAsia="en-GB"/>
              </w:rPr>
              <w:t> </w:t>
            </w:r>
          </w:p>
        </w:tc>
        <w:tc>
          <w:tcPr>
            <w:tcW w:w="1125" w:type="dxa"/>
            <w:tcBorders>
              <w:top w:val="single" w:sz="6" w:space="0" w:color="auto"/>
              <w:left w:val="single" w:sz="6" w:space="0" w:color="auto"/>
              <w:bottom w:val="single" w:sz="6" w:space="0" w:color="auto"/>
              <w:right w:val="single" w:sz="6" w:space="0" w:color="auto"/>
            </w:tcBorders>
            <w:hideMark/>
          </w:tcPr>
          <w:p w14:paraId="5F2F0293" w14:textId="77777777" w:rsidR="00FD2B58" w:rsidRPr="004030DB" w:rsidRDefault="00FD2B58" w:rsidP="00FD2B58">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509 </w:t>
            </w:r>
          </w:p>
        </w:tc>
      </w:tr>
      <w:tr w:rsidR="00FD2B58" w:rsidRPr="004030DB" w14:paraId="27D67370" w14:textId="77777777" w:rsidTr="00FD2B58">
        <w:trPr>
          <w:trHeight w:val="300"/>
        </w:trPr>
        <w:tc>
          <w:tcPr>
            <w:tcW w:w="4350" w:type="dxa"/>
            <w:gridSpan w:val="3"/>
            <w:tcBorders>
              <w:top w:val="single" w:sz="6" w:space="0" w:color="auto"/>
              <w:left w:val="single" w:sz="6" w:space="0" w:color="auto"/>
              <w:bottom w:val="single" w:sz="6" w:space="0" w:color="auto"/>
              <w:right w:val="single" w:sz="6" w:space="0" w:color="auto"/>
            </w:tcBorders>
            <w:hideMark/>
          </w:tcPr>
          <w:p w14:paraId="1505AE9E"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Healthcare science staff</w:t>
            </w:r>
            <w:r w:rsidRPr="004030DB">
              <w:rPr>
                <w:rFonts w:ascii="Arial" w:eastAsia="Times New Roman" w:hAnsi="Arial" w:cs="Arial"/>
                <w:color w:val="D13438"/>
                <w:sz w:val="20"/>
                <w:szCs w:val="20"/>
                <w:lang w:val="en-GB" w:eastAsia="en-GB"/>
              </w:rPr>
              <w:t> </w:t>
            </w:r>
          </w:p>
        </w:tc>
        <w:tc>
          <w:tcPr>
            <w:tcW w:w="1245" w:type="dxa"/>
            <w:gridSpan w:val="2"/>
            <w:tcBorders>
              <w:top w:val="single" w:sz="6" w:space="0" w:color="auto"/>
              <w:left w:val="single" w:sz="6" w:space="0" w:color="auto"/>
              <w:bottom w:val="single" w:sz="6" w:space="0" w:color="auto"/>
              <w:right w:val="single" w:sz="6" w:space="0" w:color="auto"/>
            </w:tcBorders>
            <w:hideMark/>
          </w:tcPr>
          <w:p w14:paraId="1608A065" w14:textId="77777777" w:rsidR="00FD2B58" w:rsidRPr="004030DB" w:rsidRDefault="00FD2B58" w:rsidP="00FD2B58">
            <w:pPr>
              <w:widowControl/>
              <w:jc w:val="right"/>
              <w:textAlignment w:val="baseline"/>
              <w:rPr>
                <w:rFonts w:ascii="Arial" w:eastAsia="Times New Roman" w:hAnsi="Arial" w:cs="Arial"/>
                <w:sz w:val="20"/>
                <w:szCs w:val="20"/>
                <w:lang w:val="en-GB" w:eastAsia="en-GB"/>
              </w:rPr>
            </w:pPr>
            <w:r w:rsidRPr="004030DB">
              <w:rPr>
                <w:rFonts w:ascii="Arial" w:eastAsia="Times New Roman" w:hAnsi="Arial" w:cs="Arial"/>
                <w:color w:val="000000"/>
                <w:sz w:val="20"/>
                <w:szCs w:val="20"/>
                <w:lang w:eastAsia="en-GB"/>
              </w:rPr>
              <w:t>- </w:t>
            </w:r>
            <w:r w:rsidRPr="004030DB">
              <w:rPr>
                <w:rFonts w:ascii="Arial" w:eastAsia="Times New Roman" w:hAnsi="Arial" w:cs="Arial"/>
                <w:color w:val="000000"/>
                <w:sz w:val="20"/>
                <w:szCs w:val="20"/>
                <w:lang w:val="en-GB" w:eastAsia="en-GB"/>
              </w:rPr>
              <w:t> </w:t>
            </w:r>
          </w:p>
        </w:tc>
        <w:tc>
          <w:tcPr>
            <w:tcW w:w="1125" w:type="dxa"/>
            <w:tcBorders>
              <w:top w:val="single" w:sz="6" w:space="0" w:color="auto"/>
              <w:left w:val="single" w:sz="6" w:space="0" w:color="auto"/>
              <w:bottom w:val="single" w:sz="6" w:space="0" w:color="auto"/>
              <w:right w:val="single" w:sz="6" w:space="0" w:color="auto"/>
            </w:tcBorders>
            <w:hideMark/>
          </w:tcPr>
          <w:p w14:paraId="63FDF09F" w14:textId="77777777" w:rsidR="00FD2B58" w:rsidRPr="004030DB" w:rsidRDefault="00FD2B58" w:rsidP="00FD2B58">
            <w:pPr>
              <w:widowControl/>
              <w:jc w:val="right"/>
              <w:textAlignment w:val="baseline"/>
              <w:rPr>
                <w:rFonts w:ascii="Arial" w:eastAsia="Times New Roman" w:hAnsi="Arial" w:cs="Arial"/>
                <w:sz w:val="20"/>
                <w:szCs w:val="20"/>
                <w:lang w:val="en-GB" w:eastAsia="en-GB"/>
              </w:rPr>
            </w:pPr>
            <w:r w:rsidRPr="004030DB">
              <w:rPr>
                <w:rFonts w:ascii="Arial" w:eastAsia="Times New Roman" w:hAnsi="Arial" w:cs="Arial"/>
                <w:color w:val="000000"/>
                <w:sz w:val="20"/>
                <w:szCs w:val="20"/>
                <w:lang w:eastAsia="en-GB"/>
              </w:rPr>
              <w:t>- </w:t>
            </w:r>
            <w:r w:rsidRPr="004030DB">
              <w:rPr>
                <w:rFonts w:ascii="Arial" w:eastAsia="Times New Roman" w:hAnsi="Arial" w:cs="Arial"/>
                <w:color w:val="000000"/>
                <w:sz w:val="20"/>
                <w:szCs w:val="20"/>
                <w:lang w:val="en-GB" w:eastAsia="en-GB"/>
              </w:rPr>
              <w:t> </w:t>
            </w:r>
          </w:p>
        </w:tc>
        <w:tc>
          <w:tcPr>
            <w:tcW w:w="1125" w:type="dxa"/>
            <w:gridSpan w:val="2"/>
            <w:tcBorders>
              <w:top w:val="single" w:sz="6" w:space="0" w:color="auto"/>
              <w:left w:val="single" w:sz="6" w:space="0" w:color="auto"/>
              <w:bottom w:val="single" w:sz="6" w:space="0" w:color="auto"/>
              <w:right w:val="single" w:sz="6" w:space="0" w:color="auto"/>
            </w:tcBorders>
            <w:hideMark/>
          </w:tcPr>
          <w:p w14:paraId="2004EADE" w14:textId="77777777" w:rsidR="00FD2B58" w:rsidRPr="004030DB" w:rsidRDefault="00FD2B58" w:rsidP="00FD2B58">
            <w:pPr>
              <w:widowControl/>
              <w:jc w:val="right"/>
              <w:textAlignment w:val="baseline"/>
              <w:rPr>
                <w:rFonts w:ascii="Arial" w:eastAsia="Times New Roman" w:hAnsi="Arial" w:cs="Arial"/>
                <w:sz w:val="20"/>
                <w:szCs w:val="20"/>
                <w:lang w:val="en-GB" w:eastAsia="en-GB"/>
              </w:rPr>
            </w:pPr>
            <w:r w:rsidRPr="004030DB">
              <w:rPr>
                <w:rFonts w:ascii="Arial" w:eastAsia="Times New Roman" w:hAnsi="Arial" w:cs="Arial"/>
                <w:b/>
                <w:bCs/>
                <w:color w:val="000000"/>
                <w:sz w:val="20"/>
                <w:szCs w:val="20"/>
                <w:lang w:eastAsia="en-GB"/>
              </w:rPr>
              <w:t>- </w:t>
            </w:r>
            <w:r w:rsidRPr="004030DB">
              <w:rPr>
                <w:rFonts w:ascii="Arial" w:eastAsia="Times New Roman" w:hAnsi="Arial" w:cs="Arial"/>
                <w:color w:val="000000"/>
                <w:sz w:val="20"/>
                <w:szCs w:val="20"/>
                <w:lang w:val="en-GB" w:eastAsia="en-GB"/>
              </w:rPr>
              <w:t> </w:t>
            </w:r>
          </w:p>
        </w:tc>
        <w:tc>
          <w:tcPr>
            <w:tcW w:w="1125" w:type="dxa"/>
            <w:tcBorders>
              <w:top w:val="single" w:sz="6" w:space="0" w:color="auto"/>
              <w:left w:val="single" w:sz="6" w:space="0" w:color="auto"/>
              <w:bottom w:val="single" w:sz="6" w:space="0" w:color="auto"/>
              <w:right w:val="single" w:sz="6" w:space="0" w:color="auto"/>
            </w:tcBorders>
            <w:hideMark/>
          </w:tcPr>
          <w:p w14:paraId="77B2F7B9" w14:textId="77777777" w:rsidR="00FD2B58" w:rsidRPr="004030DB" w:rsidRDefault="00FD2B58" w:rsidP="00FD2B58">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w:t>
            </w:r>
            <w:r w:rsidRPr="004030DB">
              <w:rPr>
                <w:rFonts w:ascii="Arial" w:eastAsia="Times New Roman" w:hAnsi="Arial" w:cs="Arial"/>
                <w:color w:val="D13438"/>
                <w:sz w:val="20"/>
                <w:szCs w:val="20"/>
                <w:lang w:val="en-GB" w:eastAsia="en-GB"/>
              </w:rPr>
              <w:t> </w:t>
            </w:r>
          </w:p>
        </w:tc>
      </w:tr>
      <w:tr w:rsidR="00FD2B58" w:rsidRPr="004030DB" w14:paraId="45A57A4E" w14:textId="77777777" w:rsidTr="00FD2B58">
        <w:trPr>
          <w:trHeight w:val="300"/>
        </w:trPr>
        <w:tc>
          <w:tcPr>
            <w:tcW w:w="4350" w:type="dxa"/>
            <w:gridSpan w:val="3"/>
            <w:tcBorders>
              <w:top w:val="single" w:sz="6" w:space="0" w:color="auto"/>
              <w:left w:val="single" w:sz="6" w:space="0" w:color="auto"/>
              <w:bottom w:val="single" w:sz="6" w:space="0" w:color="auto"/>
              <w:right w:val="single" w:sz="6" w:space="0" w:color="auto"/>
            </w:tcBorders>
            <w:hideMark/>
          </w:tcPr>
          <w:p w14:paraId="691753A5"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Social care staff</w:t>
            </w:r>
            <w:r w:rsidRPr="004030DB">
              <w:rPr>
                <w:rFonts w:ascii="Arial" w:eastAsia="Times New Roman" w:hAnsi="Arial" w:cs="Arial"/>
                <w:color w:val="D13438"/>
                <w:sz w:val="20"/>
                <w:szCs w:val="20"/>
                <w:lang w:val="en-GB" w:eastAsia="en-GB"/>
              </w:rPr>
              <w:t> </w:t>
            </w:r>
          </w:p>
        </w:tc>
        <w:tc>
          <w:tcPr>
            <w:tcW w:w="1245" w:type="dxa"/>
            <w:gridSpan w:val="2"/>
            <w:tcBorders>
              <w:top w:val="single" w:sz="6" w:space="0" w:color="auto"/>
              <w:left w:val="single" w:sz="6" w:space="0" w:color="auto"/>
              <w:bottom w:val="single" w:sz="6" w:space="0" w:color="auto"/>
              <w:right w:val="single" w:sz="6" w:space="0" w:color="auto"/>
            </w:tcBorders>
            <w:hideMark/>
          </w:tcPr>
          <w:p w14:paraId="3EF0D77A" w14:textId="77777777" w:rsidR="00FD2B58" w:rsidRPr="004030DB" w:rsidRDefault="00FD2B58" w:rsidP="00FD2B58">
            <w:pPr>
              <w:widowControl/>
              <w:jc w:val="right"/>
              <w:textAlignment w:val="baseline"/>
              <w:rPr>
                <w:rFonts w:ascii="Arial" w:eastAsia="Times New Roman" w:hAnsi="Arial" w:cs="Arial"/>
                <w:sz w:val="20"/>
                <w:szCs w:val="20"/>
                <w:lang w:val="en-GB" w:eastAsia="en-GB"/>
              </w:rPr>
            </w:pPr>
            <w:r w:rsidRPr="004030DB">
              <w:rPr>
                <w:rFonts w:ascii="Arial" w:eastAsia="Times New Roman" w:hAnsi="Arial" w:cs="Arial"/>
                <w:color w:val="000000"/>
                <w:sz w:val="20"/>
                <w:szCs w:val="20"/>
                <w:lang w:eastAsia="en-GB"/>
              </w:rPr>
              <w:t>- </w:t>
            </w:r>
            <w:r w:rsidRPr="004030DB">
              <w:rPr>
                <w:rFonts w:ascii="Arial" w:eastAsia="Times New Roman" w:hAnsi="Arial" w:cs="Arial"/>
                <w:color w:val="000000"/>
                <w:sz w:val="20"/>
                <w:szCs w:val="20"/>
                <w:lang w:val="en-GB" w:eastAsia="en-GB"/>
              </w:rPr>
              <w:t> </w:t>
            </w:r>
          </w:p>
        </w:tc>
        <w:tc>
          <w:tcPr>
            <w:tcW w:w="1125" w:type="dxa"/>
            <w:tcBorders>
              <w:top w:val="single" w:sz="6" w:space="0" w:color="auto"/>
              <w:left w:val="single" w:sz="6" w:space="0" w:color="auto"/>
              <w:bottom w:val="single" w:sz="6" w:space="0" w:color="auto"/>
              <w:right w:val="single" w:sz="6" w:space="0" w:color="auto"/>
            </w:tcBorders>
            <w:hideMark/>
          </w:tcPr>
          <w:p w14:paraId="38874ACC" w14:textId="77777777" w:rsidR="00FD2B58" w:rsidRPr="004030DB" w:rsidRDefault="00FD2B58" w:rsidP="00FD2B58">
            <w:pPr>
              <w:widowControl/>
              <w:jc w:val="right"/>
              <w:textAlignment w:val="baseline"/>
              <w:rPr>
                <w:rFonts w:ascii="Arial" w:eastAsia="Times New Roman" w:hAnsi="Arial" w:cs="Arial"/>
                <w:sz w:val="20"/>
                <w:szCs w:val="20"/>
                <w:lang w:val="en-GB" w:eastAsia="en-GB"/>
              </w:rPr>
            </w:pPr>
            <w:r w:rsidRPr="004030DB">
              <w:rPr>
                <w:rFonts w:ascii="Arial" w:eastAsia="Times New Roman" w:hAnsi="Arial" w:cs="Arial"/>
                <w:color w:val="000000"/>
                <w:sz w:val="20"/>
                <w:szCs w:val="20"/>
                <w:lang w:eastAsia="en-GB"/>
              </w:rPr>
              <w:t>- </w:t>
            </w:r>
            <w:r w:rsidRPr="004030DB">
              <w:rPr>
                <w:rFonts w:ascii="Arial" w:eastAsia="Times New Roman" w:hAnsi="Arial" w:cs="Arial"/>
                <w:color w:val="000000"/>
                <w:sz w:val="20"/>
                <w:szCs w:val="20"/>
                <w:lang w:val="en-GB" w:eastAsia="en-GB"/>
              </w:rPr>
              <w:t> </w:t>
            </w:r>
          </w:p>
        </w:tc>
        <w:tc>
          <w:tcPr>
            <w:tcW w:w="1125" w:type="dxa"/>
            <w:gridSpan w:val="2"/>
            <w:tcBorders>
              <w:top w:val="single" w:sz="6" w:space="0" w:color="auto"/>
              <w:left w:val="single" w:sz="6" w:space="0" w:color="auto"/>
              <w:bottom w:val="single" w:sz="6" w:space="0" w:color="auto"/>
              <w:right w:val="single" w:sz="6" w:space="0" w:color="auto"/>
            </w:tcBorders>
            <w:hideMark/>
          </w:tcPr>
          <w:p w14:paraId="394D4808" w14:textId="77777777" w:rsidR="00FD2B58" w:rsidRPr="004030DB" w:rsidRDefault="00FD2B58" w:rsidP="00FD2B58">
            <w:pPr>
              <w:widowControl/>
              <w:jc w:val="right"/>
              <w:textAlignment w:val="baseline"/>
              <w:rPr>
                <w:rFonts w:ascii="Arial" w:eastAsia="Times New Roman" w:hAnsi="Arial" w:cs="Arial"/>
                <w:sz w:val="20"/>
                <w:szCs w:val="20"/>
                <w:lang w:val="en-GB" w:eastAsia="en-GB"/>
              </w:rPr>
            </w:pPr>
            <w:r w:rsidRPr="004030DB">
              <w:rPr>
                <w:rFonts w:ascii="Arial" w:eastAsia="Times New Roman" w:hAnsi="Arial" w:cs="Arial"/>
                <w:b/>
                <w:bCs/>
                <w:color w:val="000000"/>
                <w:sz w:val="20"/>
                <w:szCs w:val="20"/>
                <w:lang w:eastAsia="en-GB"/>
              </w:rPr>
              <w:t>- </w:t>
            </w:r>
            <w:r w:rsidRPr="004030DB">
              <w:rPr>
                <w:rFonts w:ascii="Arial" w:eastAsia="Times New Roman" w:hAnsi="Arial" w:cs="Arial"/>
                <w:color w:val="000000"/>
                <w:sz w:val="20"/>
                <w:szCs w:val="20"/>
                <w:lang w:val="en-GB" w:eastAsia="en-GB"/>
              </w:rPr>
              <w:t> </w:t>
            </w:r>
          </w:p>
        </w:tc>
        <w:tc>
          <w:tcPr>
            <w:tcW w:w="1125" w:type="dxa"/>
            <w:tcBorders>
              <w:top w:val="single" w:sz="6" w:space="0" w:color="auto"/>
              <w:left w:val="single" w:sz="6" w:space="0" w:color="auto"/>
              <w:bottom w:val="single" w:sz="6" w:space="0" w:color="auto"/>
              <w:right w:val="single" w:sz="6" w:space="0" w:color="auto"/>
            </w:tcBorders>
            <w:hideMark/>
          </w:tcPr>
          <w:p w14:paraId="64D11F2A" w14:textId="77777777" w:rsidR="00FD2B58" w:rsidRPr="004030DB" w:rsidRDefault="00FD2B58" w:rsidP="00FD2B58">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w:t>
            </w:r>
            <w:r w:rsidRPr="004030DB">
              <w:rPr>
                <w:rFonts w:ascii="Arial" w:eastAsia="Times New Roman" w:hAnsi="Arial" w:cs="Arial"/>
                <w:color w:val="D13438"/>
                <w:sz w:val="20"/>
                <w:szCs w:val="20"/>
                <w:lang w:val="en-GB" w:eastAsia="en-GB"/>
              </w:rPr>
              <w:t> </w:t>
            </w:r>
          </w:p>
        </w:tc>
      </w:tr>
      <w:tr w:rsidR="00FD2B58" w:rsidRPr="004030DB" w14:paraId="2184521D" w14:textId="77777777" w:rsidTr="00FD2B58">
        <w:trPr>
          <w:trHeight w:val="300"/>
        </w:trPr>
        <w:tc>
          <w:tcPr>
            <w:tcW w:w="4350" w:type="dxa"/>
            <w:gridSpan w:val="3"/>
            <w:tcBorders>
              <w:top w:val="single" w:sz="6" w:space="0" w:color="auto"/>
              <w:left w:val="single" w:sz="6" w:space="0" w:color="auto"/>
              <w:bottom w:val="single" w:sz="6" w:space="0" w:color="auto"/>
              <w:right w:val="single" w:sz="6" w:space="0" w:color="auto"/>
            </w:tcBorders>
            <w:hideMark/>
          </w:tcPr>
          <w:p w14:paraId="7851D953"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Other</w:t>
            </w:r>
            <w:r w:rsidRPr="004030DB">
              <w:rPr>
                <w:rFonts w:ascii="Arial" w:eastAsia="Times New Roman" w:hAnsi="Arial" w:cs="Arial"/>
                <w:color w:val="D13438"/>
                <w:sz w:val="20"/>
                <w:szCs w:val="20"/>
                <w:lang w:val="en-GB" w:eastAsia="en-GB"/>
              </w:rPr>
              <w:t> </w:t>
            </w:r>
          </w:p>
        </w:tc>
        <w:tc>
          <w:tcPr>
            <w:tcW w:w="1245" w:type="dxa"/>
            <w:gridSpan w:val="2"/>
            <w:tcBorders>
              <w:top w:val="single" w:sz="6" w:space="0" w:color="auto"/>
              <w:left w:val="single" w:sz="6" w:space="0" w:color="auto"/>
              <w:bottom w:val="single" w:sz="6" w:space="0" w:color="auto"/>
              <w:right w:val="single" w:sz="6" w:space="0" w:color="auto"/>
            </w:tcBorders>
            <w:hideMark/>
          </w:tcPr>
          <w:p w14:paraId="770B40EE" w14:textId="77777777" w:rsidR="00FD2B58" w:rsidRPr="004030DB" w:rsidRDefault="00FD2B58" w:rsidP="00FD2B58">
            <w:pPr>
              <w:widowControl/>
              <w:jc w:val="right"/>
              <w:textAlignment w:val="baseline"/>
              <w:rPr>
                <w:rFonts w:ascii="Arial" w:eastAsia="Times New Roman" w:hAnsi="Arial" w:cs="Arial"/>
                <w:sz w:val="20"/>
                <w:szCs w:val="20"/>
                <w:lang w:val="en-GB" w:eastAsia="en-GB"/>
              </w:rPr>
            </w:pPr>
            <w:r w:rsidRPr="004030DB">
              <w:rPr>
                <w:rFonts w:ascii="Arial" w:eastAsia="Times New Roman" w:hAnsi="Arial" w:cs="Arial"/>
                <w:color w:val="000000"/>
                <w:sz w:val="20"/>
                <w:szCs w:val="20"/>
                <w:lang w:eastAsia="en-GB"/>
              </w:rPr>
              <w:t>- </w:t>
            </w:r>
            <w:r w:rsidRPr="004030DB">
              <w:rPr>
                <w:rFonts w:ascii="Arial" w:eastAsia="Times New Roman" w:hAnsi="Arial" w:cs="Arial"/>
                <w:color w:val="000000"/>
                <w:sz w:val="20"/>
                <w:szCs w:val="20"/>
                <w:lang w:val="en-GB" w:eastAsia="en-GB"/>
              </w:rPr>
              <w:t> </w:t>
            </w:r>
          </w:p>
        </w:tc>
        <w:tc>
          <w:tcPr>
            <w:tcW w:w="1125" w:type="dxa"/>
            <w:tcBorders>
              <w:top w:val="single" w:sz="6" w:space="0" w:color="auto"/>
              <w:left w:val="single" w:sz="6" w:space="0" w:color="auto"/>
              <w:bottom w:val="single" w:sz="6" w:space="0" w:color="auto"/>
              <w:right w:val="single" w:sz="6" w:space="0" w:color="auto"/>
            </w:tcBorders>
            <w:hideMark/>
          </w:tcPr>
          <w:p w14:paraId="05C6ED5D" w14:textId="77777777" w:rsidR="00FD2B58" w:rsidRPr="004030DB" w:rsidRDefault="00FD2B58" w:rsidP="00FD2B58">
            <w:pPr>
              <w:widowControl/>
              <w:jc w:val="right"/>
              <w:textAlignment w:val="baseline"/>
              <w:rPr>
                <w:rFonts w:ascii="Arial" w:eastAsia="Times New Roman" w:hAnsi="Arial" w:cs="Arial"/>
                <w:sz w:val="20"/>
                <w:szCs w:val="20"/>
                <w:lang w:val="en-GB" w:eastAsia="en-GB"/>
              </w:rPr>
            </w:pPr>
            <w:r w:rsidRPr="004030DB">
              <w:rPr>
                <w:rFonts w:ascii="Arial" w:eastAsia="Times New Roman" w:hAnsi="Arial" w:cs="Arial"/>
                <w:color w:val="000000"/>
                <w:sz w:val="20"/>
                <w:szCs w:val="20"/>
                <w:lang w:eastAsia="en-GB"/>
              </w:rPr>
              <w:t>- </w:t>
            </w:r>
            <w:r w:rsidRPr="004030DB">
              <w:rPr>
                <w:rFonts w:ascii="Arial" w:eastAsia="Times New Roman" w:hAnsi="Arial" w:cs="Arial"/>
                <w:color w:val="000000"/>
                <w:sz w:val="20"/>
                <w:szCs w:val="20"/>
                <w:lang w:val="en-GB" w:eastAsia="en-GB"/>
              </w:rPr>
              <w:t> </w:t>
            </w:r>
          </w:p>
        </w:tc>
        <w:tc>
          <w:tcPr>
            <w:tcW w:w="1125" w:type="dxa"/>
            <w:gridSpan w:val="2"/>
            <w:tcBorders>
              <w:top w:val="single" w:sz="6" w:space="0" w:color="auto"/>
              <w:left w:val="single" w:sz="6" w:space="0" w:color="auto"/>
              <w:bottom w:val="single" w:sz="6" w:space="0" w:color="auto"/>
              <w:right w:val="single" w:sz="6" w:space="0" w:color="auto"/>
            </w:tcBorders>
            <w:hideMark/>
          </w:tcPr>
          <w:p w14:paraId="3B8CC8D9" w14:textId="77777777" w:rsidR="00FD2B58" w:rsidRPr="004030DB" w:rsidRDefault="00FD2B58" w:rsidP="00FD2B58">
            <w:pPr>
              <w:widowControl/>
              <w:jc w:val="right"/>
              <w:textAlignment w:val="baseline"/>
              <w:rPr>
                <w:rFonts w:ascii="Arial" w:eastAsia="Times New Roman" w:hAnsi="Arial" w:cs="Arial"/>
                <w:sz w:val="20"/>
                <w:szCs w:val="20"/>
                <w:lang w:val="en-GB" w:eastAsia="en-GB"/>
              </w:rPr>
            </w:pPr>
            <w:r w:rsidRPr="004030DB">
              <w:rPr>
                <w:rFonts w:ascii="Arial" w:eastAsia="Times New Roman" w:hAnsi="Arial" w:cs="Arial"/>
                <w:b/>
                <w:bCs/>
                <w:color w:val="000000"/>
                <w:sz w:val="20"/>
                <w:szCs w:val="20"/>
                <w:lang w:eastAsia="en-GB"/>
              </w:rPr>
              <w:t>- </w:t>
            </w:r>
            <w:r w:rsidRPr="004030DB">
              <w:rPr>
                <w:rFonts w:ascii="Arial" w:eastAsia="Times New Roman" w:hAnsi="Arial" w:cs="Arial"/>
                <w:color w:val="000000"/>
                <w:sz w:val="20"/>
                <w:szCs w:val="20"/>
                <w:lang w:val="en-GB" w:eastAsia="en-GB"/>
              </w:rPr>
              <w:t> </w:t>
            </w:r>
          </w:p>
        </w:tc>
        <w:tc>
          <w:tcPr>
            <w:tcW w:w="1125" w:type="dxa"/>
            <w:tcBorders>
              <w:top w:val="single" w:sz="6" w:space="0" w:color="auto"/>
              <w:left w:val="single" w:sz="6" w:space="0" w:color="auto"/>
              <w:bottom w:val="single" w:sz="6" w:space="0" w:color="auto"/>
              <w:right w:val="single" w:sz="6" w:space="0" w:color="auto"/>
            </w:tcBorders>
            <w:hideMark/>
          </w:tcPr>
          <w:p w14:paraId="23021249" w14:textId="77777777" w:rsidR="00FD2B58" w:rsidRPr="004030DB" w:rsidRDefault="00FD2B58" w:rsidP="00FD2B58">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w:t>
            </w:r>
            <w:r w:rsidRPr="004030DB">
              <w:rPr>
                <w:rFonts w:ascii="Arial" w:eastAsia="Times New Roman" w:hAnsi="Arial" w:cs="Arial"/>
                <w:color w:val="D13438"/>
                <w:sz w:val="20"/>
                <w:szCs w:val="20"/>
                <w:lang w:val="en-GB" w:eastAsia="en-GB"/>
              </w:rPr>
              <w:t> </w:t>
            </w:r>
          </w:p>
        </w:tc>
      </w:tr>
      <w:tr w:rsidR="00FD2B58" w:rsidRPr="004030DB" w14:paraId="30F3D0CD" w14:textId="77777777" w:rsidTr="00FD2B58">
        <w:trPr>
          <w:trHeight w:val="300"/>
        </w:trPr>
        <w:tc>
          <w:tcPr>
            <w:tcW w:w="4350" w:type="dxa"/>
            <w:gridSpan w:val="3"/>
            <w:tcBorders>
              <w:top w:val="single" w:sz="6" w:space="0" w:color="auto"/>
              <w:left w:val="single" w:sz="6" w:space="0" w:color="auto"/>
              <w:bottom w:val="single" w:sz="6" w:space="0" w:color="auto"/>
              <w:right w:val="single" w:sz="6" w:space="0" w:color="auto"/>
            </w:tcBorders>
            <w:shd w:val="clear" w:color="auto" w:fill="DEEAF6"/>
            <w:hideMark/>
          </w:tcPr>
          <w:p w14:paraId="6C4EE2F9"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val="en-GB" w:eastAsia="en-GB"/>
              </w:rPr>
              <w:t>Total average numbers</w:t>
            </w:r>
            <w:r w:rsidRPr="004030DB">
              <w:rPr>
                <w:rFonts w:ascii="Arial" w:eastAsia="Times New Roman" w:hAnsi="Arial" w:cs="Arial"/>
                <w:color w:val="D13438"/>
                <w:sz w:val="20"/>
                <w:szCs w:val="20"/>
                <w:lang w:val="en-GB" w:eastAsia="en-GB"/>
              </w:rPr>
              <w:t> </w:t>
            </w:r>
          </w:p>
        </w:tc>
        <w:tc>
          <w:tcPr>
            <w:tcW w:w="1245" w:type="dxa"/>
            <w:gridSpan w:val="2"/>
            <w:tcBorders>
              <w:top w:val="single" w:sz="6" w:space="0" w:color="auto"/>
              <w:left w:val="single" w:sz="6" w:space="0" w:color="auto"/>
              <w:bottom w:val="single" w:sz="6" w:space="0" w:color="auto"/>
              <w:right w:val="single" w:sz="6" w:space="0" w:color="auto"/>
            </w:tcBorders>
            <w:shd w:val="clear" w:color="auto" w:fill="DEEAF6"/>
            <w:hideMark/>
          </w:tcPr>
          <w:p w14:paraId="29664C64" w14:textId="77777777" w:rsidR="00FD2B58" w:rsidRPr="004030DB" w:rsidRDefault="00FD2B58" w:rsidP="00FD2B58">
            <w:pPr>
              <w:widowControl/>
              <w:jc w:val="right"/>
              <w:textAlignment w:val="baseline"/>
              <w:rPr>
                <w:rFonts w:ascii="Arial" w:eastAsia="Times New Roman" w:hAnsi="Arial" w:cs="Arial"/>
                <w:sz w:val="20"/>
                <w:szCs w:val="20"/>
                <w:lang w:val="en-GB" w:eastAsia="en-GB"/>
              </w:rPr>
            </w:pPr>
            <w:r w:rsidRPr="004030DB">
              <w:rPr>
                <w:rFonts w:ascii="Arial" w:eastAsia="Times New Roman" w:hAnsi="Arial" w:cs="Arial"/>
                <w:b/>
                <w:bCs/>
                <w:color w:val="000000"/>
                <w:sz w:val="20"/>
                <w:szCs w:val="20"/>
                <w:lang w:eastAsia="en-GB"/>
              </w:rPr>
              <w:t>5,477 </w:t>
            </w:r>
            <w:r w:rsidRPr="004030DB">
              <w:rPr>
                <w:rFonts w:ascii="Arial" w:eastAsia="Times New Roman" w:hAnsi="Arial" w:cs="Arial"/>
                <w:color w:val="000000"/>
                <w:sz w:val="20"/>
                <w:szCs w:val="20"/>
                <w:lang w:val="en-GB" w:eastAsia="en-GB"/>
              </w:rPr>
              <w:t> </w:t>
            </w:r>
          </w:p>
        </w:tc>
        <w:tc>
          <w:tcPr>
            <w:tcW w:w="1125" w:type="dxa"/>
            <w:tcBorders>
              <w:top w:val="single" w:sz="6" w:space="0" w:color="auto"/>
              <w:left w:val="single" w:sz="6" w:space="0" w:color="auto"/>
              <w:bottom w:val="single" w:sz="6" w:space="0" w:color="auto"/>
              <w:right w:val="single" w:sz="6" w:space="0" w:color="auto"/>
            </w:tcBorders>
            <w:shd w:val="clear" w:color="auto" w:fill="DEEAF6"/>
            <w:hideMark/>
          </w:tcPr>
          <w:p w14:paraId="548D5B63" w14:textId="77777777" w:rsidR="00FD2B58" w:rsidRPr="004030DB" w:rsidRDefault="00FD2B58" w:rsidP="00FD2B58">
            <w:pPr>
              <w:widowControl/>
              <w:jc w:val="right"/>
              <w:textAlignment w:val="baseline"/>
              <w:rPr>
                <w:rFonts w:ascii="Arial" w:eastAsia="Times New Roman" w:hAnsi="Arial" w:cs="Arial"/>
                <w:sz w:val="20"/>
                <w:szCs w:val="20"/>
                <w:lang w:val="en-GB" w:eastAsia="en-GB"/>
              </w:rPr>
            </w:pPr>
            <w:r w:rsidRPr="004030DB">
              <w:rPr>
                <w:rFonts w:ascii="Arial" w:eastAsia="Times New Roman" w:hAnsi="Arial" w:cs="Arial"/>
                <w:b/>
                <w:bCs/>
                <w:color w:val="000000"/>
                <w:sz w:val="20"/>
                <w:szCs w:val="20"/>
                <w:lang w:eastAsia="en-GB"/>
              </w:rPr>
              <w:t>58 </w:t>
            </w:r>
            <w:r w:rsidRPr="004030DB">
              <w:rPr>
                <w:rFonts w:ascii="Arial" w:eastAsia="Times New Roman" w:hAnsi="Arial" w:cs="Arial"/>
                <w:color w:val="000000"/>
                <w:sz w:val="20"/>
                <w:szCs w:val="20"/>
                <w:lang w:val="en-GB" w:eastAsia="en-GB"/>
              </w:rPr>
              <w:t> </w:t>
            </w:r>
          </w:p>
        </w:tc>
        <w:tc>
          <w:tcPr>
            <w:tcW w:w="1125" w:type="dxa"/>
            <w:gridSpan w:val="2"/>
            <w:tcBorders>
              <w:top w:val="single" w:sz="6" w:space="0" w:color="auto"/>
              <w:left w:val="single" w:sz="6" w:space="0" w:color="auto"/>
              <w:bottom w:val="single" w:sz="6" w:space="0" w:color="auto"/>
              <w:right w:val="single" w:sz="6" w:space="0" w:color="auto"/>
            </w:tcBorders>
            <w:shd w:val="clear" w:color="auto" w:fill="DEEAF6"/>
            <w:hideMark/>
          </w:tcPr>
          <w:p w14:paraId="4DF7D49C" w14:textId="77777777" w:rsidR="00FD2B58" w:rsidRPr="004030DB" w:rsidRDefault="00FD2B58" w:rsidP="00FD2B58">
            <w:pPr>
              <w:widowControl/>
              <w:jc w:val="right"/>
              <w:textAlignment w:val="baseline"/>
              <w:rPr>
                <w:rFonts w:ascii="Arial" w:eastAsia="Times New Roman" w:hAnsi="Arial" w:cs="Arial"/>
                <w:sz w:val="20"/>
                <w:szCs w:val="20"/>
                <w:lang w:val="en-GB" w:eastAsia="en-GB"/>
              </w:rPr>
            </w:pPr>
            <w:r w:rsidRPr="004030DB">
              <w:rPr>
                <w:rFonts w:ascii="Arial" w:eastAsia="Times New Roman" w:hAnsi="Arial" w:cs="Arial"/>
                <w:b/>
                <w:bCs/>
                <w:color w:val="000000"/>
                <w:sz w:val="20"/>
                <w:szCs w:val="20"/>
                <w:lang w:eastAsia="en-GB"/>
              </w:rPr>
              <w:t>5,535 </w:t>
            </w:r>
            <w:r w:rsidRPr="004030DB">
              <w:rPr>
                <w:rFonts w:ascii="Arial" w:eastAsia="Times New Roman" w:hAnsi="Arial" w:cs="Arial"/>
                <w:color w:val="000000"/>
                <w:sz w:val="20"/>
                <w:szCs w:val="20"/>
                <w:lang w:val="en-GB" w:eastAsia="en-GB"/>
              </w:rPr>
              <w:t> </w:t>
            </w:r>
          </w:p>
        </w:tc>
        <w:tc>
          <w:tcPr>
            <w:tcW w:w="1125" w:type="dxa"/>
            <w:tcBorders>
              <w:top w:val="single" w:sz="6" w:space="0" w:color="auto"/>
              <w:left w:val="single" w:sz="6" w:space="0" w:color="auto"/>
              <w:bottom w:val="single" w:sz="6" w:space="0" w:color="auto"/>
              <w:right w:val="single" w:sz="6" w:space="0" w:color="auto"/>
            </w:tcBorders>
            <w:shd w:val="clear" w:color="auto" w:fill="DEEAF6"/>
            <w:hideMark/>
          </w:tcPr>
          <w:p w14:paraId="37A430E0" w14:textId="77777777" w:rsidR="00FD2B58" w:rsidRPr="004030DB" w:rsidRDefault="00FD2B58" w:rsidP="00FD2B58">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val="en-GB" w:eastAsia="en-GB"/>
              </w:rPr>
              <w:t>5335</w:t>
            </w:r>
            <w:r w:rsidRPr="004030DB">
              <w:rPr>
                <w:rFonts w:ascii="Arial" w:eastAsia="Times New Roman" w:hAnsi="Arial" w:cs="Arial"/>
                <w:sz w:val="20"/>
                <w:szCs w:val="20"/>
                <w:lang w:val="en-GB" w:eastAsia="en-GB"/>
              </w:rPr>
              <w:t> </w:t>
            </w:r>
          </w:p>
        </w:tc>
      </w:tr>
      <w:tr w:rsidR="00FD2B58" w:rsidRPr="004030DB" w14:paraId="790ECB25" w14:textId="77777777" w:rsidTr="00FD2B58">
        <w:trPr>
          <w:trHeight w:val="300"/>
        </w:trPr>
        <w:tc>
          <w:tcPr>
            <w:tcW w:w="1800" w:type="dxa"/>
            <w:tcBorders>
              <w:top w:val="single" w:sz="6" w:space="0" w:color="auto"/>
              <w:left w:val="single" w:sz="6" w:space="0" w:color="auto"/>
              <w:bottom w:val="single" w:sz="6" w:space="0" w:color="auto"/>
              <w:right w:val="nil"/>
            </w:tcBorders>
            <w:hideMark/>
          </w:tcPr>
          <w:p w14:paraId="149E10A2"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val="en-GB" w:eastAsia="en-GB"/>
              </w:rPr>
              <w:t>Of which:</w:t>
            </w:r>
            <w:r w:rsidRPr="004030DB">
              <w:rPr>
                <w:rFonts w:ascii="Arial" w:eastAsia="Times New Roman" w:hAnsi="Arial" w:cs="Arial"/>
                <w:color w:val="D13438"/>
                <w:sz w:val="20"/>
                <w:szCs w:val="20"/>
                <w:lang w:val="en-GB" w:eastAsia="en-GB"/>
              </w:rPr>
              <w:t> </w:t>
            </w:r>
          </w:p>
        </w:tc>
        <w:tc>
          <w:tcPr>
            <w:tcW w:w="1800" w:type="dxa"/>
            <w:tcBorders>
              <w:top w:val="single" w:sz="6" w:space="0" w:color="auto"/>
              <w:left w:val="nil"/>
              <w:bottom w:val="single" w:sz="6" w:space="0" w:color="auto"/>
              <w:right w:val="nil"/>
            </w:tcBorders>
            <w:hideMark/>
          </w:tcPr>
          <w:p w14:paraId="0EF0C742"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color w:val="D13438"/>
                <w:sz w:val="20"/>
                <w:szCs w:val="20"/>
                <w:lang w:val="en-GB" w:eastAsia="en-GB"/>
              </w:rPr>
              <w:t> </w:t>
            </w:r>
          </w:p>
        </w:tc>
        <w:tc>
          <w:tcPr>
            <w:tcW w:w="1800" w:type="dxa"/>
            <w:gridSpan w:val="2"/>
            <w:tcBorders>
              <w:top w:val="single" w:sz="6" w:space="0" w:color="auto"/>
              <w:left w:val="nil"/>
              <w:bottom w:val="single" w:sz="6" w:space="0" w:color="auto"/>
              <w:right w:val="nil"/>
            </w:tcBorders>
            <w:hideMark/>
          </w:tcPr>
          <w:p w14:paraId="4618EF7D"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color w:val="D13438"/>
                <w:sz w:val="20"/>
                <w:szCs w:val="20"/>
                <w:lang w:val="en-GB" w:eastAsia="en-GB"/>
              </w:rPr>
              <w:t> </w:t>
            </w:r>
          </w:p>
        </w:tc>
        <w:tc>
          <w:tcPr>
            <w:tcW w:w="1800" w:type="dxa"/>
            <w:gridSpan w:val="3"/>
            <w:tcBorders>
              <w:top w:val="single" w:sz="6" w:space="0" w:color="auto"/>
              <w:left w:val="nil"/>
              <w:bottom w:val="single" w:sz="6" w:space="0" w:color="auto"/>
              <w:right w:val="nil"/>
            </w:tcBorders>
            <w:hideMark/>
          </w:tcPr>
          <w:p w14:paraId="45A8774F"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color w:val="D13438"/>
                <w:sz w:val="20"/>
                <w:szCs w:val="20"/>
                <w:lang w:val="en-GB" w:eastAsia="en-GB"/>
              </w:rPr>
              <w:t> </w:t>
            </w:r>
          </w:p>
        </w:tc>
        <w:tc>
          <w:tcPr>
            <w:tcW w:w="1800" w:type="dxa"/>
            <w:gridSpan w:val="2"/>
            <w:tcBorders>
              <w:top w:val="single" w:sz="6" w:space="0" w:color="auto"/>
              <w:left w:val="nil"/>
              <w:bottom w:val="single" w:sz="6" w:space="0" w:color="auto"/>
              <w:right w:val="single" w:sz="6" w:space="0" w:color="auto"/>
            </w:tcBorders>
            <w:hideMark/>
          </w:tcPr>
          <w:p w14:paraId="6AF5F6ED"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color w:val="D13438"/>
                <w:sz w:val="20"/>
                <w:szCs w:val="20"/>
                <w:lang w:val="en-GB" w:eastAsia="en-GB"/>
              </w:rPr>
              <w:t> </w:t>
            </w:r>
          </w:p>
        </w:tc>
      </w:tr>
      <w:tr w:rsidR="00FD2B58" w:rsidRPr="004030DB" w14:paraId="0B881F39" w14:textId="77777777" w:rsidTr="00FD2B58">
        <w:trPr>
          <w:trHeight w:val="300"/>
        </w:trPr>
        <w:tc>
          <w:tcPr>
            <w:tcW w:w="4350" w:type="dxa"/>
            <w:gridSpan w:val="3"/>
            <w:tcBorders>
              <w:top w:val="single" w:sz="6" w:space="0" w:color="auto"/>
              <w:left w:val="single" w:sz="6" w:space="0" w:color="auto"/>
              <w:bottom w:val="single" w:sz="6" w:space="0" w:color="auto"/>
              <w:right w:val="single" w:sz="6" w:space="0" w:color="auto"/>
            </w:tcBorders>
            <w:hideMark/>
          </w:tcPr>
          <w:p w14:paraId="47943DC2"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Number of employees (WTE) engaged on capital projects</w:t>
            </w:r>
            <w:r w:rsidRPr="004030DB">
              <w:rPr>
                <w:rFonts w:ascii="Arial" w:eastAsia="Times New Roman" w:hAnsi="Arial" w:cs="Arial"/>
                <w:color w:val="D13438"/>
                <w:sz w:val="20"/>
                <w:szCs w:val="20"/>
                <w:lang w:val="en-GB" w:eastAsia="en-GB"/>
              </w:rPr>
              <w:t> </w:t>
            </w:r>
          </w:p>
        </w:tc>
        <w:tc>
          <w:tcPr>
            <w:tcW w:w="1245" w:type="dxa"/>
            <w:gridSpan w:val="2"/>
            <w:tcBorders>
              <w:top w:val="single" w:sz="6" w:space="0" w:color="auto"/>
              <w:left w:val="single" w:sz="6" w:space="0" w:color="auto"/>
              <w:bottom w:val="single" w:sz="6" w:space="0" w:color="auto"/>
              <w:right w:val="single" w:sz="6" w:space="0" w:color="auto"/>
            </w:tcBorders>
            <w:hideMark/>
          </w:tcPr>
          <w:p w14:paraId="1D1203EF" w14:textId="77777777" w:rsidR="00FD2B58" w:rsidRPr="004030DB" w:rsidRDefault="00FD2B58" w:rsidP="00FD2B58">
            <w:pPr>
              <w:widowControl/>
              <w:jc w:val="right"/>
              <w:textAlignment w:val="baseline"/>
              <w:rPr>
                <w:rFonts w:ascii="Arial" w:eastAsia="Times New Roman" w:hAnsi="Arial" w:cs="Arial"/>
                <w:sz w:val="20"/>
                <w:szCs w:val="20"/>
                <w:lang w:val="en-GB" w:eastAsia="en-GB"/>
              </w:rPr>
            </w:pPr>
            <w:r w:rsidRPr="004030DB">
              <w:rPr>
                <w:rFonts w:ascii="Arial" w:eastAsia="Times New Roman" w:hAnsi="Arial" w:cs="Arial"/>
                <w:color w:val="000000"/>
                <w:sz w:val="20"/>
                <w:szCs w:val="20"/>
                <w:lang w:eastAsia="en-GB"/>
              </w:rPr>
              <w:t>-</w:t>
            </w:r>
            <w:r w:rsidRPr="004030DB">
              <w:rPr>
                <w:rFonts w:ascii="Arial" w:eastAsia="Times New Roman" w:hAnsi="Arial" w:cs="Arial"/>
                <w:color w:val="000000"/>
                <w:sz w:val="20"/>
                <w:szCs w:val="20"/>
                <w:lang w:val="en-GB" w:eastAsia="en-GB"/>
              </w:rPr>
              <w:t> </w:t>
            </w:r>
          </w:p>
        </w:tc>
        <w:tc>
          <w:tcPr>
            <w:tcW w:w="1125" w:type="dxa"/>
            <w:tcBorders>
              <w:top w:val="single" w:sz="6" w:space="0" w:color="auto"/>
              <w:left w:val="single" w:sz="6" w:space="0" w:color="auto"/>
              <w:bottom w:val="single" w:sz="6" w:space="0" w:color="auto"/>
              <w:right w:val="single" w:sz="6" w:space="0" w:color="auto"/>
            </w:tcBorders>
            <w:hideMark/>
          </w:tcPr>
          <w:p w14:paraId="572DB41A" w14:textId="77777777" w:rsidR="00FD2B58" w:rsidRPr="004030DB" w:rsidRDefault="00FD2B58" w:rsidP="00FD2B58">
            <w:pPr>
              <w:widowControl/>
              <w:jc w:val="right"/>
              <w:textAlignment w:val="baseline"/>
              <w:rPr>
                <w:rFonts w:ascii="Arial" w:eastAsia="Times New Roman" w:hAnsi="Arial" w:cs="Arial"/>
                <w:sz w:val="20"/>
                <w:szCs w:val="20"/>
                <w:lang w:val="en-GB" w:eastAsia="en-GB"/>
              </w:rPr>
            </w:pPr>
            <w:r w:rsidRPr="004030DB">
              <w:rPr>
                <w:rFonts w:ascii="Arial" w:eastAsia="Times New Roman" w:hAnsi="Arial" w:cs="Arial"/>
                <w:color w:val="000000"/>
                <w:sz w:val="20"/>
                <w:szCs w:val="20"/>
                <w:lang w:eastAsia="en-GB"/>
              </w:rPr>
              <w:t>-</w:t>
            </w:r>
            <w:r w:rsidRPr="004030DB">
              <w:rPr>
                <w:rFonts w:ascii="Arial" w:eastAsia="Times New Roman" w:hAnsi="Arial" w:cs="Arial"/>
                <w:color w:val="000000"/>
                <w:sz w:val="20"/>
                <w:szCs w:val="20"/>
                <w:lang w:val="en-GB" w:eastAsia="en-GB"/>
              </w:rPr>
              <w:t> </w:t>
            </w:r>
          </w:p>
        </w:tc>
        <w:tc>
          <w:tcPr>
            <w:tcW w:w="1125" w:type="dxa"/>
            <w:gridSpan w:val="2"/>
            <w:tcBorders>
              <w:top w:val="single" w:sz="6" w:space="0" w:color="auto"/>
              <w:left w:val="single" w:sz="6" w:space="0" w:color="auto"/>
              <w:bottom w:val="single" w:sz="6" w:space="0" w:color="auto"/>
              <w:right w:val="single" w:sz="6" w:space="0" w:color="auto"/>
            </w:tcBorders>
            <w:hideMark/>
          </w:tcPr>
          <w:p w14:paraId="0F631FD7" w14:textId="77777777" w:rsidR="00FD2B58" w:rsidRPr="004030DB" w:rsidRDefault="00FD2B58" w:rsidP="00FD2B58">
            <w:pPr>
              <w:widowControl/>
              <w:jc w:val="right"/>
              <w:textAlignment w:val="baseline"/>
              <w:rPr>
                <w:rFonts w:ascii="Arial" w:eastAsia="Times New Roman" w:hAnsi="Arial" w:cs="Arial"/>
                <w:sz w:val="20"/>
                <w:szCs w:val="20"/>
                <w:lang w:val="en-GB" w:eastAsia="en-GB"/>
              </w:rPr>
            </w:pPr>
            <w:r w:rsidRPr="004030DB">
              <w:rPr>
                <w:rFonts w:ascii="Arial" w:eastAsia="Times New Roman" w:hAnsi="Arial" w:cs="Arial"/>
                <w:b/>
                <w:bCs/>
                <w:color w:val="000000"/>
                <w:sz w:val="20"/>
                <w:szCs w:val="20"/>
                <w:lang w:eastAsia="en-GB"/>
              </w:rPr>
              <w:t>-</w:t>
            </w:r>
            <w:r w:rsidRPr="004030DB">
              <w:rPr>
                <w:rFonts w:ascii="Arial" w:eastAsia="Times New Roman" w:hAnsi="Arial" w:cs="Arial"/>
                <w:color w:val="000000"/>
                <w:sz w:val="20"/>
                <w:szCs w:val="20"/>
                <w:lang w:val="en-GB" w:eastAsia="en-GB"/>
              </w:rPr>
              <w:t> </w:t>
            </w:r>
          </w:p>
        </w:tc>
        <w:tc>
          <w:tcPr>
            <w:tcW w:w="1125" w:type="dxa"/>
            <w:tcBorders>
              <w:top w:val="single" w:sz="6" w:space="0" w:color="auto"/>
              <w:left w:val="single" w:sz="6" w:space="0" w:color="auto"/>
              <w:bottom w:val="single" w:sz="6" w:space="0" w:color="auto"/>
              <w:right w:val="single" w:sz="6" w:space="0" w:color="auto"/>
            </w:tcBorders>
            <w:hideMark/>
          </w:tcPr>
          <w:p w14:paraId="68C93F23" w14:textId="77777777" w:rsidR="00FD2B58" w:rsidRPr="004030DB" w:rsidRDefault="00FD2B58" w:rsidP="00FD2B58">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w:t>
            </w:r>
            <w:r w:rsidRPr="004030DB">
              <w:rPr>
                <w:rFonts w:ascii="Arial" w:eastAsia="Times New Roman" w:hAnsi="Arial" w:cs="Arial"/>
                <w:color w:val="D13438"/>
                <w:sz w:val="20"/>
                <w:szCs w:val="20"/>
                <w:lang w:val="en-GB" w:eastAsia="en-GB"/>
              </w:rPr>
              <w:t> </w:t>
            </w:r>
          </w:p>
        </w:tc>
      </w:tr>
    </w:tbl>
    <w:p w14:paraId="00228AB4" w14:textId="7F6B90E9" w:rsidR="00FD2B58" w:rsidRPr="00C36874" w:rsidRDefault="00FD2B58" w:rsidP="00FD2B58">
      <w:pPr>
        <w:widowControl/>
        <w:textAlignment w:val="baseline"/>
        <w:rPr>
          <w:rFonts w:ascii="Arial" w:eastAsia="Times New Roman" w:hAnsi="Arial" w:cs="Arial"/>
          <w:color w:val="D13438"/>
          <w:sz w:val="20"/>
          <w:szCs w:val="20"/>
          <w:lang w:val="en-GB" w:eastAsia="en-GB"/>
        </w:rPr>
      </w:pPr>
      <w:r w:rsidRPr="004030DB">
        <w:rPr>
          <w:rFonts w:ascii="Arial" w:eastAsia="Times New Roman" w:hAnsi="Arial" w:cs="Arial"/>
          <w:color w:val="D13438"/>
          <w:sz w:val="20"/>
          <w:szCs w:val="20"/>
          <w:lang w:val="en-GB" w:eastAsia="en-GB"/>
        </w:rPr>
        <w:t> </w:t>
      </w:r>
    </w:p>
    <w:p w14:paraId="5CA33F57" w14:textId="3494D56C" w:rsidR="00C36874" w:rsidRPr="00C36874" w:rsidRDefault="00C36874" w:rsidP="00FD2B58">
      <w:pPr>
        <w:widowControl/>
        <w:textAlignment w:val="baseline"/>
        <w:rPr>
          <w:rFonts w:ascii="Arial" w:eastAsia="Times New Roman" w:hAnsi="Arial" w:cs="Arial"/>
          <w:sz w:val="20"/>
          <w:szCs w:val="20"/>
          <w:lang w:val="en-GB" w:eastAsia="en-GB"/>
        </w:rPr>
      </w:pPr>
      <w:r w:rsidRPr="00C36874">
        <w:rPr>
          <w:rFonts w:ascii="Arial" w:eastAsia="Times New Roman" w:hAnsi="Arial" w:cs="Arial"/>
          <w:sz w:val="20"/>
          <w:szCs w:val="20"/>
          <w:lang w:val="en-GB" w:eastAsia="en-GB"/>
        </w:rPr>
        <w:t xml:space="preserve">For further analysis of staff costs, please see the Staff Costs section (page 53) in the remuneration report. </w:t>
      </w:r>
    </w:p>
    <w:p w14:paraId="4CCC638E" w14:textId="77777777" w:rsidR="00C36874" w:rsidRPr="00C36874" w:rsidRDefault="00C36874" w:rsidP="00FD2B58">
      <w:pPr>
        <w:widowControl/>
        <w:textAlignment w:val="baseline"/>
        <w:rPr>
          <w:rFonts w:ascii="Arial" w:eastAsia="Times New Roman" w:hAnsi="Arial" w:cs="Arial"/>
          <w:sz w:val="20"/>
          <w:szCs w:val="20"/>
          <w:lang w:val="en-GB" w:eastAsia="en-GB"/>
        </w:rPr>
      </w:pPr>
    </w:p>
    <w:p w14:paraId="482FC952" w14:textId="77777777" w:rsidR="00FD2B58" w:rsidRPr="004030DB" w:rsidRDefault="00FD2B58" w:rsidP="00FD2B58">
      <w:pPr>
        <w:widowControl/>
        <w:textAlignment w:val="baseline"/>
        <w:rPr>
          <w:rFonts w:ascii="Segoe UI" w:eastAsia="Times New Roman" w:hAnsi="Segoe UI" w:cs="Segoe UI"/>
          <w:sz w:val="20"/>
          <w:szCs w:val="20"/>
          <w:lang w:val="en-GB" w:eastAsia="en-GB"/>
        </w:rPr>
      </w:pPr>
      <w:r w:rsidRPr="00C36874">
        <w:rPr>
          <w:rFonts w:ascii="Arial" w:eastAsia="Times New Roman" w:hAnsi="Arial" w:cs="Arial"/>
          <w:sz w:val="20"/>
          <w:szCs w:val="20"/>
          <w:lang w:val="en-GB" w:eastAsia="en-GB"/>
        </w:rPr>
        <w:t xml:space="preserve">These </w:t>
      </w:r>
      <w:r w:rsidRPr="004030DB">
        <w:rPr>
          <w:rFonts w:ascii="Arial" w:eastAsia="Times New Roman" w:hAnsi="Arial" w:cs="Arial"/>
          <w:sz w:val="20"/>
          <w:szCs w:val="20"/>
          <w:lang w:val="en-GB" w:eastAsia="en-GB"/>
        </w:rPr>
        <w:t>figures have been audited.</w:t>
      </w:r>
      <w:r w:rsidRPr="004030DB">
        <w:rPr>
          <w:rFonts w:ascii="Arial" w:eastAsia="Times New Roman" w:hAnsi="Arial" w:cs="Arial"/>
          <w:color w:val="D13438"/>
          <w:sz w:val="20"/>
          <w:szCs w:val="20"/>
          <w:lang w:val="en-GB" w:eastAsia="en-GB"/>
        </w:rPr>
        <w:t> </w:t>
      </w:r>
    </w:p>
    <w:p w14:paraId="1C5F51A8" w14:textId="3547EA98" w:rsidR="00FD2B58" w:rsidRPr="00C36874" w:rsidRDefault="00FD2B58" w:rsidP="00FD2B58">
      <w:pPr>
        <w:widowControl/>
        <w:textAlignment w:val="baseline"/>
        <w:rPr>
          <w:rFonts w:ascii="Arial" w:eastAsia="Times New Roman" w:hAnsi="Arial" w:cs="Arial"/>
          <w:color w:val="D13438"/>
          <w:sz w:val="20"/>
          <w:szCs w:val="20"/>
          <w:lang w:val="en-GB" w:eastAsia="en-GB"/>
        </w:rPr>
      </w:pPr>
      <w:r w:rsidRPr="004030DB">
        <w:rPr>
          <w:rFonts w:ascii="Arial" w:eastAsia="Times New Roman" w:hAnsi="Arial" w:cs="Arial"/>
          <w:color w:val="D13438"/>
          <w:sz w:val="20"/>
          <w:szCs w:val="20"/>
          <w:lang w:val="en-GB" w:eastAsia="en-GB"/>
        </w:rPr>
        <w:t> </w:t>
      </w:r>
    </w:p>
    <w:p w14:paraId="30AB8D83" w14:textId="3AA0D0AB" w:rsidR="00FD2B58" w:rsidRPr="004030DB" w:rsidRDefault="00FD2B58" w:rsidP="00FD2B58">
      <w:pPr>
        <w:widowControl/>
        <w:jc w:val="both"/>
        <w:textAlignment w:val="baseline"/>
        <w:rPr>
          <w:rFonts w:ascii="Segoe UI" w:eastAsia="Times New Roman" w:hAnsi="Segoe UI" w:cs="Segoe UI"/>
          <w:sz w:val="20"/>
          <w:szCs w:val="20"/>
          <w:lang w:val="en-GB" w:eastAsia="en-GB"/>
        </w:rPr>
      </w:pPr>
      <w:r w:rsidRPr="004030DB">
        <w:rPr>
          <w:rFonts w:ascii="Arial" w:eastAsia="Times New Roman" w:hAnsi="Arial" w:cs="Arial"/>
          <w:b/>
          <w:bCs/>
          <w:sz w:val="20"/>
          <w:szCs w:val="20"/>
          <w:lang w:val="en-GB" w:eastAsia="en-GB"/>
        </w:rPr>
        <w:t>Employees by Gender and Sex – Male and Female Employees</w:t>
      </w:r>
      <w:r w:rsidRPr="004030DB">
        <w:rPr>
          <w:rFonts w:ascii="Arial" w:eastAsia="Times New Roman" w:hAnsi="Arial" w:cs="Arial"/>
          <w:sz w:val="20"/>
          <w:szCs w:val="20"/>
          <w:lang w:val="en-GB" w:eastAsia="en-GB"/>
        </w:rPr>
        <w:t> </w:t>
      </w:r>
    </w:p>
    <w:p w14:paraId="4060BA46" w14:textId="77777777" w:rsidR="00FD2B58" w:rsidRPr="004030DB" w:rsidRDefault="00FD2B58" w:rsidP="00FD2B58">
      <w:pPr>
        <w:widowControl/>
        <w:jc w:val="both"/>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val="en-GB" w:eastAsia="en-GB"/>
        </w:rPr>
        <w:t>The NHS staff record system (ESR) does not record gender, only sex.  This means that it is only possible to provide a statistical report on the number of men and women in the workforce.  Transgender, non-binary and other minority gender staff members’ sex will be recorded according to their officially recognised sex, not gender identity.  The workforce profile by sex (substantive FTE as at 31 March 2025) is currently: </w:t>
      </w:r>
    </w:p>
    <w:p w14:paraId="59D6E78B" w14:textId="77777777" w:rsidR="00FD2B58" w:rsidRPr="004030DB" w:rsidRDefault="00FD2B58" w:rsidP="00FD2B58">
      <w:pPr>
        <w:widowControl/>
        <w:textAlignment w:val="baseline"/>
        <w:rPr>
          <w:rFonts w:ascii="Segoe UI" w:eastAsia="Times New Roman" w:hAnsi="Segoe UI" w:cs="Segoe UI"/>
          <w:sz w:val="20"/>
          <w:szCs w:val="20"/>
          <w:lang w:val="en-GB" w:eastAsia="en-GB"/>
        </w:rPr>
      </w:pPr>
      <w:r w:rsidRPr="004030DB">
        <w:rPr>
          <w:rFonts w:ascii="Arial" w:eastAsia="Times New Roman" w:hAnsi="Arial" w:cs="Arial"/>
          <w:color w:val="D13438"/>
          <w:sz w:val="20"/>
          <w:szCs w:val="20"/>
          <w:lang w:val="en-GB"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00"/>
        <w:gridCol w:w="3000"/>
        <w:gridCol w:w="3000"/>
      </w:tblGrid>
      <w:tr w:rsidR="00FD2B58" w:rsidRPr="004030DB" w14:paraId="1B50298C" w14:textId="77777777" w:rsidTr="00FD2B58">
        <w:trPr>
          <w:trHeight w:val="300"/>
        </w:trPr>
        <w:tc>
          <w:tcPr>
            <w:tcW w:w="3000" w:type="dxa"/>
            <w:tcBorders>
              <w:top w:val="single" w:sz="6" w:space="0" w:color="auto"/>
              <w:left w:val="single" w:sz="6" w:space="0" w:color="auto"/>
              <w:bottom w:val="single" w:sz="6" w:space="0" w:color="auto"/>
              <w:right w:val="single" w:sz="6" w:space="0" w:color="auto"/>
            </w:tcBorders>
            <w:hideMark/>
          </w:tcPr>
          <w:p w14:paraId="247DB0B7"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val="en-GB" w:eastAsia="en-GB"/>
              </w:rPr>
              <w:t>Female</w:t>
            </w:r>
            <w:r w:rsidRPr="004030DB">
              <w:rPr>
                <w:rFonts w:ascii="Arial" w:eastAsia="Times New Roman" w:hAnsi="Arial" w:cs="Arial"/>
                <w:color w:val="D13438"/>
                <w:sz w:val="20"/>
                <w:szCs w:val="20"/>
                <w:lang w:val="en-GB" w:eastAsia="en-GB"/>
              </w:rPr>
              <w:t> </w:t>
            </w:r>
          </w:p>
        </w:tc>
        <w:tc>
          <w:tcPr>
            <w:tcW w:w="3000" w:type="dxa"/>
            <w:tcBorders>
              <w:top w:val="single" w:sz="6" w:space="0" w:color="auto"/>
              <w:left w:val="single" w:sz="6" w:space="0" w:color="auto"/>
              <w:bottom w:val="single" w:sz="6" w:space="0" w:color="auto"/>
              <w:right w:val="single" w:sz="6" w:space="0" w:color="auto"/>
            </w:tcBorders>
            <w:hideMark/>
          </w:tcPr>
          <w:p w14:paraId="04F12191"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val="en-GB" w:eastAsia="en-GB"/>
              </w:rPr>
              <w:t>Male</w:t>
            </w:r>
            <w:r w:rsidRPr="004030DB">
              <w:rPr>
                <w:rFonts w:ascii="Arial" w:eastAsia="Times New Roman" w:hAnsi="Arial" w:cs="Arial"/>
                <w:color w:val="D13438"/>
                <w:sz w:val="20"/>
                <w:szCs w:val="20"/>
                <w:lang w:val="en-GB" w:eastAsia="en-GB"/>
              </w:rPr>
              <w:t> </w:t>
            </w:r>
          </w:p>
        </w:tc>
        <w:tc>
          <w:tcPr>
            <w:tcW w:w="3000" w:type="dxa"/>
            <w:tcBorders>
              <w:top w:val="single" w:sz="6" w:space="0" w:color="auto"/>
              <w:left w:val="single" w:sz="6" w:space="0" w:color="auto"/>
              <w:bottom w:val="single" w:sz="6" w:space="0" w:color="auto"/>
              <w:right w:val="single" w:sz="6" w:space="0" w:color="auto"/>
            </w:tcBorders>
            <w:hideMark/>
          </w:tcPr>
          <w:p w14:paraId="31A17D49"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val="en-GB" w:eastAsia="en-GB"/>
              </w:rPr>
              <w:t>Total </w:t>
            </w:r>
            <w:r w:rsidRPr="004030DB">
              <w:rPr>
                <w:rFonts w:ascii="Arial" w:eastAsia="Times New Roman" w:hAnsi="Arial" w:cs="Arial"/>
                <w:color w:val="D13438"/>
                <w:sz w:val="20"/>
                <w:szCs w:val="20"/>
                <w:lang w:val="en-GB" w:eastAsia="en-GB"/>
              </w:rPr>
              <w:t> </w:t>
            </w:r>
          </w:p>
        </w:tc>
      </w:tr>
      <w:tr w:rsidR="00FD2B58" w:rsidRPr="004030DB" w14:paraId="06AFCB37" w14:textId="77777777" w:rsidTr="00FD2B58">
        <w:trPr>
          <w:trHeight w:val="300"/>
        </w:trPr>
        <w:tc>
          <w:tcPr>
            <w:tcW w:w="3000" w:type="dxa"/>
            <w:tcBorders>
              <w:top w:val="single" w:sz="6" w:space="0" w:color="auto"/>
              <w:left w:val="single" w:sz="6" w:space="0" w:color="auto"/>
              <w:bottom w:val="single" w:sz="6" w:space="0" w:color="auto"/>
              <w:right w:val="single" w:sz="6" w:space="0" w:color="auto"/>
            </w:tcBorders>
            <w:hideMark/>
          </w:tcPr>
          <w:p w14:paraId="6D569308"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3906</w:t>
            </w:r>
            <w:r w:rsidRPr="004030DB">
              <w:rPr>
                <w:rFonts w:ascii="Arial" w:eastAsia="Times New Roman" w:hAnsi="Arial" w:cs="Arial"/>
                <w:color w:val="D13438"/>
                <w:sz w:val="20"/>
                <w:szCs w:val="20"/>
                <w:lang w:val="en-GB" w:eastAsia="en-GB"/>
              </w:rPr>
              <w:t> </w:t>
            </w:r>
          </w:p>
        </w:tc>
        <w:tc>
          <w:tcPr>
            <w:tcW w:w="3000" w:type="dxa"/>
            <w:tcBorders>
              <w:top w:val="single" w:sz="6" w:space="0" w:color="auto"/>
              <w:left w:val="single" w:sz="6" w:space="0" w:color="auto"/>
              <w:bottom w:val="single" w:sz="6" w:space="0" w:color="auto"/>
              <w:right w:val="single" w:sz="6" w:space="0" w:color="auto"/>
            </w:tcBorders>
            <w:hideMark/>
          </w:tcPr>
          <w:p w14:paraId="2D539C6F"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1309</w:t>
            </w:r>
            <w:r w:rsidRPr="004030DB">
              <w:rPr>
                <w:rFonts w:ascii="Arial" w:eastAsia="Times New Roman" w:hAnsi="Arial" w:cs="Arial"/>
                <w:color w:val="D13438"/>
                <w:sz w:val="20"/>
                <w:szCs w:val="20"/>
                <w:lang w:val="en-GB" w:eastAsia="en-GB"/>
              </w:rPr>
              <w:t> </w:t>
            </w:r>
          </w:p>
        </w:tc>
        <w:tc>
          <w:tcPr>
            <w:tcW w:w="3000" w:type="dxa"/>
            <w:tcBorders>
              <w:top w:val="single" w:sz="6" w:space="0" w:color="auto"/>
              <w:left w:val="single" w:sz="6" w:space="0" w:color="auto"/>
              <w:bottom w:val="single" w:sz="6" w:space="0" w:color="auto"/>
              <w:right w:val="single" w:sz="6" w:space="0" w:color="auto"/>
            </w:tcBorders>
            <w:hideMark/>
          </w:tcPr>
          <w:p w14:paraId="7BA511FB"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5215</w:t>
            </w:r>
            <w:r w:rsidRPr="004030DB">
              <w:rPr>
                <w:rFonts w:ascii="Arial" w:eastAsia="Times New Roman" w:hAnsi="Arial" w:cs="Arial"/>
                <w:color w:val="D13438"/>
                <w:sz w:val="20"/>
                <w:szCs w:val="20"/>
                <w:lang w:val="en-GB" w:eastAsia="en-GB"/>
              </w:rPr>
              <w:t> </w:t>
            </w:r>
          </w:p>
        </w:tc>
      </w:tr>
    </w:tbl>
    <w:p w14:paraId="2113A85E" w14:textId="77777777" w:rsidR="00FD2B58" w:rsidRPr="004030DB" w:rsidRDefault="00FD2B58" w:rsidP="00FD2B58">
      <w:pPr>
        <w:widowControl/>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val="en-GB" w:eastAsia="en-GB"/>
        </w:rPr>
        <w:t> </w:t>
      </w:r>
    </w:p>
    <w:p w14:paraId="0A2ED826" w14:textId="77777777" w:rsidR="00FD2B58" w:rsidRPr="004030DB" w:rsidRDefault="00FD2B58" w:rsidP="00FD2B58">
      <w:pPr>
        <w:widowControl/>
        <w:jc w:val="both"/>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eastAsia="en-GB"/>
        </w:rPr>
        <w:t>The table below profiles the voting Board Directors (Executive and non-executive) and other senior managers (by headcount) on 31 March 2025.</w:t>
      </w:r>
      <w:r w:rsidRPr="004030DB">
        <w:rPr>
          <w:rFonts w:ascii="Arial" w:eastAsia="Times New Roman" w:hAnsi="Arial" w:cs="Arial"/>
          <w:sz w:val="20"/>
          <w:szCs w:val="20"/>
          <w:lang w:val="en-GB" w:eastAsia="en-GB"/>
        </w:rPr>
        <w:t> </w:t>
      </w:r>
    </w:p>
    <w:p w14:paraId="4226CD8C" w14:textId="77777777" w:rsidR="00FD2B58" w:rsidRPr="004030DB" w:rsidRDefault="00FD2B58" w:rsidP="00FD2B58">
      <w:pPr>
        <w:widowControl/>
        <w:jc w:val="both"/>
        <w:textAlignment w:val="baseline"/>
        <w:rPr>
          <w:rFonts w:ascii="Segoe UI" w:eastAsia="Times New Roman" w:hAnsi="Segoe UI" w:cs="Segoe UI"/>
          <w:sz w:val="20"/>
          <w:szCs w:val="20"/>
          <w:lang w:val="en-GB" w:eastAsia="en-GB"/>
        </w:rPr>
      </w:pPr>
      <w:r w:rsidRPr="004030DB">
        <w:rPr>
          <w:rFonts w:ascii="Arial" w:eastAsia="Times New Roman" w:hAnsi="Arial" w:cs="Arial"/>
          <w:color w:val="D13438"/>
          <w:sz w:val="20"/>
          <w:szCs w:val="20"/>
          <w:lang w:val="en-GB"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31"/>
        <w:gridCol w:w="2250"/>
        <w:gridCol w:w="2288"/>
        <w:gridCol w:w="2249"/>
      </w:tblGrid>
      <w:tr w:rsidR="00FD2B58" w:rsidRPr="004030DB" w14:paraId="70E4E54D" w14:textId="77777777" w:rsidTr="00FD2B58">
        <w:trPr>
          <w:trHeight w:val="300"/>
        </w:trPr>
        <w:tc>
          <w:tcPr>
            <w:tcW w:w="2325" w:type="dxa"/>
            <w:tcBorders>
              <w:top w:val="nil"/>
              <w:left w:val="nil"/>
              <w:bottom w:val="single" w:sz="6" w:space="0" w:color="auto"/>
              <w:right w:val="single" w:sz="6" w:space="0" w:color="auto"/>
            </w:tcBorders>
            <w:hideMark/>
          </w:tcPr>
          <w:p w14:paraId="65A83FFC"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color w:val="D13438"/>
                <w:sz w:val="20"/>
                <w:szCs w:val="20"/>
                <w:lang w:val="en-GB" w:eastAsia="en-GB"/>
              </w:rPr>
              <w:t> </w:t>
            </w:r>
          </w:p>
        </w:tc>
        <w:tc>
          <w:tcPr>
            <w:tcW w:w="2340" w:type="dxa"/>
            <w:tcBorders>
              <w:top w:val="single" w:sz="6" w:space="0" w:color="auto"/>
              <w:left w:val="single" w:sz="6" w:space="0" w:color="auto"/>
              <w:bottom w:val="single" w:sz="6" w:space="0" w:color="auto"/>
              <w:right w:val="single" w:sz="6" w:space="0" w:color="auto"/>
            </w:tcBorders>
            <w:shd w:val="clear" w:color="auto" w:fill="DEEAF6"/>
            <w:hideMark/>
          </w:tcPr>
          <w:p w14:paraId="02AB955F" w14:textId="77777777" w:rsidR="00FD2B58" w:rsidRPr="004030DB" w:rsidRDefault="00FD2B58" w:rsidP="00FD2B58">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val="en-GB" w:eastAsia="en-GB"/>
              </w:rPr>
              <w:t>Voting Board Director</w:t>
            </w:r>
            <w:r w:rsidRPr="004030DB">
              <w:rPr>
                <w:rFonts w:ascii="Arial" w:eastAsia="Times New Roman" w:hAnsi="Arial" w:cs="Arial"/>
                <w:color w:val="D13438"/>
                <w:sz w:val="20"/>
                <w:szCs w:val="20"/>
                <w:lang w:val="en-GB" w:eastAsia="en-GB"/>
              </w:rPr>
              <w:t> </w:t>
            </w:r>
          </w:p>
        </w:tc>
        <w:tc>
          <w:tcPr>
            <w:tcW w:w="2370" w:type="dxa"/>
            <w:tcBorders>
              <w:top w:val="single" w:sz="6" w:space="0" w:color="auto"/>
              <w:left w:val="single" w:sz="6" w:space="0" w:color="auto"/>
              <w:bottom w:val="single" w:sz="6" w:space="0" w:color="auto"/>
              <w:right w:val="single" w:sz="6" w:space="0" w:color="auto"/>
            </w:tcBorders>
            <w:shd w:val="clear" w:color="auto" w:fill="DEEAF6"/>
            <w:hideMark/>
          </w:tcPr>
          <w:p w14:paraId="0B8E036E" w14:textId="77777777" w:rsidR="00FD2B58" w:rsidRPr="004030DB" w:rsidRDefault="00FD2B58" w:rsidP="00FD2B58">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val="en-GB" w:eastAsia="en-GB"/>
              </w:rPr>
              <w:t>Other Senior Managers</w:t>
            </w:r>
            <w:r w:rsidRPr="004030DB">
              <w:rPr>
                <w:rFonts w:ascii="Arial" w:eastAsia="Times New Roman" w:hAnsi="Arial" w:cs="Arial"/>
                <w:color w:val="D13438"/>
                <w:sz w:val="20"/>
                <w:szCs w:val="20"/>
                <w:lang w:val="en-GB" w:eastAsia="en-GB"/>
              </w:rPr>
              <w:t> </w:t>
            </w:r>
          </w:p>
        </w:tc>
        <w:tc>
          <w:tcPr>
            <w:tcW w:w="2340" w:type="dxa"/>
            <w:tcBorders>
              <w:top w:val="single" w:sz="6" w:space="0" w:color="auto"/>
              <w:left w:val="single" w:sz="6" w:space="0" w:color="auto"/>
              <w:bottom w:val="single" w:sz="6" w:space="0" w:color="auto"/>
              <w:right w:val="single" w:sz="6" w:space="0" w:color="auto"/>
            </w:tcBorders>
            <w:shd w:val="clear" w:color="auto" w:fill="DEEAF6"/>
            <w:hideMark/>
          </w:tcPr>
          <w:p w14:paraId="622642FE" w14:textId="77777777" w:rsidR="00FD2B58" w:rsidRPr="004030DB" w:rsidRDefault="00FD2B58" w:rsidP="00FD2B58">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val="en-GB" w:eastAsia="en-GB"/>
              </w:rPr>
              <w:t>All Staff</w:t>
            </w:r>
            <w:r w:rsidRPr="004030DB">
              <w:rPr>
                <w:rFonts w:ascii="Arial" w:eastAsia="Times New Roman" w:hAnsi="Arial" w:cs="Arial"/>
                <w:color w:val="D13438"/>
                <w:sz w:val="20"/>
                <w:szCs w:val="20"/>
                <w:lang w:val="en-GB" w:eastAsia="en-GB"/>
              </w:rPr>
              <w:t> </w:t>
            </w:r>
          </w:p>
        </w:tc>
      </w:tr>
      <w:tr w:rsidR="00FD2B58" w:rsidRPr="004030DB" w14:paraId="22F225B6" w14:textId="77777777" w:rsidTr="00FD2B58">
        <w:trPr>
          <w:trHeight w:val="300"/>
        </w:trPr>
        <w:tc>
          <w:tcPr>
            <w:tcW w:w="2325" w:type="dxa"/>
            <w:tcBorders>
              <w:top w:val="single" w:sz="6" w:space="0" w:color="auto"/>
              <w:left w:val="single" w:sz="6" w:space="0" w:color="auto"/>
              <w:bottom w:val="single" w:sz="6" w:space="0" w:color="auto"/>
              <w:right w:val="single" w:sz="6" w:space="0" w:color="auto"/>
            </w:tcBorders>
            <w:hideMark/>
          </w:tcPr>
          <w:p w14:paraId="183DA021"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color w:val="D13438"/>
                <w:sz w:val="20"/>
                <w:szCs w:val="20"/>
                <w:lang w:val="en-GB" w:eastAsia="en-GB"/>
              </w:rPr>
              <w:t> </w:t>
            </w:r>
          </w:p>
        </w:tc>
        <w:tc>
          <w:tcPr>
            <w:tcW w:w="2340" w:type="dxa"/>
            <w:tcBorders>
              <w:top w:val="single" w:sz="6" w:space="0" w:color="auto"/>
              <w:left w:val="single" w:sz="6" w:space="0" w:color="auto"/>
              <w:bottom w:val="single" w:sz="6" w:space="0" w:color="auto"/>
              <w:right w:val="single" w:sz="6" w:space="0" w:color="auto"/>
            </w:tcBorders>
            <w:shd w:val="clear" w:color="auto" w:fill="DEEAF6"/>
            <w:hideMark/>
          </w:tcPr>
          <w:p w14:paraId="0F34CDDC" w14:textId="77777777" w:rsidR="00FD2B58" w:rsidRPr="004030DB" w:rsidRDefault="00FD2B58" w:rsidP="00FD2B58">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val="en-GB" w:eastAsia="en-GB"/>
              </w:rPr>
              <w:t>Number</w:t>
            </w:r>
            <w:r w:rsidRPr="004030DB">
              <w:rPr>
                <w:rFonts w:ascii="Arial" w:eastAsia="Times New Roman" w:hAnsi="Arial" w:cs="Arial"/>
                <w:color w:val="D13438"/>
                <w:sz w:val="20"/>
                <w:szCs w:val="20"/>
                <w:lang w:val="en-GB" w:eastAsia="en-GB"/>
              </w:rPr>
              <w:t> </w:t>
            </w:r>
          </w:p>
        </w:tc>
        <w:tc>
          <w:tcPr>
            <w:tcW w:w="2370" w:type="dxa"/>
            <w:tcBorders>
              <w:top w:val="single" w:sz="6" w:space="0" w:color="auto"/>
              <w:left w:val="single" w:sz="6" w:space="0" w:color="auto"/>
              <w:bottom w:val="single" w:sz="6" w:space="0" w:color="auto"/>
              <w:right w:val="single" w:sz="6" w:space="0" w:color="auto"/>
            </w:tcBorders>
            <w:shd w:val="clear" w:color="auto" w:fill="DEEAF6"/>
            <w:hideMark/>
          </w:tcPr>
          <w:p w14:paraId="77CA296A" w14:textId="77777777" w:rsidR="00FD2B58" w:rsidRPr="004030DB" w:rsidRDefault="00FD2B58" w:rsidP="00FD2B58">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val="en-GB" w:eastAsia="en-GB"/>
              </w:rPr>
              <w:t>Number</w:t>
            </w:r>
            <w:r w:rsidRPr="004030DB">
              <w:rPr>
                <w:rFonts w:ascii="Arial" w:eastAsia="Times New Roman" w:hAnsi="Arial" w:cs="Arial"/>
                <w:color w:val="D13438"/>
                <w:sz w:val="20"/>
                <w:szCs w:val="20"/>
                <w:lang w:val="en-GB" w:eastAsia="en-GB"/>
              </w:rPr>
              <w:t> </w:t>
            </w:r>
          </w:p>
        </w:tc>
        <w:tc>
          <w:tcPr>
            <w:tcW w:w="2340" w:type="dxa"/>
            <w:tcBorders>
              <w:top w:val="single" w:sz="6" w:space="0" w:color="auto"/>
              <w:left w:val="single" w:sz="6" w:space="0" w:color="auto"/>
              <w:bottom w:val="single" w:sz="6" w:space="0" w:color="auto"/>
              <w:right w:val="single" w:sz="6" w:space="0" w:color="auto"/>
            </w:tcBorders>
            <w:shd w:val="clear" w:color="auto" w:fill="DEEAF6"/>
            <w:hideMark/>
          </w:tcPr>
          <w:p w14:paraId="21A3C610" w14:textId="77777777" w:rsidR="00FD2B58" w:rsidRPr="004030DB" w:rsidRDefault="00FD2B58" w:rsidP="00FD2B58">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val="en-GB" w:eastAsia="en-GB"/>
              </w:rPr>
              <w:t>Number</w:t>
            </w:r>
            <w:r w:rsidRPr="004030DB">
              <w:rPr>
                <w:rFonts w:ascii="Arial" w:eastAsia="Times New Roman" w:hAnsi="Arial" w:cs="Arial"/>
                <w:color w:val="D13438"/>
                <w:sz w:val="20"/>
                <w:szCs w:val="20"/>
                <w:lang w:val="en-GB" w:eastAsia="en-GB"/>
              </w:rPr>
              <w:t> </w:t>
            </w:r>
          </w:p>
        </w:tc>
      </w:tr>
      <w:tr w:rsidR="00FD2B58" w:rsidRPr="004030DB" w14:paraId="05412888" w14:textId="77777777" w:rsidTr="00FD2B58">
        <w:trPr>
          <w:trHeight w:val="300"/>
        </w:trPr>
        <w:tc>
          <w:tcPr>
            <w:tcW w:w="2325" w:type="dxa"/>
            <w:tcBorders>
              <w:top w:val="single" w:sz="6" w:space="0" w:color="auto"/>
              <w:left w:val="single" w:sz="6" w:space="0" w:color="auto"/>
              <w:bottom w:val="single" w:sz="6" w:space="0" w:color="auto"/>
              <w:right w:val="single" w:sz="6" w:space="0" w:color="auto"/>
            </w:tcBorders>
            <w:hideMark/>
          </w:tcPr>
          <w:p w14:paraId="3E9D7F0C"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Female</w:t>
            </w:r>
            <w:r w:rsidRPr="004030DB">
              <w:rPr>
                <w:rFonts w:ascii="Arial" w:eastAsia="Times New Roman" w:hAnsi="Arial" w:cs="Arial"/>
                <w:color w:val="D13438"/>
                <w:sz w:val="20"/>
                <w:szCs w:val="20"/>
                <w:lang w:val="en-GB" w:eastAsia="en-GB"/>
              </w:rPr>
              <w:t> </w:t>
            </w:r>
          </w:p>
        </w:tc>
        <w:tc>
          <w:tcPr>
            <w:tcW w:w="2340" w:type="dxa"/>
            <w:tcBorders>
              <w:top w:val="single" w:sz="6" w:space="0" w:color="auto"/>
              <w:left w:val="single" w:sz="6" w:space="0" w:color="auto"/>
              <w:bottom w:val="single" w:sz="6" w:space="0" w:color="auto"/>
              <w:right w:val="single" w:sz="6" w:space="0" w:color="auto"/>
            </w:tcBorders>
            <w:hideMark/>
          </w:tcPr>
          <w:p w14:paraId="3B1FD796" w14:textId="77777777" w:rsidR="00FD2B58" w:rsidRPr="004030DB" w:rsidRDefault="00FD2B58" w:rsidP="00FD2B58">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val="en-GB" w:eastAsia="en-GB"/>
              </w:rPr>
              <w:t>7</w:t>
            </w:r>
            <w:r w:rsidRPr="004030DB">
              <w:rPr>
                <w:rFonts w:ascii="Arial" w:eastAsia="Times New Roman" w:hAnsi="Arial" w:cs="Arial"/>
                <w:color w:val="D13438"/>
                <w:sz w:val="20"/>
                <w:szCs w:val="20"/>
                <w:lang w:val="en-GB" w:eastAsia="en-GB"/>
              </w:rPr>
              <w:t> </w:t>
            </w:r>
          </w:p>
        </w:tc>
        <w:tc>
          <w:tcPr>
            <w:tcW w:w="2370" w:type="dxa"/>
            <w:tcBorders>
              <w:top w:val="single" w:sz="6" w:space="0" w:color="auto"/>
              <w:left w:val="single" w:sz="6" w:space="0" w:color="auto"/>
              <w:bottom w:val="single" w:sz="6" w:space="0" w:color="auto"/>
              <w:right w:val="single" w:sz="6" w:space="0" w:color="auto"/>
            </w:tcBorders>
            <w:hideMark/>
          </w:tcPr>
          <w:p w14:paraId="4F9E625E" w14:textId="77777777" w:rsidR="00FD2B58" w:rsidRPr="004030DB" w:rsidRDefault="00FD2B58" w:rsidP="00FD2B58">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val="en-GB" w:eastAsia="en-GB"/>
              </w:rPr>
              <w:t>54</w:t>
            </w:r>
            <w:r w:rsidRPr="004030DB">
              <w:rPr>
                <w:rFonts w:ascii="Arial" w:eastAsia="Times New Roman" w:hAnsi="Arial" w:cs="Arial"/>
                <w:sz w:val="20"/>
                <w:szCs w:val="20"/>
                <w:lang w:val="en-GB" w:eastAsia="en-GB"/>
              </w:rPr>
              <w:t> </w:t>
            </w:r>
          </w:p>
        </w:tc>
        <w:tc>
          <w:tcPr>
            <w:tcW w:w="2340" w:type="dxa"/>
            <w:tcBorders>
              <w:top w:val="single" w:sz="6" w:space="0" w:color="auto"/>
              <w:left w:val="single" w:sz="6" w:space="0" w:color="auto"/>
              <w:bottom w:val="single" w:sz="6" w:space="0" w:color="auto"/>
              <w:right w:val="single" w:sz="6" w:space="0" w:color="auto"/>
            </w:tcBorders>
            <w:hideMark/>
          </w:tcPr>
          <w:p w14:paraId="0A3097ED" w14:textId="77777777" w:rsidR="00FD2B58" w:rsidRPr="004030DB" w:rsidRDefault="00FD2B58" w:rsidP="00FD2B58">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color w:val="000000"/>
                <w:sz w:val="20"/>
                <w:szCs w:val="20"/>
                <w:lang w:eastAsia="en-GB"/>
              </w:rPr>
              <w:t>4,405</w:t>
            </w:r>
            <w:r w:rsidRPr="004030DB">
              <w:rPr>
                <w:rFonts w:ascii="Arial" w:eastAsia="Times New Roman" w:hAnsi="Arial" w:cs="Arial"/>
                <w:color w:val="000000"/>
                <w:sz w:val="20"/>
                <w:szCs w:val="20"/>
                <w:lang w:val="en-GB" w:eastAsia="en-GB"/>
              </w:rPr>
              <w:t> </w:t>
            </w:r>
          </w:p>
        </w:tc>
      </w:tr>
      <w:tr w:rsidR="00FD2B58" w:rsidRPr="004030DB" w14:paraId="54358E8D" w14:textId="77777777" w:rsidTr="00FD2B58">
        <w:trPr>
          <w:trHeight w:val="300"/>
        </w:trPr>
        <w:tc>
          <w:tcPr>
            <w:tcW w:w="2325" w:type="dxa"/>
            <w:tcBorders>
              <w:top w:val="single" w:sz="6" w:space="0" w:color="auto"/>
              <w:left w:val="single" w:sz="6" w:space="0" w:color="auto"/>
              <w:bottom w:val="single" w:sz="6" w:space="0" w:color="auto"/>
              <w:right w:val="single" w:sz="6" w:space="0" w:color="auto"/>
            </w:tcBorders>
            <w:hideMark/>
          </w:tcPr>
          <w:p w14:paraId="2FBC9D2F"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Male</w:t>
            </w:r>
            <w:r w:rsidRPr="004030DB">
              <w:rPr>
                <w:rFonts w:ascii="Arial" w:eastAsia="Times New Roman" w:hAnsi="Arial" w:cs="Arial"/>
                <w:color w:val="D13438"/>
                <w:sz w:val="20"/>
                <w:szCs w:val="20"/>
                <w:lang w:val="en-GB" w:eastAsia="en-GB"/>
              </w:rPr>
              <w:t> </w:t>
            </w:r>
          </w:p>
        </w:tc>
        <w:tc>
          <w:tcPr>
            <w:tcW w:w="2340" w:type="dxa"/>
            <w:tcBorders>
              <w:top w:val="single" w:sz="6" w:space="0" w:color="auto"/>
              <w:left w:val="single" w:sz="6" w:space="0" w:color="auto"/>
              <w:bottom w:val="single" w:sz="6" w:space="0" w:color="auto"/>
              <w:right w:val="single" w:sz="6" w:space="0" w:color="auto"/>
            </w:tcBorders>
            <w:hideMark/>
          </w:tcPr>
          <w:p w14:paraId="71E6DB41" w14:textId="77777777" w:rsidR="00FD2B58" w:rsidRPr="004030DB" w:rsidRDefault="00FD2B58" w:rsidP="00FD2B58">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val="en-GB" w:eastAsia="en-GB"/>
              </w:rPr>
              <w:t>5</w:t>
            </w:r>
            <w:r w:rsidRPr="004030DB">
              <w:rPr>
                <w:rFonts w:ascii="Arial" w:eastAsia="Times New Roman" w:hAnsi="Arial" w:cs="Arial"/>
                <w:color w:val="D13438"/>
                <w:sz w:val="20"/>
                <w:szCs w:val="20"/>
                <w:lang w:val="en-GB" w:eastAsia="en-GB"/>
              </w:rPr>
              <w:t> </w:t>
            </w:r>
          </w:p>
        </w:tc>
        <w:tc>
          <w:tcPr>
            <w:tcW w:w="2370" w:type="dxa"/>
            <w:tcBorders>
              <w:top w:val="single" w:sz="6" w:space="0" w:color="auto"/>
              <w:left w:val="single" w:sz="6" w:space="0" w:color="auto"/>
              <w:bottom w:val="single" w:sz="6" w:space="0" w:color="auto"/>
              <w:right w:val="single" w:sz="6" w:space="0" w:color="auto"/>
            </w:tcBorders>
            <w:hideMark/>
          </w:tcPr>
          <w:p w14:paraId="40763BE2" w14:textId="77777777" w:rsidR="00FD2B58" w:rsidRPr="004030DB" w:rsidRDefault="00FD2B58" w:rsidP="00FD2B58">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val="en-GB" w:eastAsia="en-GB"/>
              </w:rPr>
              <w:t>25</w:t>
            </w:r>
            <w:r w:rsidRPr="004030DB">
              <w:rPr>
                <w:rFonts w:ascii="Arial" w:eastAsia="Times New Roman" w:hAnsi="Arial" w:cs="Arial"/>
                <w:color w:val="D13438"/>
                <w:sz w:val="20"/>
                <w:szCs w:val="20"/>
                <w:lang w:val="en-GB" w:eastAsia="en-GB"/>
              </w:rPr>
              <w:t> </w:t>
            </w:r>
          </w:p>
        </w:tc>
        <w:tc>
          <w:tcPr>
            <w:tcW w:w="2340" w:type="dxa"/>
            <w:tcBorders>
              <w:top w:val="single" w:sz="6" w:space="0" w:color="auto"/>
              <w:left w:val="single" w:sz="6" w:space="0" w:color="auto"/>
              <w:bottom w:val="single" w:sz="6" w:space="0" w:color="auto"/>
              <w:right w:val="single" w:sz="6" w:space="0" w:color="auto"/>
            </w:tcBorders>
            <w:hideMark/>
          </w:tcPr>
          <w:p w14:paraId="12E41CE7" w14:textId="77777777" w:rsidR="00FD2B58" w:rsidRPr="004030DB" w:rsidRDefault="00FD2B58" w:rsidP="00FD2B58">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color w:val="000000"/>
                <w:sz w:val="20"/>
                <w:szCs w:val="20"/>
                <w:lang w:eastAsia="en-GB"/>
              </w:rPr>
              <w:t>1,356</w:t>
            </w:r>
            <w:r w:rsidRPr="004030DB">
              <w:rPr>
                <w:rFonts w:ascii="Arial" w:eastAsia="Times New Roman" w:hAnsi="Arial" w:cs="Arial"/>
                <w:color w:val="000000"/>
                <w:sz w:val="20"/>
                <w:szCs w:val="20"/>
                <w:lang w:val="en-GB" w:eastAsia="en-GB"/>
              </w:rPr>
              <w:t> </w:t>
            </w:r>
          </w:p>
        </w:tc>
      </w:tr>
      <w:tr w:rsidR="00FD2B58" w:rsidRPr="004030DB" w14:paraId="3E171115" w14:textId="77777777" w:rsidTr="00FD2B58">
        <w:trPr>
          <w:trHeight w:val="300"/>
        </w:trPr>
        <w:tc>
          <w:tcPr>
            <w:tcW w:w="2325" w:type="dxa"/>
            <w:tcBorders>
              <w:top w:val="single" w:sz="6" w:space="0" w:color="auto"/>
              <w:left w:val="single" w:sz="6" w:space="0" w:color="auto"/>
              <w:bottom w:val="single" w:sz="6" w:space="0" w:color="auto"/>
              <w:right w:val="single" w:sz="6" w:space="0" w:color="auto"/>
            </w:tcBorders>
            <w:shd w:val="clear" w:color="auto" w:fill="DEEAF6"/>
            <w:hideMark/>
          </w:tcPr>
          <w:p w14:paraId="25AA9FC0" w14:textId="77777777" w:rsidR="00FD2B58" w:rsidRPr="004030DB" w:rsidRDefault="00FD2B58" w:rsidP="00FD2B58">
            <w:pPr>
              <w:widowControl/>
              <w:shd w:val="clear" w:color="auto" w:fill="DEEAF6"/>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val="en-GB" w:eastAsia="en-GB"/>
              </w:rPr>
              <w:t>Total</w:t>
            </w:r>
            <w:r w:rsidRPr="004030DB">
              <w:rPr>
                <w:rFonts w:ascii="Arial" w:eastAsia="Times New Roman" w:hAnsi="Arial" w:cs="Arial"/>
                <w:color w:val="D13438"/>
                <w:sz w:val="20"/>
                <w:szCs w:val="20"/>
                <w:lang w:val="en-GB" w:eastAsia="en-GB"/>
              </w:rPr>
              <w:t> </w:t>
            </w:r>
          </w:p>
        </w:tc>
        <w:tc>
          <w:tcPr>
            <w:tcW w:w="2340" w:type="dxa"/>
            <w:tcBorders>
              <w:top w:val="single" w:sz="6" w:space="0" w:color="auto"/>
              <w:left w:val="single" w:sz="6" w:space="0" w:color="auto"/>
              <w:bottom w:val="single" w:sz="6" w:space="0" w:color="auto"/>
              <w:right w:val="single" w:sz="6" w:space="0" w:color="auto"/>
            </w:tcBorders>
            <w:shd w:val="clear" w:color="auto" w:fill="DEEAF6"/>
            <w:hideMark/>
          </w:tcPr>
          <w:p w14:paraId="1DBF4B24" w14:textId="77777777" w:rsidR="00FD2B58" w:rsidRPr="004030DB" w:rsidRDefault="00FD2B58" w:rsidP="00FD2B58">
            <w:pPr>
              <w:widowControl/>
              <w:shd w:val="clear" w:color="auto" w:fill="DEEAF6"/>
              <w:jc w:val="center"/>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val="en-GB" w:eastAsia="en-GB"/>
              </w:rPr>
              <w:t>12</w:t>
            </w:r>
            <w:r w:rsidRPr="004030DB">
              <w:rPr>
                <w:rFonts w:ascii="Arial" w:eastAsia="Times New Roman" w:hAnsi="Arial" w:cs="Arial"/>
                <w:color w:val="D13438"/>
                <w:sz w:val="20"/>
                <w:szCs w:val="20"/>
                <w:lang w:val="en-GB" w:eastAsia="en-GB"/>
              </w:rPr>
              <w:t> </w:t>
            </w:r>
          </w:p>
        </w:tc>
        <w:tc>
          <w:tcPr>
            <w:tcW w:w="2370" w:type="dxa"/>
            <w:tcBorders>
              <w:top w:val="single" w:sz="6" w:space="0" w:color="auto"/>
              <w:left w:val="single" w:sz="6" w:space="0" w:color="auto"/>
              <w:bottom w:val="single" w:sz="6" w:space="0" w:color="auto"/>
              <w:right w:val="single" w:sz="6" w:space="0" w:color="auto"/>
            </w:tcBorders>
            <w:shd w:val="clear" w:color="auto" w:fill="DEEAF6"/>
            <w:hideMark/>
          </w:tcPr>
          <w:p w14:paraId="4EB25501" w14:textId="77777777" w:rsidR="00FD2B58" w:rsidRPr="004030DB" w:rsidRDefault="00FD2B58" w:rsidP="00FD2B58">
            <w:pPr>
              <w:widowControl/>
              <w:shd w:val="clear" w:color="auto" w:fill="DEEAF6"/>
              <w:jc w:val="center"/>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val="en-GB" w:eastAsia="en-GB"/>
              </w:rPr>
              <w:t>79</w:t>
            </w:r>
            <w:r w:rsidRPr="004030DB">
              <w:rPr>
                <w:rFonts w:ascii="Arial" w:eastAsia="Times New Roman" w:hAnsi="Arial" w:cs="Arial"/>
                <w:sz w:val="20"/>
                <w:szCs w:val="20"/>
                <w:lang w:val="en-GB" w:eastAsia="en-GB"/>
              </w:rPr>
              <w:t> </w:t>
            </w:r>
          </w:p>
        </w:tc>
        <w:tc>
          <w:tcPr>
            <w:tcW w:w="2340" w:type="dxa"/>
            <w:tcBorders>
              <w:top w:val="single" w:sz="6" w:space="0" w:color="auto"/>
              <w:left w:val="single" w:sz="6" w:space="0" w:color="auto"/>
              <w:bottom w:val="single" w:sz="6" w:space="0" w:color="auto"/>
              <w:right w:val="single" w:sz="6" w:space="0" w:color="auto"/>
            </w:tcBorders>
            <w:shd w:val="clear" w:color="auto" w:fill="DEEAF6"/>
            <w:hideMark/>
          </w:tcPr>
          <w:p w14:paraId="2A73F8A8" w14:textId="77777777" w:rsidR="00FD2B58" w:rsidRPr="004030DB" w:rsidRDefault="00FD2B58" w:rsidP="00FD2B58">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color w:val="000000"/>
                <w:sz w:val="20"/>
                <w:szCs w:val="20"/>
                <w:lang w:eastAsia="en-GB"/>
              </w:rPr>
              <w:t>5,761</w:t>
            </w:r>
            <w:r w:rsidRPr="004030DB">
              <w:rPr>
                <w:rFonts w:ascii="Arial" w:eastAsia="Times New Roman" w:hAnsi="Arial" w:cs="Arial"/>
                <w:color w:val="000000"/>
                <w:sz w:val="20"/>
                <w:szCs w:val="20"/>
                <w:lang w:val="en-GB" w:eastAsia="en-GB"/>
              </w:rPr>
              <w:t> </w:t>
            </w:r>
          </w:p>
        </w:tc>
      </w:tr>
    </w:tbl>
    <w:p w14:paraId="15F73A7B" w14:textId="77777777" w:rsidR="00FD2B58" w:rsidRPr="004030DB" w:rsidRDefault="00FD2B58" w:rsidP="00FD2B58">
      <w:pPr>
        <w:widowControl/>
        <w:textAlignment w:val="baseline"/>
        <w:rPr>
          <w:rFonts w:ascii="Segoe UI" w:eastAsia="Times New Roman" w:hAnsi="Segoe UI" w:cs="Segoe UI"/>
          <w:sz w:val="20"/>
          <w:szCs w:val="20"/>
          <w:lang w:val="en-GB" w:eastAsia="en-GB"/>
        </w:rPr>
      </w:pPr>
      <w:r w:rsidRPr="004030DB">
        <w:rPr>
          <w:rFonts w:ascii="Arial" w:eastAsia="Times New Roman" w:hAnsi="Arial" w:cs="Arial"/>
          <w:color w:val="D13438"/>
          <w:sz w:val="20"/>
          <w:szCs w:val="20"/>
          <w:lang w:val="en-GB" w:eastAsia="en-GB"/>
        </w:rPr>
        <w:t> </w:t>
      </w:r>
    </w:p>
    <w:p w14:paraId="488B5115" w14:textId="77777777" w:rsidR="00FD2B58" w:rsidRPr="004030DB" w:rsidRDefault="00FD2B58" w:rsidP="00FD2B58">
      <w:pPr>
        <w:widowControl/>
        <w:textAlignment w:val="baseline"/>
        <w:rPr>
          <w:rFonts w:ascii="Segoe UI" w:eastAsia="Times New Roman" w:hAnsi="Segoe UI" w:cs="Segoe UI"/>
          <w:sz w:val="20"/>
          <w:szCs w:val="20"/>
          <w:lang w:val="en-GB" w:eastAsia="en-GB"/>
        </w:rPr>
      </w:pPr>
      <w:r w:rsidRPr="004030DB">
        <w:rPr>
          <w:rFonts w:ascii="Arial" w:eastAsia="Times New Roman" w:hAnsi="Arial" w:cs="Arial"/>
          <w:color w:val="D13438"/>
          <w:sz w:val="20"/>
          <w:szCs w:val="20"/>
          <w:lang w:val="en-GB" w:eastAsia="en-GB"/>
        </w:rPr>
        <w:t> </w:t>
      </w:r>
    </w:p>
    <w:p w14:paraId="23B268A6" w14:textId="77777777" w:rsidR="00FD2B58" w:rsidRPr="004030DB" w:rsidRDefault="00FD2B58" w:rsidP="00FD2B58">
      <w:pPr>
        <w:widowControl/>
        <w:textAlignment w:val="baseline"/>
        <w:rPr>
          <w:rFonts w:ascii="Segoe UI" w:eastAsia="Times New Roman" w:hAnsi="Segoe UI" w:cs="Segoe UI"/>
          <w:sz w:val="20"/>
          <w:szCs w:val="20"/>
          <w:lang w:val="en-GB" w:eastAsia="en-GB"/>
        </w:rPr>
      </w:pPr>
      <w:r w:rsidRPr="004030DB">
        <w:rPr>
          <w:rFonts w:ascii="Arial" w:eastAsia="Times New Roman" w:hAnsi="Arial" w:cs="Arial"/>
          <w:color w:val="D13438"/>
          <w:sz w:val="20"/>
          <w:szCs w:val="20"/>
          <w:lang w:val="en-GB" w:eastAsia="en-GB"/>
        </w:rPr>
        <w:t> </w:t>
      </w:r>
    </w:p>
    <w:p w14:paraId="0E656FDD" w14:textId="77777777" w:rsidR="00FD2B58" w:rsidRPr="004030DB" w:rsidRDefault="00FD2B58" w:rsidP="00FD2B58">
      <w:pPr>
        <w:widowControl/>
        <w:textAlignment w:val="baseline"/>
        <w:rPr>
          <w:rFonts w:ascii="Segoe UI" w:eastAsia="Times New Roman" w:hAnsi="Segoe UI" w:cs="Segoe UI"/>
          <w:sz w:val="20"/>
          <w:szCs w:val="20"/>
          <w:lang w:val="en-GB" w:eastAsia="en-GB"/>
        </w:rPr>
      </w:pPr>
      <w:r w:rsidRPr="004030DB">
        <w:rPr>
          <w:rFonts w:ascii="Arial" w:eastAsia="Times New Roman" w:hAnsi="Arial" w:cs="Arial"/>
          <w:color w:val="D13438"/>
          <w:sz w:val="20"/>
          <w:szCs w:val="20"/>
          <w:lang w:val="en-GB" w:eastAsia="en-GB"/>
        </w:rPr>
        <w:lastRenderedPageBreak/>
        <w:t> </w:t>
      </w:r>
    </w:p>
    <w:p w14:paraId="648136AB" w14:textId="77777777" w:rsidR="00FD2B58" w:rsidRPr="004030DB" w:rsidRDefault="00FD2B58" w:rsidP="00FD2B58">
      <w:pPr>
        <w:widowControl/>
        <w:textAlignment w:val="baseline"/>
        <w:rPr>
          <w:rFonts w:ascii="Segoe UI" w:eastAsia="Times New Roman" w:hAnsi="Segoe UI" w:cs="Segoe UI"/>
          <w:sz w:val="20"/>
          <w:szCs w:val="20"/>
          <w:lang w:val="en-GB" w:eastAsia="en-GB"/>
        </w:rPr>
      </w:pPr>
      <w:r w:rsidRPr="004030DB">
        <w:rPr>
          <w:rFonts w:ascii="Arial" w:eastAsia="Times New Roman" w:hAnsi="Arial" w:cs="Arial"/>
          <w:b/>
          <w:bCs/>
          <w:sz w:val="20"/>
          <w:szCs w:val="20"/>
          <w:lang w:val="en-GB" w:eastAsia="en-GB"/>
        </w:rPr>
        <w:t>Sickness Absence Data</w:t>
      </w:r>
      <w:r w:rsidRPr="004030DB">
        <w:rPr>
          <w:rFonts w:ascii="Arial" w:eastAsia="Times New Roman" w:hAnsi="Arial" w:cs="Arial"/>
          <w:b/>
          <w:bCs/>
          <w:color w:val="FF0000"/>
          <w:sz w:val="20"/>
          <w:szCs w:val="20"/>
          <w:lang w:val="en-GB" w:eastAsia="en-GB"/>
        </w:rPr>
        <w:t xml:space="preserve"> </w:t>
      </w:r>
      <w:r w:rsidRPr="004030DB">
        <w:rPr>
          <w:rFonts w:ascii="Arial" w:eastAsia="Times New Roman" w:hAnsi="Arial" w:cs="Arial"/>
          <w:color w:val="FF0000"/>
          <w:sz w:val="20"/>
          <w:szCs w:val="20"/>
          <w:lang w:val="en-GB" w:eastAsia="en-GB"/>
        </w:rPr>
        <w:t> </w:t>
      </w:r>
    </w:p>
    <w:p w14:paraId="4C1B1F9A" w14:textId="77777777" w:rsidR="00FD2B58" w:rsidRPr="004030DB" w:rsidRDefault="00FD2B58" w:rsidP="00FD2B58">
      <w:pPr>
        <w:widowControl/>
        <w:jc w:val="both"/>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eastAsia="en-GB"/>
        </w:rPr>
        <w:t>The table below sets out the Trust’s sickness absence for 2024/25 compared with 2023/24.  The overall sickness rate has increased over the last 12 months and equates to 18.80 average days sick per full-time employee.  This has increased from an average of 17.25 days in 2023/24.</w:t>
      </w:r>
      <w:r w:rsidRPr="004030DB">
        <w:rPr>
          <w:rFonts w:ascii="Arial" w:eastAsia="Times New Roman" w:hAnsi="Arial" w:cs="Arial"/>
          <w:color w:val="D13438"/>
          <w:sz w:val="20"/>
          <w:szCs w:val="20"/>
          <w:lang w:val="en-GB" w:eastAsia="en-GB"/>
        </w:rPr>
        <w:t> </w:t>
      </w:r>
    </w:p>
    <w:p w14:paraId="47983CD9" w14:textId="77777777" w:rsidR="00FD2B58" w:rsidRPr="004030DB" w:rsidRDefault="00FD2B58" w:rsidP="00FD2B58">
      <w:pPr>
        <w:widowControl/>
        <w:textAlignment w:val="baseline"/>
        <w:rPr>
          <w:rFonts w:ascii="Segoe UI" w:eastAsia="Times New Roman" w:hAnsi="Segoe UI" w:cs="Segoe UI"/>
          <w:sz w:val="20"/>
          <w:szCs w:val="20"/>
          <w:lang w:val="en-GB" w:eastAsia="en-GB"/>
        </w:rPr>
      </w:pPr>
      <w:r w:rsidRPr="004030DB">
        <w:rPr>
          <w:rFonts w:ascii="Arial" w:eastAsia="Times New Roman" w:hAnsi="Arial" w:cs="Arial"/>
          <w:color w:val="D13438"/>
          <w:sz w:val="20"/>
          <w:szCs w:val="20"/>
          <w:lang w:val="en-GB"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406"/>
        <w:gridCol w:w="1914"/>
        <w:gridCol w:w="1690"/>
      </w:tblGrid>
      <w:tr w:rsidR="00FD2B58" w:rsidRPr="004030DB" w14:paraId="4FFC7434" w14:textId="77777777" w:rsidTr="00FD2B58">
        <w:trPr>
          <w:trHeight w:val="300"/>
        </w:trPr>
        <w:tc>
          <w:tcPr>
            <w:tcW w:w="5430" w:type="dxa"/>
            <w:tcBorders>
              <w:top w:val="single" w:sz="6" w:space="0" w:color="auto"/>
              <w:left w:val="single" w:sz="6" w:space="0" w:color="auto"/>
              <w:bottom w:val="nil"/>
              <w:right w:val="single" w:sz="6" w:space="0" w:color="auto"/>
            </w:tcBorders>
            <w:shd w:val="clear" w:color="auto" w:fill="DEEAF6"/>
            <w:vAlign w:val="center"/>
            <w:hideMark/>
          </w:tcPr>
          <w:p w14:paraId="36632BDF"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val="en-GB" w:eastAsia="en-GB"/>
              </w:rPr>
              <w:t>Staff Group</w:t>
            </w:r>
            <w:r w:rsidRPr="004030DB">
              <w:rPr>
                <w:rFonts w:ascii="Arial" w:eastAsia="Times New Roman" w:hAnsi="Arial" w:cs="Arial"/>
                <w:color w:val="D13438"/>
                <w:sz w:val="20"/>
                <w:szCs w:val="20"/>
                <w:lang w:val="en-GB" w:eastAsia="en-GB"/>
              </w:rPr>
              <w:t> </w:t>
            </w:r>
          </w:p>
        </w:tc>
        <w:tc>
          <w:tcPr>
            <w:tcW w:w="1920" w:type="dxa"/>
            <w:tcBorders>
              <w:top w:val="single" w:sz="6" w:space="0" w:color="auto"/>
              <w:left w:val="single" w:sz="6" w:space="0" w:color="auto"/>
              <w:bottom w:val="single" w:sz="6" w:space="0" w:color="auto"/>
              <w:right w:val="single" w:sz="6" w:space="0" w:color="auto"/>
            </w:tcBorders>
            <w:shd w:val="clear" w:color="auto" w:fill="DEEAF6"/>
            <w:hideMark/>
          </w:tcPr>
          <w:p w14:paraId="1596D817" w14:textId="77777777" w:rsidR="00FD2B58" w:rsidRPr="004030DB" w:rsidRDefault="00FD2B58" w:rsidP="00FD2B58">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val="en-GB" w:eastAsia="en-GB"/>
              </w:rPr>
              <w:t>2024/25</w:t>
            </w:r>
            <w:r w:rsidRPr="004030DB">
              <w:rPr>
                <w:rFonts w:ascii="Arial" w:eastAsia="Times New Roman" w:hAnsi="Arial" w:cs="Arial"/>
                <w:color w:val="D13438"/>
                <w:sz w:val="20"/>
                <w:szCs w:val="20"/>
                <w:lang w:val="en-GB" w:eastAsia="en-GB"/>
              </w:rPr>
              <w:t> </w:t>
            </w:r>
          </w:p>
        </w:tc>
        <w:tc>
          <w:tcPr>
            <w:tcW w:w="1695" w:type="dxa"/>
            <w:tcBorders>
              <w:top w:val="single" w:sz="6" w:space="0" w:color="auto"/>
              <w:left w:val="single" w:sz="6" w:space="0" w:color="auto"/>
              <w:bottom w:val="single" w:sz="6" w:space="0" w:color="auto"/>
              <w:right w:val="single" w:sz="6" w:space="0" w:color="auto"/>
            </w:tcBorders>
            <w:shd w:val="clear" w:color="auto" w:fill="DEEAF6"/>
            <w:hideMark/>
          </w:tcPr>
          <w:p w14:paraId="56ECA82C" w14:textId="77777777" w:rsidR="00FD2B58" w:rsidRPr="004030DB" w:rsidRDefault="00FD2B58" w:rsidP="00FD2B58">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val="en-GB" w:eastAsia="en-GB"/>
              </w:rPr>
              <w:t>2023/24</w:t>
            </w:r>
            <w:r w:rsidRPr="004030DB">
              <w:rPr>
                <w:rFonts w:ascii="Arial" w:eastAsia="Times New Roman" w:hAnsi="Arial" w:cs="Arial"/>
                <w:color w:val="D13438"/>
                <w:sz w:val="20"/>
                <w:szCs w:val="20"/>
                <w:lang w:val="en-GB" w:eastAsia="en-GB"/>
              </w:rPr>
              <w:t> </w:t>
            </w:r>
          </w:p>
        </w:tc>
      </w:tr>
      <w:tr w:rsidR="00FD2B58" w:rsidRPr="004030DB" w14:paraId="7D389048" w14:textId="77777777" w:rsidTr="00FD2B58">
        <w:trPr>
          <w:trHeight w:val="300"/>
        </w:trPr>
        <w:tc>
          <w:tcPr>
            <w:tcW w:w="5430" w:type="dxa"/>
            <w:tcBorders>
              <w:top w:val="nil"/>
              <w:left w:val="single" w:sz="6" w:space="0" w:color="auto"/>
              <w:bottom w:val="single" w:sz="6" w:space="0" w:color="auto"/>
              <w:right w:val="single" w:sz="6" w:space="0" w:color="auto"/>
            </w:tcBorders>
            <w:shd w:val="clear" w:color="auto" w:fill="DEEAF6"/>
            <w:hideMark/>
          </w:tcPr>
          <w:p w14:paraId="2302CF07"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color w:val="D13438"/>
                <w:sz w:val="20"/>
                <w:szCs w:val="20"/>
                <w:lang w:val="en-GB" w:eastAsia="en-GB"/>
              </w:rPr>
              <w:t> </w:t>
            </w:r>
          </w:p>
        </w:tc>
        <w:tc>
          <w:tcPr>
            <w:tcW w:w="1920" w:type="dxa"/>
            <w:tcBorders>
              <w:top w:val="single" w:sz="6" w:space="0" w:color="auto"/>
              <w:left w:val="single" w:sz="6" w:space="0" w:color="auto"/>
              <w:bottom w:val="single" w:sz="6" w:space="0" w:color="auto"/>
              <w:right w:val="single" w:sz="6" w:space="0" w:color="auto"/>
            </w:tcBorders>
            <w:shd w:val="clear" w:color="auto" w:fill="DEEAF6"/>
            <w:hideMark/>
          </w:tcPr>
          <w:p w14:paraId="3DCCF4BE" w14:textId="77777777" w:rsidR="00FD2B58" w:rsidRPr="004030DB" w:rsidRDefault="00FD2B58" w:rsidP="00FD2B58">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val="en-GB" w:eastAsia="en-GB"/>
              </w:rPr>
              <w:t>% of available FTE lost</w:t>
            </w:r>
            <w:r w:rsidRPr="004030DB">
              <w:rPr>
                <w:rFonts w:ascii="Arial" w:eastAsia="Times New Roman" w:hAnsi="Arial" w:cs="Arial"/>
                <w:color w:val="D13438"/>
                <w:sz w:val="20"/>
                <w:szCs w:val="20"/>
                <w:lang w:val="en-GB" w:eastAsia="en-GB"/>
              </w:rPr>
              <w:t> </w:t>
            </w:r>
          </w:p>
        </w:tc>
        <w:tc>
          <w:tcPr>
            <w:tcW w:w="1695" w:type="dxa"/>
            <w:tcBorders>
              <w:top w:val="single" w:sz="6" w:space="0" w:color="auto"/>
              <w:left w:val="single" w:sz="6" w:space="0" w:color="auto"/>
              <w:bottom w:val="single" w:sz="6" w:space="0" w:color="auto"/>
              <w:right w:val="single" w:sz="6" w:space="0" w:color="auto"/>
            </w:tcBorders>
            <w:shd w:val="clear" w:color="auto" w:fill="DEEAF6"/>
            <w:hideMark/>
          </w:tcPr>
          <w:p w14:paraId="7AD5F583" w14:textId="77777777" w:rsidR="00FD2B58" w:rsidRPr="004030DB" w:rsidRDefault="00FD2B58" w:rsidP="00FD2B58">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val="en-GB" w:eastAsia="en-GB"/>
              </w:rPr>
              <w:t>% of available FTE lost</w:t>
            </w:r>
            <w:r w:rsidRPr="004030DB">
              <w:rPr>
                <w:rFonts w:ascii="Arial" w:eastAsia="Times New Roman" w:hAnsi="Arial" w:cs="Arial"/>
                <w:color w:val="D13438"/>
                <w:sz w:val="20"/>
                <w:szCs w:val="20"/>
                <w:lang w:val="en-GB" w:eastAsia="en-GB"/>
              </w:rPr>
              <w:t> </w:t>
            </w:r>
          </w:p>
        </w:tc>
      </w:tr>
      <w:tr w:rsidR="00FD2B58" w:rsidRPr="004030DB" w14:paraId="750A611F" w14:textId="77777777" w:rsidTr="00FD2B58">
        <w:trPr>
          <w:trHeight w:val="300"/>
        </w:trPr>
        <w:tc>
          <w:tcPr>
            <w:tcW w:w="5430" w:type="dxa"/>
            <w:tcBorders>
              <w:top w:val="single" w:sz="6" w:space="0" w:color="auto"/>
              <w:left w:val="single" w:sz="6" w:space="0" w:color="auto"/>
              <w:bottom w:val="single" w:sz="6" w:space="0" w:color="auto"/>
              <w:right w:val="single" w:sz="6" w:space="0" w:color="auto"/>
            </w:tcBorders>
            <w:hideMark/>
          </w:tcPr>
          <w:p w14:paraId="7E04175C"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Additional professional, scientific and technical</w:t>
            </w:r>
            <w:r w:rsidRPr="004030DB">
              <w:rPr>
                <w:rFonts w:ascii="Arial" w:eastAsia="Times New Roman" w:hAnsi="Arial" w:cs="Arial"/>
                <w:color w:val="D13438"/>
                <w:sz w:val="20"/>
                <w:szCs w:val="20"/>
                <w:lang w:val="en-GB" w:eastAsia="en-GB"/>
              </w:rPr>
              <w:t> </w:t>
            </w:r>
          </w:p>
        </w:tc>
        <w:tc>
          <w:tcPr>
            <w:tcW w:w="1920" w:type="dxa"/>
            <w:tcBorders>
              <w:top w:val="single" w:sz="6" w:space="0" w:color="auto"/>
              <w:left w:val="single" w:sz="6" w:space="0" w:color="auto"/>
              <w:bottom w:val="single" w:sz="6" w:space="0" w:color="auto"/>
              <w:right w:val="single" w:sz="6" w:space="0" w:color="auto"/>
            </w:tcBorders>
            <w:hideMark/>
          </w:tcPr>
          <w:p w14:paraId="7E011257" w14:textId="77777777" w:rsidR="00FD2B58" w:rsidRPr="004030DB" w:rsidRDefault="00FD2B58" w:rsidP="00FD2B58">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color w:val="000000"/>
                <w:sz w:val="20"/>
                <w:szCs w:val="20"/>
                <w:lang w:eastAsia="en-GB"/>
              </w:rPr>
              <w:t>3.14%</w:t>
            </w:r>
            <w:r w:rsidRPr="004030DB">
              <w:rPr>
                <w:rFonts w:ascii="Arial" w:eastAsia="Times New Roman" w:hAnsi="Arial" w:cs="Arial"/>
                <w:color w:val="000000"/>
                <w:sz w:val="20"/>
                <w:szCs w:val="20"/>
                <w:lang w:val="en-GB" w:eastAsia="en-GB"/>
              </w:rPr>
              <w:t> </w:t>
            </w:r>
          </w:p>
        </w:tc>
        <w:tc>
          <w:tcPr>
            <w:tcW w:w="1695" w:type="dxa"/>
            <w:tcBorders>
              <w:top w:val="single" w:sz="6" w:space="0" w:color="auto"/>
              <w:left w:val="single" w:sz="6" w:space="0" w:color="auto"/>
              <w:bottom w:val="single" w:sz="6" w:space="0" w:color="auto"/>
              <w:right w:val="single" w:sz="6" w:space="0" w:color="auto"/>
            </w:tcBorders>
            <w:hideMark/>
          </w:tcPr>
          <w:p w14:paraId="0A297F6E" w14:textId="77777777" w:rsidR="00FD2B58" w:rsidRPr="004030DB" w:rsidRDefault="00FD2B58" w:rsidP="00FD2B58">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val="en-GB" w:eastAsia="en-GB"/>
              </w:rPr>
              <w:t>3.77%</w:t>
            </w:r>
            <w:r w:rsidRPr="004030DB">
              <w:rPr>
                <w:rFonts w:ascii="Arial" w:eastAsia="Times New Roman" w:hAnsi="Arial" w:cs="Arial"/>
                <w:color w:val="D13438"/>
                <w:sz w:val="20"/>
                <w:szCs w:val="20"/>
                <w:lang w:val="en-GB" w:eastAsia="en-GB"/>
              </w:rPr>
              <w:t> </w:t>
            </w:r>
          </w:p>
        </w:tc>
      </w:tr>
      <w:tr w:rsidR="00FD2B58" w:rsidRPr="004030DB" w14:paraId="4A9E6464" w14:textId="77777777" w:rsidTr="00FD2B58">
        <w:trPr>
          <w:trHeight w:val="300"/>
        </w:trPr>
        <w:tc>
          <w:tcPr>
            <w:tcW w:w="5430" w:type="dxa"/>
            <w:tcBorders>
              <w:top w:val="single" w:sz="6" w:space="0" w:color="auto"/>
              <w:left w:val="single" w:sz="6" w:space="0" w:color="auto"/>
              <w:bottom w:val="single" w:sz="6" w:space="0" w:color="auto"/>
              <w:right w:val="single" w:sz="6" w:space="0" w:color="auto"/>
            </w:tcBorders>
            <w:hideMark/>
          </w:tcPr>
          <w:p w14:paraId="2A3CCB03"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Additional clinical services</w:t>
            </w:r>
            <w:r w:rsidRPr="004030DB">
              <w:rPr>
                <w:rFonts w:ascii="Arial" w:eastAsia="Times New Roman" w:hAnsi="Arial" w:cs="Arial"/>
                <w:color w:val="D13438"/>
                <w:sz w:val="20"/>
                <w:szCs w:val="20"/>
                <w:lang w:val="en-GB" w:eastAsia="en-GB"/>
              </w:rPr>
              <w:t> </w:t>
            </w:r>
          </w:p>
        </w:tc>
        <w:tc>
          <w:tcPr>
            <w:tcW w:w="1920" w:type="dxa"/>
            <w:tcBorders>
              <w:top w:val="single" w:sz="6" w:space="0" w:color="auto"/>
              <w:left w:val="single" w:sz="6" w:space="0" w:color="auto"/>
              <w:bottom w:val="single" w:sz="6" w:space="0" w:color="auto"/>
              <w:right w:val="single" w:sz="6" w:space="0" w:color="auto"/>
            </w:tcBorders>
            <w:hideMark/>
          </w:tcPr>
          <w:p w14:paraId="79450987" w14:textId="77777777" w:rsidR="00FD2B58" w:rsidRPr="004030DB" w:rsidRDefault="00FD2B58" w:rsidP="00FD2B58">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color w:val="000000"/>
                <w:sz w:val="20"/>
                <w:szCs w:val="20"/>
                <w:lang w:eastAsia="en-GB"/>
              </w:rPr>
              <w:t>6.53%</w:t>
            </w:r>
            <w:r w:rsidRPr="004030DB">
              <w:rPr>
                <w:rFonts w:ascii="Arial" w:eastAsia="Times New Roman" w:hAnsi="Arial" w:cs="Arial"/>
                <w:color w:val="000000"/>
                <w:sz w:val="20"/>
                <w:szCs w:val="20"/>
                <w:lang w:val="en-GB" w:eastAsia="en-GB"/>
              </w:rPr>
              <w:t> </w:t>
            </w:r>
          </w:p>
        </w:tc>
        <w:tc>
          <w:tcPr>
            <w:tcW w:w="1695" w:type="dxa"/>
            <w:tcBorders>
              <w:top w:val="single" w:sz="6" w:space="0" w:color="auto"/>
              <w:left w:val="single" w:sz="6" w:space="0" w:color="auto"/>
              <w:bottom w:val="single" w:sz="6" w:space="0" w:color="auto"/>
              <w:right w:val="single" w:sz="6" w:space="0" w:color="auto"/>
            </w:tcBorders>
            <w:hideMark/>
          </w:tcPr>
          <w:p w14:paraId="688B7F45" w14:textId="77777777" w:rsidR="00FD2B58" w:rsidRPr="004030DB" w:rsidRDefault="00FD2B58" w:rsidP="00FD2B58">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val="en-GB" w:eastAsia="en-GB"/>
              </w:rPr>
              <w:t>6.77%</w:t>
            </w:r>
            <w:r w:rsidRPr="004030DB">
              <w:rPr>
                <w:rFonts w:ascii="Arial" w:eastAsia="Times New Roman" w:hAnsi="Arial" w:cs="Arial"/>
                <w:color w:val="D13438"/>
                <w:sz w:val="20"/>
                <w:szCs w:val="20"/>
                <w:lang w:val="en-GB" w:eastAsia="en-GB"/>
              </w:rPr>
              <w:t> </w:t>
            </w:r>
          </w:p>
        </w:tc>
      </w:tr>
      <w:tr w:rsidR="00FD2B58" w:rsidRPr="004030DB" w14:paraId="22923C49" w14:textId="77777777" w:rsidTr="00FD2B58">
        <w:trPr>
          <w:trHeight w:val="300"/>
        </w:trPr>
        <w:tc>
          <w:tcPr>
            <w:tcW w:w="5430" w:type="dxa"/>
            <w:tcBorders>
              <w:top w:val="single" w:sz="6" w:space="0" w:color="auto"/>
              <w:left w:val="single" w:sz="6" w:space="0" w:color="auto"/>
              <w:bottom w:val="single" w:sz="6" w:space="0" w:color="auto"/>
              <w:right w:val="single" w:sz="6" w:space="0" w:color="auto"/>
            </w:tcBorders>
            <w:hideMark/>
          </w:tcPr>
          <w:p w14:paraId="397E2081"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Administrative and clerical</w:t>
            </w:r>
            <w:r w:rsidRPr="004030DB">
              <w:rPr>
                <w:rFonts w:ascii="Arial" w:eastAsia="Times New Roman" w:hAnsi="Arial" w:cs="Arial"/>
                <w:color w:val="D13438"/>
                <w:sz w:val="20"/>
                <w:szCs w:val="20"/>
                <w:lang w:val="en-GB" w:eastAsia="en-GB"/>
              </w:rPr>
              <w:t> </w:t>
            </w:r>
          </w:p>
        </w:tc>
        <w:tc>
          <w:tcPr>
            <w:tcW w:w="1920" w:type="dxa"/>
            <w:tcBorders>
              <w:top w:val="single" w:sz="6" w:space="0" w:color="auto"/>
              <w:left w:val="single" w:sz="6" w:space="0" w:color="auto"/>
              <w:bottom w:val="single" w:sz="6" w:space="0" w:color="auto"/>
              <w:right w:val="single" w:sz="6" w:space="0" w:color="auto"/>
            </w:tcBorders>
            <w:hideMark/>
          </w:tcPr>
          <w:p w14:paraId="36B1B5FA" w14:textId="77777777" w:rsidR="00FD2B58" w:rsidRPr="004030DB" w:rsidRDefault="00FD2B58" w:rsidP="00FD2B58">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color w:val="000000"/>
                <w:sz w:val="20"/>
                <w:szCs w:val="20"/>
                <w:lang w:eastAsia="en-GB"/>
              </w:rPr>
              <w:t>5.27%</w:t>
            </w:r>
            <w:r w:rsidRPr="004030DB">
              <w:rPr>
                <w:rFonts w:ascii="Arial" w:eastAsia="Times New Roman" w:hAnsi="Arial" w:cs="Arial"/>
                <w:color w:val="000000"/>
                <w:sz w:val="20"/>
                <w:szCs w:val="20"/>
                <w:lang w:val="en-GB" w:eastAsia="en-GB"/>
              </w:rPr>
              <w:t> </w:t>
            </w:r>
          </w:p>
        </w:tc>
        <w:tc>
          <w:tcPr>
            <w:tcW w:w="1695" w:type="dxa"/>
            <w:tcBorders>
              <w:top w:val="single" w:sz="6" w:space="0" w:color="auto"/>
              <w:left w:val="single" w:sz="6" w:space="0" w:color="auto"/>
              <w:bottom w:val="single" w:sz="6" w:space="0" w:color="auto"/>
              <w:right w:val="single" w:sz="6" w:space="0" w:color="auto"/>
            </w:tcBorders>
            <w:hideMark/>
          </w:tcPr>
          <w:p w14:paraId="5A9F0BBD" w14:textId="77777777" w:rsidR="00FD2B58" w:rsidRPr="004030DB" w:rsidRDefault="00FD2B58" w:rsidP="00FD2B58">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val="en-GB" w:eastAsia="en-GB"/>
              </w:rPr>
              <w:t>4.22%</w:t>
            </w:r>
            <w:r w:rsidRPr="004030DB">
              <w:rPr>
                <w:rFonts w:ascii="Arial" w:eastAsia="Times New Roman" w:hAnsi="Arial" w:cs="Arial"/>
                <w:color w:val="D13438"/>
                <w:sz w:val="20"/>
                <w:szCs w:val="20"/>
                <w:lang w:val="en-GB" w:eastAsia="en-GB"/>
              </w:rPr>
              <w:t> </w:t>
            </w:r>
          </w:p>
        </w:tc>
      </w:tr>
      <w:tr w:rsidR="00FD2B58" w:rsidRPr="004030DB" w14:paraId="25E6C4DB" w14:textId="77777777" w:rsidTr="00FD2B58">
        <w:trPr>
          <w:trHeight w:val="300"/>
        </w:trPr>
        <w:tc>
          <w:tcPr>
            <w:tcW w:w="5430" w:type="dxa"/>
            <w:tcBorders>
              <w:top w:val="single" w:sz="6" w:space="0" w:color="auto"/>
              <w:left w:val="single" w:sz="6" w:space="0" w:color="auto"/>
              <w:bottom w:val="single" w:sz="6" w:space="0" w:color="auto"/>
              <w:right w:val="single" w:sz="6" w:space="0" w:color="auto"/>
            </w:tcBorders>
            <w:hideMark/>
          </w:tcPr>
          <w:p w14:paraId="5F1F8234"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Allied health professionals</w:t>
            </w:r>
            <w:r w:rsidRPr="004030DB">
              <w:rPr>
                <w:rFonts w:ascii="Arial" w:eastAsia="Times New Roman" w:hAnsi="Arial" w:cs="Arial"/>
                <w:color w:val="D13438"/>
                <w:sz w:val="20"/>
                <w:szCs w:val="20"/>
                <w:lang w:val="en-GB" w:eastAsia="en-GB"/>
              </w:rPr>
              <w:t> </w:t>
            </w:r>
          </w:p>
        </w:tc>
        <w:tc>
          <w:tcPr>
            <w:tcW w:w="1920" w:type="dxa"/>
            <w:tcBorders>
              <w:top w:val="single" w:sz="6" w:space="0" w:color="auto"/>
              <w:left w:val="single" w:sz="6" w:space="0" w:color="auto"/>
              <w:bottom w:val="single" w:sz="6" w:space="0" w:color="auto"/>
              <w:right w:val="single" w:sz="6" w:space="0" w:color="auto"/>
            </w:tcBorders>
            <w:hideMark/>
          </w:tcPr>
          <w:p w14:paraId="56D2DBE2" w14:textId="77777777" w:rsidR="00FD2B58" w:rsidRPr="004030DB" w:rsidRDefault="00FD2B58" w:rsidP="00FD2B58">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color w:val="000000"/>
                <w:sz w:val="20"/>
                <w:szCs w:val="20"/>
                <w:lang w:eastAsia="en-GB"/>
              </w:rPr>
              <w:t>4.40%</w:t>
            </w:r>
            <w:r w:rsidRPr="004030DB">
              <w:rPr>
                <w:rFonts w:ascii="Arial" w:eastAsia="Times New Roman" w:hAnsi="Arial" w:cs="Arial"/>
                <w:color w:val="000000"/>
                <w:sz w:val="20"/>
                <w:szCs w:val="20"/>
                <w:lang w:val="en-GB" w:eastAsia="en-GB"/>
              </w:rPr>
              <w:t> </w:t>
            </w:r>
          </w:p>
        </w:tc>
        <w:tc>
          <w:tcPr>
            <w:tcW w:w="1695" w:type="dxa"/>
            <w:tcBorders>
              <w:top w:val="single" w:sz="6" w:space="0" w:color="auto"/>
              <w:left w:val="single" w:sz="6" w:space="0" w:color="auto"/>
              <w:bottom w:val="single" w:sz="6" w:space="0" w:color="auto"/>
              <w:right w:val="single" w:sz="6" w:space="0" w:color="auto"/>
            </w:tcBorders>
            <w:hideMark/>
          </w:tcPr>
          <w:p w14:paraId="724A4284" w14:textId="77777777" w:rsidR="00FD2B58" w:rsidRPr="004030DB" w:rsidRDefault="00FD2B58" w:rsidP="00FD2B58">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val="en-GB" w:eastAsia="en-GB"/>
              </w:rPr>
              <w:t>3.85%</w:t>
            </w:r>
            <w:r w:rsidRPr="004030DB">
              <w:rPr>
                <w:rFonts w:ascii="Arial" w:eastAsia="Times New Roman" w:hAnsi="Arial" w:cs="Arial"/>
                <w:color w:val="D13438"/>
                <w:sz w:val="20"/>
                <w:szCs w:val="20"/>
                <w:lang w:val="en-GB" w:eastAsia="en-GB"/>
              </w:rPr>
              <w:t> </w:t>
            </w:r>
          </w:p>
        </w:tc>
      </w:tr>
      <w:tr w:rsidR="00FD2B58" w:rsidRPr="004030DB" w14:paraId="74C182D6" w14:textId="77777777" w:rsidTr="00FD2B58">
        <w:trPr>
          <w:trHeight w:val="300"/>
        </w:trPr>
        <w:tc>
          <w:tcPr>
            <w:tcW w:w="5430" w:type="dxa"/>
            <w:tcBorders>
              <w:top w:val="single" w:sz="6" w:space="0" w:color="auto"/>
              <w:left w:val="single" w:sz="6" w:space="0" w:color="auto"/>
              <w:bottom w:val="single" w:sz="6" w:space="0" w:color="auto"/>
              <w:right w:val="single" w:sz="6" w:space="0" w:color="auto"/>
            </w:tcBorders>
            <w:hideMark/>
          </w:tcPr>
          <w:p w14:paraId="211AC5A0"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Estates and ancillary</w:t>
            </w:r>
            <w:r w:rsidRPr="004030DB">
              <w:rPr>
                <w:rFonts w:ascii="Arial" w:eastAsia="Times New Roman" w:hAnsi="Arial" w:cs="Arial"/>
                <w:color w:val="D13438"/>
                <w:sz w:val="20"/>
                <w:szCs w:val="20"/>
                <w:lang w:val="en-GB" w:eastAsia="en-GB"/>
              </w:rPr>
              <w:t> </w:t>
            </w:r>
          </w:p>
        </w:tc>
        <w:tc>
          <w:tcPr>
            <w:tcW w:w="1920" w:type="dxa"/>
            <w:tcBorders>
              <w:top w:val="single" w:sz="6" w:space="0" w:color="auto"/>
              <w:left w:val="single" w:sz="6" w:space="0" w:color="auto"/>
              <w:bottom w:val="single" w:sz="6" w:space="0" w:color="auto"/>
              <w:right w:val="single" w:sz="6" w:space="0" w:color="auto"/>
            </w:tcBorders>
            <w:hideMark/>
          </w:tcPr>
          <w:p w14:paraId="1B1C4A38" w14:textId="77777777" w:rsidR="00FD2B58" w:rsidRPr="004030DB" w:rsidRDefault="00FD2B58" w:rsidP="00FD2B58">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color w:val="000000"/>
                <w:sz w:val="20"/>
                <w:szCs w:val="20"/>
                <w:lang w:eastAsia="en-GB"/>
              </w:rPr>
              <w:t>8.06%</w:t>
            </w:r>
            <w:r w:rsidRPr="004030DB">
              <w:rPr>
                <w:rFonts w:ascii="Arial" w:eastAsia="Times New Roman" w:hAnsi="Arial" w:cs="Arial"/>
                <w:color w:val="000000"/>
                <w:sz w:val="20"/>
                <w:szCs w:val="20"/>
                <w:lang w:val="en-GB" w:eastAsia="en-GB"/>
              </w:rPr>
              <w:t> </w:t>
            </w:r>
          </w:p>
        </w:tc>
        <w:tc>
          <w:tcPr>
            <w:tcW w:w="1695" w:type="dxa"/>
            <w:tcBorders>
              <w:top w:val="single" w:sz="6" w:space="0" w:color="auto"/>
              <w:left w:val="single" w:sz="6" w:space="0" w:color="auto"/>
              <w:bottom w:val="single" w:sz="6" w:space="0" w:color="auto"/>
              <w:right w:val="single" w:sz="6" w:space="0" w:color="auto"/>
            </w:tcBorders>
            <w:hideMark/>
          </w:tcPr>
          <w:p w14:paraId="2757F793" w14:textId="77777777" w:rsidR="00FD2B58" w:rsidRPr="004030DB" w:rsidRDefault="00FD2B58" w:rsidP="00FD2B58">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val="en-GB" w:eastAsia="en-GB"/>
              </w:rPr>
              <w:t>7.78%</w:t>
            </w:r>
            <w:r w:rsidRPr="004030DB">
              <w:rPr>
                <w:rFonts w:ascii="Arial" w:eastAsia="Times New Roman" w:hAnsi="Arial" w:cs="Arial"/>
                <w:color w:val="D13438"/>
                <w:sz w:val="20"/>
                <w:szCs w:val="20"/>
                <w:lang w:val="en-GB" w:eastAsia="en-GB"/>
              </w:rPr>
              <w:t> </w:t>
            </w:r>
          </w:p>
        </w:tc>
      </w:tr>
      <w:tr w:rsidR="00FD2B58" w:rsidRPr="004030DB" w14:paraId="764B071D" w14:textId="77777777" w:rsidTr="00FD2B58">
        <w:trPr>
          <w:trHeight w:val="300"/>
        </w:trPr>
        <w:tc>
          <w:tcPr>
            <w:tcW w:w="5430" w:type="dxa"/>
            <w:tcBorders>
              <w:top w:val="single" w:sz="6" w:space="0" w:color="auto"/>
              <w:left w:val="single" w:sz="6" w:space="0" w:color="auto"/>
              <w:bottom w:val="single" w:sz="6" w:space="0" w:color="auto"/>
              <w:right w:val="single" w:sz="6" w:space="0" w:color="auto"/>
            </w:tcBorders>
            <w:hideMark/>
          </w:tcPr>
          <w:p w14:paraId="3EC5540A"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Healthcare scientists</w:t>
            </w:r>
            <w:r w:rsidRPr="004030DB">
              <w:rPr>
                <w:rFonts w:ascii="Arial" w:eastAsia="Times New Roman" w:hAnsi="Arial" w:cs="Arial"/>
                <w:color w:val="D13438"/>
                <w:sz w:val="20"/>
                <w:szCs w:val="20"/>
                <w:lang w:val="en-GB" w:eastAsia="en-GB"/>
              </w:rPr>
              <w:t> </w:t>
            </w:r>
          </w:p>
        </w:tc>
        <w:tc>
          <w:tcPr>
            <w:tcW w:w="1920" w:type="dxa"/>
            <w:tcBorders>
              <w:top w:val="single" w:sz="6" w:space="0" w:color="auto"/>
              <w:left w:val="single" w:sz="6" w:space="0" w:color="auto"/>
              <w:bottom w:val="single" w:sz="6" w:space="0" w:color="auto"/>
              <w:right w:val="single" w:sz="6" w:space="0" w:color="auto"/>
            </w:tcBorders>
            <w:hideMark/>
          </w:tcPr>
          <w:p w14:paraId="3335C6B2" w14:textId="77777777" w:rsidR="00FD2B58" w:rsidRPr="004030DB" w:rsidRDefault="00FD2B58" w:rsidP="00FD2B58">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color w:val="000000"/>
                <w:sz w:val="20"/>
                <w:szCs w:val="20"/>
                <w:lang w:eastAsia="en-GB"/>
              </w:rPr>
              <w:t>0.91%</w:t>
            </w:r>
            <w:r w:rsidRPr="004030DB">
              <w:rPr>
                <w:rFonts w:ascii="Arial" w:eastAsia="Times New Roman" w:hAnsi="Arial" w:cs="Arial"/>
                <w:color w:val="000000"/>
                <w:sz w:val="20"/>
                <w:szCs w:val="20"/>
                <w:lang w:val="en-GB" w:eastAsia="en-GB"/>
              </w:rPr>
              <w:t> </w:t>
            </w:r>
          </w:p>
        </w:tc>
        <w:tc>
          <w:tcPr>
            <w:tcW w:w="1695" w:type="dxa"/>
            <w:tcBorders>
              <w:top w:val="single" w:sz="6" w:space="0" w:color="auto"/>
              <w:left w:val="single" w:sz="6" w:space="0" w:color="auto"/>
              <w:bottom w:val="single" w:sz="6" w:space="0" w:color="auto"/>
              <w:right w:val="single" w:sz="6" w:space="0" w:color="auto"/>
            </w:tcBorders>
            <w:hideMark/>
          </w:tcPr>
          <w:p w14:paraId="311463F2" w14:textId="77777777" w:rsidR="00FD2B58" w:rsidRPr="004030DB" w:rsidRDefault="00FD2B58" w:rsidP="00FD2B58">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val="en-GB" w:eastAsia="en-GB"/>
              </w:rPr>
              <w:t>0.27%</w:t>
            </w:r>
            <w:r w:rsidRPr="004030DB">
              <w:rPr>
                <w:rFonts w:ascii="Arial" w:eastAsia="Times New Roman" w:hAnsi="Arial" w:cs="Arial"/>
                <w:color w:val="D13438"/>
                <w:sz w:val="20"/>
                <w:szCs w:val="20"/>
                <w:lang w:val="en-GB" w:eastAsia="en-GB"/>
              </w:rPr>
              <w:t> </w:t>
            </w:r>
          </w:p>
        </w:tc>
      </w:tr>
      <w:tr w:rsidR="00FD2B58" w:rsidRPr="004030DB" w14:paraId="4340CA1C" w14:textId="77777777" w:rsidTr="00FD2B58">
        <w:trPr>
          <w:trHeight w:val="300"/>
        </w:trPr>
        <w:tc>
          <w:tcPr>
            <w:tcW w:w="5430" w:type="dxa"/>
            <w:tcBorders>
              <w:top w:val="single" w:sz="6" w:space="0" w:color="auto"/>
              <w:left w:val="single" w:sz="6" w:space="0" w:color="auto"/>
              <w:bottom w:val="single" w:sz="6" w:space="0" w:color="auto"/>
              <w:right w:val="single" w:sz="6" w:space="0" w:color="auto"/>
            </w:tcBorders>
            <w:hideMark/>
          </w:tcPr>
          <w:p w14:paraId="375CD953"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Medical and dental</w:t>
            </w:r>
            <w:r w:rsidRPr="004030DB">
              <w:rPr>
                <w:rFonts w:ascii="Arial" w:eastAsia="Times New Roman" w:hAnsi="Arial" w:cs="Arial"/>
                <w:color w:val="D13438"/>
                <w:sz w:val="20"/>
                <w:szCs w:val="20"/>
                <w:lang w:val="en-GB" w:eastAsia="en-GB"/>
              </w:rPr>
              <w:t> </w:t>
            </w:r>
          </w:p>
        </w:tc>
        <w:tc>
          <w:tcPr>
            <w:tcW w:w="1920" w:type="dxa"/>
            <w:tcBorders>
              <w:top w:val="single" w:sz="6" w:space="0" w:color="auto"/>
              <w:left w:val="single" w:sz="6" w:space="0" w:color="auto"/>
              <w:bottom w:val="single" w:sz="6" w:space="0" w:color="auto"/>
              <w:right w:val="single" w:sz="6" w:space="0" w:color="auto"/>
            </w:tcBorders>
            <w:hideMark/>
          </w:tcPr>
          <w:p w14:paraId="000A0D50" w14:textId="77777777" w:rsidR="00FD2B58" w:rsidRPr="004030DB" w:rsidRDefault="00FD2B58" w:rsidP="00FD2B58">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color w:val="000000"/>
                <w:sz w:val="20"/>
                <w:szCs w:val="20"/>
                <w:lang w:eastAsia="en-GB"/>
              </w:rPr>
              <w:t>2.26%</w:t>
            </w:r>
            <w:r w:rsidRPr="004030DB">
              <w:rPr>
                <w:rFonts w:ascii="Arial" w:eastAsia="Times New Roman" w:hAnsi="Arial" w:cs="Arial"/>
                <w:color w:val="000000"/>
                <w:sz w:val="20"/>
                <w:szCs w:val="20"/>
                <w:lang w:val="en-GB" w:eastAsia="en-GB"/>
              </w:rPr>
              <w:t> </w:t>
            </w:r>
          </w:p>
        </w:tc>
        <w:tc>
          <w:tcPr>
            <w:tcW w:w="1695" w:type="dxa"/>
            <w:tcBorders>
              <w:top w:val="single" w:sz="6" w:space="0" w:color="auto"/>
              <w:left w:val="single" w:sz="6" w:space="0" w:color="auto"/>
              <w:bottom w:val="single" w:sz="6" w:space="0" w:color="auto"/>
              <w:right w:val="single" w:sz="6" w:space="0" w:color="auto"/>
            </w:tcBorders>
            <w:hideMark/>
          </w:tcPr>
          <w:p w14:paraId="1CAD6678" w14:textId="77777777" w:rsidR="00FD2B58" w:rsidRPr="004030DB" w:rsidRDefault="00FD2B58" w:rsidP="00FD2B58">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val="en-GB" w:eastAsia="en-GB"/>
              </w:rPr>
              <w:t>1.85%</w:t>
            </w:r>
            <w:r w:rsidRPr="004030DB">
              <w:rPr>
                <w:rFonts w:ascii="Arial" w:eastAsia="Times New Roman" w:hAnsi="Arial" w:cs="Arial"/>
                <w:color w:val="D13438"/>
                <w:sz w:val="20"/>
                <w:szCs w:val="20"/>
                <w:lang w:val="en-GB" w:eastAsia="en-GB"/>
              </w:rPr>
              <w:t> </w:t>
            </w:r>
          </w:p>
        </w:tc>
      </w:tr>
      <w:tr w:rsidR="00FD2B58" w:rsidRPr="004030DB" w14:paraId="49144F80" w14:textId="77777777" w:rsidTr="00FD2B58">
        <w:trPr>
          <w:trHeight w:val="300"/>
        </w:trPr>
        <w:tc>
          <w:tcPr>
            <w:tcW w:w="5430" w:type="dxa"/>
            <w:tcBorders>
              <w:top w:val="single" w:sz="6" w:space="0" w:color="auto"/>
              <w:left w:val="single" w:sz="6" w:space="0" w:color="auto"/>
              <w:bottom w:val="single" w:sz="6" w:space="0" w:color="auto"/>
              <w:right w:val="single" w:sz="6" w:space="0" w:color="auto"/>
            </w:tcBorders>
            <w:hideMark/>
          </w:tcPr>
          <w:p w14:paraId="27966459"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Nursing and midwifery registered</w:t>
            </w:r>
            <w:r w:rsidRPr="004030DB">
              <w:rPr>
                <w:rFonts w:ascii="Arial" w:eastAsia="Times New Roman" w:hAnsi="Arial" w:cs="Arial"/>
                <w:color w:val="D13438"/>
                <w:sz w:val="20"/>
                <w:szCs w:val="20"/>
                <w:lang w:val="en-GB" w:eastAsia="en-GB"/>
              </w:rPr>
              <w:t> </w:t>
            </w:r>
          </w:p>
        </w:tc>
        <w:tc>
          <w:tcPr>
            <w:tcW w:w="1920" w:type="dxa"/>
            <w:tcBorders>
              <w:top w:val="single" w:sz="6" w:space="0" w:color="auto"/>
              <w:left w:val="single" w:sz="6" w:space="0" w:color="auto"/>
              <w:bottom w:val="single" w:sz="6" w:space="0" w:color="auto"/>
              <w:right w:val="single" w:sz="6" w:space="0" w:color="auto"/>
            </w:tcBorders>
            <w:hideMark/>
          </w:tcPr>
          <w:p w14:paraId="4F946B72" w14:textId="77777777" w:rsidR="00FD2B58" w:rsidRPr="004030DB" w:rsidRDefault="00FD2B58" w:rsidP="00FD2B58">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color w:val="000000"/>
                <w:sz w:val="20"/>
                <w:szCs w:val="20"/>
                <w:lang w:eastAsia="en-GB"/>
              </w:rPr>
              <w:t>5.33%</w:t>
            </w:r>
            <w:r w:rsidRPr="004030DB">
              <w:rPr>
                <w:rFonts w:ascii="Arial" w:eastAsia="Times New Roman" w:hAnsi="Arial" w:cs="Arial"/>
                <w:color w:val="000000"/>
                <w:sz w:val="20"/>
                <w:szCs w:val="20"/>
                <w:lang w:val="en-GB" w:eastAsia="en-GB"/>
              </w:rPr>
              <w:t> </w:t>
            </w:r>
          </w:p>
        </w:tc>
        <w:tc>
          <w:tcPr>
            <w:tcW w:w="1695" w:type="dxa"/>
            <w:tcBorders>
              <w:top w:val="single" w:sz="6" w:space="0" w:color="auto"/>
              <w:left w:val="single" w:sz="6" w:space="0" w:color="auto"/>
              <w:bottom w:val="single" w:sz="6" w:space="0" w:color="auto"/>
              <w:right w:val="single" w:sz="6" w:space="0" w:color="auto"/>
            </w:tcBorders>
            <w:hideMark/>
          </w:tcPr>
          <w:p w14:paraId="0BEAC856" w14:textId="77777777" w:rsidR="00FD2B58" w:rsidRPr="004030DB" w:rsidRDefault="00FD2B58" w:rsidP="00FD2B58">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val="en-GB" w:eastAsia="en-GB"/>
              </w:rPr>
              <w:t>4.64%</w:t>
            </w:r>
            <w:r w:rsidRPr="004030DB">
              <w:rPr>
                <w:rFonts w:ascii="Arial" w:eastAsia="Times New Roman" w:hAnsi="Arial" w:cs="Arial"/>
                <w:color w:val="D13438"/>
                <w:sz w:val="20"/>
                <w:szCs w:val="20"/>
                <w:lang w:val="en-GB" w:eastAsia="en-GB"/>
              </w:rPr>
              <w:t> </w:t>
            </w:r>
          </w:p>
        </w:tc>
      </w:tr>
      <w:tr w:rsidR="00FD2B58" w:rsidRPr="004030DB" w14:paraId="2ED3FD93" w14:textId="77777777" w:rsidTr="00FD2B58">
        <w:trPr>
          <w:trHeight w:val="300"/>
        </w:trPr>
        <w:tc>
          <w:tcPr>
            <w:tcW w:w="5430" w:type="dxa"/>
            <w:tcBorders>
              <w:top w:val="single" w:sz="6" w:space="0" w:color="auto"/>
              <w:left w:val="single" w:sz="6" w:space="0" w:color="auto"/>
              <w:bottom w:val="single" w:sz="6" w:space="0" w:color="auto"/>
              <w:right w:val="single" w:sz="6" w:space="0" w:color="auto"/>
            </w:tcBorders>
            <w:hideMark/>
          </w:tcPr>
          <w:p w14:paraId="2B3ACD8C"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Students</w:t>
            </w:r>
            <w:r w:rsidRPr="004030DB">
              <w:rPr>
                <w:rFonts w:ascii="Arial" w:eastAsia="Times New Roman" w:hAnsi="Arial" w:cs="Arial"/>
                <w:color w:val="D13438"/>
                <w:sz w:val="20"/>
                <w:szCs w:val="20"/>
                <w:lang w:val="en-GB" w:eastAsia="en-GB"/>
              </w:rPr>
              <w:t> </w:t>
            </w:r>
          </w:p>
        </w:tc>
        <w:tc>
          <w:tcPr>
            <w:tcW w:w="1920" w:type="dxa"/>
            <w:tcBorders>
              <w:top w:val="single" w:sz="6" w:space="0" w:color="auto"/>
              <w:left w:val="single" w:sz="6" w:space="0" w:color="auto"/>
              <w:bottom w:val="single" w:sz="6" w:space="0" w:color="auto"/>
              <w:right w:val="single" w:sz="6" w:space="0" w:color="auto"/>
            </w:tcBorders>
            <w:hideMark/>
          </w:tcPr>
          <w:p w14:paraId="09EC4ADB" w14:textId="77777777" w:rsidR="00FD2B58" w:rsidRPr="004030DB" w:rsidRDefault="00FD2B58" w:rsidP="00FD2B58">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eastAsia="en-GB"/>
              </w:rPr>
              <w:t>0.00%</w:t>
            </w:r>
            <w:r w:rsidRPr="004030DB">
              <w:rPr>
                <w:rFonts w:ascii="Arial" w:eastAsia="Times New Roman" w:hAnsi="Arial" w:cs="Arial"/>
                <w:color w:val="D13438"/>
                <w:sz w:val="20"/>
                <w:szCs w:val="20"/>
                <w:lang w:val="en-GB" w:eastAsia="en-GB"/>
              </w:rPr>
              <w:t> </w:t>
            </w:r>
          </w:p>
        </w:tc>
        <w:tc>
          <w:tcPr>
            <w:tcW w:w="1695" w:type="dxa"/>
            <w:tcBorders>
              <w:top w:val="single" w:sz="6" w:space="0" w:color="auto"/>
              <w:left w:val="single" w:sz="6" w:space="0" w:color="auto"/>
              <w:bottom w:val="single" w:sz="6" w:space="0" w:color="auto"/>
              <w:right w:val="single" w:sz="6" w:space="0" w:color="auto"/>
            </w:tcBorders>
            <w:hideMark/>
          </w:tcPr>
          <w:p w14:paraId="4900629D" w14:textId="77777777" w:rsidR="00FD2B58" w:rsidRPr="004030DB" w:rsidRDefault="00FD2B58" w:rsidP="00FD2B58">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val="en-GB" w:eastAsia="en-GB"/>
              </w:rPr>
              <w:t>0.00%</w:t>
            </w:r>
            <w:r w:rsidRPr="004030DB">
              <w:rPr>
                <w:rFonts w:ascii="Arial" w:eastAsia="Times New Roman" w:hAnsi="Arial" w:cs="Arial"/>
                <w:color w:val="D13438"/>
                <w:sz w:val="20"/>
                <w:szCs w:val="20"/>
                <w:lang w:val="en-GB" w:eastAsia="en-GB"/>
              </w:rPr>
              <w:t> </w:t>
            </w:r>
          </w:p>
        </w:tc>
      </w:tr>
      <w:tr w:rsidR="00FD2B58" w:rsidRPr="004030DB" w14:paraId="5FF288DB" w14:textId="77777777" w:rsidTr="00FD2B58">
        <w:trPr>
          <w:trHeight w:val="300"/>
        </w:trPr>
        <w:tc>
          <w:tcPr>
            <w:tcW w:w="5430" w:type="dxa"/>
            <w:tcBorders>
              <w:top w:val="single" w:sz="6" w:space="0" w:color="auto"/>
              <w:left w:val="single" w:sz="6" w:space="0" w:color="auto"/>
              <w:bottom w:val="single" w:sz="6" w:space="0" w:color="auto"/>
              <w:right w:val="single" w:sz="6" w:space="0" w:color="auto"/>
            </w:tcBorders>
            <w:hideMark/>
          </w:tcPr>
          <w:p w14:paraId="15B3B065"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Overall</w:t>
            </w:r>
            <w:r w:rsidRPr="004030DB">
              <w:rPr>
                <w:rFonts w:ascii="Arial" w:eastAsia="Times New Roman" w:hAnsi="Arial" w:cs="Arial"/>
                <w:color w:val="D13438"/>
                <w:sz w:val="20"/>
                <w:szCs w:val="20"/>
                <w:lang w:val="en-GB" w:eastAsia="en-GB"/>
              </w:rPr>
              <w:t> </w:t>
            </w:r>
          </w:p>
        </w:tc>
        <w:tc>
          <w:tcPr>
            <w:tcW w:w="1920" w:type="dxa"/>
            <w:tcBorders>
              <w:top w:val="single" w:sz="6" w:space="0" w:color="auto"/>
              <w:left w:val="single" w:sz="6" w:space="0" w:color="auto"/>
              <w:bottom w:val="single" w:sz="6" w:space="0" w:color="auto"/>
              <w:right w:val="single" w:sz="6" w:space="0" w:color="auto"/>
            </w:tcBorders>
            <w:hideMark/>
          </w:tcPr>
          <w:p w14:paraId="2982CAD0" w14:textId="77777777" w:rsidR="00FD2B58" w:rsidRPr="004030DB" w:rsidRDefault="00FD2B58" w:rsidP="00FD2B58">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eastAsia="en-GB"/>
              </w:rPr>
              <w:t>5.15%</w:t>
            </w:r>
            <w:r w:rsidRPr="004030DB">
              <w:rPr>
                <w:rFonts w:ascii="Arial" w:eastAsia="Times New Roman" w:hAnsi="Arial" w:cs="Arial"/>
                <w:color w:val="D13438"/>
                <w:sz w:val="20"/>
                <w:szCs w:val="20"/>
                <w:lang w:val="en-GB" w:eastAsia="en-GB"/>
              </w:rPr>
              <w:t> </w:t>
            </w:r>
          </w:p>
        </w:tc>
        <w:tc>
          <w:tcPr>
            <w:tcW w:w="1695" w:type="dxa"/>
            <w:tcBorders>
              <w:top w:val="single" w:sz="6" w:space="0" w:color="auto"/>
              <w:left w:val="single" w:sz="6" w:space="0" w:color="auto"/>
              <w:bottom w:val="single" w:sz="6" w:space="0" w:color="auto"/>
              <w:right w:val="single" w:sz="6" w:space="0" w:color="auto"/>
            </w:tcBorders>
            <w:hideMark/>
          </w:tcPr>
          <w:p w14:paraId="19AB6947" w14:textId="77777777" w:rsidR="00FD2B58" w:rsidRPr="004030DB" w:rsidRDefault="00FD2B58" w:rsidP="00FD2B58">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val="en-GB" w:eastAsia="en-GB"/>
              </w:rPr>
              <w:t>4.73%</w:t>
            </w:r>
            <w:r w:rsidRPr="004030DB">
              <w:rPr>
                <w:rFonts w:ascii="Arial" w:eastAsia="Times New Roman" w:hAnsi="Arial" w:cs="Arial"/>
                <w:color w:val="D13438"/>
                <w:sz w:val="20"/>
                <w:szCs w:val="20"/>
                <w:lang w:val="en-GB" w:eastAsia="en-GB"/>
              </w:rPr>
              <w:t> </w:t>
            </w:r>
          </w:p>
        </w:tc>
      </w:tr>
    </w:tbl>
    <w:p w14:paraId="76791F02" w14:textId="77777777" w:rsidR="00FD2B58" w:rsidRPr="004030DB" w:rsidRDefault="00FD2B58" w:rsidP="00FD2B58">
      <w:pPr>
        <w:widowControl/>
        <w:jc w:val="both"/>
        <w:textAlignment w:val="baseline"/>
        <w:rPr>
          <w:rFonts w:ascii="Segoe UI" w:eastAsia="Times New Roman" w:hAnsi="Segoe UI" w:cs="Segoe UI"/>
          <w:sz w:val="20"/>
          <w:szCs w:val="20"/>
          <w:lang w:val="en-GB" w:eastAsia="en-GB"/>
        </w:rPr>
      </w:pPr>
      <w:r w:rsidRPr="004030DB">
        <w:rPr>
          <w:rFonts w:ascii="Arial" w:eastAsia="Times New Roman" w:hAnsi="Arial" w:cs="Arial"/>
          <w:color w:val="D13438"/>
          <w:sz w:val="20"/>
          <w:szCs w:val="20"/>
          <w:lang w:val="en-GB" w:eastAsia="en-GB"/>
        </w:rPr>
        <w:t> </w:t>
      </w:r>
    </w:p>
    <w:p w14:paraId="1FA78DAF" w14:textId="77777777" w:rsidR="00FD2B58" w:rsidRPr="004030DB" w:rsidRDefault="00FD2B58" w:rsidP="00FD2B58">
      <w:pPr>
        <w:widowControl/>
        <w:jc w:val="both"/>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eastAsia="en-GB"/>
        </w:rPr>
        <w:t>The Trust is proactively managing sickness with improved reporting for managers, a policy to support and manage individuals with high sickness levels.</w:t>
      </w:r>
      <w:r w:rsidR="00C74C2C">
        <w:rPr>
          <w:rFonts w:ascii="Arial" w:eastAsia="Times New Roman" w:hAnsi="Arial" w:cs="Arial"/>
          <w:sz w:val="20"/>
          <w:szCs w:val="20"/>
          <w:lang w:eastAsia="en-GB"/>
        </w:rPr>
        <w:t xml:space="preserve">  </w:t>
      </w:r>
      <w:r w:rsidRPr="004030DB">
        <w:rPr>
          <w:rFonts w:ascii="Arial" w:eastAsia="Times New Roman" w:hAnsi="Arial" w:cs="Arial"/>
          <w:sz w:val="20"/>
          <w:szCs w:val="20"/>
          <w:lang w:eastAsia="en-GB"/>
        </w:rPr>
        <w:t>As part of keeping staff healthy and patient’s safe, the Trust achieved a staff flu vaccination rate of over 75% in 2023/24.  </w:t>
      </w:r>
      <w:r w:rsidRPr="004030DB">
        <w:rPr>
          <w:rFonts w:ascii="Arial" w:eastAsia="Times New Roman" w:hAnsi="Arial" w:cs="Arial"/>
          <w:color w:val="D13438"/>
          <w:sz w:val="20"/>
          <w:szCs w:val="20"/>
          <w:lang w:val="en-GB" w:eastAsia="en-GB"/>
        </w:rPr>
        <w:t> </w:t>
      </w:r>
    </w:p>
    <w:p w14:paraId="79F33316" w14:textId="77777777" w:rsidR="00FD2B58" w:rsidRPr="004030DB" w:rsidRDefault="00FD2B58" w:rsidP="00FD2B58">
      <w:pPr>
        <w:widowControl/>
        <w:jc w:val="both"/>
        <w:textAlignment w:val="baseline"/>
        <w:rPr>
          <w:rFonts w:ascii="Segoe UI" w:eastAsia="Times New Roman" w:hAnsi="Segoe UI" w:cs="Segoe UI"/>
          <w:sz w:val="20"/>
          <w:szCs w:val="20"/>
          <w:lang w:val="en-GB" w:eastAsia="en-GB"/>
        </w:rPr>
      </w:pPr>
      <w:r w:rsidRPr="004030DB">
        <w:rPr>
          <w:rFonts w:ascii="Arial" w:eastAsia="Times New Roman" w:hAnsi="Arial" w:cs="Arial"/>
          <w:color w:val="D13438"/>
          <w:sz w:val="20"/>
          <w:szCs w:val="20"/>
          <w:lang w:val="en-GB" w:eastAsia="en-GB"/>
        </w:rPr>
        <w:t> </w:t>
      </w:r>
    </w:p>
    <w:p w14:paraId="01FBBBE5" w14:textId="77777777" w:rsidR="00FD2B58" w:rsidRPr="004030DB" w:rsidRDefault="00FD2B58" w:rsidP="00FD2B58">
      <w:pPr>
        <w:widowControl/>
        <w:jc w:val="both"/>
        <w:textAlignment w:val="baseline"/>
        <w:rPr>
          <w:rFonts w:ascii="Segoe UI" w:eastAsia="Times New Roman" w:hAnsi="Segoe UI" w:cs="Segoe UI"/>
          <w:sz w:val="20"/>
          <w:szCs w:val="20"/>
          <w:lang w:val="en-GB" w:eastAsia="en-GB"/>
        </w:rPr>
      </w:pPr>
      <w:r w:rsidRPr="004030DB">
        <w:rPr>
          <w:rFonts w:ascii="Arial" w:eastAsia="Times New Roman" w:hAnsi="Arial" w:cs="Arial"/>
          <w:b/>
          <w:bCs/>
          <w:sz w:val="20"/>
          <w:szCs w:val="20"/>
          <w:lang w:val="en-GB" w:eastAsia="en-GB"/>
        </w:rPr>
        <w:t xml:space="preserve">National NHS Staff Survey 2024 </w:t>
      </w:r>
      <w:r w:rsidRPr="004030DB">
        <w:rPr>
          <w:rFonts w:ascii="Arial" w:eastAsia="Times New Roman" w:hAnsi="Arial" w:cs="Arial"/>
          <w:sz w:val="20"/>
          <w:szCs w:val="20"/>
          <w:lang w:val="en-GB" w:eastAsia="en-GB"/>
        </w:rPr>
        <w:t> </w:t>
      </w:r>
    </w:p>
    <w:p w14:paraId="3163FF0F" w14:textId="77777777" w:rsidR="00FD2B58" w:rsidRPr="004030DB" w:rsidRDefault="00FD2B58" w:rsidP="00FD2B58">
      <w:pPr>
        <w:widowControl/>
        <w:jc w:val="both"/>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val="en-GB" w:eastAsia="en-GB"/>
        </w:rPr>
        <w:t>The NHS staff survey is an annual, validated survey that provides a robust measure of employee experience. It enables reliable benchmark group comparisons and provides a trend view of longer-term cultural change requirements for organisations’ strategic priorities. </w:t>
      </w:r>
    </w:p>
    <w:p w14:paraId="643CA523" w14:textId="77777777" w:rsidR="00FD2B58" w:rsidRPr="004030DB" w:rsidRDefault="00FD2B58" w:rsidP="00FD2B58">
      <w:pPr>
        <w:widowControl/>
        <w:jc w:val="both"/>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The survey forms part of the national employee listening offering alongside the National Quarterly Pulse Survey together with local listening activities which together forms a rounded view of employee experience throughout the year. </w:t>
      </w:r>
    </w:p>
    <w:p w14:paraId="05981386" w14:textId="77777777" w:rsidR="00AC0BAB" w:rsidRPr="004030DB" w:rsidRDefault="00AC0BAB" w:rsidP="00FD2B58">
      <w:pPr>
        <w:widowControl/>
        <w:jc w:val="both"/>
        <w:textAlignment w:val="baseline"/>
        <w:rPr>
          <w:rFonts w:ascii="Segoe UI" w:eastAsia="Times New Roman" w:hAnsi="Segoe UI" w:cs="Segoe UI"/>
          <w:sz w:val="20"/>
          <w:szCs w:val="20"/>
          <w:lang w:val="en-GB" w:eastAsia="en-GB"/>
        </w:rPr>
      </w:pPr>
    </w:p>
    <w:p w14:paraId="3631AD0F" w14:textId="77777777" w:rsidR="00FD2B58" w:rsidRPr="004030DB" w:rsidRDefault="00FD2B58" w:rsidP="00FD2B58">
      <w:pPr>
        <w:widowControl/>
        <w:jc w:val="both"/>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The survey is aligned with the seven People Promise element and in itself is critical to the promise that we each have a voice that counts. Employee voice is a fundamental enabler for employee engagement. Alignment of the survey with the People Promise elements began in 2021 therefore the 2024 results offer a four-year trend. The Trust was benchmarked nationally against 122 Acute and Acute &amp; Community Trusts. </w:t>
      </w:r>
    </w:p>
    <w:p w14:paraId="2AC8E6D3" w14:textId="77777777" w:rsidR="00AC0BAB" w:rsidRPr="004030DB" w:rsidRDefault="00AC0BAB" w:rsidP="00FD2B58">
      <w:pPr>
        <w:widowControl/>
        <w:jc w:val="both"/>
        <w:textAlignment w:val="baseline"/>
        <w:rPr>
          <w:rFonts w:ascii="Segoe UI" w:eastAsia="Times New Roman" w:hAnsi="Segoe UI" w:cs="Segoe UI"/>
          <w:sz w:val="20"/>
          <w:szCs w:val="20"/>
          <w:lang w:val="en-GB" w:eastAsia="en-GB"/>
        </w:rPr>
      </w:pPr>
    </w:p>
    <w:p w14:paraId="784C0657" w14:textId="77777777" w:rsidR="00FD2B58" w:rsidRPr="004030DB" w:rsidRDefault="00FD2B58" w:rsidP="00FD2B58">
      <w:pPr>
        <w:widowControl/>
        <w:jc w:val="both"/>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val="en-GB" w:eastAsia="en-GB"/>
        </w:rPr>
        <w:t>Again for 2024, eligibility was extended to active, in-house, bank only workers last year (staff who do not have a substantive or fixed term contract with the organisation.  </w:t>
      </w:r>
    </w:p>
    <w:p w14:paraId="179C21B5" w14:textId="77777777" w:rsidR="00FD2B58" w:rsidRPr="004030DB" w:rsidRDefault="00FD2B58" w:rsidP="00FD2B58">
      <w:pPr>
        <w:widowControl/>
        <w:jc w:val="both"/>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val="en-GB" w:eastAsia="en-GB"/>
        </w:rPr>
        <w:t>The 2024 survey achieved a 46% response rate (2504 completed questionnaires) which is an increase of 8% from 2023. The national average response rate was 49%. Bank only staff completed the survey which achieved a 18.3% response rate (140 completed questionnaires). In total, 2,644 individual surveys were completed. The survey ran between 16 September and 29 November 2024.  </w:t>
      </w:r>
    </w:p>
    <w:p w14:paraId="5BC5D805" w14:textId="77777777" w:rsidR="00FD2B58" w:rsidRPr="004030DB" w:rsidRDefault="00FD2B58" w:rsidP="00FD2B58">
      <w:pPr>
        <w:widowControl/>
        <w:jc w:val="both"/>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val="en-GB" w:eastAsia="en-GB"/>
        </w:rPr>
        <w:t>Overall, the Trust has made improvements across 6 of the 7 People Promise elements and has achieved improved scores for both staff morale and staff engagement. </w:t>
      </w:r>
    </w:p>
    <w:p w14:paraId="4FFD2BA8" w14:textId="77777777" w:rsidR="00FD2B58" w:rsidRPr="004030DB" w:rsidRDefault="00FD2B58" w:rsidP="00FD2B58">
      <w:pPr>
        <w:widowControl/>
        <w:jc w:val="both"/>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val="en-GB" w:eastAsia="en-GB"/>
        </w:rPr>
        <w:t>The seven People Promises: </w:t>
      </w:r>
    </w:p>
    <w:p w14:paraId="3E809ED4" w14:textId="77777777" w:rsidR="00FD2B58" w:rsidRPr="004030DB" w:rsidRDefault="00FD2B58" w:rsidP="00FD2B58">
      <w:pPr>
        <w:widowControl/>
        <w:jc w:val="both"/>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val="en-GB" w:eastAsia="en-GB"/>
        </w:rPr>
        <w:t> </w:t>
      </w:r>
      <w:r w:rsidRPr="004030DB">
        <w:rPr>
          <w:rFonts w:ascii="Calibri" w:eastAsia="Times New Roman" w:hAnsi="Calibri" w:cs="Calibri"/>
          <w:sz w:val="20"/>
          <w:szCs w:val="20"/>
          <w:lang w:val="en-GB" w:eastAsia="en-GB"/>
        </w:rPr>
        <w:t> </w:t>
      </w:r>
    </w:p>
    <w:p w14:paraId="6759F9D7" w14:textId="77777777" w:rsidR="00FD2B58" w:rsidRPr="004030DB" w:rsidRDefault="00FD2B58" w:rsidP="00FD2B58">
      <w:pPr>
        <w:widowControl/>
        <w:jc w:val="both"/>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Our target as a Trust (our True North objective) is to move our staff engagement score to the upper quartile of national results by 2025, which is a score of 6.9. The Staff Engagement score was 6.74 for 2024, this has increased by 0.09 since 2023 and moves the Trust into the next quartile.  </w:t>
      </w:r>
    </w:p>
    <w:p w14:paraId="01D28A3F" w14:textId="77777777" w:rsidR="00FD2B58" w:rsidRPr="004030DB" w:rsidRDefault="00C74C2C" w:rsidP="00FD2B58">
      <w:pPr>
        <w:widowControl/>
        <w:jc w:val="both"/>
        <w:textAlignment w:val="baseline"/>
        <w:rPr>
          <w:rFonts w:ascii="Arial" w:eastAsia="Times New Roman" w:hAnsi="Arial" w:cs="Arial"/>
          <w:sz w:val="20"/>
          <w:szCs w:val="20"/>
          <w:lang w:val="en-GB" w:eastAsia="en-GB"/>
        </w:rPr>
      </w:pPr>
      <w:r w:rsidRPr="004030DB">
        <w:rPr>
          <w:rFonts w:ascii="Arial" w:hAnsi="Arial" w:cs="Arial"/>
          <w:b/>
          <w:noProof/>
          <w:color w:val="FF0000"/>
          <w:sz w:val="20"/>
          <w:szCs w:val="20"/>
          <w:lang w:val="en-GB"/>
        </w:rPr>
        <w:lastRenderedPageBreak/>
        <w:drawing>
          <wp:anchor distT="0" distB="0" distL="114300" distR="114300" simplePos="0" relativeHeight="251825152" behindDoc="0" locked="0" layoutInCell="1" allowOverlap="1" wp14:anchorId="7D402207" wp14:editId="206664F3">
            <wp:simplePos x="0" y="0"/>
            <wp:positionH relativeFrom="column">
              <wp:posOffset>37465</wp:posOffset>
            </wp:positionH>
            <wp:positionV relativeFrom="page">
              <wp:posOffset>9081909</wp:posOffset>
            </wp:positionV>
            <wp:extent cx="5542915" cy="1164590"/>
            <wp:effectExtent l="0" t="0" r="635" b="0"/>
            <wp:wrapSquare wrapText="bothSides"/>
            <wp:docPr id="1" name="Picture 1" descr="This is an illustrated version of the seven People Promise as detailed in the body of the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a.Almond\AppData\Local\Microsoft\Windows\INetCache\Content.MSO\BA6954BA.tm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42915" cy="1164590"/>
                    </a:xfrm>
                    <a:prstGeom prst="rect">
                      <a:avLst/>
                    </a:prstGeom>
                    <a:noFill/>
                    <a:ln>
                      <a:noFill/>
                    </a:ln>
                  </pic:spPr>
                </pic:pic>
              </a:graphicData>
            </a:graphic>
            <wp14:sizeRelH relativeFrom="page">
              <wp14:pctWidth>0</wp14:pctWidth>
            </wp14:sizeRelH>
            <wp14:sizeRelV relativeFrom="page">
              <wp14:pctHeight>0</wp14:pctHeight>
            </wp14:sizeRelV>
          </wp:anchor>
        </w:drawing>
      </w:r>
      <w:r w:rsidR="00FD2B58" w:rsidRPr="004030DB">
        <w:rPr>
          <w:rFonts w:ascii="Arial" w:eastAsia="Times New Roman" w:hAnsi="Arial" w:cs="Arial"/>
          <w:sz w:val="20"/>
          <w:szCs w:val="20"/>
          <w:lang w:val="en-GB" w:eastAsia="en-GB"/>
        </w:rPr>
        <w:t>The Staff Morale score was 5.81 for 2024 and has improved by 0.17 since 2023. </w:t>
      </w:r>
    </w:p>
    <w:p w14:paraId="050E3DE6" w14:textId="77777777" w:rsidR="00FD2B58" w:rsidRPr="004030DB" w:rsidRDefault="00FD2B58" w:rsidP="00FD2B58">
      <w:pPr>
        <w:widowControl/>
        <w:jc w:val="both"/>
        <w:textAlignment w:val="baseline"/>
        <w:rPr>
          <w:rFonts w:ascii="Arial" w:eastAsia="Times New Roman" w:hAnsi="Arial" w:cs="Arial"/>
          <w:sz w:val="20"/>
          <w:szCs w:val="20"/>
          <w:lang w:val="en-GB" w:eastAsia="en-GB"/>
        </w:rPr>
      </w:pPr>
    </w:p>
    <w:p w14:paraId="0E695E14" w14:textId="77777777" w:rsidR="00FD2B58" w:rsidRPr="004030DB" w:rsidRDefault="00FD2B58" w:rsidP="00FD2B58">
      <w:pPr>
        <w:widowControl/>
        <w:jc w:val="both"/>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The theme indicator scores are based on a score out of 10 for certain questions with the indicator score being the average of those. Scores for each indicator together with that of the survey benchmarking group (acute) are presented below. </w:t>
      </w:r>
    </w:p>
    <w:p w14:paraId="7B4ACE3D" w14:textId="77777777" w:rsidR="00FD2B58" w:rsidRPr="004030DB" w:rsidRDefault="00FD2B58" w:rsidP="00FD2B58">
      <w:pPr>
        <w:widowControl/>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val="en-GB"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85"/>
        <w:gridCol w:w="1429"/>
        <w:gridCol w:w="1629"/>
        <w:gridCol w:w="1147"/>
        <w:gridCol w:w="1920"/>
      </w:tblGrid>
      <w:tr w:rsidR="00FD2B58" w:rsidRPr="004030DB" w14:paraId="0EC7AAAC" w14:textId="77777777" w:rsidTr="00FD2B58">
        <w:trPr>
          <w:trHeight w:val="300"/>
        </w:trPr>
        <w:tc>
          <w:tcPr>
            <w:tcW w:w="3090" w:type="dxa"/>
            <w:tcBorders>
              <w:top w:val="single" w:sz="6" w:space="0" w:color="auto"/>
              <w:left w:val="single" w:sz="6" w:space="0" w:color="auto"/>
              <w:bottom w:val="single" w:sz="6" w:space="0" w:color="auto"/>
              <w:right w:val="single" w:sz="6" w:space="0" w:color="auto"/>
            </w:tcBorders>
            <w:hideMark/>
          </w:tcPr>
          <w:p w14:paraId="7FD6F8D3" w14:textId="77777777" w:rsidR="00FD2B58" w:rsidRPr="004030DB" w:rsidRDefault="00FD2B58" w:rsidP="00FD2B58">
            <w:pPr>
              <w:widowControl/>
              <w:textAlignment w:val="baseline"/>
              <w:rPr>
                <w:rFonts w:ascii="Arial" w:eastAsia="Times New Roman" w:hAnsi="Arial" w:cs="Arial"/>
                <w:b/>
                <w:bCs/>
                <w:caps/>
                <w:sz w:val="20"/>
                <w:szCs w:val="20"/>
                <w:lang w:val="en-GB" w:eastAsia="en-GB"/>
              </w:rPr>
            </w:pPr>
            <w:r w:rsidRPr="004030DB">
              <w:rPr>
                <w:rFonts w:ascii="Arial" w:eastAsia="Times New Roman" w:hAnsi="Arial" w:cs="Arial"/>
                <w:b/>
                <w:bCs/>
                <w:caps/>
                <w:sz w:val="20"/>
                <w:szCs w:val="20"/>
                <w:lang w:eastAsia="en-GB"/>
              </w:rPr>
              <w:t>People Promise</w:t>
            </w:r>
            <w:r w:rsidRPr="004030DB">
              <w:rPr>
                <w:rFonts w:ascii="Arial" w:eastAsia="Times New Roman" w:hAnsi="Arial" w:cs="Arial"/>
                <w:b/>
                <w:bCs/>
                <w:caps/>
                <w:sz w:val="20"/>
                <w:szCs w:val="20"/>
                <w:lang w:val="en-GB" w:eastAsia="en-GB"/>
              </w:rPr>
              <w:t> </w:t>
            </w:r>
          </w:p>
        </w:tc>
        <w:tc>
          <w:tcPr>
            <w:tcW w:w="1485" w:type="dxa"/>
            <w:tcBorders>
              <w:top w:val="single" w:sz="6" w:space="0" w:color="auto"/>
              <w:left w:val="single" w:sz="6" w:space="0" w:color="auto"/>
              <w:bottom w:val="single" w:sz="6" w:space="0" w:color="auto"/>
              <w:right w:val="single" w:sz="6" w:space="0" w:color="auto"/>
            </w:tcBorders>
            <w:hideMark/>
          </w:tcPr>
          <w:p w14:paraId="7514A638" w14:textId="77777777" w:rsidR="00FD2B58" w:rsidRPr="004030DB" w:rsidRDefault="00FD2B58" w:rsidP="00FD2B58">
            <w:pPr>
              <w:widowControl/>
              <w:textAlignment w:val="baseline"/>
              <w:rPr>
                <w:rFonts w:ascii="Arial" w:eastAsia="Times New Roman" w:hAnsi="Arial" w:cs="Arial"/>
                <w:b/>
                <w:bCs/>
                <w:caps/>
                <w:sz w:val="20"/>
                <w:szCs w:val="20"/>
                <w:lang w:val="en-GB" w:eastAsia="en-GB"/>
              </w:rPr>
            </w:pPr>
            <w:r w:rsidRPr="004030DB">
              <w:rPr>
                <w:rFonts w:ascii="Arial" w:eastAsia="Times New Roman" w:hAnsi="Arial" w:cs="Arial"/>
                <w:b/>
                <w:bCs/>
                <w:caps/>
                <w:sz w:val="20"/>
                <w:szCs w:val="20"/>
                <w:lang w:eastAsia="en-GB"/>
              </w:rPr>
              <w:t>2023 score</w:t>
            </w:r>
            <w:r w:rsidRPr="004030DB">
              <w:rPr>
                <w:rFonts w:ascii="Arial" w:eastAsia="Times New Roman" w:hAnsi="Arial" w:cs="Arial"/>
                <w:b/>
                <w:bCs/>
                <w:caps/>
                <w:sz w:val="20"/>
                <w:szCs w:val="20"/>
                <w:lang w:val="en-GB" w:eastAsia="en-GB"/>
              </w:rPr>
              <w:t> </w:t>
            </w:r>
          </w:p>
        </w:tc>
        <w:tc>
          <w:tcPr>
            <w:tcW w:w="1635" w:type="dxa"/>
            <w:tcBorders>
              <w:top w:val="single" w:sz="6" w:space="0" w:color="auto"/>
              <w:left w:val="single" w:sz="6" w:space="0" w:color="auto"/>
              <w:bottom w:val="single" w:sz="6" w:space="0" w:color="auto"/>
              <w:right w:val="single" w:sz="6" w:space="0" w:color="auto"/>
            </w:tcBorders>
            <w:hideMark/>
          </w:tcPr>
          <w:p w14:paraId="34399E04" w14:textId="77777777" w:rsidR="00FD2B58" w:rsidRPr="004030DB" w:rsidRDefault="00FD2B58" w:rsidP="00FD2B58">
            <w:pPr>
              <w:widowControl/>
              <w:textAlignment w:val="baseline"/>
              <w:rPr>
                <w:rFonts w:ascii="Arial" w:eastAsia="Times New Roman" w:hAnsi="Arial" w:cs="Arial"/>
                <w:b/>
                <w:bCs/>
                <w:caps/>
                <w:sz w:val="20"/>
                <w:szCs w:val="20"/>
                <w:lang w:val="en-GB" w:eastAsia="en-GB"/>
              </w:rPr>
            </w:pPr>
            <w:r w:rsidRPr="004030DB">
              <w:rPr>
                <w:rFonts w:ascii="Arial" w:eastAsia="Times New Roman" w:hAnsi="Arial" w:cs="Arial"/>
                <w:b/>
                <w:bCs/>
                <w:caps/>
                <w:sz w:val="20"/>
                <w:szCs w:val="20"/>
                <w:lang w:eastAsia="en-GB"/>
              </w:rPr>
              <w:t>2023 respondents</w:t>
            </w:r>
            <w:r w:rsidRPr="004030DB">
              <w:rPr>
                <w:rFonts w:ascii="Arial" w:eastAsia="Times New Roman" w:hAnsi="Arial" w:cs="Arial"/>
                <w:b/>
                <w:bCs/>
                <w:caps/>
                <w:sz w:val="20"/>
                <w:szCs w:val="20"/>
                <w:lang w:val="en-GB" w:eastAsia="en-GB"/>
              </w:rPr>
              <w:t> </w:t>
            </w:r>
          </w:p>
        </w:tc>
        <w:tc>
          <w:tcPr>
            <w:tcW w:w="1215" w:type="dxa"/>
            <w:tcBorders>
              <w:top w:val="single" w:sz="6" w:space="0" w:color="auto"/>
              <w:left w:val="single" w:sz="6" w:space="0" w:color="auto"/>
              <w:bottom w:val="single" w:sz="6" w:space="0" w:color="auto"/>
              <w:right w:val="single" w:sz="6" w:space="0" w:color="auto"/>
            </w:tcBorders>
            <w:hideMark/>
          </w:tcPr>
          <w:p w14:paraId="216FDA0B" w14:textId="77777777" w:rsidR="00FD2B58" w:rsidRPr="004030DB" w:rsidRDefault="00FD2B58" w:rsidP="00FD2B58">
            <w:pPr>
              <w:widowControl/>
              <w:textAlignment w:val="baseline"/>
              <w:rPr>
                <w:rFonts w:ascii="Arial" w:eastAsia="Times New Roman" w:hAnsi="Arial" w:cs="Arial"/>
                <w:b/>
                <w:bCs/>
                <w:caps/>
                <w:sz w:val="20"/>
                <w:szCs w:val="20"/>
                <w:lang w:val="en-GB" w:eastAsia="en-GB"/>
              </w:rPr>
            </w:pPr>
            <w:r w:rsidRPr="004030DB">
              <w:rPr>
                <w:rFonts w:ascii="Arial" w:eastAsia="Times New Roman" w:hAnsi="Arial" w:cs="Arial"/>
                <w:b/>
                <w:bCs/>
                <w:caps/>
                <w:sz w:val="20"/>
                <w:szCs w:val="20"/>
                <w:lang w:eastAsia="en-GB"/>
              </w:rPr>
              <w:t>2024 score</w:t>
            </w:r>
            <w:r w:rsidRPr="004030DB">
              <w:rPr>
                <w:rFonts w:ascii="Arial" w:eastAsia="Times New Roman" w:hAnsi="Arial" w:cs="Arial"/>
                <w:b/>
                <w:bCs/>
                <w:caps/>
                <w:sz w:val="20"/>
                <w:szCs w:val="20"/>
                <w:lang w:val="en-GB" w:eastAsia="en-GB"/>
              </w:rPr>
              <w:t> </w:t>
            </w:r>
          </w:p>
        </w:tc>
        <w:tc>
          <w:tcPr>
            <w:tcW w:w="1980" w:type="dxa"/>
            <w:tcBorders>
              <w:top w:val="single" w:sz="6" w:space="0" w:color="auto"/>
              <w:left w:val="single" w:sz="6" w:space="0" w:color="auto"/>
              <w:bottom w:val="single" w:sz="6" w:space="0" w:color="auto"/>
              <w:right w:val="single" w:sz="6" w:space="0" w:color="auto"/>
            </w:tcBorders>
            <w:hideMark/>
          </w:tcPr>
          <w:p w14:paraId="5B0CA2A0" w14:textId="77777777" w:rsidR="00FD2B58" w:rsidRPr="004030DB" w:rsidRDefault="00FD2B58" w:rsidP="00FD2B58">
            <w:pPr>
              <w:widowControl/>
              <w:textAlignment w:val="baseline"/>
              <w:rPr>
                <w:rFonts w:ascii="Arial" w:eastAsia="Times New Roman" w:hAnsi="Arial" w:cs="Arial"/>
                <w:b/>
                <w:bCs/>
                <w:caps/>
                <w:sz w:val="20"/>
                <w:szCs w:val="20"/>
                <w:lang w:val="en-GB" w:eastAsia="en-GB"/>
              </w:rPr>
            </w:pPr>
            <w:r w:rsidRPr="004030DB">
              <w:rPr>
                <w:rFonts w:ascii="Arial" w:eastAsia="Times New Roman" w:hAnsi="Arial" w:cs="Arial"/>
                <w:b/>
                <w:bCs/>
                <w:caps/>
                <w:sz w:val="20"/>
                <w:szCs w:val="20"/>
                <w:lang w:eastAsia="en-GB"/>
              </w:rPr>
              <w:t>2024 respondents</w:t>
            </w:r>
            <w:r w:rsidRPr="004030DB">
              <w:rPr>
                <w:rFonts w:ascii="Arial" w:eastAsia="Times New Roman" w:hAnsi="Arial" w:cs="Arial"/>
                <w:b/>
                <w:bCs/>
                <w:caps/>
                <w:sz w:val="20"/>
                <w:szCs w:val="20"/>
                <w:lang w:val="en-GB" w:eastAsia="en-GB"/>
              </w:rPr>
              <w:t> </w:t>
            </w:r>
          </w:p>
        </w:tc>
      </w:tr>
      <w:tr w:rsidR="00FD2B58" w:rsidRPr="004030DB" w14:paraId="686DAE92" w14:textId="77777777" w:rsidTr="00FD2B58">
        <w:trPr>
          <w:trHeight w:val="300"/>
        </w:trPr>
        <w:tc>
          <w:tcPr>
            <w:tcW w:w="3090" w:type="dxa"/>
            <w:tcBorders>
              <w:top w:val="single" w:sz="6" w:space="0" w:color="auto"/>
              <w:left w:val="single" w:sz="6" w:space="0" w:color="auto"/>
              <w:bottom w:val="single" w:sz="6" w:space="0" w:color="auto"/>
              <w:right w:val="single" w:sz="6" w:space="0" w:color="auto"/>
            </w:tcBorders>
            <w:shd w:val="clear" w:color="auto" w:fill="F2F2F2"/>
            <w:hideMark/>
          </w:tcPr>
          <w:p w14:paraId="1CEB3418" w14:textId="77777777" w:rsidR="00FD2B58" w:rsidRPr="004030DB" w:rsidRDefault="00FD2B58" w:rsidP="00FD2B58">
            <w:pPr>
              <w:widowControl/>
              <w:textAlignment w:val="baseline"/>
              <w:rPr>
                <w:rFonts w:ascii="Arial" w:eastAsia="Times New Roman" w:hAnsi="Arial" w:cs="Arial"/>
                <w:b/>
                <w:bCs/>
                <w:caps/>
                <w:sz w:val="20"/>
                <w:szCs w:val="20"/>
                <w:lang w:val="en-GB" w:eastAsia="en-GB"/>
              </w:rPr>
            </w:pPr>
            <w:r w:rsidRPr="004030DB">
              <w:rPr>
                <w:rFonts w:ascii="Arial" w:eastAsia="Times New Roman" w:hAnsi="Arial" w:cs="Arial"/>
                <w:b/>
                <w:bCs/>
                <w:caps/>
                <w:sz w:val="20"/>
                <w:szCs w:val="20"/>
                <w:lang w:eastAsia="en-GB"/>
              </w:rPr>
              <w:t>We are compassionate and inclusive</w:t>
            </w:r>
            <w:r w:rsidRPr="004030DB">
              <w:rPr>
                <w:rFonts w:ascii="Arial" w:eastAsia="Times New Roman" w:hAnsi="Arial" w:cs="Arial"/>
                <w:b/>
                <w:bCs/>
                <w:caps/>
                <w:sz w:val="20"/>
                <w:szCs w:val="20"/>
                <w:lang w:val="en-GB" w:eastAsia="en-GB"/>
              </w:rPr>
              <w:t> </w:t>
            </w:r>
          </w:p>
        </w:tc>
        <w:tc>
          <w:tcPr>
            <w:tcW w:w="1485" w:type="dxa"/>
            <w:tcBorders>
              <w:top w:val="single" w:sz="6" w:space="0" w:color="auto"/>
              <w:left w:val="single" w:sz="6" w:space="0" w:color="auto"/>
              <w:bottom w:val="single" w:sz="6" w:space="0" w:color="auto"/>
              <w:right w:val="single" w:sz="6" w:space="0" w:color="auto"/>
            </w:tcBorders>
            <w:shd w:val="clear" w:color="auto" w:fill="F2F2F2"/>
            <w:hideMark/>
          </w:tcPr>
          <w:p w14:paraId="063A4B9F"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7.0</w:t>
            </w:r>
            <w:r w:rsidRPr="004030DB">
              <w:rPr>
                <w:rFonts w:ascii="Arial" w:eastAsia="Times New Roman" w:hAnsi="Arial" w:cs="Arial"/>
                <w:sz w:val="20"/>
                <w:szCs w:val="20"/>
                <w:lang w:val="en-GB" w:eastAsia="en-GB"/>
              </w:rPr>
              <w:t> </w:t>
            </w:r>
          </w:p>
        </w:tc>
        <w:tc>
          <w:tcPr>
            <w:tcW w:w="1635" w:type="dxa"/>
            <w:tcBorders>
              <w:top w:val="single" w:sz="6" w:space="0" w:color="auto"/>
              <w:left w:val="single" w:sz="6" w:space="0" w:color="auto"/>
              <w:bottom w:val="single" w:sz="6" w:space="0" w:color="auto"/>
              <w:right w:val="single" w:sz="6" w:space="0" w:color="auto"/>
            </w:tcBorders>
            <w:shd w:val="clear" w:color="auto" w:fill="F2F2F2"/>
            <w:hideMark/>
          </w:tcPr>
          <w:p w14:paraId="0573D082"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1934</w:t>
            </w:r>
            <w:r w:rsidRPr="004030DB">
              <w:rPr>
                <w:rFonts w:ascii="Arial" w:eastAsia="Times New Roman" w:hAnsi="Arial" w:cs="Arial"/>
                <w:sz w:val="20"/>
                <w:szCs w:val="20"/>
                <w:lang w:val="en-GB" w:eastAsia="en-GB"/>
              </w:rPr>
              <w:t> </w:t>
            </w:r>
          </w:p>
        </w:tc>
        <w:tc>
          <w:tcPr>
            <w:tcW w:w="1215" w:type="dxa"/>
            <w:tcBorders>
              <w:top w:val="single" w:sz="6" w:space="0" w:color="auto"/>
              <w:left w:val="single" w:sz="6" w:space="0" w:color="auto"/>
              <w:bottom w:val="single" w:sz="6" w:space="0" w:color="auto"/>
              <w:right w:val="single" w:sz="6" w:space="0" w:color="auto"/>
            </w:tcBorders>
            <w:shd w:val="clear" w:color="auto" w:fill="F2F2F2"/>
            <w:hideMark/>
          </w:tcPr>
          <w:p w14:paraId="4712B21D"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7.05</w:t>
            </w:r>
            <w:r w:rsidRPr="004030DB">
              <w:rPr>
                <w:rFonts w:ascii="Arial" w:eastAsia="Times New Roman" w:hAnsi="Arial" w:cs="Arial"/>
                <w:sz w:val="20"/>
                <w:szCs w:val="20"/>
                <w:lang w:val="en-GB" w:eastAsia="en-GB"/>
              </w:rPr>
              <w:t> </w:t>
            </w:r>
          </w:p>
        </w:tc>
        <w:tc>
          <w:tcPr>
            <w:tcW w:w="1980" w:type="dxa"/>
            <w:tcBorders>
              <w:top w:val="single" w:sz="6" w:space="0" w:color="auto"/>
              <w:left w:val="single" w:sz="6" w:space="0" w:color="auto"/>
              <w:bottom w:val="single" w:sz="6" w:space="0" w:color="auto"/>
              <w:right w:val="single" w:sz="6" w:space="0" w:color="auto"/>
            </w:tcBorders>
            <w:shd w:val="clear" w:color="auto" w:fill="F2F2F2"/>
            <w:hideMark/>
          </w:tcPr>
          <w:p w14:paraId="3347E6CA"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2495</w:t>
            </w:r>
            <w:r w:rsidRPr="004030DB">
              <w:rPr>
                <w:rFonts w:ascii="Arial" w:eastAsia="Times New Roman" w:hAnsi="Arial" w:cs="Arial"/>
                <w:sz w:val="20"/>
                <w:szCs w:val="20"/>
                <w:lang w:val="en-GB" w:eastAsia="en-GB"/>
              </w:rPr>
              <w:t> </w:t>
            </w:r>
          </w:p>
        </w:tc>
      </w:tr>
      <w:tr w:rsidR="00FD2B58" w:rsidRPr="004030DB" w14:paraId="0D59C598" w14:textId="77777777" w:rsidTr="00FD2B58">
        <w:trPr>
          <w:trHeight w:val="300"/>
        </w:trPr>
        <w:tc>
          <w:tcPr>
            <w:tcW w:w="3090" w:type="dxa"/>
            <w:tcBorders>
              <w:top w:val="single" w:sz="6" w:space="0" w:color="auto"/>
              <w:left w:val="single" w:sz="6" w:space="0" w:color="auto"/>
              <w:bottom w:val="single" w:sz="6" w:space="0" w:color="auto"/>
              <w:right w:val="single" w:sz="6" w:space="0" w:color="auto"/>
            </w:tcBorders>
            <w:hideMark/>
          </w:tcPr>
          <w:p w14:paraId="52CEF30D" w14:textId="77777777" w:rsidR="00FD2B58" w:rsidRPr="004030DB" w:rsidRDefault="00FD2B58" w:rsidP="00FD2B58">
            <w:pPr>
              <w:widowControl/>
              <w:textAlignment w:val="baseline"/>
              <w:rPr>
                <w:rFonts w:ascii="Arial" w:eastAsia="Times New Roman" w:hAnsi="Arial" w:cs="Arial"/>
                <w:b/>
                <w:bCs/>
                <w:caps/>
                <w:sz w:val="20"/>
                <w:szCs w:val="20"/>
                <w:lang w:val="en-GB" w:eastAsia="en-GB"/>
              </w:rPr>
            </w:pPr>
            <w:r w:rsidRPr="004030DB">
              <w:rPr>
                <w:rFonts w:ascii="Arial" w:eastAsia="Times New Roman" w:hAnsi="Arial" w:cs="Arial"/>
                <w:b/>
                <w:bCs/>
                <w:caps/>
                <w:sz w:val="20"/>
                <w:szCs w:val="20"/>
                <w:lang w:eastAsia="en-GB"/>
              </w:rPr>
              <w:t>We are recognised and rewarded</w:t>
            </w:r>
            <w:r w:rsidRPr="004030DB">
              <w:rPr>
                <w:rFonts w:ascii="Arial" w:eastAsia="Times New Roman" w:hAnsi="Arial" w:cs="Arial"/>
                <w:b/>
                <w:bCs/>
                <w:caps/>
                <w:sz w:val="20"/>
                <w:szCs w:val="20"/>
                <w:lang w:val="en-GB" w:eastAsia="en-GB"/>
              </w:rPr>
              <w:t> </w:t>
            </w:r>
          </w:p>
        </w:tc>
        <w:tc>
          <w:tcPr>
            <w:tcW w:w="1485" w:type="dxa"/>
            <w:tcBorders>
              <w:top w:val="single" w:sz="6" w:space="0" w:color="auto"/>
              <w:left w:val="single" w:sz="6" w:space="0" w:color="auto"/>
              <w:bottom w:val="single" w:sz="6" w:space="0" w:color="auto"/>
              <w:right w:val="single" w:sz="6" w:space="0" w:color="auto"/>
            </w:tcBorders>
            <w:hideMark/>
          </w:tcPr>
          <w:p w14:paraId="684F15A8"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5.7</w:t>
            </w:r>
            <w:r w:rsidRPr="004030DB">
              <w:rPr>
                <w:rFonts w:ascii="Arial" w:eastAsia="Times New Roman" w:hAnsi="Arial" w:cs="Arial"/>
                <w:sz w:val="20"/>
                <w:szCs w:val="20"/>
                <w:lang w:val="en-GB" w:eastAsia="en-GB"/>
              </w:rPr>
              <w:t> </w:t>
            </w:r>
          </w:p>
        </w:tc>
        <w:tc>
          <w:tcPr>
            <w:tcW w:w="1635" w:type="dxa"/>
            <w:tcBorders>
              <w:top w:val="single" w:sz="6" w:space="0" w:color="auto"/>
              <w:left w:val="single" w:sz="6" w:space="0" w:color="auto"/>
              <w:bottom w:val="single" w:sz="6" w:space="0" w:color="auto"/>
              <w:right w:val="single" w:sz="6" w:space="0" w:color="auto"/>
            </w:tcBorders>
            <w:hideMark/>
          </w:tcPr>
          <w:p w14:paraId="3CFEC95D"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1939</w:t>
            </w:r>
            <w:r w:rsidRPr="004030DB">
              <w:rPr>
                <w:rFonts w:ascii="Arial" w:eastAsia="Times New Roman" w:hAnsi="Arial" w:cs="Arial"/>
                <w:sz w:val="20"/>
                <w:szCs w:val="20"/>
                <w:lang w:val="en-GB" w:eastAsia="en-GB"/>
              </w:rPr>
              <w:t> </w:t>
            </w:r>
          </w:p>
        </w:tc>
        <w:tc>
          <w:tcPr>
            <w:tcW w:w="1215" w:type="dxa"/>
            <w:tcBorders>
              <w:top w:val="single" w:sz="6" w:space="0" w:color="auto"/>
              <w:left w:val="single" w:sz="6" w:space="0" w:color="auto"/>
              <w:bottom w:val="single" w:sz="6" w:space="0" w:color="auto"/>
              <w:right w:val="single" w:sz="6" w:space="0" w:color="auto"/>
            </w:tcBorders>
            <w:hideMark/>
          </w:tcPr>
          <w:p w14:paraId="157FCDE1"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5.74</w:t>
            </w:r>
            <w:r w:rsidRPr="004030DB">
              <w:rPr>
                <w:rFonts w:ascii="Arial" w:eastAsia="Times New Roman" w:hAnsi="Arial" w:cs="Arial"/>
                <w:sz w:val="20"/>
                <w:szCs w:val="20"/>
                <w:lang w:val="en-GB" w:eastAsia="en-GB"/>
              </w:rPr>
              <w:t> </w:t>
            </w:r>
          </w:p>
        </w:tc>
        <w:tc>
          <w:tcPr>
            <w:tcW w:w="1980" w:type="dxa"/>
            <w:tcBorders>
              <w:top w:val="single" w:sz="6" w:space="0" w:color="auto"/>
              <w:left w:val="single" w:sz="6" w:space="0" w:color="auto"/>
              <w:bottom w:val="single" w:sz="6" w:space="0" w:color="auto"/>
              <w:right w:val="single" w:sz="6" w:space="0" w:color="auto"/>
            </w:tcBorders>
            <w:hideMark/>
          </w:tcPr>
          <w:p w14:paraId="6309E317"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2490</w:t>
            </w:r>
            <w:r w:rsidRPr="004030DB">
              <w:rPr>
                <w:rFonts w:ascii="Arial" w:eastAsia="Times New Roman" w:hAnsi="Arial" w:cs="Arial"/>
                <w:sz w:val="20"/>
                <w:szCs w:val="20"/>
                <w:lang w:val="en-GB" w:eastAsia="en-GB"/>
              </w:rPr>
              <w:t> </w:t>
            </w:r>
          </w:p>
        </w:tc>
      </w:tr>
      <w:tr w:rsidR="00FD2B58" w:rsidRPr="004030DB" w14:paraId="0BC1BD13" w14:textId="77777777" w:rsidTr="00FD2B58">
        <w:trPr>
          <w:trHeight w:val="300"/>
        </w:trPr>
        <w:tc>
          <w:tcPr>
            <w:tcW w:w="3090" w:type="dxa"/>
            <w:tcBorders>
              <w:top w:val="single" w:sz="6" w:space="0" w:color="auto"/>
              <w:left w:val="single" w:sz="6" w:space="0" w:color="auto"/>
              <w:bottom w:val="single" w:sz="6" w:space="0" w:color="auto"/>
              <w:right w:val="single" w:sz="6" w:space="0" w:color="auto"/>
            </w:tcBorders>
            <w:shd w:val="clear" w:color="auto" w:fill="F2F2F2"/>
            <w:hideMark/>
          </w:tcPr>
          <w:p w14:paraId="47FE22B3" w14:textId="77777777" w:rsidR="00FD2B58" w:rsidRPr="004030DB" w:rsidRDefault="00FD2B58" w:rsidP="00FD2B58">
            <w:pPr>
              <w:widowControl/>
              <w:textAlignment w:val="baseline"/>
              <w:rPr>
                <w:rFonts w:ascii="Arial" w:eastAsia="Times New Roman" w:hAnsi="Arial" w:cs="Arial"/>
                <w:b/>
                <w:bCs/>
                <w:caps/>
                <w:sz w:val="20"/>
                <w:szCs w:val="20"/>
                <w:lang w:val="en-GB" w:eastAsia="en-GB"/>
              </w:rPr>
            </w:pPr>
            <w:r w:rsidRPr="004030DB">
              <w:rPr>
                <w:rFonts w:ascii="Arial" w:eastAsia="Times New Roman" w:hAnsi="Arial" w:cs="Arial"/>
                <w:b/>
                <w:bCs/>
                <w:caps/>
                <w:sz w:val="20"/>
                <w:szCs w:val="20"/>
                <w:lang w:eastAsia="en-GB"/>
              </w:rPr>
              <w:t>We each have a voice that counts</w:t>
            </w:r>
            <w:r w:rsidRPr="004030DB">
              <w:rPr>
                <w:rFonts w:ascii="Arial" w:eastAsia="Times New Roman" w:hAnsi="Arial" w:cs="Arial"/>
                <w:b/>
                <w:bCs/>
                <w:caps/>
                <w:sz w:val="20"/>
                <w:szCs w:val="20"/>
                <w:lang w:val="en-GB" w:eastAsia="en-GB"/>
              </w:rPr>
              <w:t> </w:t>
            </w:r>
          </w:p>
        </w:tc>
        <w:tc>
          <w:tcPr>
            <w:tcW w:w="1485" w:type="dxa"/>
            <w:tcBorders>
              <w:top w:val="single" w:sz="6" w:space="0" w:color="auto"/>
              <w:left w:val="single" w:sz="6" w:space="0" w:color="auto"/>
              <w:bottom w:val="single" w:sz="6" w:space="0" w:color="auto"/>
              <w:right w:val="single" w:sz="6" w:space="0" w:color="auto"/>
            </w:tcBorders>
            <w:shd w:val="clear" w:color="auto" w:fill="F2F2F2"/>
            <w:hideMark/>
          </w:tcPr>
          <w:p w14:paraId="7B85F5A1"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6.5</w:t>
            </w:r>
            <w:r w:rsidRPr="004030DB">
              <w:rPr>
                <w:rFonts w:ascii="Arial" w:eastAsia="Times New Roman" w:hAnsi="Arial" w:cs="Arial"/>
                <w:sz w:val="20"/>
                <w:szCs w:val="20"/>
                <w:lang w:val="en-GB" w:eastAsia="en-GB"/>
              </w:rPr>
              <w:t> </w:t>
            </w:r>
          </w:p>
        </w:tc>
        <w:tc>
          <w:tcPr>
            <w:tcW w:w="1635" w:type="dxa"/>
            <w:tcBorders>
              <w:top w:val="single" w:sz="6" w:space="0" w:color="auto"/>
              <w:left w:val="single" w:sz="6" w:space="0" w:color="auto"/>
              <w:bottom w:val="single" w:sz="6" w:space="0" w:color="auto"/>
              <w:right w:val="single" w:sz="6" w:space="0" w:color="auto"/>
            </w:tcBorders>
            <w:shd w:val="clear" w:color="auto" w:fill="F2F2F2"/>
            <w:hideMark/>
          </w:tcPr>
          <w:p w14:paraId="5D2D2210"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1910</w:t>
            </w:r>
            <w:r w:rsidRPr="004030DB">
              <w:rPr>
                <w:rFonts w:ascii="Arial" w:eastAsia="Times New Roman" w:hAnsi="Arial" w:cs="Arial"/>
                <w:sz w:val="20"/>
                <w:szCs w:val="20"/>
                <w:lang w:val="en-GB" w:eastAsia="en-GB"/>
              </w:rPr>
              <w:t> </w:t>
            </w:r>
          </w:p>
        </w:tc>
        <w:tc>
          <w:tcPr>
            <w:tcW w:w="1215" w:type="dxa"/>
            <w:tcBorders>
              <w:top w:val="single" w:sz="6" w:space="0" w:color="auto"/>
              <w:left w:val="single" w:sz="6" w:space="0" w:color="auto"/>
              <w:bottom w:val="single" w:sz="6" w:space="0" w:color="auto"/>
              <w:right w:val="single" w:sz="6" w:space="0" w:color="auto"/>
            </w:tcBorders>
            <w:shd w:val="clear" w:color="auto" w:fill="F2F2F2"/>
            <w:hideMark/>
          </w:tcPr>
          <w:p w14:paraId="2780B454"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6.54</w:t>
            </w:r>
            <w:r w:rsidRPr="004030DB">
              <w:rPr>
                <w:rFonts w:ascii="Arial" w:eastAsia="Times New Roman" w:hAnsi="Arial" w:cs="Arial"/>
                <w:sz w:val="20"/>
                <w:szCs w:val="20"/>
                <w:lang w:val="en-GB" w:eastAsia="en-GB"/>
              </w:rPr>
              <w:t> </w:t>
            </w:r>
          </w:p>
        </w:tc>
        <w:tc>
          <w:tcPr>
            <w:tcW w:w="1980" w:type="dxa"/>
            <w:tcBorders>
              <w:top w:val="single" w:sz="6" w:space="0" w:color="auto"/>
              <w:left w:val="single" w:sz="6" w:space="0" w:color="auto"/>
              <w:bottom w:val="single" w:sz="6" w:space="0" w:color="auto"/>
              <w:right w:val="single" w:sz="6" w:space="0" w:color="auto"/>
            </w:tcBorders>
            <w:shd w:val="clear" w:color="auto" w:fill="F2F2F2"/>
            <w:hideMark/>
          </w:tcPr>
          <w:p w14:paraId="0F92BF4E"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2456</w:t>
            </w:r>
            <w:r w:rsidRPr="004030DB">
              <w:rPr>
                <w:rFonts w:ascii="Arial" w:eastAsia="Times New Roman" w:hAnsi="Arial" w:cs="Arial"/>
                <w:sz w:val="20"/>
                <w:szCs w:val="20"/>
                <w:lang w:val="en-GB" w:eastAsia="en-GB"/>
              </w:rPr>
              <w:t> </w:t>
            </w:r>
          </w:p>
        </w:tc>
      </w:tr>
      <w:tr w:rsidR="00FD2B58" w:rsidRPr="004030DB" w14:paraId="4CCEDE7A" w14:textId="77777777" w:rsidTr="00FD2B58">
        <w:trPr>
          <w:trHeight w:val="300"/>
        </w:trPr>
        <w:tc>
          <w:tcPr>
            <w:tcW w:w="3090" w:type="dxa"/>
            <w:tcBorders>
              <w:top w:val="single" w:sz="6" w:space="0" w:color="auto"/>
              <w:left w:val="single" w:sz="6" w:space="0" w:color="auto"/>
              <w:bottom w:val="single" w:sz="6" w:space="0" w:color="auto"/>
              <w:right w:val="single" w:sz="6" w:space="0" w:color="auto"/>
            </w:tcBorders>
            <w:hideMark/>
          </w:tcPr>
          <w:p w14:paraId="227F3C0D" w14:textId="77777777" w:rsidR="00FD2B58" w:rsidRPr="004030DB" w:rsidRDefault="00FD2B58" w:rsidP="00FD2B58">
            <w:pPr>
              <w:widowControl/>
              <w:textAlignment w:val="baseline"/>
              <w:rPr>
                <w:rFonts w:ascii="Arial" w:eastAsia="Times New Roman" w:hAnsi="Arial" w:cs="Arial"/>
                <w:b/>
                <w:bCs/>
                <w:caps/>
                <w:sz w:val="20"/>
                <w:szCs w:val="20"/>
                <w:lang w:val="en-GB" w:eastAsia="en-GB"/>
              </w:rPr>
            </w:pPr>
            <w:r w:rsidRPr="004030DB">
              <w:rPr>
                <w:rFonts w:ascii="Arial" w:eastAsia="Times New Roman" w:hAnsi="Arial" w:cs="Arial"/>
                <w:b/>
                <w:bCs/>
                <w:caps/>
                <w:sz w:val="20"/>
                <w:szCs w:val="20"/>
                <w:lang w:eastAsia="en-GB"/>
              </w:rPr>
              <w:t>We are safe and healthy</w:t>
            </w:r>
            <w:r w:rsidRPr="004030DB">
              <w:rPr>
                <w:rFonts w:ascii="Arial" w:eastAsia="Times New Roman" w:hAnsi="Arial" w:cs="Arial"/>
                <w:b/>
                <w:bCs/>
                <w:caps/>
                <w:sz w:val="20"/>
                <w:szCs w:val="20"/>
                <w:lang w:val="en-GB" w:eastAsia="en-GB"/>
              </w:rPr>
              <w:t> </w:t>
            </w:r>
            <w:r w:rsidRPr="004030DB">
              <w:rPr>
                <w:rFonts w:ascii="Arial" w:eastAsia="Times New Roman" w:hAnsi="Arial" w:cs="Arial"/>
                <w:b/>
                <w:bCs/>
                <w:caps/>
                <w:sz w:val="20"/>
                <w:szCs w:val="20"/>
                <w:lang w:val="en-GB" w:eastAsia="en-GB"/>
              </w:rPr>
              <w:br/>
              <w:t> </w:t>
            </w:r>
          </w:p>
        </w:tc>
        <w:tc>
          <w:tcPr>
            <w:tcW w:w="1485" w:type="dxa"/>
            <w:tcBorders>
              <w:top w:val="single" w:sz="6" w:space="0" w:color="auto"/>
              <w:left w:val="single" w:sz="6" w:space="0" w:color="auto"/>
              <w:bottom w:val="single" w:sz="6" w:space="0" w:color="auto"/>
              <w:right w:val="single" w:sz="6" w:space="0" w:color="auto"/>
            </w:tcBorders>
            <w:hideMark/>
          </w:tcPr>
          <w:p w14:paraId="062F7067"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5.84            </w:t>
            </w:r>
            <w:r w:rsidRPr="004030DB">
              <w:rPr>
                <w:rFonts w:ascii="Arial" w:eastAsia="Times New Roman" w:hAnsi="Arial" w:cs="Arial"/>
                <w:sz w:val="20"/>
                <w:szCs w:val="20"/>
                <w:lang w:val="en-GB" w:eastAsia="en-GB"/>
              </w:rPr>
              <w:t> </w:t>
            </w:r>
          </w:p>
        </w:tc>
        <w:tc>
          <w:tcPr>
            <w:tcW w:w="1635" w:type="dxa"/>
            <w:tcBorders>
              <w:top w:val="single" w:sz="6" w:space="0" w:color="auto"/>
              <w:left w:val="single" w:sz="6" w:space="0" w:color="auto"/>
              <w:bottom w:val="single" w:sz="6" w:space="0" w:color="auto"/>
              <w:right w:val="single" w:sz="6" w:space="0" w:color="auto"/>
            </w:tcBorders>
            <w:hideMark/>
          </w:tcPr>
          <w:p w14:paraId="64F7E34D"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1,909</w:t>
            </w:r>
            <w:r w:rsidRPr="004030DB">
              <w:rPr>
                <w:rFonts w:ascii="Arial" w:eastAsia="Times New Roman" w:hAnsi="Arial" w:cs="Arial"/>
                <w:sz w:val="20"/>
                <w:szCs w:val="20"/>
                <w:lang w:val="en-GB" w:eastAsia="en-GB"/>
              </w:rPr>
              <w:t> </w:t>
            </w:r>
          </w:p>
        </w:tc>
        <w:tc>
          <w:tcPr>
            <w:tcW w:w="1215" w:type="dxa"/>
            <w:tcBorders>
              <w:top w:val="single" w:sz="6" w:space="0" w:color="auto"/>
              <w:left w:val="single" w:sz="6" w:space="0" w:color="auto"/>
              <w:bottom w:val="single" w:sz="6" w:space="0" w:color="auto"/>
              <w:right w:val="single" w:sz="6" w:space="0" w:color="auto"/>
            </w:tcBorders>
            <w:hideMark/>
          </w:tcPr>
          <w:p w14:paraId="14D7F08B"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5.96</w:t>
            </w:r>
            <w:r w:rsidRPr="004030DB">
              <w:rPr>
                <w:rFonts w:ascii="Arial" w:eastAsia="Times New Roman" w:hAnsi="Arial" w:cs="Arial"/>
                <w:sz w:val="20"/>
                <w:szCs w:val="20"/>
                <w:lang w:val="en-GB" w:eastAsia="en-GB"/>
              </w:rPr>
              <w:t> </w:t>
            </w:r>
          </w:p>
        </w:tc>
        <w:tc>
          <w:tcPr>
            <w:tcW w:w="1980" w:type="dxa"/>
            <w:tcBorders>
              <w:top w:val="single" w:sz="6" w:space="0" w:color="auto"/>
              <w:left w:val="single" w:sz="6" w:space="0" w:color="auto"/>
              <w:bottom w:val="single" w:sz="6" w:space="0" w:color="auto"/>
              <w:right w:val="single" w:sz="6" w:space="0" w:color="auto"/>
            </w:tcBorders>
            <w:hideMark/>
          </w:tcPr>
          <w:p w14:paraId="3B33C9BB"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2464</w:t>
            </w:r>
            <w:r w:rsidRPr="004030DB">
              <w:rPr>
                <w:rFonts w:ascii="Arial" w:eastAsia="Times New Roman" w:hAnsi="Arial" w:cs="Arial"/>
                <w:sz w:val="20"/>
                <w:szCs w:val="20"/>
                <w:lang w:val="en-GB" w:eastAsia="en-GB"/>
              </w:rPr>
              <w:t> </w:t>
            </w:r>
          </w:p>
        </w:tc>
      </w:tr>
      <w:tr w:rsidR="00FD2B58" w:rsidRPr="004030DB" w14:paraId="05F732C3" w14:textId="77777777" w:rsidTr="00FD2B58">
        <w:trPr>
          <w:trHeight w:val="300"/>
        </w:trPr>
        <w:tc>
          <w:tcPr>
            <w:tcW w:w="3090" w:type="dxa"/>
            <w:tcBorders>
              <w:top w:val="single" w:sz="6" w:space="0" w:color="auto"/>
              <w:left w:val="single" w:sz="6" w:space="0" w:color="auto"/>
              <w:bottom w:val="single" w:sz="6" w:space="0" w:color="auto"/>
              <w:right w:val="single" w:sz="6" w:space="0" w:color="auto"/>
            </w:tcBorders>
            <w:shd w:val="clear" w:color="auto" w:fill="F2F2F2"/>
            <w:hideMark/>
          </w:tcPr>
          <w:p w14:paraId="3739DC77" w14:textId="77777777" w:rsidR="00FD2B58" w:rsidRPr="004030DB" w:rsidRDefault="00FD2B58" w:rsidP="00FD2B58">
            <w:pPr>
              <w:widowControl/>
              <w:textAlignment w:val="baseline"/>
              <w:rPr>
                <w:rFonts w:ascii="Arial" w:eastAsia="Times New Roman" w:hAnsi="Arial" w:cs="Arial"/>
                <w:b/>
                <w:bCs/>
                <w:caps/>
                <w:sz w:val="20"/>
                <w:szCs w:val="20"/>
                <w:lang w:val="en-GB" w:eastAsia="en-GB"/>
              </w:rPr>
            </w:pPr>
            <w:r w:rsidRPr="004030DB">
              <w:rPr>
                <w:rFonts w:ascii="Arial" w:eastAsia="Times New Roman" w:hAnsi="Arial" w:cs="Arial"/>
                <w:b/>
                <w:bCs/>
                <w:caps/>
                <w:sz w:val="20"/>
                <w:szCs w:val="20"/>
                <w:lang w:eastAsia="en-GB"/>
              </w:rPr>
              <w:t>We are always learning</w:t>
            </w:r>
            <w:r w:rsidRPr="004030DB">
              <w:rPr>
                <w:rFonts w:ascii="Arial" w:eastAsia="Times New Roman" w:hAnsi="Arial" w:cs="Arial"/>
                <w:b/>
                <w:bCs/>
                <w:caps/>
                <w:sz w:val="20"/>
                <w:szCs w:val="20"/>
                <w:lang w:val="en-GB" w:eastAsia="en-GB"/>
              </w:rPr>
              <w:t> </w:t>
            </w:r>
            <w:r w:rsidRPr="004030DB">
              <w:rPr>
                <w:rFonts w:ascii="Arial" w:eastAsia="Times New Roman" w:hAnsi="Arial" w:cs="Arial"/>
                <w:b/>
                <w:bCs/>
                <w:caps/>
                <w:sz w:val="20"/>
                <w:szCs w:val="20"/>
                <w:lang w:val="en-GB" w:eastAsia="en-GB"/>
              </w:rPr>
              <w:br/>
              <w:t> </w:t>
            </w:r>
          </w:p>
        </w:tc>
        <w:tc>
          <w:tcPr>
            <w:tcW w:w="1485" w:type="dxa"/>
            <w:tcBorders>
              <w:top w:val="single" w:sz="6" w:space="0" w:color="auto"/>
              <w:left w:val="single" w:sz="6" w:space="0" w:color="auto"/>
              <w:bottom w:val="single" w:sz="6" w:space="0" w:color="auto"/>
              <w:right w:val="single" w:sz="6" w:space="0" w:color="auto"/>
            </w:tcBorders>
            <w:shd w:val="clear" w:color="auto" w:fill="F2F2F2"/>
            <w:hideMark/>
          </w:tcPr>
          <w:p w14:paraId="41CB9B85"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5.6</w:t>
            </w:r>
            <w:r w:rsidRPr="004030DB">
              <w:rPr>
                <w:rFonts w:ascii="Arial" w:eastAsia="Times New Roman" w:hAnsi="Arial" w:cs="Arial"/>
                <w:sz w:val="20"/>
                <w:szCs w:val="20"/>
                <w:lang w:val="en-GB" w:eastAsia="en-GB"/>
              </w:rPr>
              <w:t> </w:t>
            </w:r>
          </w:p>
        </w:tc>
        <w:tc>
          <w:tcPr>
            <w:tcW w:w="1635" w:type="dxa"/>
            <w:tcBorders>
              <w:top w:val="single" w:sz="6" w:space="0" w:color="auto"/>
              <w:left w:val="single" w:sz="6" w:space="0" w:color="auto"/>
              <w:bottom w:val="single" w:sz="6" w:space="0" w:color="auto"/>
              <w:right w:val="single" w:sz="6" w:space="0" w:color="auto"/>
            </w:tcBorders>
            <w:shd w:val="clear" w:color="auto" w:fill="F2F2F2"/>
            <w:hideMark/>
          </w:tcPr>
          <w:p w14:paraId="3B1A1270"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1858</w:t>
            </w:r>
            <w:r w:rsidRPr="004030DB">
              <w:rPr>
                <w:rFonts w:ascii="Arial" w:eastAsia="Times New Roman" w:hAnsi="Arial" w:cs="Arial"/>
                <w:sz w:val="20"/>
                <w:szCs w:val="20"/>
                <w:lang w:val="en-GB" w:eastAsia="en-GB"/>
              </w:rPr>
              <w:t> </w:t>
            </w:r>
          </w:p>
        </w:tc>
        <w:tc>
          <w:tcPr>
            <w:tcW w:w="1215" w:type="dxa"/>
            <w:tcBorders>
              <w:top w:val="single" w:sz="6" w:space="0" w:color="auto"/>
              <w:left w:val="single" w:sz="6" w:space="0" w:color="auto"/>
              <w:bottom w:val="single" w:sz="6" w:space="0" w:color="auto"/>
              <w:right w:val="single" w:sz="6" w:space="0" w:color="auto"/>
            </w:tcBorders>
            <w:shd w:val="clear" w:color="auto" w:fill="F2F2F2"/>
            <w:hideMark/>
          </w:tcPr>
          <w:p w14:paraId="72421359"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5.75</w:t>
            </w:r>
            <w:r w:rsidRPr="004030DB">
              <w:rPr>
                <w:rFonts w:ascii="Arial" w:eastAsia="Times New Roman" w:hAnsi="Arial" w:cs="Arial"/>
                <w:sz w:val="20"/>
                <w:szCs w:val="20"/>
                <w:lang w:val="en-GB" w:eastAsia="en-GB"/>
              </w:rPr>
              <w:t> </w:t>
            </w:r>
          </w:p>
        </w:tc>
        <w:tc>
          <w:tcPr>
            <w:tcW w:w="1980" w:type="dxa"/>
            <w:tcBorders>
              <w:top w:val="single" w:sz="6" w:space="0" w:color="auto"/>
              <w:left w:val="single" w:sz="6" w:space="0" w:color="auto"/>
              <w:bottom w:val="single" w:sz="6" w:space="0" w:color="auto"/>
              <w:right w:val="single" w:sz="6" w:space="0" w:color="auto"/>
            </w:tcBorders>
            <w:shd w:val="clear" w:color="auto" w:fill="F2F2F2"/>
            <w:hideMark/>
          </w:tcPr>
          <w:p w14:paraId="6BED342A"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2405</w:t>
            </w:r>
            <w:r w:rsidRPr="004030DB">
              <w:rPr>
                <w:rFonts w:ascii="Arial" w:eastAsia="Times New Roman" w:hAnsi="Arial" w:cs="Arial"/>
                <w:sz w:val="20"/>
                <w:szCs w:val="20"/>
                <w:lang w:val="en-GB" w:eastAsia="en-GB"/>
              </w:rPr>
              <w:t> </w:t>
            </w:r>
          </w:p>
        </w:tc>
      </w:tr>
      <w:tr w:rsidR="00FD2B58" w:rsidRPr="004030DB" w14:paraId="3E6474E1" w14:textId="77777777" w:rsidTr="00FD2B58">
        <w:trPr>
          <w:trHeight w:val="300"/>
        </w:trPr>
        <w:tc>
          <w:tcPr>
            <w:tcW w:w="3090" w:type="dxa"/>
            <w:tcBorders>
              <w:top w:val="single" w:sz="6" w:space="0" w:color="auto"/>
              <w:left w:val="single" w:sz="6" w:space="0" w:color="auto"/>
              <w:bottom w:val="single" w:sz="6" w:space="0" w:color="auto"/>
              <w:right w:val="single" w:sz="6" w:space="0" w:color="auto"/>
            </w:tcBorders>
            <w:hideMark/>
          </w:tcPr>
          <w:p w14:paraId="77630DEC" w14:textId="77777777" w:rsidR="00FD2B58" w:rsidRPr="004030DB" w:rsidRDefault="00FD2B58" w:rsidP="00FD2B58">
            <w:pPr>
              <w:widowControl/>
              <w:textAlignment w:val="baseline"/>
              <w:rPr>
                <w:rFonts w:ascii="Arial" w:eastAsia="Times New Roman" w:hAnsi="Arial" w:cs="Arial"/>
                <w:b/>
                <w:bCs/>
                <w:caps/>
                <w:sz w:val="20"/>
                <w:szCs w:val="20"/>
                <w:lang w:val="en-GB" w:eastAsia="en-GB"/>
              </w:rPr>
            </w:pPr>
            <w:r w:rsidRPr="004030DB">
              <w:rPr>
                <w:rFonts w:ascii="Arial" w:eastAsia="Times New Roman" w:hAnsi="Arial" w:cs="Arial"/>
                <w:b/>
                <w:bCs/>
                <w:caps/>
                <w:sz w:val="20"/>
                <w:szCs w:val="20"/>
                <w:lang w:eastAsia="en-GB"/>
              </w:rPr>
              <w:t>We work flexibly</w:t>
            </w:r>
            <w:r w:rsidRPr="004030DB">
              <w:rPr>
                <w:rFonts w:ascii="Arial" w:eastAsia="Times New Roman" w:hAnsi="Arial" w:cs="Arial"/>
                <w:b/>
                <w:bCs/>
                <w:caps/>
                <w:sz w:val="20"/>
                <w:szCs w:val="20"/>
                <w:lang w:val="en-GB" w:eastAsia="en-GB"/>
              </w:rPr>
              <w:t> </w:t>
            </w:r>
          </w:p>
        </w:tc>
        <w:tc>
          <w:tcPr>
            <w:tcW w:w="1485" w:type="dxa"/>
            <w:tcBorders>
              <w:top w:val="single" w:sz="6" w:space="0" w:color="auto"/>
              <w:left w:val="single" w:sz="6" w:space="0" w:color="auto"/>
              <w:bottom w:val="single" w:sz="6" w:space="0" w:color="auto"/>
              <w:right w:val="single" w:sz="6" w:space="0" w:color="auto"/>
            </w:tcBorders>
            <w:hideMark/>
          </w:tcPr>
          <w:p w14:paraId="2E1A0195"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6.1</w:t>
            </w:r>
            <w:r w:rsidRPr="004030DB">
              <w:rPr>
                <w:rFonts w:ascii="Arial" w:eastAsia="Times New Roman" w:hAnsi="Arial" w:cs="Arial"/>
                <w:sz w:val="20"/>
                <w:szCs w:val="20"/>
                <w:lang w:val="en-GB" w:eastAsia="en-GB"/>
              </w:rPr>
              <w:t> </w:t>
            </w:r>
          </w:p>
        </w:tc>
        <w:tc>
          <w:tcPr>
            <w:tcW w:w="1635" w:type="dxa"/>
            <w:tcBorders>
              <w:top w:val="single" w:sz="6" w:space="0" w:color="auto"/>
              <w:left w:val="single" w:sz="6" w:space="0" w:color="auto"/>
              <w:bottom w:val="single" w:sz="6" w:space="0" w:color="auto"/>
              <w:right w:val="single" w:sz="6" w:space="0" w:color="auto"/>
            </w:tcBorders>
            <w:hideMark/>
          </w:tcPr>
          <w:p w14:paraId="36BB8BDE"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1922</w:t>
            </w:r>
            <w:r w:rsidRPr="004030DB">
              <w:rPr>
                <w:rFonts w:ascii="Arial" w:eastAsia="Times New Roman" w:hAnsi="Arial" w:cs="Arial"/>
                <w:sz w:val="20"/>
                <w:szCs w:val="20"/>
                <w:lang w:val="en-GB" w:eastAsia="en-GB"/>
              </w:rPr>
              <w:t> </w:t>
            </w:r>
          </w:p>
        </w:tc>
        <w:tc>
          <w:tcPr>
            <w:tcW w:w="1215" w:type="dxa"/>
            <w:tcBorders>
              <w:top w:val="single" w:sz="6" w:space="0" w:color="auto"/>
              <w:left w:val="single" w:sz="6" w:space="0" w:color="auto"/>
              <w:bottom w:val="single" w:sz="6" w:space="0" w:color="auto"/>
              <w:right w:val="single" w:sz="6" w:space="0" w:color="auto"/>
            </w:tcBorders>
            <w:hideMark/>
          </w:tcPr>
          <w:p w14:paraId="53F19C36"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6.22</w:t>
            </w:r>
            <w:r w:rsidRPr="004030DB">
              <w:rPr>
                <w:rFonts w:ascii="Arial" w:eastAsia="Times New Roman" w:hAnsi="Arial" w:cs="Arial"/>
                <w:sz w:val="20"/>
                <w:szCs w:val="20"/>
                <w:lang w:val="en-GB" w:eastAsia="en-GB"/>
              </w:rPr>
              <w:t> </w:t>
            </w:r>
          </w:p>
        </w:tc>
        <w:tc>
          <w:tcPr>
            <w:tcW w:w="1980" w:type="dxa"/>
            <w:tcBorders>
              <w:top w:val="single" w:sz="6" w:space="0" w:color="auto"/>
              <w:left w:val="single" w:sz="6" w:space="0" w:color="auto"/>
              <w:bottom w:val="single" w:sz="6" w:space="0" w:color="auto"/>
              <w:right w:val="single" w:sz="6" w:space="0" w:color="auto"/>
            </w:tcBorders>
            <w:hideMark/>
          </w:tcPr>
          <w:p w14:paraId="7702B847"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2472</w:t>
            </w:r>
            <w:r w:rsidRPr="004030DB">
              <w:rPr>
                <w:rFonts w:ascii="Arial" w:eastAsia="Times New Roman" w:hAnsi="Arial" w:cs="Arial"/>
                <w:sz w:val="20"/>
                <w:szCs w:val="20"/>
                <w:lang w:val="en-GB" w:eastAsia="en-GB"/>
              </w:rPr>
              <w:t> </w:t>
            </w:r>
          </w:p>
        </w:tc>
      </w:tr>
      <w:tr w:rsidR="00FD2B58" w:rsidRPr="004030DB" w14:paraId="5B2A058C" w14:textId="77777777" w:rsidTr="00FD2B58">
        <w:trPr>
          <w:trHeight w:val="300"/>
        </w:trPr>
        <w:tc>
          <w:tcPr>
            <w:tcW w:w="3090" w:type="dxa"/>
            <w:tcBorders>
              <w:top w:val="single" w:sz="6" w:space="0" w:color="auto"/>
              <w:left w:val="single" w:sz="6" w:space="0" w:color="auto"/>
              <w:bottom w:val="single" w:sz="6" w:space="0" w:color="auto"/>
              <w:right w:val="single" w:sz="6" w:space="0" w:color="auto"/>
            </w:tcBorders>
            <w:shd w:val="clear" w:color="auto" w:fill="F2F2F2"/>
            <w:hideMark/>
          </w:tcPr>
          <w:p w14:paraId="2EE4A399" w14:textId="77777777" w:rsidR="00FD2B58" w:rsidRPr="004030DB" w:rsidRDefault="00FD2B58" w:rsidP="00FD2B58">
            <w:pPr>
              <w:widowControl/>
              <w:textAlignment w:val="baseline"/>
              <w:rPr>
                <w:rFonts w:ascii="Arial" w:eastAsia="Times New Roman" w:hAnsi="Arial" w:cs="Arial"/>
                <w:b/>
                <w:bCs/>
                <w:caps/>
                <w:sz w:val="20"/>
                <w:szCs w:val="20"/>
                <w:lang w:val="en-GB" w:eastAsia="en-GB"/>
              </w:rPr>
            </w:pPr>
            <w:r w:rsidRPr="004030DB">
              <w:rPr>
                <w:rFonts w:ascii="Arial" w:eastAsia="Times New Roman" w:hAnsi="Arial" w:cs="Arial"/>
                <w:b/>
                <w:bCs/>
                <w:caps/>
                <w:sz w:val="20"/>
                <w:szCs w:val="20"/>
                <w:lang w:eastAsia="en-GB"/>
              </w:rPr>
              <w:t>We are a team</w:t>
            </w:r>
            <w:r w:rsidRPr="004030DB">
              <w:rPr>
                <w:rFonts w:ascii="Arial" w:eastAsia="Times New Roman" w:hAnsi="Arial" w:cs="Arial"/>
                <w:b/>
                <w:bCs/>
                <w:caps/>
                <w:sz w:val="20"/>
                <w:szCs w:val="20"/>
                <w:lang w:val="en-GB" w:eastAsia="en-GB"/>
              </w:rPr>
              <w:t> </w:t>
            </w:r>
          </w:p>
        </w:tc>
        <w:tc>
          <w:tcPr>
            <w:tcW w:w="1485" w:type="dxa"/>
            <w:tcBorders>
              <w:top w:val="single" w:sz="6" w:space="0" w:color="auto"/>
              <w:left w:val="single" w:sz="6" w:space="0" w:color="auto"/>
              <w:bottom w:val="single" w:sz="6" w:space="0" w:color="auto"/>
              <w:right w:val="single" w:sz="6" w:space="0" w:color="auto"/>
            </w:tcBorders>
            <w:shd w:val="clear" w:color="auto" w:fill="F2F2F2"/>
            <w:hideMark/>
          </w:tcPr>
          <w:p w14:paraId="1464DF7B"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6.6</w:t>
            </w:r>
            <w:r w:rsidRPr="004030DB">
              <w:rPr>
                <w:rFonts w:ascii="Arial" w:eastAsia="Times New Roman" w:hAnsi="Arial" w:cs="Arial"/>
                <w:sz w:val="20"/>
                <w:szCs w:val="20"/>
                <w:lang w:val="en-GB" w:eastAsia="en-GB"/>
              </w:rPr>
              <w:t> </w:t>
            </w:r>
          </w:p>
        </w:tc>
        <w:tc>
          <w:tcPr>
            <w:tcW w:w="1635" w:type="dxa"/>
            <w:tcBorders>
              <w:top w:val="single" w:sz="6" w:space="0" w:color="auto"/>
              <w:left w:val="single" w:sz="6" w:space="0" w:color="auto"/>
              <w:bottom w:val="single" w:sz="6" w:space="0" w:color="auto"/>
              <w:right w:val="single" w:sz="6" w:space="0" w:color="auto"/>
            </w:tcBorders>
            <w:shd w:val="clear" w:color="auto" w:fill="F2F2F2"/>
            <w:hideMark/>
          </w:tcPr>
          <w:p w14:paraId="7CDE1C50"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1930</w:t>
            </w:r>
            <w:r w:rsidRPr="004030DB">
              <w:rPr>
                <w:rFonts w:ascii="Arial" w:eastAsia="Times New Roman" w:hAnsi="Arial" w:cs="Arial"/>
                <w:sz w:val="20"/>
                <w:szCs w:val="20"/>
                <w:lang w:val="en-GB" w:eastAsia="en-GB"/>
              </w:rPr>
              <w:t> </w:t>
            </w:r>
          </w:p>
        </w:tc>
        <w:tc>
          <w:tcPr>
            <w:tcW w:w="1215" w:type="dxa"/>
            <w:tcBorders>
              <w:top w:val="single" w:sz="6" w:space="0" w:color="auto"/>
              <w:left w:val="single" w:sz="6" w:space="0" w:color="auto"/>
              <w:bottom w:val="single" w:sz="6" w:space="0" w:color="auto"/>
              <w:right w:val="single" w:sz="6" w:space="0" w:color="auto"/>
            </w:tcBorders>
            <w:shd w:val="clear" w:color="auto" w:fill="F2F2F2"/>
            <w:hideMark/>
          </w:tcPr>
          <w:p w14:paraId="6FF136D3"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6.72</w:t>
            </w:r>
            <w:r w:rsidRPr="004030DB">
              <w:rPr>
                <w:rFonts w:ascii="Arial" w:eastAsia="Times New Roman" w:hAnsi="Arial" w:cs="Arial"/>
                <w:sz w:val="20"/>
                <w:szCs w:val="20"/>
                <w:lang w:val="en-GB" w:eastAsia="en-GB"/>
              </w:rPr>
              <w:t> </w:t>
            </w:r>
          </w:p>
        </w:tc>
        <w:tc>
          <w:tcPr>
            <w:tcW w:w="1980" w:type="dxa"/>
            <w:tcBorders>
              <w:top w:val="single" w:sz="6" w:space="0" w:color="auto"/>
              <w:left w:val="single" w:sz="6" w:space="0" w:color="auto"/>
              <w:bottom w:val="single" w:sz="6" w:space="0" w:color="auto"/>
              <w:right w:val="single" w:sz="6" w:space="0" w:color="auto"/>
            </w:tcBorders>
            <w:shd w:val="clear" w:color="auto" w:fill="F2F2F2"/>
            <w:hideMark/>
          </w:tcPr>
          <w:p w14:paraId="13D12FF8"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2486</w:t>
            </w:r>
            <w:r w:rsidRPr="004030DB">
              <w:rPr>
                <w:rFonts w:ascii="Arial" w:eastAsia="Times New Roman" w:hAnsi="Arial" w:cs="Arial"/>
                <w:sz w:val="20"/>
                <w:szCs w:val="20"/>
                <w:lang w:val="en-GB" w:eastAsia="en-GB"/>
              </w:rPr>
              <w:t> </w:t>
            </w:r>
          </w:p>
        </w:tc>
      </w:tr>
      <w:tr w:rsidR="00FD2B58" w:rsidRPr="004030DB" w14:paraId="54500AE4" w14:textId="77777777" w:rsidTr="00FD2B58">
        <w:trPr>
          <w:trHeight w:val="300"/>
        </w:trPr>
        <w:tc>
          <w:tcPr>
            <w:tcW w:w="9405" w:type="dxa"/>
            <w:gridSpan w:val="5"/>
            <w:tcBorders>
              <w:top w:val="single" w:sz="6" w:space="0" w:color="auto"/>
              <w:left w:val="single" w:sz="6" w:space="0" w:color="auto"/>
              <w:bottom w:val="single" w:sz="6" w:space="0" w:color="auto"/>
              <w:right w:val="single" w:sz="6" w:space="0" w:color="7F7F7F"/>
            </w:tcBorders>
            <w:shd w:val="clear" w:color="auto" w:fill="D9D9D9"/>
            <w:hideMark/>
          </w:tcPr>
          <w:p w14:paraId="7623BE7F" w14:textId="77777777" w:rsidR="00FD2B58" w:rsidRPr="004030DB" w:rsidRDefault="00FD2B58" w:rsidP="00FD2B58">
            <w:pPr>
              <w:widowControl/>
              <w:textAlignment w:val="baseline"/>
              <w:rPr>
                <w:rFonts w:ascii="Arial" w:eastAsia="Times New Roman" w:hAnsi="Arial" w:cs="Arial"/>
                <w:b/>
                <w:bCs/>
                <w:caps/>
                <w:sz w:val="20"/>
                <w:szCs w:val="20"/>
                <w:lang w:val="en-GB" w:eastAsia="en-GB"/>
              </w:rPr>
            </w:pPr>
            <w:r w:rsidRPr="004030DB">
              <w:rPr>
                <w:rFonts w:ascii="Arial" w:eastAsia="Times New Roman" w:hAnsi="Arial" w:cs="Arial"/>
                <w:b/>
                <w:bCs/>
                <w:caps/>
                <w:sz w:val="20"/>
                <w:szCs w:val="20"/>
                <w:lang w:eastAsia="en-GB"/>
              </w:rPr>
              <w:t>ThemeS</w:t>
            </w:r>
            <w:r w:rsidRPr="004030DB">
              <w:rPr>
                <w:rFonts w:ascii="Arial" w:eastAsia="Times New Roman" w:hAnsi="Arial" w:cs="Arial"/>
                <w:b/>
                <w:bCs/>
                <w:caps/>
                <w:sz w:val="20"/>
                <w:szCs w:val="20"/>
                <w:lang w:val="en-GB" w:eastAsia="en-GB"/>
              </w:rPr>
              <w:t> </w:t>
            </w:r>
          </w:p>
        </w:tc>
      </w:tr>
      <w:tr w:rsidR="00FD2B58" w:rsidRPr="004030DB" w14:paraId="6529DA8B" w14:textId="77777777" w:rsidTr="00FD2B58">
        <w:trPr>
          <w:trHeight w:val="300"/>
        </w:trPr>
        <w:tc>
          <w:tcPr>
            <w:tcW w:w="3090" w:type="dxa"/>
            <w:tcBorders>
              <w:top w:val="single" w:sz="6" w:space="0" w:color="auto"/>
              <w:left w:val="single" w:sz="6" w:space="0" w:color="auto"/>
              <w:bottom w:val="single" w:sz="6" w:space="0" w:color="auto"/>
              <w:right w:val="single" w:sz="6" w:space="0" w:color="7F7F7F"/>
            </w:tcBorders>
            <w:shd w:val="clear" w:color="auto" w:fill="F2F2F2"/>
            <w:hideMark/>
          </w:tcPr>
          <w:p w14:paraId="1DBEB74E" w14:textId="77777777" w:rsidR="00FD2B58" w:rsidRPr="004030DB" w:rsidRDefault="00FD2B58" w:rsidP="00FD2B58">
            <w:pPr>
              <w:widowControl/>
              <w:textAlignment w:val="baseline"/>
              <w:rPr>
                <w:rFonts w:ascii="Arial" w:eastAsia="Times New Roman" w:hAnsi="Arial" w:cs="Arial"/>
                <w:b/>
                <w:bCs/>
                <w:caps/>
                <w:sz w:val="20"/>
                <w:szCs w:val="20"/>
                <w:lang w:val="en-GB" w:eastAsia="en-GB"/>
              </w:rPr>
            </w:pPr>
            <w:r w:rsidRPr="004030DB">
              <w:rPr>
                <w:rFonts w:ascii="Arial" w:eastAsia="Times New Roman" w:hAnsi="Arial" w:cs="Arial"/>
                <w:b/>
                <w:bCs/>
                <w:caps/>
                <w:sz w:val="20"/>
                <w:szCs w:val="20"/>
                <w:lang w:eastAsia="en-GB"/>
              </w:rPr>
              <w:t>Staff Engagement</w:t>
            </w:r>
            <w:r w:rsidRPr="004030DB">
              <w:rPr>
                <w:rFonts w:ascii="Arial" w:eastAsia="Times New Roman" w:hAnsi="Arial" w:cs="Arial"/>
                <w:b/>
                <w:bCs/>
                <w:caps/>
                <w:sz w:val="20"/>
                <w:szCs w:val="20"/>
                <w:lang w:val="en-GB" w:eastAsia="en-GB"/>
              </w:rPr>
              <w:t> </w:t>
            </w:r>
          </w:p>
        </w:tc>
        <w:tc>
          <w:tcPr>
            <w:tcW w:w="1485" w:type="dxa"/>
            <w:tcBorders>
              <w:top w:val="nil"/>
              <w:left w:val="single" w:sz="6" w:space="0" w:color="auto"/>
              <w:bottom w:val="single" w:sz="6" w:space="0" w:color="auto"/>
              <w:right w:val="single" w:sz="6" w:space="0" w:color="auto"/>
            </w:tcBorders>
            <w:shd w:val="clear" w:color="auto" w:fill="F2F2F2"/>
            <w:hideMark/>
          </w:tcPr>
          <w:p w14:paraId="388AE315"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6.6</w:t>
            </w:r>
            <w:r w:rsidRPr="004030DB">
              <w:rPr>
                <w:rFonts w:ascii="Arial" w:eastAsia="Times New Roman" w:hAnsi="Arial" w:cs="Arial"/>
                <w:sz w:val="20"/>
                <w:szCs w:val="20"/>
                <w:lang w:val="en-GB" w:eastAsia="en-GB"/>
              </w:rPr>
              <w:t> </w:t>
            </w:r>
          </w:p>
        </w:tc>
        <w:tc>
          <w:tcPr>
            <w:tcW w:w="1635" w:type="dxa"/>
            <w:tcBorders>
              <w:top w:val="nil"/>
              <w:left w:val="single" w:sz="6" w:space="0" w:color="auto"/>
              <w:bottom w:val="single" w:sz="6" w:space="0" w:color="auto"/>
              <w:right w:val="single" w:sz="6" w:space="0" w:color="auto"/>
            </w:tcBorders>
            <w:shd w:val="clear" w:color="auto" w:fill="F2F2F2"/>
            <w:hideMark/>
          </w:tcPr>
          <w:p w14:paraId="43367BDD"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1933</w:t>
            </w:r>
            <w:r w:rsidRPr="004030DB">
              <w:rPr>
                <w:rFonts w:ascii="Arial" w:eastAsia="Times New Roman" w:hAnsi="Arial" w:cs="Arial"/>
                <w:sz w:val="20"/>
                <w:szCs w:val="20"/>
                <w:lang w:val="en-GB" w:eastAsia="en-GB"/>
              </w:rPr>
              <w:t> </w:t>
            </w:r>
          </w:p>
        </w:tc>
        <w:tc>
          <w:tcPr>
            <w:tcW w:w="1215" w:type="dxa"/>
            <w:tcBorders>
              <w:top w:val="nil"/>
              <w:left w:val="single" w:sz="6" w:space="0" w:color="auto"/>
              <w:bottom w:val="single" w:sz="6" w:space="0" w:color="auto"/>
              <w:right w:val="single" w:sz="6" w:space="0" w:color="auto"/>
            </w:tcBorders>
            <w:shd w:val="clear" w:color="auto" w:fill="F2F2F2"/>
            <w:hideMark/>
          </w:tcPr>
          <w:p w14:paraId="1C3AA1F5"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6.74</w:t>
            </w:r>
            <w:r w:rsidRPr="004030DB">
              <w:rPr>
                <w:rFonts w:ascii="Arial" w:eastAsia="Times New Roman" w:hAnsi="Arial" w:cs="Arial"/>
                <w:sz w:val="20"/>
                <w:szCs w:val="20"/>
                <w:lang w:val="en-GB" w:eastAsia="en-GB"/>
              </w:rPr>
              <w:t> </w:t>
            </w:r>
          </w:p>
        </w:tc>
        <w:tc>
          <w:tcPr>
            <w:tcW w:w="1980" w:type="dxa"/>
            <w:tcBorders>
              <w:top w:val="nil"/>
              <w:left w:val="single" w:sz="6" w:space="0" w:color="auto"/>
              <w:bottom w:val="single" w:sz="6" w:space="0" w:color="auto"/>
              <w:right w:val="single" w:sz="6" w:space="0" w:color="7F7F7F"/>
            </w:tcBorders>
            <w:shd w:val="clear" w:color="auto" w:fill="F2F2F2"/>
            <w:hideMark/>
          </w:tcPr>
          <w:p w14:paraId="1063F139"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2487</w:t>
            </w:r>
            <w:r w:rsidRPr="004030DB">
              <w:rPr>
                <w:rFonts w:ascii="Arial" w:eastAsia="Times New Roman" w:hAnsi="Arial" w:cs="Arial"/>
                <w:sz w:val="20"/>
                <w:szCs w:val="20"/>
                <w:lang w:val="en-GB" w:eastAsia="en-GB"/>
              </w:rPr>
              <w:t> </w:t>
            </w:r>
          </w:p>
        </w:tc>
      </w:tr>
      <w:tr w:rsidR="00FD2B58" w:rsidRPr="004030DB" w14:paraId="034D5965" w14:textId="77777777" w:rsidTr="00FD2B58">
        <w:trPr>
          <w:trHeight w:val="300"/>
        </w:trPr>
        <w:tc>
          <w:tcPr>
            <w:tcW w:w="3090" w:type="dxa"/>
            <w:tcBorders>
              <w:top w:val="single" w:sz="6" w:space="0" w:color="auto"/>
              <w:left w:val="single" w:sz="6" w:space="0" w:color="auto"/>
              <w:bottom w:val="single" w:sz="6" w:space="0" w:color="auto"/>
              <w:right w:val="single" w:sz="6" w:space="0" w:color="auto"/>
            </w:tcBorders>
            <w:hideMark/>
          </w:tcPr>
          <w:p w14:paraId="11B1E13D" w14:textId="77777777" w:rsidR="00FD2B58" w:rsidRPr="004030DB" w:rsidRDefault="00FD2B58" w:rsidP="00FD2B58">
            <w:pPr>
              <w:widowControl/>
              <w:textAlignment w:val="baseline"/>
              <w:rPr>
                <w:rFonts w:ascii="Arial" w:eastAsia="Times New Roman" w:hAnsi="Arial" w:cs="Arial"/>
                <w:b/>
                <w:bCs/>
                <w:caps/>
                <w:sz w:val="20"/>
                <w:szCs w:val="20"/>
                <w:lang w:val="en-GB" w:eastAsia="en-GB"/>
              </w:rPr>
            </w:pPr>
            <w:r w:rsidRPr="004030DB">
              <w:rPr>
                <w:rFonts w:ascii="Arial" w:eastAsia="Times New Roman" w:hAnsi="Arial" w:cs="Arial"/>
                <w:b/>
                <w:bCs/>
                <w:caps/>
                <w:sz w:val="20"/>
                <w:szCs w:val="20"/>
                <w:lang w:eastAsia="en-GB"/>
              </w:rPr>
              <w:t>Morale</w:t>
            </w:r>
            <w:r w:rsidRPr="004030DB">
              <w:rPr>
                <w:rFonts w:ascii="Arial" w:eastAsia="Times New Roman" w:hAnsi="Arial" w:cs="Arial"/>
                <w:b/>
                <w:bCs/>
                <w:caps/>
                <w:sz w:val="20"/>
                <w:szCs w:val="20"/>
                <w:lang w:val="en-GB" w:eastAsia="en-GB"/>
              </w:rPr>
              <w:t> </w:t>
            </w:r>
          </w:p>
        </w:tc>
        <w:tc>
          <w:tcPr>
            <w:tcW w:w="1485" w:type="dxa"/>
            <w:tcBorders>
              <w:top w:val="single" w:sz="6" w:space="0" w:color="auto"/>
              <w:left w:val="single" w:sz="6" w:space="0" w:color="auto"/>
              <w:bottom w:val="single" w:sz="6" w:space="0" w:color="auto"/>
              <w:right w:val="single" w:sz="6" w:space="0" w:color="auto"/>
            </w:tcBorders>
            <w:hideMark/>
          </w:tcPr>
          <w:p w14:paraId="701A935C"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5.6</w:t>
            </w:r>
            <w:r w:rsidRPr="004030DB">
              <w:rPr>
                <w:rFonts w:ascii="Arial" w:eastAsia="Times New Roman" w:hAnsi="Arial" w:cs="Arial"/>
                <w:sz w:val="20"/>
                <w:szCs w:val="20"/>
                <w:lang w:val="en-GB" w:eastAsia="en-GB"/>
              </w:rPr>
              <w:t> </w:t>
            </w:r>
          </w:p>
        </w:tc>
        <w:tc>
          <w:tcPr>
            <w:tcW w:w="1635" w:type="dxa"/>
            <w:tcBorders>
              <w:top w:val="single" w:sz="6" w:space="0" w:color="auto"/>
              <w:left w:val="single" w:sz="6" w:space="0" w:color="auto"/>
              <w:bottom w:val="single" w:sz="6" w:space="0" w:color="auto"/>
              <w:right w:val="single" w:sz="6" w:space="0" w:color="auto"/>
            </w:tcBorders>
            <w:hideMark/>
          </w:tcPr>
          <w:p w14:paraId="46942516"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1938</w:t>
            </w:r>
            <w:r w:rsidRPr="004030DB">
              <w:rPr>
                <w:rFonts w:ascii="Arial" w:eastAsia="Times New Roman" w:hAnsi="Arial" w:cs="Arial"/>
                <w:sz w:val="20"/>
                <w:szCs w:val="20"/>
                <w:lang w:val="en-GB" w:eastAsia="en-GB"/>
              </w:rPr>
              <w:t> </w:t>
            </w:r>
          </w:p>
        </w:tc>
        <w:tc>
          <w:tcPr>
            <w:tcW w:w="1215" w:type="dxa"/>
            <w:tcBorders>
              <w:top w:val="single" w:sz="6" w:space="0" w:color="auto"/>
              <w:left w:val="single" w:sz="6" w:space="0" w:color="auto"/>
              <w:bottom w:val="single" w:sz="6" w:space="0" w:color="auto"/>
              <w:right w:val="single" w:sz="6" w:space="0" w:color="auto"/>
            </w:tcBorders>
            <w:hideMark/>
          </w:tcPr>
          <w:p w14:paraId="3C5F8FCA"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5.81</w:t>
            </w:r>
            <w:r w:rsidRPr="004030DB">
              <w:rPr>
                <w:rFonts w:ascii="Arial" w:eastAsia="Times New Roman" w:hAnsi="Arial" w:cs="Arial"/>
                <w:sz w:val="20"/>
                <w:szCs w:val="20"/>
                <w:lang w:val="en-GB" w:eastAsia="en-GB"/>
              </w:rPr>
              <w:t> </w:t>
            </w:r>
          </w:p>
        </w:tc>
        <w:tc>
          <w:tcPr>
            <w:tcW w:w="1980" w:type="dxa"/>
            <w:tcBorders>
              <w:top w:val="single" w:sz="6" w:space="0" w:color="auto"/>
              <w:left w:val="single" w:sz="6" w:space="0" w:color="auto"/>
              <w:bottom w:val="single" w:sz="6" w:space="0" w:color="auto"/>
              <w:right w:val="single" w:sz="6" w:space="0" w:color="auto"/>
            </w:tcBorders>
            <w:hideMark/>
          </w:tcPr>
          <w:p w14:paraId="391C0735"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2493</w:t>
            </w:r>
            <w:r w:rsidRPr="004030DB">
              <w:rPr>
                <w:rFonts w:ascii="Arial" w:eastAsia="Times New Roman" w:hAnsi="Arial" w:cs="Arial"/>
                <w:sz w:val="20"/>
                <w:szCs w:val="20"/>
                <w:lang w:val="en-GB" w:eastAsia="en-GB"/>
              </w:rPr>
              <w:t> </w:t>
            </w:r>
          </w:p>
        </w:tc>
      </w:tr>
    </w:tbl>
    <w:p w14:paraId="496B22B3" w14:textId="77777777" w:rsidR="00FD2B58"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 </w:t>
      </w:r>
    </w:p>
    <w:p w14:paraId="2E1F10E9" w14:textId="77777777" w:rsidR="00C74C2C" w:rsidRDefault="00C74C2C" w:rsidP="00FD2B58">
      <w:pPr>
        <w:widowControl/>
        <w:textAlignment w:val="baseline"/>
        <w:rPr>
          <w:rFonts w:ascii="Arial" w:eastAsia="Times New Roman" w:hAnsi="Arial" w:cs="Arial"/>
          <w:sz w:val="20"/>
          <w:szCs w:val="20"/>
          <w:lang w:val="en-GB" w:eastAsia="en-GB"/>
        </w:rPr>
      </w:pPr>
    </w:p>
    <w:p w14:paraId="2632BCD4" w14:textId="1315038D" w:rsidR="00FD2B58" w:rsidRPr="00983279" w:rsidRDefault="00FD2B58" w:rsidP="00983279">
      <w:pPr>
        <w:widowControl/>
        <w:textAlignment w:val="baseline"/>
        <w:rPr>
          <w:rFonts w:ascii="Arial" w:eastAsia="Times New Roman" w:hAnsi="Arial" w:cs="Arial"/>
          <w:b/>
          <w:sz w:val="20"/>
          <w:szCs w:val="20"/>
          <w:lang w:val="en-GB" w:eastAsia="en-GB"/>
        </w:rPr>
      </w:pPr>
      <w:r w:rsidRPr="00983279">
        <w:rPr>
          <w:rFonts w:ascii="Arial" w:eastAsia="Times New Roman" w:hAnsi="Arial" w:cs="Arial"/>
          <w:b/>
          <w:sz w:val="20"/>
          <w:szCs w:val="20"/>
          <w:lang w:val="en-GB" w:eastAsia="en-GB"/>
        </w:rPr>
        <w:t> </w:t>
      </w:r>
      <w:r w:rsidR="00983279" w:rsidRPr="00983279">
        <w:rPr>
          <w:rFonts w:ascii="Arial" w:eastAsia="Times New Roman" w:hAnsi="Arial" w:cs="Arial"/>
          <w:b/>
          <w:sz w:val="20"/>
          <w:szCs w:val="20"/>
          <w:lang w:val="en-GB" w:eastAsia="en-GB"/>
        </w:rPr>
        <w:t>A</w:t>
      </w:r>
      <w:r w:rsidRPr="00983279">
        <w:rPr>
          <w:rFonts w:ascii="Arial" w:eastAsia="Times New Roman" w:hAnsi="Arial" w:cs="Arial"/>
          <w:b/>
          <w:bCs/>
          <w:sz w:val="20"/>
          <w:szCs w:val="20"/>
          <w:lang w:val="en-GB" w:eastAsia="en-GB"/>
        </w:rPr>
        <w:t>pplication of Modern Slavery Act</w:t>
      </w:r>
      <w:r w:rsidRPr="00983279">
        <w:rPr>
          <w:rFonts w:ascii="Arial" w:eastAsia="Times New Roman" w:hAnsi="Arial" w:cs="Arial"/>
          <w:b/>
          <w:sz w:val="20"/>
          <w:szCs w:val="20"/>
          <w:lang w:val="en-GB" w:eastAsia="en-GB"/>
        </w:rPr>
        <w:t> </w:t>
      </w:r>
    </w:p>
    <w:p w14:paraId="0382C5B2" w14:textId="77777777" w:rsidR="00FD2B58" w:rsidRPr="004030DB" w:rsidRDefault="00FD2B58" w:rsidP="00143BCB">
      <w:pPr>
        <w:widowControl/>
        <w:jc w:val="both"/>
        <w:textAlignment w:val="baseline"/>
        <w:rPr>
          <w:rFonts w:ascii="Arial" w:eastAsia="Times New Roman" w:hAnsi="Arial" w:cs="Arial"/>
          <w:sz w:val="20"/>
          <w:szCs w:val="20"/>
          <w:lang w:val="en-GB" w:eastAsia="en-GB"/>
        </w:rPr>
      </w:pPr>
      <w:r w:rsidRPr="004030DB">
        <w:rPr>
          <w:rFonts w:ascii="Arial" w:eastAsia="Times New Roman" w:hAnsi="Arial" w:cs="Arial"/>
          <w:color w:val="D13438"/>
          <w:sz w:val="20"/>
          <w:szCs w:val="20"/>
          <w:lang w:val="en-GB" w:eastAsia="en-GB"/>
        </w:rPr>
        <w:t> </w:t>
      </w:r>
    </w:p>
    <w:p w14:paraId="4AE6E560" w14:textId="77777777" w:rsidR="00FD2B58" w:rsidRPr="004030DB" w:rsidRDefault="00FD2B58" w:rsidP="00143BCB">
      <w:pPr>
        <w:widowControl/>
        <w:ind w:left="-30" w:right="-30"/>
        <w:jc w:val="both"/>
        <w:textAlignment w:val="baseline"/>
        <w:rPr>
          <w:rFonts w:ascii="Arial" w:eastAsia="Times New Roman" w:hAnsi="Arial" w:cs="Arial"/>
          <w:sz w:val="20"/>
          <w:szCs w:val="20"/>
          <w:lang w:val="en-GB" w:eastAsia="en-GB"/>
        </w:rPr>
      </w:pPr>
      <w:r w:rsidRPr="004030DB">
        <w:rPr>
          <w:rFonts w:ascii="Arial" w:eastAsia="Times New Roman" w:hAnsi="Arial" w:cs="Arial"/>
          <w:color w:val="231F20"/>
          <w:sz w:val="20"/>
          <w:szCs w:val="20"/>
          <w:lang w:val="en-GB" w:eastAsia="en-GB"/>
        </w:rPr>
        <w:t>The Trust is fully aware of our responsibilities towards patients, service users, employees and the local community and expects all suppliers to the Trust to adhere to the same ethical principles.  The Trust is committed and will not tolerate modern slavery in any of its forms of slavery and servitude, forced or compulsory labour and human trafficking within our activities or our supply chains.</w:t>
      </w:r>
      <w:r w:rsidRPr="004030DB">
        <w:rPr>
          <w:rFonts w:ascii="Arial" w:eastAsia="Times New Roman" w:hAnsi="Arial" w:cs="Arial"/>
          <w:color w:val="881798"/>
          <w:sz w:val="20"/>
          <w:szCs w:val="20"/>
          <w:lang w:val="en-GB" w:eastAsia="en-GB"/>
        </w:rPr>
        <w:t> </w:t>
      </w:r>
      <w:r w:rsidRPr="004030DB">
        <w:rPr>
          <w:rFonts w:ascii="Arial" w:eastAsia="Times New Roman" w:hAnsi="Arial" w:cs="Arial"/>
          <w:color w:val="D13438"/>
          <w:sz w:val="20"/>
          <w:szCs w:val="20"/>
          <w:lang w:val="en-GB" w:eastAsia="en-GB"/>
        </w:rPr>
        <w:t> </w:t>
      </w:r>
    </w:p>
    <w:p w14:paraId="16FA780F" w14:textId="77777777" w:rsidR="00FD2B58" w:rsidRPr="004030DB" w:rsidRDefault="00FD2B58" w:rsidP="00143BCB">
      <w:pPr>
        <w:widowControl/>
        <w:ind w:left="-30" w:right="-30"/>
        <w:jc w:val="both"/>
        <w:textAlignment w:val="baseline"/>
        <w:rPr>
          <w:rFonts w:ascii="Arial" w:eastAsia="Times New Roman" w:hAnsi="Arial" w:cs="Arial"/>
          <w:sz w:val="20"/>
          <w:szCs w:val="20"/>
          <w:lang w:val="en-GB" w:eastAsia="en-GB"/>
        </w:rPr>
      </w:pPr>
      <w:r w:rsidRPr="004030DB">
        <w:rPr>
          <w:rFonts w:ascii="Arial" w:eastAsia="Times New Roman" w:hAnsi="Arial" w:cs="Arial"/>
          <w:color w:val="D13438"/>
          <w:sz w:val="20"/>
          <w:szCs w:val="20"/>
          <w:lang w:val="en-GB" w:eastAsia="en-GB"/>
        </w:rPr>
        <w:t> </w:t>
      </w:r>
    </w:p>
    <w:p w14:paraId="21DC854F" w14:textId="77777777" w:rsidR="00FD2B58" w:rsidRPr="004030DB" w:rsidRDefault="00FD2B58" w:rsidP="00143BCB">
      <w:pPr>
        <w:widowControl/>
        <w:ind w:left="-30" w:right="-30"/>
        <w:jc w:val="both"/>
        <w:textAlignment w:val="baseline"/>
        <w:rPr>
          <w:rFonts w:ascii="Arial" w:eastAsia="Times New Roman" w:hAnsi="Arial" w:cs="Arial"/>
          <w:sz w:val="20"/>
          <w:szCs w:val="20"/>
          <w:lang w:val="en-GB" w:eastAsia="en-GB"/>
        </w:rPr>
      </w:pPr>
      <w:r w:rsidRPr="004030DB">
        <w:rPr>
          <w:rFonts w:ascii="Arial" w:eastAsia="Times New Roman" w:hAnsi="Arial" w:cs="Arial"/>
          <w:color w:val="231F20"/>
          <w:sz w:val="20"/>
          <w:szCs w:val="20"/>
          <w:lang w:val="en-GB" w:eastAsia="en-GB"/>
        </w:rPr>
        <w:t>The Trust continues to fully support the government’s objective to eradicate modern slavery and human trafficking and we acknowledge our role in both combating it and supporting victims. The Trust is committed to ensuring our supply chains and business activities are free from ethical and labour standards abuse.</w:t>
      </w:r>
      <w:r w:rsidRPr="004030DB">
        <w:rPr>
          <w:rFonts w:ascii="Arial" w:eastAsia="Times New Roman" w:hAnsi="Arial" w:cs="Arial"/>
          <w:color w:val="881798"/>
          <w:sz w:val="20"/>
          <w:szCs w:val="20"/>
          <w:lang w:val="en-GB" w:eastAsia="en-GB"/>
        </w:rPr>
        <w:t> </w:t>
      </w:r>
      <w:r w:rsidRPr="004030DB">
        <w:rPr>
          <w:rFonts w:ascii="Arial" w:eastAsia="Times New Roman" w:hAnsi="Arial" w:cs="Arial"/>
          <w:color w:val="D13438"/>
          <w:sz w:val="20"/>
          <w:szCs w:val="20"/>
          <w:lang w:val="en-GB" w:eastAsia="en-GB"/>
        </w:rPr>
        <w:t> </w:t>
      </w:r>
    </w:p>
    <w:p w14:paraId="23F2E179" w14:textId="77777777" w:rsidR="00FD2B58" w:rsidRPr="004030DB" w:rsidRDefault="00FD2B58" w:rsidP="00143BCB">
      <w:pPr>
        <w:widowControl/>
        <w:ind w:left="-30" w:right="-30"/>
        <w:jc w:val="both"/>
        <w:textAlignment w:val="baseline"/>
        <w:rPr>
          <w:rFonts w:ascii="Arial" w:eastAsia="Times New Roman" w:hAnsi="Arial" w:cs="Arial"/>
          <w:sz w:val="20"/>
          <w:szCs w:val="20"/>
          <w:lang w:val="en-GB" w:eastAsia="en-GB"/>
        </w:rPr>
      </w:pPr>
      <w:r w:rsidRPr="004030DB">
        <w:rPr>
          <w:rFonts w:ascii="Arial" w:eastAsia="Times New Roman" w:hAnsi="Arial" w:cs="Arial"/>
          <w:color w:val="D13438"/>
          <w:sz w:val="20"/>
          <w:szCs w:val="20"/>
          <w:lang w:val="en-GB" w:eastAsia="en-GB"/>
        </w:rPr>
        <w:t> </w:t>
      </w:r>
    </w:p>
    <w:p w14:paraId="37C09428" w14:textId="77777777" w:rsidR="00FD2B58" w:rsidRPr="004030DB" w:rsidRDefault="00FD2B58" w:rsidP="00143BCB">
      <w:pPr>
        <w:widowControl/>
        <w:ind w:left="-30" w:right="-30"/>
        <w:jc w:val="both"/>
        <w:textAlignment w:val="baseline"/>
        <w:rPr>
          <w:rFonts w:ascii="Arial" w:eastAsia="Times New Roman" w:hAnsi="Arial" w:cs="Arial"/>
          <w:sz w:val="20"/>
          <w:szCs w:val="20"/>
          <w:lang w:val="en-GB" w:eastAsia="en-GB"/>
        </w:rPr>
      </w:pPr>
      <w:r w:rsidRPr="004030DB">
        <w:rPr>
          <w:rFonts w:ascii="Arial" w:eastAsia="Times New Roman" w:hAnsi="Arial" w:cs="Arial"/>
          <w:color w:val="231F20"/>
          <w:sz w:val="20"/>
          <w:szCs w:val="20"/>
          <w:lang w:val="en-GB" w:eastAsia="en-GB"/>
        </w:rPr>
        <w:t>Currently, all awarded suppliers sign up to the terms and conditions of contract which contain a provision around Good Industry Practice to ensure each supplier’s commitment to anti-slavery and human trafficking in their supply chains; and that they conduct their businesses in a manner that is consistent with the Trust’s stance on anti-slavery.  In addition, an increasing number of suppliers are implementing the Labour Standards Assurance System (LSAS) as a condition of contract for tenders within high risk sectors and product categories and indeed this has been referenced in the Government’s Modern Slavery Strategy.  Many aspects of the LSAS align to the seven reporting areas that the Government has outlined and should appear within any slavery and human trafficking statement.</w:t>
      </w:r>
      <w:r w:rsidRPr="004030DB">
        <w:rPr>
          <w:rFonts w:ascii="Arial" w:eastAsia="Times New Roman" w:hAnsi="Arial" w:cs="Arial"/>
          <w:color w:val="881798"/>
          <w:sz w:val="20"/>
          <w:szCs w:val="20"/>
          <w:lang w:val="en-GB" w:eastAsia="en-GB"/>
        </w:rPr>
        <w:t> </w:t>
      </w:r>
      <w:r w:rsidRPr="004030DB">
        <w:rPr>
          <w:rFonts w:ascii="Arial" w:eastAsia="Times New Roman" w:hAnsi="Arial" w:cs="Arial"/>
          <w:color w:val="D13438"/>
          <w:sz w:val="20"/>
          <w:szCs w:val="20"/>
          <w:lang w:val="en-GB" w:eastAsia="en-GB"/>
        </w:rPr>
        <w:t> </w:t>
      </w:r>
    </w:p>
    <w:p w14:paraId="72009B05" w14:textId="77777777" w:rsidR="00FD2B58" w:rsidRPr="004030DB" w:rsidRDefault="00FD2B58" w:rsidP="00143BCB">
      <w:pPr>
        <w:widowControl/>
        <w:ind w:left="-30" w:right="-30"/>
        <w:jc w:val="both"/>
        <w:textAlignment w:val="baseline"/>
        <w:rPr>
          <w:rFonts w:ascii="Arial" w:eastAsia="Times New Roman" w:hAnsi="Arial" w:cs="Arial"/>
          <w:sz w:val="20"/>
          <w:szCs w:val="20"/>
          <w:lang w:val="en-GB" w:eastAsia="en-GB"/>
        </w:rPr>
      </w:pPr>
      <w:r w:rsidRPr="004030DB">
        <w:rPr>
          <w:rFonts w:ascii="Arial" w:eastAsia="Times New Roman" w:hAnsi="Arial" w:cs="Arial"/>
          <w:color w:val="881798"/>
          <w:sz w:val="20"/>
          <w:szCs w:val="20"/>
          <w:lang w:val="en-GB" w:eastAsia="en-GB"/>
        </w:rPr>
        <w:t> </w:t>
      </w:r>
      <w:r w:rsidRPr="004030DB">
        <w:rPr>
          <w:rFonts w:ascii="Arial" w:eastAsia="Times New Roman" w:hAnsi="Arial" w:cs="Arial"/>
          <w:color w:val="D13438"/>
          <w:sz w:val="20"/>
          <w:szCs w:val="20"/>
          <w:lang w:val="en-GB" w:eastAsia="en-GB"/>
        </w:rPr>
        <w:t> </w:t>
      </w:r>
    </w:p>
    <w:p w14:paraId="1C47FC84" w14:textId="77777777" w:rsidR="00FD2B58" w:rsidRPr="004030DB" w:rsidRDefault="00FD2B58" w:rsidP="00143BCB">
      <w:pPr>
        <w:widowControl/>
        <w:ind w:left="-30" w:right="-30"/>
        <w:jc w:val="both"/>
        <w:textAlignment w:val="baseline"/>
        <w:rPr>
          <w:rFonts w:ascii="Arial" w:eastAsia="Times New Roman" w:hAnsi="Arial" w:cs="Arial"/>
          <w:sz w:val="20"/>
          <w:szCs w:val="20"/>
          <w:lang w:val="en-GB" w:eastAsia="en-GB"/>
        </w:rPr>
      </w:pPr>
      <w:r w:rsidRPr="004030DB">
        <w:rPr>
          <w:rFonts w:ascii="Arial" w:eastAsia="Times New Roman" w:hAnsi="Arial" w:cs="Arial"/>
          <w:color w:val="231F20"/>
          <w:sz w:val="20"/>
          <w:szCs w:val="20"/>
          <w:lang w:val="en-GB" w:eastAsia="en-GB"/>
        </w:rPr>
        <w:t>People - Human resources policies provide processes and procedures to ensure that our employees and those employed in our supply chains are treated fairly at all times; these include:</w:t>
      </w:r>
      <w:r w:rsidRPr="004030DB">
        <w:rPr>
          <w:rFonts w:ascii="Arial" w:eastAsia="Times New Roman" w:hAnsi="Arial" w:cs="Arial"/>
          <w:color w:val="881798"/>
          <w:sz w:val="20"/>
          <w:szCs w:val="20"/>
          <w:lang w:val="en-GB" w:eastAsia="en-GB"/>
        </w:rPr>
        <w:t> </w:t>
      </w:r>
      <w:r w:rsidRPr="004030DB">
        <w:rPr>
          <w:rFonts w:ascii="Arial" w:eastAsia="Times New Roman" w:hAnsi="Arial" w:cs="Arial"/>
          <w:color w:val="D13438"/>
          <w:sz w:val="20"/>
          <w:szCs w:val="20"/>
          <w:lang w:val="en-GB" w:eastAsia="en-GB"/>
        </w:rPr>
        <w:t> </w:t>
      </w:r>
    </w:p>
    <w:p w14:paraId="10AF046F" w14:textId="77777777" w:rsidR="00FD2B58" w:rsidRPr="004030DB" w:rsidRDefault="00FD2B58" w:rsidP="00143BCB">
      <w:pPr>
        <w:widowControl/>
        <w:ind w:left="-30" w:right="-30"/>
        <w:jc w:val="both"/>
        <w:textAlignment w:val="baseline"/>
        <w:rPr>
          <w:rFonts w:ascii="Arial" w:eastAsia="Times New Roman" w:hAnsi="Arial" w:cs="Arial"/>
          <w:sz w:val="20"/>
          <w:szCs w:val="20"/>
          <w:lang w:val="en-GB" w:eastAsia="en-GB"/>
        </w:rPr>
      </w:pPr>
      <w:r w:rsidRPr="004030DB">
        <w:rPr>
          <w:rFonts w:ascii="Arial" w:eastAsia="Times New Roman" w:hAnsi="Arial" w:cs="Arial"/>
          <w:color w:val="D13438"/>
          <w:sz w:val="20"/>
          <w:szCs w:val="20"/>
          <w:lang w:val="en-GB" w:eastAsia="en-GB"/>
        </w:rPr>
        <w:t> </w:t>
      </w:r>
    </w:p>
    <w:p w14:paraId="2549DDCF" w14:textId="77777777" w:rsidR="00FD2B58" w:rsidRPr="004030DB" w:rsidRDefault="00FD2B58" w:rsidP="00E00F90">
      <w:pPr>
        <w:widowControl/>
        <w:numPr>
          <w:ilvl w:val="0"/>
          <w:numId w:val="32"/>
        </w:numPr>
        <w:ind w:left="360" w:firstLine="0"/>
        <w:jc w:val="both"/>
        <w:textAlignment w:val="baseline"/>
        <w:rPr>
          <w:rFonts w:ascii="Arial" w:eastAsia="Times New Roman" w:hAnsi="Arial" w:cs="Arial"/>
          <w:sz w:val="20"/>
          <w:szCs w:val="20"/>
          <w:lang w:val="en-GB" w:eastAsia="en-GB"/>
        </w:rPr>
      </w:pPr>
      <w:r w:rsidRPr="004030DB">
        <w:rPr>
          <w:rFonts w:ascii="Arial" w:eastAsia="Times New Roman" w:hAnsi="Arial" w:cs="Arial"/>
          <w:color w:val="231F20"/>
          <w:sz w:val="20"/>
          <w:szCs w:val="20"/>
          <w:lang w:val="en-GB" w:eastAsia="en-GB"/>
        </w:rPr>
        <w:t>Confirming the identities of all new employees and their right to work legally in the UK.</w:t>
      </w:r>
      <w:r w:rsidRPr="004030DB">
        <w:rPr>
          <w:rFonts w:ascii="Arial" w:eastAsia="Times New Roman" w:hAnsi="Arial" w:cs="Arial"/>
          <w:color w:val="881798"/>
          <w:sz w:val="20"/>
          <w:szCs w:val="20"/>
          <w:lang w:val="en-GB" w:eastAsia="en-GB"/>
        </w:rPr>
        <w:t> </w:t>
      </w:r>
      <w:r w:rsidRPr="004030DB">
        <w:rPr>
          <w:rFonts w:ascii="Arial" w:eastAsia="Times New Roman" w:hAnsi="Arial" w:cs="Arial"/>
          <w:color w:val="D13438"/>
          <w:sz w:val="20"/>
          <w:szCs w:val="20"/>
          <w:lang w:val="en-GB" w:eastAsia="en-GB"/>
        </w:rPr>
        <w:t> </w:t>
      </w:r>
    </w:p>
    <w:p w14:paraId="1DCF0C9E" w14:textId="77777777" w:rsidR="00FD2B58" w:rsidRPr="004030DB" w:rsidRDefault="00FD2B58" w:rsidP="00E00F90">
      <w:pPr>
        <w:widowControl/>
        <w:numPr>
          <w:ilvl w:val="0"/>
          <w:numId w:val="33"/>
        </w:numPr>
        <w:ind w:left="360" w:firstLine="0"/>
        <w:jc w:val="both"/>
        <w:textAlignment w:val="baseline"/>
        <w:rPr>
          <w:rFonts w:ascii="Arial" w:eastAsia="Times New Roman" w:hAnsi="Arial" w:cs="Arial"/>
          <w:sz w:val="20"/>
          <w:szCs w:val="20"/>
          <w:lang w:val="en-GB" w:eastAsia="en-GB"/>
        </w:rPr>
      </w:pPr>
      <w:r w:rsidRPr="004030DB">
        <w:rPr>
          <w:rFonts w:ascii="Arial" w:eastAsia="Times New Roman" w:hAnsi="Arial" w:cs="Arial"/>
          <w:color w:val="231F20"/>
          <w:sz w:val="20"/>
          <w:szCs w:val="20"/>
          <w:lang w:val="en-GB" w:eastAsia="en-GB"/>
        </w:rPr>
        <w:lastRenderedPageBreak/>
        <w:t>To have assurance from approved agencies that pre – employment clearance has been obtained for agency staff and to safeguard against human trafficking.</w:t>
      </w:r>
      <w:r w:rsidRPr="004030DB">
        <w:rPr>
          <w:rFonts w:ascii="Arial" w:eastAsia="Times New Roman" w:hAnsi="Arial" w:cs="Arial"/>
          <w:color w:val="881798"/>
          <w:sz w:val="20"/>
          <w:szCs w:val="20"/>
          <w:lang w:val="en-GB" w:eastAsia="en-GB"/>
        </w:rPr>
        <w:t> </w:t>
      </w:r>
      <w:r w:rsidRPr="004030DB">
        <w:rPr>
          <w:rFonts w:ascii="Arial" w:eastAsia="Times New Roman" w:hAnsi="Arial" w:cs="Arial"/>
          <w:color w:val="D13438"/>
          <w:sz w:val="20"/>
          <w:szCs w:val="20"/>
          <w:lang w:val="en-GB" w:eastAsia="en-GB"/>
        </w:rPr>
        <w:t> </w:t>
      </w:r>
    </w:p>
    <w:p w14:paraId="2B23C8A4" w14:textId="77777777" w:rsidR="00FD2B58" w:rsidRPr="004030DB" w:rsidRDefault="00FD2B58" w:rsidP="00E00F90">
      <w:pPr>
        <w:widowControl/>
        <w:numPr>
          <w:ilvl w:val="0"/>
          <w:numId w:val="34"/>
        </w:numPr>
        <w:ind w:left="360" w:firstLine="0"/>
        <w:jc w:val="both"/>
        <w:textAlignment w:val="baseline"/>
        <w:rPr>
          <w:rFonts w:ascii="Arial" w:eastAsia="Times New Roman" w:hAnsi="Arial" w:cs="Arial"/>
          <w:sz w:val="20"/>
          <w:szCs w:val="20"/>
          <w:lang w:val="en-GB" w:eastAsia="en-GB"/>
        </w:rPr>
      </w:pPr>
      <w:r w:rsidRPr="004030DB">
        <w:rPr>
          <w:rFonts w:ascii="Arial" w:eastAsia="Times New Roman" w:hAnsi="Arial" w:cs="Arial"/>
          <w:color w:val="231F20"/>
          <w:sz w:val="20"/>
          <w:szCs w:val="20"/>
          <w:lang w:val="en-GB" w:eastAsia="en-GB"/>
        </w:rPr>
        <w:t>All staff appointed are subject to references, immigration and identity checks, this is to ensure staff have the legal right to work in the UK.</w:t>
      </w:r>
      <w:r w:rsidRPr="004030DB">
        <w:rPr>
          <w:rFonts w:ascii="Arial" w:eastAsia="Times New Roman" w:hAnsi="Arial" w:cs="Arial"/>
          <w:color w:val="881798"/>
          <w:sz w:val="20"/>
          <w:szCs w:val="20"/>
          <w:lang w:val="en-GB" w:eastAsia="en-GB"/>
        </w:rPr>
        <w:t> </w:t>
      </w:r>
      <w:r w:rsidRPr="004030DB">
        <w:rPr>
          <w:rFonts w:ascii="Arial" w:eastAsia="Times New Roman" w:hAnsi="Arial" w:cs="Arial"/>
          <w:color w:val="D13438"/>
          <w:sz w:val="20"/>
          <w:szCs w:val="20"/>
          <w:lang w:val="en-GB" w:eastAsia="en-GB"/>
        </w:rPr>
        <w:t> </w:t>
      </w:r>
    </w:p>
    <w:p w14:paraId="16D4FABF" w14:textId="77777777" w:rsidR="00FD2B58" w:rsidRPr="004030DB" w:rsidRDefault="00FD2B58" w:rsidP="00E00F90">
      <w:pPr>
        <w:widowControl/>
        <w:numPr>
          <w:ilvl w:val="0"/>
          <w:numId w:val="35"/>
        </w:numPr>
        <w:ind w:left="360" w:firstLine="0"/>
        <w:jc w:val="both"/>
        <w:textAlignment w:val="baseline"/>
        <w:rPr>
          <w:rFonts w:ascii="Arial" w:eastAsia="Times New Roman" w:hAnsi="Arial" w:cs="Arial"/>
          <w:sz w:val="20"/>
          <w:szCs w:val="20"/>
          <w:lang w:val="en-GB" w:eastAsia="en-GB"/>
        </w:rPr>
      </w:pPr>
      <w:r w:rsidRPr="004030DB">
        <w:rPr>
          <w:rFonts w:ascii="Arial" w:eastAsia="Times New Roman" w:hAnsi="Arial" w:cs="Arial"/>
          <w:color w:val="231F20"/>
          <w:sz w:val="20"/>
          <w:szCs w:val="20"/>
          <w:lang w:val="en-GB" w:eastAsia="en-GB"/>
        </w:rPr>
        <w:t>The Trust has a set of values and behaviours that staff are expected to comply with, and all candidates are expected to demonstrate these attributes as part of the recruitment selection process.</w:t>
      </w:r>
      <w:r w:rsidRPr="004030DB">
        <w:rPr>
          <w:rFonts w:ascii="Arial" w:eastAsia="Times New Roman" w:hAnsi="Arial" w:cs="Arial"/>
          <w:color w:val="881798"/>
          <w:sz w:val="20"/>
          <w:szCs w:val="20"/>
          <w:lang w:val="en-GB" w:eastAsia="en-GB"/>
        </w:rPr>
        <w:t> </w:t>
      </w:r>
      <w:r w:rsidRPr="004030DB">
        <w:rPr>
          <w:rFonts w:ascii="Arial" w:eastAsia="Times New Roman" w:hAnsi="Arial" w:cs="Arial"/>
          <w:color w:val="D13438"/>
          <w:sz w:val="20"/>
          <w:szCs w:val="20"/>
          <w:lang w:val="en-GB" w:eastAsia="en-GB"/>
        </w:rPr>
        <w:t> </w:t>
      </w:r>
    </w:p>
    <w:p w14:paraId="03A42996" w14:textId="77777777" w:rsidR="00FD2B58" w:rsidRPr="004030DB" w:rsidRDefault="00FD2B58" w:rsidP="00E00F90">
      <w:pPr>
        <w:widowControl/>
        <w:numPr>
          <w:ilvl w:val="0"/>
          <w:numId w:val="36"/>
        </w:numPr>
        <w:ind w:left="360" w:firstLine="0"/>
        <w:jc w:val="both"/>
        <w:textAlignment w:val="baseline"/>
        <w:rPr>
          <w:rFonts w:ascii="Arial" w:eastAsia="Times New Roman" w:hAnsi="Arial" w:cs="Arial"/>
          <w:sz w:val="20"/>
          <w:szCs w:val="20"/>
          <w:lang w:val="en-GB" w:eastAsia="en-GB"/>
        </w:rPr>
      </w:pPr>
      <w:r w:rsidRPr="004030DB">
        <w:rPr>
          <w:rFonts w:ascii="Arial" w:eastAsia="Times New Roman" w:hAnsi="Arial" w:cs="Arial"/>
          <w:color w:val="231F20"/>
          <w:sz w:val="20"/>
          <w:szCs w:val="20"/>
          <w:lang w:val="en-GB" w:eastAsia="en-GB"/>
        </w:rPr>
        <w:t>Adopting the national pay, terms and conditions of service, the Trust has the assurance that all staff will be treated, fairly and that pay, terms and conditions will comply with the latest legislation.</w:t>
      </w:r>
      <w:r w:rsidRPr="004030DB">
        <w:rPr>
          <w:rFonts w:ascii="Arial" w:eastAsia="Times New Roman" w:hAnsi="Arial" w:cs="Arial"/>
          <w:color w:val="881798"/>
          <w:sz w:val="20"/>
          <w:szCs w:val="20"/>
          <w:lang w:val="en-GB" w:eastAsia="en-GB"/>
        </w:rPr>
        <w:t> </w:t>
      </w:r>
      <w:r w:rsidRPr="004030DB">
        <w:rPr>
          <w:rFonts w:ascii="Arial" w:eastAsia="Times New Roman" w:hAnsi="Arial" w:cs="Arial"/>
          <w:color w:val="D13438"/>
          <w:sz w:val="20"/>
          <w:szCs w:val="20"/>
          <w:lang w:val="en-GB" w:eastAsia="en-GB"/>
        </w:rPr>
        <w:t> </w:t>
      </w:r>
    </w:p>
    <w:p w14:paraId="4BDC1BCF" w14:textId="77777777" w:rsidR="00FD2B58" w:rsidRPr="004030DB" w:rsidRDefault="00FD2B58" w:rsidP="00E00F90">
      <w:pPr>
        <w:widowControl/>
        <w:numPr>
          <w:ilvl w:val="0"/>
          <w:numId w:val="37"/>
        </w:numPr>
        <w:ind w:left="360" w:firstLine="0"/>
        <w:jc w:val="both"/>
        <w:textAlignment w:val="baseline"/>
        <w:rPr>
          <w:rFonts w:ascii="Arial" w:eastAsia="Times New Roman" w:hAnsi="Arial" w:cs="Arial"/>
          <w:sz w:val="20"/>
          <w:szCs w:val="20"/>
          <w:lang w:val="en-GB" w:eastAsia="en-GB"/>
        </w:rPr>
      </w:pPr>
      <w:r w:rsidRPr="004030DB">
        <w:rPr>
          <w:rFonts w:ascii="Arial" w:eastAsia="Times New Roman" w:hAnsi="Arial" w:cs="Arial"/>
          <w:color w:val="231F20"/>
          <w:sz w:val="20"/>
          <w:szCs w:val="20"/>
          <w:lang w:val="en-GB" w:eastAsia="en-GB"/>
        </w:rPr>
        <w:t>The Trust has various employment policies and procedures in place designed to provide guidance and advice to staff and managers and also to comply with the relevant legislation. These are accessible on the intranet.</w:t>
      </w:r>
      <w:r w:rsidRPr="004030DB">
        <w:rPr>
          <w:rFonts w:ascii="Arial" w:eastAsia="Times New Roman" w:hAnsi="Arial" w:cs="Arial"/>
          <w:color w:val="881798"/>
          <w:sz w:val="20"/>
          <w:szCs w:val="20"/>
          <w:lang w:val="en-GB" w:eastAsia="en-GB"/>
        </w:rPr>
        <w:t> </w:t>
      </w:r>
      <w:r w:rsidRPr="004030DB">
        <w:rPr>
          <w:rFonts w:ascii="Arial" w:eastAsia="Times New Roman" w:hAnsi="Arial" w:cs="Arial"/>
          <w:color w:val="D13438"/>
          <w:sz w:val="20"/>
          <w:szCs w:val="20"/>
          <w:lang w:val="en-GB" w:eastAsia="en-GB"/>
        </w:rPr>
        <w:t> </w:t>
      </w:r>
    </w:p>
    <w:p w14:paraId="5623B681" w14:textId="77777777" w:rsidR="00FD2B58" w:rsidRPr="004030DB" w:rsidRDefault="00FD2B58" w:rsidP="00E00F90">
      <w:pPr>
        <w:widowControl/>
        <w:numPr>
          <w:ilvl w:val="0"/>
          <w:numId w:val="38"/>
        </w:numPr>
        <w:ind w:left="360" w:firstLine="0"/>
        <w:jc w:val="both"/>
        <w:textAlignment w:val="baseline"/>
        <w:rPr>
          <w:rFonts w:ascii="Arial" w:eastAsia="Times New Roman" w:hAnsi="Arial" w:cs="Arial"/>
          <w:sz w:val="20"/>
          <w:szCs w:val="20"/>
          <w:lang w:val="en-GB" w:eastAsia="en-GB"/>
        </w:rPr>
      </w:pPr>
      <w:r w:rsidRPr="004030DB">
        <w:rPr>
          <w:rFonts w:ascii="Arial" w:eastAsia="Times New Roman" w:hAnsi="Arial" w:cs="Arial"/>
          <w:color w:val="231F20"/>
          <w:sz w:val="20"/>
          <w:szCs w:val="20"/>
          <w:lang w:val="en-GB" w:eastAsia="en-GB"/>
        </w:rPr>
        <w:t>The Trust is committed to creating and ensuring a non – discriminatory and respectful working environment for all staff, this is in line with its corporate social responsibilities.</w:t>
      </w:r>
      <w:r w:rsidRPr="004030DB">
        <w:rPr>
          <w:rFonts w:ascii="Arial" w:eastAsia="Times New Roman" w:hAnsi="Arial" w:cs="Arial"/>
          <w:color w:val="881798"/>
          <w:sz w:val="20"/>
          <w:szCs w:val="20"/>
          <w:lang w:val="en-GB" w:eastAsia="en-GB"/>
        </w:rPr>
        <w:t> </w:t>
      </w:r>
      <w:r w:rsidRPr="004030DB">
        <w:rPr>
          <w:rFonts w:ascii="Arial" w:eastAsia="Times New Roman" w:hAnsi="Arial" w:cs="Arial"/>
          <w:color w:val="D13438"/>
          <w:sz w:val="20"/>
          <w:szCs w:val="20"/>
          <w:lang w:val="en-GB" w:eastAsia="en-GB"/>
        </w:rPr>
        <w:t> </w:t>
      </w:r>
    </w:p>
    <w:p w14:paraId="331D58B1" w14:textId="77777777" w:rsidR="00FD2B58" w:rsidRPr="004030DB" w:rsidRDefault="00FD2B58" w:rsidP="00E00F90">
      <w:pPr>
        <w:widowControl/>
        <w:numPr>
          <w:ilvl w:val="0"/>
          <w:numId w:val="39"/>
        </w:numPr>
        <w:ind w:left="360" w:firstLine="0"/>
        <w:jc w:val="both"/>
        <w:textAlignment w:val="baseline"/>
        <w:rPr>
          <w:rFonts w:ascii="Arial" w:eastAsia="Times New Roman" w:hAnsi="Arial" w:cs="Arial"/>
          <w:sz w:val="20"/>
          <w:szCs w:val="20"/>
          <w:lang w:val="en-GB" w:eastAsia="en-GB"/>
        </w:rPr>
      </w:pPr>
      <w:r w:rsidRPr="004030DB">
        <w:rPr>
          <w:rFonts w:ascii="Arial" w:eastAsia="Times New Roman" w:hAnsi="Arial" w:cs="Arial"/>
          <w:color w:val="231F20"/>
          <w:sz w:val="20"/>
          <w:szCs w:val="20"/>
          <w:lang w:val="en-GB" w:eastAsia="en-GB"/>
        </w:rPr>
        <w:t>The Trust’s Equality, Diversity and Inclusion, Grievance, Respect and Dignity at Work and Whistleblowing policies and procedures additionally give a platform for all employees the Freedom to Speak Up and to raise concerns about poor working practices.</w:t>
      </w:r>
      <w:r w:rsidRPr="004030DB">
        <w:rPr>
          <w:rFonts w:ascii="Arial" w:eastAsia="Times New Roman" w:hAnsi="Arial" w:cs="Arial"/>
          <w:color w:val="881798"/>
          <w:sz w:val="20"/>
          <w:szCs w:val="20"/>
          <w:lang w:val="en-GB" w:eastAsia="en-GB"/>
        </w:rPr>
        <w:t> </w:t>
      </w:r>
      <w:r w:rsidRPr="004030DB">
        <w:rPr>
          <w:rFonts w:ascii="Arial" w:eastAsia="Times New Roman" w:hAnsi="Arial" w:cs="Arial"/>
          <w:color w:val="D13438"/>
          <w:sz w:val="20"/>
          <w:szCs w:val="20"/>
          <w:lang w:val="en-GB" w:eastAsia="en-GB"/>
        </w:rPr>
        <w:t> </w:t>
      </w:r>
    </w:p>
    <w:p w14:paraId="07E05260" w14:textId="77777777" w:rsidR="00FD2B58" w:rsidRPr="004030DB" w:rsidRDefault="00FD2B58" w:rsidP="00E00F90">
      <w:pPr>
        <w:widowControl/>
        <w:numPr>
          <w:ilvl w:val="0"/>
          <w:numId w:val="40"/>
        </w:numPr>
        <w:ind w:left="360" w:firstLine="0"/>
        <w:jc w:val="both"/>
        <w:textAlignment w:val="baseline"/>
        <w:rPr>
          <w:rFonts w:ascii="Arial" w:eastAsia="Times New Roman" w:hAnsi="Arial" w:cs="Arial"/>
          <w:sz w:val="20"/>
          <w:szCs w:val="20"/>
          <w:lang w:val="en-GB" w:eastAsia="en-GB"/>
        </w:rPr>
      </w:pPr>
      <w:r w:rsidRPr="004030DB">
        <w:rPr>
          <w:rFonts w:ascii="Arial" w:eastAsia="Times New Roman" w:hAnsi="Arial" w:cs="Arial"/>
          <w:color w:val="231F20"/>
          <w:sz w:val="20"/>
          <w:szCs w:val="20"/>
          <w:lang w:val="en-GB" w:eastAsia="en-GB"/>
        </w:rPr>
        <w:t>Ensuring appropriate mechanisms to regularly review and monitor progress on promoting and supporting diversity and inclusion within the Trust.</w:t>
      </w:r>
      <w:r w:rsidRPr="004030DB">
        <w:rPr>
          <w:rFonts w:ascii="Arial" w:eastAsia="Times New Roman" w:hAnsi="Arial" w:cs="Arial"/>
          <w:color w:val="881798"/>
          <w:sz w:val="20"/>
          <w:szCs w:val="20"/>
          <w:lang w:val="en-GB" w:eastAsia="en-GB"/>
        </w:rPr>
        <w:t> </w:t>
      </w:r>
      <w:r w:rsidRPr="004030DB">
        <w:rPr>
          <w:rFonts w:ascii="Arial" w:eastAsia="Times New Roman" w:hAnsi="Arial" w:cs="Arial"/>
          <w:color w:val="D13438"/>
          <w:sz w:val="20"/>
          <w:szCs w:val="20"/>
          <w:lang w:val="en-GB" w:eastAsia="en-GB"/>
        </w:rPr>
        <w:t> </w:t>
      </w:r>
    </w:p>
    <w:p w14:paraId="43C4D8B5" w14:textId="77777777" w:rsidR="00FD2B58" w:rsidRPr="004030DB" w:rsidRDefault="00FD2B58" w:rsidP="00E00F90">
      <w:pPr>
        <w:widowControl/>
        <w:numPr>
          <w:ilvl w:val="0"/>
          <w:numId w:val="41"/>
        </w:numPr>
        <w:ind w:left="360" w:firstLine="0"/>
        <w:jc w:val="both"/>
        <w:textAlignment w:val="baseline"/>
        <w:rPr>
          <w:rFonts w:ascii="Arial" w:eastAsia="Times New Roman" w:hAnsi="Arial" w:cs="Arial"/>
          <w:sz w:val="20"/>
          <w:szCs w:val="20"/>
          <w:lang w:val="en-GB" w:eastAsia="en-GB"/>
        </w:rPr>
      </w:pPr>
      <w:r w:rsidRPr="004030DB">
        <w:rPr>
          <w:rFonts w:ascii="Arial" w:eastAsia="Times New Roman" w:hAnsi="Arial" w:cs="Arial"/>
          <w:color w:val="231F20"/>
          <w:sz w:val="20"/>
          <w:szCs w:val="20"/>
          <w:lang w:val="en-GB" w:eastAsia="en-GB"/>
        </w:rPr>
        <w:t>All staff are required to undertake mandatory training in relation to diversity and inclusion and safeguarding.</w:t>
      </w:r>
      <w:r w:rsidRPr="004030DB">
        <w:rPr>
          <w:rFonts w:ascii="Arial" w:eastAsia="Times New Roman" w:hAnsi="Arial" w:cs="Arial"/>
          <w:color w:val="881798"/>
          <w:sz w:val="20"/>
          <w:szCs w:val="20"/>
          <w:lang w:val="en-GB" w:eastAsia="en-GB"/>
        </w:rPr>
        <w:t> </w:t>
      </w:r>
      <w:r w:rsidRPr="004030DB">
        <w:rPr>
          <w:rFonts w:ascii="Arial" w:eastAsia="Times New Roman" w:hAnsi="Arial" w:cs="Arial"/>
          <w:color w:val="D13438"/>
          <w:sz w:val="20"/>
          <w:szCs w:val="20"/>
          <w:lang w:val="en-GB" w:eastAsia="en-GB"/>
        </w:rPr>
        <w:t> </w:t>
      </w:r>
    </w:p>
    <w:p w14:paraId="71BA7B8E" w14:textId="77777777" w:rsidR="00FD2B58" w:rsidRPr="004030DB" w:rsidRDefault="00FD2B58" w:rsidP="00143BCB">
      <w:pPr>
        <w:widowControl/>
        <w:jc w:val="both"/>
        <w:textAlignment w:val="baseline"/>
        <w:rPr>
          <w:rFonts w:ascii="Arial" w:eastAsia="Times New Roman" w:hAnsi="Arial" w:cs="Arial"/>
          <w:sz w:val="20"/>
          <w:szCs w:val="20"/>
          <w:lang w:val="en-GB" w:eastAsia="en-GB"/>
        </w:rPr>
      </w:pPr>
      <w:r w:rsidRPr="004030DB">
        <w:rPr>
          <w:rFonts w:ascii="Arial" w:eastAsia="Times New Roman" w:hAnsi="Arial" w:cs="Arial"/>
          <w:color w:val="881798"/>
          <w:sz w:val="20"/>
          <w:szCs w:val="20"/>
          <w:lang w:val="en-GB" w:eastAsia="en-GB"/>
        </w:rPr>
        <w:t> </w:t>
      </w:r>
      <w:r w:rsidRPr="004030DB">
        <w:rPr>
          <w:rFonts w:ascii="Arial" w:eastAsia="Times New Roman" w:hAnsi="Arial" w:cs="Arial"/>
          <w:color w:val="D13438"/>
          <w:sz w:val="20"/>
          <w:szCs w:val="20"/>
          <w:lang w:val="en-GB" w:eastAsia="en-GB"/>
        </w:rPr>
        <w:t> </w:t>
      </w:r>
    </w:p>
    <w:p w14:paraId="1A22F4B1" w14:textId="77777777" w:rsidR="00FD2B58" w:rsidRPr="004030DB" w:rsidRDefault="00FD2B58" w:rsidP="00143BCB">
      <w:pPr>
        <w:widowControl/>
        <w:ind w:left="-30" w:right="-30"/>
        <w:jc w:val="both"/>
        <w:textAlignment w:val="baseline"/>
        <w:rPr>
          <w:rFonts w:ascii="Arial" w:eastAsia="Times New Roman" w:hAnsi="Arial" w:cs="Arial"/>
          <w:sz w:val="20"/>
          <w:szCs w:val="20"/>
          <w:lang w:val="en-GB" w:eastAsia="en-GB"/>
        </w:rPr>
      </w:pPr>
      <w:r w:rsidRPr="004030DB">
        <w:rPr>
          <w:rFonts w:ascii="Arial" w:eastAsia="Times New Roman" w:hAnsi="Arial" w:cs="Arial"/>
          <w:color w:val="231F20"/>
          <w:sz w:val="20"/>
          <w:szCs w:val="20"/>
          <w:lang w:val="en-GB" w:eastAsia="en-GB"/>
        </w:rPr>
        <w:t>Whistleblowing (Freedom to Speak Up) – The Trust’s Whistleblowing policy gives a platform for employees to raise concerns for further investigation and offers support to individuals that have suffered fiscal or professional detriment as a result of whistleblowing. </w:t>
      </w:r>
      <w:r w:rsidRPr="004030DB">
        <w:rPr>
          <w:rFonts w:ascii="Arial" w:eastAsia="Times New Roman" w:hAnsi="Arial" w:cs="Arial"/>
          <w:color w:val="881798"/>
          <w:sz w:val="20"/>
          <w:szCs w:val="20"/>
          <w:lang w:val="en-GB" w:eastAsia="en-GB"/>
        </w:rPr>
        <w:t> </w:t>
      </w:r>
      <w:r w:rsidRPr="004030DB">
        <w:rPr>
          <w:rFonts w:ascii="Arial" w:eastAsia="Times New Roman" w:hAnsi="Arial" w:cs="Arial"/>
          <w:color w:val="D13438"/>
          <w:sz w:val="20"/>
          <w:szCs w:val="20"/>
          <w:lang w:val="en-GB" w:eastAsia="en-GB"/>
        </w:rPr>
        <w:t> </w:t>
      </w:r>
    </w:p>
    <w:p w14:paraId="4A11F8C0" w14:textId="77777777" w:rsidR="00FD2B58" w:rsidRPr="004030DB" w:rsidRDefault="00FD2B58" w:rsidP="00E00F90">
      <w:pPr>
        <w:widowControl/>
        <w:numPr>
          <w:ilvl w:val="0"/>
          <w:numId w:val="42"/>
        </w:numPr>
        <w:ind w:left="360" w:firstLine="0"/>
        <w:jc w:val="both"/>
        <w:textAlignment w:val="baseline"/>
        <w:rPr>
          <w:rFonts w:ascii="Arial" w:eastAsia="Times New Roman" w:hAnsi="Arial" w:cs="Arial"/>
          <w:sz w:val="20"/>
          <w:szCs w:val="20"/>
          <w:lang w:val="en-GB" w:eastAsia="en-GB"/>
        </w:rPr>
      </w:pPr>
      <w:r w:rsidRPr="004030DB">
        <w:rPr>
          <w:rFonts w:ascii="Arial" w:eastAsia="Times New Roman" w:hAnsi="Arial" w:cs="Arial"/>
          <w:color w:val="231F20"/>
          <w:sz w:val="20"/>
          <w:szCs w:val="20"/>
          <w:lang w:val="en-GB" w:eastAsia="en-GB"/>
        </w:rPr>
        <w:t>The Trust operates a Freedom to Speak Up, Raising Concerns at Work, so employees feel empowered to raise concerns around poor practices, health and safety or illegal activities which may bring harm to the Trust.</w:t>
      </w:r>
      <w:r w:rsidRPr="004030DB">
        <w:rPr>
          <w:rFonts w:ascii="Arial" w:eastAsia="Times New Roman" w:hAnsi="Arial" w:cs="Arial"/>
          <w:color w:val="881798"/>
          <w:sz w:val="20"/>
          <w:szCs w:val="20"/>
          <w:lang w:val="en-GB" w:eastAsia="en-GB"/>
        </w:rPr>
        <w:t> </w:t>
      </w:r>
      <w:r w:rsidRPr="004030DB">
        <w:rPr>
          <w:rFonts w:ascii="Arial" w:eastAsia="Times New Roman" w:hAnsi="Arial" w:cs="Arial"/>
          <w:color w:val="D13438"/>
          <w:sz w:val="20"/>
          <w:szCs w:val="20"/>
          <w:lang w:val="en-GB" w:eastAsia="en-GB"/>
        </w:rPr>
        <w:t> </w:t>
      </w:r>
    </w:p>
    <w:p w14:paraId="2E80BE69" w14:textId="77777777" w:rsidR="00FD2B58" w:rsidRPr="004030DB" w:rsidRDefault="00FD2B58" w:rsidP="00143BCB">
      <w:pPr>
        <w:widowControl/>
        <w:jc w:val="both"/>
        <w:textAlignment w:val="baseline"/>
        <w:rPr>
          <w:rFonts w:ascii="Arial" w:eastAsia="Times New Roman" w:hAnsi="Arial" w:cs="Arial"/>
          <w:sz w:val="20"/>
          <w:szCs w:val="20"/>
          <w:lang w:val="en-GB" w:eastAsia="en-GB"/>
        </w:rPr>
      </w:pPr>
      <w:r w:rsidRPr="004030DB">
        <w:rPr>
          <w:rFonts w:ascii="Arial" w:eastAsia="Times New Roman" w:hAnsi="Arial" w:cs="Arial"/>
          <w:color w:val="881798"/>
          <w:sz w:val="20"/>
          <w:szCs w:val="20"/>
          <w:lang w:val="en-GB" w:eastAsia="en-GB"/>
        </w:rPr>
        <w:t> </w:t>
      </w:r>
      <w:r w:rsidRPr="004030DB">
        <w:rPr>
          <w:rFonts w:ascii="Arial" w:eastAsia="Times New Roman" w:hAnsi="Arial" w:cs="Arial"/>
          <w:color w:val="D13438"/>
          <w:sz w:val="20"/>
          <w:szCs w:val="20"/>
          <w:lang w:val="en-GB" w:eastAsia="en-GB"/>
        </w:rPr>
        <w:t> </w:t>
      </w:r>
    </w:p>
    <w:p w14:paraId="1C1581C3" w14:textId="77777777" w:rsidR="00FD2B58" w:rsidRPr="004030DB" w:rsidRDefault="00FD2B58" w:rsidP="00143BCB">
      <w:pPr>
        <w:widowControl/>
        <w:ind w:left="-30" w:right="-30"/>
        <w:jc w:val="both"/>
        <w:textAlignment w:val="baseline"/>
        <w:rPr>
          <w:rFonts w:ascii="Arial" w:eastAsia="Times New Roman" w:hAnsi="Arial" w:cs="Arial"/>
          <w:sz w:val="20"/>
          <w:szCs w:val="20"/>
          <w:lang w:val="en-GB" w:eastAsia="en-GB"/>
        </w:rPr>
      </w:pPr>
      <w:r w:rsidRPr="004030DB">
        <w:rPr>
          <w:rFonts w:ascii="Arial" w:eastAsia="Times New Roman" w:hAnsi="Arial" w:cs="Arial"/>
          <w:color w:val="231F20"/>
          <w:sz w:val="20"/>
          <w:szCs w:val="20"/>
          <w:lang w:val="en-GB" w:eastAsia="en-GB"/>
        </w:rPr>
        <w:t>Safeguarding – The Trust is committed to the principles setup in the safeguarding adults and children policies. </w:t>
      </w:r>
      <w:r w:rsidRPr="004030DB">
        <w:rPr>
          <w:rFonts w:ascii="Arial" w:eastAsia="Times New Roman" w:hAnsi="Arial" w:cs="Arial"/>
          <w:color w:val="881798"/>
          <w:sz w:val="20"/>
          <w:szCs w:val="20"/>
          <w:lang w:val="en-GB" w:eastAsia="en-GB"/>
        </w:rPr>
        <w:t> </w:t>
      </w:r>
      <w:r w:rsidRPr="004030DB">
        <w:rPr>
          <w:rFonts w:ascii="Arial" w:eastAsia="Times New Roman" w:hAnsi="Arial" w:cs="Arial"/>
          <w:color w:val="D13438"/>
          <w:sz w:val="20"/>
          <w:szCs w:val="20"/>
          <w:lang w:val="en-GB" w:eastAsia="en-GB"/>
        </w:rPr>
        <w:t> </w:t>
      </w:r>
    </w:p>
    <w:p w14:paraId="001FD17D" w14:textId="77777777" w:rsidR="00FD2B58" w:rsidRPr="004030DB" w:rsidRDefault="00FD2B58" w:rsidP="00E00F90">
      <w:pPr>
        <w:widowControl/>
        <w:numPr>
          <w:ilvl w:val="0"/>
          <w:numId w:val="43"/>
        </w:numPr>
        <w:ind w:left="360" w:firstLine="0"/>
        <w:jc w:val="both"/>
        <w:textAlignment w:val="baseline"/>
        <w:rPr>
          <w:rFonts w:ascii="Arial" w:eastAsia="Times New Roman" w:hAnsi="Arial" w:cs="Arial"/>
          <w:sz w:val="20"/>
          <w:szCs w:val="20"/>
          <w:lang w:val="en-GB" w:eastAsia="en-GB"/>
        </w:rPr>
      </w:pPr>
      <w:r w:rsidRPr="004030DB">
        <w:rPr>
          <w:rFonts w:ascii="Arial" w:eastAsia="Times New Roman" w:hAnsi="Arial" w:cs="Arial"/>
          <w:color w:val="231F20"/>
          <w:sz w:val="20"/>
          <w:szCs w:val="20"/>
          <w:lang w:val="en-GB" w:eastAsia="en-GB"/>
        </w:rPr>
        <w:t>The Trust is compliant with Medway multiagency agreements.</w:t>
      </w:r>
      <w:r w:rsidRPr="004030DB">
        <w:rPr>
          <w:rFonts w:ascii="Arial" w:eastAsia="Times New Roman" w:hAnsi="Arial" w:cs="Arial"/>
          <w:color w:val="881798"/>
          <w:sz w:val="20"/>
          <w:szCs w:val="20"/>
          <w:lang w:val="en-GB" w:eastAsia="en-GB"/>
        </w:rPr>
        <w:t> </w:t>
      </w:r>
      <w:r w:rsidRPr="004030DB">
        <w:rPr>
          <w:rFonts w:ascii="Arial" w:eastAsia="Times New Roman" w:hAnsi="Arial" w:cs="Arial"/>
          <w:color w:val="D13438"/>
          <w:sz w:val="20"/>
          <w:szCs w:val="20"/>
          <w:lang w:val="en-GB" w:eastAsia="en-GB"/>
        </w:rPr>
        <w:t> </w:t>
      </w:r>
    </w:p>
    <w:p w14:paraId="5FB44C00" w14:textId="77777777" w:rsidR="00FD2B58" w:rsidRPr="004030DB" w:rsidRDefault="00FD2B58" w:rsidP="00E00F90">
      <w:pPr>
        <w:widowControl/>
        <w:numPr>
          <w:ilvl w:val="0"/>
          <w:numId w:val="44"/>
        </w:numPr>
        <w:ind w:left="360" w:firstLine="0"/>
        <w:jc w:val="both"/>
        <w:textAlignment w:val="baseline"/>
        <w:rPr>
          <w:rFonts w:ascii="Arial" w:eastAsia="Times New Roman" w:hAnsi="Arial" w:cs="Arial"/>
          <w:sz w:val="20"/>
          <w:szCs w:val="20"/>
          <w:lang w:val="en-GB" w:eastAsia="en-GB"/>
        </w:rPr>
      </w:pPr>
      <w:r w:rsidRPr="004030DB">
        <w:rPr>
          <w:rFonts w:ascii="Arial" w:eastAsia="Times New Roman" w:hAnsi="Arial" w:cs="Arial"/>
          <w:color w:val="231F20"/>
          <w:sz w:val="20"/>
          <w:szCs w:val="20"/>
          <w:lang w:val="en-GB" w:eastAsia="en-GB"/>
        </w:rPr>
        <w:t>Ensure clear safeguarding guidance so that employees, contractors, patients and the public are able to raise safeguarding concerns about how they are being treated or/ and about working practices at the Trust.</w:t>
      </w:r>
      <w:r w:rsidRPr="004030DB">
        <w:rPr>
          <w:rFonts w:ascii="Arial" w:eastAsia="Times New Roman" w:hAnsi="Arial" w:cs="Arial"/>
          <w:color w:val="881798"/>
          <w:sz w:val="20"/>
          <w:szCs w:val="20"/>
          <w:lang w:val="en-GB" w:eastAsia="en-GB"/>
        </w:rPr>
        <w:t> </w:t>
      </w:r>
      <w:r w:rsidRPr="004030DB">
        <w:rPr>
          <w:rFonts w:ascii="Arial" w:eastAsia="Times New Roman" w:hAnsi="Arial" w:cs="Arial"/>
          <w:color w:val="D13438"/>
          <w:sz w:val="20"/>
          <w:szCs w:val="20"/>
          <w:lang w:val="en-GB" w:eastAsia="en-GB"/>
        </w:rPr>
        <w:t> </w:t>
      </w:r>
    </w:p>
    <w:p w14:paraId="22D4808F" w14:textId="77777777" w:rsidR="00FD2B58" w:rsidRPr="004030DB" w:rsidRDefault="00FD2B58" w:rsidP="00143BCB">
      <w:pPr>
        <w:widowControl/>
        <w:ind w:firstLine="60"/>
        <w:jc w:val="both"/>
        <w:textAlignment w:val="baseline"/>
        <w:rPr>
          <w:rFonts w:ascii="Arial" w:eastAsia="Times New Roman" w:hAnsi="Arial" w:cs="Arial"/>
          <w:sz w:val="20"/>
          <w:szCs w:val="20"/>
          <w:lang w:val="en-GB" w:eastAsia="en-GB"/>
        </w:rPr>
      </w:pPr>
      <w:r w:rsidRPr="004030DB">
        <w:rPr>
          <w:rFonts w:ascii="Arial" w:eastAsia="Times New Roman" w:hAnsi="Arial" w:cs="Arial"/>
          <w:color w:val="D13438"/>
          <w:sz w:val="20"/>
          <w:szCs w:val="20"/>
          <w:lang w:val="en-GB" w:eastAsia="en-GB"/>
        </w:rPr>
        <w:t> </w:t>
      </w:r>
    </w:p>
    <w:p w14:paraId="4D54A6AB" w14:textId="77777777" w:rsidR="00FD2B58" w:rsidRPr="004030DB" w:rsidRDefault="00FD2B58" w:rsidP="00143BCB">
      <w:pPr>
        <w:widowControl/>
        <w:ind w:left="-30" w:right="-30"/>
        <w:jc w:val="both"/>
        <w:textAlignment w:val="baseline"/>
        <w:rPr>
          <w:rFonts w:ascii="Arial" w:eastAsia="Times New Roman" w:hAnsi="Arial" w:cs="Arial"/>
          <w:sz w:val="20"/>
          <w:szCs w:val="20"/>
          <w:lang w:val="en-GB" w:eastAsia="en-GB"/>
        </w:rPr>
      </w:pPr>
      <w:r w:rsidRPr="004030DB">
        <w:rPr>
          <w:rFonts w:ascii="Arial" w:eastAsia="Times New Roman" w:hAnsi="Arial" w:cs="Arial"/>
          <w:color w:val="231F20"/>
          <w:sz w:val="20"/>
          <w:szCs w:val="20"/>
          <w:lang w:val="en-GB" w:eastAsia="en-GB"/>
        </w:rPr>
        <w:t>The Trusts approach to procurement and its supply chain includes:</w:t>
      </w:r>
      <w:r w:rsidRPr="004030DB">
        <w:rPr>
          <w:rFonts w:ascii="Arial" w:eastAsia="Times New Roman" w:hAnsi="Arial" w:cs="Arial"/>
          <w:color w:val="881798"/>
          <w:sz w:val="20"/>
          <w:szCs w:val="20"/>
          <w:lang w:val="en-GB" w:eastAsia="en-GB"/>
        </w:rPr>
        <w:t> </w:t>
      </w:r>
      <w:r w:rsidRPr="004030DB">
        <w:rPr>
          <w:rFonts w:ascii="Arial" w:eastAsia="Times New Roman" w:hAnsi="Arial" w:cs="Arial"/>
          <w:color w:val="D13438"/>
          <w:sz w:val="20"/>
          <w:szCs w:val="20"/>
          <w:lang w:val="en-GB" w:eastAsia="en-GB"/>
        </w:rPr>
        <w:t> </w:t>
      </w:r>
    </w:p>
    <w:p w14:paraId="438ADB37" w14:textId="77777777" w:rsidR="00FD2B58" w:rsidRPr="004030DB" w:rsidRDefault="00FD2B58" w:rsidP="00E00F90">
      <w:pPr>
        <w:widowControl/>
        <w:numPr>
          <w:ilvl w:val="0"/>
          <w:numId w:val="45"/>
        </w:numPr>
        <w:ind w:left="360" w:firstLine="0"/>
        <w:jc w:val="both"/>
        <w:textAlignment w:val="baseline"/>
        <w:rPr>
          <w:rFonts w:ascii="Arial" w:eastAsia="Times New Roman" w:hAnsi="Arial" w:cs="Arial"/>
          <w:sz w:val="20"/>
          <w:szCs w:val="20"/>
          <w:lang w:val="en-GB" w:eastAsia="en-GB"/>
        </w:rPr>
      </w:pPr>
      <w:r w:rsidRPr="004030DB">
        <w:rPr>
          <w:rFonts w:ascii="Arial" w:eastAsia="Times New Roman" w:hAnsi="Arial" w:cs="Arial"/>
          <w:color w:val="231F20"/>
          <w:sz w:val="20"/>
          <w:szCs w:val="20"/>
          <w:lang w:val="en-GB" w:eastAsia="en-GB"/>
        </w:rPr>
        <w:t>Ensuring that our suppliers are carefully selected through robust supplier selection criteria/processes;</w:t>
      </w:r>
      <w:r w:rsidRPr="004030DB">
        <w:rPr>
          <w:rFonts w:ascii="Arial" w:eastAsia="Times New Roman" w:hAnsi="Arial" w:cs="Arial"/>
          <w:color w:val="881798"/>
          <w:sz w:val="20"/>
          <w:szCs w:val="20"/>
          <w:lang w:val="en-GB" w:eastAsia="en-GB"/>
        </w:rPr>
        <w:t> </w:t>
      </w:r>
      <w:r w:rsidRPr="004030DB">
        <w:rPr>
          <w:rFonts w:ascii="Arial" w:eastAsia="Times New Roman" w:hAnsi="Arial" w:cs="Arial"/>
          <w:color w:val="D13438"/>
          <w:sz w:val="20"/>
          <w:szCs w:val="20"/>
          <w:lang w:val="en-GB" w:eastAsia="en-GB"/>
        </w:rPr>
        <w:t> </w:t>
      </w:r>
    </w:p>
    <w:p w14:paraId="4108B8CD" w14:textId="77777777" w:rsidR="00FD2B58" w:rsidRPr="004030DB" w:rsidRDefault="00FD2B58" w:rsidP="00E00F90">
      <w:pPr>
        <w:widowControl/>
        <w:numPr>
          <w:ilvl w:val="0"/>
          <w:numId w:val="46"/>
        </w:numPr>
        <w:ind w:left="360" w:firstLine="0"/>
        <w:jc w:val="both"/>
        <w:textAlignment w:val="baseline"/>
        <w:rPr>
          <w:rFonts w:ascii="Arial" w:eastAsia="Times New Roman" w:hAnsi="Arial" w:cs="Arial"/>
          <w:sz w:val="20"/>
          <w:szCs w:val="20"/>
          <w:lang w:val="en-GB" w:eastAsia="en-GB"/>
        </w:rPr>
      </w:pPr>
      <w:r w:rsidRPr="004030DB">
        <w:rPr>
          <w:rFonts w:ascii="Arial" w:eastAsia="Times New Roman" w:hAnsi="Arial" w:cs="Arial"/>
          <w:color w:val="231F20"/>
          <w:sz w:val="20"/>
          <w:szCs w:val="20"/>
          <w:lang w:val="en-GB" w:eastAsia="en-GB"/>
        </w:rPr>
        <w:t>Requiring that the main contractor provides details of its sub-contractor(s) to enable the Trust to check their credentials;</w:t>
      </w:r>
      <w:r w:rsidRPr="004030DB">
        <w:rPr>
          <w:rFonts w:ascii="Arial" w:eastAsia="Times New Roman" w:hAnsi="Arial" w:cs="Arial"/>
          <w:color w:val="881798"/>
          <w:sz w:val="20"/>
          <w:szCs w:val="20"/>
          <w:lang w:val="en-GB" w:eastAsia="en-GB"/>
        </w:rPr>
        <w:t> </w:t>
      </w:r>
      <w:r w:rsidRPr="004030DB">
        <w:rPr>
          <w:rFonts w:ascii="Arial" w:eastAsia="Times New Roman" w:hAnsi="Arial" w:cs="Arial"/>
          <w:color w:val="D13438"/>
          <w:sz w:val="20"/>
          <w:szCs w:val="20"/>
          <w:lang w:val="en-GB" w:eastAsia="en-GB"/>
        </w:rPr>
        <w:t> </w:t>
      </w:r>
    </w:p>
    <w:p w14:paraId="06A678ED" w14:textId="77777777" w:rsidR="00FD2B58" w:rsidRPr="004030DB" w:rsidRDefault="00FD2B58" w:rsidP="00E00F90">
      <w:pPr>
        <w:widowControl/>
        <w:numPr>
          <w:ilvl w:val="0"/>
          <w:numId w:val="47"/>
        </w:numPr>
        <w:ind w:left="360" w:firstLine="0"/>
        <w:jc w:val="both"/>
        <w:textAlignment w:val="baseline"/>
        <w:rPr>
          <w:rFonts w:ascii="Arial" w:eastAsia="Times New Roman" w:hAnsi="Arial" w:cs="Arial"/>
          <w:sz w:val="20"/>
          <w:szCs w:val="20"/>
          <w:lang w:val="en-GB" w:eastAsia="en-GB"/>
        </w:rPr>
      </w:pPr>
      <w:r w:rsidRPr="004030DB">
        <w:rPr>
          <w:rFonts w:ascii="Arial" w:eastAsia="Times New Roman" w:hAnsi="Arial" w:cs="Arial"/>
          <w:color w:val="231F20"/>
          <w:sz w:val="20"/>
          <w:szCs w:val="20"/>
          <w:lang w:val="en-GB" w:eastAsia="en-GB"/>
        </w:rPr>
        <w:t>Random requests that the main contractor provides details of its supply chain;</w:t>
      </w:r>
      <w:r w:rsidRPr="004030DB">
        <w:rPr>
          <w:rFonts w:ascii="Arial" w:eastAsia="Times New Roman" w:hAnsi="Arial" w:cs="Arial"/>
          <w:color w:val="881798"/>
          <w:sz w:val="20"/>
          <w:szCs w:val="20"/>
          <w:lang w:val="en-GB" w:eastAsia="en-GB"/>
        </w:rPr>
        <w:t> </w:t>
      </w:r>
      <w:r w:rsidRPr="004030DB">
        <w:rPr>
          <w:rFonts w:ascii="Arial" w:eastAsia="Times New Roman" w:hAnsi="Arial" w:cs="Arial"/>
          <w:color w:val="D13438"/>
          <w:sz w:val="20"/>
          <w:szCs w:val="20"/>
          <w:lang w:val="en-GB" w:eastAsia="en-GB"/>
        </w:rPr>
        <w:t> </w:t>
      </w:r>
    </w:p>
    <w:p w14:paraId="3B79D784" w14:textId="77777777" w:rsidR="00FD2B58" w:rsidRPr="004030DB" w:rsidRDefault="00FD2B58" w:rsidP="00E00F90">
      <w:pPr>
        <w:widowControl/>
        <w:numPr>
          <w:ilvl w:val="0"/>
          <w:numId w:val="48"/>
        </w:numPr>
        <w:ind w:left="360" w:firstLine="0"/>
        <w:jc w:val="both"/>
        <w:textAlignment w:val="baseline"/>
        <w:rPr>
          <w:rFonts w:ascii="Arial" w:eastAsia="Times New Roman" w:hAnsi="Arial" w:cs="Arial"/>
          <w:sz w:val="20"/>
          <w:szCs w:val="20"/>
          <w:lang w:val="en-GB" w:eastAsia="en-GB"/>
        </w:rPr>
      </w:pPr>
      <w:r w:rsidRPr="004030DB">
        <w:rPr>
          <w:rFonts w:ascii="Arial" w:eastAsia="Times New Roman" w:hAnsi="Arial" w:cs="Arial"/>
          <w:color w:val="231F20"/>
          <w:sz w:val="20"/>
          <w:szCs w:val="20"/>
          <w:lang w:val="en-GB" w:eastAsia="en-GB"/>
        </w:rPr>
        <w:t>Ensuring invitation to tender documents contain a clause on human rights issues;</w:t>
      </w:r>
      <w:r w:rsidRPr="004030DB">
        <w:rPr>
          <w:rFonts w:ascii="Arial" w:eastAsia="Times New Roman" w:hAnsi="Arial" w:cs="Arial"/>
          <w:color w:val="881798"/>
          <w:sz w:val="20"/>
          <w:szCs w:val="20"/>
          <w:lang w:val="en-GB" w:eastAsia="en-GB"/>
        </w:rPr>
        <w:t> </w:t>
      </w:r>
      <w:r w:rsidRPr="004030DB">
        <w:rPr>
          <w:rFonts w:ascii="Arial" w:eastAsia="Times New Roman" w:hAnsi="Arial" w:cs="Arial"/>
          <w:color w:val="D13438"/>
          <w:sz w:val="20"/>
          <w:szCs w:val="20"/>
          <w:lang w:val="en-GB" w:eastAsia="en-GB"/>
        </w:rPr>
        <w:t> </w:t>
      </w:r>
    </w:p>
    <w:p w14:paraId="4C4DBE5D" w14:textId="77777777" w:rsidR="00FD2B58" w:rsidRPr="004030DB" w:rsidRDefault="00FD2B58" w:rsidP="00E00F90">
      <w:pPr>
        <w:widowControl/>
        <w:numPr>
          <w:ilvl w:val="0"/>
          <w:numId w:val="49"/>
        </w:numPr>
        <w:ind w:left="360" w:firstLine="0"/>
        <w:jc w:val="both"/>
        <w:textAlignment w:val="baseline"/>
        <w:rPr>
          <w:rFonts w:ascii="Arial" w:eastAsia="Times New Roman" w:hAnsi="Arial" w:cs="Arial"/>
          <w:sz w:val="20"/>
          <w:szCs w:val="20"/>
          <w:lang w:val="en-GB" w:eastAsia="en-GB"/>
        </w:rPr>
      </w:pPr>
      <w:r w:rsidRPr="004030DB">
        <w:rPr>
          <w:rFonts w:ascii="Arial" w:eastAsia="Times New Roman" w:hAnsi="Arial" w:cs="Arial"/>
          <w:color w:val="231F20"/>
          <w:sz w:val="20"/>
          <w:szCs w:val="20"/>
          <w:lang w:val="en-GB" w:eastAsia="en-GB"/>
        </w:rPr>
        <w:t>Ensuring invitation to tender documents also contain clauses giving the Trust the right to terminate a contract for failure to comply with labour laws;</w:t>
      </w:r>
      <w:r w:rsidRPr="004030DB">
        <w:rPr>
          <w:rFonts w:ascii="Arial" w:eastAsia="Times New Roman" w:hAnsi="Arial" w:cs="Arial"/>
          <w:color w:val="881798"/>
          <w:sz w:val="20"/>
          <w:szCs w:val="20"/>
          <w:lang w:val="en-GB" w:eastAsia="en-GB"/>
        </w:rPr>
        <w:t> </w:t>
      </w:r>
      <w:r w:rsidRPr="004030DB">
        <w:rPr>
          <w:rFonts w:ascii="Arial" w:eastAsia="Times New Roman" w:hAnsi="Arial" w:cs="Arial"/>
          <w:color w:val="D13438"/>
          <w:sz w:val="20"/>
          <w:szCs w:val="20"/>
          <w:lang w:val="en-GB" w:eastAsia="en-GB"/>
        </w:rPr>
        <w:t> </w:t>
      </w:r>
    </w:p>
    <w:p w14:paraId="5D8CE6B3" w14:textId="77777777" w:rsidR="00FD2B58" w:rsidRPr="004030DB" w:rsidRDefault="00FD2B58" w:rsidP="00E00F90">
      <w:pPr>
        <w:widowControl/>
        <w:numPr>
          <w:ilvl w:val="0"/>
          <w:numId w:val="50"/>
        </w:numPr>
        <w:ind w:left="360" w:firstLine="0"/>
        <w:jc w:val="both"/>
        <w:textAlignment w:val="baseline"/>
        <w:rPr>
          <w:rFonts w:ascii="Arial" w:eastAsia="Times New Roman" w:hAnsi="Arial" w:cs="Arial"/>
          <w:sz w:val="20"/>
          <w:szCs w:val="20"/>
          <w:lang w:val="en-GB" w:eastAsia="en-GB"/>
        </w:rPr>
      </w:pPr>
      <w:r w:rsidRPr="004030DB">
        <w:rPr>
          <w:rFonts w:ascii="Arial" w:eastAsia="Times New Roman" w:hAnsi="Arial" w:cs="Arial"/>
          <w:color w:val="231F20"/>
          <w:sz w:val="20"/>
          <w:szCs w:val="20"/>
          <w:lang w:val="en-GB" w:eastAsia="en-GB"/>
        </w:rPr>
        <w:t>Using the standard Supplier Selection Questionnaire (SQ) that has been introduced (which includes a section on Modern Day Slavery).</w:t>
      </w:r>
      <w:r w:rsidRPr="004030DB">
        <w:rPr>
          <w:rFonts w:ascii="Arial" w:eastAsia="Times New Roman" w:hAnsi="Arial" w:cs="Arial"/>
          <w:color w:val="881798"/>
          <w:sz w:val="20"/>
          <w:szCs w:val="20"/>
          <w:lang w:val="en-GB" w:eastAsia="en-GB"/>
        </w:rPr>
        <w:t> </w:t>
      </w:r>
      <w:r w:rsidRPr="004030DB">
        <w:rPr>
          <w:rFonts w:ascii="Arial" w:eastAsia="Times New Roman" w:hAnsi="Arial" w:cs="Arial"/>
          <w:color w:val="D13438"/>
          <w:sz w:val="20"/>
          <w:szCs w:val="20"/>
          <w:lang w:val="en-GB" w:eastAsia="en-GB"/>
        </w:rPr>
        <w:t> </w:t>
      </w:r>
    </w:p>
    <w:p w14:paraId="017B56F8" w14:textId="77777777" w:rsidR="00FD2B58" w:rsidRPr="004030DB" w:rsidRDefault="00FD2B58" w:rsidP="00E00F90">
      <w:pPr>
        <w:widowControl/>
        <w:numPr>
          <w:ilvl w:val="0"/>
          <w:numId w:val="51"/>
        </w:numPr>
        <w:ind w:left="360" w:firstLine="0"/>
        <w:jc w:val="both"/>
        <w:textAlignment w:val="baseline"/>
        <w:rPr>
          <w:rFonts w:ascii="Arial" w:eastAsia="Times New Roman" w:hAnsi="Arial" w:cs="Arial"/>
          <w:sz w:val="20"/>
          <w:szCs w:val="20"/>
          <w:lang w:val="en-GB" w:eastAsia="en-GB"/>
        </w:rPr>
      </w:pPr>
      <w:r w:rsidRPr="004030DB">
        <w:rPr>
          <w:rFonts w:ascii="Arial" w:eastAsia="Times New Roman" w:hAnsi="Arial" w:cs="Arial"/>
          <w:color w:val="231F20"/>
          <w:sz w:val="20"/>
          <w:szCs w:val="20"/>
          <w:lang w:val="en-GB" w:eastAsia="en-GB"/>
        </w:rPr>
        <w:t>Trust staff must contact and work with the Procurement department when looking to work with new suppliers so appropriate checks can be undertaken.</w:t>
      </w:r>
      <w:r w:rsidRPr="004030DB">
        <w:rPr>
          <w:rFonts w:ascii="Arial" w:eastAsia="Times New Roman" w:hAnsi="Arial" w:cs="Arial"/>
          <w:color w:val="881798"/>
          <w:sz w:val="20"/>
          <w:szCs w:val="20"/>
          <w:lang w:val="en-GB" w:eastAsia="en-GB"/>
        </w:rPr>
        <w:t> </w:t>
      </w:r>
      <w:r w:rsidRPr="004030DB">
        <w:rPr>
          <w:rFonts w:ascii="Arial" w:eastAsia="Times New Roman" w:hAnsi="Arial" w:cs="Arial"/>
          <w:color w:val="D13438"/>
          <w:sz w:val="20"/>
          <w:szCs w:val="20"/>
          <w:lang w:val="en-GB" w:eastAsia="en-GB"/>
        </w:rPr>
        <w:t> </w:t>
      </w:r>
    </w:p>
    <w:p w14:paraId="73C417D2" w14:textId="77777777" w:rsidR="00FD2B58" w:rsidRPr="004030DB" w:rsidRDefault="00FD2B58" w:rsidP="00E00F90">
      <w:pPr>
        <w:widowControl/>
        <w:numPr>
          <w:ilvl w:val="0"/>
          <w:numId w:val="52"/>
        </w:numPr>
        <w:ind w:left="360" w:firstLine="0"/>
        <w:jc w:val="both"/>
        <w:textAlignment w:val="baseline"/>
        <w:rPr>
          <w:rFonts w:ascii="Arial" w:eastAsia="Times New Roman" w:hAnsi="Arial" w:cs="Arial"/>
          <w:sz w:val="20"/>
          <w:szCs w:val="20"/>
          <w:lang w:val="en-GB" w:eastAsia="en-GB"/>
        </w:rPr>
      </w:pPr>
      <w:r w:rsidRPr="004030DB">
        <w:rPr>
          <w:rFonts w:ascii="Arial" w:eastAsia="Times New Roman" w:hAnsi="Arial" w:cs="Arial"/>
          <w:color w:val="231F20"/>
          <w:sz w:val="20"/>
          <w:szCs w:val="20"/>
          <w:lang w:val="en-GB" w:eastAsia="en-GB"/>
        </w:rPr>
        <w:t>Supplier adherence to Trust values: the Trust has zero tolerance to slavery and human trafficking and thereby expect all direct and indirect suppliers/contractors to follow suit.</w:t>
      </w:r>
      <w:r w:rsidRPr="004030DB">
        <w:rPr>
          <w:rFonts w:ascii="Arial" w:eastAsia="Times New Roman" w:hAnsi="Arial" w:cs="Arial"/>
          <w:color w:val="881798"/>
          <w:sz w:val="20"/>
          <w:szCs w:val="20"/>
          <w:lang w:val="en-GB" w:eastAsia="en-GB"/>
        </w:rPr>
        <w:t> </w:t>
      </w:r>
      <w:r w:rsidRPr="004030DB">
        <w:rPr>
          <w:rFonts w:ascii="Arial" w:eastAsia="Times New Roman" w:hAnsi="Arial" w:cs="Arial"/>
          <w:color w:val="D13438"/>
          <w:sz w:val="20"/>
          <w:szCs w:val="20"/>
          <w:lang w:val="en-GB" w:eastAsia="en-GB"/>
        </w:rPr>
        <w:t> </w:t>
      </w:r>
    </w:p>
    <w:p w14:paraId="44D2C82E" w14:textId="77777777" w:rsidR="00143BCB" w:rsidRPr="004030DB" w:rsidRDefault="00FD2B58" w:rsidP="00E00F90">
      <w:pPr>
        <w:widowControl/>
        <w:numPr>
          <w:ilvl w:val="0"/>
          <w:numId w:val="53"/>
        </w:numPr>
        <w:ind w:left="360" w:firstLine="0"/>
        <w:jc w:val="both"/>
        <w:textAlignment w:val="baseline"/>
        <w:rPr>
          <w:rFonts w:ascii="Arial" w:eastAsia="Times New Roman" w:hAnsi="Arial" w:cs="Arial"/>
          <w:sz w:val="20"/>
          <w:szCs w:val="20"/>
          <w:lang w:val="en-GB" w:eastAsia="en-GB"/>
        </w:rPr>
      </w:pPr>
      <w:r w:rsidRPr="004030DB">
        <w:rPr>
          <w:rFonts w:ascii="Arial" w:eastAsia="Times New Roman" w:hAnsi="Arial" w:cs="Arial"/>
          <w:color w:val="231F20"/>
          <w:sz w:val="20"/>
          <w:szCs w:val="20"/>
          <w:lang w:val="en-GB" w:eastAsia="en-GB"/>
        </w:rPr>
        <w:t>Where it is verified that a subcontractor has breached the child labour laws or human trafficking, then this subcontractor will be excluded in accordance with Regulation 57 of the Public Contracts Regulations 2015.  The Trust will require that the main contractor substitute a new subcontractor.</w:t>
      </w:r>
      <w:r w:rsidRPr="004030DB">
        <w:rPr>
          <w:rFonts w:ascii="Arial" w:eastAsia="Times New Roman" w:hAnsi="Arial" w:cs="Arial"/>
          <w:color w:val="881798"/>
          <w:sz w:val="20"/>
          <w:szCs w:val="20"/>
          <w:lang w:val="en-GB" w:eastAsia="en-GB"/>
        </w:rPr>
        <w:t> </w:t>
      </w:r>
      <w:r w:rsidRPr="004030DB">
        <w:rPr>
          <w:rFonts w:ascii="Arial" w:eastAsia="Times New Roman" w:hAnsi="Arial" w:cs="Arial"/>
          <w:color w:val="D13438"/>
          <w:sz w:val="20"/>
          <w:szCs w:val="20"/>
          <w:lang w:val="en-GB" w:eastAsia="en-GB"/>
        </w:rPr>
        <w:t> </w:t>
      </w:r>
    </w:p>
    <w:p w14:paraId="65565983" w14:textId="77777777" w:rsidR="00143BCB" w:rsidRDefault="00143BCB" w:rsidP="00FD2B58">
      <w:pPr>
        <w:widowControl/>
        <w:textAlignment w:val="baseline"/>
        <w:rPr>
          <w:rFonts w:ascii="Segoe UI" w:eastAsia="Times New Roman" w:hAnsi="Segoe UI" w:cs="Segoe UI"/>
          <w:sz w:val="20"/>
          <w:szCs w:val="20"/>
          <w:lang w:val="en-GB" w:eastAsia="en-GB"/>
        </w:rPr>
      </w:pPr>
    </w:p>
    <w:p w14:paraId="3CB4D766" w14:textId="283603FA" w:rsidR="00C74C2C" w:rsidRDefault="00C74C2C" w:rsidP="00FD2B58">
      <w:pPr>
        <w:widowControl/>
        <w:textAlignment w:val="baseline"/>
        <w:rPr>
          <w:rFonts w:ascii="Segoe UI" w:eastAsia="Times New Roman" w:hAnsi="Segoe UI" w:cs="Segoe UI"/>
          <w:sz w:val="20"/>
          <w:szCs w:val="20"/>
          <w:lang w:val="en-GB" w:eastAsia="en-GB"/>
        </w:rPr>
      </w:pPr>
    </w:p>
    <w:p w14:paraId="3B4359CC" w14:textId="21D8C7FE" w:rsidR="00983279" w:rsidRDefault="00983279" w:rsidP="00FD2B58">
      <w:pPr>
        <w:widowControl/>
        <w:textAlignment w:val="baseline"/>
        <w:rPr>
          <w:rFonts w:ascii="Segoe UI" w:eastAsia="Times New Roman" w:hAnsi="Segoe UI" w:cs="Segoe UI"/>
          <w:sz w:val="20"/>
          <w:szCs w:val="20"/>
          <w:lang w:val="en-GB" w:eastAsia="en-GB"/>
        </w:rPr>
      </w:pPr>
    </w:p>
    <w:p w14:paraId="4E6F9B40" w14:textId="77777777" w:rsidR="00983279" w:rsidRDefault="00983279" w:rsidP="00143BCB">
      <w:pPr>
        <w:widowControl/>
        <w:jc w:val="both"/>
        <w:textAlignment w:val="baseline"/>
        <w:rPr>
          <w:rFonts w:ascii="Arial" w:eastAsia="Times New Roman" w:hAnsi="Arial" w:cs="Arial"/>
          <w:b/>
          <w:bCs/>
          <w:sz w:val="20"/>
          <w:szCs w:val="20"/>
          <w:lang w:val="en-GB" w:eastAsia="en-GB"/>
        </w:rPr>
      </w:pPr>
    </w:p>
    <w:p w14:paraId="66CAE700" w14:textId="77777777" w:rsidR="00983279" w:rsidRDefault="00983279" w:rsidP="00143BCB">
      <w:pPr>
        <w:widowControl/>
        <w:jc w:val="both"/>
        <w:textAlignment w:val="baseline"/>
        <w:rPr>
          <w:rFonts w:ascii="Arial" w:eastAsia="Times New Roman" w:hAnsi="Arial" w:cs="Arial"/>
          <w:b/>
          <w:bCs/>
          <w:sz w:val="20"/>
          <w:szCs w:val="20"/>
          <w:lang w:val="en-GB" w:eastAsia="en-GB"/>
        </w:rPr>
      </w:pPr>
    </w:p>
    <w:p w14:paraId="00B8319C" w14:textId="2AA3BE5E" w:rsidR="00AC0BAB" w:rsidRPr="00C74C2C" w:rsidRDefault="00FD2B58" w:rsidP="00143BCB">
      <w:pPr>
        <w:widowControl/>
        <w:jc w:val="both"/>
        <w:textAlignment w:val="baseline"/>
        <w:rPr>
          <w:rFonts w:ascii="Arial" w:eastAsia="Times New Roman" w:hAnsi="Arial" w:cs="Arial"/>
          <w:color w:val="D13438"/>
          <w:sz w:val="20"/>
          <w:szCs w:val="20"/>
          <w:lang w:val="en-GB" w:eastAsia="en-GB"/>
        </w:rPr>
      </w:pPr>
      <w:r w:rsidRPr="004030DB">
        <w:rPr>
          <w:rFonts w:ascii="Arial" w:eastAsia="Times New Roman" w:hAnsi="Arial" w:cs="Arial"/>
          <w:b/>
          <w:bCs/>
          <w:sz w:val="20"/>
          <w:szCs w:val="20"/>
          <w:lang w:val="en-GB" w:eastAsia="en-GB"/>
        </w:rPr>
        <w:lastRenderedPageBreak/>
        <w:t>Trade Union Facility Time</w:t>
      </w:r>
      <w:r w:rsidRPr="004030DB">
        <w:rPr>
          <w:rFonts w:ascii="Arial" w:eastAsia="Times New Roman" w:hAnsi="Arial" w:cs="Arial"/>
          <w:color w:val="881798"/>
          <w:sz w:val="20"/>
          <w:szCs w:val="20"/>
          <w:lang w:val="en-GB" w:eastAsia="en-GB"/>
        </w:rPr>
        <w:t> </w:t>
      </w:r>
      <w:r w:rsidRPr="004030DB">
        <w:rPr>
          <w:rFonts w:ascii="Arial" w:eastAsia="Times New Roman" w:hAnsi="Arial" w:cs="Arial"/>
          <w:color w:val="D13438"/>
          <w:sz w:val="20"/>
          <w:szCs w:val="20"/>
          <w:lang w:val="en-GB" w:eastAsia="en-GB"/>
        </w:rPr>
        <w:t> </w:t>
      </w:r>
    </w:p>
    <w:p w14:paraId="3553E113" w14:textId="77777777" w:rsidR="00FD2B58" w:rsidRPr="004030DB" w:rsidRDefault="00FD2B58" w:rsidP="00143BCB">
      <w:pPr>
        <w:widowControl/>
        <w:jc w:val="both"/>
        <w:textAlignment w:val="baseline"/>
        <w:rPr>
          <w:rFonts w:ascii="Arial" w:eastAsia="Times New Roman" w:hAnsi="Arial" w:cs="Arial"/>
          <w:sz w:val="20"/>
          <w:szCs w:val="20"/>
          <w:lang w:val="en-GB" w:eastAsia="en-GB"/>
        </w:rPr>
      </w:pPr>
      <w:r w:rsidRPr="004030DB">
        <w:rPr>
          <w:rFonts w:ascii="Arial" w:eastAsia="Times New Roman" w:hAnsi="Arial" w:cs="Arial"/>
          <w:sz w:val="20"/>
          <w:szCs w:val="20"/>
          <w:u w:val="single"/>
          <w:lang w:val="en-GB" w:eastAsia="en-GB"/>
        </w:rPr>
        <w:t>Trade Union Facility Time Disclosures</w:t>
      </w:r>
      <w:r w:rsidRPr="004030DB">
        <w:rPr>
          <w:rFonts w:ascii="Arial" w:eastAsia="Times New Roman" w:hAnsi="Arial" w:cs="Arial"/>
          <w:color w:val="881798"/>
          <w:sz w:val="20"/>
          <w:szCs w:val="20"/>
          <w:u w:val="single"/>
          <w:lang w:val="en-GB" w:eastAsia="en-GB"/>
        </w:rPr>
        <w:t> </w:t>
      </w:r>
      <w:r w:rsidRPr="004030DB">
        <w:rPr>
          <w:rFonts w:ascii="Arial" w:eastAsia="Times New Roman" w:hAnsi="Arial" w:cs="Arial"/>
          <w:color w:val="D13438"/>
          <w:sz w:val="20"/>
          <w:szCs w:val="20"/>
          <w:lang w:val="en-GB" w:eastAsia="en-GB"/>
        </w:rPr>
        <w:t> </w:t>
      </w:r>
    </w:p>
    <w:p w14:paraId="6DEE609B" w14:textId="77777777" w:rsidR="00FD2B58" w:rsidRPr="004030DB" w:rsidRDefault="00FD2B58" w:rsidP="00143BCB">
      <w:pPr>
        <w:widowControl/>
        <w:jc w:val="both"/>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The Trust and recognised Trade Unions work through a partnership agreement to describe the partnership, processes and structures which are linked to shared goals and objectives.  The agreement outlines how it will work together to promote effective partnership regarding the workforce implications of delivering and developing the services provided to patients.  In line with the Trade Union (Facility Time Publication Requirements) Regulations 2017, the Trust is required to produce an annual report detailing the facility time (the provision of time off from an employee’s normal role to undertake Trade Union duties and activities when they are elected as a Trade Union representative); this information is provided below.  The first publication year was 01 April 2017 to 31 March 2018 and the data must be published on or by 31 July every year thereafter.</w:t>
      </w:r>
      <w:r w:rsidRPr="004030DB">
        <w:rPr>
          <w:rFonts w:ascii="Arial" w:eastAsia="Times New Roman" w:hAnsi="Arial" w:cs="Arial"/>
          <w:color w:val="881798"/>
          <w:sz w:val="20"/>
          <w:szCs w:val="20"/>
          <w:lang w:val="en-GB" w:eastAsia="en-GB"/>
        </w:rPr>
        <w:t> </w:t>
      </w:r>
      <w:r w:rsidRPr="004030DB">
        <w:rPr>
          <w:rFonts w:ascii="Arial" w:eastAsia="Times New Roman" w:hAnsi="Arial" w:cs="Arial"/>
          <w:color w:val="D13438"/>
          <w:sz w:val="20"/>
          <w:szCs w:val="20"/>
          <w:lang w:val="en-GB" w:eastAsia="en-GB"/>
        </w:rPr>
        <w:t> </w:t>
      </w:r>
    </w:p>
    <w:p w14:paraId="6CFD0351" w14:textId="77777777" w:rsidR="00FD2B58" w:rsidRPr="004030DB" w:rsidRDefault="00FD2B58" w:rsidP="00143BCB">
      <w:pPr>
        <w:widowControl/>
        <w:jc w:val="both"/>
        <w:textAlignment w:val="baseline"/>
        <w:rPr>
          <w:rFonts w:ascii="Arial" w:eastAsia="Times New Roman" w:hAnsi="Arial" w:cs="Arial"/>
          <w:sz w:val="20"/>
          <w:szCs w:val="20"/>
          <w:lang w:val="en-GB" w:eastAsia="en-GB"/>
        </w:rPr>
      </w:pPr>
      <w:r w:rsidRPr="004030DB">
        <w:rPr>
          <w:rFonts w:ascii="Arial" w:eastAsia="Times New Roman" w:hAnsi="Arial" w:cs="Arial"/>
          <w:color w:val="D13438"/>
          <w:sz w:val="20"/>
          <w:szCs w:val="20"/>
          <w:lang w:val="en-GB" w:eastAsia="en-GB"/>
        </w:rPr>
        <w:t> </w:t>
      </w:r>
    </w:p>
    <w:p w14:paraId="41753D53" w14:textId="77777777" w:rsidR="00FD2B58" w:rsidRPr="004030DB" w:rsidRDefault="00FD2B58" w:rsidP="00143BCB">
      <w:pPr>
        <w:widowControl/>
        <w:jc w:val="both"/>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val="en-GB" w:eastAsia="en-GB"/>
        </w:rPr>
        <w:t>Table 1 – Relevant Union Officials </w:t>
      </w:r>
      <w:r w:rsidRPr="004030DB">
        <w:rPr>
          <w:rFonts w:ascii="Arial" w:eastAsia="Times New Roman" w:hAnsi="Arial" w:cs="Arial"/>
          <w:color w:val="D13438"/>
          <w:sz w:val="20"/>
          <w:szCs w:val="20"/>
          <w:lang w:val="en-GB" w:eastAsia="en-GB"/>
        </w:rPr>
        <w:t> </w:t>
      </w:r>
    </w:p>
    <w:p w14:paraId="49BE7F94" w14:textId="77777777" w:rsidR="00FD2B58" w:rsidRPr="004030DB" w:rsidRDefault="00FD2B58" w:rsidP="00143BCB">
      <w:pPr>
        <w:widowControl/>
        <w:jc w:val="both"/>
        <w:textAlignment w:val="baseline"/>
        <w:rPr>
          <w:rFonts w:ascii="Arial" w:eastAsia="Times New Roman" w:hAnsi="Arial" w:cs="Arial"/>
          <w:sz w:val="20"/>
          <w:szCs w:val="20"/>
          <w:lang w:val="en-GB" w:eastAsia="en-GB"/>
        </w:rPr>
      </w:pPr>
      <w:r w:rsidRPr="004030DB">
        <w:rPr>
          <w:rFonts w:ascii="Arial" w:eastAsia="Times New Roman" w:hAnsi="Arial" w:cs="Arial"/>
          <w:b/>
          <w:bCs/>
          <w:i/>
          <w:iCs/>
          <w:sz w:val="20"/>
          <w:szCs w:val="20"/>
          <w:lang w:val="en-GB" w:eastAsia="en-GB"/>
        </w:rPr>
        <w:t>What was the total number of your employees who were relevant union officials during the relevant period?</w:t>
      </w:r>
      <w:r w:rsidRPr="004030DB">
        <w:rPr>
          <w:rFonts w:ascii="Arial" w:eastAsia="Times New Roman" w:hAnsi="Arial" w:cs="Arial"/>
          <w:color w:val="D13438"/>
          <w:sz w:val="20"/>
          <w:szCs w:val="20"/>
          <w:lang w:val="en-GB" w:eastAsia="en-GB"/>
        </w:rPr>
        <w:t> </w:t>
      </w:r>
    </w:p>
    <w:p w14:paraId="2C313638" w14:textId="77777777" w:rsidR="00FD2B58" w:rsidRPr="004030DB" w:rsidRDefault="00FD2B58" w:rsidP="00143BCB">
      <w:pPr>
        <w:widowControl/>
        <w:jc w:val="both"/>
        <w:textAlignment w:val="baseline"/>
        <w:rPr>
          <w:rFonts w:ascii="Arial" w:eastAsia="Times New Roman" w:hAnsi="Arial" w:cs="Arial"/>
          <w:sz w:val="20"/>
          <w:szCs w:val="20"/>
          <w:lang w:val="en-GB" w:eastAsia="en-GB"/>
        </w:rPr>
      </w:pPr>
      <w:r w:rsidRPr="004030DB">
        <w:rPr>
          <w:rFonts w:ascii="Arial" w:eastAsia="Times New Roman" w:hAnsi="Arial" w:cs="Arial"/>
          <w:color w:val="D13438"/>
          <w:sz w:val="20"/>
          <w:szCs w:val="20"/>
          <w:lang w:val="en-GB"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00"/>
        <w:gridCol w:w="4500"/>
      </w:tblGrid>
      <w:tr w:rsidR="00FD2B58" w:rsidRPr="004030DB" w14:paraId="7D61B80E" w14:textId="77777777" w:rsidTr="00FD2B58">
        <w:trPr>
          <w:trHeight w:val="300"/>
        </w:trPr>
        <w:tc>
          <w:tcPr>
            <w:tcW w:w="4500" w:type="dxa"/>
            <w:tcBorders>
              <w:top w:val="single" w:sz="6" w:space="0" w:color="auto"/>
              <w:left w:val="single" w:sz="6" w:space="0" w:color="auto"/>
              <w:bottom w:val="single" w:sz="6" w:space="0" w:color="auto"/>
              <w:right w:val="single" w:sz="6" w:space="0" w:color="auto"/>
            </w:tcBorders>
            <w:hideMark/>
          </w:tcPr>
          <w:p w14:paraId="76F9D9EF"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b/>
                <w:bCs/>
                <w:sz w:val="20"/>
                <w:szCs w:val="20"/>
                <w:lang w:val="en-GB" w:eastAsia="en-GB"/>
              </w:rPr>
              <w:t>Number of employees who were relevant union officials during the relevant period</w:t>
            </w:r>
            <w:r w:rsidRPr="004030DB">
              <w:rPr>
                <w:rFonts w:ascii="Arial" w:eastAsia="Times New Roman" w:hAnsi="Arial" w:cs="Arial"/>
                <w:color w:val="D13438"/>
                <w:sz w:val="20"/>
                <w:szCs w:val="20"/>
                <w:lang w:val="en-GB"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6A2A8CA0"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b/>
                <w:bCs/>
                <w:sz w:val="20"/>
                <w:szCs w:val="20"/>
                <w:lang w:val="en-GB" w:eastAsia="en-GB"/>
              </w:rPr>
              <w:t>Full-time equivalent employee number</w:t>
            </w:r>
            <w:r w:rsidRPr="004030DB">
              <w:rPr>
                <w:rFonts w:ascii="Arial" w:eastAsia="Times New Roman" w:hAnsi="Arial" w:cs="Arial"/>
                <w:color w:val="D13438"/>
                <w:sz w:val="20"/>
                <w:szCs w:val="20"/>
                <w:lang w:val="en-GB" w:eastAsia="en-GB"/>
              </w:rPr>
              <w:t> </w:t>
            </w:r>
          </w:p>
        </w:tc>
      </w:tr>
      <w:tr w:rsidR="00FD2B58" w:rsidRPr="004030DB" w14:paraId="1B5B3911" w14:textId="77777777" w:rsidTr="00FD2B58">
        <w:trPr>
          <w:trHeight w:val="300"/>
        </w:trPr>
        <w:tc>
          <w:tcPr>
            <w:tcW w:w="4500" w:type="dxa"/>
            <w:tcBorders>
              <w:top w:val="single" w:sz="6" w:space="0" w:color="auto"/>
              <w:left w:val="single" w:sz="6" w:space="0" w:color="auto"/>
              <w:bottom w:val="single" w:sz="6" w:space="0" w:color="auto"/>
              <w:right w:val="single" w:sz="6" w:space="0" w:color="auto"/>
            </w:tcBorders>
            <w:hideMark/>
          </w:tcPr>
          <w:p w14:paraId="28DEDA70"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sz w:val="20"/>
                <w:szCs w:val="20"/>
                <w:lang w:val="en-GB" w:eastAsia="en-GB"/>
              </w:rPr>
              <w:t>15 </w:t>
            </w:r>
          </w:p>
        </w:tc>
        <w:tc>
          <w:tcPr>
            <w:tcW w:w="4500" w:type="dxa"/>
            <w:tcBorders>
              <w:top w:val="single" w:sz="6" w:space="0" w:color="auto"/>
              <w:left w:val="single" w:sz="6" w:space="0" w:color="auto"/>
              <w:bottom w:val="single" w:sz="6" w:space="0" w:color="auto"/>
              <w:right w:val="single" w:sz="6" w:space="0" w:color="auto"/>
            </w:tcBorders>
            <w:hideMark/>
          </w:tcPr>
          <w:p w14:paraId="086EBD27"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sz w:val="20"/>
                <w:szCs w:val="20"/>
                <w:lang w:val="en-GB" w:eastAsia="en-GB"/>
              </w:rPr>
              <w:t>13.09 </w:t>
            </w:r>
          </w:p>
        </w:tc>
      </w:tr>
    </w:tbl>
    <w:p w14:paraId="15A907FC" w14:textId="77777777" w:rsidR="00FD2B58" w:rsidRPr="004030DB" w:rsidRDefault="00FD2B58" w:rsidP="00FD2B58">
      <w:pPr>
        <w:widowControl/>
        <w:textAlignment w:val="baseline"/>
        <w:rPr>
          <w:rFonts w:ascii="Calibri" w:eastAsia="Times New Roman" w:hAnsi="Calibri" w:cs="Calibri"/>
          <w:color w:val="D13438"/>
          <w:sz w:val="20"/>
          <w:szCs w:val="20"/>
          <w:lang w:val="en-GB" w:eastAsia="en-GB"/>
        </w:rPr>
      </w:pPr>
      <w:r w:rsidRPr="004030DB">
        <w:rPr>
          <w:rFonts w:ascii="Calibri" w:eastAsia="Times New Roman" w:hAnsi="Calibri" w:cs="Calibri"/>
          <w:color w:val="D13438"/>
          <w:sz w:val="20"/>
          <w:szCs w:val="20"/>
          <w:lang w:val="en-GB" w:eastAsia="en-GB"/>
        </w:rPr>
        <w:t> </w:t>
      </w:r>
    </w:p>
    <w:p w14:paraId="10A41AFA" w14:textId="77777777" w:rsidR="00AC0BAB" w:rsidRPr="004030DB" w:rsidRDefault="00AC0BAB" w:rsidP="00FD2B58">
      <w:pPr>
        <w:widowControl/>
        <w:textAlignment w:val="baseline"/>
        <w:rPr>
          <w:rFonts w:ascii="Segoe UI" w:eastAsia="Times New Roman" w:hAnsi="Segoe UI" w:cs="Segoe UI"/>
          <w:sz w:val="20"/>
          <w:szCs w:val="20"/>
          <w:lang w:val="en-GB" w:eastAsia="en-GB"/>
        </w:rPr>
      </w:pPr>
    </w:p>
    <w:p w14:paraId="02ABA6CA" w14:textId="77777777" w:rsidR="00FD2B58" w:rsidRPr="004030DB" w:rsidRDefault="00FD2B58" w:rsidP="00143BCB">
      <w:pPr>
        <w:widowControl/>
        <w:jc w:val="both"/>
        <w:textAlignment w:val="baseline"/>
        <w:rPr>
          <w:rFonts w:ascii="Segoe UI" w:eastAsia="Times New Roman" w:hAnsi="Segoe UI" w:cs="Segoe UI"/>
          <w:sz w:val="20"/>
          <w:szCs w:val="20"/>
          <w:lang w:val="en-GB" w:eastAsia="en-GB"/>
        </w:rPr>
      </w:pPr>
      <w:r w:rsidRPr="004030DB">
        <w:rPr>
          <w:rFonts w:ascii="Arial" w:eastAsia="Times New Roman" w:hAnsi="Arial" w:cs="Arial"/>
          <w:b/>
          <w:bCs/>
          <w:sz w:val="20"/>
          <w:szCs w:val="20"/>
          <w:lang w:val="en-GB" w:eastAsia="en-GB"/>
        </w:rPr>
        <w:t>Table 2 -</w:t>
      </w:r>
      <w:r w:rsidRPr="004030DB">
        <w:rPr>
          <w:rFonts w:ascii="Arial" w:eastAsia="Times New Roman" w:hAnsi="Arial" w:cs="Arial"/>
          <w:b/>
          <w:bCs/>
          <w:sz w:val="20"/>
          <w:szCs w:val="20"/>
          <w:lang w:eastAsia="en-GB"/>
        </w:rPr>
        <w:t xml:space="preserve"> </w:t>
      </w:r>
      <w:r w:rsidRPr="004030DB">
        <w:rPr>
          <w:rFonts w:ascii="Arial" w:eastAsia="Times New Roman" w:hAnsi="Arial" w:cs="Arial"/>
          <w:b/>
          <w:bCs/>
          <w:sz w:val="20"/>
          <w:szCs w:val="20"/>
          <w:lang w:val="en-GB" w:eastAsia="en-GB"/>
        </w:rPr>
        <w:t>Percentage of time spent on facility time </w:t>
      </w:r>
      <w:r w:rsidRPr="004030DB">
        <w:rPr>
          <w:rFonts w:ascii="Arial" w:eastAsia="Times New Roman" w:hAnsi="Arial" w:cs="Arial"/>
          <w:color w:val="D13438"/>
          <w:sz w:val="20"/>
          <w:szCs w:val="20"/>
          <w:lang w:val="en-GB" w:eastAsia="en-GB"/>
        </w:rPr>
        <w:t> </w:t>
      </w:r>
    </w:p>
    <w:p w14:paraId="0E2A4F2E" w14:textId="77777777" w:rsidR="00FD2B58" w:rsidRPr="004030DB" w:rsidRDefault="00FD2B58" w:rsidP="00143BCB">
      <w:pPr>
        <w:widowControl/>
        <w:jc w:val="both"/>
        <w:textAlignment w:val="baseline"/>
        <w:rPr>
          <w:rFonts w:ascii="Segoe UI" w:eastAsia="Times New Roman" w:hAnsi="Segoe UI" w:cs="Segoe UI"/>
          <w:sz w:val="20"/>
          <w:szCs w:val="20"/>
          <w:lang w:val="en-GB" w:eastAsia="en-GB"/>
        </w:rPr>
      </w:pPr>
      <w:r w:rsidRPr="004030DB">
        <w:rPr>
          <w:rFonts w:ascii="Arial" w:eastAsia="Times New Roman" w:hAnsi="Arial" w:cs="Arial"/>
          <w:b/>
          <w:bCs/>
          <w:i/>
          <w:iCs/>
          <w:sz w:val="20"/>
          <w:szCs w:val="20"/>
          <w:lang w:val="en-GB" w:eastAsia="en-GB"/>
        </w:rPr>
        <w:t>How many of your employees who were relevant union officials during the relevant period spent:</w:t>
      </w:r>
      <w:r w:rsidRPr="004030DB">
        <w:rPr>
          <w:rFonts w:ascii="Arial" w:eastAsia="Times New Roman" w:hAnsi="Arial" w:cs="Arial"/>
          <w:color w:val="D13438"/>
          <w:sz w:val="20"/>
          <w:szCs w:val="20"/>
          <w:lang w:val="en-GB" w:eastAsia="en-GB"/>
        </w:rPr>
        <w:t> </w:t>
      </w:r>
    </w:p>
    <w:p w14:paraId="082C493F" w14:textId="77777777" w:rsidR="00FD2B58" w:rsidRPr="004030DB" w:rsidRDefault="00FD2B58" w:rsidP="00143BCB">
      <w:pPr>
        <w:widowControl/>
        <w:jc w:val="both"/>
        <w:textAlignment w:val="baseline"/>
        <w:rPr>
          <w:rFonts w:ascii="Segoe UI" w:eastAsia="Times New Roman" w:hAnsi="Segoe UI" w:cs="Segoe UI"/>
          <w:sz w:val="20"/>
          <w:szCs w:val="20"/>
          <w:lang w:val="en-GB" w:eastAsia="en-GB"/>
        </w:rPr>
      </w:pPr>
      <w:r w:rsidRPr="004030DB">
        <w:rPr>
          <w:rFonts w:ascii="Arial" w:eastAsia="Times New Roman" w:hAnsi="Arial" w:cs="Arial"/>
          <w:b/>
          <w:bCs/>
          <w:i/>
          <w:iCs/>
          <w:sz w:val="20"/>
          <w:szCs w:val="20"/>
          <w:lang w:val="en-GB" w:eastAsia="en-GB"/>
        </w:rPr>
        <w:t>a) 0%, b) 1% - 50%, c) 51% - 99% or d) 100% of their working hours on facility time?</w:t>
      </w:r>
      <w:r w:rsidRPr="004030DB">
        <w:rPr>
          <w:rFonts w:ascii="Arial" w:eastAsia="Times New Roman" w:hAnsi="Arial" w:cs="Arial"/>
          <w:color w:val="D13438"/>
          <w:sz w:val="20"/>
          <w:szCs w:val="20"/>
          <w:lang w:val="en-GB" w:eastAsia="en-GB"/>
        </w:rPr>
        <w:t> </w:t>
      </w:r>
    </w:p>
    <w:p w14:paraId="26029C7A" w14:textId="77777777" w:rsidR="00FD2B58" w:rsidRPr="004030DB" w:rsidRDefault="00FD2B58" w:rsidP="00FD2B58">
      <w:pPr>
        <w:widowControl/>
        <w:textAlignment w:val="baseline"/>
        <w:rPr>
          <w:rFonts w:ascii="Segoe UI" w:eastAsia="Times New Roman" w:hAnsi="Segoe UI" w:cs="Segoe UI"/>
          <w:sz w:val="20"/>
          <w:szCs w:val="20"/>
          <w:lang w:val="en-GB" w:eastAsia="en-GB"/>
        </w:rPr>
      </w:pPr>
      <w:r w:rsidRPr="004030DB">
        <w:rPr>
          <w:rFonts w:ascii="Arial" w:eastAsia="Times New Roman" w:hAnsi="Arial" w:cs="Arial"/>
          <w:color w:val="D13438"/>
          <w:sz w:val="20"/>
          <w:szCs w:val="20"/>
          <w:lang w:val="en-GB"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00"/>
        <w:gridCol w:w="4500"/>
      </w:tblGrid>
      <w:tr w:rsidR="00FD2B58" w:rsidRPr="004030DB" w14:paraId="64EC4F8A" w14:textId="77777777" w:rsidTr="00FD2B58">
        <w:trPr>
          <w:trHeight w:val="300"/>
        </w:trPr>
        <w:tc>
          <w:tcPr>
            <w:tcW w:w="4500" w:type="dxa"/>
            <w:tcBorders>
              <w:top w:val="single" w:sz="6" w:space="0" w:color="auto"/>
              <w:left w:val="single" w:sz="6" w:space="0" w:color="auto"/>
              <w:bottom w:val="single" w:sz="6" w:space="0" w:color="auto"/>
              <w:right w:val="single" w:sz="6" w:space="0" w:color="auto"/>
            </w:tcBorders>
            <w:hideMark/>
          </w:tcPr>
          <w:p w14:paraId="4D39BCB3"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b/>
                <w:bCs/>
                <w:sz w:val="20"/>
                <w:szCs w:val="20"/>
                <w:lang w:val="en-GB" w:eastAsia="en-GB"/>
              </w:rPr>
              <w:t>Percentage of time</w:t>
            </w:r>
            <w:r w:rsidRPr="004030DB">
              <w:rPr>
                <w:rFonts w:ascii="Arial" w:eastAsia="Times New Roman" w:hAnsi="Arial" w:cs="Arial"/>
                <w:color w:val="D13438"/>
                <w:sz w:val="20"/>
                <w:szCs w:val="20"/>
                <w:lang w:val="en-GB"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3B090AB3"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b/>
                <w:bCs/>
                <w:sz w:val="20"/>
                <w:szCs w:val="20"/>
                <w:lang w:val="en-GB" w:eastAsia="en-GB"/>
              </w:rPr>
              <w:t>Number of employees</w:t>
            </w:r>
            <w:r w:rsidRPr="004030DB">
              <w:rPr>
                <w:rFonts w:ascii="Arial" w:eastAsia="Times New Roman" w:hAnsi="Arial" w:cs="Arial"/>
                <w:color w:val="D13438"/>
                <w:sz w:val="20"/>
                <w:szCs w:val="20"/>
                <w:lang w:val="en-GB" w:eastAsia="en-GB"/>
              </w:rPr>
              <w:t> </w:t>
            </w:r>
          </w:p>
        </w:tc>
      </w:tr>
      <w:tr w:rsidR="00FD2B58" w:rsidRPr="004030DB" w14:paraId="731107C2" w14:textId="77777777" w:rsidTr="00FD2B58">
        <w:trPr>
          <w:trHeight w:val="300"/>
        </w:trPr>
        <w:tc>
          <w:tcPr>
            <w:tcW w:w="4500" w:type="dxa"/>
            <w:tcBorders>
              <w:top w:val="single" w:sz="6" w:space="0" w:color="auto"/>
              <w:left w:val="single" w:sz="6" w:space="0" w:color="auto"/>
              <w:bottom w:val="single" w:sz="6" w:space="0" w:color="auto"/>
              <w:right w:val="single" w:sz="6" w:space="0" w:color="auto"/>
            </w:tcBorders>
            <w:hideMark/>
          </w:tcPr>
          <w:p w14:paraId="58B44B28"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sz w:val="20"/>
                <w:szCs w:val="20"/>
                <w:lang w:val="en-GB" w:eastAsia="en-GB"/>
              </w:rPr>
              <w:t>0%</w:t>
            </w:r>
            <w:r w:rsidRPr="004030DB">
              <w:rPr>
                <w:rFonts w:ascii="Arial" w:eastAsia="Times New Roman" w:hAnsi="Arial" w:cs="Arial"/>
                <w:color w:val="D13438"/>
                <w:sz w:val="20"/>
                <w:szCs w:val="20"/>
                <w:lang w:val="en-GB"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17B41833"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sz w:val="20"/>
                <w:szCs w:val="20"/>
                <w:lang w:val="en-GB" w:eastAsia="en-GB"/>
              </w:rPr>
              <w:t>8 </w:t>
            </w:r>
          </w:p>
        </w:tc>
      </w:tr>
      <w:tr w:rsidR="00FD2B58" w:rsidRPr="004030DB" w14:paraId="3C0BDD64" w14:textId="77777777" w:rsidTr="00FD2B58">
        <w:trPr>
          <w:trHeight w:val="300"/>
        </w:trPr>
        <w:tc>
          <w:tcPr>
            <w:tcW w:w="4500" w:type="dxa"/>
            <w:tcBorders>
              <w:top w:val="single" w:sz="6" w:space="0" w:color="auto"/>
              <w:left w:val="single" w:sz="6" w:space="0" w:color="auto"/>
              <w:bottom w:val="single" w:sz="6" w:space="0" w:color="auto"/>
              <w:right w:val="single" w:sz="6" w:space="0" w:color="auto"/>
            </w:tcBorders>
            <w:hideMark/>
          </w:tcPr>
          <w:p w14:paraId="6F639642"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sz w:val="20"/>
                <w:szCs w:val="20"/>
                <w:lang w:val="en-GB" w:eastAsia="en-GB"/>
              </w:rPr>
              <w:t>1% - 50%</w:t>
            </w:r>
            <w:r w:rsidRPr="004030DB">
              <w:rPr>
                <w:rFonts w:ascii="Arial" w:eastAsia="Times New Roman" w:hAnsi="Arial" w:cs="Arial"/>
                <w:color w:val="D13438"/>
                <w:sz w:val="20"/>
                <w:szCs w:val="20"/>
                <w:lang w:val="en-GB"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5A885AAF"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sz w:val="20"/>
                <w:szCs w:val="20"/>
                <w:lang w:val="en-GB" w:eastAsia="en-GB"/>
              </w:rPr>
              <w:t>7</w:t>
            </w:r>
            <w:r w:rsidRPr="004030DB">
              <w:rPr>
                <w:rFonts w:ascii="Arial" w:eastAsia="Times New Roman" w:hAnsi="Arial" w:cs="Arial"/>
                <w:color w:val="D13438"/>
                <w:sz w:val="20"/>
                <w:szCs w:val="20"/>
                <w:lang w:val="en-GB" w:eastAsia="en-GB"/>
              </w:rPr>
              <w:t> </w:t>
            </w:r>
          </w:p>
        </w:tc>
      </w:tr>
      <w:tr w:rsidR="00FD2B58" w:rsidRPr="004030DB" w14:paraId="0265278F" w14:textId="77777777" w:rsidTr="00FD2B58">
        <w:trPr>
          <w:trHeight w:val="300"/>
        </w:trPr>
        <w:tc>
          <w:tcPr>
            <w:tcW w:w="4500" w:type="dxa"/>
            <w:tcBorders>
              <w:top w:val="single" w:sz="6" w:space="0" w:color="auto"/>
              <w:left w:val="single" w:sz="6" w:space="0" w:color="auto"/>
              <w:bottom w:val="single" w:sz="6" w:space="0" w:color="auto"/>
              <w:right w:val="single" w:sz="6" w:space="0" w:color="auto"/>
            </w:tcBorders>
            <w:hideMark/>
          </w:tcPr>
          <w:p w14:paraId="2E391BCC"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sz w:val="20"/>
                <w:szCs w:val="20"/>
                <w:lang w:val="en-GB" w:eastAsia="en-GB"/>
              </w:rPr>
              <w:t>51% - 99%</w:t>
            </w:r>
            <w:r w:rsidRPr="004030DB">
              <w:rPr>
                <w:rFonts w:ascii="Arial" w:eastAsia="Times New Roman" w:hAnsi="Arial" w:cs="Arial"/>
                <w:color w:val="D13438"/>
                <w:sz w:val="20"/>
                <w:szCs w:val="20"/>
                <w:lang w:val="en-GB"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5FEC2C1C"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sz w:val="20"/>
                <w:szCs w:val="20"/>
                <w:lang w:val="en-GB" w:eastAsia="en-GB"/>
              </w:rPr>
              <w:t>0</w:t>
            </w:r>
            <w:r w:rsidRPr="004030DB">
              <w:rPr>
                <w:rFonts w:ascii="Arial" w:eastAsia="Times New Roman" w:hAnsi="Arial" w:cs="Arial"/>
                <w:color w:val="D13438"/>
                <w:sz w:val="20"/>
                <w:szCs w:val="20"/>
                <w:lang w:val="en-GB" w:eastAsia="en-GB"/>
              </w:rPr>
              <w:t> </w:t>
            </w:r>
          </w:p>
        </w:tc>
      </w:tr>
      <w:tr w:rsidR="00FD2B58" w:rsidRPr="004030DB" w14:paraId="7B61B819" w14:textId="77777777" w:rsidTr="00FD2B58">
        <w:trPr>
          <w:trHeight w:val="300"/>
        </w:trPr>
        <w:tc>
          <w:tcPr>
            <w:tcW w:w="4500" w:type="dxa"/>
            <w:tcBorders>
              <w:top w:val="single" w:sz="6" w:space="0" w:color="auto"/>
              <w:left w:val="single" w:sz="6" w:space="0" w:color="auto"/>
              <w:bottom w:val="single" w:sz="6" w:space="0" w:color="auto"/>
              <w:right w:val="single" w:sz="6" w:space="0" w:color="auto"/>
            </w:tcBorders>
            <w:hideMark/>
          </w:tcPr>
          <w:p w14:paraId="7DAB5650"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sz w:val="20"/>
                <w:szCs w:val="20"/>
                <w:lang w:val="en-GB" w:eastAsia="en-GB"/>
              </w:rPr>
              <w:t>100%</w:t>
            </w:r>
            <w:r w:rsidRPr="004030DB">
              <w:rPr>
                <w:rFonts w:ascii="Arial" w:eastAsia="Times New Roman" w:hAnsi="Arial" w:cs="Arial"/>
                <w:color w:val="D13438"/>
                <w:sz w:val="20"/>
                <w:szCs w:val="20"/>
                <w:lang w:val="en-GB"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311B3234"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sz w:val="20"/>
                <w:szCs w:val="20"/>
                <w:lang w:val="en-GB" w:eastAsia="en-GB"/>
              </w:rPr>
              <w:t>0</w:t>
            </w:r>
            <w:r w:rsidRPr="004030DB">
              <w:rPr>
                <w:rFonts w:ascii="Arial" w:eastAsia="Times New Roman" w:hAnsi="Arial" w:cs="Arial"/>
                <w:color w:val="D13438"/>
                <w:sz w:val="20"/>
                <w:szCs w:val="20"/>
                <w:lang w:val="en-GB" w:eastAsia="en-GB"/>
              </w:rPr>
              <w:t> </w:t>
            </w:r>
          </w:p>
        </w:tc>
      </w:tr>
    </w:tbl>
    <w:p w14:paraId="6EE094A9" w14:textId="77777777" w:rsidR="00FD2B58" w:rsidRPr="004030DB" w:rsidRDefault="00FD2B58" w:rsidP="00FD2B58">
      <w:pPr>
        <w:widowControl/>
        <w:textAlignment w:val="baseline"/>
        <w:rPr>
          <w:rFonts w:ascii="Segoe UI" w:eastAsia="Times New Roman" w:hAnsi="Segoe UI" w:cs="Segoe UI"/>
          <w:sz w:val="20"/>
          <w:szCs w:val="20"/>
          <w:lang w:val="en-GB" w:eastAsia="en-GB"/>
        </w:rPr>
      </w:pPr>
      <w:r w:rsidRPr="004030DB">
        <w:rPr>
          <w:rFonts w:ascii="Arial" w:eastAsia="Times New Roman" w:hAnsi="Arial" w:cs="Arial"/>
          <w:color w:val="D13438"/>
          <w:sz w:val="20"/>
          <w:szCs w:val="20"/>
          <w:lang w:val="en-GB" w:eastAsia="en-GB"/>
        </w:rPr>
        <w:t> </w:t>
      </w:r>
    </w:p>
    <w:p w14:paraId="38B401B8" w14:textId="77777777" w:rsidR="00FD2B58" w:rsidRPr="004030DB" w:rsidRDefault="00FD2B58" w:rsidP="00143BCB">
      <w:pPr>
        <w:widowControl/>
        <w:jc w:val="both"/>
        <w:textAlignment w:val="baseline"/>
        <w:rPr>
          <w:rFonts w:ascii="Segoe UI" w:eastAsia="Times New Roman" w:hAnsi="Segoe UI" w:cs="Segoe UI"/>
          <w:sz w:val="20"/>
          <w:szCs w:val="20"/>
          <w:lang w:val="en-GB" w:eastAsia="en-GB"/>
        </w:rPr>
      </w:pPr>
      <w:r w:rsidRPr="004030DB">
        <w:rPr>
          <w:rFonts w:ascii="Arial" w:eastAsia="Times New Roman" w:hAnsi="Arial" w:cs="Arial"/>
          <w:b/>
          <w:bCs/>
          <w:sz w:val="20"/>
          <w:szCs w:val="20"/>
          <w:lang w:val="en-GB" w:eastAsia="en-GB"/>
        </w:rPr>
        <w:t>Table 3 - Percentage of pay bill spent on facility time</w:t>
      </w:r>
      <w:r w:rsidRPr="004030DB">
        <w:rPr>
          <w:rFonts w:ascii="Arial" w:eastAsia="Times New Roman" w:hAnsi="Arial" w:cs="Arial"/>
          <w:color w:val="D13438"/>
          <w:sz w:val="20"/>
          <w:szCs w:val="20"/>
          <w:lang w:val="en-GB" w:eastAsia="en-GB"/>
        </w:rPr>
        <w:t> </w:t>
      </w:r>
    </w:p>
    <w:p w14:paraId="6CB2C017" w14:textId="77777777" w:rsidR="00FD2B58" w:rsidRPr="004030DB" w:rsidRDefault="00FD2B58" w:rsidP="00143BCB">
      <w:pPr>
        <w:widowControl/>
        <w:jc w:val="both"/>
        <w:textAlignment w:val="baseline"/>
        <w:rPr>
          <w:rFonts w:ascii="Segoe UI" w:eastAsia="Times New Roman" w:hAnsi="Segoe UI" w:cs="Segoe UI"/>
          <w:sz w:val="20"/>
          <w:szCs w:val="20"/>
          <w:lang w:val="en-GB" w:eastAsia="en-GB"/>
        </w:rPr>
      </w:pPr>
      <w:r w:rsidRPr="004030DB">
        <w:rPr>
          <w:rFonts w:ascii="Arial" w:eastAsia="Times New Roman" w:hAnsi="Arial" w:cs="Arial"/>
          <w:b/>
          <w:bCs/>
          <w:i/>
          <w:iCs/>
          <w:sz w:val="20"/>
          <w:szCs w:val="20"/>
          <w:lang w:val="en-GB" w:eastAsia="en-GB"/>
        </w:rPr>
        <w:t>Provide the figures requested in the first column of the table below to determine the percentage of your total pay bill spent on paying employees who were relevant union officials for facility time during the relevant period?</w:t>
      </w:r>
      <w:r w:rsidRPr="004030DB">
        <w:rPr>
          <w:rFonts w:ascii="Arial" w:eastAsia="Times New Roman" w:hAnsi="Arial" w:cs="Arial"/>
          <w:color w:val="D13438"/>
          <w:sz w:val="20"/>
          <w:szCs w:val="20"/>
          <w:lang w:val="en-GB" w:eastAsia="en-GB"/>
        </w:rPr>
        <w:t> </w:t>
      </w:r>
    </w:p>
    <w:p w14:paraId="208020CD" w14:textId="77777777" w:rsidR="00FD2B58" w:rsidRPr="004030DB" w:rsidRDefault="00FD2B58" w:rsidP="00143BCB">
      <w:pPr>
        <w:widowControl/>
        <w:jc w:val="both"/>
        <w:textAlignment w:val="baseline"/>
        <w:rPr>
          <w:rFonts w:ascii="Segoe UI" w:eastAsia="Times New Roman" w:hAnsi="Segoe UI" w:cs="Segoe UI"/>
          <w:sz w:val="20"/>
          <w:szCs w:val="20"/>
          <w:lang w:val="en-GB" w:eastAsia="en-GB"/>
        </w:rPr>
      </w:pPr>
      <w:r w:rsidRPr="004030DB">
        <w:rPr>
          <w:rFonts w:ascii="Arial" w:eastAsia="Times New Roman" w:hAnsi="Arial" w:cs="Arial"/>
          <w:color w:val="D13438"/>
          <w:sz w:val="20"/>
          <w:szCs w:val="20"/>
          <w:lang w:val="en-GB"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85"/>
        <w:gridCol w:w="4515"/>
      </w:tblGrid>
      <w:tr w:rsidR="00FD2B58" w:rsidRPr="004030DB" w14:paraId="4EF18445" w14:textId="77777777" w:rsidTr="00FD2B58">
        <w:trPr>
          <w:trHeight w:val="300"/>
        </w:trPr>
        <w:tc>
          <w:tcPr>
            <w:tcW w:w="4485" w:type="dxa"/>
            <w:tcBorders>
              <w:top w:val="single" w:sz="6" w:space="0" w:color="auto"/>
              <w:left w:val="single" w:sz="6" w:space="0" w:color="auto"/>
              <w:bottom w:val="single" w:sz="6" w:space="0" w:color="auto"/>
              <w:right w:val="single" w:sz="6" w:space="0" w:color="auto"/>
            </w:tcBorders>
            <w:hideMark/>
          </w:tcPr>
          <w:p w14:paraId="6E77286B"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c>
          <w:tcPr>
            <w:tcW w:w="4515" w:type="dxa"/>
            <w:tcBorders>
              <w:top w:val="single" w:sz="6" w:space="0" w:color="auto"/>
              <w:left w:val="single" w:sz="6" w:space="0" w:color="auto"/>
              <w:bottom w:val="single" w:sz="6" w:space="0" w:color="auto"/>
              <w:right w:val="single" w:sz="6" w:space="0" w:color="auto"/>
            </w:tcBorders>
            <w:hideMark/>
          </w:tcPr>
          <w:p w14:paraId="6C5689CE"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b/>
                <w:bCs/>
                <w:sz w:val="20"/>
                <w:szCs w:val="20"/>
                <w:lang w:val="en-GB" w:eastAsia="en-GB"/>
              </w:rPr>
              <w:t>Figures</w:t>
            </w:r>
            <w:r w:rsidRPr="004030DB">
              <w:rPr>
                <w:rFonts w:ascii="Arial" w:eastAsia="Times New Roman" w:hAnsi="Arial" w:cs="Arial"/>
                <w:color w:val="D13438"/>
                <w:sz w:val="20"/>
                <w:szCs w:val="20"/>
                <w:lang w:val="en-GB" w:eastAsia="en-GB"/>
              </w:rPr>
              <w:t> </w:t>
            </w:r>
          </w:p>
        </w:tc>
      </w:tr>
      <w:tr w:rsidR="00FD2B58" w:rsidRPr="004030DB" w14:paraId="4D2CD3B6" w14:textId="77777777" w:rsidTr="00FD2B58">
        <w:trPr>
          <w:trHeight w:val="300"/>
        </w:trPr>
        <w:tc>
          <w:tcPr>
            <w:tcW w:w="4485" w:type="dxa"/>
            <w:tcBorders>
              <w:top w:val="single" w:sz="6" w:space="0" w:color="auto"/>
              <w:left w:val="single" w:sz="6" w:space="0" w:color="auto"/>
              <w:bottom w:val="single" w:sz="6" w:space="0" w:color="auto"/>
              <w:right w:val="single" w:sz="6" w:space="0" w:color="auto"/>
            </w:tcBorders>
            <w:hideMark/>
          </w:tcPr>
          <w:p w14:paraId="226C1C37"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sz w:val="20"/>
                <w:szCs w:val="20"/>
                <w:lang w:val="en-GB" w:eastAsia="en-GB"/>
              </w:rPr>
              <w:t>Provide the total cost of facility time</w:t>
            </w:r>
            <w:r w:rsidRPr="004030DB">
              <w:rPr>
                <w:rFonts w:ascii="Arial" w:eastAsia="Times New Roman" w:hAnsi="Arial" w:cs="Arial"/>
                <w:color w:val="D13438"/>
                <w:sz w:val="20"/>
                <w:szCs w:val="20"/>
                <w:lang w:val="en-GB" w:eastAsia="en-GB"/>
              </w:rPr>
              <w:t> </w:t>
            </w:r>
          </w:p>
        </w:tc>
        <w:tc>
          <w:tcPr>
            <w:tcW w:w="4515" w:type="dxa"/>
            <w:tcBorders>
              <w:top w:val="single" w:sz="6" w:space="0" w:color="auto"/>
              <w:left w:val="single" w:sz="6" w:space="0" w:color="auto"/>
              <w:bottom w:val="single" w:sz="6" w:space="0" w:color="auto"/>
              <w:right w:val="single" w:sz="6" w:space="0" w:color="auto"/>
            </w:tcBorders>
            <w:hideMark/>
          </w:tcPr>
          <w:p w14:paraId="288338F5"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sz w:val="20"/>
                <w:szCs w:val="20"/>
                <w:lang w:val="en-GB" w:eastAsia="en-GB"/>
              </w:rPr>
              <w:t>£1,185</w:t>
            </w:r>
            <w:r w:rsidRPr="004030DB">
              <w:rPr>
                <w:rFonts w:ascii="Arial" w:eastAsia="Times New Roman" w:hAnsi="Arial" w:cs="Arial"/>
                <w:color w:val="D13438"/>
                <w:sz w:val="20"/>
                <w:szCs w:val="20"/>
                <w:lang w:val="en-GB" w:eastAsia="en-GB"/>
              </w:rPr>
              <w:t> </w:t>
            </w:r>
          </w:p>
        </w:tc>
      </w:tr>
      <w:tr w:rsidR="00FD2B58" w:rsidRPr="004030DB" w14:paraId="55EE2EA3" w14:textId="77777777" w:rsidTr="00FD2B58">
        <w:trPr>
          <w:trHeight w:val="300"/>
        </w:trPr>
        <w:tc>
          <w:tcPr>
            <w:tcW w:w="4485" w:type="dxa"/>
            <w:tcBorders>
              <w:top w:val="single" w:sz="6" w:space="0" w:color="auto"/>
              <w:left w:val="single" w:sz="6" w:space="0" w:color="auto"/>
              <w:bottom w:val="single" w:sz="6" w:space="0" w:color="auto"/>
              <w:right w:val="single" w:sz="6" w:space="0" w:color="auto"/>
            </w:tcBorders>
            <w:hideMark/>
          </w:tcPr>
          <w:p w14:paraId="4BC2DC9C"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sz w:val="20"/>
                <w:szCs w:val="20"/>
                <w:lang w:val="en-GB" w:eastAsia="en-GB"/>
              </w:rPr>
              <w:t>Provide the total pay bill</w:t>
            </w:r>
            <w:r w:rsidRPr="004030DB">
              <w:rPr>
                <w:rFonts w:ascii="Arial" w:eastAsia="Times New Roman" w:hAnsi="Arial" w:cs="Arial"/>
                <w:color w:val="D13438"/>
                <w:sz w:val="20"/>
                <w:szCs w:val="20"/>
                <w:lang w:val="en-GB" w:eastAsia="en-GB"/>
              </w:rPr>
              <w:t> </w:t>
            </w:r>
          </w:p>
        </w:tc>
        <w:tc>
          <w:tcPr>
            <w:tcW w:w="4515" w:type="dxa"/>
            <w:tcBorders>
              <w:top w:val="single" w:sz="6" w:space="0" w:color="auto"/>
              <w:left w:val="single" w:sz="6" w:space="0" w:color="auto"/>
              <w:bottom w:val="single" w:sz="6" w:space="0" w:color="auto"/>
              <w:right w:val="single" w:sz="6" w:space="0" w:color="auto"/>
            </w:tcBorders>
            <w:hideMark/>
          </w:tcPr>
          <w:p w14:paraId="0D96314E"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sz w:val="20"/>
                <w:szCs w:val="20"/>
                <w:lang w:val="en-GB" w:eastAsia="en-GB"/>
              </w:rPr>
              <w:t>£313,747,381</w:t>
            </w:r>
            <w:r w:rsidRPr="004030DB">
              <w:rPr>
                <w:rFonts w:ascii="Arial" w:eastAsia="Times New Roman" w:hAnsi="Arial" w:cs="Arial"/>
                <w:color w:val="D13438"/>
                <w:sz w:val="20"/>
                <w:szCs w:val="20"/>
                <w:lang w:val="en-GB" w:eastAsia="en-GB"/>
              </w:rPr>
              <w:t> </w:t>
            </w:r>
          </w:p>
        </w:tc>
      </w:tr>
      <w:tr w:rsidR="00FD2B58" w:rsidRPr="004030DB" w14:paraId="35C199C9" w14:textId="77777777" w:rsidTr="00FD2B58">
        <w:trPr>
          <w:trHeight w:val="300"/>
        </w:trPr>
        <w:tc>
          <w:tcPr>
            <w:tcW w:w="4485" w:type="dxa"/>
            <w:tcBorders>
              <w:top w:val="single" w:sz="6" w:space="0" w:color="auto"/>
              <w:left w:val="single" w:sz="6" w:space="0" w:color="auto"/>
              <w:bottom w:val="single" w:sz="6" w:space="0" w:color="auto"/>
              <w:right w:val="single" w:sz="6" w:space="0" w:color="auto"/>
            </w:tcBorders>
            <w:hideMark/>
          </w:tcPr>
          <w:p w14:paraId="2D8010FC"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sz w:val="20"/>
                <w:szCs w:val="20"/>
                <w:lang w:val="en-GB" w:eastAsia="en-GB"/>
              </w:rPr>
              <w:t>Provide the percentage of the total pay bill spent on facility time, calculated as: (total cost of facility time ÷ total pay bill) x 100</w:t>
            </w:r>
            <w:r w:rsidRPr="004030DB">
              <w:rPr>
                <w:rFonts w:ascii="Arial" w:eastAsia="Times New Roman" w:hAnsi="Arial" w:cs="Arial"/>
                <w:color w:val="D13438"/>
                <w:sz w:val="20"/>
                <w:szCs w:val="20"/>
                <w:lang w:val="en-GB" w:eastAsia="en-GB"/>
              </w:rPr>
              <w:t> </w:t>
            </w:r>
          </w:p>
        </w:tc>
        <w:tc>
          <w:tcPr>
            <w:tcW w:w="4515" w:type="dxa"/>
            <w:tcBorders>
              <w:top w:val="single" w:sz="6" w:space="0" w:color="auto"/>
              <w:left w:val="single" w:sz="6" w:space="0" w:color="auto"/>
              <w:bottom w:val="single" w:sz="6" w:space="0" w:color="auto"/>
              <w:right w:val="single" w:sz="6" w:space="0" w:color="auto"/>
            </w:tcBorders>
            <w:hideMark/>
          </w:tcPr>
          <w:p w14:paraId="2518715C"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sz w:val="20"/>
                <w:szCs w:val="20"/>
                <w:lang w:val="en-GB" w:eastAsia="en-GB"/>
              </w:rPr>
              <w:t>0.000%</w:t>
            </w:r>
            <w:r w:rsidRPr="004030DB">
              <w:rPr>
                <w:rFonts w:ascii="Arial" w:eastAsia="Times New Roman" w:hAnsi="Arial" w:cs="Arial"/>
                <w:color w:val="D13438"/>
                <w:sz w:val="20"/>
                <w:szCs w:val="20"/>
                <w:lang w:val="en-GB" w:eastAsia="en-GB"/>
              </w:rPr>
              <w:t> </w:t>
            </w:r>
          </w:p>
        </w:tc>
      </w:tr>
    </w:tbl>
    <w:p w14:paraId="5F3572CF" w14:textId="77777777" w:rsidR="00FD2B58" w:rsidRPr="004030DB" w:rsidRDefault="00FD2B58" w:rsidP="00143BCB">
      <w:pPr>
        <w:widowControl/>
        <w:jc w:val="both"/>
        <w:textAlignment w:val="baseline"/>
        <w:rPr>
          <w:rFonts w:ascii="Segoe UI" w:eastAsia="Times New Roman" w:hAnsi="Segoe UI" w:cs="Segoe UI"/>
          <w:sz w:val="20"/>
          <w:szCs w:val="20"/>
          <w:lang w:val="en-GB" w:eastAsia="en-GB"/>
        </w:rPr>
      </w:pPr>
      <w:r w:rsidRPr="004030DB">
        <w:rPr>
          <w:rFonts w:ascii="Arial" w:eastAsia="Times New Roman" w:hAnsi="Arial" w:cs="Arial"/>
          <w:color w:val="D13438"/>
          <w:sz w:val="20"/>
          <w:szCs w:val="20"/>
          <w:lang w:val="en-GB" w:eastAsia="en-GB"/>
        </w:rPr>
        <w:t> </w:t>
      </w:r>
    </w:p>
    <w:p w14:paraId="20825148" w14:textId="77777777" w:rsidR="00FD2B58" w:rsidRPr="004030DB" w:rsidRDefault="00FD2B58" w:rsidP="00143BCB">
      <w:pPr>
        <w:widowControl/>
        <w:jc w:val="both"/>
        <w:textAlignment w:val="baseline"/>
        <w:rPr>
          <w:rFonts w:ascii="Segoe UI" w:eastAsia="Times New Roman" w:hAnsi="Segoe UI" w:cs="Segoe UI"/>
          <w:sz w:val="20"/>
          <w:szCs w:val="20"/>
          <w:lang w:val="en-GB" w:eastAsia="en-GB"/>
        </w:rPr>
      </w:pPr>
      <w:r w:rsidRPr="004030DB">
        <w:rPr>
          <w:rFonts w:ascii="Arial" w:eastAsia="Times New Roman" w:hAnsi="Arial" w:cs="Arial"/>
          <w:b/>
          <w:bCs/>
          <w:sz w:val="20"/>
          <w:szCs w:val="20"/>
          <w:lang w:val="en-GB" w:eastAsia="en-GB"/>
        </w:rPr>
        <w:t>Table 4 – Paid trade union activities</w:t>
      </w:r>
      <w:r w:rsidRPr="004030DB">
        <w:rPr>
          <w:rFonts w:ascii="Arial" w:eastAsia="Times New Roman" w:hAnsi="Arial" w:cs="Arial"/>
          <w:color w:val="D13438"/>
          <w:sz w:val="20"/>
          <w:szCs w:val="20"/>
          <w:lang w:val="en-GB" w:eastAsia="en-GB"/>
        </w:rPr>
        <w:t> </w:t>
      </w:r>
    </w:p>
    <w:p w14:paraId="42750814" w14:textId="77777777" w:rsidR="00FD2B58" w:rsidRPr="004030DB" w:rsidRDefault="00FD2B58" w:rsidP="00143BCB">
      <w:pPr>
        <w:widowControl/>
        <w:jc w:val="both"/>
        <w:textAlignment w:val="baseline"/>
        <w:rPr>
          <w:rFonts w:ascii="Segoe UI" w:eastAsia="Times New Roman" w:hAnsi="Segoe UI" w:cs="Segoe UI"/>
          <w:sz w:val="20"/>
          <w:szCs w:val="20"/>
          <w:lang w:val="en-GB" w:eastAsia="en-GB"/>
        </w:rPr>
      </w:pPr>
      <w:r w:rsidRPr="004030DB">
        <w:rPr>
          <w:rFonts w:ascii="Arial" w:eastAsia="Times New Roman" w:hAnsi="Arial" w:cs="Arial"/>
          <w:b/>
          <w:bCs/>
          <w:i/>
          <w:iCs/>
          <w:sz w:val="20"/>
          <w:szCs w:val="20"/>
          <w:lang w:val="en-GB" w:eastAsia="en-GB"/>
        </w:rPr>
        <w:t>As a percentage of total paid facility time hours, how many hours were spent by employees who were relevant trade union officials during the relevant period on paid trade union activities?</w:t>
      </w:r>
      <w:r w:rsidRPr="004030DB">
        <w:rPr>
          <w:rFonts w:ascii="Arial" w:eastAsia="Times New Roman" w:hAnsi="Arial" w:cs="Arial"/>
          <w:color w:val="D13438"/>
          <w:sz w:val="20"/>
          <w:szCs w:val="20"/>
          <w:lang w:val="en-GB" w:eastAsia="en-GB"/>
        </w:rPr>
        <w:t> </w:t>
      </w:r>
    </w:p>
    <w:p w14:paraId="1EC3C7B3" w14:textId="77777777" w:rsidR="00FD2B58" w:rsidRPr="004030DB" w:rsidRDefault="00FD2B58" w:rsidP="00FD2B58">
      <w:pPr>
        <w:widowControl/>
        <w:textAlignment w:val="baseline"/>
        <w:rPr>
          <w:rFonts w:ascii="Segoe UI" w:eastAsia="Times New Roman" w:hAnsi="Segoe UI" w:cs="Segoe UI"/>
          <w:sz w:val="20"/>
          <w:szCs w:val="20"/>
          <w:lang w:val="en-GB" w:eastAsia="en-GB"/>
        </w:rPr>
      </w:pPr>
      <w:r w:rsidRPr="004030DB">
        <w:rPr>
          <w:rFonts w:ascii="Arial" w:eastAsia="Times New Roman" w:hAnsi="Arial" w:cs="Arial"/>
          <w:color w:val="D13438"/>
          <w:sz w:val="20"/>
          <w:szCs w:val="20"/>
          <w:lang w:val="en-GB"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24"/>
        <w:gridCol w:w="4286"/>
      </w:tblGrid>
      <w:tr w:rsidR="00FD2B58" w:rsidRPr="004030DB" w14:paraId="6E59AAF8" w14:textId="77777777" w:rsidTr="00FD2B58">
        <w:trPr>
          <w:trHeight w:val="300"/>
        </w:trPr>
        <w:tc>
          <w:tcPr>
            <w:tcW w:w="4815" w:type="dxa"/>
            <w:tcBorders>
              <w:top w:val="single" w:sz="6" w:space="0" w:color="auto"/>
              <w:left w:val="single" w:sz="6" w:space="0" w:color="auto"/>
              <w:bottom w:val="single" w:sz="6" w:space="0" w:color="auto"/>
              <w:right w:val="single" w:sz="6" w:space="0" w:color="auto"/>
            </w:tcBorders>
            <w:hideMark/>
          </w:tcPr>
          <w:p w14:paraId="57D0EF19"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sz w:val="20"/>
                <w:szCs w:val="20"/>
                <w:lang w:val="en-GB" w:eastAsia="en-GB"/>
              </w:rPr>
              <w:t>Time spent on trade union activities as a percentage of total paid facility time hours calculated as: (total hours spent on trade union activities by relevant union officials during the relevant period ÷ total paid facility time hours) x 100</w:t>
            </w:r>
            <w:r w:rsidRPr="004030DB">
              <w:rPr>
                <w:rFonts w:ascii="Arial" w:eastAsia="Times New Roman" w:hAnsi="Arial" w:cs="Arial"/>
                <w:color w:val="D13438"/>
                <w:sz w:val="20"/>
                <w:szCs w:val="20"/>
                <w:lang w:val="en-GB" w:eastAsia="en-GB"/>
              </w:rPr>
              <w:t> </w:t>
            </w:r>
          </w:p>
        </w:tc>
        <w:tc>
          <w:tcPr>
            <w:tcW w:w="4380" w:type="dxa"/>
            <w:tcBorders>
              <w:top w:val="single" w:sz="6" w:space="0" w:color="auto"/>
              <w:left w:val="single" w:sz="6" w:space="0" w:color="auto"/>
              <w:bottom w:val="single" w:sz="6" w:space="0" w:color="auto"/>
              <w:right w:val="single" w:sz="6" w:space="0" w:color="auto"/>
            </w:tcBorders>
            <w:hideMark/>
          </w:tcPr>
          <w:p w14:paraId="05718075"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b/>
                <w:bCs/>
                <w:sz w:val="20"/>
                <w:szCs w:val="20"/>
                <w:lang w:val="en-GB" w:eastAsia="en-GB"/>
              </w:rPr>
              <w:t>33%</w:t>
            </w:r>
            <w:r w:rsidRPr="004030DB">
              <w:rPr>
                <w:rFonts w:ascii="Arial" w:eastAsia="Times New Roman" w:hAnsi="Arial" w:cs="Arial"/>
                <w:color w:val="D13438"/>
                <w:sz w:val="20"/>
                <w:szCs w:val="20"/>
                <w:lang w:val="en-GB" w:eastAsia="en-GB"/>
              </w:rPr>
              <w:t> </w:t>
            </w:r>
          </w:p>
        </w:tc>
      </w:tr>
    </w:tbl>
    <w:p w14:paraId="0100DB37" w14:textId="110CD673" w:rsidR="00FD2B58" w:rsidRDefault="00FD2B58" w:rsidP="00FD2B58">
      <w:pPr>
        <w:widowControl/>
        <w:textAlignment w:val="baseline"/>
        <w:rPr>
          <w:rFonts w:ascii="Arial" w:eastAsia="Times New Roman" w:hAnsi="Arial" w:cs="Arial"/>
          <w:color w:val="D13438"/>
          <w:sz w:val="20"/>
          <w:szCs w:val="20"/>
          <w:lang w:val="en-GB" w:eastAsia="en-GB"/>
        </w:rPr>
      </w:pPr>
      <w:r w:rsidRPr="004030DB">
        <w:rPr>
          <w:rFonts w:ascii="Arial" w:eastAsia="Times New Roman" w:hAnsi="Arial" w:cs="Arial"/>
          <w:color w:val="D13438"/>
          <w:sz w:val="20"/>
          <w:szCs w:val="20"/>
          <w:lang w:val="en-GB" w:eastAsia="en-GB"/>
        </w:rPr>
        <w:t> </w:t>
      </w:r>
    </w:p>
    <w:p w14:paraId="348BBF63" w14:textId="703A08FC" w:rsidR="00983279" w:rsidRDefault="00983279" w:rsidP="00FD2B58">
      <w:pPr>
        <w:widowControl/>
        <w:textAlignment w:val="baseline"/>
        <w:rPr>
          <w:rFonts w:ascii="Segoe UI" w:eastAsia="Times New Roman" w:hAnsi="Segoe UI" w:cs="Segoe UI"/>
          <w:sz w:val="20"/>
          <w:szCs w:val="20"/>
          <w:lang w:val="en-GB" w:eastAsia="en-GB"/>
        </w:rPr>
      </w:pPr>
    </w:p>
    <w:p w14:paraId="7D77AB72" w14:textId="77777777" w:rsidR="00983279" w:rsidRPr="004030DB" w:rsidRDefault="00983279" w:rsidP="00FD2B58">
      <w:pPr>
        <w:widowControl/>
        <w:textAlignment w:val="baseline"/>
        <w:rPr>
          <w:rFonts w:ascii="Segoe UI" w:eastAsia="Times New Roman" w:hAnsi="Segoe UI" w:cs="Segoe UI"/>
          <w:sz w:val="20"/>
          <w:szCs w:val="20"/>
          <w:lang w:val="en-GB" w:eastAsia="en-GB"/>
        </w:rPr>
      </w:pPr>
    </w:p>
    <w:p w14:paraId="18E68ED8" w14:textId="77777777" w:rsidR="00FD2B58" w:rsidRPr="004030DB" w:rsidRDefault="00FD2B58" w:rsidP="00FD2B58">
      <w:pPr>
        <w:widowControl/>
        <w:textAlignment w:val="baseline"/>
        <w:rPr>
          <w:rFonts w:ascii="Segoe UI" w:eastAsia="Times New Roman" w:hAnsi="Segoe UI" w:cs="Segoe UI"/>
          <w:sz w:val="20"/>
          <w:szCs w:val="20"/>
          <w:lang w:val="en-GB" w:eastAsia="en-GB"/>
        </w:rPr>
      </w:pPr>
      <w:r w:rsidRPr="004030DB">
        <w:rPr>
          <w:rFonts w:ascii="Arial" w:eastAsia="Times New Roman" w:hAnsi="Arial" w:cs="Arial"/>
          <w:color w:val="D13438"/>
          <w:sz w:val="20"/>
          <w:szCs w:val="20"/>
          <w:lang w:val="en-GB" w:eastAsia="en-GB"/>
        </w:rPr>
        <w:lastRenderedPageBreak/>
        <w:t> </w:t>
      </w:r>
      <w:r w:rsidRPr="004030DB">
        <w:rPr>
          <w:rFonts w:ascii="Arial" w:eastAsia="Times New Roman" w:hAnsi="Arial" w:cs="Arial"/>
          <w:b/>
          <w:bCs/>
          <w:sz w:val="20"/>
          <w:szCs w:val="20"/>
          <w:lang w:val="en-GB" w:eastAsia="en-GB"/>
        </w:rPr>
        <w:t>Staff Exit Packages</w:t>
      </w:r>
      <w:r w:rsidRPr="004030DB">
        <w:rPr>
          <w:rFonts w:ascii="Arial" w:eastAsia="Times New Roman" w:hAnsi="Arial" w:cs="Arial"/>
          <w:color w:val="D13438"/>
          <w:sz w:val="20"/>
          <w:szCs w:val="20"/>
          <w:lang w:val="en-GB" w:eastAsia="en-GB"/>
        </w:rPr>
        <w:t> </w:t>
      </w:r>
    </w:p>
    <w:p w14:paraId="6002C158" w14:textId="77777777" w:rsidR="00FD2B58" w:rsidRPr="004030DB" w:rsidRDefault="00FD2B58" w:rsidP="00FD2B58">
      <w:pPr>
        <w:widowControl/>
        <w:textAlignment w:val="baseline"/>
        <w:rPr>
          <w:rFonts w:ascii="Segoe UI" w:eastAsia="Times New Roman" w:hAnsi="Segoe UI" w:cs="Segoe UI"/>
          <w:sz w:val="20"/>
          <w:szCs w:val="20"/>
          <w:lang w:val="en-GB" w:eastAsia="en-GB"/>
        </w:rPr>
      </w:pPr>
      <w:r w:rsidRPr="004030DB">
        <w:rPr>
          <w:rFonts w:ascii="Arial" w:eastAsia="Times New Roman" w:hAnsi="Arial" w:cs="Arial"/>
          <w:color w:val="D13438"/>
          <w:sz w:val="20"/>
          <w:szCs w:val="20"/>
          <w:lang w:val="en-GB"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65"/>
        <w:gridCol w:w="2042"/>
        <w:gridCol w:w="1773"/>
        <w:gridCol w:w="1630"/>
      </w:tblGrid>
      <w:tr w:rsidR="00FD2B58" w:rsidRPr="004030DB" w14:paraId="66250C91" w14:textId="77777777" w:rsidTr="00FD2B58">
        <w:trPr>
          <w:trHeight w:val="300"/>
        </w:trPr>
        <w:tc>
          <w:tcPr>
            <w:tcW w:w="4245" w:type="dxa"/>
            <w:tcBorders>
              <w:top w:val="single" w:sz="6" w:space="0" w:color="auto"/>
              <w:left w:val="single" w:sz="6" w:space="0" w:color="auto"/>
              <w:bottom w:val="single" w:sz="6" w:space="0" w:color="auto"/>
              <w:right w:val="single" w:sz="6" w:space="0" w:color="auto"/>
            </w:tcBorders>
            <w:shd w:val="clear" w:color="auto" w:fill="DEEAF6"/>
            <w:hideMark/>
          </w:tcPr>
          <w:p w14:paraId="64C0403E" w14:textId="77777777" w:rsidR="00FD2B58" w:rsidRPr="004030DB" w:rsidRDefault="00FD2B58" w:rsidP="00FD2B58">
            <w:pPr>
              <w:widowControl/>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b/>
                <w:bCs/>
                <w:sz w:val="20"/>
                <w:szCs w:val="20"/>
                <w:lang w:val="en-GB" w:eastAsia="en-GB"/>
              </w:rPr>
              <w:t>Reporting of compensation schemes – exit packages 2024/25</w:t>
            </w:r>
            <w:r w:rsidRPr="004030DB">
              <w:rPr>
                <w:rFonts w:ascii="Arial" w:eastAsia="Times New Roman" w:hAnsi="Arial" w:cs="Arial"/>
                <w:color w:val="D13438"/>
                <w:sz w:val="20"/>
                <w:szCs w:val="20"/>
                <w:lang w:val="en-GB" w:eastAsia="en-GB"/>
              </w:rPr>
              <w:t> </w:t>
            </w:r>
          </w:p>
        </w:tc>
        <w:tc>
          <w:tcPr>
            <w:tcW w:w="2250" w:type="dxa"/>
            <w:tcBorders>
              <w:top w:val="single" w:sz="6" w:space="0" w:color="auto"/>
              <w:left w:val="single" w:sz="6" w:space="0" w:color="auto"/>
              <w:bottom w:val="single" w:sz="6" w:space="0" w:color="auto"/>
              <w:right w:val="single" w:sz="6" w:space="0" w:color="auto"/>
            </w:tcBorders>
            <w:shd w:val="clear" w:color="auto" w:fill="DEEAF6"/>
            <w:hideMark/>
          </w:tcPr>
          <w:p w14:paraId="3E6D8901"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b/>
                <w:bCs/>
                <w:sz w:val="20"/>
                <w:szCs w:val="20"/>
                <w:lang w:val="en-GB" w:eastAsia="en-GB"/>
              </w:rPr>
              <w:t>No. of compulsory redundancies</w:t>
            </w:r>
            <w:r w:rsidRPr="004030DB">
              <w:rPr>
                <w:rFonts w:ascii="Arial" w:eastAsia="Times New Roman" w:hAnsi="Arial" w:cs="Arial"/>
                <w:color w:val="D13438"/>
                <w:sz w:val="20"/>
                <w:szCs w:val="20"/>
                <w:lang w:val="en-GB" w:eastAsia="en-GB"/>
              </w:rPr>
              <w:t> </w:t>
            </w:r>
          </w:p>
        </w:tc>
        <w:tc>
          <w:tcPr>
            <w:tcW w:w="1980" w:type="dxa"/>
            <w:tcBorders>
              <w:top w:val="single" w:sz="6" w:space="0" w:color="auto"/>
              <w:left w:val="single" w:sz="6" w:space="0" w:color="auto"/>
              <w:bottom w:val="single" w:sz="6" w:space="0" w:color="auto"/>
              <w:right w:val="single" w:sz="6" w:space="0" w:color="auto"/>
            </w:tcBorders>
            <w:shd w:val="clear" w:color="auto" w:fill="DEEAF6"/>
            <w:hideMark/>
          </w:tcPr>
          <w:p w14:paraId="0B2DB638"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b/>
                <w:bCs/>
                <w:sz w:val="20"/>
                <w:szCs w:val="20"/>
                <w:lang w:val="en-GB" w:eastAsia="en-GB"/>
              </w:rPr>
              <w:t>No. of other agreed departures</w:t>
            </w:r>
            <w:r w:rsidRPr="004030DB">
              <w:rPr>
                <w:rFonts w:ascii="Arial" w:eastAsia="Times New Roman" w:hAnsi="Arial" w:cs="Arial"/>
                <w:color w:val="D13438"/>
                <w:sz w:val="20"/>
                <w:szCs w:val="20"/>
                <w:lang w:val="en-GB" w:eastAsia="en-GB"/>
              </w:rPr>
              <w:t> </w:t>
            </w:r>
          </w:p>
        </w:tc>
        <w:tc>
          <w:tcPr>
            <w:tcW w:w="1830" w:type="dxa"/>
            <w:tcBorders>
              <w:top w:val="single" w:sz="6" w:space="0" w:color="auto"/>
              <w:left w:val="single" w:sz="6" w:space="0" w:color="auto"/>
              <w:bottom w:val="single" w:sz="6" w:space="0" w:color="auto"/>
              <w:right w:val="single" w:sz="6" w:space="0" w:color="auto"/>
            </w:tcBorders>
            <w:shd w:val="clear" w:color="auto" w:fill="DEEAF6"/>
            <w:hideMark/>
          </w:tcPr>
          <w:p w14:paraId="73B4476D"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b/>
                <w:bCs/>
                <w:sz w:val="20"/>
                <w:szCs w:val="20"/>
                <w:lang w:val="en-GB" w:eastAsia="en-GB"/>
              </w:rPr>
              <w:t>Total No. of exit packages</w:t>
            </w:r>
            <w:r w:rsidRPr="004030DB">
              <w:rPr>
                <w:rFonts w:ascii="Arial" w:eastAsia="Times New Roman" w:hAnsi="Arial" w:cs="Arial"/>
                <w:color w:val="D13438"/>
                <w:sz w:val="20"/>
                <w:szCs w:val="20"/>
                <w:lang w:val="en-GB" w:eastAsia="en-GB"/>
              </w:rPr>
              <w:t> </w:t>
            </w:r>
          </w:p>
        </w:tc>
      </w:tr>
      <w:tr w:rsidR="00FD2B58" w:rsidRPr="004030DB" w14:paraId="34EE2592" w14:textId="77777777" w:rsidTr="00FD2B58">
        <w:trPr>
          <w:trHeight w:val="300"/>
        </w:trPr>
        <w:tc>
          <w:tcPr>
            <w:tcW w:w="4245" w:type="dxa"/>
            <w:tcBorders>
              <w:top w:val="single" w:sz="6" w:space="0" w:color="auto"/>
              <w:left w:val="single" w:sz="6" w:space="0" w:color="auto"/>
              <w:bottom w:val="single" w:sz="6" w:space="0" w:color="auto"/>
              <w:right w:val="single" w:sz="6" w:space="0" w:color="auto"/>
            </w:tcBorders>
            <w:hideMark/>
          </w:tcPr>
          <w:p w14:paraId="36600D23" w14:textId="77777777" w:rsidR="00FD2B58" w:rsidRPr="004030DB" w:rsidRDefault="00FD2B58" w:rsidP="00FD2B58">
            <w:pPr>
              <w:widowControl/>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b/>
                <w:bCs/>
                <w:sz w:val="20"/>
                <w:szCs w:val="20"/>
                <w:lang w:val="en-GB" w:eastAsia="en-GB"/>
              </w:rPr>
              <w:t>Exit package cost band (including any special payment element)</w:t>
            </w:r>
            <w:r w:rsidRPr="004030DB">
              <w:rPr>
                <w:rFonts w:ascii="Arial" w:eastAsia="Times New Roman" w:hAnsi="Arial" w:cs="Arial"/>
                <w:color w:val="D13438"/>
                <w:sz w:val="20"/>
                <w:szCs w:val="20"/>
                <w:lang w:val="en-GB" w:eastAsia="en-GB"/>
              </w:rPr>
              <w:t> </w:t>
            </w:r>
          </w:p>
        </w:tc>
        <w:tc>
          <w:tcPr>
            <w:tcW w:w="2250" w:type="dxa"/>
            <w:tcBorders>
              <w:top w:val="single" w:sz="6" w:space="0" w:color="auto"/>
              <w:left w:val="single" w:sz="6" w:space="0" w:color="auto"/>
              <w:bottom w:val="single" w:sz="6" w:space="0" w:color="auto"/>
              <w:right w:val="single" w:sz="6" w:space="0" w:color="auto"/>
            </w:tcBorders>
            <w:shd w:val="clear" w:color="auto" w:fill="DEEAF6"/>
            <w:hideMark/>
          </w:tcPr>
          <w:p w14:paraId="1DE4D83A"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b/>
                <w:bCs/>
                <w:sz w:val="20"/>
                <w:szCs w:val="20"/>
                <w:lang w:val="en-GB" w:eastAsia="en-GB"/>
              </w:rPr>
              <w:t>Number</w:t>
            </w:r>
            <w:r w:rsidRPr="004030DB">
              <w:rPr>
                <w:rFonts w:ascii="Arial" w:eastAsia="Times New Roman" w:hAnsi="Arial" w:cs="Arial"/>
                <w:color w:val="D13438"/>
                <w:sz w:val="20"/>
                <w:szCs w:val="20"/>
                <w:lang w:val="en-GB" w:eastAsia="en-GB"/>
              </w:rPr>
              <w:t> </w:t>
            </w:r>
          </w:p>
        </w:tc>
        <w:tc>
          <w:tcPr>
            <w:tcW w:w="1980" w:type="dxa"/>
            <w:tcBorders>
              <w:top w:val="single" w:sz="6" w:space="0" w:color="auto"/>
              <w:left w:val="single" w:sz="6" w:space="0" w:color="auto"/>
              <w:bottom w:val="single" w:sz="6" w:space="0" w:color="auto"/>
              <w:right w:val="single" w:sz="6" w:space="0" w:color="auto"/>
            </w:tcBorders>
            <w:shd w:val="clear" w:color="auto" w:fill="DEEAF6"/>
            <w:hideMark/>
          </w:tcPr>
          <w:p w14:paraId="6F47DABF"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b/>
                <w:bCs/>
                <w:sz w:val="20"/>
                <w:szCs w:val="20"/>
                <w:lang w:val="en-GB" w:eastAsia="en-GB"/>
              </w:rPr>
              <w:t>Number</w:t>
            </w:r>
            <w:r w:rsidRPr="004030DB">
              <w:rPr>
                <w:rFonts w:ascii="Arial" w:eastAsia="Times New Roman" w:hAnsi="Arial" w:cs="Arial"/>
                <w:color w:val="D13438"/>
                <w:sz w:val="20"/>
                <w:szCs w:val="20"/>
                <w:lang w:val="en-GB" w:eastAsia="en-GB"/>
              </w:rPr>
              <w:t> </w:t>
            </w:r>
          </w:p>
        </w:tc>
        <w:tc>
          <w:tcPr>
            <w:tcW w:w="1830" w:type="dxa"/>
            <w:tcBorders>
              <w:top w:val="single" w:sz="6" w:space="0" w:color="auto"/>
              <w:left w:val="single" w:sz="6" w:space="0" w:color="auto"/>
              <w:bottom w:val="single" w:sz="6" w:space="0" w:color="auto"/>
              <w:right w:val="single" w:sz="6" w:space="0" w:color="auto"/>
            </w:tcBorders>
            <w:shd w:val="clear" w:color="auto" w:fill="DEEAF6"/>
            <w:hideMark/>
          </w:tcPr>
          <w:p w14:paraId="329FBBA3"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b/>
                <w:bCs/>
                <w:sz w:val="20"/>
                <w:szCs w:val="20"/>
                <w:lang w:val="en-GB" w:eastAsia="en-GB"/>
              </w:rPr>
              <w:t>Number</w:t>
            </w:r>
            <w:r w:rsidRPr="004030DB">
              <w:rPr>
                <w:rFonts w:ascii="Arial" w:eastAsia="Times New Roman" w:hAnsi="Arial" w:cs="Arial"/>
                <w:color w:val="D13438"/>
                <w:sz w:val="20"/>
                <w:szCs w:val="20"/>
                <w:lang w:val="en-GB" w:eastAsia="en-GB"/>
              </w:rPr>
              <w:t> </w:t>
            </w:r>
          </w:p>
        </w:tc>
      </w:tr>
      <w:tr w:rsidR="00FD2B58" w:rsidRPr="004030DB" w14:paraId="6138C88C" w14:textId="77777777" w:rsidTr="00FD2B58">
        <w:trPr>
          <w:trHeight w:val="300"/>
        </w:trPr>
        <w:tc>
          <w:tcPr>
            <w:tcW w:w="4245" w:type="dxa"/>
            <w:tcBorders>
              <w:top w:val="single" w:sz="6" w:space="0" w:color="auto"/>
              <w:left w:val="single" w:sz="6" w:space="0" w:color="auto"/>
              <w:bottom w:val="single" w:sz="6" w:space="0" w:color="auto"/>
              <w:right w:val="single" w:sz="6" w:space="0" w:color="auto"/>
            </w:tcBorders>
            <w:hideMark/>
          </w:tcPr>
          <w:p w14:paraId="2F242536" w14:textId="77777777" w:rsidR="00FD2B58" w:rsidRPr="004030DB" w:rsidRDefault="00FD2B58" w:rsidP="00FD2B58">
            <w:pPr>
              <w:widowControl/>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sz w:val="20"/>
                <w:szCs w:val="20"/>
                <w:lang w:val="en-GB" w:eastAsia="en-GB"/>
              </w:rPr>
              <w:t>&lt; £10,000</w:t>
            </w:r>
            <w:r w:rsidRPr="004030DB">
              <w:rPr>
                <w:rFonts w:ascii="Arial" w:eastAsia="Times New Roman" w:hAnsi="Arial" w:cs="Arial"/>
                <w:color w:val="D13438"/>
                <w:sz w:val="20"/>
                <w:szCs w:val="20"/>
                <w:lang w:val="en-GB" w:eastAsia="en-GB"/>
              </w:rPr>
              <w:t> </w:t>
            </w:r>
          </w:p>
        </w:tc>
        <w:tc>
          <w:tcPr>
            <w:tcW w:w="2250" w:type="dxa"/>
            <w:tcBorders>
              <w:top w:val="single" w:sz="6" w:space="0" w:color="auto"/>
              <w:left w:val="single" w:sz="6" w:space="0" w:color="auto"/>
              <w:bottom w:val="single" w:sz="6" w:space="0" w:color="auto"/>
              <w:right w:val="single" w:sz="6" w:space="0" w:color="auto"/>
            </w:tcBorders>
            <w:hideMark/>
          </w:tcPr>
          <w:p w14:paraId="18B453EC"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c>
          <w:tcPr>
            <w:tcW w:w="1980" w:type="dxa"/>
            <w:tcBorders>
              <w:top w:val="single" w:sz="6" w:space="0" w:color="auto"/>
              <w:left w:val="single" w:sz="6" w:space="0" w:color="auto"/>
              <w:bottom w:val="single" w:sz="6" w:space="0" w:color="auto"/>
              <w:right w:val="single" w:sz="6" w:space="0" w:color="auto"/>
            </w:tcBorders>
            <w:hideMark/>
          </w:tcPr>
          <w:p w14:paraId="59044D44"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sz w:val="20"/>
                <w:szCs w:val="20"/>
                <w:lang w:val="en-GB" w:eastAsia="en-GB"/>
              </w:rPr>
              <w:t>10</w:t>
            </w:r>
            <w:r w:rsidRPr="004030DB">
              <w:rPr>
                <w:rFonts w:ascii="Arial" w:eastAsia="Times New Roman" w:hAnsi="Arial" w:cs="Arial"/>
                <w:color w:val="D13438"/>
                <w:sz w:val="20"/>
                <w:szCs w:val="20"/>
                <w:lang w:val="en-GB" w:eastAsia="en-GB"/>
              </w:rPr>
              <w:t> </w:t>
            </w:r>
          </w:p>
        </w:tc>
        <w:tc>
          <w:tcPr>
            <w:tcW w:w="1830" w:type="dxa"/>
            <w:tcBorders>
              <w:top w:val="single" w:sz="6" w:space="0" w:color="auto"/>
              <w:left w:val="single" w:sz="6" w:space="0" w:color="auto"/>
              <w:bottom w:val="single" w:sz="6" w:space="0" w:color="auto"/>
              <w:right w:val="single" w:sz="6" w:space="0" w:color="auto"/>
            </w:tcBorders>
            <w:hideMark/>
          </w:tcPr>
          <w:p w14:paraId="1514FCF4"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sz w:val="20"/>
                <w:szCs w:val="20"/>
                <w:lang w:val="en-GB" w:eastAsia="en-GB"/>
              </w:rPr>
              <w:t>10 </w:t>
            </w:r>
          </w:p>
        </w:tc>
      </w:tr>
      <w:tr w:rsidR="00FD2B58" w:rsidRPr="004030DB" w14:paraId="19D9231A" w14:textId="77777777" w:rsidTr="00FD2B58">
        <w:trPr>
          <w:trHeight w:val="300"/>
        </w:trPr>
        <w:tc>
          <w:tcPr>
            <w:tcW w:w="4245" w:type="dxa"/>
            <w:tcBorders>
              <w:top w:val="single" w:sz="6" w:space="0" w:color="auto"/>
              <w:left w:val="single" w:sz="6" w:space="0" w:color="auto"/>
              <w:bottom w:val="single" w:sz="6" w:space="0" w:color="auto"/>
              <w:right w:val="single" w:sz="6" w:space="0" w:color="auto"/>
            </w:tcBorders>
            <w:hideMark/>
          </w:tcPr>
          <w:p w14:paraId="5A728DA2" w14:textId="77777777" w:rsidR="00FD2B58" w:rsidRPr="004030DB" w:rsidRDefault="00FD2B58" w:rsidP="00FD2B58">
            <w:pPr>
              <w:widowControl/>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sz w:val="20"/>
                <w:szCs w:val="20"/>
                <w:lang w:val="en-GB" w:eastAsia="en-GB"/>
              </w:rPr>
              <w:t>£10,000 - £25,000</w:t>
            </w:r>
            <w:r w:rsidRPr="004030DB">
              <w:rPr>
                <w:rFonts w:ascii="Arial" w:eastAsia="Times New Roman" w:hAnsi="Arial" w:cs="Arial"/>
                <w:color w:val="D13438"/>
                <w:sz w:val="20"/>
                <w:szCs w:val="20"/>
                <w:lang w:val="en-GB" w:eastAsia="en-GB"/>
              </w:rPr>
              <w:t> </w:t>
            </w:r>
          </w:p>
        </w:tc>
        <w:tc>
          <w:tcPr>
            <w:tcW w:w="2250" w:type="dxa"/>
            <w:tcBorders>
              <w:top w:val="single" w:sz="6" w:space="0" w:color="auto"/>
              <w:left w:val="single" w:sz="6" w:space="0" w:color="auto"/>
              <w:bottom w:val="single" w:sz="6" w:space="0" w:color="auto"/>
              <w:right w:val="single" w:sz="6" w:space="0" w:color="auto"/>
            </w:tcBorders>
            <w:hideMark/>
          </w:tcPr>
          <w:p w14:paraId="77B05378"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c>
          <w:tcPr>
            <w:tcW w:w="1980" w:type="dxa"/>
            <w:tcBorders>
              <w:top w:val="single" w:sz="6" w:space="0" w:color="auto"/>
              <w:left w:val="single" w:sz="6" w:space="0" w:color="auto"/>
              <w:bottom w:val="single" w:sz="6" w:space="0" w:color="auto"/>
              <w:right w:val="single" w:sz="6" w:space="0" w:color="auto"/>
            </w:tcBorders>
            <w:hideMark/>
          </w:tcPr>
          <w:p w14:paraId="427F17B5"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sz w:val="20"/>
                <w:szCs w:val="20"/>
                <w:lang w:val="en-GB" w:eastAsia="en-GB"/>
              </w:rPr>
              <w:t>1</w:t>
            </w:r>
            <w:r w:rsidRPr="004030DB">
              <w:rPr>
                <w:rFonts w:ascii="Arial" w:eastAsia="Times New Roman" w:hAnsi="Arial" w:cs="Arial"/>
                <w:color w:val="D13438"/>
                <w:sz w:val="20"/>
                <w:szCs w:val="20"/>
                <w:lang w:val="en-GB" w:eastAsia="en-GB"/>
              </w:rPr>
              <w:t> </w:t>
            </w:r>
          </w:p>
        </w:tc>
        <w:tc>
          <w:tcPr>
            <w:tcW w:w="1830" w:type="dxa"/>
            <w:tcBorders>
              <w:top w:val="single" w:sz="6" w:space="0" w:color="auto"/>
              <w:left w:val="single" w:sz="6" w:space="0" w:color="auto"/>
              <w:bottom w:val="single" w:sz="6" w:space="0" w:color="auto"/>
              <w:right w:val="single" w:sz="6" w:space="0" w:color="auto"/>
            </w:tcBorders>
            <w:hideMark/>
          </w:tcPr>
          <w:p w14:paraId="20BD5100"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sz w:val="20"/>
                <w:szCs w:val="20"/>
                <w:lang w:val="en-GB" w:eastAsia="en-GB"/>
              </w:rPr>
              <w:t>1</w:t>
            </w:r>
            <w:r w:rsidRPr="004030DB">
              <w:rPr>
                <w:rFonts w:ascii="Arial" w:eastAsia="Times New Roman" w:hAnsi="Arial" w:cs="Arial"/>
                <w:color w:val="D13438"/>
                <w:sz w:val="20"/>
                <w:szCs w:val="20"/>
                <w:lang w:val="en-GB" w:eastAsia="en-GB"/>
              </w:rPr>
              <w:t> </w:t>
            </w:r>
          </w:p>
        </w:tc>
      </w:tr>
      <w:tr w:rsidR="00FD2B58" w:rsidRPr="004030DB" w14:paraId="321FC3AD" w14:textId="77777777" w:rsidTr="00FD2B58">
        <w:trPr>
          <w:trHeight w:val="300"/>
        </w:trPr>
        <w:tc>
          <w:tcPr>
            <w:tcW w:w="4245" w:type="dxa"/>
            <w:tcBorders>
              <w:top w:val="single" w:sz="6" w:space="0" w:color="auto"/>
              <w:left w:val="single" w:sz="6" w:space="0" w:color="auto"/>
              <w:bottom w:val="single" w:sz="6" w:space="0" w:color="auto"/>
              <w:right w:val="single" w:sz="6" w:space="0" w:color="auto"/>
            </w:tcBorders>
            <w:hideMark/>
          </w:tcPr>
          <w:p w14:paraId="3A245577" w14:textId="77777777" w:rsidR="00FD2B58" w:rsidRPr="004030DB" w:rsidRDefault="00FD2B58" w:rsidP="00FD2B58">
            <w:pPr>
              <w:widowControl/>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sz w:val="20"/>
                <w:szCs w:val="20"/>
                <w:lang w:val="en-GB" w:eastAsia="en-GB"/>
              </w:rPr>
              <w:t>£25,001 - £50,000</w:t>
            </w:r>
            <w:r w:rsidRPr="004030DB">
              <w:rPr>
                <w:rFonts w:ascii="Arial" w:eastAsia="Times New Roman" w:hAnsi="Arial" w:cs="Arial"/>
                <w:color w:val="D13438"/>
                <w:sz w:val="20"/>
                <w:szCs w:val="20"/>
                <w:lang w:val="en-GB" w:eastAsia="en-GB"/>
              </w:rPr>
              <w:t> </w:t>
            </w:r>
          </w:p>
        </w:tc>
        <w:tc>
          <w:tcPr>
            <w:tcW w:w="2250" w:type="dxa"/>
            <w:tcBorders>
              <w:top w:val="single" w:sz="6" w:space="0" w:color="auto"/>
              <w:left w:val="single" w:sz="6" w:space="0" w:color="auto"/>
              <w:bottom w:val="single" w:sz="6" w:space="0" w:color="auto"/>
              <w:right w:val="single" w:sz="6" w:space="0" w:color="auto"/>
            </w:tcBorders>
            <w:hideMark/>
          </w:tcPr>
          <w:p w14:paraId="1EEF98D7"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sz w:val="20"/>
                <w:szCs w:val="20"/>
                <w:lang w:val="en-GB" w:eastAsia="en-GB"/>
              </w:rPr>
              <w:t>1</w:t>
            </w:r>
            <w:r w:rsidRPr="004030DB">
              <w:rPr>
                <w:rFonts w:ascii="Arial" w:eastAsia="Times New Roman" w:hAnsi="Arial" w:cs="Arial"/>
                <w:color w:val="D13438"/>
                <w:sz w:val="20"/>
                <w:szCs w:val="20"/>
                <w:lang w:val="en-GB" w:eastAsia="en-GB"/>
              </w:rPr>
              <w:t> </w:t>
            </w:r>
          </w:p>
        </w:tc>
        <w:tc>
          <w:tcPr>
            <w:tcW w:w="1980" w:type="dxa"/>
            <w:tcBorders>
              <w:top w:val="single" w:sz="6" w:space="0" w:color="auto"/>
              <w:left w:val="single" w:sz="6" w:space="0" w:color="auto"/>
              <w:bottom w:val="single" w:sz="6" w:space="0" w:color="auto"/>
              <w:right w:val="single" w:sz="6" w:space="0" w:color="auto"/>
            </w:tcBorders>
            <w:hideMark/>
          </w:tcPr>
          <w:p w14:paraId="68C72514"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c>
          <w:tcPr>
            <w:tcW w:w="1830" w:type="dxa"/>
            <w:tcBorders>
              <w:top w:val="single" w:sz="6" w:space="0" w:color="auto"/>
              <w:left w:val="single" w:sz="6" w:space="0" w:color="auto"/>
              <w:bottom w:val="single" w:sz="6" w:space="0" w:color="auto"/>
              <w:right w:val="single" w:sz="6" w:space="0" w:color="auto"/>
            </w:tcBorders>
            <w:hideMark/>
          </w:tcPr>
          <w:p w14:paraId="3AE65A37"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sz w:val="20"/>
                <w:szCs w:val="20"/>
                <w:lang w:val="en-GB" w:eastAsia="en-GB"/>
              </w:rPr>
              <w:t>1</w:t>
            </w:r>
            <w:r w:rsidRPr="004030DB">
              <w:rPr>
                <w:rFonts w:ascii="Arial" w:eastAsia="Times New Roman" w:hAnsi="Arial" w:cs="Arial"/>
                <w:color w:val="D13438"/>
                <w:sz w:val="20"/>
                <w:szCs w:val="20"/>
                <w:lang w:val="en-GB" w:eastAsia="en-GB"/>
              </w:rPr>
              <w:t> </w:t>
            </w:r>
          </w:p>
        </w:tc>
      </w:tr>
      <w:tr w:rsidR="00FD2B58" w:rsidRPr="004030DB" w14:paraId="6AFA9617" w14:textId="77777777" w:rsidTr="00FD2B58">
        <w:trPr>
          <w:trHeight w:val="300"/>
        </w:trPr>
        <w:tc>
          <w:tcPr>
            <w:tcW w:w="4245" w:type="dxa"/>
            <w:tcBorders>
              <w:top w:val="single" w:sz="6" w:space="0" w:color="auto"/>
              <w:left w:val="single" w:sz="6" w:space="0" w:color="auto"/>
              <w:bottom w:val="single" w:sz="6" w:space="0" w:color="auto"/>
              <w:right w:val="single" w:sz="6" w:space="0" w:color="auto"/>
            </w:tcBorders>
            <w:hideMark/>
          </w:tcPr>
          <w:p w14:paraId="07A29992" w14:textId="77777777" w:rsidR="00FD2B58" w:rsidRPr="004030DB" w:rsidRDefault="00FD2B58" w:rsidP="00FD2B58">
            <w:pPr>
              <w:widowControl/>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sz w:val="20"/>
                <w:szCs w:val="20"/>
                <w:lang w:val="en-GB" w:eastAsia="en-GB"/>
              </w:rPr>
              <w:t>£50,001 - £100,000</w:t>
            </w:r>
            <w:r w:rsidRPr="004030DB">
              <w:rPr>
                <w:rFonts w:ascii="Arial" w:eastAsia="Times New Roman" w:hAnsi="Arial" w:cs="Arial"/>
                <w:color w:val="D13438"/>
                <w:sz w:val="20"/>
                <w:szCs w:val="20"/>
                <w:lang w:val="en-GB" w:eastAsia="en-GB"/>
              </w:rPr>
              <w:t> </w:t>
            </w:r>
          </w:p>
        </w:tc>
        <w:tc>
          <w:tcPr>
            <w:tcW w:w="2250" w:type="dxa"/>
            <w:tcBorders>
              <w:top w:val="single" w:sz="6" w:space="0" w:color="auto"/>
              <w:left w:val="single" w:sz="6" w:space="0" w:color="auto"/>
              <w:bottom w:val="single" w:sz="6" w:space="0" w:color="auto"/>
              <w:right w:val="single" w:sz="6" w:space="0" w:color="auto"/>
            </w:tcBorders>
            <w:hideMark/>
          </w:tcPr>
          <w:p w14:paraId="03EA21BA"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c>
          <w:tcPr>
            <w:tcW w:w="1980" w:type="dxa"/>
            <w:tcBorders>
              <w:top w:val="single" w:sz="6" w:space="0" w:color="auto"/>
              <w:left w:val="single" w:sz="6" w:space="0" w:color="auto"/>
              <w:bottom w:val="single" w:sz="6" w:space="0" w:color="auto"/>
              <w:right w:val="single" w:sz="6" w:space="0" w:color="auto"/>
            </w:tcBorders>
            <w:hideMark/>
          </w:tcPr>
          <w:p w14:paraId="481C8C13"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c>
          <w:tcPr>
            <w:tcW w:w="1830" w:type="dxa"/>
            <w:tcBorders>
              <w:top w:val="single" w:sz="6" w:space="0" w:color="auto"/>
              <w:left w:val="single" w:sz="6" w:space="0" w:color="auto"/>
              <w:bottom w:val="single" w:sz="6" w:space="0" w:color="auto"/>
              <w:right w:val="single" w:sz="6" w:space="0" w:color="auto"/>
            </w:tcBorders>
            <w:hideMark/>
          </w:tcPr>
          <w:p w14:paraId="0A3694E4"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r>
      <w:tr w:rsidR="00FD2B58" w:rsidRPr="004030DB" w14:paraId="7FC935AA" w14:textId="77777777" w:rsidTr="00FD2B58">
        <w:trPr>
          <w:trHeight w:val="300"/>
        </w:trPr>
        <w:tc>
          <w:tcPr>
            <w:tcW w:w="4245" w:type="dxa"/>
            <w:tcBorders>
              <w:top w:val="single" w:sz="6" w:space="0" w:color="auto"/>
              <w:left w:val="single" w:sz="6" w:space="0" w:color="auto"/>
              <w:bottom w:val="single" w:sz="6" w:space="0" w:color="auto"/>
              <w:right w:val="single" w:sz="6" w:space="0" w:color="auto"/>
            </w:tcBorders>
            <w:hideMark/>
          </w:tcPr>
          <w:p w14:paraId="2A5CD117" w14:textId="77777777" w:rsidR="00FD2B58" w:rsidRPr="004030DB" w:rsidRDefault="00FD2B58" w:rsidP="00FD2B58">
            <w:pPr>
              <w:widowControl/>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sz w:val="20"/>
                <w:szCs w:val="20"/>
                <w:lang w:val="en-GB" w:eastAsia="en-GB"/>
              </w:rPr>
              <w:t>£100,001 - £150,000</w:t>
            </w:r>
            <w:r w:rsidRPr="004030DB">
              <w:rPr>
                <w:rFonts w:ascii="Arial" w:eastAsia="Times New Roman" w:hAnsi="Arial" w:cs="Arial"/>
                <w:color w:val="D13438"/>
                <w:sz w:val="20"/>
                <w:szCs w:val="20"/>
                <w:lang w:val="en-GB" w:eastAsia="en-GB"/>
              </w:rPr>
              <w:t> </w:t>
            </w:r>
          </w:p>
        </w:tc>
        <w:tc>
          <w:tcPr>
            <w:tcW w:w="2250" w:type="dxa"/>
            <w:tcBorders>
              <w:top w:val="single" w:sz="6" w:space="0" w:color="auto"/>
              <w:left w:val="single" w:sz="6" w:space="0" w:color="auto"/>
              <w:bottom w:val="single" w:sz="6" w:space="0" w:color="auto"/>
              <w:right w:val="single" w:sz="6" w:space="0" w:color="auto"/>
            </w:tcBorders>
            <w:hideMark/>
          </w:tcPr>
          <w:p w14:paraId="45CE2603"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c>
          <w:tcPr>
            <w:tcW w:w="1980" w:type="dxa"/>
            <w:tcBorders>
              <w:top w:val="single" w:sz="6" w:space="0" w:color="auto"/>
              <w:left w:val="single" w:sz="6" w:space="0" w:color="auto"/>
              <w:bottom w:val="single" w:sz="6" w:space="0" w:color="auto"/>
              <w:right w:val="single" w:sz="6" w:space="0" w:color="auto"/>
            </w:tcBorders>
            <w:hideMark/>
          </w:tcPr>
          <w:p w14:paraId="109525F2"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c>
          <w:tcPr>
            <w:tcW w:w="1830" w:type="dxa"/>
            <w:tcBorders>
              <w:top w:val="single" w:sz="6" w:space="0" w:color="auto"/>
              <w:left w:val="single" w:sz="6" w:space="0" w:color="auto"/>
              <w:bottom w:val="single" w:sz="6" w:space="0" w:color="auto"/>
              <w:right w:val="single" w:sz="6" w:space="0" w:color="auto"/>
            </w:tcBorders>
            <w:hideMark/>
          </w:tcPr>
          <w:p w14:paraId="44DD7B1F"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r>
      <w:tr w:rsidR="00FD2B58" w:rsidRPr="004030DB" w14:paraId="6BC770D3" w14:textId="77777777" w:rsidTr="00FD2B58">
        <w:trPr>
          <w:trHeight w:val="300"/>
        </w:trPr>
        <w:tc>
          <w:tcPr>
            <w:tcW w:w="4245" w:type="dxa"/>
            <w:tcBorders>
              <w:top w:val="single" w:sz="6" w:space="0" w:color="auto"/>
              <w:left w:val="single" w:sz="6" w:space="0" w:color="auto"/>
              <w:bottom w:val="single" w:sz="6" w:space="0" w:color="auto"/>
              <w:right w:val="single" w:sz="6" w:space="0" w:color="auto"/>
            </w:tcBorders>
            <w:hideMark/>
          </w:tcPr>
          <w:p w14:paraId="651CC00E" w14:textId="77777777" w:rsidR="00FD2B58" w:rsidRPr="004030DB" w:rsidRDefault="00FD2B58" w:rsidP="00FD2B58">
            <w:pPr>
              <w:widowControl/>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sz w:val="20"/>
                <w:szCs w:val="20"/>
                <w:lang w:val="en-GB" w:eastAsia="en-GB"/>
              </w:rPr>
              <w:t>£150,001 - £200,000</w:t>
            </w:r>
            <w:r w:rsidRPr="004030DB">
              <w:rPr>
                <w:rFonts w:ascii="Arial" w:eastAsia="Times New Roman" w:hAnsi="Arial" w:cs="Arial"/>
                <w:color w:val="D13438"/>
                <w:sz w:val="20"/>
                <w:szCs w:val="20"/>
                <w:lang w:val="en-GB" w:eastAsia="en-GB"/>
              </w:rPr>
              <w:t> </w:t>
            </w:r>
          </w:p>
        </w:tc>
        <w:tc>
          <w:tcPr>
            <w:tcW w:w="2250" w:type="dxa"/>
            <w:tcBorders>
              <w:top w:val="single" w:sz="6" w:space="0" w:color="auto"/>
              <w:left w:val="single" w:sz="6" w:space="0" w:color="auto"/>
              <w:bottom w:val="single" w:sz="6" w:space="0" w:color="auto"/>
              <w:right w:val="single" w:sz="6" w:space="0" w:color="auto"/>
            </w:tcBorders>
            <w:hideMark/>
          </w:tcPr>
          <w:p w14:paraId="1B00B853"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c>
          <w:tcPr>
            <w:tcW w:w="1980" w:type="dxa"/>
            <w:tcBorders>
              <w:top w:val="single" w:sz="6" w:space="0" w:color="auto"/>
              <w:left w:val="single" w:sz="6" w:space="0" w:color="auto"/>
              <w:bottom w:val="single" w:sz="6" w:space="0" w:color="auto"/>
              <w:right w:val="single" w:sz="6" w:space="0" w:color="auto"/>
            </w:tcBorders>
            <w:hideMark/>
          </w:tcPr>
          <w:p w14:paraId="05ABF676"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c>
          <w:tcPr>
            <w:tcW w:w="1830" w:type="dxa"/>
            <w:tcBorders>
              <w:top w:val="single" w:sz="6" w:space="0" w:color="auto"/>
              <w:left w:val="single" w:sz="6" w:space="0" w:color="auto"/>
              <w:bottom w:val="single" w:sz="6" w:space="0" w:color="auto"/>
              <w:right w:val="single" w:sz="6" w:space="0" w:color="auto"/>
            </w:tcBorders>
            <w:hideMark/>
          </w:tcPr>
          <w:p w14:paraId="311ACA16"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r>
      <w:tr w:rsidR="00FD2B58" w:rsidRPr="004030DB" w14:paraId="4545351F" w14:textId="77777777" w:rsidTr="00FD2B58">
        <w:trPr>
          <w:trHeight w:val="300"/>
        </w:trPr>
        <w:tc>
          <w:tcPr>
            <w:tcW w:w="4245" w:type="dxa"/>
            <w:tcBorders>
              <w:top w:val="single" w:sz="6" w:space="0" w:color="auto"/>
              <w:left w:val="single" w:sz="6" w:space="0" w:color="auto"/>
              <w:bottom w:val="single" w:sz="6" w:space="0" w:color="auto"/>
              <w:right w:val="single" w:sz="6" w:space="0" w:color="auto"/>
            </w:tcBorders>
            <w:hideMark/>
          </w:tcPr>
          <w:p w14:paraId="5D404FC1" w14:textId="77777777" w:rsidR="00FD2B58" w:rsidRPr="004030DB" w:rsidRDefault="00FD2B58" w:rsidP="00FD2B58">
            <w:pPr>
              <w:widowControl/>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sz w:val="20"/>
                <w:szCs w:val="20"/>
                <w:lang w:val="en-GB" w:eastAsia="en-GB"/>
              </w:rPr>
              <w:t>&gt; £200,000</w:t>
            </w:r>
            <w:r w:rsidRPr="004030DB">
              <w:rPr>
                <w:rFonts w:ascii="Arial" w:eastAsia="Times New Roman" w:hAnsi="Arial" w:cs="Arial"/>
                <w:color w:val="D13438"/>
                <w:sz w:val="20"/>
                <w:szCs w:val="20"/>
                <w:lang w:val="en-GB" w:eastAsia="en-GB"/>
              </w:rPr>
              <w:t> </w:t>
            </w:r>
          </w:p>
        </w:tc>
        <w:tc>
          <w:tcPr>
            <w:tcW w:w="2250" w:type="dxa"/>
            <w:tcBorders>
              <w:top w:val="single" w:sz="6" w:space="0" w:color="auto"/>
              <w:left w:val="single" w:sz="6" w:space="0" w:color="auto"/>
              <w:bottom w:val="single" w:sz="6" w:space="0" w:color="auto"/>
              <w:right w:val="single" w:sz="6" w:space="0" w:color="auto"/>
            </w:tcBorders>
            <w:hideMark/>
          </w:tcPr>
          <w:p w14:paraId="074077C2"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c>
          <w:tcPr>
            <w:tcW w:w="1980" w:type="dxa"/>
            <w:tcBorders>
              <w:top w:val="single" w:sz="6" w:space="0" w:color="auto"/>
              <w:left w:val="single" w:sz="6" w:space="0" w:color="auto"/>
              <w:bottom w:val="single" w:sz="6" w:space="0" w:color="auto"/>
              <w:right w:val="single" w:sz="6" w:space="0" w:color="auto"/>
            </w:tcBorders>
            <w:hideMark/>
          </w:tcPr>
          <w:p w14:paraId="4F3EFC62"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c>
          <w:tcPr>
            <w:tcW w:w="1830" w:type="dxa"/>
            <w:tcBorders>
              <w:top w:val="single" w:sz="6" w:space="0" w:color="auto"/>
              <w:left w:val="single" w:sz="6" w:space="0" w:color="auto"/>
              <w:bottom w:val="single" w:sz="6" w:space="0" w:color="auto"/>
              <w:right w:val="single" w:sz="6" w:space="0" w:color="auto"/>
            </w:tcBorders>
            <w:hideMark/>
          </w:tcPr>
          <w:p w14:paraId="3E650A34"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r>
      <w:tr w:rsidR="00FD2B58" w:rsidRPr="004030DB" w14:paraId="76AA591C" w14:textId="77777777" w:rsidTr="00FD2B58">
        <w:trPr>
          <w:trHeight w:val="300"/>
        </w:trPr>
        <w:tc>
          <w:tcPr>
            <w:tcW w:w="4245" w:type="dxa"/>
            <w:tcBorders>
              <w:top w:val="single" w:sz="6" w:space="0" w:color="auto"/>
              <w:left w:val="single" w:sz="6" w:space="0" w:color="auto"/>
              <w:bottom w:val="single" w:sz="6" w:space="0" w:color="auto"/>
              <w:right w:val="single" w:sz="6" w:space="0" w:color="auto"/>
            </w:tcBorders>
            <w:shd w:val="clear" w:color="auto" w:fill="DEEAF6"/>
            <w:hideMark/>
          </w:tcPr>
          <w:p w14:paraId="0B13C400" w14:textId="77777777" w:rsidR="00FD2B58" w:rsidRPr="004030DB" w:rsidRDefault="00FD2B58" w:rsidP="00FD2B58">
            <w:pPr>
              <w:widowControl/>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b/>
                <w:bCs/>
                <w:sz w:val="20"/>
                <w:szCs w:val="20"/>
                <w:lang w:val="en-GB" w:eastAsia="en-GB"/>
              </w:rPr>
              <w:t>Total number of exit packages by type</w:t>
            </w:r>
            <w:r w:rsidRPr="004030DB">
              <w:rPr>
                <w:rFonts w:ascii="Arial" w:eastAsia="Times New Roman" w:hAnsi="Arial" w:cs="Arial"/>
                <w:color w:val="D13438"/>
                <w:sz w:val="20"/>
                <w:szCs w:val="20"/>
                <w:lang w:val="en-GB" w:eastAsia="en-GB"/>
              </w:rPr>
              <w:t> </w:t>
            </w:r>
          </w:p>
        </w:tc>
        <w:tc>
          <w:tcPr>
            <w:tcW w:w="2250" w:type="dxa"/>
            <w:tcBorders>
              <w:top w:val="single" w:sz="6" w:space="0" w:color="auto"/>
              <w:left w:val="single" w:sz="6" w:space="0" w:color="auto"/>
              <w:bottom w:val="single" w:sz="6" w:space="0" w:color="auto"/>
              <w:right w:val="single" w:sz="6" w:space="0" w:color="auto"/>
            </w:tcBorders>
            <w:shd w:val="clear" w:color="auto" w:fill="DEEAF6"/>
            <w:hideMark/>
          </w:tcPr>
          <w:p w14:paraId="1052F065"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b/>
                <w:bCs/>
                <w:sz w:val="20"/>
                <w:szCs w:val="20"/>
                <w:lang w:val="en-GB" w:eastAsia="en-GB"/>
              </w:rPr>
              <w:t>1</w:t>
            </w:r>
            <w:r w:rsidRPr="004030DB">
              <w:rPr>
                <w:rFonts w:ascii="Arial" w:eastAsia="Times New Roman" w:hAnsi="Arial" w:cs="Arial"/>
                <w:color w:val="D13438"/>
                <w:sz w:val="20"/>
                <w:szCs w:val="20"/>
                <w:lang w:val="en-GB" w:eastAsia="en-GB"/>
              </w:rPr>
              <w:t> </w:t>
            </w:r>
          </w:p>
        </w:tc>
        <w:tc>
          <w:tcPr>
            <w:tcW w:w="1980" w:type="dxa"/>
            <w:tcBorders>
              <w:top w:val="single" w:sz="6" w:space="0" w:color="auto"/>
              <w:left w:val="single" w:sz="6" w:space="0" w:color="auto"/>
              <w:bottom w:val="single" w:sz="6" w:space="0" w:color="auto"/>
              <w:right w:val="single" w:sz="6" w:space="0" w:color="auto"/>
            </w:tcBorders>
            <w:shd w:val="clear" w:color="auto" w:fill="DEEAF6"/>
            <w:hideMark/>
          </w:tcPr>
          <w:p w14:paraId="58DD159A"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b/>
                <w:bCs/>
                <w:sz w:val="20"/>
                <w:szCs w:val="20"/>
                <w:lang w:val="en-GB" w:eastAsia="en-GB"/>
              </w:rPr>
              <w:t>11</w:t>
            </w:r>
            <w:r w:rsidRPr="004030DB">
              <w:rPr>
                <w:rFonts w:ascii="Arial" w:eastAsia="Times New Roman" w:hAnsi="Arial" w:cs="Arial"/>
                <w:color w:val="D13438"/>
                <w:sz w:val="20"/>
                <w:szCs w:val="20"/>
                <w:lang w:val="en-GB" w:eastAsia="en-GB"/>
              </w:rPr>
              <w:t> </w:t>
            </w:r>
          </w:p>
        </w:tc>
        <w:tc>
          <w:tcPr>
            <w:tcW w:w="1830" w:type="dxa"/>
            <w:tcBorders>
              <w:top w:val="single" w:sz="6" w:space="0" w:color="auto"/>
              <w:left w:val="single" w:sz="6" w:space="0" w:color="auto"/>
              <w:bottom w:val="single" w:sz="6" w:space="0" w:color="auto"/>
              <w:right w:val="single" w:sz="6" w:space="0" w:color="auto"/>
            </w:tcBorders>
            <w:shd w:val="clear" w:color="auto" w:fill="DEEAF6"/>
            <w:hideMark/>
          </w:tcPr>
          <w:p w14:paraId="349296A7"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b/>
                <w:bCs/>
                <w:sz w:val="20"/>
                <w:szCs w:val="20"/>
                <w:lang w:val="en-GB" w:eastAsia="en-GB"/>
              </w:rPr>
              <w:t>12</w:t>
            </w:r>
            <w:r w:rsidRPr="004030DB">
              <w:rPr>
                <w:rFonts w:ascii="Arial" w:eastAsia="Times New Roman" w:hAnsi="Arial" w:cs="Arial"/>
                <w:color w:val="D13438"/>
                <w:sz w:val="20"/>
                <w:szCs w:val="20"/>
                <w:lang w:val="en-GB" w:eastAsia="en-GB"/>
              </w:rPr>
              <w:t> </w:t>
            </w:r>
          </w:p>
        </w:tc>
      </w:tr>
      <w:tr w:rsidR="00FD2B58" w:rsidRPr="004030DB" w14:paraId="40D6A1AB" w14:textId="77777777" w:rsidTr="00FD2B58">
        <w:trPr>
          <w:trHeight w:val="300"/>
        </w:trPr>
        <w:tc>
          <w:tcPr>
            <w:tcW w:w="4245" w:type="dxa"/>
            <w:tcBorders>
              <w:top w:val="single" w:sz="6" w:space="0" w:color="auto"/>
              <w:left w:val="single" w:sz="6" w:space="0" w:color="auto"/>
              <w:bottom w:val="single" w:sz="6" w:space="0" w:color="auto"/>
              <w:right w:val="single" w:sz="6" w:space="0" w:color="auto"/>
            </w:tcBorders>
            <w:hideMark/>
          </w:tcPr>
          <w:p w14:paraId="00297C37" w14:textId="77777777" w:rsidR="00FD2B58" w:rsidRPr="004030DB" w:rsidRDefault="00FD2B58" w:rsidP="00FD2B58">
            <w:pPr>
              <w:widowControl/>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sz w:val="20"/>
                <w:szCs w:val="20"/>
                <w:lang w:val="en-GB" w:eastAsia="en-GB"/>
              </w:rPr>
              <w:t>Total cost (£)</w:t>
            </w:r>
            <w:r w:rsidRPr="004030DB">
              <w:rPr>
                <w:rFonts w:ascii="Arial" w:eastAsia="Times New Roman" w:hAnsi="Arial" w:cs="Arial"/>
                <w:color w:val="D13438"/>
                <w:sz w:val="20"/>
                <w:szCs w:val="20"/>
                <w:lang w:val="en-GB" w:eastAsia="en-GB"/>
              </w:rPr>
              <w:t> </w:t>
            </w:r>
          </w:p>
        </w:tc>
        <w:tc>
          <w:tcPr>
            <w:tcW w:w="2250" w:type="dxa"/>
            <w:tcBorders>
              <w:top w:val="single" w:sz="6" w:space="0" w:color="auto"/>
              <w:left w:val="single" w:sz="6" w:space="0" w:color="auto"/>
              <w:bottom w:val="single" w:sz="6" w:space="0" w:color="auto"/>
              <w:right w:val="single" w:sz="6" w:space="0" w:color="auto"/>
            </w:tcBorders>
            <w:hideMark/>
          </w:tcPr>
          <w:p w14:paraId="528EF2F7"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sz w:val="20"/>
                <w:szCs w:val="20"/>
                <w:lang w:val="en-GB" w:eastAsia="en-GB"/>
              </w:rPr>
              <w:t>48,000</w:t>
            </w:r>
            <w:r w:rsidRPr="004030DB">
              <w:rPr>
                <w:rFonts w:ascii="Arial" w:eastAsia="Times New Roman" w:hAnsi="Arial" w:cs="Arial"/>
                <w:color w:val="D13438"/>
                <w:sz w:val="20"/>
                <w:szCs w:val="20"/>
                <w:lang w:val="en-GB" w:eastAsia="en-GB"/>
              </w:rPr>
              <w:t> </w:t>
            </w:r>
          </w:p>
        </w:tc>
        <w:tc>
          <w:tcPr>
            <w:tcW w:w="1980" w:type="dxa"/>
            <w:tcBorders>
              <w:top w:val="single" w:sz="6" w:space="0" w:color="auto"/>
              <w:left w:val="single" w:sz="6" w:space="0" w:color="auto"/>
              <w:bottom w:val="single" w:sz="6" w:space="0" w:color="auto"/>
              <w:right w:val="single" w:sz="6" w:space="0" w:color="auto"/>
            </w:tcBorders>
            <w:hideMark/>
          </w:tcPr>
          <w:p w14:paraId="510BD548"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sz w:val="20"/>
                <w:szCs w:val="20"/>
                <w:lang w:val="en-GB" w:eastAsia="en-GB"/>
              </w:rPr>
              <w:t>67,000</w:t>
            </w:r>
            <w:r w:rsidRPr="004030DB">
              <w:rPr>
                <w:rFonts w:ascii="Arial" w:eastAsia="Times New Roman" w:hAnsi="Arial" w:cs="Arial"/>
                <w:color w:val="D13438"/>
                <w:sz w:val="20"/>
                <w:szCs w:val="20"/>
                <w:lang w:val="en-GB" w:eastAsia="en-GB"/>
              </w:rPr>
              <w:t> </w:t>
            </w:r>
          </w:p>
        </w:tc>
        <w:tc>
          <w:tcPr>
            <w:tcW w:w="1830" w:type="dxa"/>
            <w:tcBorders>
              <w:top w:val="single" w:sz="6" w:space="0" w:color="auto"/>
              <w:left w:val="single" w:sz="6" w:space="0" w:color="auto"/>
              <w:bottom w:val="single" w:sz="6" w:space="0" w:color="auto"/>
              <w:right w:val="single" w:sz="6" w:space="0" w:color="auto"/>
            </w:tcBorders>
            <w:hideMark/>
          </w:tcPr>
          <w:p w14:paraId="4E02146E"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sz w:val="20"/>
                <w:szCs w:val="20"/>
                <w:lang w:val="en-GB" w:eastAsia="en-GB"/>
              </w:rPr>
              <w:t>115,000 </w:t>
            </w:r>
          </w:p>
        </w:tc>
      </w:tr>
      <w:tr w:rsidR="00FD2B58" w:rsidRPr="004030DB" w14:paraId="454254F7" w14:textId="77777777" w:rsidTr="00FD2B58">
        <w:trPr>
          <w:trHeight w:val="300"/>
        </w:trPr>
        <w:tc>
          <w:tcPr>
            <w:tcW w:w="4245" w:type="dxa"/>
            <w:tcBorders>
              <w:top w:val="single" w:sz="6" w:space="0" w:color="auto"/>
              <w:left w:val="nil"/>
              <w:bottom w:val="nil"/>
              <w:right w:val="nil"/>
            </w:tcBorders>
            <w:hideMark/>
          </w:tcPr>
          <w:p w14:paraId="0504F192" w14:textId="77777777" w:rsidR="00FD2B58" w:rsidRPr="004030DB" w:rsidRDefault="00FD2B58" w:rsidP="00FD2B58">
            <w:pPr>
              <w:widowControl/>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c>
          <w:tcPr>
            <w:tcW w:w="2250" w:type="dxa"/>
            <w:tcBorders>
              <w:top w:val="single" w:sz="6" w:space="0" w:color="auto"/>
              <w:left w:val="nil"/>
              <w:bottom w:val="nil"/>
              <w:right w:val="nil"/>
            </w:tcBorders>
            <w:hideMark/>
          </w:tcPr>
          <w:p w14:paraId="29B4165A"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c>
          <w:tcPr>
            <w:tcW w:w="1980" w:type="dxa"/>
            <w:tcBorders>
              <w:top w:val="single" w:sz="6" w:space="0" w:color="auto"/>
              <w:left w:val="nil"/>
              <w:bottom w:val="nil"/>
              <w:right w:val="nil"/>
            </w:tcBorders>
            <w:hideMark/>
          </w:tcPr>
          <w:p w14:paraId="7CCA49E4"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c>
          <w:tcPr>
            <w:tcW w:w="1830" w:type="dxa"/>
            <w:tcBorders>
              <w:top w:val="single" w:sz="6" w:space="0" w:color="auto"/>
              <w:left w:val="nil"/>
              <w:bottom w:val="nil"/>
              <w:right w:val="nil"/>
            </w:tcBorders>
            <w:hideMark/>
          </w:tcPr>
          <w:p w14:paraId="7781AFCD"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r>
      <w:tr w:rsidR="00FD2B58" w:rsidRPr="004030DB" w14:paraId="200E4FEF" w14:textId="77777777" w:rsidTr="00FD2B58">
        <w:trPr>
          <w:trHeight w:val="300"/>
        </w:trPr>
        <w:tc>
          <w:tcPr>
            <w:tcW w:w="4245" w:type="dxa"/>
            <w:tcBorders>
              <w:top w:val="nil"/>
              <w:left w:val="nil"/>
              <w:bottom w:val="single" w:sz="6" w:space="0" w:color="auto"/>
              <w:right w:val="nil"/>
            </w:tcBorders>
            <w:hideMark/>
          </w:tcPr>
          <w:p w14:paraId="1CC26D8F" w14:textId="77777777" w:rsidR="00FD2B58" w:rsidRPr="004030DB" w:rsidRDefault="00FD2B58" w:rsidP="00FD2B58">
            <w:pPr>
              <w:widowControl/>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c>
          <w:tcPr>
            <w:tcW w:w="2250" w:type="dxa"/>
            <w:tcBorders>
              <w:top w:val="nil"/>
              <w:left w:val="nil"/>
              <w:bottom w:val="single" w:sz="6" w:space="0" w:color="auto"/>
              <w:right w:val="nil"/>
            </w:tcBorders>
            <w:hideMark/>
          </w:tcPr>
          <w:p w14:paraId="69F1DB04"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c>
          <w:tcPr>
            <w:tcW w:w="1980" w:type="dxa"/>
            <w:tcBorders>
              <w:top w:val="nil"/>
              <w:left w:val="nil"/>
              <w:bottom w:val="single" w:sz="6" w:space="0" w:color="auto"/>
              <w:right w:val="nil"/>
            </w:tcBorders>
            <w:hideMark/>
          </w:tcPr>
          <w:p w14:paraId="7E6C2102"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c>
          <w:tcPr>
            <w:tcW w:w="1830" w:type="dxa"/>
            <w:tcBorders>
              <w:top w:val="nil"/>
              <w:left w:val="nil"/>
              <w:bottom w:val="single" w:sz="6" w:space="0" w:color="auto"/>
              <w:right w:val="nil"/>
            </w:tcBorders>
            <w:hideMark/>
          </w:tcPr>
          <w:p w14:paraId="153B53E6"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r>
      <w:tr w:rsidR="00FD2B58" w:rsidRPr="004030DB" w14:paraId="6D1C7507" w14:textId="77777777" w:rsidTr="00FD2B58">
        <w:trPr>
          <w:trHeight w:val="300"/>
        </w:trPr>
        <w:tc>
          <w:tcPr>
            <w:tcW w:w="4245" w:type="dxa"/>
            <w:tcBorders>
              <w:top w:val="single" w:sz="6" w:space="0" w:color="auto"/>
              <w:left w:val="single" w:sz="6" w:space="0" w:color="auto"/>
              <w:bottom w:val="single" w:sz="6" w:space="0" w:color="auto"/>
              <w:right w:val="single" w:sz="6" w:space="0" w:color="auto"/>
            </w:tcBorders>
            <w:shd w:val="clear" w:color="auto" w:fill="DEEAF6"/>
            <w:hideMark/>
          </w:tcPr>
          <w:p w14:paraId="601D5233" w14:textId="77777777" w:rsidR="00FD2B58" w:rsidRPr="004030DB" w:rsidRDefault="00FD2B58" w:rsidP="00FD2B58">
            <w:pPr>
              <w:widowControl/>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b/>
                <w:bCs/>
                <w:sz w:val="20"/>
                <w:szCs w:val="20"/>
                <w:lang w:val="en-GB" w:eastAsia="en-GB"/>
              </w:rPr>
              <w:t>Reporting of compensation schemes – exit packages 2023/24</w:t>
            </w:r>
            <w:r w:rsidRPr="004030DB">
              <w:rPr>
                <w:rFonts w:ascii="Arial" w:eastAsia="Times New Roman" w:hAnsi="Arial" w:cs="Arial"/>
                <w:color w:val="D13438"/>
                <w:sz w:val="20"/>
                <w:szCs w:val="20"/>
                <w:lang w:val="en-GB" w:eastAsia="en-GB"/>
              </w:rPr>
              <w:t> </w:t>
            </w:r>
          </w:p>
        </w:tc>
        <w:tc>
          <w:tcPr>
            <w:tcW w:w="2250" w:type="dxa"/>
            <w:tcBorders>
              <w:top w:val="single" w:sz="6" w:space="0" w:color="auto"/>
              <w:left w:val="single" w:sz="6" w:space="0" w:color="auto"/>
              <w:bottom w:val="single" w:sz="6" w:space="0" w:color="auto"/>
              <w:right w:val="single" w:sz="6" w:space="0" w:color="auto"/>
            </w:tcBorders>
            <w:shd w:val="clear" w:color="auto" w:fill="DEEAF6"/>
            <w:hideMark/>
          </w:tcPr>
          <w:p w14:paraId="5FE74837"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b/>
                <w:bCs/>
                <w:sz w:val="20"/>
                <w:szCs w:val="20"/>
                <w:lang w:val="en-GB" w:eastAsia="en-GB"/>
              </w:rPr>
              <w:t>No. of compulsory redundancies</w:t>
            </w:r>
            <w:r w:rsidRPr="004030DB">
              <w:rPr>
                <w:rFonts w:ascii="Arial" w:eastAsia="Times New Roman" w:hAnsi="Arial" w:cs="Arial"/>
                <w:color w:val="D13438"/>
                <w:sz w:val="20"/>
                <w:szCs w:val="20"/>
                <w:lang w:val="en-GB" w:eastAsia="en-GB"/>
              </w:rPr>
              <w:t> </w:t>
            </w:r>
          </w:p>
        </w:tc>
        <w:tc>
          <w:tcPr>
            <w:tcW w:w="1980" w:type="dxa"/>
            <w:tcBorders>
              <w:top w:val="single" w:sz="6" w:space="0" w:color="auto"/>
              <w:left w:val="single" w:sz="6" w:space="0" w:color="auto"/>
              <w:bottom w:val="single" w:sz="6" w:space="0" w:color="auto"/>
              <w:right w:val="single" w:sz="6" w:space="0" w:color="auto"/>
            </w:tcBorders>
            <w:shd w:val="clear" w:color="auto" w:fill="DEEAF6"/>
            <w:hideMark/>
          </w:tcPr>
          <w:p w14:paraId="46CA5014"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b/>
                <w:bCs/>
                <w:sz w:val="20"/>
                <w:szCs w:val="20"/>
                <w:lang w:val="en-GB" w:eastAsia="en-GB"/>
              </w:rPr>
              <w:t>No. of other agreed departures</w:t>
            </w:r>
            <w:r w:rsidRPr="004030DB">
              <w:rPr>
                <w:rFonts w:ascii="Arial" w:eastAsia="Times New Roman" w:hAnsi="Arial" w:cs="Arial"/>
                <w:color w:val="D13438"/>
                <w:sz w:val="20"/>
                <w:szCs w:val="20"/>
                <w:lang w:val="en-GB" w:eastAsia="en-GB"/>
              </w:rPr>
              <w:t> </w:t>
            </w:r>
          </w:p>
        </w:tc>
        <w:tc>
          <w:tcPr>
            <w:tcW w:w="1830" w:type="dxa"/>
            <w:tcBorders>
              <w:top w:val="single" w:sz="6" w:space="0" w:color="auto"/>
              <w:left w:val="single" w:sz="6" w:space="0" w:color="auto"/>
              <w:bottom w:val="single" w:sz="6" w:space="0" w:color="auto"/>
              <w:right w:val="single" w:sz="6" w:space="0" w:color="auto"/>
            </w:tcBorders>
            <w:shd w:val="clear" w:color="auto" w:fill="DEEAF6"/>
            <w:hideMark/>
          </w:tcPr>
          <w:p w14:paraId="5A6EF0E5"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b/>
                <w:bCs/>
                <w:sz w:val="20"/>
                <w:szCs w:val="20"/>
                <w:lang w:val="en-GB" w:eastAsia="en-GB"/>
              </w:rPr>
              <w:t>Total No. of exit packages</w:t>
            </w:r>
            <w:r w:rsidRPr="004030DB">
              <w:rPr>
                <w:rFonts w:ascii="Arial" w:eastAsia="Times New Roman" w:hAnsi="Arial" w:cs="Arial"/>
                <w:color w:val="D13438"/>
                <w:sz w:val="20"/>
                <w:szCs w:val="20"/>
                <w:lang w:val="en-GB" w:eastAsia="en-GB"/>
              </w:rPr>
              <w:t> </w:t>
            </w:r>
          </w:p>
        </w:tc>
      </w:tr>
      <w:tr w:rsidR="00FD2B58" w:rsidRPr="004030DB" w14:paraId="2F1865FC" w14:textId="77777777" w:rsidTr="00FD2B58">
        <w:trPr>
          <w:trHeight w:val="300"/>
        </w:trPr>
        <w:tc>
          <w:tcPr>
            <w:tcW w:w="4245" w:type="dxa"/>
            <w:tcBorders>
              <w:top w:val="single" w:sz="6" w:space="0" w:color="auto"/>
              <w:left w:val="single" w:sz="6" w:space="0" w:color="auto"/>
              <w:bottom w:val="single" w:sz="6" w:space="0" w:color="auto"/>
              <w:right w:val="single" w:sz="6" w:space="0" w:color="auto"/>
            </w:tcBorders>
            <w:hideMark/>
          </w:tcPr>
          <w:p w14:paraId="77C286B3" w14:textId="77777777" w:rsidR="00FD2B58" w:rsidRPr="004030DB" w:rsidRDefault="00FD2B58" w:rsidP="00FD2B58">
            <w:pPr>
              <w:widowControl/>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b/>
                <w:bCs/>
                <w:sz w:val="20"/>
                <w:szCs w:val="20"/>
                <w:lang w:val="en-GB" w:eastAsia="en-GB"/>
              </w:rPr>
              <w:t>Exit package cost band (including any special payment element)</w:t>
            </w:r>
            <w:r w:rsidRPr="004030DB">
              <w:rPr>
                <w:rFonts w:ascii="Arial" w:eastAsia="Times New Roman" w:hAnsi="Arial" w:cs="Arial"/>
                <w:color w:val="D13438"/>
                <w:sz w:val="20"/>
                <w:szCs w:val="20"/>
                <w:lang w:val="en-GB" w:eastAsia="en-GB"/>
              </w:rPr>
              <w:t> </w:t>
            </w:r>
          </w:p>
        </w:tc>
        <w:tc>
          <w:tcPr>
            <w:tcW w:w="2250" w:type="dxa"/>
            <w:tcBorders>
              <w:top w:val="single" w:sz="6" w:space="0" w:color="auto"/>
              <w:left w:val="single" w:sz="6" w:space="0" w:color="auto"/>
              <w:bottom w:val="single" w:sz="6" w:space="0" w:color="auto"/>
              <w:right w:val="single" w:sz="6" w:space="0" w:color="auto"/>
            </w:tcBorders>
            <w:shd w:val="clear" w:color="auto" w:fill="DEEAF6"/>
            <w:hideMark/>
          </w:tcPr>
          <w:p w14:paraId="7CB67649"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b/>
                <w:bCs/>
                <w:sz w:val="20"/>
                <w:szCs w:val="20"/>
                <w:lang w:val="en-GB" w:eastAsia="en-GB"/>
              </w:rPr>
              <w:t>Number</w:t>
            </w:r>
            <w:r w:rsidRPr="004030DB">
              <w:rPr>
                <w:rFonts w:ascii="Arial" w:eastAsia="Times New Roman" w:hAnsi="Arial" w:cs="Arial"/>
                <w:color w:val="D13438"/>
                <w:sz w:val="20"/>
                <w:szCs w:val="20"/>
                <w:lang w:val="en-GB" w:eastAsia="en-GB"/>
              </w:rPr>
              <w:t> </w:t>
            </w:r>
          </w:p>
        </w:tc>
        <w:tc>
          <w:tcPr>
            <w:tcW w:w="1980" w:type="dxa"/>
            <w:tcBorders>
              <w:top w:val="single" w:sz="6" w:space="0" w:color="auto"/>
              <w:left w:val="single" w:sz="6" w:space="0" w:color="auto"/>
              <w:bottom w:val="single" w:sz="6" w:space="0" w:color="auto"/>
              <w:right w:val="single" w:sz="6" w:space="0" w:color="auto"/>
            </w:tcBorders>
            <w:shd w:val="clear" w:color="auto" w:fill="DEEAF6"/>
            <w:hideMark/>
          </w:tcPr>
          <w:p w14:paraId="7EE4D90F"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b/>
                <w:bCs/>
                <w:sz w:val="20"/>
                <w:szCs w:val="20"/>
                <w:lang w:val="en-GB" w:eastAsia="en-GB"/>
              </w:rPr>
              <w:t>Number</w:t>
            </w:r>
            <w:r w:rsidRPr="004030DB">
              <w:rPr>
                <w:rFonts w:ascii="Arial" w:eastAsia="Times New Roman" w:hAnsi="Arial" w:cs="Arial"/>
                <w:color w:val="D13438"/>
                <w:sz w:val="20"/>
                <w:szCs w:val="20"/>
                <w:lang w:val="en-GB" w:eastAsia="en-GB"/>
              </w:rPr>
              <w:t> </w:t>
            </w:r>
          </w:p>
        </w:tc>
        <w:tc>
          <w:tcPr>
            <w:tcW w:w="1830" w:type="dxa"/>
            <w:tcBorders>
              <w:top w:val="single" w:sz="6" w:space="0" w:color="auto"/>
              <w:left w:val="single" w:sz="6" w:space="0" w:color="auto"/>
              <w:bottom w:val="single" w:sz="6" w:space="0" w:color="auto"/>
              <w:right w:val="single" w:sz="6" w:space="0" w:color="auto"/>
            </w:tcBorders>
            <w:shd w:val="clear" w:color="auto" w:fill="DEEAF6"/>
            <w:hideMark/>
          </w:tcPr>
          <w:p w14:paraId="2C680F1C"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b/>
                <w:bCs/>
                <w:sz w:val="20"/>
                <w:szCs w:val="20"/>
                <w:lang w:val="en-GB" w:eastAsia="en-GB"/>
              </w:rPr>
              <w:t>Number</w:t>
            </w:r>
            <w:r w:rsidRPr="004030DB">
              <w:rPr>
                <w:rFonts w:ascii="Arial" w:eastAsia="Times New Roman" w:hAnsi="Arial" w:cs="Arial"/>
                <w:color w:val="D13438"/>
                <w:sz w:val="20"/>
                <w:szCs w:val="20"/>
                <w:lang w:val="en-GB" w:eastAsia="en-GB"/>
              </w:rPr>
              <w:t> </w:t>
            </w:r>
          </w:p>
        </w:tc>
      </w:tr>
      <w:tr w:rsidR="00FD2B58" w:rsidRPr="004030DB" w14:paraId="15EE741C" w14:textId="77777777" w:rsidTr="00FD2B58">
        <w:trPr>
          <w:trHeight w:val="300"/>
        </w:trPr>
        <w:tc>
          <w:tcPr>
            <w:tcW w:w="4245" w:type="dxa"/>
            <w:tcBorders>
              <w:top w:val="single" w:sz="6" w:space="0" w:color="auto"/>
              <w:left w:val="single" w:sz="6" w:space="0" w:color="auto"/>
              <w:bottom w:val="single" w:sz="6" w:space="0" w:color="auto"/>
              <w:right w:val="single" w:sz="6" w:space="0" w:color="auto"/>
            </w:tcBorders>
            <w:hideMark/>
          </w:tcPr>
          <w:p w14:paraId="560D52F5" w14:textId="77777777" w:rsidR="00FD2B58" w:rsidRPr="004030DB" w:rsidRDefault="00FD2B58" w:rsidP="00FD2B58">
            <w:pPr>
              <w:widowControl/>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sz w:val="20"/>
                <w:szCs w:val="20"/>
                <w:lang w:val="en-GB" w:eastAsia="en-GB"/>
              </w:rPr>
              <w:t>&lt; £10,000</w:t>
            </w:r>
            <w:r w:rsidRPr="004030DB">
              <w:rPr>
                <w:rFonts w:ascii="Arial" w:eastAsia="Times New Roman" w:hAnsi="Arial" w:cs="Arial"/>
                <w:color w:val="D13438"/>
                <w:sz w:val="20"/>
                <w:szCs w:val="20"/>
                <w:lang w:val="en-GB" w:eastAsia="en-GB"/>
              </w:rPr>
              <w:t> </w:t>
            </w:r>
          </w:p>
        </w:tc>
        <w:tc>
          <w:tcPr>
            <w:tcW w:w="2250" w:type="dxa"/>
            <w:tcBorders>
              <w:top w:val="single" w:sz="6" w:space="0" w:color="auto"/>
              <w:left w:val="single" w:sz="6" w:space="0" w:color="auto"/>
              <w:bottom w:val="single" w:sz="6" w:space="0" w:color="auto"/>
              <w:right w:val="single" w:sz="6" w:space="0" w:color="auto"/>
            </w:tcBorders>
            <w:hideMark/>
          </w:tcPr>
          <w:p w14:paraId="583455BF"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c>
          <w:tcPr>
            <w:tcW w:w="1980" w:type="dxa"/>
            <w:tcBorders>
              <w:top w:val="single" w:sz="6" w:space="0" w:color="auto"/>
              <w:left w:val="single" w:sz="6" w:space="0" w:color="auto"/>
              <w:bottom w:val="single" w:sz="6" w:space="0" w:color="auto"/>
              <w:right w:val="single" w:sz="6" w:space="0" w:color="auto"/>
            </w:tcBorders>
            <w:hideMark/>
          </w:tcPr>
          <w:p w14:paraId="6ACA6AEF"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sz w:val="20"/>
                <w:szCs w:val="20"/>
                <w:lang w:val="en-GB" w:eastAsia="en-GB"/>
              </w:rPr>
              <w:t>9</w:t>
            </w:r>
            <w:r w:rsidRPr="004030DB">
              <w:rPr>
                <w:rFonts w:ascii="Arial" w:eastAsia="Times New Roman" w:hAnsi="Arial" w:cs="Arial"/>
                <w:color w:val="D13438"/>
                <w:sz w:val="20"/>
                <w:szCs w:val="20"/>
                <w:lang w:val="en-GB" w:eastAsia="en-GB"/>
              </w:rPr>
              <w:t> </w:t>
            </w:r>
          </w:p>
        </w:tc>
        <w:tc>
          <w:tcPr>
            <w:tcW w:w="1830" w:type="dxa"/>
            <w:tcBorders>
              <w:top w:val="single" w:sz="6" w:space="0" w:color="auto"/>
              <w:left w:val="single" w:sz="6" w:space="0" w:color="auto"/>
              <w:bottom w:val="single" w:sz="6" w:space="0" w:color="auto"/>
              <w:right w:val="single" w:sz="6" w:space="0" w:color="auto"/>
            </w:tcBorders>
            <w:hideMark/>
          </w:tcPr>
          <w:p w14:paraId="727537E6"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sz w:val="20"/>
                <w:szCs w:val="20"/>
                <w:lang w:val="en-GB" w:eastAsia="en-GB"/>
              </w:rPr>
              <w:t>9</w:t>
            </w:r>
            <w:r w:rsidRPr="004030DB">
              <w:rPr>
                <w:rFonts w:ascii="Arial" w:eastAsia="Times New Roman" w:hAnsi="Arial" w:cs="Arial"/>
                <w:color w:val="D13438"/>
                <w:sz w:val="20"/>
                <w:szCs w:val="20"/>
                <w:lang w:val="en-GB" w:eastAsia="en-GB"/>
              </w:rPr>
              <w:t> </w:t>
            </w:r>
          </w:p>
        </w:tc>
      </w:tr>
      <w:tr w:rsidR="00FD2B58" w:rsidRPr="004030DB" w14:paraId="2710364B" w14:textId="77777777" w:rsidTr="00FD2B58">
        <w:trPr>
          <w:trHeight w:val="300"/>
        </w:trPr>
        <w:tc>
          <w:tcPr>
            <w:tcW w:w="4245" w:type="dxa"/>
            <w:tcBorders>
              <w:top w:val="single" w:sz="6" w:space="0" w:color="auto"/>
              <w:left w:val="single" w:sz="6" w:space="0" w:color="auto"/>
              <w:bottom w:val="single" w:sz="6" w:space="0" w:color="auto"/>
              <w:right w:val="single" w:sz="6" w:space="0" w:color="auto"/>
            </w:tcBorders>
            <w:hideMark/>
          </w:tcPr>
          <w:p w14:paraId="77E90BE4" w14:textId="77777777" w:rsidR="00FD2B58" w:rsidRPr="004030DB" w:rsidRDefault="00FD2B58" w:rsidP="00FD2B58">
            <w:pPr>
              <w:widowControl/>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sz w:val="20"/>
                <w:szCs w:val="20"/>
                <w:lang w:val="en-GB" w:eastAsia="en-GB"/>
              </w:rPr>
              <w:t>£10,000 - £25,000</w:t>
            </w:r>
            <w:r w:rsidRPr="004030DB">
              <w:rPr>
                <w:rFonts w:ascii="Arial" w:eastAsia="Times New Roman" w:hAnsi="Arial" w:cs="Arial"/>
                <w:color w:val="D13438"/>
                <w:sz w:val="20"/>
                <w:szCs w:val="20"/>
                <w:lang w:val="en-GB" w:eastAsia="en-GB"/>
              </w:rPr>
              <w:t> </w:t>
            </w:r>
          </w:p>
        </w:tc>
        <w:tc>
          <w:tcPr>
            <w:tcW w:w="2250" w:type="dxa"/>
            <w:tcBorders>
              <w:top w:val="single" w:sz="6" w:space="0" w:color="auto"/>
              <w:left w:val="single" w:sz="6" w:space="0" w:color="auto"/>
              <w:bottom w:val="single" w:sz="6" w:space="0" w:color="auto"/>
              <w:right w:val="single" w:sz="6" w:space="0" w:color="auto"/>
            </w:tcBorders>
            <w:hideMark/>
          </w:tcPr>
          <w:p w14:paraId="427A3319"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c>
          <w:tcPr>
            <w:tcW w:w="1980" w:type="dxa"/>
            <w:tcBorders>
              <w:top w:val="single" w:sz="6" w:space="0" w:color="auto"/>
              <w:left w:val="single" w:sz="6" w:space="0" w:color="auto"/>
              <w:bottom w:val="single" w:sz="6" w:space="0" w:color="auto"/>
              <w:right w:val="single" w:sz="6" w:space="0" w:color="auto"/>
            </w:tcBorders>
            <w:hideMark/>
          </w:tcPr>
          <w:p w14:paraId="650716ED"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sz w:val="20"/>
                <w:szCs w:val="20"/>
                <w:lang w:val="en-GB" w:eastAsia="en-GB"/>
              </w:rPr>
              <w:t>3</w:t>
            </w:r>
            <w:r w:rsidRPr="004030DB">
              <w:rPr>
                <w:rFonts w:ascii="Arial" w:eastAsia="Times New Roman" w:hAnsi="Arial" w:cs="Arial"/>
                <w:color w:val="D13438"/>
                <w:sz w:val="20"/>
                <w:szCs w:val="20"/>
                <w:lang w:val="en-GB" w:eastAsia="en-GB"/>
              </w:rPr>
              <w:t> </w:t>
            </w:r>
          </w:p>
        </w:tc>
        <w:tc>
          <w:tcPr>
            <w:tcW w:w="1830" w:type="dxa"/>
            <w:tcBorders>
              <w:top w:val="single" w:sz="6" w:space="0" w:color="auto"/>
              <w:left w:val="single" w:sz="6" w:space="0" w:color="auto"/>
              <w:bottom w:val="single" w:sz="6" w:space="0" w:color="auto"/>
              <w:right w:val="single" w:sz="6" w:space="0" w:color="auto"/>
            </w:tcBorders>
            <w:hideMark/>
          </w:tcPr>
          <w:p w14:paraId="5C0781ED"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sz w:val="20"/>
                <w:szCs w:val="20"/>
                <w:lang w:val="en-GB" w:eastAsia="en-GB"/>
              </w:rPr>
              <w:t>3</w:t>
            </w:r>
            <w:r w:rsidRPr="004030DB">
              <w:rPr>
                <w:rFonts w:ascii="Arial" w:eastAsia="Times New Roman" w:hAnsi="Arial" w:cs="Arial"/>
                <w:color w:val="D13438"/>
                <w:sz w:val="20"/>
                <w:szCs w:val="20"/>
                <w:lang w:val="en-GB" w:eastAsia="en-GB"/>
              </w:rPr>
              <w:t> </w:t>
            </w:r>
          </w:p>
        </w:tc>
      </w:tr>
      <w:tr w:rsidR="00FD2B58" w:rsidRPr="004030DB" w14:paraId="690C50BB" w14:textId="77777777" w:rsidTr="00FD2B58">
        <w:trPr>
          <w:trHeight w:val="300"/>
        </w:trPr>
        <w:tc>
          <w:tcPr>
            <w:tcW w:w="4245" w:type="dxa"/>
            <w:tcBorders>
              <w:top w:val="single" w:sz="6" w:space="0" w:color="auto"/>
              <w:left w:val="single" w:sz="6" w:space="0" w:color="auto"/>
              <w:bottom w:val="single" w:sz="6" w:space="0" w:color="auto"/>
              <w:right w:val="single" w:sz="6" w:space="0" w:color="auto"/>
            </w:tcBorders>
            <w:hideMark/>
          </w:tcPr>
          <w:p w14:paraId="33FFA2E1" w14:textId="77777777" w:rsidR="00FD2B58" w:rsidRPr="004030DB" w:rsidRDefault="00FD2B58" w:rsidP="00FD2B58">
            <w:pPr>
              <w:widowControl/>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sz w:val="20"/>
                <w:szCs w:val="20"/>
                <w:lang w:val="en-GB" w:eastAsia="en-GB"/>
              </w:rPr>
              <w:t>£25,001 - £50,000</w:t>
            </w:r>
            <w:r w:rsidRPr="004030DB">
              <w:rPr>
                <w:rFonts w:ascii="Arial" w:eastAsia="Times New Roman" w:hAnsi="Arial" w:cs="Arial"/>
                <w:color w:val="D13438"/>
                <w:sz w:val="20"/>
                <w:szCs w:val="20"/>
                <w:lang w:val="en-GB" w:eastAsia="en-GB"/>
              </w:rPr>
              <w:t> </w:t>
            </w:r>
          </w:p>
        </w:tc>
        <w:tc>
          <w:tcPr>
            <w:tcW w:w="2250" w:type="dxa"/>
            <w:tcBorders>
              <w:top w:val="single" w:sz="6" w:space="0" w:color="auto"/>
              <w:left w:val="single" w:sz="6" w:space="0" w:color="auto"/>
              <w:bottom w:val="single" w:sz="6" w:space="0" w:color="auto"/>
              <w:right w:val="single" w:sz="6" w:space="0" w:color="auto"/>
            </w:tcBorders>
            <w:hideMark/>
          </w:tcPr>
          <w:p w14:paraId="71185E16"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c>
          <w:tcPr>
            <w:tcW w:w="1980" w:type="dxa"/>
            <w:tcBorders>
              <w:top w:val="single" w:sz="6" w:space="0" w:color="auto"/>
              <w:left w:val="single" w:sz="6" w:space="0" w:color="auto"/>
              <w:bottom w:val="single" w:sz="6" w:space="0" w:color="auto"/>
              <w:right w:val="single" w:sz="6" w:space="0" w:color="auto"/>
            </w:tcBorders>
            <w:hideMark/>
          </w:tcPr>
          <w:p w14:paraId="4EDE75B7"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c>
          <w:tcPr>
            <w:tcW w:w="1830" w:type="dxa"/>
            <w:tcBorders>
              <w:top w:val="single" w:sz="6" w:space="0" w:color="auto"/>
              <w:left w:val="single" w:sz="6" w:space="0" w:color="auto"/>
              <w:bottom w:val="single" w:sz="6" w:space="0" w:color="auto"/>
              <w:right w:val="single" w:sz="6" w:space="0" w:color="auto"/>
            </w:tcBorders>
            <w:hideMark/>
          </w:tcPr>
          <w:p w14:paraId="4756D3E8"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r>
      <w:tr w:rsidR="00FD2B58" w:rsidRPr="004030DB" w14:paraId="50773934" w14:textId="77777777" w:rsidTr="00FD2B58">
        <w:trPr>
          <w:trHeight w:val="300"/>
        </w:trPr>
        <w:tc>
          <w:tcPr>
            <w:tcW w:w="4245" w:type="dxa"/>
            <w:tcBorders>
              <w:top w:val="single" w:sz="6" w:space="0" w:color="auto"/>
              <w:left w:val="single" w:sz="6" w:space="0" w:color="auto"/>
              <w:bottom w:val="single" w:sz="6" w:space="0" w:color="auto"/>
              <w:right w:val="single" w:sz="6" w:space="0" w:color="auto"/>
            </w:tcBorders>
            <w:hideMark/>
          </w:tcPr>
          <w:p w14:paraId="188213E4" w14:textId="77777777" w:rsidR="00FD2B58" w:rsidRPr="004030DB" w:rsidRDefault="00FD2B58" w:rsidP="00FD2B58">
            <w:pPr>
              <w:widowControl/>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sz w:val="20"/>
                <w:szCs w:val="20"/>
                <w:lang w:val="en-GB" w:eastAsia="en-GB"/>
              </w:rPr>
              <w:t>£50,001 - £100,000</w:t>
            </w:r>
            <w:r w:rsidRPr="004030DB">
              <w:rPr>
                <w:rFonts w:ascii="Arial" w:eastAsia="Times New Roman" w:hAnsi="Arial" w:cs="Arial"/>
                <w:color w:val="D13438"/>
                <w:sz w:val="20"/>
                <w:szCs w:val="20"/>
                <w:lang w:val="en-GB" w:eastAsia="en-GB"/>
              </w:rPr>
              <w:t> </w:t>
            </w:r>
          </w:p>
        </w:tc>
        <w:tc>
          <w:tcPr>
            <w:tcW w:w="2250" w:type="dxa"/>
            <w:tcBorders>
              <w:top w:val="single" w:sz="6" w:space="0" w:color="auto"/>
              <w:left w:val="single" w:sz="6" w:space="0" w:color="auto"/>
              <w:bottom w:val="single" w:sz="6" w:space="0" w:color="auto"/>
              <w:right w:val="single" w:sz="6" w:space="0" w:color="auto"/>
            </w:tcBorders>
            <w:hideMark/>
          </w:tcPr>
          <w:p w14:paraId="5141D244"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c>
          <w:tcPr>
            <w:tcW w:w="1980" w:type="dxa"/>
            <w:tcBorders>
              <w:top w:val="single" w:sz="6" w:space="0" w:color="auto"/>
              <w:left w:val="single" w:sz="6" w:space="0" w:color="auto"/>
              <w:bottom w:val="single" w:sz="6" w:space="0" w:color="auto"/>
              <w:right w:val="single" w:sz="6" w:space="0" w:color="auto"/>
            </w:tcBorders>
            <w:hideMark/>
          </w:tcPr>
          <w:p w14:paraId="652C5CA2"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c>
          <w:tcPr>
            <w:tcW w:w="1830" w:type="dxa"/>
            <w:tcBorders>
              <w:top w:val="single" w:sz="6" w:space="0" w:color="auto"/>
              <w:left w:val="single" w:sz="6" w:space="0" w:color="auto"/>
              <w:bottom w:val="single" w:sz="6" w:space="0" w:color="auto"/>
              <w:right w:val="single" w:sz="6" w:space="0" w:color="auto"/>
            </w:tcBorders>
            <w:hideMark/>
          </w:tcPr>
          <w:p w14:paraId="71EA9C33"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r>
      <w:tr w:rsidR="00FD2B58" w:rsidRPr="004030DB" w14:paraId="0E67CCE0" w14:textId="77777777" w:rsidTr="00FD2B58">
        <w:trPr>
          <w:trHeight w:val="300"/>
        </w:trPr>
        <w:tc>
          <w:tcPr>
            <w:tcW w:w="4245" w:type="dxa"/>
            <w:tcBorders>
              <w:top w:val="single" w:sz="6" w:space="0" w:color="auto"/>
              <w:left w:val="single" w:sz="6" w:space="0" w:color="auto"/>
              <w:bottom w:val="single" w:sz="6" w:space="0" w:color="auto"/>
              <w:right w:val="single" w:sz="6" w:space="0" w:color="auto"/>
            </w:tcBorders>
            <w:hideMark/>
          </w:tcPr>
          <w:p w14:paraId="08DA504B" w14:textId="77777777" w:rsidR="00FD2B58" w:rsidRPr="004030DB" w:rsidRDefault="00FD2B58" w:rsidP="00FD2B58">
            <w:pPr>
              <w:widowControl/>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sz w:val="20"/>
                <w:szCs w:val="20"/>
                <w:lang w:val="en-GB" w:eastAsia="en-GB"/>
              </w:rPr>
              <w:t>£100,001 - £150,000</w:t>
            </w:r>
            <w:r w:rsidRPr="004030DB">
              <w:rPr>
                <w:rFonts w:ascii="Arial" w:eastAsia="Times New Roman" w:hAnsi="Arial" w:cs="Arial"/>
                <w:color w:val="D13438"/>
                <w:sz w:val="20"/>
                <w:szCs w:val="20"/>
                <w:lang w:val="en-GB" w:eastAsia="en-GB"/>
              </w:rPr>
              <w:t> </w:t>
            </w:r>
          </w:p>
        </w:tc>
        <w:tc>
          <w:tcPr>
            <w:tcW w:w="2250" w:type="dxa"/>
            <w:tcBorders>
              <w:top w:val="single" w:sz="6" w:space="0" w:color="auto"/>
              <w:left w:val="single" w:sz="6" w:space="0" w:color="auto"/>
              <w:bottom w:val="single" w:sz="6" w:space="0" w:color="auto"/>
              <w:right w:val="single" w:sz="6" w:space="0" w:color="auto"/>
            </w:tcBorders>
            <w:hideMark/>
          </w:tcPr>
          <w:p w14:paraId="3A46FCE7"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c>
          <w:tcPr>
            <w:tcW w:w="1980" w:type="dxa"/>
            <w:tcBorders>
              <w:top w:val="single" w:sz="6" w:space="0" w:color="auto"/>
              <w:left w:val="single" w:sz="6" w:space="0" w:color="auto"/>
              <w:bottom w:val="single" w:sz="6" w:space="0" w:color="auto"/>
              <w:right w:val="single" w:sz="6" w:space="0" w:color="auto"/>
            </w:tcBorders>
            <w:hideMark/>
          </w:tcPr>
          <w:p w14:paraId="5060F179"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c>
          <w:tcPr>
            <w:tcW w:w="1830" w:type="dxa"/>
            <w:tcBorders>
              <w:top w:val="single" w:sz="6" w:space="0" w:color="auto"/>
              <w:left w:val="single" w:sz="6" w:space="0" w:color="auto"/>
              <w:bottom w:val="single" w:sz="6" w:space="0" w:color="auto"/>
              <w:right w:val="single" w:sz="6" w:space="0" w:color="auto"/>
            </w:tcBorders>
            <w:hideMark/>
          </w:tcPr>
          <w:p w14:paraId="321C9AB5"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r>
      <w:tr w:rsidR="00FD2B58" w:rsidRPr="004030DB" w14:paraId="4A2348D3" w14:textId="77777777" w:rsidTr="00FD2B58">
        <w:trPr>
          <w:trHeight w:val="300"/>
        </w:trPr>
        <w:tc>
          <w:tcPr>
            <w:tcW w:w="4245" w:type="dxa"/>
            <w:tcBorders>
              <w:top w:val="single" w:sz="6" w:space="0" w:color="auto"/>
              <w:left w:val="single" w:sz="6" w:space="0" w:color="auto"/>
              <w:bottom w:val="single" w:sz="6" w:space="0" w:color="auto"/>
              <w:right w:val="single" w:sz="6" w:space="0" w:color="auto"/>
            </w:tcBorders>
            <w:hideMark/>
          </w:tcPr>
          <w:p w14:paraId="3F2B6CEA" w14:textId="77777777" w:rsidR="00FD2B58" w:rsidRPr="004030DB" w:rsidRDefault="00FD2B58" w:rsidP="00FD2B58">
            <w:pPr>
              <w:widowControl/>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sz w:val="20"/>
                <w:szCs w:val="20"/>
                <w:lang w:val="en-GB" w:eastAsia="en-GB"/>
              </w:rPr>
              <w:t>£150,001 - £200,000</w:t>
            </w:r>
            <w:r w:rsidRPr="004030DB">
              <w:rPr>
                <w:rFonts w:ascii="Arial" w:eastAsia="Times New Roman" w:hAnsi="Arial" w:cs="Arial"/>
                <w:color w:val="D13438"/>
                <w:sz w:val="20"/>
                <w:szCs w:val="20"/>
                <w:lang w:val="en-GB" w:eastAsia="en-GB"/>
              </w:rPr>
              <w:t> </w:t>
            </w:r>
          </w:p>
        </w:tc>
        <w:tc>
          <w:tcPr>
            <w:tcW w:w="2250" w:type="dxa"/>
            <w:tcBorders>
              <w:top w:val="single" w:sz="6" w:space="0" w:color="auto"/>
              <w:left w:val="single" w:sz="6" w:space="0" w:color="auto"/>
              <w:bottom w:val="single" w:sz="6" w:space="0" w:color="auto"/>
              <w:right w:val="single" w:sz="6" w:space="0" w:color="auto"/>
            </w:tcBorders>
            <w:hideMark/>
          </w:tcPr>
          <w:p w14:paraId="7FFE280B"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c>
          <w:tcPr>
            <w:tcW w:w="1980" w:type="dxa"/>
            <w:tcBorders>
              <w:top w:val="single" w:sz="6" w:space="0" w:color="auto"/>
              <w:left w:val="single" w:sz="6" w:space="0" w:color="auto"/>
              <w:bottom w:val="single" w:sz="6" w:space="0" w:color="auto"/>
              <w:right w:val="single" w:sz="6" w:space="0" w:color="auto"/>
            </w:tcBorders>
            <w:hideMark/>
          </w:tcPr>
          <w:p w14:paraId="5453226F"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c>
          <w:tcPr>
            <w:tcW w:w="1830" w:type="dxa"/>
            <w:tcBorders>
              <w:top w:val="single" w:sz="6" w:space="0" w:color="auto"/>
              <w:left w:val="single" w:sz="6" w:space="0" w:color="auto"/>
              <w:bottom w:val="single" w:sz="6" w:space="0" w:color="auto"/>
              <w:right w:val="single" w:sz="6" w:space="0" w:color="auto"/>
            </w:tcBorders>
            <w:hideMark/>
          </w:tcPr>
          <w:p w14:paraId="145CE0A8"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r>
      <w:tr w:rsidR="00FD2B58" w:rsidRPr="004030DB" w14:paraId="221127F9" w14:textId="77777777" w:rsidTr="00FD2B58">
        <w:trPr>
          <w:trHeight w:val="300"/>
        </w:trPr>
        <w:tc>
          <w:tcPr>
            <w:tcW w:w="4245" w:type="dxa"/>
            <w:tcBorders>
              <w:top w:val="single" w:sz="6" w:space="0" w:color="auto"/>
              <w:left w:val="single" w:sz="6" w:space="0" w:color="auto"/>
              <w:bottom w:val="single" w:sz="6" w:space="0" w:color="auto"/>
              <w:right w:val="single" w:sz="6" w:space="0" w:color="auto"/>
            </w:tcBorders>
            <w:hideMark/>
          </w:tcPr>
          <w:p w14:paraId="46AD9E8B" w14:textId="77777777" w:rsidR="00FD2B58" w:rsidRPr="004030DB" w:rsidRDefault="00FD2B58" w:rsidP="00FD2B58">
            <w:pPr>
              <w:widowControl/>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sz w:val="20"/>
                <w:szCs w:val="20"/>
                <w:lang w:val="en-GB" w:eastAsia="en-GB"/>
              </w:rPr>
              <w:t>&gt; £200,000</w:t>
            </w:r>
            <w:r w:rsidRPr="004030DB">
              <w:rPr>
                <w:rFonts w:ascii="Arial" w:eastAsia="Times New Roman" w:hAnsi="Arial" w:cs="Arial"/>
                <w:color w:val="D13438"/>
                <w:sz w:val="20"/>
                <w:szCs w:val="20"/>
                <w:lang w:val="en-GB" w:eastAsia="en-GB"/>
              </w:rPr>
              <w:t> </w:t>
            </w:r>
          </w:p>
        </w:tc>
        <w:tc>
          <w:tcPr>
            <w:tcW w:w="2250" w:type="dxa"/>
            <w:tcBorders>
              <w:top w:val="single" w:sz="6" w:space="0" w:color="auto"/>
              <w:left w:val="single" w:sz="6" w:space="0" w:color="auto"/>
              <w:bottom w:val="single" w:sz="6" w:space="0" w:color="auto"/>
              <w:right w:val="single" w:sz="6" w:space="0" w:color="auto"/>
            </w:tcBorders>
            <w:hideMark/>
          </w:tcPr>
          <w:p w14:paraId="0DA816D0"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c>
          <w:tcPr>
            <w:tcW w:w="1980" w:type="dxa"/>
            <w:tcBorders>
              <w:top w:val="single" w:sz="6" w:space="0" w:color="auto"/>
              <w:left w:val="single" w:sz="6" w:space="0" w:color="auto"/>
              <w:bottom w:val="single" w:sz="6" w:space="0" w:color="auto"/>
              <w:right w:val="single" w:sz="6" w:space="0" w:color="auto"/>
            </w:tcBorders>
            <w:hideMark/>
          </w:tcPr>
          <w:p w14:paraId="047FD4A6"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c>
          <w:tcPr>
            <w:tcW w:w="1830" w:type="dxa"/>
            <w:tcBorders>
              <w:top w:val="single" w:sz="6" w:space="0" w:color="auto"/>
              <w:left w:val="single" w:sz="6" w:space="0" w:color="auto"/>
              <w:bottom w:val="single" w:sz="6" w:space="0" w:color="auto"/>
              <w:right w:val="single" w:sz="6" w:space="0" w:color="auto"/>
            </w:tcBorders>
            <w:hideMark/>
          </w:tcPr>
          <w:p w14:paraId="370DA8CA"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r>
      <w:tr w:rsidR="00FD2B58" w:rsidRPr="004030DB" w14:paraId="75CD7D94" w14:textId="77777777" w:rsidTr="00FD2B58">
        <w:trPr>
          <w:trHeight w:val="300"/>
        </w:trPr>
        <w:tc>
          <w:tcPr>
            <w:tcW w:w="4245" w:type="dxa"/>
            <w:tcBorders>
              <w:top w:val="single" w:sz="6" w:space="0" w:color="auto"/>
              <w:left w:val="single" w:sz="6" w:space="0" w:color="auto"/>
              <w:bottom w:val="single" w:sz="6" w:space="0" w:color="auto"/>
              <w:right w:val="single" w:sz="6" w:space="0" w:color="auto"/>
            </w:tcBorders>
            <w:shd w:val="clear" w:color="auto" w:fill="DEEAF6"/>
            <w:hideMark/>
          </w:tcPr>
          <w:p w14:paraId="07374617" w14:textId="77777777" w:rsidR="00FD2B58" w:rsidRPr="004030DB" w:rsidRDefault="00FD2B58" w:rsidP="00FD2B58">
            <w:pPr>
              <w:widowControl/>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b/>
                <w:bCs/>
                <w:sz w:val="20"/>
                <w:szCs w:val="20"/>
                <w:lang w:val="en-GB" w:eastAsia="en-GB"/>
              </w:rPr>
              <w:t>Total number of exit packages by type</w:t>
            </w:r>
            <w:r w:rsidRPr="004030DB">
              <w:rPr>
                <w:rFonts w:ascii="Arial" w:eastAsia="Times New Roman" w:hAnsi="Arial" w:cs="Arial"/>
                <w:color w:val="D13438"/>
                <w:sz w:val="20"/>
                <w:szCs w:val="20"/>
                <w:lang w:val="en-GB" w:eastAsia="en-GB"/>
              </w:rPr>
              <w:t> </w:t>
            </w:r>
          </w:p>
        </w:tc>
        <w:tc>
          <w:tcPr>
            <w:tcW w:w="2250" w:type="dxa"/>
            <w:tcBorders>
              <w:top w:val="single" w:sz="6" w:space="0" w:color="auto"/>
              <w:left w:val="single" w:sz="6" w:space="0" w:color="auto"/>
              <w:bottom w:val="single" w:sz="6" w:space="0" w:color="auto"/>
              <w:right w:val="single" w:sz="6" w:space="0" w:color="auto"/>
            </w:tcBorders>
            <w:shd w:val="clear" w:color="auto" w:fill="DEEAF6"/>
            <w:hideMark/>
          </w:tcPr>
          <w:p w14:paraId="6E889088"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b/>
                <w:bCs/>
                <w:sz w:val="20"/>
                <w:szCs w:val="20"/>
                <w:lang w:val="en-GB" w:eastAsia="en-GB"/>
              </w:rPr>
              <w:t>0</w:t>
            </w:r>
            <w:r w:rsidRPr="004030DB">
              <w:rPr>
                <w:rFonts w:ascii="Arial" w:eastAsia="Times New Roman" w:hAnsi="Arial" w:cs="Arial"/>
                <w:color w:val="D13438"/>
                <w:sz w:val="20"/>
                <w:szCs w:val="20"/>
                <w:lang w:val="en-GB" w:eastAsia="en-GB"/>
              </w:rPr>
              <w:t> </w:t>
            </w:r>
          </w:p>
        </w:tc>
        <w:tc>
          <w:tcPr>
            <w:tcW w:w="1980" w:type="dxa"/>
            <w:tcBorders>
              <w:top w:val="single" w:sz="6" w:space="0" w:color="auto"/>
              <w:left w:val="single" w:sz="6" w:space="0" w:color="auto"/>
              <w:bottom w:val="single" w:sz="6" w:space="0" w:color="auto"/>
              <w:right w:val="single" w:sz="6" w:space="0" w:color="auto"/>
            </w:tcBorders>
            <w:shd w:val="clear" w:color="auto" w:fill="DEEAF6"/>
            <w:hideMark/>
          </w:tcPr>
          <w:p w14:paraId="081DA9BF"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b/>
                <w:bCs/>
                <w:sz w:val="20"/>
                <w:szCs w:val="20"/>
                <w:lang w:val="en-GB" w:eastAsia="en-GB"/>
              </w:rPr>
              <w:t>12</w:t>
            </w:r>
            <w:r w:rsidRPr="004030DB">
              <w:rPr>
                <w:rFonts w:ascii="Arial" w:eastAsia="Times New Roman" w:hAnsi="Arial" w:cs="Arial"/>
                <w:color w:val="D13438"/>
                <w:sz w:val="20"/>
                <w:szCs w:val="20"/>
                <w:lang w:val="en-GB" w:eastAsia="en-GB"/>
              </w:rPr>
              <w:t> </w:t>
            </w:r>
          </w:p>
        </w:tc>
        <w:tc>
          <w:tcPr>
            <w:tcW w:w="1830" w:type="dxa"/>
            <w:tcBorders>
              <w:top w:val="single" w:sz="6" w:space="0" w:color="auto"/>
              <w:left w:val="single" w:sz="6" w:space="0" w:color="auto"/>
              <w:bottom w:val="single" w:sz="6" w:space="0" w:color="auto"/>
              <w:right w:val="single" w:sz="6" w:space="0" w:color="auto"/>
            </w:tcBorders>
            <w:shd w:val="clear" w:color="auto" w:fill="DEEAF6"/>
            <w:hideMark/>
          </w:tcPr>
          <w:p w14:paraId="7505AD12"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b/>
                <w:bCs/>
                <w:sz w:val="20"/>
                <w:szCs w:val="20"/>
                <w:lang w:val="en-GB" w:eastAsia="en-GB"/>
              </w:rPr>
              <w:t>12</w:t>
            </w:r>
            <w:r w:rsidRPr="004030DB">
              <w:rPr>
                <w:rFonts w:ascii="Arial" w:eastAsia="Times New Roman" w:hAnsi="Arial" w:cs="Arial"/>
                <w:color w:val="D13438"/>
                <w:sz w:val="20"/>
                <w:szCs w:val="20"/>
                <w:lang w:val="en-GB" w:eastAsia="en-GB"/>
              </w:rPr>
              <w:t> </w:t>
            </w:r>
          </w:p>
        </w:tc>
      </w:tr>
      <w:tr w:rsidR="00FD2B58" w:rsidRPr="004030DB" w14:paraId="35787587" w14:textId="77777777" w:rsidTr="00FD2B58">
        <w:trPr>
          <w:trHeight w:val="300"/>
        </w:trPr>
        <w:tc>
          <w:tcPr>
            <w:tcW w:w="4245" w:type="dxa"/>
            <w:tcBorders>
              <w:top w:val="single" w:sz="6" w:space="0" w:color="auto"/>
              <w:left w:val="single" w:sz="6" w:space="0" w:color="auto"/>
              <w:bottom w:val="single" w:sz="6" w:space="0" w:color="auto"/>
              <w:right w:val="single" w:sz="6" w:space="0" w:color="auto"/>
            </w:tcBorders>
            <w:hideMark/>
          </w:tcPr>
          <w:p w14:paraId="67578249" w14:textId="77777777" w:rsidR="00FD2B58" w:rsidRPr="004030DB" w:rsidRDefault="00FD2B58" w:rsidP="00FD2B58">
            <w:pPr>
              <w:widowControl/>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sz w:val="20"/>
                <w:szCs w:val="20"/>
                <w:lang w:val="en-GB" w:eastAsia="en-GB"/>
              </w:rPr>
              <w:t>Total cost (£)</w:t>
            </w:r>
            <w:r w:rsidRPr="004030DB">
              <w:rPr>
                <w:rFonts w:ascii="Arial" w:eastAsia="Times New Roman" w:hAnsi="Arial" w:cs="Arial"/>
                <w:color w:val="D13438"/>
                <w:sz w:val="20"/>
                <w:szCs w:val="20"/>
                <w:lang w:val="en-GB" w:eastAsia="en-GB"/>
              </w:rPr>
              <w:t> </w:t>
            </w:r>
          </w:p>
        </w:tc>
        <w:tc>
          <w:tcPr>
            <w:tcW w:w="2250" w:type="dxa"/>
            <w:tcBorders>
              <w:top w:val="single" w:sz="6" w:space="0" w:color="auto"/>
              <w:left w:val="single" w:sz="6" w:space="0" w:color="auto"/>
              <w:bottom w:val="single" w:sz="6" w:space="0" w:color="auto"/>
              <w:right w:val="single" w:sz="6" w:space="0" w:color="auto"/>
            </w:tcBorders>
            <w:hideMark/>
          </w:tcPr>
          <w:p w14:paraId="232E1D89"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sz w:val="20"/>
                <w:szCs w:val="20"/>
                <w:lang w:val="en-GB" w:eastAsia="en-GB"/>
              </w:rPr>
              <w:t>0</w:t>
            </w:r>
            <w:r w:rsidRPr="004030DB">
              <w:rPr>
                <w:rFonts w:ascii="Arial" w:eastAsia="Times New Roman" w:hAnsi="Arial" w:cs="Arial"/>
                <w:color w:val="D13438"/>
                <w:sz w:val="20"/>
                <w:szCs w:val="20"/>
                <w:lang w:val="en-GB" w:eastAsia="en-GB"/>
              </w:rPr>
              <w:t> </w:t>
            </w:r>
          </w:p>
        </w:tc>
        <w:tc>
          <w:tcPr>
            <w:tcW w:w="1980" w:type="dxa"/>
            <w:tcBorders>
              <w:top w:val="single" w:sz="6" w:space="0" w:color="auto"/>
              <w:left w:val="single" w:sz="6" w:space="0" w:color="auto"/>
              <w:bottom w:val="single" w:sz="6" w:space="0" w:color="auto"/>
              <w:right w:val="single" w:sz="6" w:space="0" w:color="auto"/>
            </w:tcBorders>
            <w:hideMark/>
          </w:tcPr>
          <w:p w14:paraId="3B2FE3A4"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sz w:val="20"/>
                <w:szCs w:val="20"/>
                <w:lang w:val="en-GB" w:eastAsia="en-GB"/>
              </w:rPr>
              <w:t>86,000</w:t>
            </w:r>
            <w:r w:rsidRPr="004030DB">
              <w:rPr>
                <w:rFonts w:ascii="Arial" w:eastAsia="Times New Roman" w:hAnsi="Arial" w:cs="Arial"/>
                <w:color w:val="D13438"/>
                <w:sz w:val="20"/>
                <w:szCs w:val="20"/>
                <w:lang w:val="en-GB" w:eastAsia="en-GB"/>
              </w:rPr>
              <w:t> </w:t>
            </w:r>
          </w:p>
        </w:tc>
        <w:tc>
          <w:tcPr>
            <w:tcW w:w="1830" w:type="dxa"/>
            <w:tcBorders>
              <w:top w:val="single" w:sz="6" w:space="0" w:color="auto"/>
              <w:left w:val="single" w:sz="6" w:space="0" w:color="auto"/>
              <w:bottom w:val="single" w:sz="6" w:space="0" w:color="auto"/>
              <w:right w:val="single" w:sz="6" w:space="0" w:color="auto"/>
            </w:tcBorders>
            <w:hideMark/>
          </w:tcPr>
          <w:p w14:paraId="373CE05F"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sz w:val="20"/>
                <w:szCs w:val="20"/>
                <w:lang w:val="en-GB" w:eastAsia="en-GB"/>
              </w:rPr>
              <w:t>86,000</w:t>
            </w:r>
            <w:r w:rsidRPr="004030DB">
              <w:rPr>
                <w:rFonts w:ascii="Arial" w:eastAsia="Times New Roman" w:hAnsi="Arial" w:cs="Arial"/>
                <w:color w:val="D13438"/>
                <w:sz w:val="20"/>
                <w:szCs w:val="20"/>
                <w:lang w:val="en-GB" w:eastAsia="en-GB"/>
              </w:rPr>
              <w:t> </w:t>
            </w:r>
          </w:p>
        </w:tc>
      </w:tr>
    </w:tbl>
    <w:p w14:paraId="69418DCA" w14:textId="77777777" w:rsidR="00FD2B58" w:rsidRPr="004030DB" w:rsidRDefault="00FD2B58" w:rsidP="00FD2B58">
      <w:pPr>
        <w:widowControl/>
        <w:textAlignment w:val="baseline"/>
        <w:rPr>
          <w:rFonts w:ascii="Segoe UI" w:eastAsia="Times New Roman" w:hAnsi="Segoe UI" w:cs="Segoe UI"/>
          <w:sz w:val="20"/>
          <w:szCs w:val="20"/>
          <w:lang w:val="en-GB" w:eastAsia="en-GB"/>
        </w:rPr>
      </w:pPr>
      <w:r w:rsidRPr="004030DB">
        <w:rPr>
          <w:rFonts w:ascii="Arial" w:eastAsia="Times New Roman" w:hAnsi="Arial" w:cs="Arial"/>
          <w:color w:val="D13438"/>
          <w:sz w:val="20"/>
          <w:szCs w:val="20"/>
          <w:lang w:val="en-GB"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86"/>
        <w:gridCol w:w="1583"/>
        <w:gridCol w:w="748"/>
        <w:gridCol w:w="1022"/>
        <w:gridCol w:w="280"/>
        <w:gridCol w:w="1255"/>
        <w:gridCol w:w="390"/>
        <w:gridCol w:w="713"/>
        <w:gridCol w:w="1233"/>
      </w:tblGrid>
      <w:tr w:rsidR="00FD2B58" w:rsidRPr="004030DB" w14:paraId="2F9D7556" w14:textId="77777777" w:rsidTr="00FD2B58">
        <w:trPr>
          <w:trHeight w:val="300"/>
        </w:trPr>
        <w:tc>
          <w:tcPr>
            <w:tcW w:w="5160" w:type="dxa"/>
            <w:gridSpan w:val="3"/>
            <w:vMerge w:val="restart"/>
            <w:tcBorders>
              <w:top w:val="single" w:sz="6" w:space="0" w:color="auto"/>
              <w:left w:val="single" w:sz="6" w:space="0" w:color="auto"/>
              <w:bottom w:val="single" w:sz="6" w:space="0" w:color="auto"/>
              <w:right w:val="single" w:sz="6" w:space="0" w:color="auto"/>
            </w:tcBorders>
            <w:shd w:val="clear" w:color="auto" w:fill="DEEAF6"/>
            <w:hideMark/>
          </w:tcPr>
          <w:p w14:paraId="12E95EBE" w14:textId="77777777" w:rsidR="00FD2B58" w:rsidRPr="004030DB" w:rsidRDefault="00FD2B58" w:rsidP="00FD2B58">
            <w:pPr>
              <w:widowControl/>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b/>
                <w:bCs/>
                <w:sz w:val="20"/>
                <w:szCs w:val="20"/>
                <w:lang w:val="en-GB" w:eastAsia="en-GB"/>
              </w:rPr>
              <w:t>Exit packages: other (non-compulsory) departure payments</w:t>
            </w:r>
            <w:r w:rsidRPr="004030DB">
              <w:rPr>
                <w:rFonts w:ascii="Arial" w:eastAsia="Times New Roman" w:hAnsi="Arial" w:cs="Arial"/>
                <w:color w:val="D13438"/>
                <w:sz w:val="20"/>
                <w:szCs w:val="20"/>
                <w:lang w:val="en-GB" w:eastAsia="en-GB"/>
              </w:rPr>
              <w:t> </w:t>
            </w:r>
          </w:p>
          <w:p w14:paraId="1DE46921" w14:textId="77777777" w:rsidR="00FD2B58" w:rsidRPr="004030DB" w:rsidRDefault="00FD2B58" w:rsidP="00FD2B58">
            <w:pPr>
              <w:widowControl/>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c>
          <w:tcPr>
            <w:tcW w:w="2790" w:type="dxa"/>
            <w:gridSpan w:val="3"/>
            <w:tcBorders>
              <w:top w:val="single" w:sz="6" w:space="0" w:color="auto"/>
              <w:left w:val="single" w:sz="6" w:space="0" w:color="auto"/>
              <w:bottom w:val="single" w:sz="6" w:space="0" w:color="auto"/>
              <w:right w:val="single" w:sz="6" w:space="0" w:color="auto"/>
            </w:tcBorders>
            <w:shd w:val="clear" w:color="auto" w:fill="DEEAF6"/>
            <w:hideMark/>
          </w:tcPr>
          <w:p w14:paraId="5EA1E31D"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b/>
                <w:bCs/>
                <w:sz w:val="20"/>
                <w:szCs w:val="20"/>
                <w:lang w:val="en-GB" w:eastAsia="en-GB"/>
              </w:rPr>
              <w:t>2024/25</w:t>
            </w:r>
            <w:r w:rsidRPr="004030DB">
              <w:rPr>
                <w:rFonts w:ascii="Arial" w:eastAsia="Times New Roman" w:hAnsi="Arial" w:cs="Arial"/>
                <w:sz w:val="20"/>
                <w:szCs w:val="20"/>
                <w:lang w:val="en-GB" w:eastAsia="en-GB"/>
              </w:rPr>
              <w:t> </w:t>
            </w:r>
          </w:p>
        </w:tc>
        <w:tc>
          <w:tcPr>
            <w:tcW w:w="2490" w:type="dxa"/>
            <w:gridSpan w:val="3"/>
            <w:tcBorders>
              <w:top w:val="single" w:sz="6" w:space="0" w:color="auto"/>
              <w:left w:val="single" w:sz="6" w:space="0" w:color="auto"/>
              <w:bottom w:val="single" w:sz="6" w:space="0" w:color="auto"/>
              <w:right w:val="single" w:sz="6" w:space="0" w:color="auto"/>
            </w:tcBorders>
            <w:shd w:val="clear" w:color="auto" w:fill="DEEAF6"/>
            <w:hideMark/>
          </w:tcPr>
          <w:p w14:paraId="0392BE5C"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b/>
                <w:bCs/>
                <w:sz w:val="20"/>
                <w:szCs w:val="20"/>
                <w:lang w:val="en-GB" w:eastAsia="en-GB"/>
              </w:rPr>
              <w:t>2023/24</w:t>
            </w:r>
            <w:r w:rsidRPr="004030DB">
              <w:rPr>
                <w:rFonts w:ascii="Arial" w:eastAsia="Times New Roman" w:hAnsi="Arial" w:cs="Arial"/>
                <w:sz w:val="20"/>
                <w:szCs w:val="20"/>
                <w:lang w:val="en-GB" w:eastAsia="en-GB"/>
              </w:rPr>
              <w:t> </w:t>
            </w:r>
          </w:p>
        </w:tc>
      </w:tr>
      <w:tr w:rsidR="00FD2B58" w:rsidRPr="004030DB" w14:paraId="1061D4C1" w14:textId="77777777" w:rsidTr="00FD2B58">
        <w:trPr>
          <w:trHeight w:val="300"/>
        </w:trPr>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14:paraId="46AB3AA2" w14:textId="77777777" w:rsidR="00FD2B58" w:rsidRPr="004030DB" w:rsidRDefault="00FD2B58" w:rsidP="00FD2B58">
            <w:pPr>
              <w:widowControl/>
              <w:rPr>
                <w:rFonts w:ascii="Times New Roman" w:eastAsia="Times New Roman" w:hAnsi="Times New Roman" w:cs="Times New Roman"/>
                <w:sz w:val="20"/>
                <w:szCs w:val="20"/>
                <w:lang w:val="en-GB" w:eastAsia="en-GB"/>
              </w:rPr>
            </w:pPr>
          </w:p>
        </w:tc>
        <w:tc>
          <w:tcPr>
            <w:tcW w:w="1425" w:type="dxa"/>
            <w:gridSpan w:val="2"/>
            <w:tcBorders>
              <w:top w:val="single" w:sz="6" w:space="0" w:color="auto"/>
              <w:left w:val="single" w:sz="6" w:space="0" w:color="auto"/>
              <w:bottom w:val="single" w:sz="6" w:space="0" w:color="auto"/>
              <w:right w:val="single" w:sz="6" w:space="0" w:color="auto"/>
            </w:tcBorders>
            <w:shd w:val="clear" w:color="auto" w:fill="DEEAF6"/>
            <w:hideMark/>
          </w:tcPr>
          <w:p w14:paraId="31F54340"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b/>
                <w:bCs/>
                <w:sz w:val="20"/>
                <w:szCs w:val="20"/>
                <w:lang w:val="en-GB" w:eastAsia="en-GB"/>
              </w:rPr>
              <w:t>Payments agreed</w:t>
            </w:r>
            <w:r w:rsidRPr="004030DB">
              <w:rPr>
                <w:rFonts w:ascii="Arial" w:eastAsia="Times New Roman" w:hAnsi="Arial" w:cs="Arial"/>
                <w:color w:val="D13438"/>
                <w:sz w:val="20"/>
                <w:szCs w:val="20"/>
                <w:lang w:val="en-GB" w:eastAsia="en-GB"/>
              </w:rPr>
              <w:t> </w:t>
            </w:r>
          </w:p>
        </w:tc>
        <w:tc>
          <w:tcPr>
            <w:tcW w:w="1365" w:type="dxa"/>
            <w:tcBorders>
              <w:top w:val="single" w:sz="6" w:space="0" w:color="auto"/>
              <w:left w:val="single" w:sz="6" w:space="0" w:color="auto"/>
              <w:bottom w:val="single" w:sz="6" w:space="0" w:color="auto"/>
              <w:right w:val="single" w:sz="6" w:space="0" w:color="auto"/>
            </w:tcBorders>
            <w:shd w:val="clear" w:color="auto" w:fill="DEEAF6"/>
            <w:hideMark/>
          </w:tcPr>
          <w:p w14:paraId="2921C565"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b/>
                <w:bCs/>
                <w:sz w:val="20"/>
                <w:szCs w:val="20"/>
                <w:lang w:val="en-GB" w:eastAsia="en-GB"/>
              </w:rPr>
              <w:t>Value of payments agreed</w:t>
            </w:r>
            <w:r w:rsidRPr="004030DB">
              <w:rPr>
                <w:rFonts w:ascii="Arial" w:eastAsia="Times New Roman" w:hAnsi="Arial" w:cs="Arial"/>
                <w:color w:val="D13438"/>
                <w:sz w:val="20"/>
                <w:szCs w:val="20"/>
                <w:lang w:val="en-GB" w:eastAsia="en-GB"/>
              </w:rPr>
              <w:t> </w:t>
            </w:r>
          </w:p>
        </w:tc>
        <w:tc>
          <w:tcPr>
            <w:tcW w:w="1155" w:type="dxa"/>
            <w:gridSpan w:val="2"/>
            <w:tcBorders>
              <w:top w:val="single" w:sz="6" w:space="0" w:color="auto"/>
              <w:left w:val="single" w:sz="6" w:space="0" w:color="auto"/>
              <w:bottom w:val="single" w:sz="6" w:space="0" w:color="auto"/>
              <w:right w:val="single" w:sz="6" w:space="0" w:color="auto"/>
            </w:tcBorders>
            <w:shd w:val="clear" w:color="auto" w:fill="DEEAF6"/>
            <w:hideMark/>
          </w:tcPr>
          <w:p w14:paraId="0F9E70B0"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b/>
                <w:bCs/>
                <w:sz w:val="20"/>
                <w:szCs w:val="20"/>
                <w:lang w:val="en-GB" w:eastAsia="en-GB"/>
              </w:rPr>
              <w:t>Payments agreed</w:t>
            </w:r>
            <w:r w:rsidRPr="004030DB">
              <w:rPr>
                <w:rFonts w:ascii="Arial" w:eastAsia="Times New Roman" w:hAnsi="Arial" w:cs="Arial"/>
                <w:color w:val="D13438"/>
                <w:sz w:val="20"/>
                <w:szCs w:val="20"/>
                <w:lang w:val="en-GB" w:eastAsia="en-GB"/>
              </w:rPr>
              <w:t> </w:t>
            </w:r>
          </w:p>
        </w:tc>
        <w:tc>
          <w:tcPr>
            <w:tcW w:w="1320" w:type="dxa"/>
            <w:tcBorders>
              <w:top w:val="single" w:sz="6" w:space="0" w:color="auto"/>
              <w:left w:val="single" w:sz="6" w:space="0" w:color="auto"/>
              <w:bottom w:val="single" w:sz="6" w:space="0" w:color="auto"/>
              <w:right w:val="single" w:sz="6" w:space="0" w:color="auto"/>
            </w:tcBorders>
            <w:shd w:val="clear" w:color="auto" w:fill="DEEAF6"/>
            <w:hideMark/>
          </w:tcPr>
          <w:p w14:paraId="4C55BDDE"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b/>
                <w:bCs/>
                <w:sz w:val="20"/>
                <w:szCs w:val="20"/>
                <w:lang w:val="en-GB" w:eastAsia="en-GB"/>
              </w:rPr>
              <w:t>Value of payments agreed</w:t>
            </w:r>
            <w:r w:rsidRPr="004030DB">
              <w:rPr>
                <w:rFonts w:ascii="Arial" w:eastAsia="Times New Roman" w:hAnsi="Arial" w:cs="Arial"/>
                <w:color w:val="D13438"/>
                <w:sz w:val="20"/>
                <w:szCs w:val="20"/>
                <w:lang w:val="en-GB" w:eastAsia="en-GB"/>
              </w:rPr>
              <w:t> </w:t>
            </w:r>
          </w:p>
        </w:tc>
      </w:tr>
      <w:tr w:rsidR="00FD2B58" w:rsidRPr="004030DB" w14:paraId="10BEEECB" w14:textId="77777777" w:rsidTr="00FD2B58">
        <w:trPr>
          <w:trHeight w:val="300"/>
        </w:trPr>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14:paraId="142BA132" w14:textId="77777777" w:rsidR="00FD2B58" w:rsidRPr="004030DB" w:rsidRDefault="00FD2B58" w:rsidP="00FD2B58">
            <w:pPr>
              <w:widowControl/>
              <w:rPr>
                <w:rFonts w:ascii="Times New Roman" w:eastAsia="Times New Roman" w:hAnsi="Times New Roman" w:cs="Times New Roman"/>
                <w:sz w:val="20"/>
                <w:szCs w:val="20"/>
                <w:lang w:val="en-GB" w:eastAsia="en-GB"/>
              </w:rPr>
            </w:pPr>
          </w:p>
        </w:tc>
        <w:tc>
          <w:tcPr>
            <w:tcW w:w="1425" w:type="dxa"/>
            <w:gridSpan w:val="2"/>
            <w:tcBorders>
              <w:top w:val="single" w:sz="6" w:space="0" w:color="auto"/>
              <w:left w:val="single" w:sz="6" w:space="0" w:color="auto"/>
              <w:bottom w:val="single" w:sz="6" w:space="0" w:color="auto"/>
              <w:right w:val="single" w:sz="6" w:space="0" w:color="auto"/>
            </w:tcBorders>
            <w:shd w:val="clear" w:color="auto" w:fill="DEEAF6"/>
            <w:hideMark/>
          </w:tcPr>
          <w:p w14:paraId="68D3ADAA"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b/>
                <w:bCs/>
                <w:sz w:val="20"/>
                <w:szCs w:val="20"/>
                <w:lang w:val="en-GB" w:eastAsia="en-GB"/>
              </w:rPr>
              <w:t>Number</w:t>
            </w:r>
            <w:r w:rsidRPr="004030DB">
              <w:rPr>
                <w:rFonts w:ascii="Arial" w:eastAsia="Times New Roman" w:hAnsi="Arial" w:cs="Arial"/>
                <w:color w:val="D13438"/>
                <w:sz w:val="20"/>
                <w:szCs w:val="20"/>
                <w:lang w:val="en-GB" w:eastAsia="en-GB"/>
              </w:rPr>
              <w:t> </w:t>
            </w:r>
          </w:p>
        </w:tc>
        <w:tc>
          <w:tcPr>
            <w:tcW w:w="1365" w:type="dxa"/>
            <w:tcBorders>
              <w:top w:val="single" w:sz="6" w:space="0" w:color="auto"/>
              <w:left w:val="single" w:sz="6" w:space="0" w:color="auto"/>
              <w:bottom w:val="single" w:sz="6" w:space="0" w:color="auto"/>
              <w:right w:val="single" w:sz="6" w:space="0" w:color="auto"/>
            </w:tcBorders>
            <w:shd w:val="clear" w:color="auto" w:fill="DEEAF6"/>
            <w:hideMark/>
          </w:tcPr>
          <w:p w14:paraId="1BBA3CEF"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b/>
                <w:bCs/>
                <w:sz w:val="20"/>
                <w:szCs w:val="20"/>
                <w:lang w:val="en-GB" w:eastAsia="en-GB"/>
              </w:rPr>
              <w:t>£000</w:t>
            </w:r>
            <w:r w:rsidRPr="004030DB">
              <w:rPr>
                <w:rFonts w:ascii="Arial" w:eastAsia="Times New Roman" w:hAnsi="Arial" w:cs="Arial"/>
                <w:color w:val="D13438"/>
                <w:sz w:val="20"/>
                <w:szCs w:val="20"/>
                <w:lang w:val="en-GB" w:eastAsia="en-GB"/>
              </w:rPr>
              <w:t> </w:t>
            </w:r>
          </w:p>
        </w:tc>
        <w:tc>
          <w:tcPr>
            <w:tcW w:w="1155" w:type="dxa"/>
            <w:gridSpan w:val="2"/>
            <w:tcBorders>
              <w:top w:val="single" w:sz="6" w:space="0" w:color="auto"/>
              <w:left w:val="single" w:sz="6" w:space="0" w:color="auto"/>
              <w:bottom w:val="single" w:sz="6" w:space="0" w:color="auto"/>
              <w:right w:val="single" w:sz="6" w:space="0" w:color="auto"/>
            </w:tcBorders>
            <w:shd w:val="clear" w:color="auto" w:fill="DEEAF6"/>
            <w:hideMark/>
          </w:tcPr>
          <w:p w14:paraId="52C05F0F"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b/>
                <w:bCs/>
                <w:sz w:val="20"/>
                <w:szCs w:val="20"/>
                <w:lang w:val="en-GB" w:eastAsia="en-GB"/>
              </w:rPr>
              <w:t>Number</w:t>
            </w:r>
            <w:r w:rsidRPr="004030DB">
              <w:rPr>
                <w:rFonts w:ascii="Arial" w:eastAsia="Times New Roman" w:hAnsi="Arial" w:cs="Arial"/>
                <w:color w:val="D13438"/>
                <w:sz w:val="20"/>
                <w:szCs w:val="20"/>
                <w:lang w:val="en-GB" w:eastAsia="en-GB"/>
              </w:rPr>
              <w:t> </w:t>
            </w:r>
          </w:p>
        </w:tc>
        <w:tc>
          <w:tcPr>
            <w:tcW w:w="1320" w:type="dxa"/>
            <w:tcBorders>
              <w:top w:val="single" w:sz="6" w:space="0" w:color="auto"/>
              <w:left w:val="single" w:sz="6" w:space="0" w:color="auto"/>
              <w:bottom w:val="single" w:sz="6" w:space="0" w:color="auto"/>
              <w:right w:val="single" w:sz="6" w:space="0" w:color="auto"/>
            </w:tcBorders>
            <w:shd w:val="clear" w:color="auto" w:fill="DEEAF6"/>
            <w:hideMark/>
          </w:tcPr>
          <w:p w14:paraId="390BB22B"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b/>
                <w:bCs/>
                <w:sz w:val="20"/>
                <w:szCs w:val="20"/>
                <w:lang w:val="en-GB" w:eastAsia="en-GB"/>
              </w:rPr>
              <w:t>£000</w:t>
            </w:r>
            <w:r w:rsidRPr="004030DB">
              <w:rPr>
                <w:rFonts w:ascii="Arial" w:eastAsia="Times New Roman" w:hAnsi="Arial" w:cs="Arial"/>
                <w:color w:val="D13438"/>
                <w:sz w:val="20"/>
                <w:szCs w:val="20"/>
                <w:lang w:val="en-GB" w:eastAsia="en-GB"/>
              </w:rPr>
              <w:t> </w:t>
            </w:r>
          </w:p>
        </w:tc>
      </w:tr>
      <w:tr w:rsidR="00FD2B58" w:rsidRPr="004030DB" w14:paraId="3A001306" w14:textId="77777777" w:rsidTr="00FD2B58">
        <w:trPr>
          <w:trHeight w:val="300"/>
        </w:trPr>
        <w:tc>
          <w:tcPr>
            <w:tcW w:w="5160" w:type="dxa"/>
            <w:gridSpan w:val="3"/>
            <w:tcBorders>
              <w:top w:val="single" w:sz="6" w:space="0" w:color="auto"/>
              <w:left w:val="single" w:sz="6" w:space="0" w:color="auto"/>
              <w:bottom w:val="single" w:sz="6" w:space="0" w:color="auto"/>
              <w:right w:val="single" w:sz="6" w:space="0" w:color="auto"/>
            </w:tcBorders>
            <w:hideMark/>
          </w:tcPr>
          <w:p w14:paraId="07DBAD0E" w14:textId="77777777" w:rsidR="00FD2B58" w:rsidRPr="004030DB" w:rsidRDefault="00FD2B58" w:rsidP="00FD2B58">
            <w:pPr>
              <w:widowControl/>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sz w:val="20"/>
                <w:szCs w:val="20"/>
                <w:lang w:val="en-GB" w:eastAsia="en-GB"/>
              </w:rPr>
              <w:t>Voluntary redundancy including early retirement contractual costs</w:t>
            </w:r>
            <w:r w:rsidRPr="004030DB">
              <w:rPr>
                <w:rFonts w:ascii="Arial" w:eastAsia="Times New Roman" w:hAnsi="Arial" w:cs="Arial"/>
                <w:color w:val="D13438"/>
                <w:sz w:val="20"/>
                <w:szCs w:val="20"/>
                <w:lang w:val="en-GB" w:eastAsia="en-GB"/>
              </w:rPr>
              <w:t> </w:t>
            </w:r>
          </w:p>
        </w:tc>
        <w:tc>
          <w:tcPr>
            <w:tcW w:w="1425" w:type="dxa"/>
            <w:gridSpan w:val="2"/>
            <w:tcBorders>
              <w:top w:val="single" w:sz="6" w:space="0" w:color="auto"/>
              <w:left w:val="single" w:sz="6" w:space="0" w:color="auto"/>
              <w:bottom w:val="single" w:sz="6" w:space="0" w:color="auto"/>
              <w:right w:val="single" w:sz="6" w:space="0" w:color="auto"/>
            </w:tcBorders>
            <w:hideMark/>
          </w:tcPr>
          <w:p w14:paraId="118A9442"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c>
          <w:tcPr>
            <w:tcW w:w="1365" w:type="dxa"/>
            <w:tcBorders>
              <w:top w:val="single" w:sz="6" w:space="0" w:color="auto"/>
              <w:left w:val="single" w:sz="6" w:space="0" w:color="auto"/>
              <w:bottom w:val="single" w:sz="6" w:space="0" w:color="auto"/>
              <w:right w:val="single" w:sz="6" w:space="0" w:color="auto"/>
            </w:tcBorders>
            <w:hideMark/>
          </w:tcPr>
          <w:p w14:paraId="0C6654DD"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c>
          <w:tcPr>
            <w:tcW w:w="1155" w:type="dxa"/>
            <w:gridSpan w:val="2"/>
            <w:tcBorders>
              <w:top w:val="single" w:sz="6" w:space="0" w:color="auto"/>
              <w:left w:val="single" w:sz="6" w:space="0" w:color="auto"/>
              <w:bottom w:val="single" w:sz="6" w:space="0" w:color="auto"/>
              <w:right w:val="single" w:sz="6" w:space="0" w:color="auto"/>
            </w:tcBorders>
            <w:hideMark/>
          </w:tcPr>
          <w:p w14:paraId="4CD24E31"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c>
          <w:tcPr>
            <w:tcW w:w="1320" w:type="dxa"/>
            <w:tcBorders>
              <w:top w:val="single" w:sz="6" w:space="0" w:color="auto"/>
              <w:left w:val="single" w:sz="6" w:space="0" w:color="auto"/>
              <w:bottom w:val="single" w:sz="6" w:space="0" w:color="auto"/>
              <w:right w:val="single" w:sz="6" w:space="0" w:color="auto"/>
            </w:tcBorders>
            <w:hideMark/>
          </w:tcPr>
          <w:p w14:paraId="3B0E9893"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r>
      <w:tr w:rsidR="00FD2B58" w:rsidRPr="004030DB" w14:paraId="07D3928F" w14:textId="77777777" w:rsidTr="00FD2B58">
        <w:trPr>
          <w:trHeight w:val="300"/>
        </w:trPr>
        <w:tc>
          <w:tcPr>
            <w:tcW w:w="5160" w:type="dxa"/>
            <w:gridSpan w:val="3"/>
            <w:tcBorders>
              <w:top w:val="single" w:sz="6" w:space="0" w:color="auto"/>
              <w:left w:val="single" w:sz="6" w:space="0" w:color="auto"/>
              <w:bottom w:val="single" w:sz="6" w:space="0" w:color="auto"/>
              <w:right w:val="single" w:sz="6" w:space="0" w:color="auto"/>
            </w:tcBorders>
            <w:hideMark/>
          </w:tcPr>
          <w:p w14:paraId="2FE69BEE" w14:textId="77777777" w:rsidR="00FD2B58" w:rsidRPr="004030DB" w:rsidRDefault="00FD2B58" w:rsidP="00FD2B58">
            <w:pPr>
              <w:widowControl/>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sz w:val="20"/>
                <w:szCs w:val="20"/>
                <w:lang w:val="en-GB" w:eastAsia="en-GB"/>
              </w:rPr>
              <w:t>Mutually agreed resignation (MARS) contractual costs</w:t>
            </w:r>
            <w:r w:rsidRPr="004030DB">
              <w:rPr>
                <w:rFonts w:ascii="Arial" w:eastAsia="Times New Roman" w:hAnsi="Arial" w:cs="Arial"/>
                <w:color w:val="D13438"/>
                <w:sz w:val="20"/>
                <w:szCs w:val="20"/>
                <w:lang w:val="en-GB" w:eastAsia="en-GB"/>
              </w:rPr>
              <w:t> </w:t>
            </w:r>
          </w:p>
        </w:tc>
        <w:tc>
          <w:tcPr>
            <w:tcW w:w="1425" w:type="dxa"/>
            <w:gridSpan w:val="2"/>
            <w:tcBorders>
              <w:top w:val="single" w:sz="6" w:space="0" w:color="auto"/>
              <w:left w:val="single" w:sz="6" w:space="0" w:color="auto"/>
              <w:bottom w:val="single" w:sz="6" w:space="0" w:color="auto"/>
              <w:right w:val="single" w:sz="6" w:space="0" w:color="auto"/>
            </w:tcBorders>
            <w:hideMark/>
          </w:tcPr>
          <w:p w14:paraId="3CF8CFA1"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c>
          <w:tcPr>
            <w:tcW w:w="1365" w:type="dxa"/>
            <w:tcBorders>
              <w:top w:val="single" w:sz="6" w:space="0" w:color="auto"/>
              <w:left w:val="single" w:sz="6" w:space="0" w:color="auto"/>
              <w:bottom w:val="single" w:sz="6" w:space="0" w:color="auto"/>
              <w:right w:val="single" w:sz="6" w:space="0" w:color="auto"/>
            </w:tcBorders>
            <w:hideMark/>
          </w:tcPr>
          <w:p w14:paraId="304228FC"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c>
          <w:tcPr>
            <w:tcW w:w="1155" w:type="dxa"/>
            <w:gridSpan w:val="2"/>
            <w:tcBorders>
              <w:top w:val="single" w:sz="6" w:space="0" w:color="auto"/>
              <w:left w:val="single" w:sz="6" w:space="0" w:color="auto"/>
              <w:bottom w:val="single" w:sz="6" w:space="0" w:color="auto"/>
              <w:right w:val="single" w:sz="6" w:space="0" w:color="auto"/>
            </w:tcBorders>
            <w:hideMark/>
          </w:tcPr>
          <w:p w14:paraId="752B08AF"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c>
          <w:tcPr>
            <w:tcW w:w="1320" w:type="dxa"/>
            <w:tcBorders>
              <w:top w:val="single" w:sz="6" w:space="0" w:color="auto"/>
              <w:left w:val="single" w:sz="6" w:space="0" w:color="auto"/>
              <w:bottom w:val="single" w:sz="6" w:space="0" w:color="auto"/>
              <w:right w:val="single" w:sz="6" w:space="0" w:color="auto"/>
            </w:tcBorders>
            <w:hideMark/>
          </w:tcPr>
          <w:p w14:paraId="0EF92A2C"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r>
      <w:tr w:rsidR="00FD2B58" w:rsidRPr="004030DB" w14:paraId="0A3CC347" w14:textId="77777777" w:rsidTr="00FD2B58">
        <w:trPr>
          <w:trHeight w:val="300"/>
        </w:trPr>
        <w:tc>
          <w:tcPr>
            <w:tcW w:w="5160" w:type="dxa"/>
            <w:gridSpan w:val="3"/>
            <w:tcBorders>
              <w:top w:val="single" w:sz="6" w:space="0" w:color="auto"/>
              <w:left w:val="single" w:sz="6" w:space="0" w:color="auto"/>
              <w:bottom w:val="single" w:sz="6" w:space="0" w:color="auto"/>
              <w:right w:val="single" w:sz="6" w:space="0" w:color="auto"/>
            </w:tcBorders>
            <w:hideMark/>
          </w:tcPr>
          <w:p w14:paraId="5AAA30BE" w14:textId="77777777" w:rsidR="00FD2B58" w:rsidRPr="004030DB" w:rsidRDefault="00FD2B58" w:rsidP="00FD2B58">
            <w:pPr>
              <w:widowControl/>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sz w:val="20"/>
                <w:szCs w:val="20"/>
                <w:lang w:val="en-GB" w:eastAsia="en-GB"/>
              </w:rPr>
              <w:t>Early retirement in the efficiency of service contractual costs</w:t>
            </w:r>
            <w:r w:rsidRPr="004030DB">
              <w:rPr>
                <w:rFonts w:ascii="Arial" w:eastAsia="Times New Roman" w:hAnsi="Arial" w:cs="Arial"/>
                <w:color w:val="D13438"/>
                <w:sz w:val="20"/>
                <w:szCs w:val="20"/>
                <w:lang w:val="en-GB" w:eastAsia="en-GB"/>
              </w:rPr>
              <w:t> </w:t>
            </w:r>
          </w:p>
        </w:tc>
        <w:tc>
          <w:tcPr>
            <w:tcW w:w="1425" w:type="dxa"/>
            <w:gridSpan w:val="2"/>
            <w:tcBorders>
              <w:top w:val="single" w:sz="6" w:space="0" w:color="auto"/>
              <w:left w:val="single" w:sz="6" w:space="0" w:color="auto"/>
              <w:bottom w:val="single" w:sz="6" w:space="0" w:color="auto"/>
              <w:right w:val="single" w:sz="6" w:space="0" w:color="auto"/>
            </w:tcBorders>
            <w:hideMark/>
          </w:tcPr>
          <w:p w14:paraId="4E1CDD16"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c>
          <w:tcPr>
            <w:tcW w:w="1365" w:type="dxa"/>
            <w:tcBorders>
              <w:top w:val="single" w:sz="6" w:space="0" w:color="auto"/>
              <w:left w:val="single" w:sz="6" w:space="0" w:color="auto"/>
              <w:bottom w:val="single" w:sz="6" w:space="0" w:color="auto"/>
              <w:right w:val="single" w:sz="6" w:space="0" w:color="auto"/>
            </w:tcBorders>
            <w:hideMark/>
          </w:tcPr>
          <w:p w14:paraId="445A7CB1"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c>
          <w:tcPr>
            <w:tcW w:w="1155" w:type="dxa"/>
            <w:gridSpan w:val="2"/>
            <w:tcBorders>
              <w:top w:val="single" w:sz="6" w:space="0" w:color="auto"/>
              <w:left w:val="single" w:sz="6" w:space="0" w:color="auto"/>
              <w:bottom w:val="single" w:sz="6" w:space="0" w:color="auto"/>
              <w:right w:val="single" w:sz="6" w:space="0" w:color="auto"/>
            </w:tcBorders>
            <w:hideMark/>
          </w:tcPr>
          <w:p w14:paraId="5E6E7B20"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c>
          <w:tcPr>
            <w:tcW w:w="1320" w:type="dxa"/>
            <w:tcBorders>
              <w:top w:val="single" w:sz="6" w:space="0" w:color="auto"/>
              <w:left w:val="single" w:sz="6" w:space="0" w:color="auto"/>
              <w:bottom w:val="single" w:sz="6" w:space="0" w:color="auto"/>
              <w:right w:val="single" w:sz="6" w:space="0" w:color="auto"/>
            </w:tcBorders>
            <w:hideMark/>
          </w:tcPr>
          <w:p w14:paraId="4F7658E2"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r>
      <w:tr w:rsidR="00FD2B58" w:rsidRPr="004030DB" w14:paraId="79D2AEA1" w14:textId="77777777" w:rsidTr="00FD2B58">
        <w:trPr>
          <w:trHeight w:val="300"/>
        </w:trPr>
        <w:tc>
          <w:tcPr>
            <w:tcW w:w="5160" w:type="dxa"/>
            <w:gridSpan w:val="3"/>
            <w:tcBorders>
              <w:top w:val="single" w:sz="6" w:space="0" w:color="auto"/>
              <w:left w:val="single" w:sz="6" w:space="0" w:color="auto"/>
              <w:bottom w:val="single" w:sz="6" w:space="0" w:color="auto"/>
              <w:right w:val="single" w:sz="6" w:space="0" w:color="auto"/>
            </w:tcBorders>
            <w:hideMark/>
          </w:tcPr>
          <w:p w14:paraId="581C20DB" w14:textId="77777777" w:rsidR="00FD2B58" w:rsidRPr="004030DB" w:rsidRDefault="00FD2B58" w:rsidP="00FD2B58">
            <w:pPr>
              <w:widowControl/>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sz w:val="20"/>
                <w:szCs w:val="20"/>
                <w:lang w:val="en-GB" w:eastAsia="en-GB"/>
              </w:rPr>
              <w:t>Contractual payments in lieu of notice</w:t>
            </w:r>
            <w:r w:rsidRPr="004030DB">
              <w:rPr>
                <w:rFonts w:ascii="Arial" w:eastAsia="Times New Roman" w:hAnsi="Arial" w:cs="Arial"/>
                <w:color w:val="D13438"/>
                <w:sz w:val="20"/>
                <w:szCs w:val="20"/>
                <w:lang w:val="en-GB" w:eastAsia="en-GB"/>
              </w:rPr>
              <w:t> </w:t>
            </w:r>
          </w:p>
        </w:tc>
        <w:tc>
          <w:tcPr>
            <w:tcW w:w="1425" w:type="dxa"/>
            <w:gridSpan w:val="2"/>
            <w:tcBorders>
              <w:top w:val="single" w:sz="6" w:space="0" w:color="auto"/>
              <w:left w:val="single" w:sz="6" w:space="0" w:color="auto"/>
              <w:bottom w:val="single" w:sz="6" w:space="0" w:color="auto"/>
              <w:right w:val="single" w:sz="6" w:space="0" w:color="auto"/>
            </w:tcBorders>
            <w:hideMark/>
          </w:tcPr>
          <w:p w14:paraId="4A2555E3"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sz w:val="20"/>
                <w:szCs w:val="20"/>
                <w:lang w:val="en-GB" w:eastAsia="en-GB"/>
              </w:rPr>
              <w:t>11</w:t>
            </w:r>
            <w:r w:rsidRPr="004030DB">
              <w:rPr>
                <w:rFonts w:ascii="Arial" w:eastAsia="Times New Roman" w:hAnsi="Arial" w:cs="Arial"/>
                <w:color w:val="D13438"/>
                <w:sz w:val="20"/>
                <w:szCs w:val="20"/>
                <w:lang w:val="en-GB" w:eastAsia="en-GB"/>
              </w:rPr>
              <w:t> </w:t>
            </w:r>
          </w:p>
        </w:tc>
        <w:tc>
          <w:tcPr>
            <w:tcW w:w="1365" w:type="dxa"/>
            <w:tcBorders>
              <w:top w:val="single" w:sz="6" w:space="0" w:color="auto"/>
              <w:left w:val="single" w:sz="6" w:space="0" w:color="auto"/>
              <w:bottom w:val="single" w:sz="6" w:space="0" w:color="auto"/>
              <w:right w:val="single" w:sz="6" w:space="0" w:color="auto"/>
            </w:tcBorders>
            <w:hideMark/>
          </w:tcPr>
          <w:p w14:paraId="155CC7A0"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sz w:val="20"/>
                <w:szCs w:val="20"/>
                <w:lang w:val="en-GB" w:eastAsia="en-GB"/>
              </w:rPr>
              <w:t>67</w:t>
            </w:r>
            <w:r w:rsidRPr="004030DB">
              <w:rPr>
                <w:rFonts w:ascii="Arial" w:eastAsia="Times New Roman" w:hAnsi="Arial" w:cs="Arial"/>
                <w:color w:val="D13438"/>
                <w:sz w:val="20"/>
                <w:szCs w:val="20"/>
                <w:lang w:val="en-GB" w:eastAsia="en-GB"/>
              </w:rPr>
              <w:t> </w:t>
            </w:r>
          </w:p>
        </w:tc>
        <w:tc>
          <w:tcPr>
            <w:tcW w:w="1155" w:type="dxa"/>
            <w:gridSpan w:val="2"/>
            <w:tcBorders>
              <w:top w:val="single" w:sz="6" w:space="0" w:color="auto"/>
              <w:left w:val="single" w:sz="6" w:space="0" w:color="auto"/>
              <w:bottom w:val="single" w:sz="6" w:space="0" w:color="auto"/>
              <w:right w:val="single" w:sz="6" w:space="0" w:color="auto"/>
            </w:tcBorders>
            <w:hideMark/>
          </w:tcPr>
          <w:p w14:paraId="2362F6A8"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sz w:val="20"/>
                <w:szCs w:val="20"/>
                <w:lang w:val="en-GB" w:eastAsia="en-GB"/>
              </w:rPr>
              <w:t>12 </w:t>
            </w:r>
          </w:p>
        </w:tc>
        <w:tc>
          <w:tcPr>
            <w:tcW w:w="1320" w:type="dxa"/>
            <w:tcBorders>
              <w:top w:val="single" w:sz="6" w:space="0" w:color="auto"/>
              <w:left w:val="single" w:sz="6" w:space="0" w:color="auto"/>
              <w:bottom w:val="single" w:sz="6" w:space="0" w:color="auto"/>
              <w:right w:val="single" w:sz="6" w:space="0" w:color="auto"/>
            </w:tcBorders>
            <w:hideMark/>
          </w:tcPr>
          <w:p w14:paraId="269D40FB"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sz w:val="20"/>
                <w:szCs w:val="20"/>
                <w:lang w:val="en-GB" w:eastAsia="en-GB"/>
              </w:rPr>
              <w:t>86 </w:t>
            </w:r>
          </w:p>
        </w:tc>
      </w:tr>
      <w:tr w:rsidR="00FD2B58" w:rsidRPr="004030DB" w14:paraId="34F4390D" w14:textId="77777777" w:rsidTr="00FD2B58">
        <w:trPr>
          <w:trHeight w:val="300"/>
        </w:trPr>
        <w:tc>
          <w:tcPr>
            <w:tcW w:w="5160" w:type="dxa"/>
            <w:gridSpan w:val="3"/>
            <w:tcBorders>
              <w:top w:val="single" w:sz="6" w:space="0" w:color="auto"/>
              <w:left w:val="single" w:sz="6" w:space="0" w:color="auto"/>
              <w:bottom w:val="single" w:sz="6" w:space="0" w:color="auto"/>
              <w:right w:val="single" w:sz="6" w:space="0" w:color="auto"/>
            </w:tcBorders>
            <w:hideMark/>
          </w:tcPr>
          <w:p w14:paraId="22824157" w14:textId="77777777" w:rsidR="00FD2B58" w:rsidRPr="004030DB" w:rsidRDefault="00FD2B58" w:rsidP="00FD2B58">
            <w:pPr>
              <w:widowControl/>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sz w:val="20"/>
                <w:szCs w:val="20"/>
                <w:lang w:val="en-GB" w:eastAsia="en-GB"/>
              </w:rPr>
              <w:t>Non-contractual payments requiring HMT approval</w:t>
            </w:r>
            <w:r w:rsidRPr="004030DB">
              <w:rPr>
                <w:rFonts w:ascii="Arial" w:eastAsia="Times New Roman" w:hAnsi="Arial" w:cs="Arial"/>
                <w:color w:val="D13438"/>
                <w:sz w:val="20"/>
                <w:szCs w:val="20"/>
                <w:lang w:val="en-GB" w:eastAsia="en-GB"/>
              </w:rPr>
              <w:t> </w:t>
            </w:r>
          </w:p>
        </w:tc>
        <w:tc>
          <w:tcPr>
            <w:tcW w:w="1425" w:type="dxa"/>
            <w:gridSpan w:val="2"/>
            <w:tcBorders>
              <w:top w:val="single" w:sz="6" w:space="0" w:color="auto"/>
              <w:left w:val="single" w:sz="6" w:space="0" w:color="auto"/>
              <w:bottom w:val="single" w:sz="6" w:space="0" w:color="auto"/>
              <w:right w:val="single" w:sz="6" w:space="0" w:color="auto"/>
            </w:tcBorders>
            <w:hideMark/>
          </w:tcPr>
          <w:p w14:paraId="7A115AFA"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c>
          <w:tcPr>
            <w:tcW w:w="1365" w:type="dxa"/>
            <w:tcBorders>
              <w:top w:val="single" w:sz="6" w:space="0" w:color="auto"/>
              <w:left w:val="single" w:sz="6" w:space="0" w:color="auto"/>
              <w:bottom w:val="single" w:sz="6" w:space="0" w:color="auto"/>
              <w:right w:val="single" w:sz="6" w:space="0" w:color="auto"/>
            </w:tcBorders>
            <w:hideMark/>
          </w:tcPr>
          <w:p w14:paraId="06DC27C1"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c>
          <w:tcPr>
            <w:tcW w:w="1155" w:type="dxa"/>
            <w:gridSpan w:val="2"/>
            <w:tcBorders>
              <w:top w:val="single" w:sz="6" w:space="0" w:color="auto"/>
              <w:left w:val="single" w:sz="6" w:space="0" w:color="auto"/>
              <w:bottom w:val="single" w:sz="6" w:space="0" w:color="auto"/>
              <w:right w:val="single" w:sz="6" w:space="0" w:color="auto"/>
            </w:tcBorders>
            <w:hideMark/>
          </w:tcPr>
          <w:p w14:paraId="46EDBF33"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c>
          <w:tcPr>
            <w:tcW w:w="1320" w:type="dxa"/>
            <w:tcBorders>
              <w:top w:val="single" w:sz="6" w:space="0" w:color="auto"/>
              <w:left w:val="single" w:sz="6" w:space="0" w:color="auto"/>
              <w:bottom w:val="single" w:sz="6" w:space="0" w:color="auto"/>
              <w:right w:val="single" w:sz="6" w:space="0" w:color="auto"/>
            </w:tcBorders>
            <w:hideMark/>
          </w:tcPr>
          <w:p w14:paraId="29CCE830"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r>
      <w:tr w:rsidR="00FD2B58" w:rsidRPr="004030DB" w14:paraId="6CDD241E" w14:textId="77777777" w:rsidTr="00FD2B58">
        <w:trPr>
          <w:trHeight w:val="300"/>
        </w:trPr>
        <w:tc>
          <w:tcPr>
            <w:tcW w:w="5160" w:type="dxa"/>
            <w:gridSpan w:val="3"/>
            <w:tcBorders>
              <w:top w:val="single" w:sz="6" w:space="0" w:color="auto"/>
              <w:left w:val="single" w:sz="6" w:space="0" w:color="auto"/>
              <w:bottom w:val="single" w:sz="6" w:space="0" w:color="auto"/>
              <w:right w:val="single" w:sz="6" w:space="0" w:color="auto"/>
            </w:tcBorders>
            <w:shd w:val="clear" w:color="auto" w:fill="DEEAF6"/>
            <w:hideMark/>
          </w:tcPr>
          <w:p w14:paraId="183D89BB" w14:textId="77777777" w:rsidR="00FD2B58" w:rsidRPr="004030DB" w:rsidRDefault="00FD2B58" w:rsidP="00FD2B58">
            <w:pPr>
              <w:widowControl/>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b/>
                <w:bCs/>
                <w:sz w:val="20"/>
                <w:szCs w:val="20"/>
                <w:lang w:val="en-GB" w:eastAsia="en-GB"/>
              </w:rPr>
              <w:t>Total</w:t>
            </w:r>
            <w:r w:rsidRPr="004030DB">
              <w:rPr>
                <w:rFonts w:ascii="Arial" w:eastAsia="Times New Roman" w:hAnsi="Arial" w:cs="Arial"/>
                <w:color w:val="D13438"/>
                <w:sz w:val="20"/>
                <w:szCs w:val="20"/>
                <w:lang w:val="en-GB" w:eastAsia="en-GB"/>
              </w:rPr>
              <w:t> </w:t>
            </w:r>
          </w:p>
        </w:tc>
        <w:tc>
          <w:tcPr>
            <w:tcW w:w="1425" w:type="dxa"/>
            <w:gridSpan w:val="2"/>
            <w:tcBorders>
              <w:top w:val="single" w:sz="6" w:space="0" w:color="auto"/>
              <w:left w:val="single" w:sz="6" w:space="0" w:color="auto"/>
              <w:bottom w:val="single" w:sz="6" w:space="0" w:color="auto"/>
              <w:right w:val="single" w:sz="6" w:space="0" w:color="auto"/>
            </w:tcBorders>
            <w:shd w:val="clear" w:color="auto" w:fill="DEEAF6"/>
            <w:hideMark/>
          </w:tcPr>
          <w:p w14:paraId="0BD994E4"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b/>
                <w:bCs/>
                <w:sz w:val="20"/>
                <w:szCs w:val="20"/>
                <w:lang w:val="en-GB" w:eastAsia="en-GB"/>
              </w:rPr>
              <w:t>11</w:t>
            </w:r>
            <w:r w:rsidRPr="004030DB">
              <w:rPr>
                <w:rFonts w:ascii="Arial" w:eastAsia="Times New Roman" w:hAnsi="Arial" w:cs="Arial"/>
                <w:color w:val="D13438"/>
                <w:sz w:val="20"/>
                <w:szCs w:val="20"/>
                <w:lang w:val="en-GB" w:eastAsia="en-GB"/>
              </w:rPr>
              <w:t> </w:t>
            </w:r>
          </w:p>
        </w:tc>
        <w:tc>
          <w:tcPr>
            <w:tcW w:w="1365" w:type="dxa"/>
            <w:tcBorders>
              <w:top w:val="single" w:sz="6" w:space="0" w:color="auto"/>
              <w:left w:val="single" w:sz="6" w:space="0" w:color="auto"/>
              <w:bottom w:val="single" w:sz="6" w:space="0" w:color="auto"/>
              <w:right w:val="single" w:sz="6" w:space="0" w:color="auto"/>
            </w:tcBorders>
            <w:shd w:val="clear" w:color="auto" w:fill="DEEAF6"/>
            <w:hideMark/>
          </w:tcPr>
          <w:p w14:paraId="3531AD05"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b/>
                <w:bCs/>
                <w:sz w:val="20"/>
                <w:szCs w:val="20"/>
                <w:lang w:val="en-GB" w:eastAsia="en-GB"/>
              </w:rPr>
              <w:t>67</w:t>
            </w:r>
            <w:r w:rsidRPr="004030DB">
              <w:rPr>
                <w:rFonts w:ascii="Arial" w:eastAsia="Times New Roman" w:hAnsi="Arial" w:cs="Arial"/>
                <w:color w:val="D13438"/>
                <w:sz w:val="20"/>
                <w:szCs w:val="20"/>
                <w:lang w:val="en-GB" w:eastAsia="en-GB"/>
              </w:rPr>
              <w:t> </w:t>
            </w:r>
          </w:p>
        </w:tc>
        <w:tc>
          <w:tcPr>
            <w:tcW w:w="1155" w:type="dxa"/>
            <w:gridSpan w:val="2"/>
            <w:tcBorders>
              <w:top w:val="single" w:sz="6" w:space="0" w:color="auto"/>
              <w:left w:val="single" w:sz="6" w:space="0" w:color="auto"/>
              <w:bottom w:val="single" w:sz="6" w:space="0" w:color="auto"/>
              <w:right w:val="single" w:sz="6" w:space="0" w:color="auto"/>
            </w:tcBorders>
            <w:shd w:val="clear" w:color="auto" w:fill="DEEAF6"/>
            <w:hideMark/>
          </w:tcPr>
          <w:p w14:paraId="4DC76983"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b/>
                <w:bCs/>
                <w:sz w:val="20"/>
                <w:szCs w:val="20"/>
                <w:lang w:val="en-GB" w:eastAsia="en-GB"/>
              </w:rPr>
              <w:t>12</w:t>
            </w:r>
            <w:r w:rsidRPr="004030DB">
              <w:rPr>
                <w:rFonts w:ascii="Arial" w:eastAsia="Times New Roman" w:hAnsi="Arial" w:cs="Arial"/>
                <w:color w:val="D13438"/>
                <w:sz w:val="20"/>
                <w:szCs w:val="20"/>
                <w:lang w:val="en-GB" w:eastAsia="en-GB"/>
              </w:rPr>
              <w:t> </w:t>
            </w:r>
          </w:p>
        </w:tc>
        <w:tc>
          <w:tcPr>
            <w:tcW w:w="1320" w:type="dxa"/>
            <w:tcBorders>
              <w:top w:val="single" w:sz="6" w:space="0" w:color="auto"/>
              <w:left w:val="single" w:sz="6" w:space="0" w:color="auto"/>
              <w:bottom w:val="single" w:sz="6" w:space="0" w:color="auto"/>
              <w:right w:val="single" w:sz="6" w:space="0" w:color="auto"/>
            </w:tcBorders>
            <w:shd w:val="clear" w:color="auto" w:fill="DEEAF6"/>
            <w:hideMark/>
          </w:tcPr>
          <w:p w14:paraId="7627B87A"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b/>
                <w:bCs/>
                <w:sz w:val="20"/>
                <w:szCs w:val="20"/>
                <w:lang w:val="en-GB" w:eastAsia="en-GB"/>
              </w:rPr>
              <w:t>86</w:t>
            </w:r>
            <w:r w:rsidRPr="004030DB">
              <w:rPr>
                <w:rFonts w:ascii="Arial" w:eastAsia="Times New Roman" w:hAnsi="Arial" w:cs="Arial"/>
                <w:sz w:val="20"/>
                <w:szCs w:val="20"/>
                <w:lang w:val="en-GB" w:eastAsia="en-GB"/>
              </w:rPr>
              <w:t> </w:t>
            </w:r>
          </w:p>
        </w:tc>
      </w:tr>
      <w:tr w:rsidR="00FD2B58" w:rsidRPr="004030DB" w14:paraId="0BAD873A" w14:textId="77777777" w:rsidTr="00FD2B58">
        <w:trPr>
          <w:trHeight w:val="300"/>
        </w:trPr>
        <w:tc>
          <w:tcPr>
            <w:tcW w:w="2085" w:type="dxa"/>
            <w:tcBorders>
              <w:top w:val="single" w:sz="6" w:space="0" w:color="auto"/>
              <w:left w:val="single" w:sz="6" w:space="0" w:color="auto"/>
              <w:bottom w:val="single" w:sz="6" w:space="0" w:color="auto"/>
              <w:right w:val="nil"/>
            </w:tcBorders>
            <w:hideMark/>
          </w:tcPr>
          <w:p w14:paraId="7ABF8037" w14:textId="77777777" w:rsidR="00FD2B58" w:rsidRPr="004030DB" w:rsidRDefault="00FD2B58" w:rsidP="00FD2B58">
            <w:pPr>
              <w:widowControl/>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b/>
                <w:bCs/>
                <w:sz w:val="20"/>
                <w:szCs w:val="20"/>
                <w:lang w:val="en-GB" w:eastAsia="en-GB"/>
              </w:rPr>
              <w:t>Of which:</w:t>
            </w:r>
            <w:r w:rsidRPr="004030DB">
              <w:rPr>
                <w:rFonts w:ascii="Arial" w:eastAsia="Times New Roman" w:hAnsi="Arial" w:cs="Arial"/>
                <w:color w:val="D13438"/>
                <w:sz w:val="20"/>
                <w:szCs w:val="20"/>
                <w:lang w:val="en-GB" w:eastAsia="en-GB"/>
              </w:rPr>
              <w:t> </w:t>
            </w:r>
          </w:p>
        </w:tc>
        <w:tc>
          <w:tcPr>
            <w:tcW w:w="2085" w:type="dxa"/>
            <w:tcBorders>
              <w:top w:val="single" w:sz="6" w:space="0" w:color="auto"/>
              <w:left w:val="nil"/>
              <w:bottom w:val="single" w:sz="6" w:space="0" w:color="auto"/>
              <w:right w:val="nil"/>
            </w:tcBorders>
            <w:hideMark/>
          </w:tcPr>
          <w:p w14:paraId="1FA6BEC9" w14:textId="77777777" w:rsidR="00FD2B58" w:rsidRPr="004030DB" w:rsidRDefault="00FD2B58" w:rsidP="00FD2B58">
            <w:pPr>
              <w:widowControl/>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c>
          <w:tcPr>
            <w:tcW w:w="2085" w:type="dxa"/>
            <w:gridSpan w:val="2"/>
            <w:tcBorders>
              <w:top w:val="single" w:sz="6" w:space="0" w:color="auto"/>
              <w:left w:val="nil"/>
              <w:bottom w:val="single" w:sz="6" w:space="0" w:color="auto"/>
              <w:right w:val="nil"/>
            </w:tcBorders>
            <w:hideMark/>
          </w:tcPr>
          <w:p w14:paraId="5AF1E1C9" w14:textId="77777777" w:rsidR="00FD2B58" w:rsidRPr="004030DB" w:rsidRDefault="00FD2B58" w:rsidP="00FD2B58">
            <w:pPr>
              <w:widowControl/>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c>
          <w:tcPr>
            <w:tcW w:w="2085" w:type="dxa"/>
            <w:gridSpan w:val="3"/>
            <w:tcBorders>
              <w:top w:val="single" w:sz="6" w:space="0" w:color="auto"/>
              <w:left w:val="nil"/>
              <w:bottom w:val="single" w:sz="6" w:space="0" w:color="auto"/>
              <w:right w:val="nil"/>
            </w:tcBorders>
            <w:hideMark/>
          </w:tcPr>
          <w:p w14:paraId="0C6FC1C7" w14:textId="77777777" w:rsidR="00FD2B58" w:rsidRPr="004030DB" w:rsidRDefault="00FD2B58" w:rsidP="00FD2B58">
            <w:pPr>
              <w:widowControl/>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c>
          <w:tcPr>
            <w:tcW w:w="2085" w:type="dxa"/>
            <w:gridSpan w:val="2"/>
            <w:tcBorders>
              <w:top w:val="single" w:sz="6" w:space="0" w:color="auto"/>
              <w:left w:val="nil"/>
              <w:bottom w:val="single" w:sz="6" w:space="0" w:color="auto"/>
              <w:right w:val="single" w:sz="6" w:space="0" w:color="auto"/>
            </w:tcBorders>
            <w:hideMark/>
          </w:tcPr>
          <w:p w14:paraId="36699608" w14:textId="77777777" w:rsidR="00FD2B58" w:rsidRPr="004030DB" w:rsidRDefault="00FD2B58" w:rsidP="00FD2B58">
            <w:pPr>
              <w:widowControl/>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r>
      <w:tr w:rsidR="00FD2B58" w:rsidRPr="004030DB" w14:paraId="00EC7DA5" w14:textId="77777777" w:rsidTr="00FD2B58">
        <w:trPr>
          <w:trHeight w:val="300"/>
        </w:trPr>
        <w:tc>
          <w:tcPr>
            <w:tcW w:w="5160" w:type="dxa"/>
            <w:gridSpan w:val="3"/>
            <w:tcBorders>
              <w:top w:val="single" w:sz="6" w:space="0" w:color="auto"/>
              <w:left w:val="single" w:sz="6" w:space="0" w:color="auto"/>
              <w:bottom w:val="single" w:sz="6" w:space="0" w:color="auto"/>
              <w:right w:val="single" w:sz="6" w:space="0" w:color="auto"/>
            </w:tcBorders>
            <w:hideMark/>
          </w:tcPr>
          <w:p w14:paraId="1B297924" w14:textId="77777777" w:rsidR="00FD2B58" w:rsidRPr="004030DB" w:rsidRDefault="00FD2B58" w:rsidP="00FD2B58">
            <w:pPr>
              <w:widowControl/>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sz w:val="20"/>
                <w:szCs w:val="20"/>
                <w:lang w:val="en-GB" w:eastAsia="en-GB"/>
              </w:rPr>
              <w:lastRenderedPageBreak/>
              <w:t>Non-contractual payments requiring HMT approval made to individuals where the payment value was more than 12 months of their annual salary</w:t>
            </w:r>
            <w:r w:rsidRPr="004030DB">
              <w:rPr>
                <w:rFonts w:ascii="Arial" w:eastAsia="Times New Roman" w:hAnsi="Arial" w:cs="Arial"/>
                <w:color w:val="D13438"/>
                <w:sz w:val="20"/>
                <w:szCs w:val="20"/>
                <w:lang w:val="en-GB" w:eastAsia="en-GB"/>
              </w:rPr>
              <w:t> </w:t>
            </w:r>
          </w:p>
        </w:tc>
        <w:tc>
          <w:tcPr>
            <w:tcW w:w="1425" w:type="dxa"/>
            <w:gridSpan w:val="2"/>
            <w:tcBorders>
              <w:top w:val="single" w:sz="6" w:space="0" w:color="auto"/>
              <w:left w:val="single" w:sz="6" w:space="0" w:color="auto"/>
              <w:bottom w:val="single" w:sz="6" w:space="0" w:color="auto"/>
              <w:right w:val="single" w:sz="6" w:space="0" w:color="auto"/>
            </w:tcBorders>
            <w:hideMark/>
          </w:tcPr>
          <w:p w14:paraId="21190EFB" w14:textId="77777777" w:rsidR="00FD2B58" w:rsidRPr="004030DB" w:rsidRDefault="00FD2B58" w:rsidP="00FD2B58">
            <w:pPr>
              <w:widowControl/>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c>
          <w:tcPr>
            <w:tcW w:w="1365" w:type="dxa"/>
            <w:tcBorders>
              <w:top w:val="single" w:sz="6" w:space="0" w:color="auto"/>
              <w:left w:val="single" w:sz="6" w:space="0" w:color="auto"/>
              <w:bottom w:val="single" w:sz="6" w:space="0" w:color="auto"/>
              <w:right w:val="single" w:sz="6" w:space="0" w:color="auto"/>
            </w:tcBorders>
            <w:hideMark/>
          </w:tcPr>
          <w:p w14:paraId="59606FCD" w14:textId="77777777" w:rsidR="00FD2B58" w:rsidRPr="004030DB" w:rsidRDefault="00FD2B58" w:rsidP="00FD2B58">
            <w:pPr>
              <w:widowControl/>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c>
          <w:tcPr>
            <w:tcW w:w="1155" w:type="dxa"/>
            <w:gridSpan w:val="2"/>
            <w:tcBorders>
              <w:top w:val="single" w:sz="6" w:space="0" w:color="auto"/>
              <w:left w:val="single" w:sz="6" w:space="0" w:color="auto"/>
              <w:bottom w:val="single" w:sz="6" w:space="0" w:color="auto"/>
              <w:right w:val="single" w:sz="6" w:space="0" w:color="auto"/>
            </w:tcBorders>
            <w:hideMark/>
          </w:tcPr>
          <w:p w14:paraId="63ADE349" w14:textId="77777777" w:rsidR="00FD2B58" w:rsidRPr="004030DB" w:rsidRDefault="00FD2B58" w:rsidP="00FD2B58">
            <w:pPr>
              <w:widowControl/>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c>
          <w:tcPr>
            <w:tcW w:w="1320" w:type="dxa"/>
            <w:tcBorders>
              <w:top w:val="single" w:sz="6" w:space="0" w:color="auto"/>
              <w:left w:val="single" w:sz="6" w:space="0" w:color="auto"/>
              <w:bottom w:val="single" w:sz="6" w:space="0" w:color="auto"/>
              <w:right w:val="single" w:sz="6" w:space="0" w:color="auto"/>
            </w:tcBorders>
            <w:hideMark/>
          </w:tcPr>
          <w:p w14:paraId="20F5633A" w14:textId="77777777" w:rsidR="00FD2B58" w:rsidRPr="004030DB" w:rsidRDefault="00FD2B58" w:rsidP="00FD2B58">
            <w:pPr>
              <w:widowControl/>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r>
    </w:tbl>
    <w:p w14:paraId="0B9CC0B1" w14:textId="77777777" w:rsidR="00FD2B58" w:rsidRPr="004030DB" w:rsidRDefault="00FD2B58" w:rsidP="00FD2B58">
      <w:pPr>
        <w:widowControl/>
        <w:textAlignment w:val="baseline"/>
        <w:rPr>
          <w:rFonts w:ascii="Segoe UI" w:eastAsia="Times New Roman" w:hAnsi="Segoe UI" w:cs="Segoe UI"/>
          <w:sz w:val="20"/>
          <w:szCs w:val="20"/>
          <w:lang w:val="en-GB" w:eastAsia="en-GB"/>
        </w:rPr>
      </w:pPr>
      <w:r w:rsidRPr="004030DB">
        <w:rPr>
          <w:rFonts w:ascii="Arial" w:eastAsia="Times New Roman" w:hAnsi="Arial" w:cs="Arial"/>
          <w:color w:val="D13438"/>
          <w:sz w:val="20"/>
          <w:szCs w:val="20"/>
          <w:lang w:val="en-GB" w:eastAsia="en-GB"/>
        </w:rPr>
        <w:t> </w:t>
      </w:r>
    </w:p>
    <w:p w14:paraId="1798FE0D" w14:textId="77777777" w:rsidR="00FD2B58" w:rsidRPr="004030DB" w:rsidRDefault="00FD2B58" w:rsidP="00143BCB">
      <w:pPr>
        <w:widowControl/>
        <w:jc w:val="both"/>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val="en-GB" w:eastAsia="en-GB"/>
        </w:rPr>
        <w:t>These figures have been audited 2024/25 </w:t>
      </w:r>
      <w:r w:rsidRPr="004030DB">
        <w:rPr>
          <w:rFonts w:ascii="Arial" w:eastAsia="Times New Roman" w:hAnsi="Arial" w:cs="Arial"/>
          <w:color w:val="D13438"/>
          <w:sz w:val="20"/>
          <w:szCs w:val="20"/>
          <w:lang w:val="en-GB" w:eastAsia="en-GB"/>
        </w:rPr>
        <w:t> </w:t>
      </w:r>
    </w:p>
    <w:p w14:paraId="6356FD18" w14:textId="77777777" w:rsidR="00FE08E8" w:rsidRDefault="00FE08E8" w:rsidP="00BC58FD">
      <w:pPr>
        <w:rPr>
          <w:rFonts w:ascii="Arial" w:hAnsi="Arial" w:cs="Arial"/>
          <w:b/>
          <w:sz w:val="20"/>
          <w:szCs w:val="20"/>
          <w:highlight w:val="yellow"/>
          <w:lang w:val="en-GB"/>
        </w:rPr>
      </w:pPr>
    </w:p>
    <w:p w14:paraId="1B38650A" w14:textId="77777777" w:rsidR="00C74C2C" w:rsidRPr="004030DB" w:rsidRDefault="00C74C2C" w:rsidP="00BC58FD">
      <w:pPr>
        <w:rPr>
          <w:rFonts w:ascii="Arial" w:hAnsi="Arial" w:cs="Arial"/>
          <w:b/>
          <w:sz w:val="20"/>
          <w:szCs w:val="20"/>
          <w:highlight w:val="yellow"/>
          <w:lang w:val="en-GB"/>
        </w:rPr>
      </w:pPr>
    </w:p>
    <w:p w14:paraId="5D88EE39" w14:textId="77777777" w:rsidR="00BC58FD" w:rsidRPr="004030DB" w:rsidRDefault="00BC58FD" w:rsidP="00FD2B58">
      <w:pPr>
        <w:jc w:val="both"/>
        <w:rPr>
          <w:rFonts w:ascii="Arial" w:hAnsi="Arial" w:cs="Arial"/>
          <w:b/>
          <w:sz w:val="20"/>
          <w:szCs w:val="20"/>
          <w:lang w:val="en-GB"/>
        </w:rPr>
      </w:pPr>
      <w:r w:rsidRPr="004030DB">
        <w:rPr>
          <w:rFonts w:ascii="Arial" w:hAnsi="Arial" w:cs="Arial"/>
          <w:b/>
          <w:sz w:val="20"/>
          <w:szCs w:val="20"/>
          <w:lang w:val="en-GB"/>
        </w:rPr>
        <w:t xml:space="preserve">Staff Policies </w:t>
      </w:r>
    </w:p>
    <w:p w14:paraId="6927E662" w14:textId="77777777" w:rsidR="00BC58FD" w:rsidRPr="004030DB" w:rsidRDefault="000411AF" w:rsidP="00FD2B58">
      <w:pPr>
        <w:jc w:val="both"/>
        <w:rPr>
          <w:rFonts w:ascii="Arial" w:hAnsi="Arial" w:cs="Arial"/>
          <w:sz w:val="20"/>
          <w:szCs w:val="20"/>
          <w:lang w:val="en-GB"/>
        </w:rPr>
      </w:pPr>
      <w:r w:rsidRPr="004030DB">
        <w:rPr>
          <w:rFonts w:ascii="Arial" w:hAnsi="Arial" w:cs="Arial"/>
          <w:sz w:val="20"/>
          <w:szCs w:val="20"/>
          <w:lang w:val="en-GB"/>
        </w:rPr>
        <w:t>The following are staff policies and actions applied during the financial year.  The Trust maintains policies and takes actions to enable the wellbeing, progression and development of staff. The relevant policies and operating procedures are set out in the table below. In addition, the Trust consults regularly with the NHS Trade Unions on the review and application of policies; staff health and wellbeing; and organisational change.</w:t>
      </w:r>
    </w:p>
    <w:p w14:paraId="3ABE2A19" w14:textId="77777777" w:rsidR="000411AF" w:rsidRPr="004030DB" w:rsidRDefault="000411AF" w:rsidP="00FD2B58">
      <w:pPr>
        <w:jc w:val="both"/>
        <w:rPr>
          <w:rFonts w:ascii="Arial" w:hAnsi="Arial" w:cs="Arial"/>
          <w:sz w:val="20"/>
          <w:szCs w:val="20"/>
          <w:highlight w:val="yellow"/>
          <w:lang w:val="en-GB"/>
        </w:rPr>
      </w:pPr>
    </w:p>
    <w:p w14:paraId="2C61DB86" w14:textId="77777777" w:rsidR="00BC58FD" w:rsidRPr="004030DB" w:rsidRDefault="00BC58FD" w:rsidP="00FD2B58">
      <w:pPr>
        <w:jc w:val="both"/>
        <w:rPr>
          <w:rFonts w:ascii="Arial" w:hAnsi="Arial" w:cs="Arial"/>
          <w:b/>
          <w:sz w:val="20"/>
          <w:szCs w:val="20"/>
          <w:lang w:val="en-GB"/>
        </w:rPr>
      </w:pPr>
      <w:bookmarkStart w:id="25" w:name="_Hlk191390032"/>
      <w:r w:rsidRPr="004030DB">
        <w:rPr>
          <w:rFonts w:ascii="Arial" w:hAnsi="Arial" w:cs="Arial"/>
          <w:b/>
          <w:sz w:val="20"/>
          <w:szCs w:val="20"/>
          <w:lang w:val="en-GB"/>
        </w:rPr>
        <w:t>Policies and Standard Operating Procedures (SOP):</w:t>
      </w:r>
    </w:p>
    <w:p w14:paraId="412F605F" w14:textId="77777777" w:rsidR="00BC58FD" w:rsidRPr="004030DB" w:rsidRDefault="00BC58FD" w:rsidP="00BC58FD">
      <w:pPr>
        <w:rPr>
          <w:rFonts w:ascii="Arial" w:hAnsi="Arial" w:cs="Arial"/>
          <w:sz w:val="20"/>
          <w:szCs w:val="20"/>
          <w:lang w:val="en-GB"/>
        </w:rPr>
      </w:pPr>
    </w:p>
    <w:tbl>
      <w:tblPr>
        <w:tblStyle w:val="TableGrid"/>
        <w:tblW w:w="9634" w:type="dxa"/>
        <w:tblLook w:val="04A0" w:firstRow="1" w:lastRow="0" w:firstColumn="1" w:lastColumn="0" w:noHBand="0" w:noVBand="1"/>
      </w:tblPr>
      <w:tblGrid>
        <w:gridCol w:w="3005"/>
        <w:gridCol w:w="4787"/>
        <w:gridCol w:w="1842"/>
      </w:tblGrid>
      <w:tr w:rsidR="00BC58FD" w:rsidRPr="004030DB" w14:paraId="4C5308BD" w14:textId="77777777" w:rsidTr="00BE04E0">
        <w:tc>
          <w:tcPr>
            <w:tcW w:w="3005" w:type="dxa"/>
          </w:tcPr>
          <w:p w14:paraId="5190FB4C" w14:textId="77777777" w:rsidR="00BC58FD" w:rsidRPr="004030DB" w:rsidRDefault="00BC58FD" w:rsidP="00005152">
            <w:pPr>
              <w:jc w:val="center"/>
              <w:rPr>
                <w:rFonts w:ascii="Arial" w:hAnsi="Arial" w:cs="Arial"/>
                <w:b/>
                <w:sz w:val="20"/>
                <w:szCs w:val="20"/>
                <w:lang w:val="en-GB"/>
              </w:rPr>
            </w:pPr>
            <w:bookmarkStart w:id="26" w:name="_Hlk167180734"/>
            <w:r w:rsidRPr="004030DB">
              <w:rPr>
                <w:rFonts w:ascii="Arial" w:hAnsi="Arial" w:cs="Arial"/>
                <w:b/>
                <w:sz w:val="20"/>
                <w:szCs w:val="20"/>
                <w:lang w:val="en-GB"/>
              </w:rPr>
              <w:t>Policy/SOP</w:t>
            </w:r>
          </w:p>
        </w:tc>
        <w:tc>
          <w:tcPr>
            <w:tcW w:w="4787" w:type="dxa"/>
          </w:tcPr>
          <w:p w14:paraId="420563D5" w14:textId="77777777" w:rsidR="0043574F" w:rsidRPr="004030DB" w:rsidRDefault="00BC58FD" w:rsidP="004C5903">
            <w:pPr>
              <w:jc w:val="center"/>
              <w:rPr>
                <w:rFonts w:ascii="Arial" w:hAnsi="Arial" w:cs="Arial"/>
                <w:b/>
                <w:sz w:val="20"/>
                <w:szCs w:val="20"/>
                <w:lang w:val="en-GB"/>
              </w:rPr>
            </w:pPr>
            <w:r w:rsidRPr="004030DB">
              <w:rPr>
                <w:rFonts w:ascii="Arial" w:hAnsi="Arial" w:cs="Arial"/>
                <w:b/>
                <w:sz w:val="20"/>
                <w:szCs w:val="20"/>
                <w:lang w:val="en-GB"/>
              </w:rPr>
              <w:t xml:space="preserve">How it </w:t>
            </w:r>
            <w:r w:rsidR="007729B0" w:rsidRPr="004030DB">
              <w:rPr>
                <w:rFonts w:ascii="Arial" w:hAnsi="Arial" w:cs="Arial"/>
                <w:b/>
                <w:sz w:val="20"/>
                <w:szCs w:val="20"/>
                <w:lang w:val="en-GB"/>
              </w:rPr>
              <w:t>S</w:t>
            </w:r>
            <w:r w:rsidRPr="004030DB">
              <w:rPr>
                <w:rFonts w:ascii="Arial" w:hAnsi="Arial" w:cs="Arial"/>
                <w:b/>
                <w:sz w:val="20"/>
                <w:szCs w:val="20"/>
                <w:lang w:val="en-GB"/>
              </w:rPr>
              <w:t xml:space="preserve">upports the </w:t>
            </w:r>
            <w:r w:rsidR="007729B0" w:rsidRPr="004030DB">
              <w:rPr>
                <w:rFonts w:ascii="Arial" w:hAnsi="Arial" w:cs="Arial"/>
                <w:b/>
                <w:sz w:val="20"/>
                <w:szCs w:val="20"/>
                <w:lang w:val="en-GB"/>
              </w:rPr>
              <w:t>W</w:t>
            </w:r>
            <w:r w:rsidRPr="004030DB">
              <w:rPr>
                <w:rFonts w:ascii="Arial" w:hAnsi="Arial" w:cs="Arial"/>
                <w:b/>
                <w:sz w:val="20"/>
                <w:szCs w:val="20"/>
                <w:lang w:val="en-GB"/>
              </w:rPr>
              <w:t>orkforce</w:t>
            </w:r>
          </w:p>
        </w:tc>
        <w:tc>
          <w:tcPr>
            <w:tcW w:w="1842" w:type="dxa"/>
          </w:tcPr>
          <w:p w14:paraId="63D3B852" w14:textId="77777777" w:rsidR="00BC58FD" w:rsidRPr="004030DB" w:rsidRDefault="00BC58FD" w:rsidP="00005152">
            <w:pPr>
              <w:jc w:val="center"/>
              <w:rPr>
                <w:rFonts w:ascii="Arial" w:hAnsi="Arial" w:cs="Arial"/>
                <w:b/>
                <w:sz w:val="20"/>
                <w:szCs w:val="20"/>
                <w:lang w:val="en-GB"/>
              </w:rPr>
            </w:pPr>
            <w:r w:rsidRPr="004030DB">
              <w:rPr>
                <w:rFonts w:ascii="Arial" w:hAnsi="Arial" w:cs="Arial"/>
                <w:b/>
                <w:sz w:val="20"/>
                <w:szCs w:val="20"/>
                <w:lang w:val="en-GB"/>
              </w:rPr>
              <w:t>Renewal Date</w:t>
            </w:r>
          </w:p>
        </w:tc>
      </w:tr>
      <w:tr w:rsidR="00F53BC9" w:rsidRPr="004030DB" w14:paraId="37E4BDB7" w14:textId="77777777" w:rsidTr="00BE04E0">
        <w:tc>
          <w:tcPr>
            <w:tcW w:w="3005" w:type="dxa"/>
          </w:tcPr>
          <w:p w14:paraId="28832A88" w14:textId="77777777" w:rsidR="00F53BC9" w:rsidRPr="004030DB" w:rsidRDefault="00F53BC9" w:rsidP="00F53BC9">
            <w:pPr>
              <w:rPr>
                <w:rFonts w:ascii="Arial" w:hAnsi="Arial" w:cs="Arial"/>
                <w:strike/>
                <w:sz w:val="20"/>
                <w:szCs w:val="20"/>
                <w:lang w:val="en-GB"/>
              </w:rPr>
            </w:pPr>
            <w:r w:rsidRPr="004030DB">
              <w:rPr>
                <w:rFonts w:ascii="Arial" w:hAnsi="Arial" w:cs="Arial"/>
                <w:sz w:val="20"/>
                <w:szCs w:val="20"/>
                <w:lang w:val="en-GB"/>
              </w:rPr>
              <w:t xml:space="preserve">Reasonable Adjustment and Modified Duties Policy and </w:t>
            </w:r>
            <w:r w:rsidR="00B53057" w:rsidRPr="004030DB">
              <w:rPr>
                <w:rFonts w:ascii="Arial" w:hAnsi="Arial" w:cs="Arial"/>
                <w:sz w:val="20"/>
                <w:szCs w:val="20"/>
                <w:lang w:val="en-GB"/>
              </w:rPr>
              <w:t xml:space="preserve">Standing Operating </w:t>
            </w:r>
            <w:r w:rsidRPr="004030DB">
              <w:rPr>
                <w:rFonts w:ascii="Arial" w:hAnsi="Arial" w:cs="Arial"/>
                <w:sz w:val="20"/>
                <w:szCs w:val="20"/>
                <w:lang w:val="en-GB"/>
              </w:rPr>
              <w:t>Procedure</w:t>
            </w:r>
            <w:r w:rsidRPr="004030DB">
              <w:rPr>
                <w:rFonts w:ascii="Arial" w:hAnsi="Arial" w:cs="Arial"/>
                <w:strike/>
                <w:sz w:val="20"/>
                <w:szCs w:val="20"/>
                <w:lang w:val="en-GB"/>
              </w:rPr>
              <w:t xml:space="preserve"> </w:t>
            </w:r>
          </w:p>
        </w:tc>
        <w:tc>
          <w:tcPr>
            <w:tcW w:w="4787" w:type="dxa"/>
          </w:tcPr>
          <w:p w14:paraId="4B035E26" w14:textId="77777777" w:rsidR="00F53BC9" w:rsidRPr="004030DB" w:rsidRDefault="00B53057" w:rsidP="00F53BC9">
            <w:pPr>
              <w:rPr>
                <w:rFonts w:ascii="Arial" w:hAnsi="Arial" w:cs="Arial"/>
                <w:sz w:val="20"/>
                <w:szCs w:val="20"/>
                <w:lang w:val="en-GB"/>
              </w:rPr>
            </w:pPr>
            <w:r w:rsidRPr="004030DB">
              <w:rPr>
                <w:rFonts w:ascii="Arial" w:hAnsi="Arial" w:cs="Arial"/>
                <w:sz w:val="20"/>
                <w:szCs w:val="20"/>
                <w:lang w:val="en-GB"/>
              </w:rPr>
              <w:t xml:space="preserve">Sets out the requirements for the Trust, managers and staff in meeting the legal duties and best practice for Reasonable Adjustments for disabled persons (as defined in the Equality Act 2010), and/or any Modified Duties that may be required to enable a member person to access work and fulfil their duties.  This applies to recruitment, employment and absence management of people who are disabled, living with a long-term limiting illness or impairment, or are neurodiverse; also, to shorter term modifications that may enable a member of staff to continue in or return to work.  The Standard Operation Procedure sets out how the Policy should be implemented. </w:t>
            </w:r>
          </w:p>
        </w:tc>
        <w:tc>
          <w:tcPr>
            <w:tcW w:w="1842" w:type="dxa"/>
          </w:tcPr>
          <w:p w14:paraId="5B3FC13A" w14:textId="77777777" w:rsidR="00F53BC9" w:rsidRPr="004030DB" w:rsidRDefault="00FC01B3" w:rsidP="00F53BC9">
            <w:pPr>
              <w:rPr>
                <w:rFonts w:ascii="Arial" w:hAnsi="Arial" w:cs="Arial"/>
                <w:sz w:val="20"/>
                <w:szCs w:val="20"/>
                <w:lang w:val="en-GB"/>
              </w:rPr>
            </w:pPr>
            <w:r w:rsidRPr="004030DB">
              <w:rPr>
                <w:rFonts w:ascii="Arial" w:hAnsi="Arial" w:cs="Arial"/>
                <w:sz w:val="20"/>
                <w:szCs w:val="20"/>
                <w:lang w:val="en-GB"/>
              </w:rPr>
              <w:t>August 2027</w:t>
            </w:r>
          </w:p>
        </w:tc>
      </w:tr>
      <w:tr w:rsidR="00F53BC9" w:rsidRPr="004030DB" w14:paraId="1404F34D" w14:textId="77777777" w:rsidTr="00BE04E0">
        <w:tc>
          <w:tcPr>
            <w:tcW w:w="3005" w:type="dxa"/>
          </w:tcPr>
          <w:p w14:paraId="5D4EE1AE" w14:textId="77777777" w:rsidR="00F53BC9" w:rsidRPr="004030DB" w:rsidRDefault="00F53BC9" w:rsidP="00F53BC9">
            <w:pPr>
              <w:rPr>
                <w:rFonts w:ascii="Arial" w:hAnsi="Arial" w:cs="Arial"/>
                <w:sz w:val="20"/>
                <w:szCs w:val="20"/>
                <w:lang w:val="en-GB"/>
              </w:rPr>
            </w:pPr>
            <w:r w:rsidRPr="004030DB">
              <w:rPr>
                <w:rFonts w:ascii="Arial" w:hAnsi="Arial" w:cs="Arial"/>
                <w:sz w:val="20"/>
                <w:szCs w:val="20"/>
                <w:lang w:val="en-GB"/>
              </w:rPr>
              <w:t xml:space="preserve">Attendance Management Policy and </w:t>
            </w:r>
            <w:r w:rsidR="00B53057" w:rsidRPr="004030DB">
              <w:rPr>
                <w:rFonts w:ascii="Arial" w:hAnsi="Arial" w:cs="Arial"/>
                <w:sz w:val="20"/>
                <w:szCs w:val="20"/>
                <w:lang w:val="en-GB"/>
              </w:rPr>
              <w:t>Standing Operating Procedure</w:t>
            </w:r>
          </w:p>
        </w:tc>
        <w:tc>
          <w:tcPr>
            <w:tcW w:w="4787" w:type="dxa"/>
          </w:tcPr>
          <w:p w14:paraId="3634C600" w14:textId="77777777" w:rsidR="00F53BC9" w:rsidRPr="004030DB" w:rsidRDefault="00F53BC9" w:rsidP="00F53BC9">
            <w:pPr>
              <w:rPr>
                <w:rFonts w:ascii="Arial" w:hAnsi="Arial" w:cs="Arial"/>
                <w:sz w:val="20"/>
                <w:szCs w:val="20"/>
                <w:lang w:val="en-GB"/>
              </w:rPr>
            </w:pPr>
            <w:r w:rsidRPr="004030DB">
              <w:rPr>
                <w:rFonts w:ascii="Arial" w:hAnsi="Arial" w:cs="Arial"/>
                <w:sz w:val="20"/>
                <w:szCs w:val="20"/>
                <w:lang w:val="en-GB"/>
              </w:rPr>
              <w:t>This policy is designed to support employees’ attendance, and enable employees to remain in work/return to work after absence.</w:t>
            </w:r>
            <w:r w:rsidR="007729B0" w:rsidRPr="004030DB">
              <w:rPr>
                <w:rFonts w:ascii="Arial" w:hAnsi="Arial" w:cs="Arial"/>
                <w:sz w:val="20"/>
                <w:szCs w:val="20"/>
                <w:lang w:val="en-GB"/>
              </w:rPr>
              <w:t xml:space="preserve">  </w:t>
            </w:r>
            <w:r w:rsidRPr="004030DB">
              <w:rPr>
                <w:rFonts w:ascii="Arial" w:hAnsi="Arial" w:cs="Arial"/>
                <w:sz w:val="20"/>
                <w:szCs w:val="20"/>
                <w:lang w:val="en-GB"/>
              </w:rPr>
              <w:t>The SOP includes the Trust’s procedure for Assessment of Adjustment.</w:t>
            </w:r>
          </w:p>
        </w:tc>
        <w:tc>
          <w:tcPr>
            <w:tcW w:w="1842" w:type="dxa"/>
          </w:tcPr>
          <w:p w14:paraId="219CB628" w14:textId="77777777" w:rsidR="00F53BC9" w:rsidRPr="004030DB" w:rsidRDefault="007729B0" w:rsidP="00F53BC9">
            <w:pPr>
              <w:rPr>
                <w:rFonts w:ascii="Arial" w:hAnsi="Arial" w:cs="Arial"/>
                <w:sz w:val="20"/>
                <w:szCs w:val="20"/>
                <w:lang w:val="en-GB"/>
              </w:rPr>
            </w:pPr>
            <w:r w:rsidRPr="004030DB">
              <w:rPr>
                <w:rFonts w:ascii="Arial" w:hAnsi="Arial" w:cs="Arial"/>
                <w:sz w:val="20"/>
                <w:szCs w:val="20"/>
                <w:lang w:val="en-GB"/>
              </w:rPr>
              <w:t xml:space="preserve">September </w:t>
            </w:r>
            <w:r w:rsidR="00F53BC9" w:rsidRPr="004030DB">
              <w:rPr>
                <w:rFonts w:ascii="Arial" w:hAnsi="Arial" w:cs="Arial"/>
                <w:sz w:val="20"/>
                <w:szCs w:val="20"/>
                <w:lang w:val="en-GB"/>
              </w:rPr>
              <w:t>2026</w:t>
            </w:r>
          </w:p>
        </w:tc>
      </w:tr>
      <w:tr w:rsidR="00F53BC9" w:rsidRPr="004030DB" w14:paraId="4B1F2D21" w14:textId="77777777" w:rsidTr="00BE04E0">
        <w:tc>
          <w:tcPr>
            <w:tcW w:w="3005" w:type="dxa"/>
          </w:tcPr>
          <w:p w14:paraId="1CF6917D" w14:textId="77777777" w:rsidR="00F53BC9" w:rsidRPr="004030DB" w:rsidRDefault="00F53BC9" w:rsidP="00F53BC9">
            <w:pPr>
              <w:rPr>
                <w:rFonts w:ascii="Arial" w:hAnsi="Arial" w:cs="Arial"/>
                <w:sz w:val="20"/>
                <w:szCs w:val="20"/>
                <w:lang w:val="en-GB"/>
              </w:rPr>
            </w:pPr>
            <w:r w:rsidRPr="004030DB">
              <w:rPr>
                <w:rFonts w:ascii="Arial" w:hAnsi="Arial" w:cs="Arial"/>
                <w:sz w:val="20"/>
                <w:szCs w:val="20"/>
                <w:lang w:val="en-GB"/>
              </w:rPr>
              <w:t xml:space="preserve">Flexible Working Policy </w:t>
            </w:r>
          </w:p>
        </w:tc>
        <w:tc>
          <w:tcPr>
            <w:tcW w:w="4787" w:type="dxa"/>
          </w:tcPr>
          <w:p w14:paraId="3A382AF2" w14:textId="77777777" w:rsidR="00F53BC9" w:rsidRPr="004030DB" w:rsidRDefault="00F53BC9" w:rsidP="00F53BC9">
            <w:pPr>
              <w:rPr>
                <w:rFonts w:ascii="Arial" w:hAnsi="Arial" w:cs="Arial"/>
                <w:sz w:val="20"/>
                <w:szCs w:val="20"/>
                <w:lang w:val="en-GB"/>
              </w:rPr>
            </w:pPr>
            <w:r w:rsidRPr="004030DB">
              <w:rPr>
                <w:rFonts w:ascii="Arial" w:hAnsi="Arial" w:cs="Arial"/>
                <w:sz w:val="20"/>
                <w:szCs w:val="20"/>
                <w:lang w:val="en-GB"/>
              </w:rPr>
              <w:t>This policy provides the framework for flexible working to be considered and applied fairly.</w:t>
            </w:r>
          </w:p>
        </w:tc>
        <w:tc>
          <w:tcPr>
            <w:tcW w:w="1842" w:type="dxa"/>
          </w:tcPr>
          <w:p w14:paraId="17D46B25" w14:textId="77777777" w:rsidR="00F53BC9" w:rsidRPr="004030DB" w:rsidRDefault="00F53BC9" w:rsidP="00F53BC9">
            <w:pPr>
              <w:rPr>
                <w:rFonts w:ascii="Arial" w:hAnsi="Arial" w:cs="Arial"/>
                <w:sz w:val="20"/>
                <w:szCs w:val="20"/>
                <w:lang w:val="en-GB"/>
              </w:rPr>
            </w:pPr>
            <w:r w:rsidRPr="004030DB">
              <w:rPr>
                <w:rFonts w:ascii="Arial" w:hAnsi="Arial" w:cs="Arial"/>
                <w:sz w:val="20"/>
                <w:szCs w:val="20"/>
                <w:lang w:val="en-GB"/>
              </w:rPr>
              <w:t>June 2026</w:t>
            </w:r>
          </w:p>
        </w:tc>
      </w:tr>
      <w:tr w:rsidR="00F53BC9" w:rsidRPr="004030DB" w14:paraId="76301075" w14:textId="77777777" w:rsidTr="00BE04E0">
        <w:tc>
          <w:tcPr>
            <w:tcW w:w="3005" w:type="dxa"/>
          </w:tcPr>
          <w:p w14:paraId="061317CB" w14:textId="77777777" w:rsidR="00F53BC9" w:rsidRPr="004030DB" w:rsidRDefault="00FC01B3" w:rsidP="00F53BC9">
            <w:pPr>
              <w:rPr>
                <w:rFonts w:ascii="Arial" w:hAnsi="Arial" w:cs="Arial"/>
                <w:sz w:val="20"/>
                <w:szCs w:val="20"/>
                <w:lang w:val="en-GB"/>
              </w:rPr>
            </w:pPr>
            <w:r w:rsidRPr="004030DB">
              <w:rPr>
                <w:rFonts w:ascii="Arial" w:hAnsi="Arial" w:cs="Arial"/>
                <w:sz w:val="20"/>
                <w:szCs w:val="20"/>
                <w:lang w:val="en-GB"/>
              </w:rPr>
              <w:t>Maternity, Adoption and Fertility Treatment Policy</w:t>
            </w:r>
          </w:p>
        </w:tc>
        <w:tc>
          <w:tcPr>
            <w:tcW w:w="4787" w:type="dxa"/>
          </w:tcPr>
          <w:p w14:paraId="25848131" w14:textId="77777777" w:rsidR="00F53BC9" w:rsidRPr="004030DB" w:rsidRDefault="00F53BC9" w:rsidP="00F53BC9">
            <w:pPr>
              <w:rPr>
                <w:rFonts w:ascii="Arial" w:hAnsi="Arial" w:cs="Arial"/>
                <w:sz w:val="20"/>
                <w:szCs w:val="20"/>
                <w:lang w:val="en-GB"/>
              </w:rPr>
            </w:pPr>
            <w:r w:rsidRPr="004030DB">
              <w:rPr>
                <w:rFonts w:ascii="Arial" w:hAnsi="Arial" w:cs="Arial"/>
                <w:sz w:val="20"/>
                <w:szCs w:val="20"/>
                <w:lang w:val="en-GB"/>
              </w:rPr>
              <w:t>This is the framework to ensure correct and fair application of maternity-related entitlements, including maternity leave, keeping in touch and return to work.</w:t>
            </w:r>
          </w:p>
        </w:tc>
        <w:tc>
          <w:tcPr>
            <w:tcW w:w="1842" w:type="dxa"/>
          </w:tcPr>
          <w:p w14:paraId="675D0259" w14:textId="77777777" w:rsidR="00FC01B3" w:rsidRPr="004030DB" w:rsidRDefault="00FC01B3" w:rsidP="00F53BC9">
            <w:pPr>
              <w:rPr>
                <w:rFonts w:ascii="Arial" w:hAnsi="Arial" w:cs="Arial"/>
                <w:sz w:val="20"/>
                <w:szCs w:val="20"/>
                <w:lang w:val="en-GB"/>
              </w:rPr>
            </w:pPr>
            <w:r w:rsidRPr="004030DB">
              <w:rPr>
                <w:rFonts w:ascii="Arial" w:hAnsi="Arial" w:cs="Arial"/>
                <w:sz w:val="20"/>
                <w:szCs w:val="20"/>
                <w:lang w:val="en-GB"/>
              </w:rPr>
              <w:t>September 2025</w:t>
            </w:r>
          </w:p>
        </w:tc>
      </w:tr>
      <w:tr w:rsidR="00F53BC9" w:rsidRPr="004030DB" w14:paraId="097E8012" w14:textId="77777777" w:rsidTr="00BE04E0">
        <w:tc>
          <w:tcPr>
            <w:tcW w:w="3005" w:type="dxa"/>
          </w:tcPr>
          <w:p w14:paraId="2CF44992" w14:textId="77777777" w:rsidR="00F53BC9" w:rsidRPr="004030DB" w:rsidRDefault="00F53BC9" w:rsidP="00F53BC9">
            <w:pPr>
              <w:rPr>
                <w:rFonts w:ascii="Arial" w:hAnsi="Arial" w:cs="Arial"/>
                <w:sz w:val="20"/>
                <w:szCs w:val="20"/>
                <w:lang w:val="en-GB"/>
              </w:rPr>
            </w:pPr>
            <w:r w:rsidRPr="004030DB">
              <w:rPr>
                <w:rFonts w:ascii="Arial" w:hAnsi="Arial" w:cs="Arial"/>
                <w:sz w:val="20"/>
                <w:szCs w:val="20"/>
                <w:lang w:val="en-GB"/>
              </w:rPr>
              <w:t xml:space="preserve">Shared Parental Leave Policy and </w:t>
            </w:r>
            <w:r w:rsidR="00B53057" w:rsidRPr="004030DB">
              <w:rPr>
                <w:rFonts w:ascii="Arial" w:hAnsi="Arial" w:cs="Arial"/>
                <w:sz w:val="20"/>
                <w:szCs w:val="20"/>
                <w:lang w:val="en-GB"/>
              </w:rPr>
              <w:t>Standing Operating Procedure</w:t>
            </w:r>
          </w:p>
        </w:tc>
        <w:tc>
          <w:tcPr>
            <w:tcW w:w="4787" w:type="dxa"/>
          </w:tcPr>
          <w:p w14:paraId="32B743A0" w14:textId="77777777" w:rsidR="00F53BC9" w:rsidRPr="004030DB" w:rsidRDefault="00F53BC9" w:rsidP="00F53BC9">
            <w:pPr>
              <w:rPr>
                <w:rFonts w:ascii="Arial" w:hAnsi="Arial" w:cs="Arial"/>
                <w:sz w:val="20"/>
                <w:szCs w:val="20"/>
                <w:lang w:val="en-GB"/>
              </w:rPr>
            </w:pPr>
            <w:r w:rsidRPr="004030DB">
              <w:rPr>
                <w:rFonts w:ascii="Arial" w:hAnsi="Arial" w:cs="Arial"/>
                <w:sz w:val="20"/>
                <w:szCs w:val="20"/>
                <w:lang w:val="en-GB"/>
              </w:rPr>
              <w:t xml:space="preserve">This is the framework to ensure correct and fair application of Shared </w:t>
            </w:r>
            <w:r w:rsidR="007729B0" w:rsidRPr="004030DB">
              <w:rPr>
                <w:rFonts w:ascii="Arial" w:hAnsi="Arial" w:cs="Arial"/>
                <w:sz w:val="20"/>
                <w:szCs w:val="20"/>
                <w:lang w:val="en-GB"/>
              </w:rPr>
              <w:t>P</w:t>
            </w:r>
            <w:r w:rsidRPr="004030DB">
              <w:rPr>
                <w:rFonts w:ascii="Arial" w:hAnsi="Arial" w:cs="Arial"/>
                <w:sz w:val="20"/>
                <w:szCs w:val="20"/>
                <w:lang w:val="en-GB"/>
              </w:rPr>
              <w:t xml:space="preserve">arental </w:t>
            </w:r>
            <w:r w:rsidR="007729B0" w:rsidRPr="004030DB">
              <w:rPr>
                <w:rFonts w:ascii="Arial" w:hAnsi="Arial" w:cs="Arial"/>
                <w:sz w:val="20"/>
                <w:szCs w:val="20"/>
                <w:lang w:val="en-GB"/>
              </w:rPr>
              <w:t>L</w:t>
            </w:r>
            <w:r w:rsidRPr="004030DB">
              <w:rPr>
                <w:rFonts w:ascii="Arial" w:hAnsi="Arial" w:cs="Arial"/>
                <w:sz w:val="20"/>
                <w:szCs w:val="20"/>
                <w:lang w:val="en-GB"/>
              </w:rPr>
              <w:t>eave entitlements, including leave, keeping in touch and return to work.</w:t>
            </w:r>
            <w:r w:rsidRPr="004030DB">
              <w:rPr>
                <w:rFonts w:ascii="Arial" w:hAnsi="Arial" w:cs="Arial"/>
                <w:sz w:val="20"/>
                <w:szCs w:val="20"/>
                <w:lang w:val="en-GB"/>
              </w:rPr>
              <w:tab/>
            </w:r>
          </w:p>
        </w:tc>
        <w:tc>
          <w:tcPr>
            <w:tcW w:w="1842" w:type="dxa"/>
          </w:tcPr>
          <w:p w14:paraId="3BAA25F2" w14:textId="77777777" w:rsidR="00FC01B3" w:rsidRPr="004030DB" w:rsidRDefault="00FC01B3" w:rsidP="00F53BC9">
            <w:pPr>
              <w:rPr>
                <w:rFonts w:ascii="Arial" w:hAnsi="Arial" w:cs="Arial"/>
                <w:sz w:val="20"/>
                <w:szCs w:val="20"/>
                <w:lang w:val="en-GB"/>
              </w:rPr>
            </w:pPr>
            <w:r w:rsidRPr="004030DB">
              <w:rPr>
                <w:rFonts w:ascii="Arial" w:hAnsi="Arial" w:cs="Arial"/>
                <w:sz w:val="20"/>
                <w:szCs w:val="20"/>
                <w:lang w:val="en-GB"/>
              </w:rPr>
              <w:t>September 2027</w:t>
            </w:r>
          </w:p>
        </w:tc>
      </w:tr>
      <w:tr w:rsidR="00F53BC9" w:rsidRPr="004030DB" w14:paraId="09919CF2" w14:textId="77777777" w:rsidTr="00BE04E0">
        <w:tc>
          <w:tcPr>
            <w:tcW w:w="3005" w:type="dxa"/>
          </w:tcPr>
          <w:p w14:paraId="5503ED22" w14:textId="77777777" w:rsidR="00F53BC9" w:rsidRPr="004030DB" w:rsidRDefault="00F53BC9" w:rsidP="00F53BC9">
            <w:pPr>
              <w:rPr>
                <w:rFonts w:ascii="Arial" w:hAnsi="Arial" w:cs="Arial"/>
                <w:strike/>
                <w:sz w:val="20"/>
                <w:szCs w:val="20"/>
                <w:lang w:val="en-GB"/>
              </w:rPr>
            </w:pPr>
            <w:r w:rsidRPr="004030DB">
              <w:rPr>
                <w:rFonts w:ascii="Arial" w:hAnsi="Arial" w:cs="Arial"/>
                <w:sz w:val="20"/>
                <w:szCs w:val="20"/>
                <w:lang w:val="en-GB"/>
              </w:rPr>
              <w:t>Bullying, Harassment, Discrimination and Conflict Resolution Policy</w:t>
            </w:r>
          </w:p>
        </w:tc>
        <w:tc>
          <w:tcPr>
            <w:tcW w:w="4787" w:type="dxa"/>
          </w:tcPr>
          <w:p w14:paraId="12AD0CD8" w14:textId="77777777" w:rsidR="00F53BC9" w:rsidRPr="004030DB" w:rsidRDefault="00F53BC9" w:rsidP="007729B0">
            <w:pPr>
              <w:rPr>
                <w:rFonts w:ascii="Arial" w:hAnsi="Arial" w:cs="Arial"/>
                <w:sz w:val="20"/>
                <w:szCs w:val="20"/>
                <w:lang w:val="en-GB"/>
              </w:rPr>
            </w:pPr>
            <w:r w:rsidRPr="004030DB">
              <w:rPr>
                <w:rFonts w:ascii="Arial" w:hAnsi="Arial" w:cs="Arial"/>
                <w:sz w:val="20"/>
                <w:szCs w:val="20"/>
                <w:lang w:val="en-GB"/>
              </w:rPr>
              <w:t xml:space="preserve">This policy seeks to raise awareness of the expected standards of </w:t>
            </w:r>
            <w:r w:rsidR="001F5E51" w:rsidRPr="004030DB">
              <w:rPr>
                <w:rFonts w:ascii="Arial" w:hAnsi="Arial" w:cs="Arial"/>
                <w:sz w:val="20"/>
                <w:szCs w:val="20"/>
                <w:lang w:val="en-GB"/>
              </w:rPr>
              <w:t>behaviour</w:t>
            </w:r>
            <w:r w:rsidRPr="004030DB">
              <w:rPr>
                <w:rFonts w:ascii="Arial" w:hAnsi="Arial" w:cs="Arial"/>
                <w:sz w:val="20"/>
                <w:szCs w:val="20"/>
                <w:lang w:val="en-GB"/>
              </w:rPr>
              <w:t xml:space="preserve"> in the workplace and the principles through which bullying and harassment will be eliminated and prevented.</w:t>
            </w:r>
            <w:r w:rsidR="007729B0" w:rsidRPr="004030DB">
              <w:rPr>
                <w:rFonts w:ascii="Arial" w:hAnsi="Arial" w:cs="Arial"/>
                <w:sz w:val="20"/>
                <w:szCs w:val="20"/>
                <w:lang w:val="en-GB"/>
              </w:rPr>
              <w:t xml:space="preserve">  </w:t>
            </w:r>
            <w:r w:rsidR="00B53057" w:rsidRPr="004030DB">
              <w:rPr>
                <w:rFonts w:ascii="Arial" w:hAnsi="Arial" w:cs="Arial"/>
                <w:sz w:val="20"/>
                <w:szCs w:val="20"/>
                <w:lang w:val="en-GB"/>
              </w:rPr>
              <w:t xml:space="preserve">To set out the framework within which any concerns, problems or complaints raised by employees will be addressed and resolved in a fair, consistent and timely manner as near as possible to the point of origin, and in accordance with the principles of the ACAS Code of Practice and </w:t>
            </w:r>
            <w:r w:rsidR="000E22A2" w:rsidRPr="004030DB">
              <w:rPr>
                <w:rFonts w:ascii="Arial" w:hAnsi="Arial" w:cs="Arial"/>
                <w:sz w:val="20"/>
                <w:szCs w:val="20"/>
                <w:lang w:val="en-GB"/>
              </w:rPr>
              <w:t>G</w:t>
            </w:r>
            <w:r w:rsidR="00B53057" w:rsidRPr="004030DB">
              <w:rPr>
                <w:rFonts w:ascii="Arial" w:hAnsi="Arial" w:cs="Arial"/>
                <w:sz w:val="20"/>
                <w:szCs w:val="20"/>
                <w:lang w:val="en-GB"/>
              </w:rPr>
              <w:t>uidance</w:t>
            </w:r>
            <w:r w:rsidR="007729B0" w:rsidRPr="004030DB">
              <w:rPr>
                <w:rFonts w:ascii="Arial" w:hAnsi="Arial" w:cs="Arial"/>
                <w:sz w:val="20"/>
                <w:szCs w:val="20"/>
                <w:lang w:val="en-GB"/>
              </w:rPr>
              <w:t>.</w:t>
            </w:r>
          </w:p>
        </w:tc>
        <w:tc>
          <w:tcPr>
            <w:tcW w:w="1842" w:type="dxa"/>
          </w:tcPr>
          <w:p w14:paraId="13D265A1" w14:textId="77777777" w:rsidR="00F53BC9" w:rsidRPr="004030DB" w:rsidRDefault="00FC01B3" w:rsidP="00F53BC9">
            <w:pPr>
              <w:rPr>
                <w:rFonts w:ascii="Arial" w:hAnsi="Arial" w:cs="Arial"/>
                <w:sz w:val="20"/>
                <w:szCs w:val="20"/>
                <w:lang w:val="en-GB"/>
              </w:rPr>
            </w:pPr>
            <w:r w:rsidRPr="004030DB">
              <w:rPr>
                <w:rFonts w:ascii="Arial" w:hAnsi="Arial" w:cs="Arial"/>
                <w:sz w:val="20"/>
                <w:szCs w:val="20"/>
                <w:lang w:val="en-GB"/>
              </w:rPr>
              <w:t>October</w:t>
            </w:r>
            <w:r w:rsidR="00F53BC9" w:rsidRPr="004030DB">
              <w:rPr>
                <w:rFonts w:ascii="Arial" w:hAnsi="Arial" w:cs="Arial"/>
                <w:sz w:val="20"/>
                <w:szCs w:val="20"/>
                <w:lang w:val="en-GB"/>
              </w:rPr>
              <w:t xml:space="preserve"> 2027</w:t>
            </w:r>
          </w:p>
        </w:tc>
      </w:tr>
      <w:tr w:rsidR="00F53BC9" w:rsidRPr="004030DB" w14:paraId="080E736F" w14:textId="77777777" w:rsidTr="00BE04E0">
        <w:tc>
          <w:tcPr>
            <w:tcW w:w="3005" w:type="dxa"/>
          </w:tcPr>
          <w:p w14:paraId="323EA005" w14:textId="77777777" w:rsidR="00F53BC9" w:rsidRPr="004030DB" w:rsidRDefault="00F53BC9" w:rsidP="00F53BC9">
            <w:pPr>
              <w:rPr>
                <w:rFonts w:ascii="Arial" w:hAnsi="Arial" w:cs="Arial"/>
                <w:sz w:val="20"/>
                <w:szCs w:val="20"/>
                <w:lang w:val="en-GB"/>
              </w:rPr>
            </w:pPr>
            <w:r w:rsidRPr="004030DB">
              <w:rPr>
                <w:rFonts w:ascii="Arial" w:hAnsi="Arial" w:cs="Arial"/>
                <w:sz w:val="20"/>
                <w:szCs w:val="20"/>
                <w:lang w:val="en-GB"/>
              </w:rPr>
              <w:t xml:space="preserve">Disciplinary Policy </w:t>
            </w:r>
          </w:p>
        </w:tc>
        <w:tc>
          <w:tcPr>
            <w:tcW w:w="4787" w:type="dxa"/>
          </w:tcPr>
          <w:p w14:paraId="278DAAD2" w14:textId="77777777" w:rsidR="00F53BC9" w:rsidRPr="004030DB" w:rsidRDefault="00F53BC9" w:rsidP="00F53BC9">
            <w:pPr>
              <w:rPr>
                <w:rFonts w:ascii="Arial" w:hAnsi="Arial" w:cs="Arial"/>
                <w:sz w:val="20"/>
                <w:szCs w:val="20"/>
                <w:lang w:val="en-GB"/>
              </w:rPr>
            </w:pPr>
            <w:r w:rsidRPr="004030DB">
              <w:rPr>
                <w:rFonts w:ascii="Arial" w:hAnsi="Arial" w:cs="Arial"/>
                <w:sz w:val="20"/>
                <w:szCs w:val="20"/>
                <w:lang w:val="en-GB"/>
              </w:rPr>
              <w:t xml:space="preserve">The purpose of this policy and procedure is to encourage employees to achieve and maintain high standards of conduct and behaviour in accordance </w:t>
            </w:r>
            <w:r w:rsidRPr="004030DB">
              <w:rPr>
                <w:rFonts w:ascii="Arial" w:hAnsi="Arial" w:cs="Arial"/>
                <w:sz w:val="20"/>
                <w:szCs w:val="20"/>
                <w:lang w:val="en-GB"/>
              </w:rPr>
              <w:lastRenderedPageBreak/>
              <w:t>with the requirements of the Trust and relevant professional codes of conduct.</w:t>
            </w:r>
          </w:p>
        </w:tc>
        <w:tc>
          <w:tcPr>
            <w:tcW w:w="1842" w:type="dxa"/>
          </w:tcPr>
          <w:p w14:paraId="00DF0D50" w14:textId="77777777" w:rsidR="00F53BC9" w:rsidRPr="004030DB" w:rsidRDefault="0030600B" w:rsidP="00F53BC9">
            <w:pPr>
              <w:rPr>
                <w:rFonts w:ascii="Arial" w:hAnsi="Arial" w:cs="Arial"/>
                <w:sz w:val="20"/>
                <w:szCs w:val="20"/>
                <w:lang w:val="en-GB"/>
              </w:rPr>
            </w:pPr>
            <w:r w:rsidRPr="004030DB">
              <w:rPr>
                <w:rFonts w:ascii="Arial" w:hAnsi="Arial" w:cs="Arial"/>
                <w:sz w:val="20"/>
                <w:szCs w:val="20"/>
                <w:lang w:val="en-GB"/>
              </w:rPr>
              <w:lastRenderedPageBreak/>
              <w:t>August 2027</w:t>
            </w:r>
          </w:p>
        </w:tc>
      </w:tr>
      <w:tr w:rsidR="00F53BC9" w:rsidRPr="004030DB" w14:paraId="70F68949" w14:textId="77777777" w:rsidTr="00BE04E0">
        <w:tc>
          <w:tcPr>
            <w:tcW w:w="3005" w:type="dxa"/>
          </w:tcPr>
          <w:p w14:paraId="2D6F13BC" w14:textId="77777777" w:rsidR="00F53BC9" w:rsidRPr="004030DB" w:rsidRDefault="00F53BC9" w:rsidP="00F53BC9">
            <w:pPr>
              <w:rPr>
                <w:rFonts w:ascii="Arial" w:hAnsi="Arial" w:cs="Arial"/>
                <w:sz w:val="20"/>
                <w:szCs w:val="20"/>
                <w:lang w:val="en-GB"/>
              </w:rPr>
            </w:pPr>
            <w:r w:rsidRPr="004030DB">
              <w:rPr>
                <w:rFonts w:ascii="Arial" w:hAnsi="Arial" w:cs="Arial"/>
                <w:sz w:val="20"/>
                <w:szCs w:val="20"/>
                <w:lang w:val="en-GB"/>
              </w:rPr>
              <w:t xml:space="preserve">Performance Management Policy and </w:t>
            </w:r>
            <w:r w:rsidR="007729B0" w:rsidRPr="004030DB">
              <w:rPr>
                <w:rFonts w:ascii="Arial" w:hAnsi="Arial" w:cs="Arial"/>
                <w:sz w:val="20"/>
                <w:szCs w:val="20"/>
                <w:lang w:val="en-GB"/>
              </w:rPr>
              <w:t>Standing Operating Procedure</w:t>
            </w:r>
            <w:r w:rsidRPr="004030DB">
              <w:rPr>
                <w:rFonts w:ascii="Arial" w:hAnsi="Arial" w:cs="Arial"/>
                <w:sz w:val="20"/>
                <w:szCs w:val="20"/>
                <w:lang w:val="en-GB"/>
              </w:rPr>
              <w:tab/>
            </w:r>
          </w:p>
        </w:tc>
        <w:tc>
          <w:tcPr>
            <w:tcW w:w="4787" w:type="dxa"/>
          </w:tcPr>
          <w:p w14:paraId="1954F14C" w14:textId="77777777" w:rsidR="00F53BC9" w:rsidRPr="004030DB" w:rsidRDefault="00F53BC9" w:rsidP="00F53BC9">
            <w:pPr>
              <w:rPr>
                <w:rFonts w:ascii="Arial" w:hAnsi="Arial" w:cs="Arial"/>
                <w:sz w:val="20"/>
                <w:szCs w:val="20"/>
                <w:lang w:val="en-GB"/>
              </w:rPr>
            </w:pPr>
            <w:r w:rsidRPr="004030DB">
              <w:rPr>
                <w:rFonts w:ascii="Arial" w:hAnsi="Arial" w:cs="Arial"/>
                <w:sz w:val="20"/>
                <w:szCs w:val="20"/>
                <w:lang w:val="en-GB"/>
              </w:rPr>
              <w:t>To provide a standard framework to address issues of staff performance in a fair and consistent manner, so staff are aware of the level of performance expected from them.</w:t>
            </w:r>
          </w:p>
        </w:tc>
        <w:tc>
          <w:tcPr>
            <w:tcW w:w="1842" w:type="dxa"/>
          </w:tcPr>
          <w:p w14:paraId="6AB9B235" w14:textId="77777777" w:rsidR="00F53BC9" w:rsidRPr="004030DB" w:rsidRDefault="0030600B" w:rsidP="00F53BC9">
            <w:pPr>
              <w:rPr>
                <w:rFonts w:ascii="Arial" w:hAnsi="Arial" w:cs="Arial"/>
                <w:sz w:val="20"/>
                <w:szCs w:val="20"/>
                <w:lang w:val="en-GB"/>
              </w:rPr>
            </w:pPr>
            <w:r w:rsidRPr="004030DB">
              <w:rPr>
                <w:rFonts w:ascii="Arial" w:hAnsi="Arial" w:cs="Arial"/>
                <w:sz w:val="20"/>
                <w:szCs w:val="20"/>
                <w:lang w:val="en-GB"/>
              </w:rPr>
              <w:t>September 2027</w:t>
            </w:r>
          </w:p>
        </w:tc>
      </w:tr>
      <w:tr w:rsidR="00F53BC9" w:rsidRPr="004030DB" w14:paraId="0A2C451F" w14:textId="77777777" w:rsidTr="00BE04E0">
        <w:tc>
          <w:tcPr>
            <w:tcW w:w="3005" w:type="dxa"/>
          </w:tcPr>
          <w:p w14:paraId="3CFD9893" w14:textId="77777777" w:rsidR="00F53BC9" w:rsidRPr="004030DB" w:rsidRDefault="00F53BC9" w:rsidP="00F53BC9">
            <w:pPr>
              <w:rPr>
                <w:rFonts w:ascii="Arial" w:hAnsi="Arial" w:cs="Arial"/>
                <w:sz w:val="20"/>
                <w:szCs w:val="20"/>
                <w:lang w:val="en-GB"/>
              </w:rPr>
            </w:pPr>
            <w:r w:rsidRPr="004030DB">
              <w:rPr>
                <w:rFonts w:ascii="Arial" w:hAnsi="Arial" w:cs="Arial"/>
                <w:sz w:val="20"/>
                <w:szCs w:val="20"/>
                <w:lang w:val="en-GB"/>
              </w:rPr>
              <w:t>Employing Staff in the Reserve Forces</w:t>
            </w:r>
            <w:r w:rsidR="007729B0" w:rsidRPr="004030DB">
              <w:rPr>
                <w:rFonts w:ascii="Arial" w:hAnsi="Arial" w:cs="Arial"/>
                <w:sz w:val="20"/>
                <w:szCs w:val="20"/>
                <w:lang w:val="en-GB"/>
              </w:rPr>
              <w:t xml:space="preserve"> (summary of relevant sections of policies) </w:t>
            </w:r>
            <w:r w:rsidRPr="004030DB">
              <w:rPr>
                <w:rFonts w:ascii="Arial" w:hAnsi="Arial" w:cs="Arial"/>
                <w:sz w:val="20"/>
                <w:szCs w:val="20"/>
                <w:lang w:val="en-GB"/>
              </w:rPr>
              <w:tab/>
            </w:r>
          </w:p>
        </w:tc>
        <w:tc>
          <w:tcPr>
            <w:tcW w:w="4787" w:type="dxa"/>
          </w:tcPr>
          <w:p w14:paraId="67D31E56" w14:textId="77777777" w:rsidR="00F53BC9" w:rsidRPr="004030DB" w:rsidRDefault="00F53BC9" w:rsidP="00F53BC9">
            <w:pPr>
              <w:rPr>
                <w:rFonts w:ascii="Arial" w:hAnsi="Arial" w:cs="Arial"/>
                <w:sz w:val="20"/>
                <w:szCs w:val="20"/>
                <w:lang w:val="en-GB"/>
              </w:rPr>
            </w:pPr>
            <w:r w:rsidRPr="004030DB">
              <w:rPr>
                <w:rFonts w:ascii="Arial" w:hAnsi="Arial" w:cs="Arial"/>
                <w:sz w:val="20"/>
                <w:szCs w:val="20"/>
                <w:lang w:val="en-GB"/>
              </w:rPr>
              <w:t xml:space="preserve">This is a new </w:t>
            </w:r>
            <w:r w:rsidR="007729B0" w:rsidRPr="004030DB">
              <w:rPr>
                <w:rFonts w:ascii="Arial" w:hAnsi="Arial" w:cs="Arial"/>
                <w:sz w:val="20"/>
                <w:szCs w:val="20"/>
                <w:lang w:val="en-GB"/>
              </w:rPr>
              <w:t xml:space="preserve">Standing Operating Procedure </w:t>
            </w:r>
            <w:r w:rsidRPr="004030DB">
              <w:rPr>
                <w:rFonts w:ascii="Arial" w:hAnsi="Arial" w:cs="Arial"/>
                <w:sz w:val="20"/>
                <w:szCs w:val="20"/>
                <w:lang w:val="en-GB"/>
              </w:rPr>
              <w:t>drawing together from other policies the Trust’s commitment to staff who are members of the Reserve Forces, enabling them to be released for training and mobilisation.</w:t>
            </w:r>
            <w:r w:rsidRPr="004030DB">
              <w:rPr>
                <w:rFonts w:ascii="Arial" w:hAnsi="Arial" w:cs="Arial"/>
                <w:sz w:val="20"/>
                <w:szCs w:val="20"/>
                <w:lang w:val="en-GB"/>
              </w:rPr>
              <w:tab/>
            </w:r>
          </w:p>
        </w:tc>
        <w:tc>
          <w:tcPr>
            <w:tcW w:w="1842" w:type="dxa"/>
          </w:tcPr>
          <w:p w14:paraId="293FA867" w14:textId="77777777" w:rsidR="00F53BC9" w:rsidRPr="004030DB" w:rsidRDefault="0030600B" w:rsidP="00F53BC9">
            <w:pPr>
              <w:rPr>
                <w:rFonts w:ascii="Arial" w:hAnsi="Arial" w:cs="Arial"/>
                <w:sz w:val="20"/>
                <w:szCs w:val="20"/>
                <w:lang w:val="en-GB"/>
              </w:rPr>
            </w:pPr>
            <w:r w:rsidRPr="004030DB">
              <w:rPr>
                <w:rFonts w:ascii="Arial" w:hAnsi="Arial" w:cs="Arial"/>
                <w:sz w:val="20"/>
                <w:szCs w:val="20"/>
                <w:lang w:val="en-GB"/>
              </w:rPr>
              <w:t>September 2027</w:t>
            </w:r>
          </w:p>
        </w:tc>
      </w:tr>
      <w:tr w:rsidR="00F53BC9" w:rsidRPr="004030DB" w14:paraId="0AABE9CF" w14:textId="77777777" w:rsidTr="00BE04E0">
        <w:tc>
          <w:tcPr>
            <w:tcW w:w="3005" w:type="dxa"/>
          </w:tcPr>
          <w:p w14:paraId="5F647799" w14:textId="77777777" w:rsidR="00F53BC9" w:rsidRPr="004030DB" w:rsidRDefault="00F53BC9" w:rsidP="00F53BC9">
            <w:pPr>
              <w:rPr>
                <w:rFonts w:ascii="Arial" w:hAnsi="Arial" w:cs="Arial"/>
                <w:sz w:val="20"/>
                <w:szCs w:val="20"/>
                <w:lang w:val="en-GB"/>
              </w:rPr>
            </w:pPr>
            <w:r w:rsidRPr="004030DB">
              <w:rPr>
                <w:rFonts w:ascii="Arial" w:hAnsi="Arial" w:cs="Arial"/>
                <w:sz w:val="20"/>
                <w:szCs w:val="20"/>
                <w:lang w:val="en-GB"/>
              </w:rPr>
              <w:t>Apprenticeship Policy</w:t>
            </w:r>
            <w:r w:rsidRPr="004030DB">
              <w:rPr>
                <w:rFonts w:ascii="Arial" w:hAnsi="Arial" w:cs="Arial"/>
                <w:sz w:val="20"/>
                <w:szCs w:val="20"/>
                <w:lang w:val="en-GB"/>
              </w:rPr>
              <w:tab/>
            </w:r>
          </w:p>
        </w:tc>
        <w:tc>
          <w:tcPr>
            <w:tcW w:w="4787" w:type="dxa"/>
          </w:tcPr>
          <w:p w14:paraId="2C4D1169" w14:textId="77777777" w:rsidR="00F53BC9" w:rsidRPr="004030DB" w:rsidRDefault="00F53BC9" w:rsidP="00F53BC9">
            <w:pPr>
              <w:rPr>
                <w:rFonts w:ascii="Arial" w:hAnsi="Arial" w:cs="Arial"/>
                <w:sz w:val="20"/>
                <w:szCs w:val="20"/>
                <w:lang w:val="en-GB"/>
              </w:rPr>
            </w:pPr>
            <w:r w:rsidRPr="004030DB">
              <w:rPr>
                <w:rFonts w:ascii="Arial" w:hAnsi="Arial" w:cs="Arial"/>
                <w:sz w:val="20"/>
                <w:szCs w:val="20"/>
                <w:lang w:val="en-GB"/>
              </w:rPr>
              <w:t>This sets out the framework to enable the recruitment of apprentices at all levels (including internal development opportunities) and all ages.</w:t>
            </w:r>
            <w:r w:rsidRPr="004030DB">
              <w:rPr>
                <w:rFonts w:ascii="Arial" w:hAnsi="Arial" w:cs="Arial"/>
                <w:sz w:val="20"/>
                <w:szCs w:val="20"/>
                <w:lang w:val="en-GB"/>
              </w:rPr>
              <w:tab/>
            </w:r>
          </w:p>
        </w:tc>
        <w:tc>
          <w:tcPr>
            <w:tcW w:w="1842" w:type="dxa"/>
          </w:tcPr>
          <w:p w14:paraId="23A1A10B" w14:textId="77777777" w:rsidR="00F53BC9" w:rsidRPr="004030DB" w:rsidRDefault="0030600B" w:rsidP="00F53BC9">
            <w:pPr>
              <w:rPr>
                <w:rFonts w:ascii="Arial" w:hAnsi="Arial" w:cs="Arial"/>
                <w:sz w:val="20"/>
                <w:szCs w:val="20"/>
                <w:lang w:val="en-GB"/>
              </w:rPr>
            </w:pPr>
            <w:r w:rsidRPr="004030DB">
              <w:rPr>
                <w:rFonts w:ascii="Arial" w:hAnsi="Arial" w:cs="Arial"/>
                <w:color w:val="44546A"/>
                <w:sz w:val="20"/>
                <w:szCs w:val="20"/>
              </w:rPr>
              <w:t>May 2027</w:t>
            </w:r>
          </w:p>
        </w:tc>
      </w:tr>
      <w:tr w:rsidR="00F53BC9" w:rsidRPr="004030DB" w14:paraId="0BA2320E" w14:textId="77777777" w:rsidTr="00BE04E0">
        <w:tc>
          <w:tcPr>
            <w:tcW w:w="3005" w:type="dxa"/>
          </w:tcPr>
          <w:p w14:paraId="00355044" w14:textId="77777777" w:rsidR="00F53BC9" w:rsidRPr="004030DB" w:rsidRDefault="00F53BC9" w:rsidP="00F53BC9">
            <w:pPr>
              <w:rPr>
                <w:rFonts w:ascii="Arial" w:hAnsi="Arial" w:cs="Arial"/>
                <w:sz w:val="20"/>
                <w:szCs w:val="20"/>
                <w:lang w:val="en-GB"/>
              </w:rPr>
            </w:pPr>
            <w:r w:rsidRPr="004030DB">
              <w:rPr>
                <w:rFonts w:ascii="Arial" w:hAnsi="Arial" w:cs="Arial"/>
                <w:sz w:val="20"/>
                <w:szCs w:val="20"/>
                <w:lang w:val="en-GB"/>
              </w:rPr>
              <w:t>Organisational Change Policy</w:t>
            </w:r>
            <w:r w:rsidRPr="004030DB">
              <w:rPr>
                <w:rFonts w:ascii="Arial" w:hAnsi="Arial" w:cs="Arial"/>
                <w:sz w:val="20"/>
                <w:szCs w:val="20"/>
                <w:lang w:val="en-GB"/>
              </w:rPr>
              <w:tab/>
            </w:r>
          </w:p>
        </w:tc>
        <w:tc>
          <w:tcPr>
            <w:tcW w:w="4787" w:type="dxa"/>
          </w:tcPr>
          <w:p w14:paraId="1854FEAC" w14:textId="77777777" w:rsidR="00F53BC9" w:rsidRPr="004030DB" w:rsidRDefault="00F53BC9" w:rsidP="00F53BC9">
            <w:pPr>
              <w:rPr>
                <w:rFonts w:ascii="Arial" w:hAnsi="Arial" w:cs="Arial"/>
                <w:sz w:val="20"/>
                <w:szCs w:val="20"/>
                <w:lang w:val="en-GB"/>
              </w:rPr>
            </w:pPr>
            <w:r w:rsidRPr="004030DB">
              <w:rPr>
                <w:rFonts w:ascii="Arial" w:hAnsi="Arial" w:cs="Arial"/>
                <w:sz w:val="20"/>
                <w:szCs w:val="20"/>
                <w:lang w:val="en-GB"/>
              </w:rPr>
              <w:t>Where organisational changes are required, this policy aims to ensure consistency of practice, consultation where necessary and involvement of staff and Trade Unions in informing the outcome.</w:t>
            </w:r>
            <w:r w:rsidRPr="004030DB">
              <w:rPr>
                <w:rFonts w:ascii="Arial" w:hAnsi="Arial" w:cs="Arial"/>
                <w:sz w:val="20"/>
                <w:szCs w:val="20"/>
                <w:lang w:val="en-GB"/>
              </w:rPr>
              <w:tab/>
            </w:r>
          </w:p>
        </w:tc>
        <w:tc>
          <w:tcPr>
            <w:tcW w:w="1842" w:type="dxa"/>
          </w:tcPr>
          <w:p w14:paraId="0FBAC848" w14:textId="77777777" w:rsidR="00F53BC9" w:rsidRPr="004030DB" w:rsidRDefault="00F53BC9" w:rsidP="00F53BC9">
            <w:pPr>
              <w:rPr>
                <w:rFonts w:ascii="Arial" w:hAnsi="Arial" w:cs="Arial"/>
                <w:sz w:val="20"/>
                <w:szCs w:val="20"/>
                <w:lang w:val="en-GB"/>
              </w:rPr>
            </w:pPr>
            <w:r w:rsidRPr="004030DB">
              <w:rPr>
                <w:rFonts w:ascii="Arial" w:hAnsi="Arial" w:cs="Arial"/>
                <w:sz w:val="20"/>
                <w:szCs w:val="20"/>
                <w:lang w:val="en-GB"/>
              </w:rPr>
              <w:t>December 2025</w:t>
            </w:r>
          </w:p>
        </w:tc>
      </w:tr>
      <w:tr w:rsidR="00F53BC9" w:rsidRPr="004030DB" w14:paraId="1CBD5F56" w14:textId="77777777" w:rsidTr="00BE04E0">
        <w:tc>
          <w:tcPr>
            <w:tcW w:w="3005" w:type="dxa"/>
          </w:tcPr>
          <w:p w14:paraId="6866FC16" w14:textId="77777777" w:rsidR="00F53BC9" w:rsidRPr="004030DB" w:rsidRDefault="00F53BC9" w:rsidP="00F53BC9">
            <w:pPr>
              <w:rPr>
                <w:rFonts w:ascii="Arial" w:hAnsi="Arial" w:cs="Arial"/>
                <w:sz w:val="20"/>
                <w:szCs w:val="20"/>
                <w:lang w:val="en-GB"/>
              </w:rPr>
            </w:pPr>
            <w:r w:rsidRPr="004030DB">
              <w:rPr>
                <w:rFonts w:ascii="Arial" w:hAnsi="Arial" w:cs="Arial"/>
                <w:sz w:val="20"/>
                <w:szCs w:val="20"/>
                <w:lang w:val="en-GB"/>
              </w:rPr>
              <w:t>Health and Safety Handbook</w:t>
            </w:r>
          </w:p>
        </w:tc>
        <w:tc>
          <w:tcPr>
            <w:tcW w:w="4787" w:type="dxa"/>
          </w:tcPr>
          <w:p w14:paraId="51E1C272" w14:textId="77777777" w:rsidR="00F53BC9" w:rsidRPr="004030DB" w:rsidRDefault="00F53BC9" w:rsidP="007729B0">
            <w:pPr>
              <w:rPr>
                <w:rFonts w:ascii="Arial" w:hAnsi="Arial" w:cs="Arial"/>
                <w:sz w:val="20"/>
                <w:szCs w:val="20"/>
                <w:lang w:val="en-GB"/>
              </w:rPr>
            </w:pPr>
            <w:r w:rsidRPr="004030DB">
              <w:rPr>
                <w:rFonts w:ascii="Arial" w:hAnsi="Arial" w:cs="Arial"/>
                <w:sz w:val="20"/>
                <w:szCs w:val="20"/>
                <w:lang w:val="en-GB"/>
              </w:rPr>
              <w:t>This policy sets out the organisational framework to outline how the Trust achieves compliance with the Health and Safety at Work Act 1974 and associated regulations as required by law.</w:t>
            </w:r>
            <w:r w:rsidR="007729B0" w:rsidRPr="004030DB">
              <w:rPr>
                <w:rFonts w:ascii="Arial" w:hAnsi="Arial" w:cs="Arial"/>
                <w:sz w:val="20"/>
                <w:szCs w:val="20"/>
                <w:lang w:val="en-GB"/>
              </w:rPr>
              <w:t xml:space="preserve">  </w:t>
            </w:r>
            <w:r w:rsidRPr="004030DB">
              <w:rPr>
                <w:rFonts w:ascii="Arial" w:hAnsi="Arial" w:cs="Arial"/>
                <w:sz w:val="20"/>
                <w:szCs w:val="20"/>
                <w:lang w:val="en-GB"/>
              </w:rPr>
              <w:t>It also ensures all Trust employees are aware of their individual role and responsibilities for health and safety within the organisation.</w:t>
            </w:r>
            <w:r w:rsidR="007729B0" w:rsidRPr="004030DB">
              <w:rPr>
                <w:rFonts w:ascii="Arial" w:hAnsi="Arial" w:cs="Arial"/>
                <w:sz w:val="20"/>
                <w:szCs w:val="20"/>
                <w:lang w:val="en-GB"/>
              </w:rPr>
              <w:t xml:space="preserve">  </w:t>
            </w:r>
            <w:r w:rsidRPr="004030DB">
              <w:rPr>
                <w:rFonts w:ascii="Arial" w:hAnsi="Arial" w:cs="Arial"/>
                <w:sz w:val="20"/>
                <w:szCs w:val="20"/>
                <w:lang w:val="en-GB"/>
              </w:rPr>
              <w:t>Ensures robust systems are in place to report and investigate health and safety incidents in order to identify lessons learnt to be embedded in policy to support continuous improvement.</w:t>
            </w:r>
          </w:p>
        </w:tc>
        <w:tc>
          <w:tcPr>
            <w:tcW w:w="1842" w:type="dxa"/>
          </w:tcPr>
          <w:p w14:paraId="5CED7564" w14:textId="77777777" w:rsidR="00F53BC9" w:rsidRPr="004030DB" w:rsidRDefault="00F53BC9" w:rsidP="00F53BC9">
            <w:pPr>
              <w:rPr>
                <w:rFonts w:ascii="Arial" w:hAnsi="Arial" w:cs="Arial"/>
                <w:sz w:val="20"/>
                <w:szCs w:val="20"/>
                <w:lang w:val="en-GB"/>
              </w:rPr>
            </w:pPr>
            <w:r w:rsidRPr="004030DB">
              <w:rPr>
                <w:rFonts w:ascii="Arial" w:hAnsi="Arial" w:cs="Arial"/>
                <w:sz w:val="20"/>
                <w:szCs w:val="20"/>
                <w:lang w:val="en-GB"/>
              </w:rPr>
              <w:t>November 202</w:t>
            </w:r>
            <w:r w:rsidR="0030600B" w:rsidRPr="004030DB">
              <w:rPr>
                <w:rFonts w:ascii="Arial" w:hAnsi="Arial" w:cs="Arial"/>
                <w:sz w:val="20"/>
                <w:szCs w:val="20"/>
                <w:lang w:val="en-GB"/>
              </w:rPr>
              <w:t>7</w:t>
            </w:r>
          </w:p>
        </w:tc>
      </w:tr>
      <w:tr w:rsidR="00F53BC9" w:rsidRPr="004030DB" w14:paraId="1A567907" w14:textId="77777777" w:rsidTr="00BE04E0">
        <w:tc>
          <w:tcPr>
            <w:tcW w:w="3005" w:type="dxa"/>
          </w:tcPr>
          <w:p w14:paraId="27FF3033" w14:textId="77777777" w:rsidR="00F53BC9" w:rsidRPr="004030DB" w:rsidRDefault="0030600B" w:rsidP="00F53BC9">
            <w:pPr>
              <w:rPr>
                <w:rFonts w:ascii="Arial" w:hAnsi="Arial" w:cs="Arial"/>
                <w:sz w:val="20"/>
                <w:szCs w:val="20"/>
                <w:lang w:val="en-GB"/>
              </w:rPr>
            </w:pPr>
            <w:r w:rsidRPr="004030DB">
              <w:rPr>
                <w:rFonts w:ascii="Arial" w:hAnsi="Arial" w:cs="Arial"/>
                <w:sz w:val="20"/>
                <w:szCs w:val="20"/>
                <w:lang w:val="en-GB"/>
              </w:rPr>
              <w:t xml:space="preserve">Equality and </w:t>
            </w:r>
            <w:r w:rsidR="00F53BC9" w:rsidRPr="004030DB">
              <w:rPr>
                <w:rFonts w:ascii="Arial" w:hAnsi="Arial" w:cs="Arial"/>
                <w:sz w:val="20"/>
                <w:szCs w:val="20"/>
                <w:lang w:val="en-GB"/>
              </w:rPr>
              <w:t>Inclusion Policy</w:t>
            </w:r>
            <w:r w:rsidR="00F53BC9" w:rsidRPr="004030DB">
              <w:rPr>
                <w:rFonts w:ascii="Arial" w:hAnsi="Arial" w:cs="Arial"/>
                <w:sz w:val="20"/>
                <w:szCs w:val="20"/>
                <w:lang w:val="en-GB"/>
              </w:rPr>
              <w:tab/>
            </w:r>
          </w:p>
        </w:tc>
        <w:tc>
          <w:tcPr>
            <w:tcW w:w="4787" w:type="dxa"/>
          </w:tcPr>
          <w:p w14:paraId="03E8D2B9" w14:textId="77777777" w:rsidR="00F53BC9" w:rsidRPr="004030DB" w:rsidRDefault="00F53BC9" w:rsidP="00F53BC9">
            <w:pPr>
              <w:rPr>
                <w:rFonts w:ascii="Arial" w:hAnsi="Arial" w:cs="Arial"/>
                <w:sz w:val="20"/>
                <w:szCs w:val="20"/>
                <w:lang w:val="en-GB"/>
              </w:rPr>
            </w:pPr>
            <w:r w:rsidRPr="004030DB">
              <w:rPr>
                <w:rFonts w:ascii="Arial" w:hAnsi="Arial" w:cs="Arial"/>
                <w:sz w:val="20"/>
                <w:szCs w:val="20"/>
                <w:lang w:val="en-GB"/>
              </w:rPr>
              <w:t>This policy sets out the Trust’s commitment to the Equality Act 2010, and to NHS workforce standards (such as the Workforce Race Equality Standard)</w:t>
            </w:r>
            <w:r w:rsidRPr="004030DB">
              <w:rPr>
                <w:rFonts w:ascii="Arial" w:hAnsi="Arial" w:cs="Arial"/>
                <w:sz w:val="20"/>
                <w:szCs w:val="20"/>
                <w:lang w:val="en-GB"/>
              </w:rPr>
              <w:tab/>
            </w:r>
          </w:p>
        </w:tc>
        <w:tc>
          <w:tcPr>
            <w:tcW w:w="1842" w:type="dxa"/>
          </w:tcPr>
          <w:p w14:paraId="15E8AD8B" w14:textId="77777777" w:rsidR="00F53BC9" w:rsidRPr="004030DB" w:rsidRDefault="0030600B" w:rsidP="00F53BC9">
            <w:pPr>
              <w:rPr>
                <w:rFonts w:ascii="Arial" w:hAnsi="Arial" w:cs="Arial"/>
                <w:sz w:val="20"/>
                <w:szCs w:val="20"/>
                <w:lang w:val="en-GB"/>
              </w:rPr>
            </w:pPr>
            <w:r w:rsidRPr="004030DB">
              <w:rPr>
                <w:rFonts w:ascii="Arial" w:hAnsi="Arial" w:cs="Arial"/>
                <w:color w:val="44546A"/>
                <w:sz w:val="20"/>
                <w:szCs w:val="20"/>
              </w:rPr>
              <w:t>March 2027</w:t>
            </w:r>
          </w:p>
        </w:tc>
      </w:tr>
      <w:tr w:rsidR="00F53BC9" w:rsidRPr="004030DB" w14:paraId="252BCD6F" w14:textId="77777777" w:rsidTr="00BE04E0">
        <w:tc>
          <w:tcPr>
            <w:tcW w:w="3005" w:type="dxa"/>
          </w:tcPr>
          <w:p w14:paraId="026DB89F" w14:textId="77777777" w:rsidR="00F53BC9" w:rsidRPr="004030DB" w:rsidRDefault="00F53BC9" w:rsidP="00F53BC9">
            <w:pPr>
              <w:rPr>
                <w:rFonts w:ascii="Arial" w:hAnsi="Arial" w:cs="Arial"/>
                <w:sz w:val="20"/>
                <w:szCs w:val="20"/>
                <w:lang w:val="en-GB"/>
              </w:rPr>
            </w:pPr>
            <w:r w:rsidRPr="004030DB">
              <w:rPr>
                <w:rFonts w:ascii="Arial" w:hAnsi="Arial" w:cs="Arial"/>
                <w:sz w:val="20"/>
                <w:szCs w:val="20"/>
                <w:lang w:val="en-GB"/>
              </w:rPr>
              <w:t>Freedom to Speak Up Policy</w:t>
            </w:r>
            <w:r w:rsidRPr="004030DB">
              <w:rPr>
                <w:rFonts w:ascii="Arial" w:hAnsi="Arial" w:cs="Arial"/>
                <w:sz w:val="20"/>
                <w:szCs w:val="20"/>
                <w:lang w:val="en-GB"/>
              </w:rPr>
              <w:tab/>
            </w:r>
          </w:p>
        </w:tc>
        <w:tc>
          <w:tcPr>
            <w:tcW w:w="4787" w:type="dxa"/>
          </w:tcPr>
          <w:p w14:paraId="46504C48" w14:textId="77777777" w:rsidR="00F53BC9" w:rsidRPr="004030DB" w:rsidRDefault="00F53BC9" w:rsidP="00F53BC9">
            <w:pPr>
              <w:rPr>
                <w:rFonts w:ascii="Arial" w:hAnsi="Arial" w:cs="Arial"/>
                <w:sz w:val="20"/>
                <w:szCs w:val="20"/>
                <w:lang w:val="en-GB"/>
              </w:rPr>
            </w:pPr>
            <w:r w:rsidRPr="004030DB">
              <w:rPr>
                <w:rFonts w:ascii="Arial" w:hAnsi="Arial" w:cs="Arial"/>
                <w:sz w:val="20"/>
                <w:szCs w:val="20"/>
                <w:lang w:val="en-GB"/>
              </w:rPr>
              <w:t>This enables staff to be able to raise concerns at work safely, and for the Trust to respond to those concerns.</w:t>
            </w:r>
            <w:r w:rsidR="00EB250D" w:rsidRPr="004030DB">
              <w:rPr>
                <w:rFonts w:ascii="Arial" w:hAnsi="Arial" w:cs="Arial"/>
                <w:sz w:val="20"/>
                <w:szCs w:val="20"/>
                <w:lang w:val="en-GB"/>
              </w:rPr>
              <w:t xml:space="preserve">  Includes Raising Concerns (whistleblowing).  </w:t>
            </w:r>
          </w:p>
        </w:tc>
        <w:tc>
          <w:tcPr>
            <w:tcW w:w="1842" w:type="dxa"/>
          </w:tcPr>
          <w:p w14:paraId="118B398F" w14:textId="77777777" w:rsidR="00F53BC9" w:rsidRPr="004030DB" w:rsidRDefault="00F53BC9" w:rsidP="00F53BC9">
            <w:pPr>
              <w:rPr>
                <w:rFonts w:ascii="Arial" w:hAnsi="Arial" w:cs="Arial"/>
                <w:sz w:val="20"/>
                <w:szCs w:val="20"/>
                <w:lang w:val="en-GB"/>
              </w:rPr>
            </w:pPr>
            <w:r w:rsidRPr="004030DB">
              <w:rPr>
                <w:rFonts w:ascii="Arial" w:hAnsi="Arial" w:cs="Arial"/>
                <w:sz w:val="20"/>
                <w:szCs w:val="20"/>
                <w:lang w:val="en-GB"/>
              </w:rPr>
              <w:t>April 202</w:t>
            </w:r>
            <w:r w:rsidR="0030600B" w:rsidRPr="004030DB">
              <w:rPr>
                <w:rFonts w:ascii="Arial" w:hAnsi="Arial" w:cs="Arial"/>
                <w:sz w:val="20"/>
                <w:szCs w:val="20"/>
                <w:lang w:val="en-GB"/>
              </w:rPr>
              <w:t>6</w:t>
            </w:r>
          </w:p>
        </w:tc>
      </w:tr>
      <w:tr w:rsidR="00F53BC9" w:rsidRPr="004030DB" w14:paraId="3D1F4468" w14:textId="77777777" w:rsidTr="00BE04E0">
        <w:tc>
          <w:tcPr>
            <w:tcW w:w="3005" w:type="dxa"/>
          </w:tcPr>
          <w:p w14:paraId="1C74F4CB" w14:textId="77777777" w:rsidR="00F53BC9" w:rsidRPr="004030DB" w:rsidRDefault="00F53BC9" w:rsidP="00F53BC9">
            <w:pPr>
              <w:rPr>
                <w:rFonts w:ascii="Arial" w:hAnsi="Arial" w:cs="Arial"/>
                <w:sz w:val="20"/>
                <w:szCs w:val="20"/>
                <w:lang w:val="en-GB"/>
              </w:rPr>
            </w:pPr>
            <w:r w:rsidRPr="004030DB">
              <w:rPr>
                <w:rFonts w:ascii="Arial" w:hAnsi="Arial" w:cs="Arial"/>
                <w:sz w:val="20"/>
                <w:szCs w:val="20"/>
                <w:lang w:val="en-GB"/>
              </w:rPr>
              <w:t xml:space="preserve">Partnership Agreement </w:t>
            </w:r>
            <w:r w:rsidR="007729B0" w:rsidRPr="004030DB">
              <w:rPr>
                <w:rFonts w:ascii="Arial" w:hAnsi="Arial" w:cs="Arial"/>
                <w:sz w:val="20"/>
                <w:szCs w:val="20"/>
                <w:lang w:val="en-GB"/>
              </w:rPr>
              <w:t>b</w:t>
            </w:r>
            <w:r w:rsidRPr="004030DB">
              <w:rPr>
                <w:rFonts w:ascii="Arial" w:hAnsi="Arial" w:cs="Arial"/>
                <w:sz w:val="20"/>
                <w:szCs w:val="20"/>
                <w:lang w:val="en-GB"/>
              </w:rPr>
              <w:t>etween Medway NHS Foundation Trust and NHS Trade Unions Policy</w:t>
            </w:r>
          </w:p>
        </w:tc>
        <w:tc>
          <w:tcPr>
            <w:tcW w:w="4787" w:type="dxa"/>
          </w:tcPr>
          <w:p w14:paraId="4DDFBE93" w14:textId="77777777" w:rsidR="00F53BC9" w:rsidRPr="004030DB" w:rsidRDefault="00F53BC9" w:rsidP="00F53BC9">
            <w:pPr>
              <w:rPr>
                <w:rFonts w:ascii="Arial" w:hAnsi="Arial" w:cs="Arial"/>
                <w:sz w:val="20"/>
                <w:szCs w:val="20"/>
                <w:lang w:val="en-GB"/>
              </w:rPr>
            </w:pPr>
            <w:r w:rsidRPr="004030DB">
              <w:rPr>
                <w:rFonts w:ascii="Arial" w:hAnsi="Arial" w:cs="Arial"/>
                <w:sz w:val="20"/>
                <w:szCs w:val="20"/>
                <w:lang w:val="en-GB"/>
              </w:rPr>
              <w:t>This policy provides the framework for the NHS Trade Unions and Trust Managers to meet regularly to review</w:t>
            </w:r>
            <w:r w:rsidR="00EB250D" w:rsidRPr="004030DB">
              <w:rPr>
                <w:rFonts w:ascii="Arial" w:hAnsi="Arial" w:cs="Arial"/>
                <w:sz w:val="20"/>
                <w:szCs w:val="20"/>
                <w:lang w:val="en-GB"/>
              </w:rPr>
              <w:t>;</w:t>
            </w:r>
            <w:r w:rsidRPr="004030DB">
              <w:rPr>
                <w:rFonts w:ascii="Arial" w:hAnsi="Arial" w:cs="Arial"/>
                <w:sz w:val="20"/>
                <w:szCs w:val="20"/>
                <w:lang w:val="en-GB"/>
              </w:rPr>
              <w:t xml:space="preserve"> application of policies, staff wellbeing and organisational change</w:t>
            </w:r>
            <w:r w:rsidRPr="004030DB">
              <w:rPr>
                <w:rFonts w:ascii="Arial" w:hAnsi="Arial" w:cs="Arial"/>
                <w:sz w:val="20"/>
                <w:szCs w:val="20"/>
                <w:lang w:val="en-GB"/>
              </w:rPr>
              <w:tab/>
            </w:r>
          </w:p>
        </w:tc>
        <w:tc>
          <w:tcPr>
            <w:tcW w:w="1842" w:type="dxa"/>
          </w:tcPr>
          <w:p w14:paraId="1B9EFB66" w14:textId="77777777" w:rsidR="00F53BC9" w:rsidRPr="004030DB" w:rsidRDefault="0030600B" w:rsidP="00F53BC9">
            <w:pPr>
              <w:rPr>
                <w:rFonts w:ascii="Arial" w:hAnsi="Arial" w:cs="Arial"/>
                <w:sz w:val="20"/>
                <w:szCs w:val="20"/>
                <w:lang w:val="en-GB"/>
              </w:rPr>
            </w:pPr>
            <w:r w:rsidRPr="004030DB">
              <w:rPr>
                <w:rFonts w:ascii="Arial" w:hAnsi="Arial" w:cs="Arial"/>
                <w:sz w:val="20"/>
                <w:szCs w:val="20"/>
                <w:lang w:val="en-GB"/>
              </w:rPr>
              <w:t>July 2027</w:t>
            </w:r>
          </w:p>
        </w:tc>
      </w:tr>
      <w:tr w:rsidR="00F53BC9" w:rsidRPr="004030DB" w14:paraId="1EE4BF2F" w14:textId="77777777" w:rsidTr="00BE04E0">
        <w:tc>
          <w:tcPr>
            <w:tcW w:w="3005" w:type="dxa"/>
          </w:tcPr>
          <w:p w14:paraId="73902724" w14:textId="77777777" w:rsidR="00F53BC9" w:rsidRPr="004030DB" w:rsidRDefault="00F53BC9" w:rsidP="00F53BC9">
            <w:pPr>
              <w:rPr>
                <w:rFonts w:ascii="Arial" w:hAnsi="Arial" w:cs="Arial"/>
                <w:sz w:val="20"/>
                <w:szCs w:val="20"/>
                <w:lang w:val="en-GB"/>
              </w:rPr>
            </w:pPr>
            <w:r w:rsidRPr="004030DB">
              <w:rPr>
                <w:rFonts w:ascii="Arial" w:hAnsi="Arial" w:cs="Arial"/>
                <w:sz w:val="20"/>
                <w:szCs w:val="20"/>
                <w:lang w:val="en-GB"/>
              </w:rPr>
              <w:t>Anti-Fraud, Bribery and Corruption Policy</w:t>
            </w:r>
            <w:r w:rsidRPr="004030DB">
              <w:rPr>
                <w:rFonts w:ascii="Arial" w:hAnsi="Arial" w:cs="Arial"/>
                <w:sz w:val="20"/>
                <w:szCs w:val="20"/>
                <w:lang w:val="en-GB"/>
              </w:rPr>
              <w:tab/>
            </w:r>
          </w:p>
        </w:tc>
        <w:tc>
          <w:tcPr>
            <w:tcW w:w="4787" w:type="dxa"/>
          </w:tcPr>
          <w:p w14:paraId="7C3A765A" w14:textId="77777777" w:rsidR="00F53BC9" w:rsidRPr="004030DB" w:rsidRDefault="00F53BC9" w:rsidP="00F53BC9">
            <w:pPr>
              <w:rPr>
                <w:rFonts w:ascii="Arial" w:hAnsi="Arial" w:cs="Arial"/>
                <w:sz w:val="20"/>
                <w:szCs w:val="20"/>
                <w:lang w:val="en-GB"/>
              </w:rPr>
            </w:pPr>
            <w:r w:rsidRPr="004030DB">
              <w:rPr>
                <w:rFonts w:ascii="Arial" w:hAnsi="Arial" w:cs="Arial"/>
                <w:sz w:val="20"/>
                <w:szCs w:val="20"/>
                <w:lang w:val="en-GB"/>
              </w:rPr>
              <w:t>The aim of the policy and procedure is to set out clearly for staff, the framework and controls in place for dealing with all forms of detected or suspected fraud, bribery and corruption.</w:t>
            </w:r>
            <w:r w:rsidRPr="004030DB">
              <w:rPr>
                <w:rFonts w:ascii="Arial" w:hAnsi="Arial" w:cs="Arial"/>
                <w:sz w:val="20"/>
                <w:szCs w:val="20"/>
                <w:lang w:val="en-GB"/>
              </w:rPr>
              <w:tab/>
            </w:r>
          </w:p>
        </w:tc>
        <w:tc>
          <w:tcPr>
            <w:tcW w:w="1842" w:type="dxa"/>
          </w:tcPr>
          <w:p w14:paraId="69DB58A6" w14:textId="77777777" w:rsidR="00F53BC9" w:rsidRPr="004030DB" w:rsidRDefault="00F53BC9" w:rsidP="00F53BC9">
            <w:pPr>
              <w:rPr>
                <w:rFonts w:ascii="Arial" w:hAnsi="Arial" w:cs="Arial"/>
                <w:sz w:val="20"/>
                <w:szCs w:val="20"/>
                <w:lang w:val="en-GB"/>
              </w:rPr>
            </w:pPr>
            <w:r w:rsidRPr="004030DB">
              <w:rPr>
                <w:rFonts w:ascii="Arial" w:hAnsi="Arial" w:cs="Arial"/>
                <w:sz w:val="20"/>
                <w:szCs w:val="20"/>
                <w:lang w:val="en-GB"/>
              </w:rPr>
              <w:t>Ju</w:t>
            </w:r>
            <w:r w:rsidR="007729B0" w:rsidRPr="004030DB">
              <w:rPr>
                <w:rFonts w:ascii="Arial" w:hAnsi="Arial" w:cs="Arial"/>
                <w:sz w:val="20"/>
                <w:szCs w:val="20"/>
                <w:lang w:val="en-GB"/>
              </w:rPr>
              <w:t>ne</w:t>
            </w:r>
            <w:r w:rsidRPr="004030DB">
              <w:rPr>
                <w:rFonts w:ascii="Arial" w:hAnsi="Arial" w:cs="Arial"/>
                <w:sz w:val="20"/>
                <w:szCs w:val="20"/>
                <w:lang w:val="en-GB"/>
              </w:rPr>
              <w:t xml:space="preserve"> 2025</w:t>
            </w:r>
          </w:p>
        </w:tc>
      </w:tr>
      <w:bookmarkEnd w:id="25"/>
      <w:bookmarkEnd w:id="26"/>
    </w:tbl>
    <w:p w14:paraId="4887309C" w14:textId="77777777" w:rsidR="00BC58FD" w:rsidRPr="004030DB" w:rsidRDefault="00BC58FD" w:rsidP="00010A15">
      <w:pPr>
        <w:rPr>
          <w:rFonts w:ascii="Arial" w:hAnsi="Arial" w:cs="Arial"/>
          <w:b/>
          <w:sz w:val="20"/>
          <w:szCs w:val="20"/>
          <w:highlight w:val="yellow"/>
          <w:lang w:val="en-GB"/>
        </w:rPr>
      </w:pPr>
    </w:p>
    <w:p w14:paraId="0560B5E7" w14:textId="77777777" w:rsidR="00BC58FD" w:rsidRPr="004030DB" w:rsidRDefault="00BC58FD" w:rsidP="00010A15">
      <w:pPr>
        <w:rPr>
          <w:rFonts w:ascii="Arial" w:hAnsi="Arial" w:cs="Arial"/>
          <w:b/>
          <w:sz w:val="20"/>
          <w:szCs w:val="20"/>
          <w:highlight w:val="yellow"/>
          <w:lang w:val="en-GB"/>
        </w:rPr>
      </w:pPr>
    </w:p>
    <w:p w14:paraId="6A2F219A" w14:textId="77777777" w:rsidR="007729B0" w:rsidRPr="004030DB" w:rsidRDefault="007729B0" w:rsidP="00010A15">
      <w:pPr>
        <w:rPr>
          <w:rFonts w:ascii="Arial" w:hAnsi="Arial" w:cs="Arial"/>
          <w:b/>
          <w:sz w:val="20"/>
          <w:szCs w:val="20"/>
          <w:highlight w:val="yellow"/>
          <w:lang w:val="en-GB"/>
        </w:rPr>
      </w:pPr>
    </w:p>
    <w:p w14:paraId="2D29041D" w14:textId="77777777" w:rsidR="007729B0" w:rsidRPr="004030DB" w:rsidRDefault="007729B0" w:rsidP="00010A15">
      <w:pPr>
        <w:rPr>
          <w:rFonts w:ascii="Arial" w:hAnsi="Arial" w:cs="Arial"/>
          <w:b/>
          <w:sz w:val="20"/>
          <w:szCs w:val="20"/>
          <w:highlight w:val="yellow"/>
          <w:lang w:val="en-GB"/>
        </w:rPr>
      </w:pPr>
    </w:p>
    <w:p w14:paraId="198F86FB" w14:textId="77777777" w:rsidR="00EB250D" w:rsidRPr="004030DB" w:rsidRDefault="00EB250D" w:rsidP="00010A15">
      <w:pPr>
        <w:rPr>
          <w:rFonts w:ascii="Arial" w:hAnsi="Arial" w:cs="Arial"/>
          <w:b/>
          <w:sz w:val="20"/>
          <w:szCs w:val="20"/>
          <w:highlight w:val="yellow"/>
          <w:lang w:val="en-GB"/>
        </w:rPr>
      </w:pPr>
    </w:p>
    <w:p w14:paraId="323A18BC" w14:textId="77777777" w:rsidR="007729B0" w:rsidRPr="004030DB" w:rsidRDefault="007729B0" w:rsidP="00010A15">
      <w:pPr>
        <w:rPr>
          <w:rFonts w:ascii="Arial" w:hAnsi="Arial" w:cs="Arial"/>
          <w:b/>
          <w:sz w:val="20"/>
          <w:szCs w:val="20"/>
          <w:highlight w:val="yellow"/>
          <w:lang w:val="en-GB"/>
        </w:rPr>
      </w:pPr>
    </w:p>
    <w:p w14:paraId="79D3BE0F" w14:textId="77777777" w:rsidR="0017353E" w:rsidRPr="004030DB" w:rsidRDefault="0017353E" w:rsidP="00010A15">
      <w:pPr>
        <w:rPr>
          <w:rFonts w:ascii="Arial" w:hAnsi="Arial" w:cs="Arial"/>
          <w:b/>
          <w:sz w:val="20"/>
          <w:szCs w:val="20"/>
          <w:highlight w:val="yellow"/>
          <w:lang w:val="en-GB"/>
        </w:rPr>
      </w:pPr>
    </w:p>
    <w:p w14:paraId="4B2F3684" w14:textId="77777777" w:rsidR="0017353E" w:rsidRPr="004030DB" w:rsidRDefault="0017353E" w:rsidP="00010A15">
      <w:pPr>
        <w:rPr>
          <w:rFonts w:ascii="Arial" w:hAnsi="Arial" w:cs="Arial"/>
          <w:b/>
          <w:sz w:val="20"/>
          <w:szCs w:val="20"/>
          <w:highlight w:val="yellow"/>
          <w:lang w:val="en-GB"/>
        </w:rPr>
      </w:pPr>
    </w:p>
    <w:p w14:paraId="6D4B4389" w14:textId="77777777" w:rsidR="0017353E" w:rsidRPr="004030DB" w:rsidRDefault="0017353E" w:rsidP="00010A15">
      <w:pPr>
        <w:rPr>
          <w:rFonts w:ascii="Arial" w:hAnsi="Arial" w:cs="Arial"/>
          <w:b/>
          <w:sz w:val="20"/>
          <w:szCs w:val="20"/>
          <w:highlight w:val="yellow"/>
          <w:lang w:val="en-GB"/>
        </w:rPr>
      </w:pPr>
    </w:p>
    <w:p w14:paraId="7B6AD9F3" w14:textId="77777777" w:rsidR="00BE04E0" w:rsidRPr="004030DB" w:rsidRDefault="00BE04E0" w:rsidP="00010A15">
      <w:pPr>
        <w:rPr>
          <w:rFonts w:ascii="Arial" w:hAnsi="Arial" w:cs="Arial"/>
          <w:b/>
          <w:sz w:val="20"/>
          <w:szCs w:val="20"/>
          <w:highlight w:val="yellow"/>
          <w:lang w:val="en-GB"/>
        </w:rPr>
      </w:pPr>
    </w:p>
    <w:p w14:paraId="4D3830CB" w14:textId="77777777" w:rsidR="00BE04E0" w:rsidRPr="004030DB" w:rsidRDefault="00BE04E0" w:rsidP="00010A15">
      <w:pPr>
        <w:rPr>
          <w:rFonts w:ascii="Arial" w:hAnsi="Arial" w:cs="Arial"/>
          <w:b/>
          <w:sz w:val="20"/>
          <w:szCs w:val="20"/>
          <w:highlight w:val="yellow"/>
          <w:lang w:val="en-GB"/>
        </w:rPr>
      </w:pPr>
    </w:p>
    <w:p w14:paraId="7FB4BCC6" w14:textId="77777777" w:rsidR="00BE04E0" w:rsidRPr="004030DB" w:rsidRDefault="00BE04E0" w:rsidP="00010A15">
      <w:pPr>
        <w:rPr>
          <w:rFonts w:ascii="Arial" w:hAnsi="Arial" w:cs="Arial"/>
          <w:b/>
          <w:sz w:val="20"/>
          <w:szCs w:val="20"/>
          <w:highlight w:val="yellow"/>
          <w:lang w:val="en-GB"/>
        </w:rPr>
      </w:pPr>
    </w:p>
    <w:p w14:paraId="53BB00BF" w14:textId="77777777" w:rsidR="00BE04E0" w:rsidRPr="004030DB" w:rsidRDefault="00BE04E0" w:rsidP="00010A15">
      <w:pPr>
        <w:rPr>
          <w:rFonts w:ascii="Arial" w:hAnsi="Arial" w:cs="Arial"/>
          <w:b/>
          <w:sz w:val="20"/>
          <w:szCs w:val="20"/>
          <w:highlight w:val="yellow"/>
          <w:lang w:val="en-GB"/>
        </w:rPr>
      </w:pPr>
    </w:p>
    <w:p w14:paraId="4818934D" w14:textId="77777777" w:rsidR="00BE04E0" w:rsidRPr="004030DB" w:rsidRDefault="00BE04E0" w:rsidP="00010A15">
      <w:pPr>
        <w:rPr>
          <w:rFonts w:ascii="Arial" w:hAnsi="Arial" w:cs="Arial"/>
          <w:b/>
          <w:sz w:val="20"/>
          <w:szCs w:val="20"/>
          <w:highlight w:val="yellow"/>
          <w:lang w:val="en-GB"/>
        </w:rPr>
      </w:pPr>
    </w:p>
    <w:p w14:paraId="71D7CABC" w14:textId="77777777" w:rsidR="00FE08E8" w:rsidRPr="004030DB" w:rsidRDefault="00FE08E8" w:rsidP="00010A15">
      <w:pPr>
        <w:rPr>
          <w:rFonts w:ascii="Arial" w:hAnsi="Arial" w:cs="Arial"/>
          <w:b/>
          <w:sz w:val="20"/>
          <w:szCs w:val="20"/>
          <w:highlight w:val="yellow"/>
          <w:lang w:val="en-GB"/>
        </w:rPr>
      </w:pPr>
    </w:p>
    <w:p w14:paraId="7286BFBE" w14:textId="77777777" w:rsidR="00010A15" w:rsidRPr="004030DB" w:rsidRDefault="00B65BA3" w:rsidP="00143BCB">
      <w:pPr>
        <w:jc w:val="both"/>
        <w:rPr>
          <w:rFonts w:ascii="Arial" w:hAnsi="Arial" w:cs="Arial"/>
          <w:b/>
          <w:color w:val="FF0000"/>
          <w:sz w:val="20"/>
          <w:szCs w:val="20"/>
          <w:lang w:val="en-GB"/>
        </w:rPr>
      </w:pPr>
      <w:bookmarkStart w:id="27" w:name="_Hlk175232884"/>
      <w:r w:rsidRPr="004030DB">
        <w:rPr>
          <w:rFonts w:ascii="Arial" w:hAnsi="Arial" w:cs="Arial"/>
          <w:b/>
          <w:sz w:val="20"/>
          <w:szCs w:val="20"/>
          <w:lang w:val="en-GB"/>
        </w:rPr>
        <w:lastRenderedPageBreak/>
        <w:t xml:space="preserve">Code of Governance for NHS Provider Trusts </w:t>
      </w:r>
      <w:r w:rsidR="002E680B" w:rsidRPr="004030DB">
        <w:rPr>
          <w:rFonts w:ascii="Arial" w:hAnsi="Arial" w:cs="Arial"/>
          <w:b/>
          <w:sz w:val="20"/>
          <w:szCs w:val="20"/>
          <w:lang w:val="en-GB"/>
        </w:rPr>
        <w:t xml:space="preserve">- </w:t>
      </w:r>
      <w:r w:rsidR="002E680B" w:rsidRPr="004030DB">
        <w:rPr>
          <w:rFonts w:ascii="Arial" w:eastAsia="Times New Roman" w:hAnsi="Arial" w:cs="Arial"/>
          <w:b/>
          <w:bCs/>
          <w:color w:val="000000"/>
          <w:sz w:val="20"/>
          <w:szCs w:val="20"/>
          <w:lang w:val="en-GB" w:eastAsia="en-GB"/>
        </w:rPr>
        <w:t>Self Assessment 2024/25</w:t>
      </w:r>
      <w:r w:rsidR="004A729A" w:rsidRPr="004030DB">
        <w:rPr>
          <w:rFonts w:ascii="Arial" w:eastAsia="Times New Roman" w:hAnsi="Arial" w:cs="Arial"/>
          <w:b/>
          <w:bCs/>
          <w:color w:val="000000"/>
          <w:sz w:val="20"/>
          <w:szCs w:val="20"/>
          <w:lang w:val="en-GB" w:eastAsia="en-GB"/>
        </w:rPr>
        <w:t xml:space="preserve"> </w:t>
      </w:r>
    </w:p>
    <w:bookmarkEnd w:id="27"/>
    <w:p w14:paraId="3676E405" w14:textId="77777777" w:rsidR="00010A15" w:rsidRPr="004030DB" w:rsidRDefault="00010A15" w:rsidP="00143BCB">
      <w:pPr>
        <w:jc w:val="both"/>
        <w:rPr>
          <w:rFonts w:ascii="Arial" w:hAnsi="Arial" w:cs="Arial"/>
          <w:sz w:val="20"/>
          <w:szCs w:val="20"/>
          <w:lang w:val="en-GB"/>
        </w:rPr>
      </w:pPr>
    </w:p>
    <w:p w14:paraId="0A16615F" w14:textId="77777777" w:rsidR="00010A15" w:rsidRPr="004030DB" w:rsidRDefault="00B65BA3" w:rsidP="00143BCB">
      <w:pPr>
        <w:jc w:val="both"/>
        <w:rPr>
          <w:rFonts w:ascii="Arial" w:hAnsi="Arial" w:cs="Arial"/>
          <w:sz w:val="20"/>
          <w:szCs w:val="20"/>
          <w:lang w:val="en-GB"/>
        </w:rPr>
      </w:pPr>
      <w:r w:rsidRPr="004030DB">
        <w:rPr>
          <w:rFonts w:ascii="Arial" w:hAnsi="Arial" w:cs="Arial"/>
          <w:sz w:val="20"/>
          <w:szCs w:val="20"/>
          <w:lang w:val="en-GB"/>
        </w:rPr>
        <w:t>Medway NHS Foundation Trust has applied the principles of the Code of Governance for NHS</w:t>
      </w:r>
      <w:r w:rsidR="003B1589" w:rsidRPr="004030DB">
        <w:rPr>
          <w:rFonts w:ascii="Arial" w:hAnsi="Arial" w:cs="Arial"/>
          <w:sz w:val="20"/>
          <w:szCs w:val="20"/>
          <w:lang w:val="en-GB"/>
        </w:rPr>
        <w:t xml:space="preserve"> </w:t>
      </w:r>
      <w:r w:rsidRPr="004030DB">
        <w:rPr>
          <w:rFonts w:ascii="Arial" w:hAnsi="Arial" w:cs="Arial"/>
          <w:sz w:val="20"/>
          <w:szCs w:val="20"/>
          <w:lang w:val="en-GB"/>
        </w:rPr>
        <w:t xml:space="preserve">Provider Trusts (the Code) on a comply or explain basis.  This includes the revised Code </w:t>
      </w:r>
      <w:r w:rsidR="00FE6B25" w:rsidRPr="004030DB">
        <w:rPr>
          <w:rFonts w:ascii="Arial" w:hAnsi="Arial" w:cs="Arial"/>
          <w:sz w:val="20"/>
          <w:szCs w:val="20"/>
          <w:lang w:val="en-GB"/>
        </w:rPr>
        <w:t>i</w:t>
      </w:r>
      <w:r w:rsidRPr="004030DB">
        <w:rPr>
          <w:rFonts w:ascii="Arial" w:hAnsi="Arial" w:cs="Arial"/>
          <w:sz w:val="20"/>
          <w:szCs w:val="20"/>
          <w:lang w:val="en-GB"/>
        </w:rPr>
        <w:t xml:space="preserve">mplemented from 01 April 2023 – it replaces the previous NHS Foundation Trust Code of Governance issued by Monitor). The Code </w:t>
      </w:r>
      <w:r w:rsidR="00010A15" w:rsidRPr="004030DB">
        <w:rPr>
          <w:rFonts w:ascii="Arial" w:hAnsi="Arial" w:cs="Arial"/>
          <w:sz w:val="20"/>
          <w:szCs w:val="20"/>
          <w:lang w:val="en-GB"/>
        </w:rPr>
        <w:t>brings together best practice from both the public and private sector in order to help NHS Foundation Trust Boards maintain goo</w:t>
      </w:r>
      <w:r w:rsidR="00616B0B" w:rsidRPr="004030DB">
        <w:rPr>
          <w:rFonts w:ascii="Arial" w:hAnsi="Arial" w:cs="Arial"/>
          <w:sz w:val="20"/>
          <w:szCs w:val="20"/>
          <w:lang w:val="en-GB"/>
        </w:rPr>
        <w:t>d quality corporate governance.</w:t>
      </w:r>
      <w:r w:rsidRPr="004030DB">
        <w:rPr>
          <w:rFonts w:ascii="Arial" w:hAnsi="Arial" w:cs="Arial"/>
          <w:sz w:val="20"/>
          <w:szCs w:val="20"/>
          <w:lang w:val="en-GB"/>
        </w:rPr>
        <w:t xml:space="preserve">  </w:t>
      </w:r>
      <w:r w:rsidR="00010A15" w:rsidRPr="004030DB">
        <w:rPr>
          <w:rFonts w:ascii="Arial" w:hAnsi="Arial" w:cs="Arial"/>
          <w:sz w:val="20"/>
          <w:szCs w:val="20"/>
          <w:lang w:val="en-GB"/>
        </w:rPr>
        <w:t>Although the Code is best practice advice, certain disclosures are required to be reported in the Trust’s Annual Report, along with additional requirements as stated in the Annual Reporting Manual.</w:t>
      </w:r>
      <w:r w:rsidRPr="004030DB">
        <w:rPr>
          <w:rFonts w:ascii="Arial" w:hAnsi="Arial" w:cs="Arial"/>
          <w:sz w:val="20"/>
          <w:szCs w:val="20"/>
          <w:lang w:val="en-GB"/>
        </w:rPr>
        <w:t xml:space="preserve">  </w:t>
      </w:r>
      <w:r w:rsidR="00010A15" w:rsidRPr="004030DB">
        <w:rPr>
          <w:rFonts w:ascii="Arial" w:hAnsi="Arial" w:cs="Arial"/>
          <w:sz w:val="20"/>
          <w:szCs w:val="20"/>
          <w:lang w:val="en-GB"/>
        </w:rPr>
        <w:t>The Trust’s compliance is stated below with these requirements.</w:t>
      </w:r>
    </w:p>
    <w:p w14:paraId="17A22CEA" w14:textId="77777777" w:rsidR="00ED7971" w:rsidRPr="00143BCB" w:rsidRDefault="00ED7971" w:rsidP="00143BCB">
      <w:pPr>
        <w:jc w:val="both"/>
        <w:rPr>
          <w:rFonts w:ascii="Arial" w:hAnsi="Arial" w:cs="Arial"/>
          <w:lang w:val="en-GB"/>
        </w:rPr>
      </w:pPr>
    </w:p>
    <w:tbl>
      <w:tblPr>
        <w:tblW w:w="104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7708"/>
        <w:gridCol w:w="1005"/>
      </w:tblGrid>
      <w:tr w:rsidR="002E680B" w:rsidRPr="00143BCB" w14:paraId="60192478" w14:textId="77777777" w:rsidTr="00143BCB">
        <w:trPr>
          <w:trHeight w:val="458"/>
          <w:jc w:val="center"/>
        </w:trPr>
        <w:tc>
          <w:tcPr>
            <w:tcW w:w="1710" w:type="dxa"/>
            <w:vMerge w:val="restart"/>
            <w:shd w:val="clear" w:color="auto" w:fill="D9D9D9"/>
            <w:noWrap/>
            <w:vAlign w:val="center"/>
            <w:hideMark/>
          </w:tcPr>
          <w:p w14:paraId="43A1D7B6" w14:textId="77777777" w:rsidR="002E680B" w:rsidRPr="00143BCB" w:rsidRDefault="002E680B" w:rsidP="002E680B">
            <w:pPr>
              <w:widowControl/>
              <w:jc w:val="center"/>
              <w:rPr>
                <w:rFonts w:ascii="Arial" w:eastAsia="Times New Roman" w:hAnsi="Arial" w:cs="Arial"/>
                <w:b/>
                <w:bCs/>
                <w:color w:val="000000"/>
                <w:sz w:val="20"/>
                <w:szCs w:val="20"/>
                <w:lang w:val="en-GB" w:eastAsia="en-GB"/>
              </w:rPr>
            </w:pPr>
            <w:r w:rsidRPr="00143BCB">
              <w:rPr>
                <w:rFonts w:ascii="Arial" w:eastAsia="Times New Roman" w:hAnsi="Arial" w:cs="Arial"/>
                <w:b/>
                <w:bCs/>
                <w:color w:val="000000"/>
                <w:sz w:val="20"/>
                <w:szCs w:val="20"/>
                <w:lang w:val="en-GB" w:eastAsia="en-GB"/>
              </w:rPr>
              <w:t>Section</w:t>
            </w:r>
          </w:p>
        </w:tc>
        <w:tc>
          <w:tcPr>
            <w:tcW w:w="7708" w:type="dxa"/>
            <w:vMerge w:val="restart"/>
            <w:shd w:val="clear" w:color="auto" w:fill="D9D9D9"/>
            <w:noWrap/>
            <w:vAlign w:val="center"/>
            <w:hideMark/>
          </w:tcPr>
          <w:p w14:paraId="32DD3EA1" w14:textId="77777777" w:rsidR="002E680B" w:rsidRPr="00143BCB" w:rsidRDefault="002E680B" w:rsidP="002E680B">
            <w:pPr>
              <w:widowControl/>
              <w:jc w:val="center"/>
              <w:rPr>
                <w:rFonts w:ascii="Arial" w:eastAsia="Times New Roman" w:hAnsi="Arial" w:cs="Arial"/>
                <w:b/>
                <w:bCs/>
                <w:color w:val="000000"/>
                <w:sz w:val="20"/>
                <w:szCs w:val="20"/>
                <w:lang w:val="en-GB" w:eastAsia="en-GB"/>
              </w:rPr>
            </w:pPr>
            <w:r w:rsidRPr="00143BCB">
              <w:rPr>
                <w:rFonts w:ascii="Arial" w:eastAsia="Times New Roman" w:hAnsi="Arial" w:cs="Arial"/>
                <w:b/>
                <w:bCs/>
                <w:color w:val="000000"/>
                <w:sz w:val="20"/>
                <w:szCs w:val="20"/>
                <w:lang w:val="en-GB" w:eastAsia="en-GB"/>
              </w:rPr>
              <w:t>Provision</w:t>
            </w:r>
          </w:p>
        </w:tc>
        <w:tc>
          <w:tcPr>
            <w:tcW w:w="1005" w:type="dxa"/>
            <w:vMerge w:val="restart"/>
            <w:shd w:val="clear" w:color="auto" w:fill="D9D9D9"/>
            <w:noWrap/>
            <w:vAlign w:val="center"/>
            <w:hideMark/>
          </w:tcPr>
          <w:p w14:paraId="6CB87456" w14:textId="77777777" w:rsidR="002E680B" w:rsidRPr="00143BCB" w:rsidRDefault="002E680B" w:rsidP="002E680B">
            <w:pPr>
              <w:widowControl/>
              <w:jc w:val="center"/>
              <w:rPr>
                <w:rFonts w:ascii="Arial" w:eastAsia="Times New Roman" w:hAnsi="Arial" w:cs="Arial"/>
                <w:b/>
                <w:bCs/>
                <w:color w:val="000000"/>
                <w:sz w:val="20"/>
                <w:szCs w:val="20"/>
                <w:lang w:val="en-GB" w:eastAsia="en-GB"/>
              </w:rPr>
            </w:pPr>
            <w:r w:rsidRPr="00143BCB">
              <w:rPr>
                <w:rFonts w:ascii="Arial" w:eastAsia="Times New Roman" w:hAnsi="Arial" w:cs="Arial"/>
                <w:b/>
                <w:bCs/>
                <w:color w:val="000000"/>
                <w:sz w:val="20"/>
                <w:szCs w:val="20"/>
                <w:lang w:val="en-GB" w:eastAsia="en-GB"/>
              </w:rPr>
              <w:t>Comply/</w:t>
            </w:r>
          </w:p>
          <w:p w14:paraId="7B53FCE0" w14:textId="77777777" w:rsidR="002E680B" w:rsidRPr="00143BCB" w:rsidRDefault="002E680B" w:rsidP="002E680B">
            <w:pPr>
              <w:widowControl/>
              <w:jc w:val="center"/>
              <w:rPr>
                <w:rFonts w:ascii="Arial" w:eastAsia="Times New Roman" w:hAnsi="Arial" w:cs="Arial"/>
                <w:b/>
                <w:bCs/>
                <w:color w:val="000000"/>
                <w:sz w:val="20"/>
                <w:szCs w:val="20"/>
                <w:lang w:val="en-GB" w:eastAsia="en-GB"/>
              </w:rPr>
            </w:pPr>
            <w:r w:rsidRPr="00143BCB">
              <w:rPr>
                <w:rFonts w:ascii="Arial" w:eastAsia="Times New Roman" w:hAnsi="Arial" w:cs="Arial"/>
                <w:b/>
                <w:bCs/>
                <w:color w:val="000000"/>
                <w:sz w:val="20"/>
                <w:szCs w:val="20"/>
                <w:lang w:val="en-GB" w:eastAsia="en-GB"/>
              </w:rPr>
              <w:t>Explain</w:t>
            </w:r>
          </w:p>
        </w:tc>
      </w:tr>
      <w:tr w:rsidR="002E680B" w:rsidRPr="00143BCB" w14:paraId="7155B6C0" w14:textId="77777777" w:rsidTr="00143BCB">
        <w:trPr>
          <w:trHeight w:val="458"/>
          <w:jc w:val="center"/>
        </w:trPr>
        <w:tc>
          <w:tcPr>
            <w:tcW w:w="1710" w:type="dxa"/>
            <w:vMerge/>
            <w:shd w:val="clear" w:color="auto" w:fill="D9D9D9"/>
            <w:vAlign w:val="center"/>
            <w:hideMark/>
          </w:tcPr>
          <w:p w14:paraId="3F98FC9D" w14:textId="77777777" w:rsidR="002E680B" w:rsidRPr="00143BCB" w:rsidRDefault="002E680B" w:rsidP="002E680B">
            <w:pPr>
              <w:widowControl/>
              <w:rPr>
                <w:rFonts w:ascii="Arial" w:eastAsia="Times New Roman" w:hAnsi="Arial" w:cs="Arial"/>
                <w:b/>
                <w:bCs/>
                <w:color w:val="000000"/>
                <w:sz w:val="20"/>
                <w:szCs w:val="20"/>
                <w:lang w:val="en-GB" w:eastAsia="en-GB"/>
              </w:rPr>
            </w:pPr>
          </w:p>
        </w:tc>
        <w:tc>
          <w:tcPr>
            <w:tcW w:w="7708" w:type="dxa"/>
            <w:vMerge/>
            <w:shd w:val="clear" w:color="auto" w:fill="D9D9D9"/>
            <w:vAlign w:val="center"/>
            <w:hideMark/>
          </w:tcPr>
          <w:p w14:paraId="6B1FF7E3" w14:textId="77777777" w:rsidR="002E680B" w:rsidRPr="00143BCB" w:rsidRDefault="002E680B" w:rsidP="002E680B">
            <w:pPr>
              <w:widowControl/>
              <w:rPr>
                <w:rFonts w:ascii="Arial" w:eastAsia="Times New Roman" w:hAnsi="Arial" w:cs="Arial"/>
                <w:b/>
                <w:bCs/>
                <w:color w:val="000000"/>
                <w:sz w:val="20"/>
                <w:szCs w:val="20"/>
                <w:lang w:val="en-GB" w:eastAsia="en-GB"/>
              </w:rPr>
            </w:pPr>
          </w:p>
        </w:tc>
        <w:tc>
          <w:tcPr>
            <w:tcW w:w="1005" w:type="dxa"/>
            <w:vMerge/>
            <w:shd w:val="clear" w:color="auto" w:fill="D9D9D9"/>
            <w:vAlign w:val="center"/>
            <w:hideMark/>
          </w:tcPr>
          <w:p w14:paraId="4475AC09" w14:textId="77777777" w:rsidR="002E680B" w:rsidRPr="00143BCB" w:rsidRDefault="002E680B" w:rsidP="002E680B">
            <w:pPr>
              <w:widowControl/>
              <w:rPr>
                <w:rFonts w:ascii="Arial" w:eastAsia="Times New Roman" w:hAnsi="Arial" w:cs="Arial"/>
                <w:b/>
                <w:bCs/>
                <w:color w:val="000000"/>
                <w:sz w:val="20"/>
                <w:szCs w:val="20"/>
                <w:lang w:val="en-GB" w:eastAsia="en-GB"/>
              </w:rPr>
            </w:pPr>
          </w:p>
        </w:tc>
      </w:tr>
      <w:tr w:rsidR="002E680B" w:rsidRPr="00143BCB" w14:paraId="323631A1" w14:textId="77777777" w:rsidTr="00143BCB">
        <w:trPr>
          <w:trHeight w:val="300"/>
          <w:jc w:val="center"/>
        </w:trPr>
        <w:tc>
          <w:tcPr>
            <w:tcW w:w="1710" w:type="dxa"/>
            <w:shd w:val="clear" w:color="auto" w:fill="D9D9D9"/>
            <w:noWrap/>
            <w:vAlign w:val="center"/>
          </w:tcPr>
          <w:p w14:paraId="0050C9A8" w14:textId="77777777" w:rsidR="002E680B" w:rsidRPr="00143BCB" w:rsidRDefault="002E680B" w:rsidP="002E680B">
            <w:pPr>
              <w:widowControl/>
              <w:jc w:val="center"/>
              <w:rPr>
                <w:rFonts w:ascii="Arial" w:eastAsia="Times New Roman" w:hAnsi="Arial" w:cs="Arial"/>
                <w:b/>
                <w:color w:val="000000"/>
                <w:sz w:val="20"/>
                <w:szCs w:val="20"/>
                <w:lang w:val="en-GB" w:eastAsia="en-GB"/>
              </w:rPr>
            </w:pPr>
            <w:r w:rsidRPr="00143BCB">
              <w:rPr>
                <w:rFonts w:ascii="Arial" w:eastAsia="Times New Roman" w:hAnsi="Arial" w:cs="Arial"/>
                <w:b/>
                <w:color w:val="000000"/>
                <w:sz w:val="20"/>
                <w:szCs w:val="20"/>
                <w:lang w:val="en-GB" w:eastAsia="en-GB"/>
              </w:rPr>
              <w:t>A1</w:t>
            </w:r>
          </w:p>
        </w:tc>
        <w:tc>
          <w:tcPr>
            <w:tcW w:w="7708" w:type="dxa"/>
            <w:shd w:val="clear" w:color="auto" w:fill="D9D9D9"/>
          </w:tcPr>
          <w:p w14:paraId="3654E6B5" w14:textId="77777777" w:rsidR="002E680B" w:rsidRPr="00143BCB" w:rsidRDefault="002E680B" w:rsidP="002E680B">
            <w:pPr>
              <w:widowControl/>
              <w:rPr>
                <w:rFonts w:ascii="Arial" w:eastAsia="Times New Roman" w:hAnsi="Arial" w:cs="Arial"/>
                <w:b/>
                <w:bCs/>
                <w:color w:val="000000"/>
                <w:sz w:val="20"/>
                <w:szCs w:val="20"/>
                <w:u w:val="single"/>
                <w:lang w:val="en-GB" w:eastAsia="en-GB"/>
              </w:rPr>
            </w:pPr>
            <w:r w:rsidRPr="00143BCB">
              <w:rPr>
                <w:rFonts w:ascii="Arial" w:eastAsia="Times New Roman" w:hAnsi="Arial" w:cs="Arial"/>
                <w:b/>
                <w:bCs/>
                <w:color w:val="000000"/>
                <w:sz w:val="20"/>
                <w:szCs w:val="20"/>
                <w:u w:val="single"/>
                <w:lang w:val="en-GB" w:eastAsia="en-GB"/>
              </w:rPr>
              <w:t>SECTION A:</w:t>
            </w:r>
            <w:r w:rsidRPr="00143BCB">
              <w:rPr>
                <w:rFonts w:ascii="Arial" w:eastAsia="Times New Roman" w:hAnsi="Arial" w:cs="Times New Roman"/>
                <w:sz w:val="20"/>
                <w:szCs w:val="20"/>
                <w:u w:val="single"/>
                <w:lang w:val="en-GB"/>
              </w:rPr>
              <w:t xml:space="preserve"> </w:t>
            </w:r>
            <w:r w:rsidRPr="00143BCB">
              <w:rPr>
                <w:rFonts w:ascii="Arial" w:eastAsia="Times New Roman" w:hAnsi="Arial" w:cs="Arial"/>
                <w:b/>
                <w:bCs/>
                <w:color w:val="000000"/>
                <w:sz w:val="20"/>
                <w:szCs w:val="20"/>
                <w:u w:val="single"/>
                <w:lang w:val="en-GB" w:eastAsia="en-GB"/>
              </w:rPr>
              <w:t xml:space="preserve">Board leadership and purpose </w:t>
            </w:r>
          </w:p>
          <w:p w14:paraId="72237BD4" w14:textId="77777777" w:rsidR="002E680B" w:rsidRPr="00143BCB" w:rsidRDefault="002E680B" w:rsidP="002E680B">
            <w:pPr>
              <w:widowControl/>
              <w:rPr>
                <w:rFonts w:ascii="Arial" w:eastAsia="Times New Roman" w:hAnsi="Arial" w:cs="Arial"/>
                <w:b/>
                <w:bCs/>
                <w:color w:val="000000"/>
                <w:sz w:val="20"/>
                <w:szCs w:val="20"/>
                <w:lang w:val="en-GB" w:eastAsia="en-GB"/>
              </w:rPr>
            </w:pPr>
            <w:r w:rsidRPr="00143BCB">
              <w:rPr>
                <w:rFonts w:ascii="Arial" w:eastAsia="Times New Roman" w:hAnsi="Arial" w:cs="Arial"/>
                <w:b/>
                <w:bCs/>
                <w:color w:val="000000"/>
                <w:sz w:val="20"/>
                <w:szCs w:val="20"/>
                <w:lang w:val="en-GB" w:eastAsia="en-GB"/>
              </w:rPr>
              <w:t xml:space="preserve">Principles </w:t>
            </w:r>
          </w:p>
        </w:tc>
        <w:tc>
          <w:tcPr>
            <w:tcW w:w="1005" w:type="dxa"/>
            <w:shd w:val="clear" w:color="auto" w:fill="D9D9D9"/>
          </w:tcPr>
          <w:p w14:paraId="56526694" w14:textId="77777777" w:rsidR="002E680B" w:rsidRPr="00143BCB" w:rsidRDefault="002E680B" w:rsidP="002E680B">
            <w:pPr>
              <w:widowControl/>
              <w:rPr>
                <w:rFonts w:ascii="Arial" w:eastAsia="Times New Roman" w:hAnsi="Arial" w:cs="Arial"/>
                <w:b/>
                <w:color w:val="000000"/>
                <w:sz w:val="20"/>
                <w:szCs w:val="20"/>
                <w:lang w:val="en-GB" w:eastAsia="en-GB"/>
              </w:rPr>
            </w:pPr>
          </w:p>
        </w:tc>
      </w:tr>
      <w:tr w:rsidR="002E680B" w:rsidRPr="00143BCB" w14:paraId="1907F366" w14:textId="77777777" w:rsidTr="00143BCB">
        <w:trPr>
          <w:trHeight w:val="300"/>
          <w:jc w:val="center"/>
        </w:trPr>
        <w:tc>
          <w:tcPr>
            <w:tcW w:w="1710" w:type="dxa"/>
            <w:noWrap/>
            <w:vAlign w:val="center"/>
          </w:tcPr>
          <w:p w14:paraId="641ABC9C"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A1.1</w:t>
            </w:r>
          </w:p>
        </w:tc>
        <w:tc>
          <w:tcPr>
            <w:tcW w:w="7708" w:type="dxa"/>
          </w:tcPr>
          <w:p w14:paraId="70C2A5AE" w14:textId="77777777" w:rsidR="002E680B" w:rsidRPr="00143BCB" w:rsidRDefault="002E680B" w:rsidP="002E680B">
            <w:pPr>
              <w:widowControl/>
              <w:rPr>
                <w:rFonts w:ascii="Arial" w:eastAsia="Times New Roman" w:hAnsi="Arial" w:cs="Arial"/>
                <w:bCs/>
                <w:color w:val="000000"/>
                <w:sz w:val="20"/>
                <w:szCs w:val="20"/>
                <w:lang w:val="en-GB" w:eastAsia="en-GB"/>
              </w:rPr>
            </w:pPr>
            <w:r w:rsidRPr="00143BCB">
              <w:rPr>
                <w:rFonts w:ascii="Arial" w:eastAsia="Times New Roman" w:hAnsi="Arial" w:cs="Arial"/>
                <w:bCs/>
                <w:color w:val="000000"/>
                <w:sz w:val="20"/>
                <w:szCs w:val="20"/>
                <w:lang w:val="en-GB" w:eastAsia="en-GB"/>
              </w:rPr>
              <w:t>Every trust should be led by an effective and diverse board that is innovative and flexible, and whose role it is to promote the long-term sustainability of the trust as part of the ICS and wider healthcare system in England, generating value for members in the case of foundation trusts, and for all trusts, patients, service users and the public.</w:t>
            </w:r>
          </w:p>
        </w:tc>
        <w:tc>
          <w:tcPr>
            <w:tcW w:w="1005" w:type="dxa"/>
            <w:shd w:val="clear" w:color="000000" w:fill="FFFFFF"/>
            <w:vAlign w:val="center"/>
          </w:tcPr>
          <w:p w14:paraId="765AEB76"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Comply </w:t>
            </w:r>
          </w:p>
        </w:tc>
      </w:tr>
      <w:tr w:rsidR="002E680B" w:rsidRPr="00143BCB" w14:paraId="1471DA50" w14:textId="77777777" w:rsidTr="00143BCB">
        <w:trPr>
          <w:trHeight w:val="300"/>
          <w:jc w:val="center"/>
        </w:trPr>
        <w:tc>
          <w:tcPr>
            <w:tcW w:w="1710" w:type="dxa"/>
            <w:noWrap/>
            <w:vAlign w:val="center"/>
          </w:tcPr>
          <w:p w14:paraId="61114853"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A1.2</w:t>
            </w:r>
          </w:p>
        </w:tc>
        <w:tc>
          <w:tcPr>
            <w:tcW w:w="7708" w:type="dxa"/>
          </w:tcPr>
          <w:p w14:paraId="6F1081CC" w14:textId="77777777" w:rsidR="002E680B" w:rsidRPr="00143BCB" w:rsidRDefault="002E680B" w:rsidP="002E680B">
            <w:pPr>
              <w:widowControl/>
              <w:rPr>
                <w:rFonts w:ascii="Arial" w:eastAsia="Times New Roman" w:hAnsi="Arial" w:cs="Arial"/>
                <w:bCs/>
                <w:color w:val="000000"/>
                <w:sz w:val="20"/>
                <w:szCs w:val="20"/>
                <w:lang w:val="en-GB" w:eastAsia="en-GB"/>
              </w:rPr>
            </w:pPr>
            <w:r w:rsidRPr="00143BCB">
              <w:rPr>
                <w:rFonts w:ascii="Arial" w:eastAsia="Times New Roman" w:hAnsi="Arial" w:cs="Arial"/>
                <w:bCs/>
                <w:color w:val="000000"/>
                <w:sz w:val="20"/>
                <w:szCs w:val="20"/>
                <w:lang w:val="en-GB" w:eastAsia="en-GB"/>
              </w:rPr>
              <w:t xml:space="preserve">The board of directors should establish the trust’s vision, values and strategy, ensuring alignment with the ICP’s integrated care strategy and ensuring decision-making complies with the triple aim duty of better health and wellbeing for everyone, better quality of health services for all individuals and sustainable use of NHS resources. The board of directors must satisfy itself that the trust’s vision, values and culture are aligned. All directors must act with integrity, </w:t>
            </w:r>
            <w:proofErr w:type="spellStart"/>
            <w:r w:rsidRPr="00143BCB">
              <w:rPr>
                <w:rFonts w:ascii="Arial" w:eastAsia="Times New Roman" w:hAnsi="Arial" w:cs="Arial"/>
                <w:bCs/>
                <w:color w:val="000000"/>
                <w:sz w:val="20"/>
                <w:szCs w:val="20"/>
                <w:lang w:val="en-GB" w:eastAsia="en-GB"/>
              </w:rPr>
              <w:t>lead</w:t>
            </w:r>
            <w:proofErr w:type="spellEnd"/>
            <w:r w:rsidRPr="00143BCB">
              <w:rPr>
                <w:rFonts w:ascii="Arial" w:eastAsia="Times New Roman" w:hAnsi="Arial" w:cs="Arial"/>
                <w:bCs/>
                <w:color w:val="000000"/>
                <w:sz w:val="20"/>
                <w:szCs w:val="20"/>
                <w:lang w:val="en-GB" w:eastAsia="en-GB"/>
              </w:rPr>
              <w:t xml:space="preserve"> by example and promote the desired culture.</w:t>
            </w:r>
          </w:p>
        </w:tc>
        <w:tc>
          <w:tcPr>
            <w:tcW w:w="1005" w:type="dxa"/>
            <w:shd w:val="clear" w:color="000000" w:fill="FFFFFF"/>
            <w:vAlign w:val="center"/>
          </w:tcPr>
          <w:p w14:paraId="675073A8"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Comply </w:t>
            </w:r>
          </w:p>
        </w:tc>
      </w:tr>
      <w:tr w:rsidR="002E680B" w:rsidRPr="00143BCB" w14:paraId="7AC0A1E1" w14:textId="77777777" w:rsidTr="00143BCB">
        <w:trPr>
          <w:trHeight w:val="300"/>
          <w:jc w:val="center"/>
        </w:trPr>
        <w:tc>
          <w:tcPr>
            <w:tcW w:w="1710" w:type="dxa"/>
            <w:noWrap/>
            <w:vAlign w:val="center"/>
          </w:tcPr>
          <w:p w14:paraId="6ED0E037"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A1.3</w:t>
            </w:r>
          </w:p>
        </w:tc>
        <w:tc>
          <w:tcPr>
            <w:tcW w:w="7708" w:type="dxa"/>
          </w:tcPr>
          <w:p w14:paraId="5E367DD0" w14:textId="77777777" w:rsidR="002E680B" w:rsidRPr="00143BCB" w:rsidRDefault="002E680B" w:rsidP="002E680B">
            <w:pPr>
              <w:widowControl/>
              <w:rPr>
                <w:rFonts w:ascii="Arial" w:eastAsia="Times New Roman" w:hAnsi="Arial" w:cs="Arial"/>
                <w:bCs/>
                <w:color w:val="000000"/>
                <w:sz w:val="20"/>
                <w:szCs w:val="20"/>
                <w:lang w:val="en-GB" w:eastAsia="en-GB"/>
              </w:rPr>
            </w:pPr>
            <w:r w:rsidRPr="00143BCB">
              <w:rPr>
                <w:rFonts w:ascii="Arial" w:eastAsia="Times New Roman" w:hAnsi="Arial" w:cs="Arial"/>
                <w:bCs/>
                <w:color w:val="000000"/>
                <w:sz w:val="20"/>
                <w:szCs w:val="20"/>
                <w:lang w:val="en-GB" w:eastAsia="en-GB"/>
              </w:rPr>
              <w:t>The board of directors should give particular attention to the trust’s role in reducing health inequalities in access, experience and outcomes.</w:t>
            </w:r>
          </w:p>
        </w:tc>
        <w:tc>
          <w:tcPr>
            <w:tcW w:w="1005" w:type="dxa"/>
            <w:shd w:val="clear" w:color="000000" w:fill="FFFFFF"/>
            <w:vAlign w:val="center"/>
          </w:tcPr>
          <w:p w14:paraId="6B857AB0"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Comply </w:t>
            </w:r>
          </w:p>
        </w:tc>
      </w:tr>
      <w:tr w:rsidR="002E680B" w:rsidRPr="00143BCB" w14:paraId="6C5AB54F" w14:textId="77777777" w:rsidTr="00143BCB">
        <w:trPr>
          <w:trHeight w:val="300"/>
          <w:jc w:val="center"/>
        </w:trPr>
        <w:tc>
          <w:tcPr>
            <w:tcW w:w="1710" w:type="dxa"/>
            <w:noWrap/>
            <w:vAlign w:val="center"/>
          </w:tcPr>
          <w:p w14:paraId="4B0F1CF7"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A1.4</w:t>
            </w:r>
          </w:p>
        </w:tc>
        <w:tc>
          <w:tcPr>
            <w:tcW w:w="7708" w:type="dxa"/>
          </w:tcPr>
          <w:p w14:paraId="1DD6FCAF" w14:textId="77777777" w:rsidR="002E680B" w:rsidRPr="00143BCB" w:rsidRDefault="002E680B" w:rsidP="002E680B">
            <w:pPr>
              <w:widowControl/>
              <w:rPr>
                <w:rFonts w:ascii="Arial" w:eastAsia="Times New Roman" w:hAnsi="Arial" w:cs="Arial"/>
                <w:bCs/>
                <w:color w:val="000000"/>
                <w:sz w:val="20"/>
                <w:szCs w:val="20"/>
                <w:lang w:val="en-GB" w:eastAsia="en-GB"/>
              </w:rPr>
            </w:pPr>
            <w:r w:rsidRPr="00143BCB">
              <w:rPr>
                <w:rFonts w:ascii="Arial" w:eastAsia="Times New Roman" w:hAnsi="Arial" w:cs="Arial"/>
                <w:bCs/>
                <w:color w:val="000000"/>
                <w:sz w:val="20"/>
                <w:szCs w:val="20"/>
                <w:lang w:val="en-GB" w:eastAsia="en-GB"/>
              </w:rPr>
              <w:t>The board of directors should ensure that the necessary resources are in place for the trust to meet its objectives, including the trust’s contribution to the objectives set out in the five-year joint plan and annual capital plan agreed by the ICB and its partners, and measure performance against them. The board of directors should also establish a framework of prudent and effective controls that enable risk to be assessed and managed. For their part, all board members – and in particular non-executives whose time may be constrained – should ensure they collectively have sufficient time and resource to carry out their functions.</w:t>
            </w:r>
          </w:p>
        </w:tc>
        <w:tc>
          <w:tcPr>
            <w:tcW w:w="1005" w:type="dxa"/>
            <w:shd w:val="clear" w:color="000000" w:fill="FFFFFF"/>
            <w:vAlign w:val="center"/>
          </w:tcPr>
          <w:p w14:paraId="5BA88DF4"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Comply </w:t>
            </w:r>
          </w:p>
        </w:tc>
      </w:tr>
      <w:tr w:rsidR="002E680B" w:rsidRPr="00143BCB" w14:paraId="6C855CCE" w14:textId="77777777" w:rsidTr="00143BCB">
        <w:trPr>
          <w:trHeight w:val="300"/>
          <w:jc w:val="center"/>
        </w:trPr>
        <w:tc>
          <w:tcPr>
            <w:tcW w:w="1710" w:type="dxa"/>
            <w:noWrap/>
            <w:vAlign w:val="center"/>
          </w:tcPr>
          <w:p w14:paraId="6EEA9893"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A1.5</w:t>
            </w:r>
          </w:p>
        </w:tc>
        <w:tc>
          <w:tcPr>
            <w:tcW w:w="7708" w:type="dxa"/>
          </w:tcPr>
          <w:p w14:paraId="38EC296D" w14:textId="77777777" w:rsidR="002E680B" w:rsidRPr="00143BCB" w:rsidRDefault="002E680B" w:rsidP="002E680B">
            <w:pPr>
              <w:widowControl/>
              <w:rPr>
                <w:rFonts w:ascii="Arial" w:eastAsia="Times New Roman" w:hAnsi="Arial" w:cs="Arial"/>
                <w:bCs/>
                <w:color w:val="000000"/>
                <w:sz w:val="20"/>
                <w:szCs w:val="20"/>
                <w:lang w:val="en-GB" w:eastAsia="en-GB"/>
              </w:rPr>
            </w:pPr>
            <w:r w:rsidRPr="00143BCB">
              <w:rPr>
                <w:rFonts w:ascii="Arial" w:eastAsia="Times New Roman" w:hAnsi="Arial" w:cs="Arial"/>
                <w:bCs/>
                <w:color w:val="000000"/>
                <w:sz w:val="20"/>
                <w:szCs w:val="20"/>
                <w:lang w:val="en-GB" w:eastAsia="en-GB"/>
              </w:rPr>
              <w:t>For the trust to meet its responsibilities to stakeholders, including patients, staff, the community and system partners, the board of directors should ensure effective engagement with them, and encourage collaborative working at all levels with system partners.</w:t>
            </w:r>
          </w:p>
        </w:tc>
        <w:tc>
          <w:tcPr>
            <w:tcW w:w="1005" w:type="dxa"/>
            <w:shd w:val="clear" w:color="000000" w:fill="FFFFFF"/>
            <w:vAlign w:val="center"/>
          </w:tcPr>
          <w:p w14:paraId="56FE1556"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Comply </w:t>
            </w:r>
          </w:p>
        </w:tc>
      </w:tr>
      <w:tr w:rsidR="002E680B" w:rsidRPr="00143BCB" w14:paraId="24C8AD76" w14:textId="77777777" w:rsidTr="00143BCB">
        <w:trPr>
          <w:trHeight w:val="300"/>
          <w:jc w:val="center"/>
        </w:trPr>
        <w:tc>
          <w:tcPr>
            <w:tcW w:w="1710" w:type="dxa"/>
            <w:noWrap/>
            <w:vAlign w:val="center"/>
          </w:tcPr>
          <w:p w14:paraId="53463F80"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A1.6</w:t>
            </w:r>
          </w:p>
        </w:tc>
        <w:tc>
          <w:tcPr>
            <w:tcW w:w="7708" w:type="dxa"/>
          </w:tcPr>
          <w:p w14:paraId="48FEE44C" w14:textId="77777777" w:rsidR="002E680B" w:rsidRPr="00143BCB" w:rsidRDefault="002E680B" w:rsidP="002E680B">
            <w:pPr>
              <w:widowControl/>
              <w:rPr>
                <w:rFonts w:ascii="Arial" w:eastAsia="Times New Roman" w:hAnsi="Arial" w:cs="Arial"/>
                <w:bCs/>
                <w:color w:val="000000"/>
                <w:sz w:val="20"/>
                <w:szCs w:val="20"/>
                <w:lang w:val="en-GB" w:eastAsia="en-GB"/>
              </w:rPr>
            </w:pPr>
            <w:r w:rsidRPr="00143BCB">
              <w:rPr>
                <w:rFonts w:ascii="Arial" w:eastAsia="Times New Roman" w:hAnsi="Arial" w:cs="Arial"/>
                <w:bCs/>
                <w:color w:val="000000"/>
                <w:sz w:val="20"/>
                <w:szCs w:val="20"/>
                <w:lang w:val="en-GB" w:eastAsia="en-GB"/>
              </w:rPr>
              <w:t>The board of directors should ensure that workforce policies and practices are consistent with the trust’s values and support its long-term sustainability. The workforce should be able to raise any matters of concern. The board is responsible for ensuring effective workforce planning aimed at delivering high quality of care.</w:t>
            </w:r>
          </w:p>
        </w:tc>
        <w:tc>
          <w:tcPr>
            <w:tcW w:w="1005" w:type="dxa"/>
            <w:shd w:val="clear" w:color="000000" w:fill="FFFFFF"/>
            <w:vAlign w:val="center"/>
          </w:tcPr>
          <w:p w14:paraId="7589066E"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Comply </w:t>
            </w:r>
          </w:p>
        </w:tc>
      </w:tr>
      <w:tr w:rsidR="002E680B" w:rsidRPr="00143BCB" w14:paraId="55CF756D" w14:textId="77777777" w:rsidTr="00143BCB">
        <w:trPr>
          <w:trHeight w:val="300"/>
          <w:jc w:val="center"/>
        </w:trPr>
        <w:tc>
          <w:tcPr>
            <w:tcW w:w="1710" w:type="dxa"/>
            <w:shd w:val="clear" w:color="auto" w:fill="D9D9D9"/>
            <w:noWrap/>
            <w:vAlign w:val="center"/>
            <w:hideMark/>
          </w:tcPr>
          <w:p w14:paraId="41B35951" w14:textId="77777777" w:rsidR="002E680B" w:rsidRPr="00143BCB" w:rsidRDefault="002E680B" w:rsidP="002E680B">
            <w:pPr>
              <w:widowControl/>
              <w:jc w:val="center"/>
              <w:rPr>
                <w:rFonts w:ascii="Arial" w:eastAsia="Times New Roman" w:hAnsi="Arial" w:cs="Arial"/>
                <w:b/>
                <w:color w:val="000000"/>
                <w:sz w:val="20"/>
                <w:szCs w:val="20"/>
                <w:lang w:val="en-GB" w:eastAsia="en-GB"/>
              </w:rPr>
            </w:pPr>
            <w:r w:rsidRPr="00143BCB">
              <w:rPr>
                <w:rFonts w:ascii="Arial" w:eastAsia="Times New Roman" w:hAnsi="Arial" w:cs="Arial"/>
                <w:b/>
                <w:color w:val="000000"/>
                <w:sz w:val="20"/>
                <w:szCs w:val="20"/>
                <w:lang w:val="en-GB" w:eastAsia="en-GB"/>
              </w:rPr>
              <w:t>A2</w:t>
            </w:r>
          </w:p>
        </w:tc>
        <w:tc>
          <w:tcPr>
            <w:tcW w:w="7708" w:type="dxa"/>
            <w:shd w:val="clear" w:color="auto" w:fill="D9D9D9"/>
            <w:hideMark/>
          </w:tcPr>
          <w:p w14:paraId="18763CEA" w14:textId="77777777" w:rsidR="002E680B" w:rsidRPr="00143BCB" w:rsidRDefault="002E680B" w:rsidP="002E680B">
            <w:pPr>
              <w:widowControl/>
              <w:rPr>
                <w:rFonts w:ascii="Arial" w:eastAsia="Times New Roman" w:hAnsi="Arial" w:cs="Arial"/>
                <w:b/>
                <w:bCs/>
                <w:color w:val="000000"/>
                <w:sz w:val="20"/>
                <w:szCs w:val="20"/>
                <w:lang w:val="en-GB" w:eastAsia="en-GB"/>
              </w:rPr>
            </w:pPr>
            <w:r w:rsidRPr="00143BCB">
              <w:rPr>
                <w:rFonts w:ascii="Arial" w:eastAsia="Times New Roman" w:hAnsi="Arial" w:cs="Arial"/>
                <w:b/>
                <w:bCs/>
                <w:color w:val="000000"/>
                <w:sz w:val="20"/>
                <w:szCs w:val="20"/>
                <w:lang w:val="en-GB" w:eastAsia="en-GB"/>
              </w:rPr>
              <w:t xml:space="preserve">Provisions </w:t>
            </w:r>
          </w:p>
        </w:tc>
        <w:tc>
          <w:tcPr>
            <w:tcW w:w="1005" w:type="dxa"/>
            <w:shd w:val="clear" w:color="auto" w:fill="D9D9D9"/>
            <w:hideMark/>
          </w:tcPr>
          <w:p w14:paraId="0B0B913D" w14:textId="77777777" w:rsidR="002E680B" w:rsidRPr="00143BCB" w:rsidRDefault="002E680B" w:rsidP="002E680B">
            <w:pPr>
              <w:widowControl/>
              <w:rPr>
                <w:rFonts w:ascii="Arial" w:eastAsia="Times New Roman" w:hAnsi="Arial" w:cs="Arial"/>
                <w:b/>
                <w:color w:val="000000"/>
                <w:sz w:val="20"/>
                <w:szCs w:val="20"/>
                <w:lang w:val="en-GB" w:eastAsia="en-GB"/>
              </w:rPr>
            </w:pPr>
            <w:r w:rsidRPr="00143BCB">
              <w:rPr>
                <w:rFonts w:ascii="Arial" w:eastAsia="Times New Roman" w:hAnsi="Arial" w:cs="Arial"/>
                <w:b/>
                <w:color w:val="000000"/>
                <w:sz w:val="20"/>
                <w:szCs w:val="20"/>
                <w:lang w:val="en-GB" w:eastAsia="en-GB"/>
              </w:rPr>
              <w:t> </w:t>
            </w:r>
          </w:p>
        </w:tc>
      </w:tr>
      <w:tr w:rsidR="002E680B" w:rsidRPr="00143BCB" w14:paraId="197264DE" w14:textId="77777777" w:rsidTr="00143BCB">
        <w:trPr>
          <w:trHeight w:val="1842"/>
          <w:jc w:val="center"/>
        </w:trPr>
        <w:tc>
          <w:tcPr>
            <w:tcW w:w="1710" w:type="dxa"/>
            <w:shd w:val="clear" w:color="000000" w:fill="FFFFFF"/>
            <w:noWrap/>
            <w:vAlign w:val="center"/>
            <w:hideMark/>
          </w:tcPr>
          <w:p w14:paraId="12D8AD25"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A2.1</w:t>
            </w:r>
          </w:p>
        </w:tc>
        <w:tc>
          <w:tcPr>
            <w:tcW w:w="7708" w:type="dxa"/>
            <w:shd w:val="clear" w:color="000000" w:fill="FFFFFF"/>
            <w:hideMark/>
          </w:tcPr>
          <w:p w14:paraId="1D77100D"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The board of directors should assess the basis on which the trust ensures its effectiveness, efficiency and economy, as well as the quality of its healthcare delivery over the long term, and contribution to the objectives of the ICP and ICB, and place-based partnerships. The board of directors should ensure the trust actively addresses opportunities to work with other providers to tackle shared challenges through entering into partnership arrangements such as provider collaboratives. The trust should describe in its annual report how opportunities and risks to future sustainability have been considered and addressed, and how its governance is contributing to the delivery of its strategy.</w:t>
            </w:r>
          </w:p>
        </w:tc>
        <w:tc>
          <w:tcPr>
            <w:tcW w:w="1005" w:type="dxa"/>
            <w:shd w:val="clear" w:color="000000" w:fill="FFFFFF"/>
            <w:vAlign w:val="center"/>
            <w:hideMark/>
          </w:tcPr>
          <w:p w14:paraId="7BAF919E"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Comply </w:t>
            </w:r>
          </w:p>
        </w:tc>
      </w:tr>
      <w:tr w:rsidR="002E680B" w:rsidRPr="00143BCB" w14:paraId="05777DFB" w14:textId="77777777" w:rsidTr="00143BCB">
        <w:trPr>
          <w:trHeight w:val="552"/>
          <w:jc w:val="center"/>
        </w:trPr>
        <w:tc>
          <w:tcPr>
            <w:tcW w:w="1710" w:type="dxa"/>
            <w:shd w:val="clear" w:color="000000" w:fill="FFFFFF"/>
            <w:noWrap/>
            <w:vAlign w:val="center"/>
            <w:hideMark/>
          </w:tcPr>
          <w:p w14:paraId="549465E6"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A2.2</w:t>
            </w:r>
          </w:p>
        </w:tc>
        <w:tc>
          <w:tcPr>
            <w:tcW w:w="7708" w:type="dxa"/>
            <w:shd w:val="clear" w:color="000000" w:fill="FFFFFF"/>
            <w:hideMark/>
          </w:tcPr>
          <w:p w14:paraId="5C160CCF"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The board of directors should develop, embody and articulate a clear vision and values for the trust, with reference to the ICP’s integrated care strategy and the </w:t>
            </w:r>
            <w:r w:rsidRPr="00143BCB">
              <w:rPr>
                <w:rFonts w:ascii="Arial" w:eastAsia="Times New Roman" w:hAnsi="Arial" w:cs="Arial"/>
                <w:color w:val="000000"/>
                <w:sz w:val="20"/>
                <w:szCs w:val="20"/>
                <w:lang w:val="en-GB" w:eastAsia="en-GB"/>
              </w:rPr>
              <w:lastRenderedPageBreak/>
              <w:t>trust’s role within system and place-based partnerships, and provider collaborative. This should be a formally agreed statement of the organisation’s purpose and intended outcomes, and the behaviours used to achieve them. It can be used as a basis for the organisation’s overall strategy, planning, collaboration with system partners and other decisions.</w:t>
            </w:r>
          </w:p>
        </w:tc>
        <w:tc>
          <w:tcPr>
            <w:tcW w:w="1005" w:type="dxa"/>
            <w:shd w:val="clear" w:color="000000" w:fill="FFFFFF"/>
            <w:vAlign w:val="center"/>
            <w:hideMark/>
          </w:tcPr>
          <w:p w14:paraId="54F63C63"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lastRenderedPageBreak/>
              <w:t xml:space="preserve">Comply </w:t>
            </w:r>
          </w:p>
        </w:tc>
      </w:tr>
      <w:tr w:rsidR="002E680B" w:rsidRPr="00143BCB" w14:paraId="1AA8A995" w14:textId="77777777" w:rsidTr="00143BCB">
        <w:trPr>
          <w:trHeight w:val="1408"/>
          <w:jc w:val="center"/>
        </w:trPr>
        <w:tc>
          <w:tcPr>
            <w:tcW w:w="1710" w:type="dxa"/>
            <w:shd w:val="clear" w:color="000000" w:fill="FFFFFF"/>
            <w:noWrap/>
            <w:vAlign w:val="center"/>
            <w:hideMark/>
          </w:tcPr>
          <w:p w14:paraId="5428BBC2"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A2.3</w:t>
            </w:r>
          </w:p>
        </w:tc>
        <w:tc>
          <w:tcPr>
            <w:tcW w:w="7708" w:type="dxa"/>
            <w:shd w:val="clear" w:color="000000" w:fill="FFFFFF"/>
            <w:hideMark/>
          </w:tcPr>
          <w:p w14:paraId="39B7D672"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The board of directors should assess and monitor culture. Where it is not satisfied that policy, practices or behaviour throughout the business are aligned with the trust’s vision, values and strategy, it should seek assurance that management has taken corrective action. The annual report should explain the board’s activities and any action taken, and the trust’s approach to investing in, rewarding and promoting the wellbeing of its workforce</w:t>
            </w:r>
          </w:p>
        </w:tc>
        <w:tc>
          <w:tcPr>
            <w:tcW w:w="1005" w:type="dxa"/>
            <w:shd w:val="clear" w:color="000000" w:fill="FFFFFF"/>
            <w:vAlign w:val="center"/>
            <w:hideMark/>
          </w:tcPr>
          <w:p w14:paraId="5CAAAC81"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Comply </w:t>
            </w:r>
          </w:p>
        </w:tc>
      </w:tr>
      <w:tr w:rsidR="002E680B" w:rsidRPr="00143BCB" w14:paraId="6DC9791D" w14:textId="77777777" w:rsidTr="00143BCB">
        <w:trPr>
          <w:trHeight w:val="416"/>
          <w:jc w:val="center"/>
        </w:trPr>
        <w:tc>
          <w:tcPr>
            <w:tcW w:w="1710" w:type="dxa"/>
            <w:shd w:val="clear" w:color="000000" w:fill="FFFFFF"/>
            <w:noWrap/>
            <w:vAlign w:val="center"/>
            <w:hideMark/>
          </w:tcPr>
          <w:p w14:paraId="537E6F00"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A2.4</w:t>
            </w:r>
          </w:p>
        </w:tc>
        <w:tc>
          <w:tcPr>
            <w:tcW w:w="7708" w:type="dxa"/>
            <w:shd w:val="clear" w:color="000000" w:fill="FFFFFF"/>
            <w:hideMark/>
          </w:tcPr>
          <w:p w14:paraId="347543D8"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The board of directors should ensure that adequate systems and processes are maintained to measure and monitor the trust’s effectiveness, efficiency and economy, the quality of its healthcare delivery, the success of its contribution to the delivery of the five-year joint plan for health services and annual capital plan agreed by the ICB and its partners (This may also include working to deliver the financial duties and objectives the trust is collectively responsible for with ICB partners, and improving quality and outcomes and reducing unwarranted variation and inequalities across the system), and that risk is managed effectively. The board should regularly review the trust’s performance in these areas against regulatory and contractual obligations, and approved plans and objectives, including those agreed through place-based partnerships and provider collaboratives.</w:t>
            </w:r>
          </w:p>
        </w:tc>
        <w:tc>
          <w:tcPr>
            <w:tcW w:w="1005" w:type="dxa"/>
            <w:shd w:val="clear" w:color="000000" w:fill="FFFFFF"/>
            <w:vAlign w:val="center"/>
            <w:hideMark/>
          </w:tcPr>
          <w:p w14:paraId="11B87E14"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Comply </w:t>
            </w:r>
          </w:p>
        </w:tc>
      </w:tr>
      <w:tr w:rsidR="002E680B" w:rsidRPr="00143BCB" w14:paraId="278EF28D" w14:textId="77777777" w:rsidTr="00143BCB">
        <w:trPr>
          <w:trHeight w:val="416"/>
          <w:jc w:val="center"/>
        </w:trPr>
        <w:tc>
          <w:tcPr>
            <w:tcW w:w="1710" w:type="dxa"/>
            <w:shd w:val="clear" w:color="000000" w:fill="FFFFFF"/>
            <w:noWrap/>
            <w:vAlign w:val="center"/>
            <w:hideMark/>
          </w:tcPr>
          <w:p w14:paraId="6538420C"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A2.5</w:t>
            </w:r>
          </w:p>
        </w:tc>
        <w:tc>
          <w:tcPr>
            <w:tcW w:w="7708" w:type="dxa"/>
            <w:shd w:val="clear" w:color="000000" w:fill="FFFFFF"/>
            <w:hideMark/>
          </w:tcPr>
          <w:p w14:paraId="3A4AB195"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The board of directors should ensure that relevant metrics, measures, milestones and accountabilities are developed and agreed so as to understand and assess progress and performance, ensuring performance reports are disaggregated by ethnicity and deprivation where relevant. Where appropriate and particularly in high risk or complex areas, the board of directors should commission independent advice, e.g. from the internal audit function, to provide an adequate and reliable level of assurance.</w:t>
            </w:r>
          </w:p>
        </w:tc>
        <w:tc>
          <w:tcPr>
            <w:tcW w:w="1005" w:type="dxa"/>
            <w:shd w:val="clear" w:color="000000" w:fill="FFFFFF"/>
            <w:vAlign w:val="center"/>
            <w:hideMark/>
          </w:tcPr>
          <w:p w14:paraId="5E8B7832"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Comply </w:t>
            </w:r>
          </w:p>
        </w:tc>
      </w:tr>
      <w:tr w:rsidR="002E680B" w:rsidRPr="00143BCB" w14:paraId="6893410F" w14:textId="77777777" w:rsidTr="00143BCB">
        <w:trPr>
          <w:trHeight w:val="1121"/>
          <w:jc w:val="center"/>
        </w:trPr>
        <w:tc>
          <w:tcPr>
            <w:tcW w:w="1710" w:type="dxa"/>
            <w:shd w:val="clear" w:color="000000" w:fill="FFFFFF"/>
            <w:noWrap/>
            <w:vAlign w:val="center"/>
            <w:hideMark/>
          </w:tcPr>
          <w:p w14:paraId="31FBE3A4"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A2.6</w:t>
            </w:r>
          </w:p>
        </w:tc>
        <w:tc>
          <w:tcPr>
            <w:tcW w:w="7708" w:type="dxa"/>
            <w:shd w:val="clear" w:color="000000" w:fill="FFFFFF"/>
            <w:hideMark/>
          </w:tcPr>
          <w:p w14:paraId="2758CAF2"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The board of directors should report on its approach to clinical governance and its plan for the improvement of clinical quality in the context of guidance set out by the Department of Health and Social Care (DHSC), NHS England and the Care Quality Commission (CQC). The board should record where in the structure of the organisation clinical governance matters are considered.</w:t>
            </w:r>
          </w:p>
        </w:tc>
        <w:tc>
          <w:tcPr>
            <w:tcW w:w="1005" w:type="dxa"/>
            <w:shd w:val="clear" w:color="000000" w:fill="FFFFFF"/>
            <w:vAlign w:val="center"/>
            <w:hideMark/>
          </w:tcPr>
          <w:p w14:paraId="146E5A84"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Comply </w:t>
            </w:r>
          </w:p>
        </w:tc>
      </w:tr>
      <w:tr w:rsidR="002E680B" w:rsidRPr="00143BCB" w14:paraId="3522F20D" w14:textId="77777777" w:rsidTr="00143BCB">
        <w:trPr>
          <w:trHeight w:val="1382"/>
          <w:jc w:val="center"/>
        </w:trPr>
        <w:tc>
          <w:tcPr>
            <w:tcW w:w="1710" w:type="dxa"/>
            <w:shd w:val="clear" w:color="000000" w:fill="FFFFFF"/>
            <w:noWrap/>
            <w:vAlign w:val="center"/>
            <w:hideMark/>
          </w:tcPr>
          <w:p w14:paraId="7433C4BF"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A2.7</w:t>
            </w:r>
          </w:p>
        </w:tc>
        <w:tc>
          <w:tcPr>
            <w:tcW w:w="7708" w:type="dxa"/>
            <w:shd w:val="clear" w:color="000000" w:fill="FFFFFF"/>
            <w:hideMark/>
          </w:tcPr>
          <w:p w14:paraId="010FCD99"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The chair and board should regularly engage with stakeholders, including patients, staff, the community and system partners, in a culturally competent way, to understand their views on governance and performance against the trust’s vision. Committee chairs should engage with stakeholders on significant matters related to their areas of responsibility. The chair should ensure that the board of directors as a whole has a clear understanding of the views of all stakeholders including system partners. NHS foundation trusts must hold a members’ meeting at least annually. Provisions regarding the role of the council of governors in stakeholder engagement are contained in Appendix B.</w:t>
            </w:r>
          </w:p>
        </w:tc>
        <w:tc>
          <w:tcPr>
            <w:tcW w:w="1005" w:type="dxa"/>
            <w:shd w:val="clear" w:color="000000" w:fill="FFFFFF"/>
            <w:vAlign w:val="center"/>
            <w:hideMark/>
          </w:tcPr>
          <w:p w14:paraId="564F23F3"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Comply </w:t>
            </w:r>
          </w:p>
        </w:tc>
      </w:tr>
      <w:tr w:rsidR="002E680B" w:rsidRPr="00143BCB" w14:paraId="2E428791" w14:textId="77777777" w:rsidTr="00143BCB">
        <w:trPr>
          <w:trHeight w:val="1121"/>
          <w:jc w:val="center"/>
        </w:trPr>
        <w:tc>
          <w:tcPr>
            <w:tcW w:w="1710" w:type="dxa"/>
            <w:shd w:val="clear" w:color="000000" w:fill="FFFFFF"/>
            <w:noWrap/>
            <w:vAlign w:val="center"/>
            <w:hideMark/>
          </w:tcPr>
          <w:p w14:paraId="18ACBAAF"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A2.8</w:t>
            </w:r>
          </w:p>
        </w:tc>
        <w:tc>
          <w:tcPr>
            <w:tcW w:w="7708" w:type="dxa"/>
            <w:shd w:val="clear" w:color="000000" w:fill="FFFFFF"/>
            <w:hideMark/>
          </w:tcPr>
          <w:p w14:paraId="35829CDF"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The board of directors should describe in the annual report how the interests of stakeholders, including system and place-based partners, have been considered in their discussions and decision-making, and set out the key partnerships for collaboration with other providers into which the trust has entered. The board of directors should keep engagement mechanisms under review so that they remain effective. The board should set out how the organisation’s governance processes oversee its collaboration with other organisations and any associated risk management arrangements.  </w:t>
            </w:r>
          </w:p>
        </w:tc>
        <w:tc>
          <w:tcPr>
            <w:tcW w:w="1005" w:type="dxa"/>
            <w:shd w:val="clear" w:color="000000" w:fill="FFFFFF"/>
            <w:vAlign w:val="center"/>
            <w:hideMark/>
          </w:tcPr>
          <w:p w14:paraId="6EC8F3EC"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Comply </w:t>
            </w:r>
          </w:p>
        </w:tc>
      </w:tr>
      <w:tr w:rsidR="002E680B" w:rsidRPr="00143BCB" w14:paraId="281C0E32" w14:textId="77777777" w:rsidTr="00143BCB">
        <w:trPr>
          <w:trHeight w:val="1166"/>
          <w:jc w:val="center"/>
        </w:trPr>
        <w:tc>
          <w:tcPr>
            <w:tcW w:w="1710" w:type="dxa"/>
            <w:shd w:val="clear" w:color="000000" w:fill="FFFFFF"/>
            <w:noWrap/>
            <w:vAlign w:val="center"/>
            <w:hideMark/>
          </w:tcPr>
          <w:p w14:paraId="49578FA1"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A2.9</w:t>
            </w:r>
          </w:p>
        </w:tc>
        <w:tc>
          <w:tcPr>
            <w:tcW w:w="7708" w:type="dxa"/>
            <w:shd w:val="clear" w:color="000000" w:fill="FFFFFF"/>
            <w:hideMark/>
          </w:tcPr>
          <w:p w14:paraId="3F2DF80B"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The workforce should have a means to raise concerns in confidence and – if they wish – anonymously. The board of directors should routinely review this and the reports arising from its operation. It should ensure that arrangements are in place for the proportionate and independent investigation of such matters and for follow-up action.</w:t>
            </w:r>
          </w:p>
        </w:tc>
        <w:tc>
          <w:tcPr>
            <w:tcW w:w="1005" w:type="dxa"/>
            <w:shd w:val="clear" w:color="000000" w:fill="FFFFFF"/>
            <w:vAlign w:val="center"/>
            <w:hideMark/>
          </w:tcPr>
          <w:p w14:paraId="61918EB1"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Comply </w:t>
            </w:r>
          </w:p>
        </w:tc>
      </w:tr>
      <w:tr w:rsidR="002E680B" w:rsidRPr="00143BCB" w14:paraId="255ECB8A" w14:textId="77777777" w:rsidTr="00ED7971">
        <w:trPr>
          <w:trHeight w:val="268"/>
          <w:jc w:val="center"/>
        </w:trPr>
        <w:tc>
          <w:tcPr>
            <w:tcW w:w="1710" w:type="dxa"/>
            <w:shd w:val="clear" w:color="000000" w:fill="FFFFFF"/>
            <w:noWrap/>
            <w:vAlign w:val="center"/>
            <w:hideMark/>
          </w:tcPr>
          <w:p w14:paraId="57594B3C"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A2.10</w:t>
            </w:r>
          </w:p>
        </w:tc>
        <w:tc>
          <w:tcPr>
            <w:tcW w:w="7708" w:type="dxa"/>
            <w:shd w:val="clear" w:color="000000" w:fill="FFFFFF"/>
            <w:hideMark/>
          </w:tcPr>
          <w:p w14:paraId="17A82A0C"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The board of directors should take-action to identify and manage conflicts of interest and ensure that the influence of third parties does not compromise or override independent judgement (directors are required to declare any business interests, position of authority in a charity or voluntary body in the field of health and social </w:t>
            </w:r>
            <w:r w:rsidRPr="00143BCB">
              <w:rPr>
                <w:rFonts w:ascii="Arial" w:eastAsia="Times New Roman" w:hAnsi="Arial" w:cs="Arial"/>
                <w:color w:val="000000"/>
                <w:sz w:val="20"/>
                <w:szCs w:val="20"/>
                <w:lang w:val="en-GB" w:eastAsia="en-GB"/>
              </w:rPr>
              <w:lastRenderedPageBreak/>
              <w:t>care, and any connection with bodies contracting for NHS services. The trust must enter these into a register available to the public in line with Managing conflicts of interest in the NHS: Guidance for staff and organisations. In addition, NHS foundation trust directors have a statutory duty to manage conflicts of interest. In the case of NHS trusts, certain individuals are disqualified from being directors on the basis of conflicting interests).</w:t>
            </w:r>
          </w:p>
        </w:tc>
        <w:tc>
          <w:tcPr>
            <w:tcW w:w="1005" w:type="dxa"/>
            <w:shd w:val="clear" w:color="000000" w:fill="FFFFFF"/>
            <w:vAlign w:val="center"/>
            <w:hideMark/>
          </w:tcPr>
          <w:p w14:paraId="2961BB65"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lastRenderedPageBreak/>
              <w:t xml:space="preserve">Comply </w:t>
            </w:r>
          </w:p>
        </w:tc>
      </w:tr>
      <w:tr w:rsidR="002E680B" w:rsidRPr="00143BCB" w14:paraId="3A4F162B" w14:textId="77777777" w:rsidTr="00143BCB">
        <w:trPr>
          <w:trHeight w:val="983"/>
          <w:jc w:val="center"/>
        </w:trPr>
        <w:tc>
          <w:tcPr>
            <w:tcW w:w="1710" w:type="dxa"/>
            <w:shd w:val="clear" w:color="000000" w:fill="FFFFFF"/>
            <w:noWrap/>
            <w:vAlign w:val="center"/>
            <w:hideMark/>
          </w:tcPr>
          <w:p w14:paraId="40B3294D"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A2.11</w:t>
            </w:r>
          </w:p>
        </w:tc>
        <w:tc>
          <w:tcPr>
            <w:tcW w:w="7708" w:type="dxa"/>
            <w:shd w:val="clear" w:color="000000" w:fill="FFFFFF"/>
            <w:hideMark/>
          </w:tcPr>
          <w:p w14:paraId="34444358"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Where directors have concerns about the operation of the board or the management of the trust that cannot be resolved, these should be recorded in the board minutes. If on resignation a non-executive director has any such concerns, they should provide a written statement to the chair, for circulation to the board.</w:t>
            </w:r>
          </w:p>
        </w:tc>
        <w:tc>
          <w:tcPr>
            <w:tcW w:w="1005" w:type="dxa"/>
            <w:shd w:val="clear" w:color="000000" w:fill="FFFFFF"/>
            <w:vAlign w:val="center"/>
            <w:hideMark/>
          </w:tcPr>
          <w:p w14:paraId="39D84EAD"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068A0716" w14:textId="77777777" w:rsidTr="00143BCB">
        <w:trPr>
          <w:trHeight w:val="300"/>
          <w:jc w:val="center"/>
        </w:trPr>
        <w:tc>
          <w:tcPr>
            <w:tcW w:w="1710" w:type="dxa"/>
            <w:shd w:val="clear" w:color="auto" w:fill="D9D9D9"/>
            <w:noWrap/>
            <w:vAlign w:val="center"/>
          </w:tcPr>
          <w:p w14:paraId="071248DD" w14:textId="77777777" w:rsidR="002E680B" w:rsidRPr="00143BCB" w:rsidRDefault="002E680B" w:rsidP="002E680B">
            <w:pPr>
              <w:widowControl/>
              <w:jc w:val="center"/>
              <w:rPr>
                <w:rFonts w:ascii="Arial" w:eastAsia="Times New Roman" w:hAnsi="Arial" w:cs="Arial"/>
                <w:b/>
                <w:color w:val="000000"/>
                <w:sz w:val="20"/>
                <w:szCs w:val="20"/>
                <w:lang w:val="en-GB" w:eastAsia="en-GB"/>
              </w:rPr>
            </w:pPr>
            <w:r w:rsidRPr="00143BCB">
              <w:rPr>
                <w:rFonts w:ascii="Arial" w:eastAsia="Times New Roman" w:hAnsi="Arial" w:cs="Arial"/>
                <w:b/>
                <w:color w:val="000000"/>
                <w:sz w:val="20"/>
                <w:szCs w:val="20"/>
                <w:lang w:val="en-GB" w:eastAsia="en-GB"/>
              </w:rPr>
              <w:t>B1</w:t>
            </w:r>
          </w:p>
        </w:tc>
        <w:tc>
          <w:tcPr>
            <w:tcW w:w="7708" w:type="dxa"/>
            <w:shd w:val="clear" w:color="auto" w:fill="D9D9D9"/>
          </w:tcPr>
          <w:p w14:paraId="63820692" w14:textId="77777777" w:rsidR="002E680B" w:rsidRPr="00143BCB" w:rsidRDefault="002E680B" w:rsidP="002E680B">
            <w:pPr>
              <w:widowControl/>
              <w:rPr>
                <w:rFonts w:ascii="Arial" w:eastAsia="Times New Roman" w:hAnsi="Arial" w:cs="Arial"/>
                <w:b/>
                <w:bCs/>
                <w:color w:val="000000"/>
                <w:sz w:val="20"/>
                <w:szCs w:val="20"/>
                <w:u w:val="single"/>
                <w:lang w:val="en-GB" w:eastAsia="en-GB"/>
              </w:rPr>
            </w:pPr>
            <w:r w:rsidRPr="00143BCB">
              <w:rPr>
                <w:rFonts w:ascii="Arial" w:eastAsia="Times New Roman" w:hAnsi="Arial" w:cs="Arial"/>
                <w:b/>
                <w:bCs/>
                <w:color w:val="000000"/>
                <w:sz w:val="20"/>
                <w:szCs w:val="20"/>
                <w:u w:val="single"/>
                <w:lang w:val="en-GB" w:eastAsia="en-GB"/>
              </w:rPr>
              <w:t>SECTION B:</w:t>
            </w:r>
            <w:r w:rsidRPr="00143BCB">
              <w:rPr>
                <w:rFonts w:ascii="Arial" w:eastAsia="Times New Roman" w:hAnsi="Arial" w:cs="Times New Roman"/>
                <w:sz w:val="20"/>
                <w:szCs w:val="20"/>
                <w:u w:val="single"/>
                <w:lang w:val="en-GB"/>
              </w:rPr>
              <w:t xml:space="preserve"> </w:t>
            </w:r>
            <w:r w:rsidRPr="00143BCB">
              <w:rPr>
                <w:rFonts w:ascii="Arial" w:eastAsia="Times New Roman" w:hAnsi="Arial" w:cs="Arial"/>
                <w:b/>
                <w:bCs/>
                <w:color w:val="000000"/>
                <w:sz w:val="20"/>
                <w:szCs w:val="20"/>
                <w:u w:val="single"/>
                <w:lang w:val="en-GB" w:eastAsia="en-GB"/>
              </w:rPr>
              <w:t>Division of responsibilities</w:t>
            </w:r>
          </w:p>
          <w:p w14:paraId="0E430966" w14:textId="77777777" w:rsidR="002E680B" w:rsidRPr="00143BCB" w:rsidRDefault="002E680B" w:rsidP="002E680B">
            <w:pPr>
              <w:widowControl/>
              <w:rPr>
                <w:rFonts w:ascii="Arial" w:eastAsia="Times New Roman" w:hAnsi="Arial" w:cs="Arial"/>
                <w:b/>
                <w:bCs/>
                <w:color w:val="000000"/>
                <w:sz w:val="20"/>
                <w:szCs w:val="20"/>
                <w:lang w:val="en-GB" w:eastAsia="en-GB"/>
              </w:rPr>
            </w:pPr>
            <w:r w:rsidRPr="00143BCB">
              <w:rPr>
                <w:rFonts w:ascii="Arial" w:eastAsia="Times New Roman" w:hAnsi="Arial" w:cs="Arial"/>
                <w:b/>
                <w:bCs/>
                <w:color w:val="000000"/>
                <w:sz w:val="20"/>
                <w:szCs w:val="20"/>
                <w:lang w:val="en-GB" w:eastAsia="en-GB"/>
              </w:rPr>
              <w:t xml:space="preserve">Principles </w:t>
            </w:r>
          </w:p>
        </w:tc>
        <w:tc>
          <w:tcPr>
            <w:tcW w:w="1005" w:type="dxa"/>
            <w:shd w:val="clear" w:color="auto" w:fill="D9D9D9"/>
          </w:tcPr>
          <w:p w14:paraId="3CCC5949" w14:textId="77777777" w:rsidR="002E680B" w:rsidRPr="00143BCB" w:rsidRDefault="002E680B" w:rsidP="002E680B">
            <w:pPr>
              <w:widowControl/>
              <w:rPr>
                <w:rFonts w:ascii="Arial" w:eastAsia="Times New Roman" w:hAnsi="Arial" w:cs="Arial"/>
                <w:b/>
                <w:color w:val="000000"/>
                <w:sz w:val="20"/>
                <w:szCs w:val="20"/>
                <w:lang w:val="en-GB" w:eastAsia="en-GB"/>
              </w:rPr>
            </w:pPr>
          </w:p>
        </w:tc>
      </w:tr>
      <w:tr w:rsidR="002E680B" w:rsidRPr="00143BCB" w14:paraId="5FA8391F" w14:textId="77777777" w:rsidTr="00143BCB">
        <w:trPr>
          <w:trHeight w:val="300"/>
          <w:jc w:val="center"/>
        </w:trPr>
        <w:tc>
          <w:tcPr>
            <w:tcW w:w="1710" w:type="dxa"/>
            <w:noWrap/>
            <w:vAlign w:val="center"/>
          </w:tcPr>
          <w:p w14:paraId="783E87FE"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B1.1</w:t>
            </w:r>
          </w:p>
        </w:tc>
        <w:tc>
          <w:tcPr>
            <w:tcW w:w="7708" w:type="dxa"/>
          </w:tcPr>
          <w:p w14:paraId="11F41389"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The chair leads the board of directors and, for foundation trusts, the council of governors, and is responsible for its overall effectiveness in leading and directing the trust. They should demonstrate objective judgement throughout their tenure and promote a culture of honesty, openness, trust and debate. In addition, the chair facilitates constructive board relations and the effective contribution of all non-executive directors, and ensures that directors and, for foundation trusts, governors receive accurate, timely and clear information.</w:t>
            </w:r>
          </w:p>
        </w:tc>
        <w:tc>
          <w:tcPr>
            <w:tcW w:w="1005" w:type="dxa"/>
            <w:shd w:val="clear" w:color="000000" w:fill="FFFFFF"/>
            <w:vAlign w:val="center"/>
          </w:tcPr>
          <w:p w14:paraId="5B9E36C6"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132D89B2" w14:textId="77777777" w:rsidTr="00143BCB">
        <w:trPr>
          <w:trHeight w:val="300"/>
          <w:jc w:val="center"/>
        </w:trPr>
        <w:tc>
          <w:tcPr>
            <w:tcW w:w="1710" w:type="dxa"/>
            <w:noWrap/>
            <w:vAlign w:val="center"/>
          </w:tcPr>
          <w:p w14:paraId="53A44961"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B1.2</w:t>
            </w:r>
          </w:p>
        </w:tc>
        <w:tc>
          <w:tcPr>
            <w:tcW w:w="7708" w:type="dxa"/>
          </w:tcPr>
          <w:p w14:paraId="609FF663"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Responsibilities should be clearly divided between the leadership of the board and the executive leadership of the trust’s operations. No individual should have unfettered powers of decision.</w:t>
            </w:r>
          </w:p>
        </w:tc>
        <w:tc>
          <w:tcPr>
            <w:tcW w:w="1005" w:type="dxa"/>
            <w:shd w:val="clear" w:color="000000" w:fill="FFFFFF"/>
            <w:vAlign w:val="center"/>
          </w:tcPr>
          <w:p w14:paraId="73BC203C"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5EE04FB3" w14:textId="77777777" w:rsidTr="00143BCB">
        <w:trPr>
          <w:trHeight w:val="300"/>
          <w:jc w:val="center"/>
        </w:trPr>
        <w:tc>
          <w:tcPr>
            <w:tcW w:w="1710" w:type="dxa"/>
            <w:noWrap/>
            <w:vAlign w:val="center"/>
          </w:tcPr>
          <w:p w14:paraId="55083AB8"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B1.3</w:t>
            </w:r>
          </w:p>
        </w:tc>
        <w:tc>
          <w:tcPr>
            <w:tcW w:w="7708" w:type="dxa"/>
          </w:tcPr>
          <w:p w14:paraId="37C18281"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Non-executive directors should have sufficient time to meet their board responsibilities. They should provide constructive challenge and strategic guidance, offer specialist advice and lead in holding the executive to account.</w:t>
            </w:r>
          </w:p>
        </w:tc>
        <w:tc>
          <w:tcPr>
            <w:tcW w:w="1005" w:type="dxa"/>
            <w:shd w:val="clear" w:color="000000" w:fill="FFFFFF"/>
            <w:vAlign w:val="center"/>
          </w:tcPr>
          <w:p w14:paraId="15B86AA7"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1EB3DF37" w14:textId="77777777" w:rsidTr="00143BCB">
        <w:trPr>
          <w:trHeight w:val="300"/>
          <w:jc w:val="center"/>
        </w:trPr>
        <w:tc>
          <w:tcPr>
            <w:tcW w:w="1710" w:type="dxa"/>
            <w:noWrap/>
            <w:vAlign w:val="center"/>
          </w:tcPr>
          <w:p w14:paraId="5E5E675C"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B1.4</w:t>
            </w:r>
          </w:p>
        </w:tc>
        <w:tc>
          <w:tcPr>
            <w:tcW w:w="7708" w:type="dxa"/>
          </w:tcPr>
          <w:p w14:paraId="66B00C63"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The board of directors should ensure that it has the policies, processes, information, time and resources it needs to function effectively, efficiently and economically.</w:t>
            </w:r>
          </w:p>
        </w:tc>
        <w:tc>
          <w:tcPr>
            <w:tcW w:w="1005" w:type="dxa"/>
            <w:shd w:val="clear" w:color="000000" w:fill="FFFFFF"/>
            <w:vAlign w:val="center"/>
          </w:tcPr>
          <w:p w14:paraId="0AD81540"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0668D8AC" w14:textId="77777777" w:rsidTr="00143BCB">
        <w:trPr>
          <w:trHeight w:val="300"/>
          <w:jc w:val="center"/>
        </w:trPr>
        <w:tc>
          <w:tcPr>
            <w:tcW w:w="1710" w:type="dxa"/>
            <w:noWrap/>
            <w:vAlign w:val="center"/>
          </w:tcPr>
          <w:p w14:paraId="758705D6"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B1.5</w:t>
            </w:r>
          </w:p>
        </w:tc>
        <w:tc>
          <w:tcPr>
            <w:tcW w:w="7708" w:type="dxa"/>
          </w:tcPr>
          <w:p w14:paraId="57F7E02C"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The board is collectively responsible for the performance of the trust.</w:t>
            </w:r>
          </w:p>
        </w:tc>
        <w:tc>
          <w:tcPr>
            <w:tcW w:w="1005" w:type="dxa"/>
            <w:shd w:val="clear" w:color="000000" w:fill="FFFFFF"/>
            <w:vAlign w:val="center"/>
          </w:tcPr>
          <w:p w14:paraId="5B5FD485"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31F391FA" w14:textId="77777777" w:rsidTr="00143BCB">
        <w:trPr>
          <w:trHeight w:val="300"/>
          <w:jc w:val="center"/>
        </w:trPr>
        <w:tc>
          <w:tcPr>
            <w:tcW w:w="1710" w:type="dxa"/>
            <w:noWrap/>
            <w:vAlign w:val="center"/>
          </w:tcPr>
          <w:p w14:paraId="7F4CF69A"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B1.6</w:t>
            </w:r>
          </w:p>
        </w:tc>
        <w:tc>
          <w:tcPr>
            <w:tcW w:w="7708" w:type="dxa"/>
          </w:tcPr>
          <w:p w14:paraId="469D7405"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The board of directors as a whole is responsible for ensuring the quality and safety of the healthcare services, education, training and research delivered by the trust, and applying the principles and standards of clinical governance set out by DHSC, NHS England, the CQC and other relevant NHS bodies.</w:t>
            </w:r>
          </w:p>
        </w:tc>
        <w:tc>
          <w:tcPr>
            <w:tcW w:w="1005" w:type="dxa"/>
            <w:shd w:val="clear" w:color="000000" w:fill="FFFFFF"/>
            <w:vAlign w:val="center"/>
          </w:tcPr>
          <w:p w14:paraId="2178CA3F"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18B6D1D2" w14:textId="77777777" w:rsidTr="00143BCB">
        <w:trPr>
          <w:trHeight w:val="300"/>
          <w:jc w:val="center"/>
        </w:trPr>
        <w:tc>
          <w:tcPr>
            <w:tcW w:w="1710" w:type="dxa"/>
            <w:noWrap/>
            <w:vAlign w:val="center"/>
          </w:tcPr>
          <w:p w14:paraId="6833FB69"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B1.7</w:t>
            </w:r>
          </w:p>
        </w:tc>
        <w:tc>
          <w:tcPr>
            <w:tcW w:w="7708" w:type="dxa"/>
          </w:tcPr>
          <w:p w14:paraId="2D40D1F3"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All members of the board of directors have joint responsibility for every board decision regardless of their individual skills or status. This does not impact on the particular responsibilities of the chief executive as the accounting officer.</w:t>
            </w:r>
          </w:p>
        </w:tc>
        <w:tc>
          <w:tcPr>
            <w:tcW w:w="1005" w:type="dxa"/>
            <w:shd w:val="clear" w:color="000000" w:fill="FFFFFF"/>
            <w:vAlign w:val="center"/>
          </w:tcPr>
          <w:p w14:paraId="2AC312D9"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0B24DF94" w14:textId="77777777" w:rsidTr="00143BCB">
        <w:trPr>
          <w:trHeight w:val="300"/>
          <w:jc w:val="center"/>
        </w:trPr>
        <w:tc>
          <w:tcPr>
            <w:tcW w:w="1710" w:type="dxa"/>
            <w:shd w:val="clear" w:color="auto" w:fill="D9D9D9"/>
            <w:noWrap/>
            <w:vAlign w:val="center"/>
            <w:hideMark/>
          </w:tcPr>
          <w:p w14:paraId="389C279A" w14:textId="77777777" w:rsidR="002E680B" w:rsidRPr="00143BCB" w:rsidRDefault="002E680B" w:rsidP="002E680B">
            <w:pPr>
              <w:widowControl/>
              <w:jc w:val="center"/>
              <w:rPr>
                <w:rFonts w:ascii="Arial" w:eastAsia="Times New Roman" w:hAnsi="Arial" w:cs="Arial"/>
                <w:b/>
                <w:color w:val="000000"/>
                <w:sz w:val="20"/>
                <w:szCs w:val="20"/>
                <w:lang w:val="en-GB" w:eastAsia="en-GB"/>
              </w:rPr>
            </w:pPr>
            <w:r w:rsidRPr="00143BCB">
              <w:rPr>
                <w:rFonts w:ascii="Arial" w:eastAsia="Times New Roman" w:hAnsi="Arial" w:cs="Arial"/>
                <w:b/>
                <w:color w:val="000000"/>
                <w:sz w:val="20"/>
                <w:szCs w:val="20"/>
                <w:lang w:val="en-GB" w:eastAsia="en-GB"/>
              </w:rPr>
              <w:t>B2</w:t>
            </w:r>
          </w:p>
        </w:tc>
        <w:tc>
          <w:tcPr>
            <w:tcW w:w="7708" w:type="dxa"/>
            <w:shd w:val="clear" w:color="auto" w:fill="D9D9D9"/>
            <w:hideMark/>
          </w:tcPr>
          <w:p w14:paraId="59A80F44" w14:textId="77777777" w:rsidR="002E680B" w:rsidRPr="00143BCB" w:rsidRDefault="002E680B" w:rsidP="002E680B">
            <w:pPr>
              <w:widowControl/>
              <w:rPr>
                <w:rFonts w:ascii="Arial" w:eastAsia="Times New Roman" w:hAnsi="Arial" w:cs="Arial"/>
                <w:b/>
                <w:color w:val="000000"/>
                <w:sz w:val="20"/>
                <w:szCs w:val="20"/>
                <w:lang w:val="en-GB" w:eastAsia="en-GB"/>
              </w:rPr>
            </w:pPr>
            <w:r w:rsidRPr="00143BCB">
              <w:rPr>
                <w:rFonts w:ascii="Arial" w:eastAsia="Times New Roman" w:hAnsi="Arial" w:cs="Arial"/>
                <w:b/>
                <w:color w:val="000000"/>
                <w:sz w:val="20"/>
                <w:szCs w:val="20"/>
                <w:lang w:val="en-GB" w:eastAsia="en-GB"/>
              </w:rPr>
              <w:t xml:space="preserve">Provisions </w:t>
            </w:r>
          </w:p>
        </w:tc>
        <w:tc>
          <w:tcPr>
            <w:tcW w:w="1005" w:type="dxa"/>
            <w:shd w:val="clear" w:color="auto" w:fill="D9D9D9"/>
            <w:hideMark/>
          </w:tcPr>
          <w:p w14:paraId="1F5E991E" w14:textId="77777777" w:rsidR="002E680B" w:rsidRPr="00143BCB" w:rsidRDefault="002E680B" w:rsidP="002E680B">
            <w:pPr>
              <w:widowControl/>
              <w:rPr>
                <w:rFonts w:ascii="Arial" w:eastAsia="Times New Roman" w:hAnsi="Arial" w:cs="Arial"/>
                <w:b/>
                <w:color w:val="000000"/>
                <w:sz w:val="20"/>
                <w:szCs w:val="20"/>
                <w:lang w:val="en-GB" w:eastAsia="en-GB"/>
              </w:rPr>
            </w:pPr>
            <w:r w:rsidRPr="00143BCB">
              <w:rPr>
                <w:rFonts w:ascii="Arial" w:eastAsia="Times New Roman" w:hAnsi="Arial" w:cs="Arial"/>
                <w:b/>
                <w:color w:val="000000"/>
                <w:sz w:val="20"/>
                <w:szCs w:val="20"/>
                <w:lang w:val="en-GB" w:eastAsia="en-GB"/>
              </w:rPr>
              <w:t> </w:t>
            </w:r>
          </w:p>
        </w:tc>
      </w:tr>
      <w:tr w:rsidR="002E680B" w:rsidRPr="00143BCB" w14:paraId="7E827042" w14:textId="77777777" w:rsidTr="00143BCB">
        <w:trPr>
          <w:trHeight w:val="689"/>
          <w:jc w:val="center"/>
        </w:trPr>
        <w:tc>
          <w:tcPr>
            <w:tcW w:w="1710" w:type="dxa"/>
            <w:noWrap/>
            <w:vAlign w:val="center"/>
            <w:hideMark/>
          </w:tcPr>
          <w:p w14:paraId="20A1F5C7"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B2.1</w:t>
            </w:r>
          </w:p>
        </w:tc>
        <w:tc>
          <w:tcPr>
            <w:tcW w:w="7708" w:type="dxa"/>
            <w:hideMark/>
          </w:tcPr>
          <w:p w14:paraId="005E91F0"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The chair is responsible for leading on setting the agenda for the board of directors and, for foundation trusts, the council of governors, and ensuring that adequate time is available for discussion of all agenda items, in particular strategic issues.</w:t>
            </w:r>
          </w:p>
        </w:tc>
        <w:tc>
          <w:tcPr>
            <w:tcW w:w="1005" w:type="dxa"/>
            <w:vAlign w:val="center"/>
            <w:hideMark/>
          </w:tcPr>
          <w:p w14:paraId="471151F8"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0D808932" w14:textId="77777777" w:rsidTr="00143BCB">
        <w:trPr>
          <w:trHeight w:val="1028"/>
          <w:jc w:val="center"/>
        </w:trPr>
        <w:tc>
          <w:tcPr>
            <w:tcW w:w="1710" w:type="dxa"/>
            <w:noWrap/>
            <w:vAlign w:val="center"/>
            <w:hideMark/>
          </w:tcPr>
          <w:p w14:paraId="6D19820B"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B2.2</w:t>
            </w:r>
          </w:p>
        </w:tc>
        <w:tc>
          <w:tcPr>
            <w:tcW w:w="7708" w:type="dxa"/>
            <w:hideMark/>
          </w:tcPr>
          <w:p w14:paraId="069ED9C2"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The chair is also responsible for ensuring that directors and, for foundation trusts, governors receive accurate, timely and clear information that enables them to perform their duties effectively. A foundation trust chair should take steps to ensure that governors have the necessary skills and knowledge to undertake their role.</w:t>
            </w:r>
          </w:p>
        </w:tc>
        <w:tc>
          <w:tcPr>
            <w:tcW w:w="1005" w:type="dxa"/>
            <w:vAlign w:val="center"/>
            <w:hideMark/>
          </w:tcPr>
          <w:p w14:paraId="1714A166"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756D12D9" w14:textId="77777777" w:rsidTr="00143BCB">
        <w:trPr>
          <w:trHeight w:val="860"/>
          <w:jc w:val="center"/>
        </w:trPr>
        <w:tc>
          <w:tcPr>
            <w:tcW w:w="1710" w:type="dxa"/>
            <w:noWrap/>
            <w:vAlign w:val="center"/>
            <w:hideMark/>
          </w:tcPr>
          <w:p w14:paraId="171BED0D"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B2.3</w:t>
            </w:r>
          </w:p>
        </w:tc>
        <w:tc>
          <w:tcPr>
            <w:tcW w:w="7708" w:type="dxa"/>
            <w:hideMark/>
          </w:tcPr>
          <w:p w14:paraId="2561D3CE"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The chair should promote a culture of honesty, openness, trust and debate by facilitating the effective contribution of non-executive directors in particular, and ensuring a constructive relationship between executive and non-executive directors.</w:t>
            </w:r>
          </w:p>
        </w:tc>
        <w:tc>
          <w:tcPr>
            <w:tcW w:w="1005" w:type="dxa"/>
            <w:vAlign w:val="center"/>
            <w:hideMark/>
          </w:tcPr>
          <w:p w14:paraId="350755A3"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5CCAD876" w14:textId="77777777" w:rsidTr="00143BCB">
        <w:trPr>
          <w:trHeight w:val="363"/>
          <w:jc w:val="center"/>
        </w:trPr>
        <w:tc>
          <w:tcPr>
            <w:tcW w:w="1710" w:type="dxa"/>
            <w:noWrap/>
            <w:vAlign w:val="center"/>
            <w:hideMark/>
          </w:tcPr>
          <w:p w14:paraId="7478F75B"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B2.4</w:t>
            </w:r>
          </w:p>
        </w:tc>
        <w:tc>
          <w:tcPr>
            <w:tcW w:w="7708" w:type="dxa"/>
            <w:hideMark/>
          </w:tcPr>
          <w:p w14:paraId="5FB646E2"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A foundation trust chair is responsible for ensuring that the board and council work together effectively.</w:t>
            </w:r>
          </w:p>
        </w:tc>
        <w:tc>
          <w:tcPr>
            <w:tcW w:w="1005" w:type="dxa"/>
            <w:vAlign w:val="center"/>
            <w:hideMark/>
          </w:tcPr>
          <w:p w14:paraId="6ECA2A6F"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5BC21FA6" w14:textId="77777777" w:rsidTr="00143BCB">
        <w:trPr>
          <w:trHeight w:val="1575"/>
          <w:jc w:val="center"/>
        </w:trPr>
        <w:tc>
          <w:tcPr>
            <w:tcW w:w="1710" w:type="dxa"/>
            <w:noWrap/>
            <w:vAlign w:val="center"/>
            <w:hideMark/>
          </w:tcPr>
          <w:p w14:paraId="6CDF15AF"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B2.5</w:t>
            </w:r>
          </w:p>
        </w:tc>
        <w:tc>
          <w:tcPr>
            <w:tcW w:w="7708" w:type="dxa"/>
            <w:hideMark/>
          </w:tcPr>
          <w:p w14:paraId="454FCD37" w14:textId="77777777" w:rsidR="002E680B" w:rsidRPr="00143BCB" w:rsidRDefault="002E680B" w:rsidP="002E680B">
            <w:pPr>
              <w:widowControl/>
              <w:rPr>
                <w:rFonts w:ascii="Arial" w:eastAsia="Times New Roman" w:hAnsi="Arial" w:cs="Arial"/>
                <w:b/>
                <w:color w:val="000000"/>
                <w:sz w:val="20"/>
                <w:szCs w:val="20"/>
                <w:lang w:val="en-GB" w:eastAsia="en-GB"/>
              </w:rPr>
            </w:pPr>
            <w:r w:rsidRPr="00143BCB">
              <w:rPr>
                <w:rFonts w:ascii="Arial" w:eastAsia="Times New Roman" w:hAnsi="Arial" w:cs="Arial"/>
                <w:color w:val="000000"/>
                <w:sz w:val="20"/>
                <w:szCs w:val="20"/>
                <w:lang w:val="en-GB" w:eastAsia="en-GB"/>
              </w:rPr>
              <w:t xml:space="preserve">The chair should be independent on appointment when assessed against the criteria set out in provision 2.6 below. The roles of chair and chief executive must not be exercised by the same individual. A chief executive should not become chair of the same trust. </w:t>
            </w:r>
            <w:bookmarkStart w:id="28" w:name="_Hlk161833983"/>
            <w:r w:rsidRPr="00143BCB">
              <w:rPr>
                <w:rFonts w:ascii="Arial" w:eastAsia="Times New Roman" w:hAnsi="Arial" w:cs="Arial"/>
                <w:color w:val="000000"/>
                <w:sz w:val="20"/>
                <w:szCs w:val="20"/>
                <w:lang w:val="en-GB" w:eastAsia="en-GB"/>
              </w:rPr>
              <w:t>The board should identify a deputy or vice chair who could be the senior independent director. The chair should not sit on the audit committee. The chair of the audit committee, ideally, should not be the deputy or vice chair or senior independent director.</w:t>
            </w:r>
            <w:bookmarkEnd w:id="28"/>
            <w:r w:rsidRPr="00143BCB">
              <w:rPr>
                <w:rFonts w:ascii="Arial" w:eastAsia="Times New Roman" w:hAnsi="Arial" w:cs="Arial"/>
                <w:color w:val="000000"/>
                <w:sz w:val="20"/>
                <w:szCs w:val="20"/>
                <w:lang w:val="en-GB" w:eastAsia="en-GB"/>
              </w:rPr>
              <w:t xml:space="preserve"> </w:t>
            </w:r>
          </w:p>
        </w:tc>
        <w:tc>
          <w:tcPr>
            <w:tcW w:w="1005" w:type="dxa"/>
            <w:vAlign w:val="center"/>
            <w:hideMark/>
          </w:tcPr>
          <w:p w14:paraId="21808D86"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6A9A7E43" w14:textId="77777777" w:rsidTr="00143BCB">
        <w:trPr>
          <w:trHeight w:val="4336"/>
          <w:jc w:val="center"/>
        </w:trPr>
        <w:tc>
          <w:tcPr>
            <w:tcW w:w="1710" w:type="dxa"/>
            <w:noWrap/>
            <w:vAlign w:val="center"/>
            <w:hideMark/>
          </w:tcPr>
          <w:p w14:paraId="41451891"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lastRenderedPageBreak/>
              <w:t>B2.6</w:t>
            </w:r>
          </w:p>
        </w:tc>
        <w:tc>
          <w:tcPr>
            <w:tcW w:w="7708" w:type="dxa"/>
            <w:hideMark/>
          </w:tcPr>
          <w:p w14:paraId="12CC56C8" w14:textId="77777777" w:rsidR="002E680B" w:rsidRPr="00143BCB" w:rsidRDefault="002E680B" w:rsidP="002E680B">
            <w:pPr>
              <w:widowControl/>
              <w:rPr>
                <w:rFonts w:ascii="Arial" w:eastAsia="Times New Roman" w:hAnsi="Arial" w:cs="Arial"/>
                <w:sz w:val="20"/>
                <w:szCs w:val="20"/>
                <w:lang w:val="en-GB"/>
              </w:rPr>
            </w:pPr>
            <w:r w:rsidRPr="00143BCB">
              <w:rPr>
                <w:rFonts w:ascii="Arial" w:eastAsia="Times New Roman" w:hAnsi="Arial" w:cs="Arial"/>
                <w:sz w:val="20"/>
                <w:szCs w:val="20"/>
                <w:lang w:val="en-GB"/>
              </w:rPr>
              <w:t xml:space="preserve">The board of directors should identify in the annual report each non-executive director it considers to be independent. Circumstances which are likely to impair, or could appear to impair, a non-executive director’s independence include, but are not limited to, whether a director: </w:t>
            </w:r>
          </w:p>
          <w:p w14:paraId="442A03E8" w14:textId="77777777" w:rsidR="002E680B" w:rsidRPr="00143BCB" w:rsidRDefault="002E680B" w:rsidP="002E680B">
            <w:pPr>
              <w:widowControl/>
              <w:rPr>
                <w:rFonts w:ascii="Arial" w:eastAsia="Times New Roman" w:hAnsi="Arial" w:cs="Arial"/>
                <w:sz w:val="20"/>
                <w:szCs w:val="20"/>
                <w:lang w:val="en-GB"/>
              </w:rPr>
            </w:pPr>
            <w:r w:rsidRPr="00143BCB">
              <w:rPr>
                <w:rFonts w:ascii="Arial" w:eastAsia="Times New Roman" w:hAnsi="Arial" w:cs="Arial"/>
                <w:sz w:val="20"/>
                <w:szCs w:val="20"/>
                <w:lang w:val="en-GB"/>
              </w:rPr>
              <w:t xml:space="preserve">• has been an employee of the trust within the last two years </w:t>
            </w:r>
          </w:p>
          <w:p w14:paraId="1AE4BF8A" w14:textId="77777777" w:rsidR="002E680B" w:rsidRPr="00143BCB" w:rsidRDefault="002E680B" w:rsidP="002E680B">
            <w:pPr>
              <w:widowControl/>
              <w:rPr>
                <w:rFonts w:ascii="Arial" w:eastAsia="Times New Roman" w:hAnsi="Arial" w:cs="Arial"/>
                <w:sz w:val="20"/>
                <w:szCs w:val="20"/>
                <w:lang w:val="en-GB"/>
              </w:rPr>
            </w:pPr>
            <w:r w:rsidRPr="00143BCB">
              <w:rPr>
                <w:rFonts w:ascii="Arial" w:eastAsia="Times New Roman" w:hAnsi="Arial" w:cs="Arial"/>
                <w:sz w:val="20"/>
                <w:szCs w:val="20"/>
                <w:lang w:val="en-GB"/>
              </w:rPr>
              <w:t xml:space="preserve">• has, or has had within the last two years, a material business relationship with the trust either directly or as a partner, shareholder, director or senior employee of a body that has such a relationship with the trust </w:t>
            </w:r>
          </w:p>
          <w:p w14:paraId="5494C5F5" w14:textId="77777777" w:rsidR="002E680B" w:rsidRPr="00143BCB" w:rsidRDefault="002E680B" w:rsidP="002E680B">
            <w:pPr>
              <w:widowControl/>
              <w:rPr>
                <w:rFonts w:ascii="Arial" w:eastAsia="Times New Roman" w:hAnsi="Arial" w:cs="Arial"/>
                <w:sz w:val="20"/>
                <w:szCs w:val="20"/>
                <w:lang w:val="en-GB"/>
              </w:rPr>
            </w:pPr>
            <w:r w:rsidRPr="00143BCB">
              <w:rPr>
                <w:rFonts w:ascii="Arial" w:eastAsia="Times New Roman" w:hAnsi="Arial" w:cs="Arial"/>
                <w:sz w:val="20"/>
                <w:szCs w:val="20"/>
                <w:lang w:val="en-GB"/>
              </w:rPr>
              <w:t xml:space="preserve">• has received or receives remuneration from the trust apart from a director’s fee, participates in the trust’s performance-related pay scheme or is a member of the trust’s pension scheme </w:t>
            </w:r>
          </w:p>
          <w:p w14:paraId="6A7B2403" w14:textId="77777777" w:rsidR="002E680B" w:rsidRPr="00143BCB" w:rsidRDefault="002E680B" w:rsidP="002E680B">
            <w:pPr>
              <w:widowControl/>
              <w:rPr>
                <w:rFonts w:ascii="Arial" w:eastAsia="Times New Roman" w:hAnsi="Arial" w:cs="Arial"/>
                <w:sz w:val="20"/>
                <w:szCs w:val="20"/>
                <w:lang w:val="en-GB"/>
              </w:rPr>
            </w:pPr>
            <w:r w:rsidRPr="00143BCB">
              <w:rPr>
                <w:rFonts w:ascii="Arial" w:eastAsia="Times New Roman" w:hAnsi="Arial" w:cs="Arial"/>
                <w:sz w:val="20"/>
                <w:szCs w:val="20"/>
                <w:lang w:val="en-GB"/>
              </w:rPr>
              <w:t xml:space="preserve">• has close family ties with any of the trust’s advisers, directors or senior employees </w:t>
            </w:r>
          </w:p>
          <w:p w14:paraId="11218965" w14:textId="77777777" w:rsidR="002E680B" w:rsidRPr="00143BCB" w:rsidRDefault="002E680B" w:rsidP="002E680B">
            <w:pPr>
              <w:widowControl/>
              <w:rPr>
                <w:rFonts w:ascii="Arial" w:eastAsia="Times New Roman" w:hAnsi="Arial" w:cs="Arial"/>
                <w:sz w:val="20"/>
                <w:szCs w:val="20"/>
                <w:lang w:val="en-GB"/>
              </w:rPr>
            </w:pPr>
            <w:r w:rsidRPr="00143BCB">
              <w:rPr>
                <w:rFonts w:ascii="Arial" w:eastAsia="Times New Roman" w:hAnsi="Arial" w:cs="Arial"/>
                <w:sz w:val="20"/>
                <w:szCs w:val="20"/>
                <w:lang w:val="en-GB"/>
              </w:rPr>
              <w:t xml:space="preserve">• holds cross-directorships or has significant links with other directors through involvement with other companies or bodies </w:t>
            </w:r>
          </w:p>
          <w:p w14:paraId="4EA0964C" w14:textId="77777777" w:rsidR="002E680B" w:rsidRPr="00143BCB" w:rsidRDefault="002E680B" w:rsidP="002E680B">
            <w:pPr>
              <w:widowControl/>
              <w:rPr>
                <w:rFonts w:ascii="Arial" w:eastAsia="Times New Roman" w:hAnsi="Arial" w:cs="Arial"/>
                <w:sz w:val="20"/>
                <w:szCs w:val="20"/>
                <w:lang w:val="en-GB"/>
              </w:rPr>
            </w:pPr>
            <w:r w:rsidRPr="00143BCB">
              <w:rPr>
                <w:rFonts w:ascii="Arial" w:eastAsia="Times New Roman" w:hAnsi="Arial" w:cs="Arial"/>
                <w:sz w:val="20"/>
                <w:szCs w:val="20"/>
                <w:lang w:val="en-GB"/>
              </w:rPr>
              <w:t xml:space="preserve">• has served on the trust board for more than six years from the date of their first appointment </w:t>
            </w:r>
          </w:p>
          <w:p w14:paraId="01B2BAB4"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sz w:val="20"/>
                <w:szCs w:val="20"/>
                <w:lang w:val="en-GB"/>
              </w:rPr>
              <w:t xml:space="preserve">• is an appointed representative of the trust’s university medical or dental school. Where any of these or other relevant circumstances apply, and the board of directors nonetheless considers that the non-executive director is independent, it needs to be clearly explained why.  </w:t>
            </w:r>
          </w:p>
        </w:tc>
        <w:tc>
          <w:tcPr>
            <w:tcW w:w="1005" w:type="dxa"/>
            <w:vAlign w:val="center"/>
            <w:hideMark/>
          </w:tcPr>
          <w:p w14:paraId="40B13DBE"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3B08732E" w14:textId="77777777" w:rsidTr="00143BCB">
        <w:trPr>
          <w:trHeight w:val="70"/>
          <w:jc w:val="center"/>
        </w:trPr>
        <w:tc>
          <w:tcPr>
            <w:tcW w:w="1710" w:type="dxa"/>
            <w:noWrap/>
            <w:vAlign w:val="center"/>
            <w:hideMark/>
          </w:tcPr>
          <w:p w14:paraId="43EAB1D2"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B2.7</w:t>
            </w:r>
          </w:p>
        </w:tc>
        <w:tc>
          <w:tcPr>
            <w:tcW w:w="7708" w:type="dxa"/>
            <w:hideMark/>
          </w:tcPr>
          <w:p w14:paraId="1DB4AB32" w14:textId="77777777" w:rsidR="002E680B" w:rsidRPr="00143BCB" w:rsidRDefault="002E680B" w:rsidP="002E680B">
            <w:pPr>
              <w:widowControl/>
              <w:rPr>
                <w:rFonts w:ascii="Arial" w:eastAsia="Times New Roman" w:hAnsi="Arial" w:cs="Arial"/>
                <w:sz w:val="20"/>
                <w:szCs w:val="20"/>
                <w:lang w:val="en-GB" w:eastAsia="en-GB"/>
              </w:rPr>
            </w:pPr>
            <w:r w:rsidRPr="00143BCB">
              <w:rPr>
                <w:rFonts w:ascii="Arial" w:eastAsia="Times New Roman" w:hAnsi="Arial" w:cs="Arial"/>
                <w:color w:val="000000"/>
                <w:sz w:val="20"/>
                <w:szCs w:val="20"/>
                <w:lang w:val="en-GB" w:eastAsia="en-GB"/>
              </w:rPr>
              <w:t>At least half the board of directors, excluding the chair, should be non-executive directors whom the board considers to be independent.</w:t>
            </w:r>
          </w:p>
        </w:tc>
        <w:tc>
          <w:tcPr>
            <w:tcW w:w="1005" w:type="dxa"/>
            <w:vAlign w:val="center"/>
            <w:hideMark/>
          </w:tcPr>
          <w:p w14:paraId="371851D7"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33F33B56" w14:textId="77777777" w:rsidTr="00143BCB">
        <w:trPr>
          <w:trHeight w:val="70"/>
          <w:jc w:val="center"/>
        </w:trPr>
        <w:tc>
          <w:tcPr>
            <w:tcW w:w="1710" w:type="dxa"/>
            <w:noWrap/>
            <w:vAlign w:val="center"/>
            <w:hideMark/>
          </w:tcPr>
          <w:p w14:paraId="4E378FE4"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B2.8</w:t>
            </w:r>
          </w:p>
        </w:tc>
        <w:tc>
          <w:tcPr>
            <w:tcW w:w="7708" w:type="dxa"/>
            <w:hideMark/>
          </w:tcPr>
          <w:p w14:paraId="4497F20C"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No individual should hold the positions of director and governor of any NHS foundation trust at the same time.  </w:t>
            </w:r>
          </w:p>
        </w:tc>
        <w:tc>
          <w:tcPr>
            <w:tcW w:w="1005" w:type="dxa"/>
            <w:vAlign w:val="center"/>
            <w:hideMark/>
          </w:tcPr>
          <w:p w14:paraId="142D967F"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38A7DC5C" w14:textId="77777777" w:rsidTr="00143BCB">
        <w:trPr>
          <w:trHeight w:val="70"/>
          <w:jc w:val="center"/>
        </w:trPr>
        <w:tc>
          <w:tcPr>
            <w:tcW w:w="1710" w:type="dxa"/>
            <w:noWrap/>
            <w:vAlign w:val="center"/>
            <w:hideMark/>
          </w:tcPr>
          <w:p w14:paraId="15382ABC"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B2.9</w:t>
            </w:r>
          </w:p>
        </w:tc>
        <w:tc>
          <w:tcPr>
            <w:tcW w:w="7708" w:type="dxa"/>
            <w:hideMark/>
          </w:tcPr>
          <w:p w14:paraId="26CC35A1"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The value of ensuring that committee membership is refreshed and that no undue reliance is placed on </w:t>
            </w:r>
            <w:proofErr w:type="gramStart"/>
            <w:r w:rsidRPr="00143BCB">
              <w:rPr>
                <w:rFonts w:ascii="Arial" w:eastAsia="Times New Roman" w:hAnsi="Arial" w:cs="Arial"/>
                <w:color w:val="000000"/>
                <w:sz w:val="20"/>
                <w:szCs w:val="20"/>
                <w:lang w:val="en-GB" w:eastAsia="en-GB"/>
              </w:rPr>
              <w:t>particular individuals</w:t>
            </w:r>
            <w:proofErr w:type="gramEnd"/>
            <w:r w:rsidRPr="00143BCB">
              <w:rPr>
                <w:rFonts w:ascii="Arial" w:eastAsia="Times New Roman" w:hAnsi="Arial" w:cs="Arial"/>
                <w:color w:val="000000"/>
                <w:sz w:val="20"/>
                <w:szCs w:val="20"/>
                <w:lang w:val="en-GB" w:eastAsia="en-GB"/>
              </w:rPr>
              <w:t xml:space="preserve"> should be </w:t>
            </w:r>
            <w:proofErr w:type="gramStart"/>
            <w:r w:rsidRPr="00143BCB">
              <w:rPr>
                <w:rFonts w:ascii="Arial" w:eastAsia="Times New Roman" w:hAnsi="Arial" w:cs="Arial"/>
                <w:color w:val="000000"/>
                <w:sz w:val="20"/>
                <w:szCs w:val="20"/>
                <w:lang w:val="en-GB" w:eastAsia="en-GB"/>
              </w:rPr>
              <w:t>taken into account</w:t>
            </w:r>
            <w:proofErr w:type="gramEnd"/>
            <w:r w:rsidRPr="00143BCB">
              <w:rPr>
                <w:rFonts w:ascii="Arial" w:eastAsia="Times New Roman" w:hAnsi="Arial" w:cs="Arial"/>
                <w:color w:val="000000"/>
                <w:sz w:val="20"/>
                <w:szCs w:val="20"/>
                <w:lang w:val="en-GB" w:eastAsia="en-GB"/>
              </w:rPr>
              <w:t xml:space="preserve"> in deciding chairship and membership of committees. For foundation trusts, the council of governors should </w:t>
            </w:r>
            <w:proofErr w:type="gramStart"/>
            <w:r w:rsidRPr="00143BCB">
              <w:rPr>
                <w:rFonts w:ascii="Arial" w:eastAsia="Times New Roman" w:hAnsi="Arial" w:cs="Arial"/>
                <w:color w:val="000000"/>
                <w:sz w:val="20"/>
                <w:szCs w:val="20"/>
                <w:lang w:val="en-GB" w:eastAsia="en-GB"/>
              </w:rPr>
              <w:t>take into account</w:t>
            </w:r>
            <w:proofErr w:type="gramEnd"/>
            <w:r w:rsidRPr="00143BCB">
              <w:rPr>
                <w:rFonts w:ascii="Arial" w:eastAsia="Times New Roman" w:hAnsi="Arial" w:cs="Arial"/>
                <w:color w:val="000000"/>
                <w:sz w:val="20"/>
                <w:szCs w:val="20"/>
                <w:lang w:val="en-GB" w:eastAsia="en-GB"/>
              </w:rPr>
              <w:t xml:space="preserve"> the value of appointing a non-executive director with a clinical background to the board of directors, as well as the importance of appointing diverse non-executive directors with a range of skill sets, backgrounds and lived experience.</w:t>
            </w:r>
          </w:p>
        </w:tc>
        <w:tc>
          <w:tcPr>
            <w:tcW w:w="1005" w:type="dxa"/>
            <w:vAlign w:val="center"/>
            <w:hideMark/>
          </w:tcPr>
          <w:p w14:paraId="03323856"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4BFD1A18" w14:textId="77777777" w:rsidTr="00143BCB">
        <w:trPr>
          <w:trHeight w:val="664"/>
          <w:jc w:val="center"/>
        </w:trPr>
        <w:tc>
          <w:tcPr>
            <w:tcW w:w="1710" w:type="dxa"/>
            <w:noWrap/>
            <w:vAlign w:val="center"/>
            <w:hideMark/>
          </w:tcPr>
          <w:p w14:paraId="1ABD9A35"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B2.10</w:t>
            </w:r>
          </w:p>
        </w:tc>
        <w:tc>
          <w:tcPr>
            <w:tcW w:w="7708" w:type="dxa"/>
            <w:hideMark/>
          </w:tcPr>
          <w:p w14:paraId="76D19321"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Only the committee chair and committee members are entitled to be present at nominations, audit or remuneration committee meetings, but others may attend by invitation of the particular committee.</w:t>
            </w:r>
          </w:p>
        </w:tc>
        <w:tc>
          <w:tcPr>
            <w:tcW w:w="1005" w:type="dxa"/>
            <w:vAlign w:val="center"/>
            <w:hideMark/>
          </w:tcPr>
          <w:p w14:paraId="61065BD0"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5D4757D4" w14:textId="77777777" w:rsidTr="00143BCB">
        <w:trPr>
          <w:trHeight w:val="2120"/>
          <w:jc w:val="center"/>
        </w:trPr>
        <w:tc>
          <w:tcPr>
            <w:tcW w:w="1710" w:type="dxa"/>
            <w:noWrap/>
            <w:vAlign w:val="center"/>
            <w:hideMark/>
          </w:tcPr>
          <w:p w14:paraId="47DEFB43"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B2.11</w:t>
            </w:r>
          </w:p>
        </w:tc>
        <w:tc>
          <w:tcPr>
            <w:tcW w:w="7708" w:type="dxa"/>
            <w:hideMark/>
          </w:tcPr>
          <w:p w14:paraId="505A0C6F" w14:textId="77777777" w:rsidR="002E680B" w:rsidRPr="00143BCB" w:rsidRDefault="002E680B" w:rsidP="002E680B">
            <w:pPr>
              <w:widowControl/>
              <w:rPr>
                <w:rFonts w:ascii="Arial" w:eastAsia="Times New Roman" w:hAnsi="Arial" w:cs="Arial"/>
                <w:color w:val="000000"/>
                <w:sz w:val="20"/>
                <w:szCs w:val="20"/>
                <w:lang w:val="en-GB" w:eastAsia="en-GB"/>
              </w:rPr>
            </w:pPr>
            <w:bookmarkStart w:id="29" w:name="_Hlk161832717"/>
            <w:r w:rsidRPr="00143BCB">
              <w:rPr>
                <w:rFonts w:ascii="Arial" w:eastAsia="Times New Roman" w:hAnsi="Arial" w:cs="Arial"/>
                <w:color w:val="000000"/>
                <w:sz w:val="20"/>
                <w:szCs w:val="20"/>
                <w:lang w:val="en-GB" w:eastAsia="en-GB"/>
              </w:rPr>
              <w:t xml:space="preserve"> In consultation with the council of governors, NHS foundation trust boards should appoint one of the independent non-executive directors to be the senior independent director: to provide a sounding board for the chair and serve as an intermediary for the other directors when necessary. Led by the senior independent director, the foundation trust non-executive directors should meet without the chair present at least annually to appraise the chair’s performance, and on other occasions as necessary, and seek input from other key stakeholders. For NHS trusts the process is the same but the appraisal is overseen by NHS England as set out in the Chair appraisal framework.</w:t>
            </w:r>
            <w:bookmarkEnd w:id="29"/>
            <w:r w:rsidRPr="00143BCB">
              <w:rPr>
                <w:rFonts w:ascii="Arial" w:eastAsia="Times New Roman" w:hAnsi="Arial" w:cs="Arial"/>
                <w:color w:val="000000"/>
                <w:sz w:val="20"/>
                <w:szCs w:val="20"/>
                <w:lang w:val="en-GB" w:eastAsia="en-GB"/>
              </w:rPr>
              <w:t xml:space="preserve"> </w:t>
            </w:r>
          </w:p>
        </w:tc>
        <w:tc>
          <w:tcPr>
            <w:tcW w:w="1005" w:type="dxa"/>
            <w:vAlign w:val="center"/>
            <w:hideMark/>
          </w:tcPr>
          <w:p w14:paraId="299BE906"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0DCEB9D7" w14:textId="77777777" w:rsidTr="00143BCB">
        <w:trPr>
          <w:trHeight w:val="983"/>
          <w:jc w:val="center"/>
        </w:trPr>
        <w:tc>
          <w:tcPr>
            <w:tcW w:w="1710" w:type="dxa"/>
            <w:noWrap/>
            <w:vAlign w:val="center"/>
            <w:hideMark/>
          </w:tcPr>
          <w:p w14:paraId="15015941"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B2.12</w:t>
            </w:r>
          </w:p>
        </w:tc>
        <w:tc>
          <w:tcPr>
            <w:tcW w:w="7708" w:type="dxa"/>
            <w:hideMark/>
          </w:tcPr>
          <w:p w14:paraId="6FC9C20A"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Non-executive directors have a prime role in appointing and removing executive directors. They should scrutinise and hold to account the performance of management and individual executive directors against agreed performance objectives. The chair should hold meetings with the non-executive directors without the executive directors present.</w:t>
            </w:r>
          </w:p>
        </w:tc>
        <w:tc>
          <w:tcPr>
            <w:tcW w:w="1005" w:type="dxa"/>
            <w:vAlign w:val="center"/>
            <w:hideMark/>
          </w:tcPr>
          <w:p w14:paraId="2A25F903"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4F0C8826" w14:textId="77777777" w:rsidTr="00143BCB">
        <w:trPr>
          <w:trHeight w:val="274"/>
          <w:jc w:val="center"/>
        </w:trPr>
        <w:tc>
          <w:tcPr>
            <w:tcW w:w="1710" w:type="dxa"/>
            <w:noWrap/>
            <w:vAlign w:val="center"/>
            <w:hideMark/>
          </w:tcPr>
          <w:p w14:paraId="4EBC2719"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B2.13</w:t>
            </w:r>
          </w:p>
        </w:tc>
        <w:tc>
          <w:tcPr>
            <w:tcW w:w="7708" w:type="dxa"/>
            <w:hideMark/>
          </w:tcPr>
          <w:p w14:paraId="2334DA8D"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sz w:val="20"/>
                <w:szCs w:val="20"/>
                <w:lang w:val="en-GB"/>
              </w:rPr>
              <w:t>The annual report should give the number of times the board and its committees met, and individual director attendance.</w:t>
            </w:r>
          </w:p>
        </w:tc>
        <w:tc>
          <w:tcPr>
            <w:tcW w:w="1005" w:type="dxa"/>
            <w:vAlign w:val="center"/>
            <w:hideMark/>
          </w:tcPr>
          <w:p w14:paraId="3DB11F5A"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074098F1" w14:textId="77777777" w:rsidTr="00143BCB">
        <w:trPr>
          <w:trHeight w:val="1691"/>
          <w:jc w:val="center"/>
        </w:trPr>
        <w:tc>
          <w:tcPr>
            <w:tcW w:w="1710" w:type="dxa"/>
            <w:noWrap/>
            <w:vAlign w:val="center"/>
            <w:hideMark/>
          </w:tcPr>
          <w:p w14:paraId="2ED00C72"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B2.14</w:t>
            </w:r>
          </w:p>
        </w:tc>
        <w:tc>
          <w:tcPr>
            <w:tcW w:w="7708" w:type="dxa"/>
            <w:hideMark/>
          </w:tcPr>
          <w:p w14:paraId="7E7A47CE"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When appointing a director, the board of directors should </w:t>
            </w:r>
            <w:proofErr w:type="gramStart"/>
            <w:r w:rsidRPr="00143BCB">
              <w:rPr>
                <w:rFonts w:ascii="Arial" w:eastAsia="Times New Roman" w:hAnsi="Arial" w:cs="Arial"/>
                <w:color w:val="000000"/>
                <w:sz w:val="20"/>
                <w:szCs w:val="20"/>
                <w:lang w:val="en-GB" w:eastAsia="en-GB"/>
              </w:rPr>
              <w:t>take into account</w:t>
            </w:r>
            <w:proofErr w:type="gramEnd"/>
            <w:r w:rsidRPr="00143BCB">
              <w:rPr>
                <w:rFonts w:ascii="Arial" w:eastAsia="Times New Roman" w:hAnsi="Arial" w:cs="Arial"/>
                <w:color w:val="000000"/>
                <w:sz w:val="20"/>
                <w:szCs w:val="20"/>
                <w:lang w:val="en-GB" w:eastAsia="en-GB"/>
              </w:rPr>
              <w:t xml:space="preserve"> other demands on their time. Prior to appointment, the individual should disclose their significant commitments with an indication of the time involved. They should not take on material additional external appointments without prior approval of the board of directors, with the reasons for permitting significant appointments explained in the annual report. Full-time executive directors should not take on more than one non-executive directorship of another trust or organisation of comparable size and complexity, and not the chairship of such an organisation.</w:t>
            </w:r>
          </w:p>
        </w:tc>
        <w:tc>
          <w:tcPr>
            <w:tcW w:w="1005" w:type="dxa"/>
            <w:vAlign w:val="center"/>
            <w:hideMark/>
          </w:tcPr>
          <w:p w14:paraId="3421943C"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29F3AA7D" w14:textId="77777777" w:rsidTr="00143BCB">
        <w:trPr>
          <w:trHeight w:val="554"/>
          <w:jc w:val="center"/>
        </w:trPr>
        <w:tc>
          <w:tcPr>
            <w:tcW w:w="1710" w:type="dxa"/>
            <w:noWrap/>
            <w:vAlign w:val="center"/>
            <w:hideMark/>
          </w:tcPr>
          <w:p w14:paraId="5438128B"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lastRenderedPageBreak/>
              <w:t>B2.15</w:t>
            </w:r>
          </w:p>
        </w:tc>
        <w:tc>
          <w:tcPr>
            <w:tcW w:w="7708" w:type="dxa"/>
            <w:hideMark/>
          </w:tcPr>
          <w:p w14:paraId="062C32CB"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All directors should have access to the advice of the company secretary, who is responsible for advising the board of directors on all governance matters. Both the appointment and removal of the company secretary should be a matter for the whole board.</w:t>
            </w:r>
          </w:p>
        </w:tc>
        <w:tc>
          <w:tcPr>
            <w:tcW w:w="1005" w:type="dxa"/>
            <w:vAlign w:val="center"/>
            <w:hideMark/>
          </w:tcPr>
          <w:p w14:paraId="68A5567B"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6C98DD36" w14:textId="77777777" w:rsidTr="00143BCB">
        <w:trPr>
          <w:trHeight w:val="1886"/>
          <w:jc w:val="center"/>
        </w:trPr>
        <w:tc>
          <w:tcPr>
            <w:tcW w:w="1710" w:type="dxa"/>
            <w:noWrap/>
            <w:vAlign w:val="center"/>
            <w:hideMark/>
          </w:tcPr>
          <w:p w14:paraId="03E05647"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B2.16</w:t>
            </w:r>
          </w:p>
        </w:tc>
        <w:tc>
          <w:tcPr>
            <w:tcW w:w="7708" w:type="dxa"/>
            <w:hideMark/>
          </w:tcPr>
          <w:p w14:paraId="505AA59A"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All directors, executive and non-executive, have a responsibility to constructively challenge during board discussions and help develop proposals on priorities, risk mitigation, values, standards and strategy. In particular, non-executive directors should scrutinise the performance of the executive management in meeting agreed goals and objectives, request further information if necessary, and monitor the reporting of performance. They should satisfy themselves as to the integrity of financial, clinical and other information, and make sure that financial and clinical quality controls, and systems of risk management and governance, are robust and implemented.</w:t>
            </w:r>
          </w:p>
        </w:tc>
        <w:tc>
          <w:tcPr>
            <w:tcW w:w="1005" w:type="dxa"/>
            <w:vAlign w:val="center"/>
            <w:hideMark/>
          </w:tcPr>
          <w:p w14:paraId="408FED8C"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14BB9EC8" w14:textId="77777777" w:rsidTr="00143BCB">
        <w:trPr>
          <w:trHeight w:val="669"/>
          <w:jc w:val="center"/>
        </w:trPr>
        <w:tc>
          <w:tcPr>
            <w:tcW w:w="1710" w:type="dxa"/>
            <w:noWrap/>
            <w:vAlign w:val="center"/>
            <w:hideMark/>
          </w:tcPr>
          <w:p w14:paraId="3F6B5A27"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B2.17</w:t>
            </w:r>
          </w:p>
        </w:tc>
        <w:tc>
          <w:tcPr>
            <w:tcW w:w="7708" w:type="dxa"/>
            <w:hideMark/>
          </w:tcPr>
          <w:p w14:paraId="146E55A0"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For foundation trusts, this schedule should include a clear statement detailing the </w:t>
            </w:r>
          </w:p>
          <w:p w14:paraId="67D78B3A"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roles and responsibilities of the council of governors. This statement should also </w:t>
            </w:r>
          </w:p>
          <w:p w14:paraId="53052170"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describe how any disagreements between the council of governors and the board </w:t>
            </w:r>
          </w:p>
          <w:p w14:paraId="06E098B6"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of directors will be resolved. The annual report should include this schedule of </w:t>
            </w:r>
          </w:p>
          <w:p w14:paraId="714F3B7B"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matters or a summary statement of how the board of directors and the council of </w:t>
            </w:r>
          </w:p>
          <w:p w14:paraId="07A9D4D3"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governors operate, including a summary of the types of decisions to be taken by </w:t>
            </w:r>
          </w:p>
          <w:p w14:paraId="19564EF0"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the board, the council of governors, board committees and the types of decisions </w:t>
            </w:r>
          </w:p>
          <w:p w14:paraId="1F1F0E14"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which are delegated to the executive management of the board of directors.</w:t>
            </w:r>
          </w:p>
        </w:tc>
        <w:tc>
          <w:tcPr>
            <w:tcW w:w="1005" w:type="dxa"/>
            <w:vAlign w:val="center"/>
            <w:hideMark/>
          </w:tcPr>
          <w:p w14:paraId="056BD449"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60354E3D" w14:textId="77777777" w:rsidTr="00143BCB">
        <w:trPr>
          <w:trHeight w:val="300"/>
          <w:jc w:val="center"/>
        </w:trPr>
        <w:tc>
          <w:tcPr>
            <w:tcW w:w="1710" w:type="dxa"/>
            <w:shd w:val="clear" w:color="auto" w:fill="D9D9D9"/>
            <w:noWrap/>
            <w:vAlign w:val="center"/>
            <w:hideMark/>
          </w:tcPr>
          <w:p w14:paraId="7CC72336" w14:textId="77777777" w:rsidR="002E680B" w:rsidRPr="00143BCB" w:rsidRDefault="002E680B" w:rsidP="002E680B">
            <w:pPr>
              <w:widowControl/>
              <w:jc w:val="center"/>
              <w:rPr>
                <w:rFonts w:ascii="Arial" w:eastAsia="Times New Roman" w:hAnsi="Arial" w:cs="Arial"/>
                <w:b/>
                <w:color w:val="000000"/>
                <w:sz w:val="20"/>
                <w:szCs w:val="20"/>
                <w:lang w:val="en-GB" w:eastAsia="en-GB"/>
              </w:rPr>
            </w:pPr>
            <w:r w:rsidRPr="00143BCB">
              <w:rPr>
                <w:rFonts w:ascii="Arial" w:eastAsia="Times New Roman" w:hAnsi="Arial" w:cs="Arial"/>
                <w:b/>
                <w:color w:val="000000"/>
                <w:sz w:val="20"/>
                <w:szCs w:val="20"/>
                <w:lang w:val="en-GB" w:eastAsia="en-GB"/>
              </w:rPr>
              <w:t>C1</w:t>
            </w:r>
          </w:p>
        </w:tc>
        <w:tc>
          <w:tcPr>
            <w:tcW w:w="7708" w:type="dxa"/>
            <w:shd w:val="clear" w:color="auto" w:fill="D9D9D9"/>
            <w:hideMark/>
          </w:tcPr>
          <w:p w14:paraId="7E9ED689" w14:textId="77777777" w:rsidR="002E680B" w:rsidRPr="00143BCB" w:rsidRDefault="002E680B" w:rsidP="002E680B">
            <w:pPr>
              <w:widowControl/>
              <w:rPr>
                <w:rFonts w:ascii="Arial" w:eastAsia="Times New Roman" w:hAnsi="Arial" w:cs="Arial"/>
                <w:b/>
                <w:bCs/>
                <w:color w:val="000000"/>
                <w:sz w:val="20"/>
                <w:szCs w:val="20"/>
                <w:u w:val="single"/>
                <w:lang w:val="en-GB" w:eastAsia="en-GB"/>
              </w:rPr>
            </w:pPr>
            <w:r w:rsidRPr="00143BCB">
              <w:rPr>
                <w:rFonts w:ascii="Arial" w:eastAsia="Times New Roman" w:hAnsi="Arial" w:cs="Arial"/>
                <w:b/>
                <w:bCs/>
                <w:color w:val="000000"/>
                <w:sz w:val="20"/>
                <w:szCs w:val="20"/>
                <w:u w:val="single"/>
                <w:lang w:val="en-GB" w:eastAsia="en-GB"/>
              </w:rPr>
              <w:t>SECTION C:</w:t>
            </w:r>
            <w:r w:rsidRPr="00143BCB">
              <w:rPr>
                <w:rFonts w:ascii="Arial" w:eastAsia="Times New Roman" w:hAnsi="Arial" w:cs="Times New Roman"/>
                <w:sz w:val="20"/>
                <w:szCs w:val="20"/>
                <w:u w:val="single"/>
                <w:lang w:val="en-GB"/>
              </w:rPr>
              <w:t xml:space="preserve"> </w:t>
            </w:r>
            <w:r w:rsidRPr="00143BCB">
              <w:rPr>
                <w:rFonts w:ascii="Arial" w:eastAsia="Times New Roman" w:hAnsi="Arial" w:cs="Arial"/>
                <w:b/>
                <w:bCs/>
                <w:color w:val="000000"/>
                <w:sz w:val="20"/>
                <w:szCs w:val="20"/>
                <w:u w:val="single"/>
                <w:lang w:val="en-GB" w:eastAsia="en-GB"/>
              </w:rPr>
              <w:t>Composition, succession and evaluation</w:t>
            </w:r>
          </w:p>
          <w:p w14:paraId="2E9932CB" w14:textId="77777777" w:rsidR="002E680B" w:rsidRPr="00143BCB" w:rsidRDefault="002E680B" w:rsidP="002E680B">
            <w:pPr>
              <w:widowControl/>
              <w:rPr>
                <w:rFonts w:ascii="Arial" w:eastAsia="Times New Roman" w:hAnsi="Arial" w:cs="Arial"/>
                <w:b/>
                <w:bCs/>
                <w:color w:val="000000"/>
                <w:sz w:val="20"/>
                <w:szCs w:val="20"/>
                <w:lang w:val="en-GB" w:eastAsia="en-GB"/>
              </w:rPr>
            </w:pPr>
            <w:r w:rsidRPr="00143BCB">
              <w:rPr>
                <w:rFonts w:ascii="Arial" w:eastAsia="Times New Roman" w:hAnsi="Arial" w:cs="Arial"/>
                <w:b/>
                <w:bCs/>
                <w:color w:val="000000"/>
                <w:sz w:val="20"/>
                <w:szCs w:val="20"/>
                <w:lang w:val="en-GB" w:eastAsia="en-GB"/>
              </w:rPr>
              <w:t xml:space="preserve">Principles </w:t>
            </w:r>
          </w:p>
        </w:tc>
        <w:tc>
          <w:tcPr>
            <w:tcW w:w="1005" w:type="dxa"/>
            <w:shd w:val="clear" w:color="auto" w:fill="D9D9D9"/>
            <w:hideMark/>
          </w:tcPr>
          <w:p w14:paraId="463E5450" w14:textId="77777777" w:rsidR="002E680B" w:rsidRPr="00143BCB" w:rsidRDefault="002E680B" w:rsidP="002E680B">
            <w:pPr>
              <w:widowControl/>
              <w:rPr>
                <w:rFonts w:ascii="Arial" w:eastAsia="Times New Roman" w:hAnsi="Arial" w:cs="Arial"/>
                <w:b/>
                <w:color w:val="000000"/>
                <w:sz w:val="20"/>
                <w:szCs w:val="20"/>
                <w:lang w:val="en-GB" w:eastAsia="en-GB"/>
              </w:rPr>
            </w:pPr>
            <w:r w:rsidRPr="00143BCB">
              <w:rPr>
                <w:rFonts w:ascii="Arial" w:eastAsia="Times New Roman" w:hAnsi="Arial" w:cs="Arial"/>
                <w:b/>
                <w:color w:val="000000"/>
                <w:sz w:val="20"/>
                <w:szCs w:val="20"/>
                <w:lang w:val="en-GB" w:eastAsia="en-GB"/>
              </w:rPr>
              <w:t> </w:t>
            </w:r>
          </w:p>
        </w:tc>
      </w:tr>
      <w:tr w:rsidR="002E680B" w:rsidRPr="00143BCB" w14:paraId="3BA848EE" w14:textId="77777777" w:rsidTr="00143BCB">
        <w:trPr>
          <w:trHeight w:val="300"/>
          <w:jc w:val="center"/>
        </w:trPr>
        <w:tc>
          <w:tcPr>
            <w:tcW w:w="1710" w:type="dxa"/>
            <w:noWrap/>
            <w:vAlign w:val="center"/>
          </w:tcPr>
          <w:p w14:paraId="78075771"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C1.1</w:t>
            </w:r>
          </w:p>
        </w:tc>
        <w:tc>
          <w:tcPr>
            <w:tcW w:w="7708" w:type="dxa"/>
          </w:tcPr>
          <w:p w14:paraId="4CB28FB9" w14:textId="77777777" w:rsidR="002E680B" w:rsidRPr="00143BCB" w:rsidRDefault="002E680B" w:rsidP="002E680B">
            <w:pPr>
              <w:widowControl/>
              <w:rPr>
                <w:rFonts w:ascii="Arial" w:eastAsia="Times New Roman" w:hAnsi="Arial" w:cs="Arial"/>
                <w:bCs/>
                <w:color w:val="000000"/>
                <w:sz w:val="20"/>
                <w:szCs w:val="20"/>
                <w:lang w:val="en-GB" w:eastAsia="en-GB"/>
              </w:rPr>
            </w:pPr>
            <w:r w:rsidRPr="00143BCB">
              <w:rPr>
                <w:rFonts w:ascii="Arial" w:eastAsia="Times New Roman" w:hAnsi="Arial" w:cs="Arial"/>
                <w:bCs/>
                <w:color w:val="000000"/>
                <w:sz w:val="20"/>
                <w:szCs w:val="20"/>
                <w:lang w:val="en-GB" w:eastAsia="en-GB"/>
              </w:rPr>
              <w:t>Appointments to the board of directors should follow a formal, rigorous and transparent procedure, and an effective succession plan should be maintained for board and senior management. Appointments should be made solely in the public interest, with decisions based on integrity, merit, openness and fairness. Both appointments and succession plans should be based on merit and objective criteria and, within this context, should promote diversity of gender, social and ethnic backgrounds, disability, and cognitive and personal strengths (for more information refer to the Equality Act 2010, The NHS’ successive Equality Delivery Systems (EDS) and the NHS Workforce Race Equality Standard (WRES)). In particular, the board should have published plans for how it and senior managers will in percentage terms at least match the overall black and minority composition of its overall workforce, or its local community, whichever is the higher.</w:t>
            </w:r>
          </w:p>
        </w:tc>
        <w:tc>
          <w:tcPr>
            <w:tcW w:w="1005" w:type="dxa"/>
            <w:vAlign w:val="center"/>
          </w:tcPr>
          <w:p w14:paraId="794087D7"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78DFC459" w14:textId="77777777" w:rsidTr="00143BCB">
        <w:trPr>
          <w:trHeight w:val="300"/>
          <w:jc w:val="center"/>
        </w:trPr>
        <w:tc>
          <w:tcPr>
            <w:tcW w:w="1710" w:type="dxa"/>
            <w:noWrap/>
            <w:vAlign w:val="center"/>
          </w:tcPr>
          <w:p w14:paraId="420295D2"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C1.2</w:t>
            </w:r>
          </w:p>
        </w:tc>
        <w:tc>
          <w:tcPr>
            <w:tcW w:w="7708" w:type="dxa"/>
          </w:tcPr>
          <w:p w14:paraId="783A7E70" w14:textId="77777777" w:rsidR="002E680B" w:rsidRPr="00143BCB" w:rsidRDefault="002E680B" w:rsidP="002E680B">
            <w:pPr>
              <w:widowControl/>
              <w:rPr>
                <w:rFonts w:ascii="Arial" w:eastAsia="Times New Roman" w:hAnsi="Arial" w:cs="Arial"/>
                <w:bCs/>
                <w:color w:val="000000"/>
                <w:sz w:val="20"/>
                <w:szCs w:val="20"/>
                <w:lang w:val="en-GB" w:eastAsia="en-GB"/>
              </w:rPr>
            </w:pPr>
            <w:r w:rsidRPr="00143BCB">
              <w:rPr>
                <w:rFonts w:ascii="Arial" w:eastAsia="Times New Roman" w:hAnsi="Arial" w:cs="Arial"/>
                <w:bCs/>
                <w:color w:val="000000"/>
                <w:sz w:val="20"/>
                <w:szCs w:val="20"/>
                <w:lang w:val="en-GB" w:eastAsia="en-GB"/>
              </w:rPr>
              <w:t>The board of directors and its committees should have a diversity of skills, experience and knowledge. The board should be of sufficient size for the requirements of its duties, but should not be so large as to be unwieldy. Consideration should be given to the length of service of the board of directors as a whole and membership regularly refreshed.</w:t>
            </w:r>
          </w:p>
        </w:tc>
        <w:tc>
          <w:tcPr>
            <w:tcW w:w="1005" w:type="dxa"/>
            <w:vAlign w:val="center"/>
          </w:tcPr>
          <w:p w14:paraId="77119721"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14A8FF42" w14:textId="77777777" w:rsidTr="00143BCB">
        <w:trPr>
          <w:trHeight w:val="300"/>
          <w:jc w:val="center"/>
        </w:trPr>
        <w:tc>
          <w:tcPr>
            <w:tcW w:w="1710" w:type="dxa"/>
            <w:noWrap/>
            <w:vAlign w:val="center"/>
          </w:tcPr>
          <w:p w14:paraId="3B7C71CF"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C1.3</w:t>
            </w:r>
          </w:p>
        </w:tc>
        <w:tc>
          <w:tcPr>
            <w:tcW w:w="7708" w:type="dxa"/>
          </w:tcPr>
          <w:p w14:paraId="3026E632" w14:textId="77777777" w:rsidR="002E680B" w:rsidRPr="00143BCB" w:rsidRDefault="002E680B" w:rsidP="002E680B">
            <w:pPr>
              <w:widowControl/>
              <w:rPr>
                <w:rFonts w:ascii="Arial" w:eastAsia="Times New Roman" w:hAnsi="Arial" w:cs="Arial"/>
                <w:bCs/>
                <w:color w:val="000000"/>
                <w:sz w:val="20"/>
                <w:szCs w:val="20"/>
                <w:lang w:val="en-GB" w:eastAsia="en-GB"/>
              </w:rPr>
            </w:pPr>
            <w:r w:rsidRPr="00143BCB">
              <w:rPr>
                <w:rFonts w:ascii="Arial" w:eastAsia="Times New Roman" w:hAnsi="Arial" w:cs="Arial"/>
                <w:bCs/>
                <w:color w:val="000000"/>
                <w:sz w:val="20"/>
                <w:szCs w:val="20"/>
                <w:lang w:val="en-GB" w:eastAsia="en-GB"/>
              </w:rPr>
              <w:t>Annual evaluation of the board of directors should consider its composition, diversity and how effectively members work together to achieve objectives. Individual evaluation should demonstrate whether each director continues to contribute effectively.</w:t>
            </w:r>
          </w:p>
        </w:tc>
        <w:tc>
          <w:tcPr>
            <w:tcW w:w="1005" w:type="dxa"/>
            <w:vAlign w:val="center"/>
          </w:tcPr>
          <w:p w14:paraId="5F59D764"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1847A92D" w14:textId="77777777" w:rsidTr="00143BCB">
        <w:trPr>
          <w:trHeight w:val="300"/>
          <w:jc w:val="center"/>
        </w:trPr>
        <w:tc>
          <w:tcPr>
            <w:tcW w:w="1710" w:type="dxa"/>
            <w:shd w:val="clear" w:color="auto" w:fill="D9D9D9"/>
            <w:noWrap/>
            <w:vAlign w:val="center"/>
          </w:tcPr>
          <w:p w14:paraId="325537FB" w14:textId="77777777" w:rsidR="002E680B" w:rsidRPr="00143BCB" w:rsidRDefault="002E680B" w:rsidP="002E680B">
            <w:pPr>
              <w:widowControl/>
              <w:jc w:val="center"/>
              <w:rPr>
                <w:rFonts w:ascii="Arial" w:eastAsia="Times New Roman" w:hAnsi="Arial" w:cs="Arial"/>
                <w:b/>
                <w:color w:val="000000"/>
                <w:sz w:val="20"/>
                <w:szCs w:val="20"/>
                <w:lang w:val="en-GB" w:eastAsia="en-GB"/>
              </w:rPr>
            </w:pPr>
            <w:r w:rsidRPr="00143BCB">
              <w:rPr>
                <w:rFonts w:ascii="Arial" w:eastAsia="Times New Roman" w:hAnsi="Arial" w:cs="Arial"/>
                <w:b/>
                <w:color w:val="000000"/>
                <w:sz w:val="20"/>
                <w:szCs w:val="20"/>
                <w:lang w:val="en-GB" w:eastAsia="en-GB"/>
              </w:rPr>
              <w:t>C2</w:t>
            </w:r>
          </w:p>
        </w:tc>
        <w:tc>
          <w:tcPr>
            <w:tcW w:w="7708" w:type="dxa"/>
            <w:shd w:val="clear" w:color="auto" w:fill="D9D9D9"/>
          </w:tcPr>
          <w:p w14:paraId="0A516A15" w14:textId="77777777" w:rsidR="002E680B" w:rsidRPr="00143BCB" w:rsidRDefault="002E680B" w:rsidP="002E680B">
            <w:pPr>
              <w:widowControl/>
              <w:rPr>
                <w:rFonts w:ascii="Arial" w:eastAsia="Times New Roman" w:hAnsi="Arial" w:cs="Arial"/>
                <w:b/>
                <w:color w:val="000000"/>
                <w:sz w:val="20"/>
                <w:szCs w:val="20"/>
                <w:lang w:val="en-GB" w:eastAsia="en-GB"/>
              </w:rPr>
            </w:pPr>
            <w:r w:rsidRPr="00143BCB">
              <w:rPr>
                <w:rFonts w:ascii="Arial" w:eastAsia="Times New Roman" w:hAnsi="Arial" w:cs="Arial"/>
                <w:b/>
                <w:color w:val="000000"/>
                <w:sz w:val="20"/>
                <w:szCs w:val="20"/>
                <w:lang w:val="en-GB" w:eastAsia="en-GB"/>
              </w:rPr>
              <w:t xml:space="preserve">Provisions </w:t>
            </w:r>
          </w:p>
        </w:tc>
        <w:tc>
          <w:tcPr>
            <w:tcW w:w="1005" w:type="dxa"/>
            <w:shd w:val="clear" w:color="auto" w:fill="D9D9D9"/>
          </w:tcPr>
          <w:p w14:paraId="705F6F8F" w14:textId="77777777" w:rsidR="002E680B" w:rsidRPr="00143BCB" w:rsidRDefault="002E680B" w:rsidP="002E680B">
            <w:pPr>
              <w:widowControl/>
              <w:rPr>
                <w:rFonts w:ascii="Arial" w:eastAsia="Times New Roman" w:hAnsi="Arial" w:cs="Arial"/>
                <w:b/>
                <w:color w:val="000000"/>
                <w:sz w:val="20"/>
                <w:szCs w:val="20"/>
                <w:lang w:val="en-GB" w:eastAsia="en-GB"/>
              </w:rPr>
            </w:pPr>
          </w:p>
        </w:tc>
      </w:tr>
      <w:tr w:rsidR="002E680B" w:rsidRPr="00143BCB" w14:paraId="6C3ECAA9" w14:textId="77777777" w:rsidTr="00143BCB">
        <w:trPr>
          <w:trHeight w:val="1681"/>
          <w:jc w:val="center"/>
        </w:trPr>
        <w:tc>
          <w:tcPr>
            <w:tcW w:w="1710" w:type="dxa"/>
            <w:noWrap/>
            <w:vAlign w:val="center"/>
            <w:hideMark/>
          </w:tcPr>
          <w:p w14:paraId="1031F04D"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C2.1</w:t>
            </w:r>
          </w:p>
        </w:tc>
        <w:tc>
          <w:tcPr>
            <w:tcW w:w="7708" w:type="dxa"/>
            <w:hideMark/>
          </w:tcPr>
          <w:p w14:paraId="66DC825A"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The nominations committee or committees of foundation trusts, with external advice as appropriate, are responsible for the identification and nomination of executive and non-executive directors. The nominations committee should </w:t>
            </w:r>
            <w:proofErr w:type="gramStart"/>
            <w:r w:rsidRPr="00143BCB">
              <w:rPr>
                <w:rFonts w:ascii="Arial" w:eastAsia="Times New Roman" w:hAnsi="Arial" w:cs="Arial"/>
                <w:color w:val="000000"/>
                <w:sz w:val="20"/>
                <w:szCs w:val="20"/>
                <w:lang w:val="en-GB" w:eastAsia="en-GB"/>
              </w:rPr>
              <w:t>give full consideration to</w:t>
            </w:r>
            <w:proofErr w:type="gramEnd"/>
            <w:r w:rsidRPr="00143BCB">
              <w:rPr>
                <w:rFonts w:ascii="Arial" w:eastAsia="Times New Roman" w:hAnsi="Arial" w:cs="Arial"/>
                <w:color w:val="000000"/>
                <w:sz w:val="20"/>
                <w:szCs w:val="20"/>
                <w:lang w:val="en-GB" w:eastAsia="en-GB"/>
              </w:rPr>
              <w:t xml:space="preserve"> succession planning, </w:t>
            </w:r>
            <w:proofErr w:type="gramStart"/>
            <w:r w:rsidRPr="00143BCB">
              <w:rPr>
                <w:rFonts w:ascii="Arial" w:eastAsia="Times New Roman" w:hAnsi="Arial" w:cs="Arial"/>
                <w:color w:val="000000"/>
                <w:sz w:val="20"/>
                <w:szCs w:val="20"/>
                <w:lang w:val="en-GB" w:eastAsia="en-GB"/>
              </w:rPr>
              <w:t>taking into account</w:t>
            </w:r>
            <w:proofErr w:type="gramEnd"/>
            <w:r w:rsidRPr="00143BCB">
              <w:rPr>
                <w:rFonts w:ascii="Arial" w:eastAsia="Times New Roman" w:hAnsi="Arial" w:cs="Arial"/>
                <w:color w:val="000000"/>
                <w:sz w:val="20"/>
                <w:szCs w:val="20"/>
                <w:lang w:val="en-GB" w:eastAsia="en-GB"/>
              </w:rPr>
              <w:t xml:space="preserve"> the future challenges, risks and opportunities facing the trust, and the skills and expertise required within the board of directors to meet them. Best practice is that the selection panel for a post should include at least one external assessor from NHS England and/or a representative from a relevant ICB, and the foundation trust should engage with NHS England to agree the approach.</w:t>
            </w:r>
          </w:p>
        </w:tc>
        <w:tc>
          <w:tcPr>
            <w:tcW w:w="1005" w:type="dxa"/>
            <w:vAlign w:val="center"/>
            <w:hideMark/>
          </w:tcPr>
          <w:p w14:paraId="3481A25E"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62E9FD75" w14:textId="77777777" w:rsidTr="00143BCB">
        <w:trPr>
          <w:trHeight w:val="699"/>
          <w:jc w:val="center"/>
        </w:trPr>
        <w:tc>
          <w:tcPr>
            <w:tcW w:w="1710" w:type="dxa"/>
            <w:noWrap/>
            <w:vAlign w:val="center"/>
            <w:hideMark/>
          </w:tcPr>
          <w:p w14:paraId="3FF19F6B"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C2.2</w:t>
            </w:r>
          </w:p>
        </w:tc>
        <w:tc>
          <w:tcPr>
            <w:tcW w:w="7708" w:type="dxa"/>
            <w:hideMark/>
          </w:tcPr>
          <w:p w14:paraId="337DA69C"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There may be one or two nominations committees. If there are two, one will be responsible for considering nominations for executive directors and the other for non-executive directors (including the chair). The nominations committee(s) should regularly review the structure, size and composition of the board of directors and recommend changes where appropriate. In particular, the nominations committee(s) should evaluate, at least annually, the balance of skills, knowledge, experience and </w:t>
            </w:r>
            <w:r w:rsidRPr="00143BCB">
              <w:rPr>
                <w:rFonts w:ascii="Arial" w:eastAsia="Times New Roman" w:hAnsi="Arial" w:cs="Arial"/>
                <w:color w:val="000000"/>
                <w:sz w:val="20"/>
                <w:szCs w:val="20"/>
                <w:lang w:val="en-GB" w:eastAsia="en-GB"/>
              </w:rPr>
              <w:lastRenderedPageBreak/>
              <w:t>diversity on the board of directors and, in the light of this evaluation, describe the role and capabilities required for appointment of both executive and non-executive directors, including the chair.</w:t>
            </w:r>
          </w:p>
        </w:tc>
        <w:tc>
          <w:tcPr>
            <w:tcW w:w="1005" w:type="dxa"/>
            <w:vAlign w:val="center"/>
            <w:hideMark/>
          </w:tcPr>
          <w:p w14:paraId="766D873C"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lastRenderedPageBreak/>
              <w:t>Comply</w:t>
            </w:r>
          </w:p>
        </w:tc>
      </w:tr>
      <w:tr w:rsidR="002E680B" w:rsidRPr="00143BCB" w14:paraId="318F6914" w14:textId="77777777" w:rsidTr="00143BCB">
        <w:trPr>
          <w:trHeight w:val="70"/>
          <w:jc w:val="center"/>
        </w:trPr>
        <w:tc>
          <w:tcPr>
            <w:tcW w:w="1710" w:type="dxa"/>
            <w:noWrap/>
            <w:vAlign w:val="center"/>
            <w:hideMark/>
          </w:tcPr>
          <w:p w14:paraId="45AD6AAA"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C2.3</w:t>
            </w:r>
          </w:p>
        </w:tc>
        <w:tc>
          <w:tcPr>
            <w:tcW w:w="7708" w:type="dxa"/>
            <w:hideMark/>
          </w:tcPr>
          <w:p w14:paraId="28E1CA96"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The chair or an independent non-executive director should chair the nominations committee(s). At the discretion of the committee, a governor can chair the committee in the case of appointments of non-executive directors or the chair.</w:t>
            </w:r>
          </w:p>
        </w:tc>
        <w:tc>
          <w:tcPr>
            <w:tcW w:w="1005" w:type="dxa"/>
            <w:vAlign w:val="center"/>
            <w:hideMark/>
          </w:tcPr>
          <w:p w14:paraId="79259343"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65987DE3" w14:textId="77777777" w:rsidTr="00143BCB">
        <w:trPr>
          <w:trHeight w:val="699"/>
          <w:jc w:val="center"/>
        </w:trPr>
        <w:tc>
          <w:tcPr>
            <w:tcW w:w="1710" w:type="dxa"/>
            <w:noWrap/>
            <w:vAlign w:val="center"/>
            <w:hideMark/>
          </w:tcPr>
          <w:p w14:paraId="65BEE1EE"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C2.4</w:t>
            </w:r>
          </w:p>
        </w:tc>
        <w:tc>
          <w:tcPr>
            <w:tcW w:w="7708" w:type="dxa"/>
            <w:hideMark/>
          </w:tcPr>
          <w:p w14:paraId="66EE541B"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The governors should agree with the nominations committee a clear process for the nomination of a new chair and non-executive directors. Once suitable candidates have been identified, the nominations committee should make recommendations to the council of governors.</w:t>
            </w:r>
          </w:p>
        </w:tc>
        <w:tc>
          <w:tcPr>
            <w:tcW w:w="1005" w:type="dxa"/>
            <w:vAlign w:val="center"/>
            <w:hideMark/>
          </w:tcPr>
          <w:p w14:paraId="601D782F"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1AD51D1C" w14:textId="77777777" w:rsidTr="00143BCB">
        <w:trPr>
          <w:trHeight w:val="70"/>
          <w:jc w:val="center"/>
        </w:trPr>
        <w:tc>
          <w:tcPr>
            <w:tcW w:w="1710" w:type="dxa"/>
            <w:noWrap/>
            <w:vAlign w:val="center"/>
            <w:hideMark/>
          </w:tcPr>
          <w:p w14:paraId="26224D00"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C2.5</w:t>
            </w:r>
          </w:p>
        </w:tc>
        <w:tc>
          <w:tcPr>
            <w:tcW w:w="7708" w:type="dxa"/>
            <w:hideMark/>
          </w:tcPr>
          <w:p w14:paraId="0CF0C32F"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If an external consultancy is engaged, it should be identified in the annual report </w:t>
            </w:r>
          </w:p>
          <w:p w14:paraId="0B7C8ECF"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alongside a statement about any other connection it has with the trust or </w:t>
            </w:r>
          </w:p>
          <w:p w14:paraId="447F5F89"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individual directors.  </w:t>
            </w:r>
          </w:p>
        </w:tc>
        <w:tc>
          <w:tcPr>
            <w:tcW w:w="1005" w:type="dxa"/>
            <w:vAlign w:val="center"/>
            <w:hideMark/>
          </w:tcPr>
          <w:p w14:paraId="6580D76B"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354C29F8" w14:textId="77777777" w:rsidTr="00143BCB">
        <w:trPr>
          <w:trHeight w:val="274"/>
          <w:jc w:val="center"/>
        </w:trPr>
        <w:tc>
          <w:tcPr>
            <w:tcW w:w="1710" w:type="dxa"/>
            <w:noWrap/>
            <w:vAlign w:val="center"/>
            <w:hideMark/>
          </w:tcPr>
          <w:p w14:paraId="7CCA6A99"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C2.6</w:t>
            </w:r>
          </w:p>
        </w:tc>
        <w:tc>
          <w:tcPr>
            <w:tcW w:w="7708" w:type="dxa"/>
            <w:hideMark/>
          </w:tcPr>
          <w:p w14:paraId="7C686EF5"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Where an NHS foundation trust has two nominations committees, the nominations committee responsible for the appointment of non-executive directors should have governors and/or independent members in the majority. If only one nominations committee exists, when nominations for non-executives, including the appointment of a chair or a deputy chair, are being discussed, governors and/or independent members should be in the majority on the committee and also on the interview panel.  </w:t>
            </w:r>
          </w:p>
        </w:tc>
        <w:tc>
          <w:tcPr>
            <w:tcW w:w="1005" w:type="dxa"/>
            <w:vAlign w:val="center"/>
            <w:hideMark/>
          </w:tcPr>
          <w:p w14:paraId="4D75A51D"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2902D88C" w14:textId="77777777" w:rsidTr="00143BCB">
        <w:trPr>
          <w:trHeight w:val="70"/>
          <w:jc w:val="center"/>
        </w:trPr>
        <w:tc>
          <w:tcPr>
            <w:tcW w:w="1710" w:type="dxa"/>
            <w:noWrap/>
            <w:vAlign w:val="center"/>
            <w:hideMark/>
          </w:tcPr>
          <w:p w14:paraId="45F2E02B"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C2.7</w:t>
            </w:r>
          </w:p>
        </w:tc>
        <w:tc>
          <w:tcPr>
            <w:tcW w:w="7708" w:type="dxa"/>
            <w:hideMark/>
          </w:tcPr>
          <w:p w14:paraId="118E99A1"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When considering the appointment of non-executive directors, the council of governors should </w:t>
            </w:r>
            <w:proofErr w:type="gramStart"/>
            <w:r w:rsidRPr="00143BCB">
              <w:rPr>
                <w:rFonts w:ascii="Arial" w:eastAsia="Times New Roman" w:hAnsi="Arial" w:cs="Arial"/>
                <w:color w:val="000000"/>
                <w:sz w:val="20"/>
                <w:szCs w:val="20"/>
                <w:lang w:val="en-GB" w:eastAsia="en-GB"/>
              </w:rPr>
              <w:t>take into account</w:t>
            </w:r>
            <w:proofErr w:type="gramEnd"/>
            <w:r w:rsidRPr="00143BCB">
              <w:rPr>
                <w:rFonts w:ascii="Arial" w:eastAsia="Times New Roman" w:hAnsi="Arial" w:cs="Arial"/>
                <w:color w:val="000000"/>
                <w:sz w:val="20"/>
                <w:szCs w:val="20"/>
                <w:lang w:val="en-GB" w:eastAsia="en-GB"/>
              </w:rPr>
              <w:t xml:space="preserve"> the views of the board of directors and the nominations committee on the qualifications, skills and experience required for each position.</w:t>
            </w:r>
          </w:p>
        </w:tc>
        <w:tc>
          <w:tcPr>
            <w:tcW w:w="1005" w:type="dxa"/>
            <w:vAlign w:val="center"/>
            <w:hideMark/>
          </w:tcPr>
          <w:p w14:paraId="26A87E52"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66BD2BB7" w14:textId="77777777" w:rsidTr="00143BCB">
        <w:trPr>
          <w:trHeight w:val="153"/>
          <w:jc w:val="center"/>
        </w:trPr>
        <w:tc>
          <w:tcPr>
            <w:tcW w:w="1710" w:type="dxa"/>
            <w:noWrap/>
            <w:vAlign w:val="center"/>
            <w:hideMark/>
          </w:tcPr>
          <w:p w14:paraId="6D3A34A5"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C2.8</w:t>
            </w:r>
          </w:p>
        </w:tc>
        <w:tc>
          <w:tcPr>
            <w:tcW w:w="7708" w:type="dxa"/>
            <w:hideMark/>
          </w:tcPr>
          <w:p w14:paraId="6D028A36"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The annual report should describe the process followed by the council of </w:t>
            </w:r>
          </w:p>
          <w:p w14:paraId="157D2597"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governors to appoint the chair and non-executive directors. The main role and </w:t>
            </w:r>
          </w:p>
          <w:p w14:paraId="7D17E1F3"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responsibilities of the nominations committee should be set out in publicly </w:t>
            </w:r>
          </w:p>
          <w:p w14:paraId="18442E27"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available written terms of reference. </w:t>
            </w:r>
            <w:r w:rsidRPr="00143BCB">
              <w:rPr>
                <w:rFonts w:ascii="Arial" w:eastAsia="Times New Roman" w:hAnsi="Arial" w:cs="Arial"/>
                <w:b/>
                <w:color w:val="FF0000"/>
                <w:sz w:val="20"/>
                <w:szCs w:val="20"/>
                <w:lang w:val="en-GB" w:eastAsia="en-GB"/>
              </w:rPr>
              <w:t xml:space="preserve"> </w:t>
            </w:r>
          </w:p>
        </w:tc>
        <w:tc>
          <w:tcPr>
            <w:tcW w:w="1005" w:type="dxa"/>
            <w:vAlign w:val="center"/>
            <w:hideMark/>
          </w:tcPr>
          <w:p w14:paraId="0AAB3FD9"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3BACB802" w14:textId="77777777" w:rsidTr="00143BCB">
        <w:trPr>
          <w:trHeight w:val="634"/>
          <w:jc w:val="center"/>
        </w:trPr>
        <w:tc>
          <w:tcPr>
            <w:tcW w:w="1710" w:type="dxa"/>
            <w:noWrap/>
            <w:vAlign w:val="center"/>
            <w:hideMark/>
          </w:tcPr>
          <w:p w14:paraId="0242FB0E"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C2.9</w:t>
            </w:r>
          </w:p>
        </w:tc>
        <w:tc>
          <w:tcPr>
            <w:tcW w:w="7708" w:type="dxa"/>
            <w:hideMark/>
          </w:tcPr>
          <w:p w14:paraId="5EA5E6F4"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Elected governors must be subject to re-election by the members of their constituency at regular intervals not exceeding three years. The names of governors submitted for election or re-election should be accompanied by sufficient biographical details and any other relevant information to enable members to make an informed decision on their election. This should include prior performance information.</w:t>
            </w:r>
          </w:p>
        </w:tc>
        <w:tc>
          <w:tcPr>
            <w:tcW w:w="1005" w:type="dxa"/>
            <w:vAlign w:val="center"/>
            <w:hideMark/>
          </w:tcPr>
          <w:p w14:paraId="1D9A188E"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73D854FB" w14:textId="77777777" w:rsidTr="00143BCB">
        <w:trPr>
          <w:trHeight w:val="513"/>
          <w:jc w:val="center"/>
        </w:trPr>
        <w:tc>
          <w:tcPr>
            <w:tcW w:w="1710" w:type="dxa"/>
            <w:noWrap/>
            <w:vAlign w:val="center"/>
            <w:hideMark/>
          </w:tcPr>
          <w:p w14:paraId="6C1BF5F2"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C2.10</w:t>
            </w:r>
          </w:p>
        </w:tc>
        <w:tc>
          <w:tcPr>
            <w:tcW w:w="7708" w:type="dxa"/>
            <w:hideMark/>
          </w:tcPr>
          <w:p w14:paraId="07B74139"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A requirement of the National Health Service Act 2006 as amended (the 2006 Act) is that the chair, the other non-executive directors and – except in the case of the appointment of a chief executive – the chief executive are responsible for deciding the appointment of executive directors. The nominations committee with responsibility for executive director nominations should identify suitable candidates to fill executive director vacancies as they arise and make recommendations to the chair, the other non-executives directors and, except in the case of the appointment of a chief executive, the chief executive.</w:t>
            </w:r>
          </w:p>
        </w:tc>
        <w:tc>
          <w:tcPr>
            <w:tcW w:w="1005" w:type="dxa"/>
            <w:vAlign w:val="center"/>
            <w:hideMark/>
          </w:tcPr>
          <w:p w14:paraId="1C4DE85F"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5BECCCF0" w14:textId="77777777" w:rsidTr="00143BCB">
        <w:trPr>
          <w:trHeight w:val="70"/>
          <w:jc w:val="center"/>
        </w:trPr>
        <w:tc>
          <w:tcPr>
            <w:tcW w:w="1710" w:type="dxa"/>
            <w:noWrap/>
            <w:vAlign w:val="center"/>
            <w:hideMark/>
          </w:tcPr>
          <w:p w14:paraId="4D412488"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C2.11</w:t>
            </w:r>
          </w:p>
        </w:tc>
        <w:tc>
          <w:tcPr>
            <w:tcW w:w="7708" w:type="dxa"/>
            <w:hideMark/>
          </w:tcPr>
          <w:p w14:paraId="57235F47"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It is for the non-executive directors to appoint and remove the chief executive. The appointment of a chief executive requires the approval of the council of governors.</w:t>
            </w:r>
          </w:p>
        </w:tc>
        <w:tc>
          <w:tcPr>
            <w:tcW w:w="1005" w:type="dxa"/>
            <w:vAlign w:val="center"/>
            <w:hideMark/>
          </w:tcPr>
          <w:p w14:paraId="030B19E3"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602D92F5" w14:textId="77777777" w:rsidTr="00143BCB">
        <w:trPr>
          <w:trHeight w:val="70"/>
          <w:jc w:val="center"/>
        </w:trPr>
        <w:tc>
          <w:tcPr>
            <w:tcW w:w="1710" w:type="dxa"/>
            <w:noWrap/>
            <w:vAlign w:val="center"/>
            <w:hideMark/>
          </w:tcPr>
          <w:p w14:paraId="267F0B3A"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C2.12</w:t>
            </w:r>
          </w:p>
        </w:tc>
        <w:tc>
          <w:tcPr>
            <w:tcW w:w="7708" w:type="dxa"/>
            <w:hideMark/>
          </w:tcPr>
          <w:p w14:paraId="72DE7A19"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The governors are responsible at a general meeting for the appointment, re-appointment and removal of the chair and other non-executive directors.</w:t>
            </w:r>
          </w:p>
        </w:tc>
        <w:tc>
          <w:tcPr>
            <w:tcW w:w="1005" w:type="dxa"/>
            <w:vAlign w:val="center"/>
            <w:hideMark/>
          </w:tcPr>
          <w:p w14:paraId="5BFEFC9A"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1A2F46C8" w14:textId="77777777" w:rsidTr="00143BCB">
        <w:trPr>
          <w:trHeight w:val="70"/>
          <w:jc w:val="center"/>
        </w:trPr>
        <w:tc>
          <w:tcPr>
            <w:tcW w:w="1710" w:type="dxa"/>
            <w:noWrap/>
            <w:vAlign w:val="center"/>
            <w:hideMark/>
          </w:tcPr>
          <w:p w14:paraId="4F6BBA3D"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C2.13</w:t>
            </w:r>
          </w:p>
        </w:tc>
        <w:tc>
          <w:tcPr>
            <w:tcW w:w="7708" w:type="dxa"/>
            <w:hideMark/>
          </w:tcPr>
          <w:p w14:paraId="72D48BF3"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Non-executive directors, including the chair, should be appointed by the council of governors for the specified terms subject to re-appointment thereafter at intervals of no more than three years and subject to the 2006 Act provisions relating to removal of a director.</w:t>
            </w:r>
          </w:p>
        </w:tc>
        <w:tc>
          <w:tcPr>
            <w:tcW w:w="1005" w:type="dxa"/>
            <w:vAlign w:val="center"/>
            <w:hideMark/>
          </w:tcPr>
          <w:p w14:paraId="5F09E8A7"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71348FE7" w14:textId="77777777" w:rsidTr="00143BCB">
        <w:trPr>
          <w:trHeight w:val="906"/>
          <w:jc w:val="center"/>
        </w:trPr>
        <w:tc>
          <w:tcPr>
            <w:tcW w:w="1710" w:type="dxa"/>
            <w:noWrap/>
            <w:vAlign w:val="center"/>
            <w:hideMark/>
          </w:tcPr>
          <w:p w14:paraId="22BB20A7"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C2.14</w:t>
            </w:r>
          </w:p>
        </w:tc>
        <w:tc>
          <w:tcPr>
            <w:tcW w:w="7708" w:type="dxa"/>
            <w:hideMark/>
          </w:tcPr>
          <w:p w14:paraId="7FE070C5" w14:textId="77777777" w:rsidR="00C74C2C"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The terms and conditions of appointment of non-executive directors should be made available to the council of governors. The letter of appointment should set out the expected time commitment. Non-executive directors should undertake that they will have sufficient time to do what is expected of them. Their other significant commitments should be disclosed to the council of governors before appointment, with a broad indication of the time involved, and the council of governors should be informed of subsequent changes.</w:t>
            </w:r>
          </w:p>
        </w:tc>
        <w:tc>
          <w:tcPr>
            <w:tcW w:w="1005" w:type="dxa"/>
            <w:vAlign w:val="center"/>
            <w:hideMark/>
          </w:tcPr>
          <w:p w14:paraId="6053280E"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523A686F" w14:textId="77777777" w:rsidTr="00143BCB">
        <w:trPr>
          <w:trHeight w:val="300"/>
          <w:jc w:val="center"/>
        </w:trPr>
        <w:tc>
          <w:tcPr>
            <w:tcW w:w="1710" w:type="dxa"/>
            <w:shd w:val="clear" w:color="auto" w:fill="D9D9D9"/>
            <w:noWrap/>
            <w:vAlign w:val="center"/>
            <w:hideMark/>
          </w:tcPr>
          <w:p w14:paraId="08818390" w14:textId="77777777" w:rsidR="002E680B" w:rsidRPr="00143BCB" w:rsidRDefault="002E680B" w:rsidP="002E680B">
            <w:pPr>
              <w:widowControl/>
              <w:jc w:val="center"/>
              <w:rPr>
                <w:rFonts w:ascii="Arial" w:eastAsia="Times New Roman" w:hAnsi="Arial" w:cs="Arial"/>
                <w:b/>
                <w:color w:val="000000"/>
                <w:sz w:val="20"/>
                <w:szCs w:val="20"/>
                <w:lang w:val="en-GB" w:eastAsia="en-GB"/>
              </w:rPr>
            </w:pPr>
            <w:r w:rsidRPr="00143BCB">
              <w:rPr>
                <w:rFonts w:ascii="Arial" w:eastAsia="Times New Roman" w:hAnsi="Arial" w:cs="Arial"/>
                <w:b/>
                <w:color w:val="000000"/>
                <w:sz w:val="20"/>
                <w:szCs w:val="20"/>
                <w:lang w:val="en-GB" w:eastAsia="en-GB"/>
              </w:rPr>
              <w:t>C3</w:t>
            </w:r>
          </w:p>
        </w:tc>
        <w:tc>
          <w:tcPr>
            <w:tcW w:w="7708" w:type="dxa"/>
            <w:shd w:val="clear" w:color="auto" w:fill="D9D9D9"/>
            <w:hideMark/>
          </w:tcPr>
          <w:p w14:paraId="6BA0DB7D" w14:textId="77777777" w:rsidR="002E680B" w:rsidRPr="00143BCB" w:rsidRDefault="002E680B" w:rsidP="002E680B">
            <w:pPr>
              <w:widowControl/>
              <w:rPr>
                <w:rFonts w:ascii="Arial" w:eastAsia="Times New Roman" w:hAnsi="Arial" w:cs="Arial"/>
                <w:b/>
                <w:color w:val="000000"/>
                <w:sz w:val="20"/>
                <w:szCs w:val="20"/>
                <w:lang w:val="en-GB" w:eastAsia="en-GB"/>
              </w:rPr>
            </w:pPr>
            <w:r w:rsidRPr="00143BCB">
              <w:rPr>
                <w:rFonts w:ascii="Arial" w:eastAsia="Times New Roman" w:hAnsi="Arial" w:cs="Arial"/>
                <w:b/>
                <w:color w:val="000000"/>
                <w:sz w:val="20"/>
                <w:szCs w:val="20"/>
                <w:lang w:val="en-GB" w:eastAsia="en-GB"/>
              </w:rPr>
              <w:t>For NHS trust board appointments</w:t>
            </w:r>
          </w:p>
        </w:tc>
        <w:tc>
          <w:tcPr>
            <w:tcW w:w="1005" w:type="dxa"/>
            <w:shd w:val="clear" w:color="auto" w:fill="D9D9D9"/>
            <w:hideMark/>
          </w:tcPr>
          <w:p w14:paraId="151142BF" w14:textId="77777777" w:rsidR="002E680B" w:rsidRPr="00143BCB" w:rsidRDefault="002E680B" w:rsidP="002E680B">
            <w:pPr>
              <w:widowControl/>
              <w:rPr>
                <w:rFonts w:ascii="Arial" w:eastAsia="Times New Roman" w:hAnsi="Arial" w:cs="Arial"/>
                <w:b/>
                <w:color w:val="000000"/>
                <w:sz w:val="20"/>
                <w:szCs w:val="20"/>
                <w:lang w:val="en-GB" w:eastAsia="en-GB"/>
              </w:rPr>
            </w:pPr>
            <w:r w:rsidRPr="00143BCB">
              <w:rPr>
                <w:rFonts w:ascii="Arial" w:eastAsia="Times New Roman" w:hAnsi="Arial" w:cs="Arial"/>
                <w:b/>
                <w:color w:val="000000"/>
                <w:sz w:val="20"/>
                <w:szCs w:val="20"/>
                <w:lang w:val="en-GB" w:eastAsia="en-GB"/>
              </w:rPr>
              <w:t> </w:t>
            </w:r>
          </w:p>
        </w:tc>
      </w:tr>
      <w:tr w:rsidR="002E680B" w:rsidRPr="00143BCB" w14:paraId="002F91EB" w14:textId="77777777" w:rsidTr="00143BCB">
        <w:trPr>
          <w:trHeight w:val="820"/>
          <w:jc w:val="center"/>
        </w:trPr>
        <w:tc>
          <w:tcPr>
            <w:tcW w:w="1710" w:type="dxa"/>
            <w:noWrap/>
            <w:vAlign w:val="center"/>
            <w:hideMark/>
          </w:tcPr>
          <w:p w14:paraId="25C55C5E"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lastRenderedPageBreak/>
              <w:t>C3.1</w:t>
            </w:r>
          </w:p>
        </w:tc>
        <w:tc>
          <w:tcPr>
            <w:tcW w:w="7708" w:type="dxa"/>
            <w:hideMark/>
          </w:tcPr>
          <w:p w14:paraId="1F754729" w14:textId="77777777" w:rsidR="00143BC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NHS England is responsible for appointing chairs and other non-executive directors of NHS trusts. A committee consisting of the chair and non-executive directors is responsible for appointing the chief officer of the trust. A committee consisting of the chair, non-executive directors and the chief officer is responsible for appointing the other executive directors. NHS England has a key advisory role in ensuring the integrity, rigour and fairness of executive appointments at NHS trusts. The selection panel for the posts should include at least one external assessor from NHS England.</w:t>
            </w:r>
          </w:p>
        </w:tc>
        <w:tc>
          <w:tcPr>
            <w:tcW w:w="1005" w:type="dxa"/>
            <w:vAlign w:val="center"/>
            <w:hideMark/>
          </w:tcPr>
          <w:p w14:paraId="7137AE88"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5C632062" w14:textId="77777777" w:rsidTr="00143BCB">
        <w:trPr>
          <w:trHeight w:val="274"/>
          <w:jc w:val="center"/>
        </w:trPr>
        <w:tc>
          <w:tcPr>
            <w:tcW w:w="1710" w:type="dxa"/>
            <w:shd w:val="clear" w:color="auto" w:fill="D9D9D9"/>
            <w:noWrap/>
            <w:vAlign w:val="center"/>
            <w:hideMark/>
          </w:tcPr>
          <w:p w14:paraId="3BFD973F" w14:textId="77777777" w:rsidR="002E680B" w:rsidRPr="00143BCB" w:rsidRDefault="002E680B" w:rsidP="002E680B">
            <w:pPr>
              <w:widowControl/>
              <w:jc w:val="center"/>
              <w:rPr>
                <w:rFonts w:ascii="Arial" w:eastAsia="Times New Roman" w:hAnsi="Arial" w:cs="Arial"/>
                <w:b/>
                <w:color w:val="000000"/>
                <w:sz w:val="20"/>
                <w:szCs w:val="20"/>
                <w:lang w:val="en-GB" w:eastAsia="en-GB"/>
              </w:rPr>
            </w:pPr>
            <w:r w:rsidRPr="00143BCB">
              <w:rPr>
                <w:rFonts w:ascii="Arial" w:eastAsia="Times New Roman" w:hAnsi="Arial" w:cs="Arial"/>
                <w:b/>
                <w:color w:val="000000"/>
                <w:sz w:val="20"/>
                <w:szCs w:val="20"/>
                <w:lang w:val="en-GB" w:eastAsia="en-GB"/>
              </w:rPr>
              <w:t>C4</w:t>
            </w:r>
          </w:p>
        </w:tc>
        <w:tc>
          <w:tcPr>
            <w:tcW w:w="7708" w:type="dxa"/>
            <w:shd w:val="clear" w:color="auto" w:fill="D9D9D9"/>
            <w:hideMark/>
          </w:tcPr>
          <w:p w14:paraId="0AA0328B" w14:textId="77777777" w:rsidR="002E680B" w:rsidRPr="00143BCB" w:rsidRDefault="002E680B" w:rsidP="002E680B">
            <w:pPr>
              <w:widowControl/>
              <w:rPr>
                <w:rFonts w:ascii="Arial" w:eastAsia="Times New Roman" w:hAnsi="Arial" w:cs="Arial"/>
                <w:b/>
                <w:color w:val="000000"/>
                <w:sz w:val="20"/>
                <w:szCs w:val="20"/>
                <w:lang w:val="en-GB" w:eastAsia="en-GB"/>
              </w:rPr>
            </w:pPr>
            <w:r w:rsidRPr="00143BCB">
              <w:rPr>
                <w:rFonts w:ascii="Arial" w:eastAsia="Times New Roman" w:hAnsi="Arial" w:cs="Arial"/>
                <w:b/>
                <w:color w:val="000000"/>
                <w:sz w:val="20"/>
                <w:szCs w:val="20"/>
                <w:lang w:val="en-GB" w:eastAsia="en-GB"/>
              </w:rPr>
              <w:t>Board appointments: provisions applicable to both NHS foundation trusts and NHS trusts</w:t>
            </w:r>
          </w:p>
        </w:tc>
        <w:tc>
          <w:tcPr>
            <w:tcW w:w="1005" w:type="dxa"/>
            <w:shd w:val="clear" w:color="auto" w:fill="D9D9D9"/>
            <w:hideMark/>
          </w:tcPr>
          <w:p w14:paraId="3EBFBA84" w14:textId="77777777" w:rsidR="002E680B" w:rsidRPr="00143BCB" w:rsidRDefault="002E680B" w:rsidP="002E680B">
            <w:pPr>
              <w:widowControl/>
              <w:rPr>
                <w:rFonts w:ascii="Arial" w:eastAsia="Times New Roman" w:hAnsi="Arial" w:cs="Arial"/>
                <w:b/>
                <w:color w:val="000000"/>
                <w:sz w:val="20"/>
                <w:szCs w:val="20"/>
                <w:lang w:val="en-GB" w:eastAsia="en-GB"/>
              </w:rPr>
            </w:pPr>
            <w:r w:rsidRPr="00143BCB">
              <w:rPr>
                <w:rFonts w:ascii="Arial" w:eastAsia="Times New Roman" w:hAnsi="Arial" w:cs="Arial"/>
                <w:b/>
                <w:color w:val="000000"/>
                <w:sz w:val="20"/>
                <w:szCs w:val="20"/>
                <w:lang w:val="en-GB" w:eastAsia="en-GB"/>
              </w:rPr>
              <w:t> </w:t>
            </w:r>
          </w:p>
        </w:tc>
      </w:tr>
      <w:tr w:rsidR="002E680B" w:rsidRPr="00143BCB" w14:paraId="294E5FDC" w14:textId="77777777" w:rsidTr="00143BCB">
        <w:trPr>
          <w:trHeight w:val="557"/>
          <w:jc w:val="center"/>
        </w:trPr>
        <w:tc>
          <w:tcPr>
            <w:tcW w:w="1710" w:type="dxa"/>
            <w:noWrap/>
            <w:vAlign w:val="center"/>
            <w:hideMark/>
          </w:tcPr>
          <w:p w14:paraId="61DE45E9"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C4.1</w:t>
            </w:r>
          </w:p>
        </w:tc>
        <w:tc>
          <w:tcPr>
            <w:tcW w:w="7708" w:type="dxa"/>
            <w:hideMark/>
          </w:tcPr>
          <w:p w14:paraId="272CF495"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Directors on the board of directors and, for foundation trusts, governors on the council of governors should meet the ‘fit and proper’ persons test described in the provider licence. For the purpose of the licence and application criteria, ‘fit and proper’ persons are defined as those having the qualifications, competence, skills, experience and ability to properly perform the functions of a director. They must also have no issues of serious misconduct or mismanagement, no disbarment in relation to safeguarding vulnerable groups and disqualification from office, be without certain recent criminal convictions and director disqualifications, and not bankrupt (undischarged). Trusts should also have a policy for ensuring compliance with the CQC’s guidance Regulation 5: Fit and proper persons: directors.</w:t>
            </w:r>
          </w:p>
        </w:tc>
        <w:tc>
          <w:tcPr>
            <w:tcW w:w="1005" w:type="dxa"/>
            <w:vAlign w:val="center"/>
            <w:hideMark/>
          </w:tcPr>
          <w:p w14:paraId="02AFB20D"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236C75EB" w14:textId="77777777" w:rsidTr="00143BCB">
        <w:trPr>
          <w:trHeight w:val="70"/>
          <w:jc w:val="center"/>
        </w:trPr>
        <w:tc>
          <w:tcPr>
            <w:tcW w:w="1710" w:type="dxa"/>
            <w:noWrap/>
            <w:vAlign w:val="center"/>
            <w:hideMark/>
          </w:tcPr>
          <w:p w14:paraId="3EC04B2C"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C4.2</w:t>
            </w:r>
          </w:p>
        </w:tc>
        <w:tc>
          <w:tcPr>
            <w:tcW w:w="7708" w:type="dxa"/>
            <w:hideMark/>
          </w:tcPr>
          <w:p w14:paraId="7210B611"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The board of directors should include in the annual report a description of each </w:t>
            </w:r>
          </w:p>
          <w:p w14:paraId="06259746"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director’s skills, expertise and experience.  </w:t>
            </w:r>
          </w:p>
        </w:tc>
        <w:tc>
          <w:tcPr>
            <w:tcW w:w="1005" w:type="dxa"/>
            <w:vAlign w:val="center"/>
            <w:hideMark/>
          </w:tcPr>
          <w:p w14:paraId="6B291DE3"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1D41B4BD" w14:textId="77777777" w:rsidTr="00143BCB">
        <w:trPr>
          <w:trHeight w:val="433"/>
          <w:jc w:val="center"/>
        </w:trPr>
        <w:tc>
          <w:tcPr>
            <w:tcW w:w="1710" w:type="dxa"/>
            <w:noWrap/>
            <w:vAlign w:val="center"/>
            <w:hideMark/>
          </w:tcPr>
          <w:p w14:paraId="12F473F1"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C4.3</w:t>
            </w:r>
          </w:p>
        </w:tc>
        <w:tc>
          <w:tcPr>
            <w:tcW w:w="7708" w:type="dxa"/>
            <w:hideMark/>
          </w:tcPr>
          <w:p w14:paraId="4710A789"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Chairs or NEDs should not remain in post beyond nine years from the date of their first appointment to the board of directors and any decision to extend a term beyond six years should be subject to rigorous review. To facilitate effective succession planning and the development of a diverse board, this period of nine years can be extended for a limited time, particularly where on appointment a chair was an existing non-executive director. The need for all extensions should be clearly explained and should have been agreed with NHS England. A NED becoming chair after a three-year term as a non-executive director would not trigger a review after three years in post as chair.</w:t>
            </w:r>
          </w:p>
        </w:tc>
        <w:tc>
          <w:tcPr>
            <w:tcW w:w="1005" w:type="dxa"/>
            <w:vAlign w:val="center"/>
            <w:hideMark/>
          </w:tcPr>
          <w:p w14:paraId="64F81B71"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2D67B0A5" w14:textId="77777777" w:rsidTr="00143BCB">
        <w:trPr>
          <w:trHeight w:val="558"/>
          <w:jc w:val="center"/>
        </w:trPr>
        <w:tc>
          <w:tcPr>
            <w:tcW w:w="1710" w:type="dxa"/>
            <w:noWrap/>
            <w:vAlign w:val="center"/>
            <w:hideMark/>
          </w:tcPr>
          <w:p w14:paraId="7CBF85B5"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C4.4</w:t>
            </w:r>
          </w:p>
        </w:tc>
        <w:tc>
          <w:tcPr>
            <w:tcW w:w="7708" w:type="dxa"/>
            <w:hideMark/>
          </w:tcPr>
          <w:p w14:paraId="5A7962CB"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Elected foundation trust governors must be subject to re-election by the members of their constituency at regular intervals not exceeding three years. The governor names submitted for election or re-election should be accompanied by sufficient biographical details and any other relevant information to enable members to make an informed decision on their election. This should include prior performance information. Best practice is that governors do not serve more than three consecutive terms to ensure that they retain the objectivity and independence required to fulfil their roles.</w:t>
            </w:r>
          </w:p>
        </w:tc>
        <w:tc>
          <w:tcPr>
            <w:tcW w:w="1005" w:type="dxa"/>
            <w:vAlign w:val="center"/>
            <w:hideMark/>
          </w:tcPr>
          <w:p w14:paraId="7DCFF144"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51D828F0" w14:textId="77777777" w:rsidTr="00143BCB">
        <w:trPr>
          <w:trHeight w:val="860"/>
          <w:jc w:val="center"/>
        </w:trPr>
        <w:tc>
          <w:tcPr>
            <w:tcW w:w="1710" w:type="dxa"/>
            <w:noWrap/>
            <w:vAlign w:val="center"/>
            <w:hideMark/>
          </w:tcPr>
          <w:p w14:paraId="7DF075FD"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C4.5</w:t>
            </w:r>
          </w:p>
        </w:tc>
        <w:tc>
          <w:tcPr>
            <w:tcW w:w="7708" w:type="dxa"/>
            <w:hideMark/>
          </w:tcPr>
          <w:p w14:paraId="0CEB7921"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There should be a formal and rigorous annual evaluation of the performance of the board of directors, its committees, the chair and individual directors. For NHS foundation trusts, the council of governors should take the lead on agreeing a process for the evaluation of the chair and non-executive directors. The governors should bear in mind that it may be desirable to use the senior independent director to lead the evaluation of the chair. NHS England leads the evaluation of the chair and non-executive directors of NHS trusts.</w:t>
            </w:r>
          </w:p>
        </w:tc>
        <w:tc>
          <w:tcPr>
            <w:tcW w:w="1005" w:type="dxa"/>
            <w:vAlign w:val="center"/>
            <w:hideMark/>
          </w:tcPr>
          <w:p w14:paraId="4092912C"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70DDF0D9" w14:textId="77777777" w:rsidTr="00143BCB">
        <w:trPr>
          <w:trHeight w:val="70"/>
          <w:jc w:val="center"/>
        </w:trPr>
        <w:tc>
          <w:tcPr>
            <w:tcW w:w="1710" w:type="dxa"/>
            <w:noWrap/>
            <w:vAlign w:val="center"/>
            <w:hideMark/>
          </w:tcPr>
          <w:p w14:paraId="6CA764DD"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C4.6</w:t>
            </w:r>
          </w:p>
        </w:tc>
        <w:tc>
          <w:tcPr>
            <w:tcW w:w="7708" w:type="dxa"/>
            <w:hideMark/>
          </w:tcPr>
          <w:p w14:paraId="6CD55EC7"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The chair should act on the results of the evaluation by recognising the strengths and addressing any weaknesses of the board of directors. Each director should engage with the process and take appropriate action where development needs are identified.</w:t>
            </w:r>
          </w:p>
        </w:tc>
        <w:tc>
          <w:tcPr>
            <w:tcW w:w="1005" w:type="dxa"/>
            <w:vAlign w:val="center"/>
            <w:hideMark/>
          </w:tcPr>
          <w:p w14:paraId="50A1F918"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39D9DC99" w14:textId="77777777" w:rsidTr="00143BCB">
        <w:trPr>
          <w:trHeight w:val="235"/>
          <w:jc w:val="center"/>
        </w:trPr>
        <w:tc>
          <w:tcPr>
            <w:tcW w:w="1710" w:type="dxa"/>
            <w:noWrap/>
            <w:vAlign w:val="center"/>
            <w:hideMark/>
          </w:tcPr>
          <w:p w14:paraId="0D6D9A97"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C4.7</w:t>
            </w:r>
          </w:p>
        </w:tc>
        <w:tc>
          <w:tcPr>
            <w:tcW w:w="7708" w:type="dxa"/>
            <w:hideMark/>
          </w:tcPr>
          <w:p w14:paraId="40D039BE"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All trusts are strongly encouraged to carry out externally facilitated developmental </w:t>
            </w:r>
          </w:p>
          <w:p w14:paraId="0F441248"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reviews of their leadership and governance using the Well-led framework every </w:t>
            </w:r>
          </w:p>
          <w:p w14:paraId="417E08FB"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three to five years, according to their circumstances. The external reviewer </w:t>
            </w:r>
          </w:p>
          <w:p w14:paraId="1B2B6133"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should be identified in the annual report and a statement made about any </w:t>
            </w:r>
          </w:p>
          <w:p w14:paraId="6A3C9719"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connection it has with the trust or individual directors.  </w:t>
            </w:r>
          </w:p>
        </w:tc>
        <w:tc>
          <w:tcPr>
            <w:tcW w:w="1005" w:type="dxa"/>
            <w:vAlign w:val="center"/>
            <w:hideMark/>
          </w:tcPr>
          <w:p w14:paraId="317D956A"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709B4989" w14:textId="77777777" w:rsidTr="00143BCB">
        <w:trPr>
          <w:trHeight w:val="132"/>
          <w:jc w:val="center"/>
        </w:trPr>
        <w:tc>
          <w:tcPr>
            <w:tcW w:w="1710" w:type="dxa"/>
            <w:noWrap/>
            <w:vAlign w:val="center"/>
            <w:hideMark/>
          </w:tcPr>
          <w:p w14:paraId="75F0B24B"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C4.8</w:t>
            </w:r>
          </w:p>
        </w:tc>
        <w:tc>
          <w:tcPr>
            <w:tcW w:w="7708" w:type="dxa"/>
            <w:hideMark/>
          </w:tcPr>
          <w:p w14:paraId="2DF4E9D9"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Led by the chair, foundation trust councils of governors should periodically assess their collective performance and regularly communicate to members and the public how they have discharged their responsibilities, including their impact and effectiveness on:  </w:t>
            </w:r>
            <w:r w:rsidRPr="00143BCB">
              <w:rPr>
                <w:rFonts w:ascii="Arial" w:eastAsia="Times New Roman" w:hAnsi="Arial" w:cs="Arial"/>
                <w:color w:val="000000"/>
                <w:sz w:val="20"/>
                <w:szCs w:val="20"/>
                <w:lang w:val="en-GB" w:eastAsia="en-GB"/>
              </w:rPr>
              <w:br/>
              <w:t>Holding the non-executive directors individually and collectively to account for the performance of the board of directors</w:t>
            </w:r>
            <w:r w:rsidRPr="00143BCB">
              <w:rPr>
                <w:rFonts w:ascii="Arial" w:eastAsia="Times New Roman" w:hAnsi="Arial" w:cs="Arial"/>
                <w:color w:val="000000"/>
                <w:sz w:val="20"/>
                <w:szCs w:val="20"/>
                <w:lang w:val="en-GB" w:eastAsia="en-GB"/>
              </w:rPr>
              <w:br/>
            </w:r>
            <w:r w:rsidRPr="00143BCB">
              <w:rPr>
                <w:rFonts w:ascii="Arial" w:eastAsia="Times New Roman" w:hAnsi="Arial" w:cs="Arial"/>
                <w:color w:val="000000"/>
                <w:sz w:val="20"/>
                <w:szCs w:val="20"/>
                <w:lang w:val="en-GB" w:eastAsia="en-GB"/>
              </w:rPr>
              <w:lastRenderedPageBreak/>
              <w:t>communicating with their member constituencies and the public and transmitting their views to the board of directors</w:t>
            </w:r>
            <w:r w:rsidRPr="00143BCB">
              <w:rPr>
                <w:rFonts w:ascii="Arial" w:eastAsia="Times New Roman" w:hAnsi="Arial" w:cs="Arial"/>
                <w:color w:val="000000"/>
                <w:sz w:val="20"/>
                <w:szCs w:val="20"/>
                <w:lang w:val="en-GB" w:eastAsia="en-GB"/>
              </w:rPr>
              <w:br/>
              <w:t>contributing to the development of the foundation trust’s forward plans.</w:t>
            </w:r>
            <w:r w:rsidRPr="00143BCB">
              <w:rPr>
                <w:rFonts w:ascii="Arial" w:eastAsia="Times New Roman" w:hAnsi="Arial" w:cs="Arial"/>
                <w:color w:val="000000"/>
                <w:sz w:val="20"/>
                <w:szCs w:val="20"/>
                <w:lang w:val="en-GB" w:eastAsia="en-GB"/>
              </w:rPr>
              <w:br/>
              <w:t>The council of governors should use this process to review its roles, structure, composition and procedures, taking into account emerging best practice. Further information can be found in Your statutory duties: a reference guide for NHS foundation trust governors and an Addendum to Your statutory duties – A reference guide for NHS foundation trust governors.</w:t>
            </w:r>
          </w:p>
        </w:tc>
        <w:tc>
          <w:tcPr>
            <w:tcW w:w="1005" w:type="dxa"/>
            <w:vAlign w:val="center"/>
            <w:hideMark/>
          </w:tcPr>
          <w:p w14:paraId="27BBF463"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lastRenderedPageBreak/>
              <w:t>Comply</w:t>
            </w:r>
          </w:p>
        </w:tc>
      </w:tr>
      <w:tr w:rsidR="002E680B" w:rsidRPr="00143BCB" w14:paraId="20CEC438" w14:textId="77777777" w:rsidTr="00143BCB">
        <w:trPr>
          <w:trHeight w:val="70"/>
          <w:jc w:val="center"/>
        </w:trPr>
        <w:tc>
          <w:tcPr>
            <w:tcW w:w="1710" w:type="dxa"/>
            <w:noWrap/>
            <w:vAlign w:val="center"/>
            <w:hideMark/>
          </w:tcPr>
          <w:p w14:paraId="1061093B"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C4.9</w:t>
            </w:r>
          </w:p>
        </w:tc>
        <w:tc>
          <w:tcPr>
            <w:tcW w:w="7708" w:type="dxa"/>
            <w:hideMark/>
          </w:tcPr>
          <w:p w14:paraId="75ABC4AB"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The council of governors should agree and adopt a clear policy and a fair process for the removal of any governor who consistently and unjustifiably fails to attend its meetings or has an actual or potential conflict of interest that prevents the proper exercise of their duties. This should be shared with governors.</w:t>
            </w:r>
          </w:p>
        </w:tc>
        <w:tc>
          <w:tcPr>
            <w:tcW w:w="1005" w:type="dxa"/>
            <w:vAlign w:val="center"/>
            <w:hideMark/>
          </w:tcPr>
          <w:p w14:paraId="59A4C2B7"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546C0ED4" w14:textId="77777777" w:rsidTr="00143BCB">
        <w:trPr>
          <w:trHeight w:val="2201"/>
          <w:jc w:val="center"/>
        </w:trPr>
        <w:tc>
          <w:tcPr>
            <w:tcW w:w="1710" w:type="dxa"/>
            <w:noWrap/>
            <w:vAlign w:val="center"/>
            <w:hideMark/>
          </w:tcPr>
          <w:p w14:paraId="374A54BD"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C4.10</w:t>
            </w:r>
          </w:p>
        </w:tc>
        <w:tc>
          <w:tcPr>
            <w:tcW w:w="7708" w:type="dxa"/>
            <w:hideMark/>
          </w:tcPr>
          <w:p w14:paraId="39A19992"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In addition, it may be appropriate for the process to provide for removal from the council of governors if a governor or group of governors behaves or acts in a way that may be incompatible with the values and behaviours of the NHS foundation trust. NHS England’s model core constitution suggests that a governor can be removed by a 75% voting majority; however, trusts are free to stipulate a lower threshold if considered appropriate. Where there is any disagreement as to whether the proposal for removal is justified, an independent assessor agreeable to both parties should be asked to consider the evidence and determine whether or not the proposed removal is reasonable. NHS England can only use its enforcement powers to require a trust to remove a governor in very limited circumstances: where it has imposed an additional condition relating to governance in the trust’s licence because the governance of the trust is such that the trust would otherwise fail to comply with its licence and the trust has breached or is breaching that additional condition. It is more likely that NHS England would have cause to require a trust to remove a director under its enforcement powers than a governor.</w:t>
            </w:r>
          </w:p>
        </w:tc>
        <w:tc>
          <w:tcPr>
            <w:tcW w:w="1005" w:type="dxa"/>
            <w:vAlign w:val="center"/>
            <w:hideMark/>
          </w:tcPr>
          <w:p w14:paraId="078D57C0"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3FB7957B" w14:textId="77777777" w:rsidTr="00143BCB">
        <w:trPr>
          <w:trHeight w:val="70"/>
          <w:jc w:val="center"/>
        </w:trPr>
        <w:tc>
          <w:tcPr>
            <w:tcW w:w="1710" w:type="dxa"/>
            <w:noWrap/>
            <w:vAlign w:val="center"/>
            <w:hideMark/>
          </w:tcPr>
          <w:p w14:paraId="5081D00E"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C4.11</w:t>
            </w:r>
          </w:p>
        </w:tc>
        <w:tc>
          <w:tcPr>
            <w:tcW w:w="7708" w:type="dxa"/>
            <w:hideMark/>
          </w:tcPr>
          <w:p w14:paraId="1F17784A"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The board of directors should ensure it retains the necessary skills across its directors and works with the council of governors to ensure there is appropriate succession planning.</w:t>
            </w:r>
          </w:p>
        </w:tc>
        <w:tc>
          <w:tcPr>
            <w:tcW w:w="1005" w:type="dxa"/>
            <w:vAlign w:val="center"/>
            <w:hideMark/>
          </w:tcPr>
          <w:p w14:paraId="626E6222"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6B1DD6EB" w14:textId="77777777" w:rsidTr="00143BCB">
        <w:trPr>
          <w:trHeight w:val="70"/>
          <w:jc w:val="center"/>
        </w:trPr>
        <w:tc>
          <w:tcPr>
            <w:tcW w:w="1710" w:type="dxa"/>
            <w:noWrap/>
            <w:vAlign w:val="center"/>
            <w:hideMark/>
          </w:tcPr>
          <w:p w14:paraId="00EE7571"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C4.12</w:t>
            </w:r>
          </w:p>
        </w:tc>
        <w:tc>
          <w:tcPr>
            <w:tcW w:w="7708" w:type="dxa"/>
            <w:hideMark/>
          </w:tcPr>
          <w:p w14:paraId="571C16CA"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The remuneration committee should not agree to an executive member of the board leaving the employment of the trust except in accordance with the terms of their contract of employment, including but not limited to serving their full notice period and/or material reductions in their time commitment to the role, without the board first completing and approving a full risk assessment.</w:t>
            </w:r>
          </w:p>
        </w:tc>
        <w:tc>
          <w:tcPr>
            <w:tcW w:w="1005" w:type="dxa"/>
            <w:vAlign w:val="center"/>
            <w:hideMark/>
          </w:tcPr>
          <w:p w14:paraId="6BA319B3"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4DD63FDE" w14:textId="77777777" w:rsidTr="00143BCB">
        <w:trPr>
          <w:trHeight w:val="1127"/>
          <w:jc w:val="center"/>
        </w:trPr>
        <w:tc>
          <w:tcPr>
            <w:tcW w:w="1710" w:type="dxa"/>
            <w:noWrap/>
            <w:vAlign w:val="center"/>
            <w:hideMark/>
          </w:tcPr>
          <w:p w14:paraId="72CAEEFA"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C4.13</w:t>
            </w:r>
          </w:p>
        </w:tc>
        <w:tc>
          <w:tcPr>
            <w:tcW w:w="7708" w:type="dxa"/>
            <w:hideMark/>
          </w:tcPr>
          <w:p w14:paraId="6E3EE587"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The annual report should describe the work of the nominations committee(s), </w:t>
            </w:r>
          </w:p>
          <w:p w14:paraId="7DF85DDB"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including:</w:t>
            </w:r>
          </w:p>
          <w:p w14:paraId="3C359777"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 the process used in relation to appointments, its approach to succession </w:t>
            </w:r>
          </w:p>
          <w:p w14:paraId="6F008246"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planning and how both support the development of a diverse pipeline</w:t>
            </w:r>
          </w:p>
          <w:p w14:paraId="0192B3AA"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 how the board has been evaluated, the nature and extent of an external </w:t>
            </w:r>
          </w:p>
          <w:p w14:paraId="74033A86"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evaluator’s contact with the board of directors and individual directors, the </w:t>
            </w:r>
          </w:p>
          <w:p w14:paraId="3AE9289B"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outcomes and actions taken, and how these have or will influence board </w:t>
            </w:r>
          </w:p>
          <w:p w14:paraId="1DC7A657"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composition</w:t>
            </w:r>
          </w:p>
          <w:p w14:paraId="0F451DE4"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 the policy on diversity and inclusion including in relation to disability, its </w:t>
            </w:r>
          </w:p>
          <w:p w14:paraId="699875D6"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objectives and linkage to trust vision, how it has been implemented and </w:t>
            </w:r>
          </w:p>
          <w:p w14:paraId="18ED93EC"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progress on achieving the objectives</w:t>
            </w:r>
          </w:p>
          <w:p w14:paraId="6D507DE7"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 the ethnic diversity of the board and senior managers, with reference to </w:t>
            </w:r>
          </w:p>
          <w:p w14:paraId="43FAF776"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indicator nine of the NHS Workforce Race Equality Standard and how far the </w:t>
            </w:r>
          </w:p>
          <w:p w14:paraId="0DF43D1E"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board reflects the ethnic diversity of the trust’s workforce and communities </w:t>
            </w:r>
          </w:p>
          <w:p w14:paraId="6DD953CE"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served</w:t>
            </w:r>
          </w:p>
          <w:p w14:paraId="4570F09C"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the gender balance of senior management and their direct reports.</w:t>
            </w:r>
          </w:p>
        </w:tc>
        <w:tc>
          <w:tcPr>
            <w:tcW w:w="1005" w:type="dxa"/>
            <w:vAlign w:val="center"/>
            <w:hideMark/>
          </w:tcPr>
          <w:p w14:paraId="18CB645F"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2B2E55F5" w14:textId="77777777" w:rsidTr="00143BCB">
        <w:trPr>
          <w:trHeight w:val="300"/>
          <w:jc w:val="center"/>
        </w:trPr>
        <w:tc>
          <w:tcPr>
            <w:tcW w:w="1710" w:type="dxa"/>
            <w:shd w:val="clear" w:color="auto" w:fill="D9D9D9"/>
            <w:noWrap/>
            <w:vAlign w:val="center"/>
            <w:hideMark/>
          </w:tcPr>
          <w:p w14:paraId="2F5CF9B2" w14:textId="77777777" w:rsidR="002E680B" w:rsidRPr="00143BCB" w:rsidRDefault="002E680B" w:rsidP="002E680B">
            <w:pPr>
              <w:widowControl/>
              <w:jc w:val="center"/>
              <w:rPr>
                <w:rFonts w:ascii="Arial" w:eastAsia="Times New Roman" w:hAnsi="Arial" w:cs="Arial"/>
                <w:b/>
                <w:color w:val="000000"/>
                <w:sz w:val="20"/>
                <w:szCs w:val="20"/>
                <w:lang w:val="en-GB" w:eastAsia="en-GB"/>
              </w:rPr>
            </w:pPr>
            <w:r w:rsidRPr="00143BCB">
              <w:rPr>
                <w:rFonts w:ascii="Arial" w:eastAsia="Times New Roman" w:hAnsi="Arial" w:cs="Arial"/>
                <w:b/>
                <w:color w:val="000000"/>
                <w:sz w:val="20"/>
                <w:szCs w:val="20"/>
                <w:lang w:val="en-GB" w:eastAsia="en-GB"/>
              </w:rPr>
              <w:t>C5</w:t>
            </w:r>
          </w:p>
        </w:tc>
        <w:tc>
          <w:tcPr>
            <w:tcW w:w="7708" w:type="dxa"/>
            <w:shd w:val="clear" w:color="auto" w:fill="D9D9D9"/>
            <w:hideMark/>
          </w:tcPr>
          <w:p w14:paraId="1CE3F789" w14:textId="77777777" w:rsidR="002E680B" w:rsidRPr="00143BCB" w:rsidRDefault="002E680B" w:rsidP="002E680B">
            <w:pPr>
              <w:widowControl/>
              <w:rPr>
                <w:rFonts w:ascii="Arial" w:eastAsia="Times New Roman" w:hAnsi="Arial" w:cs="Arial"/>
                <w:b/>
                <w:color w:val="000000"/>
                <w:sz w:val="20"/>
                <w:szCs w:val="20"/>
                <w:lang w:val="en-GB" w:eastAsia="en-GB"/>
              </w:rPr>
            </w:pPr>
            <w:r w:rsidRPr="00143BCB">
              <w:rPr>
                <w:rFonts w:ascii="Arial" w:eastAsia="Times New Roman" w:hAnsi="Arial" w:cs="Arial"/>
                <w:b/>
                <w:color w:val="000000"/>
                <w:sz w:val="20"/>
                <w:szCs w:val="20"/>
                <w:lang w:val="en-GB" w:eastAsia="en-GB"/>
              </w:rPr>
              <w:t>Development, information and support</w:t>
            </w:r>
          </w:p>
        </w:tc>
        <w:tc>
          <w:tcPr>
            <w:tcW w:w="1005" w:type="dxa"/>
            <w:shd w:val="clear" w:color="auto" w:fill="D9D9D9"/>
            <w:hideMark/>
          </w:tcPr>
          <w:p w14:paraId="709BFC63" w14:textId="77777777" w:rsidR="002E680B" w:rsidRPr="00143BCB" w:rsidRDefault="002E680B" w:rsidP="002E680B">
            <w:pPr>
              <w:widowControl/>
              <w:rPr>
                <w:rFonts w:ascii="Arial" w:eastAsia="Times New Roman" w:hAnsi="Arial" w:cs="Arial"/>
                <w:b/>
                <w:color w:val="000000"/>
                <w:sz w:val="20"/>
                <w:szCs w:val="20"/>
                <w:lang w:val="en-GB" w:eastAsia="en-GB"/>
              </w:rPr>
            </w:pPr>
            <w:r w:rsidRPr="00143BCB">
              <w:rPr>
                <w:rFonts w:ascii="Arial" w:eastAsia="Times New Roman" w:hAnsi="Arial" w:cs="Arial"/>
                <w:b/>
                <w:color w:val="000000"/>
                <w:sz w:val="20"/>
                <w:szCs w:val="20"/>
                <w:lang w:val="en-GB" w:eastAsia="en-GB"/>
              </w:rPr>
              <w:t> </w:t>
            </w:r>
          </w:p>
        </w:tc>
      </w:tr>
      <w:tr w:rsidR="002E680B" w:rsidRPr="00143BCB" w14:paraId="35289FA8" w14:textId="77777777" w:rsidTr="00143BCB">
        <w:trPr>
          <w:trHeight w:val="93"/>
          <w:jc w:val="center"/>
        </w:trPr>
        <w:tc>
          <w:tcPr>
            <w:tcW w:w="1710" w:type="dxa"/>
            <w:noWrap/>
            <w:vAlign w:val="center"/>
            <w:hideMark/>
          </w:tcPr>
          <w:p w14:paraId="2BA45260"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C5.1</w:t>
            </w:r>
          </w:p>
        </w:tc>
        <w:tc>
          <w:tcPr>
            <w:tcW w:w="7708" w:type="dxa"/>
            <w:hideMark/>
          </w:tcPr>
          <w:p w14:paraId="59F8F375"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All directors and, for foundation trusts, governors should receive appropriate induction on joining the board of directors or the council of governors, and should regularly update and refresh their skills and knowledge. Both directors and, for foundation trusts, governors should make every effort to participate in training that is offered.</w:t>
            </w:r>
          </w:p>
        </w:tc>
        <w:tc>
          <w:tcPr>
            <w:tcW w:w="1005" w:type="dxa"/>
            <w:noWrap/>
            <w:vAlign w:val="center"/>
            <w:hideMark/>
          </w:tcPr>
          <w:p w14:paraId="3EA0AD64"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0BDD383E" w14:textId="77777777" w:rsidTr="00143BCB">
        <w:trPr>
          <w:trHeight w:val="699"/>
          <w:jc w:val="center"/>
        </w:trPr>
        <w:tc>
          <w:tcPr>
            <w:tcW w:w="1710" w:type="dxa"/>
            <w:noWrap/>
            <w:vAlign w:val="center"/>
            <w:hideMark/>
          </w:tcPr>
          <w:p w14:paraId="7281D110"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C5.2</w:t>
            </w:r>
          </w:p>
        </w:tc>
        <w:tc>
          <w:tcPr>
            <w:tcW w:w="7708" w:type="dxa"/>
            <w:hideMark/>
          </w:tcPr>
          <w:p w14:paraId="793E3544"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The chair should ensure that directors and, for foundation trusts, governors continually update their skills, knowledge and familiarity with the trust and its obligations for them to fulfil their role on the board, the council of governors and </w:t>
            </w:r>
            <w:r w:rsidRPr="00143BCB">
              <w:rPr>
                <w:rFonts w:ascii="Arial" w:eastAsia="Times New Roman" w:hAnsi="Arial" w:cs="Arial"/>
                <w:color w:val="000000"/>
                <w:sz w:val="20"/>
                <w:szCs w:val="20"/>
                <w:lang w:val="en-GB" w:eastAsia="en-GB"/>
              </w:rPr>
              <w:lastRenderedPageBreak/>
              <w:t xml:space="preserve">committees. Directors should also be familiar with the integrated care system(s) that commission material levels of services from the trust. The trust should provide the necessary resources for its directors and, for foundation trusts, governors to develop and update their skills, knowledge and capabilities. Where directors or, for foundation trusts, governors are involved in recruitment, they should receive appropriate training, including on equality, diversity and inclusion, and unconscious bias.  </w:t>
            </w:r>
          </w:p>
        </w:tc>
        <w:tc>
          <w:tcPr>
            <w:tcW w:w="1005" w:type="dxa"/>
            <w:noWrap/>
            <w:vAlign w:val="center"/>
            <w:hideMark/>
          </w:tcPr>
          <w:p w14:paraId="628E659E"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lastRenderedPageBreak/>
              <w:t>Comply</w:t>
            </w:r>
          </w:p>
        </w:tc>
      </w:tr>
      <w:tr w:rsidR="002E680B" w:rsidRPr="00143BCB" w14:paraId="2FAFC380" w14:textId="77777777" w:rsidTr="00143BCB">
        <w:trPr>
          <w:trHeight w:val="70"/>
          <w:jc w:val="center"/>
        </w:trPr>
        <w:tc>
          <w:tcPr>
            <w:tcW w:w="1710" w:type="dxa"/>
            <w:noWrap/>
            <w:vAlign w:val="center"/>
            <w:hideMark/>
          </w:tcPr>
          <w:p w14:paraId="40C34DD5"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C5.3</w:t>
            </w:r>
          </w:p>
        </w:tc>
        <w:tc>
          <w:tcPr>
            <w:tcW w:w="7708" w:type="dxa"/>
            <w:hideMark/>
          </w:tcPr>
          <w:p w14:paraId="1F8DBDC5"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To function effectively, all directors need appropriate knowledge of the trust and access to its operations and staff. Directors and governors also need to be appropriately briefed on values and all policies and procedures adopted by the trust.</w:t>
            </w:r>
          </w:p>
        </w:tc>
        <w:tc>
          <w:tcPr>
            <w:tcW w:w="1005" w:type="dxa"/>
            <w:vAlign w:val="center"/>
            <w:hideMark/>
          </w:tcPr>
          <w:p w14:paraId="1BB5FCCB"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7BD39AC9" w14:textId="77777777" w:rsidTr="00143BCB">
        <w:trPr>
          <w:trHeight w:val="70"/>
          <w:jc w:val="center"/>
        </w:trPr>
        <w:tc>
          <w:tcPr>
            <w:tcW w:w="1710" w:type="dxa"/>
            <w:noWrap/>
            <w:vAlign w:val="center"/>
            <w:hideMark/>
          </w:tcPr>
          <w:p w14:paraId="04EBD17B"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C5.4</w:t>
            </w:r>
          </w:p>
        </w:tc>
        <w:tc>
          <w:tcPr>
            <w:tcW w:w="7708" w:type="dxa"/>
            <w:hideMark/>
          </w:tcPr>
          <w:p w14:paraId="65D01633"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The chair should ensure that new directors and, for foundation trusts, governors receive a full and tailored induction on joining the board or the council of governors. As part of this, directors should seek opportunities to engage with stakeholders, including patients, clinicians and other staff, and system partners. Directors should also have access at the trust’s expense to training courses and/or materials that are consistent with their individual and collective development programme.</w:t>
            </w:r>
          </w:p>
        </w:tc>
        <w:tc>
          <w:tcPr>
            <w:tcW w:w="1005" w:type="dxa"/>
            <w:vAlign w:val="center"/>
            <w:hideMark/>
          </w:tcPr>
          <w:p w14:paraId="7AF09D68"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58F6FBBB" w14:textId="77777777" w:rsidTr="00143BCB">
        <w:trPr>
          <w:trHeight w:val="70"/>
          <w:jc w:val="center"/>
        </w:trPr>
        <w:tc>
          <w:tcPr>
            <w:tcW w:w="1710" w:type="dxa"/>
            <w:noWrap/>
            <w:vAlign w:val="center"/>
            <w:hideMark/>
          </w:tcPr>
          <w:p w14:paraId="7FE60288"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C5.5</w:t>
            </w:r>
          </w:p>
        </w:tc>
        <w:tc>
          <w:tcPr>
            <w:tcW w:w="7708" w:type="dxa"/>
            <w:hideMark/>
          </w:tcPr>
          <w:p w14:paraId="35FC22CD"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The chair should regularly review and agree with each director their training and development needs as they relate to their role on the board.</w:t>
            </w:r>
          </w:p>
        </w:tc>
        <w:tc>
          <w:tcPr>
            <w:tcW w:w="1005" w:type="dxa"/>
            <w:vAlign w:val="center"/>
            <w:hideMark/>
          </w:tcPr>
          <w:p w14:paraId="24CFF501"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601ACC36" w14:textId="77777777" w:rsidTr="00143BCB">
        <w:trPr>
          <w:trHeight w:val="70"/>
          <w:jc w:val="center"/>
        </w:trPr>
        <w:tc>
          <w:tcPr>
            <w:tcW w:w="1710" w:type="dxa"/>
            <w:noWrap/>
            <w:vAlign w:val="center"/>
            <w:hideMark/>
          </w:tcPr>
          <w:p w14:paraId="16242302"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C5.6</w:t>
            </w:r>
          </w:p>
        </w:tc>
        <w:tc>
          <w:tcPr>
            <w:tcW w:w="7708" w:type="dxa"/>
            <w:hideMark/>
          </w:tcPr>
          <w:p w14:paraId="035FB0B0"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A foundation trust board has a duty to take steps to ensure that governors are equipped with the skills and knowledge they need to discharge their duties appropriately.</w:t>
            </w:r>
          </w:p>
        </w:tc>
        <w:tc>
          <w:tcPr>
            <w:tcW w:w="1005" w:type="dxa"/>
            <w:vAlign w:val="center"/>
            <w:hideMark/>
          </w:tcPr>
          <w:p w14:paraId="090A02D1"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0EFCDEE4" w14:textId="77777777" w:rsidTr="00143BCB">
        <w:trPr>
          <w:trHeight w:val="703"/>
          <w:jc w:val="center"/>
        </w:trPr>
        <w:tc>
          <w:tcPr>
            <w:tcW w:w="1710" w:type="dxa"/>
            <w:noWrap/>
            <w:vAlign w:val="center"/>
            <w:hideMark/>
          </w:tcPr>
          <w:p w14:paraId="7F192DF9"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C5.7</w:t>
            </w:r>
          </w:p>
        </w:tc>
        <w:tc>
          <w:tcPr>
            <w:tcW w:w="7708" w:type="dxa"/>
            <w:hideMark/>
          </w:tcPr>
          <w:p w14:paraId="04059B0D"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The board of directors and, for foundation trusts, the council of governors should be given relevant information in a timely manner, form and quality that enables them to discharge their respective duties. Foundation trust governors should be provided with information on ICS plans, decisions and delivery that directly affect the organisation and its patients. Statutory requirements on the provision of information from the foundation trust board of directors to the council of governors are provided in Your statutory duties: a reference guide for NHS foundation trust governors.</w:t>
            </w:r>
          </w:p>
        </w:tc>
        <w:tc>
          <w:tcPr>
            <w:tcW w:w="1005" w:type="dxa"/>
            <w:vAlign w:val="center"/>
            <w:hideMark/>
          </w:tcPr>
          <w:p w14:paraId="661A0348"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3A388BA2" w14:textId="77777777" w:rsidTr="00143BCB">
        <w:trPr>
          <w:trHeight w:val="70"/>
          <w:jc w:val="center"/>
        </w:trPr>
        <w:tc>
          <w:tcPr>
            <w:tcW w:w="1710" w:type="dxa"/>
            <w:noWrap/>
            <w:vAlign w:val="center"/>
            <w:hideMark/>
          </w:tcPr>
          <w:p w14:paraId="15FF7C5D"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C5.8</w:t>
            </w:r>
          </w:p>
        </w:tc>
        <w:tc>
          <w:tcPr>
            <w:tcW w:w="7708" w:type="dxa"/>
            <w:hideMark/>
          </w:tcPr>
          <w:p w14:paraId="0552C3B8"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The chair is responsible for ensuring that directors and governors receive accurate, timely and clear information. Management has an obligation to provide such information but directors and, for foundation trusts, governors should seek clarification or detail where necessary.</w:t>
            </w:r>
          </w:p>
        </w:tc>
        <w:tc>
          <w:tcPr>
            <w:tcW w:w="1005" w:type="dxa"/>
            <w:vAlign w:val="center"/>
            <w:hideMark/>
          </w:tcPr>
          <w:p w14:paraId="532B2BB4"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123C7FF5" w14:textId="77777777" w:rsidTr="00143BCB">
        <w:trPr>
          <w:trHeight w:val="70"/>
          <w:jc w:val="center"/>
        </w:trPr>
        <w:tc>
          <w:tcPr>
            <w:tcW w:w="1710" w:type="dxa"/>
            <w:noWrap/>
            <w:vAlign w:val="center"/>
            <w:hideMark/>
          </w:tcPr>
          <w:p w14:paraId="26518744"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C5.9</w:t>
            </w:r>
          </w:p>
        </w:tc>
        <w:tc>
          <w:tcPr>
            <w:tcW w:w="7708" w:type="dxa"/>
            <w:hideMark/>
          </w:tcPr>
          <w:p w14:paraId="20BF0523"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The chair’s responsibilities include ensuring good information flows across the board and, for foundation trusts, across the council of governors and their committees; between directors and governors; and for all trusts, between senior management and non-executive directors; as well as facilitating appropriate induction and assisting with professional development as required</w:t>
            </w:r>
          </w:p>
        </w:tc>
        <w:tc>
          <w:tcPr>
            <w:tcW w:w="1005" w:type="dxa"/>
            <w:vAlign w:val="center"/>
            <w:hideMark/>
          </w:tcPr>
          <w:p w14:paraId="5B34C37D"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4A73B0FE" w14:textId="77777777" w:rsidTr="00143BCB">
        <w:trPr>
          <w:trHeight w:val="812"/>
          <w:jc w:val="center"/>
        </w:trPr>
        <w:tc>
          <w:tcPr>
            <w:tcW w:w="1710" w:type="dxa"/>
            <w:noWrap/>
            <w:vAlign w:val="center"/>
            <w:hideMark/>
          </w:tcPr>
          <w:p w14:paraId="3605A2E9"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C5.10</w:t>
            </w:r>
          </w:p>
        </w:tc>
        <w:tc>
          <w:tcPr>
            <w:tcW w:w="7708" w:type="dxa"/>
            <w:hideMark/>
          </w:tcPr>
          <w:p w14:paraId="1147945F"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The board of directors and, for foundation trusts, the council of governors should be provided with high-quality information appropriate to their respective functions and relevant to the decisions they have to make. The board of directors and, for foundation trusts, the council of governors should agree their respective information needs with the executive directors through the chair. The information for boards should be concise, objective, accurate and timely, and complex issues should be clearly explained. The board of directors should have complete access to any information about the trust that it deems necessary to discharge its duties, as well as access to senior management and other employees.</w:t>
            </w:r>
          </w:p>
        </w:tc>
        <w:tc>
          <w:tcPr>
            <w:tcW w:w="1005" w:type="dxa"/>
            <w:vAlign w:val="center"/>
            <w:hideMark/>
          </w:tcPr>
          <w:p w14:paraId="0213BE2F"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0981E9F1" w14:textId="77777777" w:rsidTr="00143BCB">
        <w:trPr>
          <w:trHeight w:val="445"/>
          <w:jc w:val="center"/>
        </w:trPr>
        <w:tc>
          <w:tcPr>
            <w:tcW w:w="1710" w:type="dxa"/>
            <w:noWrap/>
            <w:vAlign w:val="center"/>
            <w:hideMark/>
          </w:tcPr>
          <w:p w14:paraId="5359E8A6"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C5.11</w:t>
            </w:r>
          </w:p>
        </w:tc>
        <w:tc>
          <w:tcPr>
            <w:tcW w:w="7708" w:type="dxa"/>
            <w:hideMark/>
          </w:tcPr>
          <w:p w14:paraId="3B3F1A1F"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The board of directors and in particular non-executive directors may reasonably wish to challenge assurances received from the executive management. They do not need to appoint a relevant adviser for each and every subject area that comes before the board of directors, but should ensure that they have sufficient information and understanding to enable challenge and to take decisions on an informed basis. When complex or high-risk issues arise, the first course of action should normally be to encourage further and deeper analysis within the trust in a timely manner. On occasion, non-executives may reasonably decide that external assurance is appropriate.</w:t>
            </w:r>
          </w:p>
        </w:tc>
        <w:tc>
          <w:tcPr>
            <w:tcW w:w="1005" w:type="dxa"/>
            <w:vAlign w:val="center"/>
            <w:hideMark/>
          </w:tcPr>
          <w:p w14:paraId="7ED9EDBA"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1D2DCF91" w14:textId="77777777" w:rsidTr="00C74C2C">
        <w:trPr>
          <w:trHeight w:val="274"/>
          <w:jc w:val="center"/>
        </w:trPr>
        <w:tc>
          <w:tcPr>
            <w:tcW w:w="1710" w:type="dxa"/>
            <w:noWrap/>
            <w:vAlign w:val="center"/>
            <w:hideMark/>
          </w:tcPr>
          <w:p w14:paraId="57F86F48"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C5.12</w:t>
            </w:r>
          </w:p>
        </w:tc>
        <w:tc>
          <w:tcPr>
            <w:tcW w:w="7708" w:type="dxa"/>
            <w:hideMark/>
          </w:tcPr>
          <w:p w14:paraId="70D207DA"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The board should ensure that directors, especially non-executive directors, have access to the independent professional advice, at the trust’s expense, where they judge it necessary to discharge their responsibilities as directors. The decision to appoint an external adviser should be the collective decision of the majority of non-</w:t>
            </w:r>
            <w:r w:rsidRPr="00143BCB">
              <w:rPr>
                <w:rFonts w:ascii="Arial" w:eastAsia="Times New Roman" w:hAnsi="Arial" w:cs="Arial"/>
                <w:color w:val="000000"/>
                <w:sz w:val="20"/>
                <w:szCs w:val="20"/>
                <w:lang w:val="en-GB" w:eastAsia="en-GB"/>
              </w:rPr>
              <w:lastRenderedPageBreak/>
              <w:t>executive directors. The availability of independent external sources of advice should be made clear at the time of appointment.</w:t>
            </w:r>
          </w:p>
        </w:tc>
        <w:tc>
          <w:tcPr>
            <w:tcW w:w="1005" w:type="dxa"/>
            <w:vAlign w:val="center"/>
            <w:hideMark/>
          </w:tcPr>
          <w:p w14:paraId="44842936"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lastRenderedPageBreak/>
              <w:t>Comply</w:t>
            </w:r>
          </w:p>
        </w:tc>
      </w:tr>
      <w:tr w:rsidR="002E680B" w:rsidRPr="00143BCB" w14:paraId="035C1CBD" w14:textId="77777777" w:rsidTr="00143BCB">
        <w:trPr>
          <w:trHeight w:val="132"/>
          <w:jc w:val="center"/>
        </w:trPr>
        <w:tc>
          <w:tcPr>
            <w:tcW w:w="1710" w:type="dxa"/>
            <w:noWrap/>
            <w:vAlign w:val="center"/>
            <w:hideMark/>
          </w:tcPr>
          <w:p w14:paraId="0180A414"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C5.13</w:t>
            </w:r>
          </w:p>
        </w:tc>
        <w:tc>
          <w:tcPr>
            <w:tcW w:w="7708" w:type="dxa"/>
            <w:hideMark/>
          </w:tcPr>
          <w:p w14:paraId="3F2341CC"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Committees should be provided with sufficient resources to undertake their duties. The board of directors of foundation trusts should also ensure that the council of governors is provided with sufficient resources to undertake its duties with such arrangements agreed in advance.</w:t>
            </w:r>
          </w:p>
        </w:tc>
        <w:tc>
          <w:tcPr>
            <w:tcW w:w="1005" w:type="dxa"/>
            <w:vAlign w:val="center"/>
            <w:hideMark/>
          </w:tcPr>
          <w:p w14:paraId="46A0013B"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63423DCD" w14:textId="77777777" w:rsidTr="00143BCB">
        <w:trPr>
          <w:trHeight w:val="70"/>
          <w:jc w:val="center"/>
        </w:trPr>
        <w:tc>
          <w:tcPr>
            <w:tcW w:w="1710" w:type="dxa"/>
            <w:noWrap/>
            <w:vAlign w:val="center"/>
            <w:hideMark/>
          </w:tcPr>
          <w:p w14:paraId="7FC72C23"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C5.14</w:t>
            </w:r>
          </w:p>
        </w:tc>
        <w:tc>
          <w:tcPr>
            <w:tcW w:w="7708" w:type="dxa"/>
            <w:hideMark/>
          </w:tcPr>
          <w:p w14:paraId="16F544BC"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Non-executive directors should consider whether they are receiving the necessary information in a timely manner and feel able to appropriately challenge board recommendations, in particular by making full use of their skills and experience gained both as a director of the trust and in other leadership roles. They should expect and apply similar standards of care and quality in their role as a non-executive director of a trust as they would in other similar roles.</w:t>
            </w:r>
          </w:p>
        </w:tc>
        <w:tc>
          <w:tcPr>
            <w:tcW w:w="1005" w:type="dxa"/>
            <w:vAlign w:val="center"/>
            <w:hideMark/>
          </w:tcPr>
          <w:p w14:paraId="5A5AAA40"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1DCB26E4" w14:textId="77777777" w:rsidTr="00143BCB">
        <w:trPr>
          <w:trHeight w:val="70"/>
          <w:jc w:val="center"/>
        </w:trPr>
        <w:tc>
          <w:tcPr>
            <w:tcW w:w="1710" w:type="dxa"/>
            <w:noWrap/>
            <w:vAlign w:val="center"/>
            <w:hideMark/>
          </w:tcPr>
          <w:p w14:paraId="7F49D888" w14:textId="77777777" w:rsidR="002E680B" w:rsidRPr="00143BCB" w:rsidRDefault="002E680B" w:rsidP="002E680B">
            <w:pPr>
              <w:widowControl/>
              <w:jc w:val="center"/>
              <w:rPr>
                <w:rFonts w:ascii="Arial" w:eastAsia="Times New Roman" w:hAnsi="Arial" w:cs="Arial"/>
                <w:color w:val="000000"/>
                <w:sz w:val="20"/>
                <w:szCs w:val="20"/>
                <w:lang w:val="en-GB" w:eastAsia="en-GB"/>
              </w:rPr>
            </w:pPr>
            <w:bookmarkStart w:id="30" w:name="_Hlk161836155"/>
            <w:r w:rsidRPr="00143BCB">
              <w:rPr>
                <w:rFonts w:ascii="Arial" w:eastAsia="Times New Roman" w:hAnsi="Arial" w:cs="Arial"/>
                <w:color w:val="000000"/>
                <w:sz w:val="20"/>
                <w:szCs w:val="20"/>
                <w:lang w:val="en-GB" w:eastAsia="en-GB"/>
              </w:rPr>
              <w:t>C5.15</w:t>
            </w:r>
          </w:p>
        </w:tc>
        <w:tc>
          <w:tcPr>
            <w:tcW w:w="7708" w:type="dxa"/>
            <w:hideMark/>
          </w:tcPr>
          <w:p w14:paraId="4F04CB4C"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Foundation trust governors should canvass the opinion of the trust’s members </w:t>
            </w:r>
          </w:p>
          <w:p w14:paraId="05F8000C"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and the public, and for appointed governors the body they represent, on the NHS </w:t>
            </w:r>
          </w:p>
          <w:p w14:paraId="1626933F"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foundation trust’s forward plan, including its objectives, priorities and strategy, </w:t>
            </w:r>
          </w:p>
          <w:p w14:paraId="60EB84EB"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and their views should be communicated to the board of directors. The annual </w:t>
            </w:r>
          </w:p>
          <w:p w14:paraId="46570B94"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report should contain a statement as to how this requirement has been </w:t>
            </w:r>
          </w:p>
          <w:p w14:paraId="14640F4D"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undertaken and satisfied. </w:t>
            </w:r>
          </w:p>
        </w:tc>
        <w:tc>
          <w:tcPr>
            <w:tcW w:w="1005" w:type="dxa"/>
            <w:vAlign w:val="center"/>
            <w:hideMark/>
          </w:tcPr>
          <w:p w14:paraId="5DABAAFA"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bookmarkEnd w:id="30"/>
      <w:tr w:rsidR="002E680B" w:rsidRPr="00143BCB" w14:paraId="26E3AF4D" w14:textId="77777777" w:rsidTr="00143BCB">
        <w:trPr>
          <w:trHeight w:val="235"/>
          <w:jc w:val="center"/>
        </w:trPr>
        <w:tc>
          <w:tcPr>
            <w:tcW w:w="1710" w:type="dxa"/>
            <w:noWrap/>
            <w:vAlign w:val="center"/>
            <w:hideMark/>
          </w:tcPr>
          <w:p w14:paraId="159FCC27"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C5.16</w:t>
            </w:r>
          </w:p>
        </w:tc>
        <w:tc>
          <w:tcPr>
            <w:tcW w:w="7708" w:type="dxa"/>
            <w:hideMark/>
          </w:tcPr>
          <w:p w14:paraId="2E67A70C"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Where appropriate, the board of directors should in a timely manner take account of the views of the council of governors on the forward plan, and then inform the council of governors which of their views have been incorporated in the NHS foundation trust’s plans, and explain the reasons for any not being included.</w:t>
            </w:r>
            <w:r w:rsidRPr="00143BCB">
              <w:rPr>
                <w:rFonts w:ascii="Arial" w:eastAsia="Times New Roman" w:hAnsi="Arial" w:cs="Arial"/>
                <w:color w:val="000000"/>
                <w:sz w:val="20"/>
                <w:szCs w:val="20"/>
                <w:lang w:val="en-GB" w:eastAsia="en-GB"/>
              </w:rPr>
              <w:br/>
              <w:t xml:space="preserve">The board of directors must have regard to the council of governors’ views on the NHS foundation trust’s forward plan. </w:t>
            </w:r>
          </w:p>
        </w:tc>
        <w:tc>
          <w:tcPr>
            <w:tcW w:w="1005" w:type="dxa"/>
            <w:vAlign w:val="center"/>
            <w:hideMark/>
          </w:tcPr>
          <w:p w14:paraId="598037A6"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283B7620" w14:textId="77777777" w:rsidTr="00143BCB">
        <w:trPr>
          <w:trHeight w:val="821"/>
          <w:jc w:val="center"/>
        </w:trPr>
        <w:tc>
          <w:tcPr>
            <w:tcW w:w="1710" w:type="dxa"/>
            <w:noWrap/>
            <w:vAlign w:val="center"/>
            <w:hideMark/>
          </w:tcPr>
          <w:p w14:paraId="07C8E834"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C5.17</w:t>
            </w:r>
          </w:p>
        </w:tc>
        <w:tc>
          <w:tcPr>
            <w:tcW w:w="7708" w:type="dxa"/>
            <w:hideMark/>
          </w:tcPr>
          <w:p w14:paraId="4180D474"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NHS Resolution’s Liabilities to Third Parties Scheme includes liability cover for trusts’ directors and officers. Assuming foundation trust governors have acted in good faith and in accordance with their duties, and proper process has been followed, the potential for liability for the council should be negligible. While there is no legal requirement for trusts to provide an indemnity or insurance for governors to cover their service on the council of governors, where an indemnity or insurance policy is given, this can be detailed in the trust’s constitution.</w:t>
            </w:r>
          </w:p>
        </w:tc>
        <w:tc>
          <w:tcPr>
            <w:tcW w:w="1005" w:type="dxa"/>
            <w:vAlign w:val="center"/>
            <w:hideMark/>
          </w:tcPr>
          <w:p w14:paraId="06633D83"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533A72BC" w14:textId="77777777" w:rsidTr="00143BCB">
        <w:trPr>
          <w:trHeight w:val="300"/>
          <w:jc w:val="center"/>
        </w:trPr>
        <w:tc>
          <w:tcPr>
            <w:tcW w:w="1710" w:type="dxa"/>
            <w:shd w:val="clear" w:color="auto" w:fill="D9D9D9"/>
            <w:noWrap/>
            <w:vAlign w:val="center"/>
            <w:hideMark/>
          </w:tcPr>
          <w:p w14:paraId="0C2F718F" w14:textId="77777777" w:rsidR="002E680B" w:rsidRPr="00143BCB" w:rsidRDefault="002E680B" w:rsidP="002E680B">
            <w:pPr>
              <w:widowControl/>
              <w:jc w:val="center"/>
              <w:rPr>
                <w:rFonts w:ascii="Arial" w:eastAsia="Times New Roman" w:hAnsi="Arial" w:cs="Arial"/>
                <w:b/>
                <w:color w:val="000000"/>
                <w:sz w:val="20"/>
                <w:szCs w:val="20"/>
                <w:lang w:val="en-GB" w:eastAsia="en-GB"/>
              </w:rPr>
            </w:pPr>
            <w:r w:rsidRPr="00143BCB">
              <w:rPr>
                <w:rFonts w:ascii="Arial" w:eastAsia="Times New Roman" w:hAnsi="Arial" w:cs="Arial"/>
                <w:b/>
                <w:color w:val="000000"/>
                <w:sz w:val="20"/>
                <w:szCs w:val="20"/>
                <w:lang w:val="en-GB" w:eastAsia="en-GB"/>
              </w:rPr>
              <w:t>D1</w:t>
            </w:r>
          </w:p>
        </w:tc>
        <w:tc>
          <w:tcPr>
            <w:tcW w:w="7708" w:type="dxa"/>
            <w:shd w:val="clear" w:color="auto" w:fill="D9D9D9"/>
            <w:hideMark/>
          </w:tcPr>
          <w:p w14:paraId="13243CD0" w14:textId="77777777" w:rsidR="002E680B" w:rsidRPr="00143BCB" w:rsidRDefault="002E680B" w:rsidP="002E680B">
            <w:pPr>
              <w:widowControl/>
              <w:rPr>
                <w:rFonts w:ascii="Arial" w:eastAsia="Times New Roman" w:hAnsi="Arial" w:cs="Arial"/>
                <w:b/>
                <w:bCs/>
                <w:color w:val="000000"/>
                <w:sz w:val="20"/>
                <w:szCs w:val="20"/>
                <w:u w:val="single"/>
                <w:lang w:val="en-GB" w:eastAsia="en-GB"/>
              </w:rPr>
            </w:pPr>
            <w:r w:rsidRPr="00143BCB">
              <w:rPr>
                <w:rFonts w:ascii="Arial" w:eastAsia="Times New Roman" w:hAnsi="Arial" w:cs="Arial"/>
                <w:b/>
                <w:bCs/>
                <w:color w:val="000000"/>
                <w:sz w:val="20"/>
                <w:szCs w:val="20"/>
                <w:u w:val="single"/>
                <w:lang w:val="en-GB" w:eastAsia="en-GB"/>
              </w:rPr>
              <w:t>SECTION D:</w:t>
            </w:r>
            <w:r w:rsidRPr="00143BCB">
              <w:rPr>
                <w:rFonts w:ascii="Arial" w:eastAsia="Times New Roman" w:hAnsi="Arial" w:cs="Times New Roman"/>
                <w:sz w:val="20"/>
                <w:szCs w:val="20"/>
                <w:u w:val="single"/>
                <w:lang w:val="en-GB"/>
              </w:rPr>
              <w:t xml:space="preserve"> </w:t>
            </w:r>
            <w:r w:rsidRPr="00143BCB">
              <w:rPr>
                <w:rFonts w:ascii="Arial" w:eastAsia="Times New Roman" w:hAnsi="Arial" w:cs="Arial"/>
                <w:b/>
                <w:bCs/>
                <w:color w:val="000000"/>
                <w:sz w:val="20"/>
                <w:szCs w:val="20"/>
                <w:u w:val="single"/>
                <w:lang w:val="en-GB" w:eastAsia="en-GB"/>
              </w:rPr>
              <w:t>Audit, risk and internal control</w:t>
            </w:r>
          </w:p>
          <w:p w14:paraId="703DC470" w14:textId="77777777" w:rsidR="002E680B" w:rsidRPr="00143BCB" w:rsidRDefault="002E680B" w:rsidP="002E680B">
            <w:pPr>
              <w:widowControl/>
              <w:rPr>
                <w:rFonts w:ascii="Arial" w:eastAsia="Times New Roman" w:hAnsi="Arial" w:cs="Arial"/>
                <w:b/>
                <w:bCs/>
                <w:color w:val="000000"/>
                <w:sz w:val="20"/>
                <w:szCs w:val="20"/>
                <w:lang w:val="en-GB" w:eastAsia="en-GB"/>
              </w:rPr>
            </w:pPr>
            <w:r w:rsidRPr="00143BCB">
              <w:rPr>
                <w:rFonts w:ascii="Arial" w:eastAsia="Times New Roman" w:hAnsi="Arial" w:cs="Arial"/>
                <w:b/>
                <w:bCs/>
                <w:color w:val="000000"/>
                <w:sz w:val="20"/>
                <w:szCs w:val="20"/>
                <w:lang w:val="en-GB" w:eastAsia="en-GB"/>
              </w:rPr>
              <w:t xml:space="preserve">Principles </w:t>
            </w:r>
          </w:p>
        </w:tc>
        <w:tc>
          <w:tcPr>
            <w:tcW w:w="1005" w:type="dxa"/>
            <w:shd w:val="clear" w:color="auto" w:fill="D9D9D9"/>
            <w:hideMark/>
          </w:tcPr>
          <w:p w14:paraId="0CA5E477" w14:textId="77777777" w:rsidR="002E680B" w:rsidRPr="00143BCB" w:rsidRDefault="002E680B" w:rsidP="002E680B">
            <w:pPr>
              <w:widowControl/>
              <w:rPr>
                <w:rFonts w:ascii="Arial" w:eastAsia="Times New Roman" w:hAnsi="Arial" w:cs="Arial"/>
                <w:b/>
                <w:color w:val="000000"/>
                <w:sz w:val="20"/>
                <w:szCs w:val="20"/>
                <w:lang w:val="en-GB" w:eastAsia="en-GB"/>
              </w:rPr>
            </w:pPr>
            <w:r w:rsidRPr="00143BCB">
              <w:rPr>
                <w:rFonts w:ascii="Arial" w:eastAsia="Times New Roman" w:hAnsi="Arial" w:cs="Arial"/>
                <w:b/>
                <w:color w:val="000000"/>
                <w:sz w:val="20"/>
                <w:szCs w:val="20"/>
                <w:lang w:val="en-GB" w:eastAsia="en-GB"/>
              </w:rPr>
              <w:t> </w:t>
            </w:r>
          </w:p>
        </w:tc>
      </w:tr>
      <w:tr w:rsidR="002E680B" w:rsidRPr="00143BCB" w14:paraId="141E27F5" w14:textId="77777777" w:rsidTr="00143BCB">
        <w:trPr>
          <w:trHeight w:val="300"/>
          <w:jc w:val="center"/>
        </w:trPr>
        <w:tc>
          <w:tcPr>
            <w:tcW w:w="1710" w:type="dxa"/>
            <w:noWrap/>
            <w:vAlign w:val="center"/>
          </w:tcPr>
          <w:p w14:paraId="04507768"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D1.1</w:t>
            </w:r>
          </w:p>
        </w:tc>
        <w:tc>
          <w:tcPr>
            <w:tcW w:w="7708" w:type="dxa"/>
          </w:tcPr>
          <w:p w14:paraId="1E0193D8"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The board of directors should establish formal and transparent policies and procedures to ensure the independence and effectiveness of internal and external audit functions, and satisfy itself on the integrity of financial and narrative statements.</w:t>
            </w:r>
          </w:p>
        </w:tc>
        <w:tc>
          <w:tcPr>
            <w:tcW w:w="1005" w:type="dxa"/>
            <w:vAlign w:val="center"/>
          </w:tcPr>
          <w:p w14:paraId="3D918EC0"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2494B2F8" w14:textId="77777777" w:rsidTr="00143BCB">
        <w:trPr>
          <w:trHeight w:val="300"/>
          <w:jc w:val="center"/>
        </w:trPr>
        <w:tc>
          <w:tcPr>
            <w:tcW w:w="1710" w:type="dxa"/>
            <w:noWrap/>
            <w:vAlign w:val="center"/>
          </w:tcPr>
          <w:p w14:paraId="63EF8B10"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D1.2</w:t>
            </w:r>
          </w:p>
        </w:tc>
        <w:tc>
          <w:tcPr>
            <w:tcW w:w="7708" w:type="dxa"/>
          </w:tcPr>
          <w:p w14:paraId="77B6D354"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The board of directors should present a fair, balanced and understandable assessment of the trust’s position and prospects.</w:t>
            </w:r>
          </w:p>
        </w:tc>
        <w:tc>
          <w:tcPr>
            <w:tcW w:w="1005" w:type="dxa"/>
            <w:vAlign w:val="center"/>
          </w:tcPr>
          <w:p w14:paraId="3BD63AA5"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37FA0FCB" w14:textId="77777777" w:rsidTr="00143BCB">
        <w:trPr>
          <w:trHeight w:val="300"/>
          <w:jc w:val="center"/>
        </w:trPr>
        <w:tc>
          <w:tcPr>
            <w:tcW w:w="1710" w:type="dxa"/>
            <w:noWrap/>
            <w:vAlign w:val="center"/>
          </w:tcPr>
          <w:p w14:paraId="77A2A490"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D1.3</w:t>
            </w:r>
          </w:p>
        </w:tc>
        <w:tc>
          <w:tcPr>
            <w:tcW w:w="7708" w:type="dxa"/>
          </w:tcPr>
          <w:p w14:paraId="35902BAA"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The board of directors should establish procedures to manage risk, oversee the internal control framework, and determine the nature and extent of the principal risks the trust is willing to take to achieve its long-term strategic objectives.</w:t>
            </w:r>
          </w:p>
        </w:tc>
        <w:tc>
          <w:tcPr>
            <w:tcW w:w="1005" w:type="dxa"/>
            <w:vAlign w:val="center"/>
          </w:tcPr>
          <w:p w14:paraId="76E7DC44"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3E340688" w14:textId="77777777" w:rsidTr="00143BCB">
        <w:trPr>
          <w:trHeight w:val="300"/>
          <w:jc w:val="center"/>
        </w:trPr>
        <w:tc>
          <w:tcPr>
            <w:tcW w:w="1710" w:type="dxa"/>
            <w:noWrap/>
            <w:vAlign w:val="center"/>
          </w:tcPr>
          <w:p w14:paraId="0F3CB897"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D1.4</w:t>
            </w:r>
          </w:p>
        </w:tc>
        <w:tc>
          <w:tcPr>
            <w:tcW w:w="7708" w:type="dxa"/>
          </w:tcPr>
          <w:p w14:paraId="2782242A"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Organisations should also refer to Audit and assurance: a guide to governance for providers and commissioners.</w:t>
            </w:r>
          </w:p>
        </w:tc>
        <w:tc>
          <w:tcPr>
            <w:tcW w:w="1005" w:type="dxa"/>
            <w:vAlign w:val="center"/>
          </w:tcPr>
          <w:p w14:paraId="46B238A6"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27E75B74" w14:textId="77777777" w:rsidTr="00143BCB">
        <w:trPr>
          <w:trHeight w:val="300"/>
          <w:jc w:val="center"/>
        </w:trPr>
        <w:tc>
          <w:tcPr>
            <w:tcW w:w="1710" w:type="dxa"/>
            <w:shd w:val="clear" w:color="auto" w:fill="D9D9D9"/>
            <w:noWrap/>
            <w:vAlign w:val="center"/>
            <w:hideMark/>
          </w:tcPr>
          <w:p w14:paraId="6CEB5B28" w14:textId="77777777" w:rsidR="002E680B" w:rsidRPr="00143BCB" w:rsidRDefault="002E680B" w:rsidP="002E680B">
            <w:pPr>
              <w:widowControl/>
              <w:jc w:val="center"/>
              <w:rPr>
                <w:rFonts w:ascii="Arial" w:eastAsia="Times New Roman" w:hAnsi="Arial" w:cs="Arial"/>
                <w:b/>
                <w:color w:val="000000"/>
                <w:sz w:val="20"/>
                <w:szCs w:val="20"/>
                <w:lang w:val="en-GB" w:eastAsia="en-GB"/>
              </w:rPr>
            </w:pPr>
            <w:r w:rsidRPr="00143BCB">
              <w:rPr>
                <w:rFonts w:ascii="Arial" w:eastAsia="Times New Roman" w:hAnsi="Arial" w:cs="Arial"/>
                <w:b/>
                <w:color w:val="000000"/>
                <w:sz w:val="20"/>
                <w:szCs w:val="20"/>
                <w:lang w:val="en-GB" w:eastAsia="en-GB"/>
              </w:rPr>
              <w:t>D2</w:t>
            </w:r>
          </w:p>
        </w:tc>
        <w:tc>
          <w:tcPr>
            <w:tcW w:w="7708" w:type="dxa"/>
            <w:shd w:val="clear" w:color="auto" w:fill="D9D9D9"/>
            <w:hideMark/>
          </w:tcPr>
          <w:p w14:paraId="1C14FFE0" w14:textId="77777777" w:rsidR="002E680B" w:rsidRPr="00143BCB" w:rsidRDefault="002E680B" w:rsidP="002E680B">
            <w:pPr>
              <w:widowControl/>
              <w:rPr>
                <w:rFonts w:ascii="Arial" w:eastAsia="Times New Roman" w:hAnsi="Arial" w:cs="Arial"/>
                <w:b/>
                <w:color w:val="000000"/>
                <w:sz w:val="20"/>
                <w:szCs w:val="20"/>
                <w:lang w:val="en-GB" w:eastAsia="en-GB"/>
              </w:rPr>
            </w:pPr>
            <w:r w:rsidRPr="00143BCB">
              <w:rPr>
                <w:rFonts w:ascii="Arial" w:eastAsia="Times New Roman" w:hAnsi="Arial" w:cs="Arial"/>
                <w:b/>
                <w:color w:val="000000"/>
                <w:sz w:val="20"/>
                <w:szCs w:val="20"/>
                <w:lang w:val="en-GB" w:eastAsia="en-GB"/>
              </w:rPr>
              <w:t xml:space="preserve">Provisions </w:t>
            </w:r>
          </w:p>
        </w:tc>
        <w:tc>
          <w:tcPr>
            <w:tcW w:w="1005" w:type="dxa"/>
            <w:shd w:val="clear" w:color="auto" w:fill="D9D9D9"/>
            <w:hideMark/>
          </w:tcPr>
          <w:p w14:paraId="6CA8EF0B" w14:textId="77777777" w:rsidR="002E680B" w:rsidRPr="00143BCB" w:rsidRDefault="002E680B" w:rsidP="002E680B">
            <w:pPr>
              <w:widowControl/>
              <w:rPr>
                <w:rFonts w:ascii="Arial" w:eastAsia="Times New Roman" w:hAnsi="Arial" w:cs="Arial"/>
                <w:b/>
                <w:color w:val="000000"/>
                <w:sz w:val="20"/>
                <w:szCs w:val="20"/>
                <w:lang w:val="en-GB" w:eastAsia="en-GB"/>
              </w:rPr>
            </w:pPr>
            <w:r w:rsidRPr="00143BCB">
              <w:rPr>
                <w:rFonts w:ascii="Arial" w:eastAsia="Times New Roman" w:hAnsi="Arial" w:cs="Arial"/>
                <w:b/>
                <w:color w:val="000000"/>
                <w:sz w:val="20"/>
                <w:szCs w:val="20"/>
                <w:lang w:val="en-GB" w:eastAsia="en-GB"/>
              </w:rPr>
              <w:t> </w:t>
            </w:r>
          </w:p>
        </w:tc>
      </w:tr>
      <w:tr w:rsidR="002E680B" w:rsidRPr="00143BCB" w14:paraId="1D222911" w14:textId="77777777" w:rsidTr="00143BCB">
        <w:trPr>
          <w:trHeight w:val="183"/>
          <w:jc w:val="center"/>
        </w:trPr>
        <w:tc>
          <w:tcPr>
            <w:tcW w:w="1710" w:type="dxa"/>
            <w:noWrap/>
            <w:vAlign w:val="center"/>
            <w:hideMark/>
          </w:tcPr>
          <w:p w14:paraId="71AC3EB0"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D2.1</w:t>
            </w:r>
          </w:p>
        </w:tc>
        <w:tc>
          <w:tcPr>
            <w:tcW w:w="7708" w:type="dxa"/>
            <w:hideMark/>
          </w:tcPr>
          <w:p w14:paraId="77EDE610"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The board of directors should establish an audit committee of independent non-executive directors, with a minimum membership of three or two in the case of smaller trusts. The chair of the board of directors should not be a member and the vice chair or senior independent director should not chair the audit committee. The board of directors should satisfy itself that at least one member has recent and relevant financial experience. The committee as a whole should have competence relevant to the sector in which the trust operates.  </w:t>
            </w:r>
          </w:p>
        </w:tc>
        <w:tc>
          <w:tcPr>
            <w:tcW w:w="1005" w:type="dxa"/>
            <w:vAlign w:val="center"/>
            <w:hideMark/>
          </w:tcPr>
          <w:p w14:paraId="7C9FE507"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0D64AEFF" w14:textId="77777777" w:rsidTr="00143BCB">
        <w:trPr>
          <w:trHeight w:val="3807"/>
          <w:jc w:val="center"/>
        </w:trPr>
        <w:tc>
          <w:tcPr>
            <w:tcW w:w="1710" w:type="dxa"/>
            <w:noWrap/>
            <w:vAlign w:val="center"/>
            <w:hideMark/>
          </w:tcPr>
          <w:p w14:paraId="428E3DD4"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lastRenderedPageBreak/>
              <w:t>D2.2</w:t>
            </w:r>
          </w:p>
        </w:tc>
        <w:tc>
          <w:tcPr>
            <w:tcW w:w="7708" w:type="dxa"/>
            <w:hideMark/>
          </w:tcPr>
          <w:p w14:paraId="65E6C0E2"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The main roles and responsibilities of the audit committee should include:</w:t>
            </w:r>
            <w:r w:rsidRPr="00143BCB">
              <w:rPr>
                <w:rFonts w:ascii="Arial" w:eastAsia="Times New Roman" w:hAnsi="Arial" w:cs="Arial"/>
                <w:color w:val="000000"/>
                <w:sz w:val="20"/>
                <w:szCs w:val="20"/>
                <w:lang w:val="en-GB" w:eastAsia="en-GB"/>
              </w:rPr>
              <w:br/>
              <w:t>monitoring the integrity of the financial statements of the trust and any formal announcements relating to the trust’s financial performance, and reviewing significant financial reporting judgements contained in them</w:t>
            </w:r>
            <w:r w:rsidRPr="00143BCB">
              <w:rPr>
                <w:rFonts w:ascii="Arial" w:eastAsia="Times New Roman" w:hAnsi="Arial" w:cs="Arial"/>
                <w:color w:val="000000"/>
                <w:sz w:val="20"/>
                <w:szCs w:val="20"/>
                <w:lang w:val="en-GB" w:eastAsia="en-GB"/>
              </w:rPr>
              <w:br/>
              <w:t>providing advice (where requested by the board of directors) on whether the annual report and accounts, taken as a whole, is fair, balanced and understandable, and provides the information necessary for stakeholders to assess the trust’s position and performance, business model and strategy</w:t>
            </w:r>
            <w:r w:rsidRPr="00143BCB">
              <w:rPr>
                <w:rFonts w:ascii="Arial" w:eastAsia="Times New Roman" w:hAnsi="Arial" w:cs="Arial"/>
                <w:color w:val="000000"/>
                <w:sz w:val="20"/>
                <w:szCs w:val="20"/>
                <w:lang w:val="en-GB" w:eastAsia="en-GB"/>
              </w:rPr>
              <w:br/>
              <w:t>reviewing the trust’s internal financial controls and internal control and risk management systems, unless expressly addressed by a separate board risk committee composed of independent non-executive directors or by the board itself</w:t>
            </w:r>
            <w:r w:rsidRPr="00143BCB">
              <w:rPr>
                <w:rFonts w:ascii="Arial" w:eastAsia="Times New Roman" w:hAnsi="Arial" w:cs="Arial"/>
                <w:color w:val="000000"/>
                <w:sz w:val="20"/>
                <w:szCs w:val="20"/>
                <w:lang w:val="en-GB" w:eastAsia="en-GB"/>
              </w:rPr>
              <w:br/>
              <w:t>monitoring and reviewing the effectiveness of the trust’s internal audit function or, where there is not one, considering annually whether there is a need for one and making a recommendation to the board of directors</w:t>
            </w:r>
            <w:r w:rsidRPr="00143BCB">
              <w:rPr>
                <w:rFonts w:ascii="Arial" w:eastAsia="Times New Roman" w:hAnsi="Arial" w:cs="Arial"/>
                <w:color w:val="000000"/>
                <w:sz w:val="20"/>
                <w:szCs w:val="20"/>
                <w:lang w:val="en-GB" w:eastAsia="en-GB"/>
              </w:rPr>
              <w:br/>
              <w:t>reviewing and monitoring the external auditor’s independence and objectivity</w:t>
            </w:r>
            <w:r w:rsidRPr="00143BCB">
              <w:rPr>
                <w:rFonts w:ascii="Arial" w:eastAsia="Times New Roman" w:hAnsi="Arial" w:cs="Arial"/>
                <w:color w:val="000000"/>
                <w:sz w:val="20"/>
                <w:szCs w:val="20"/>
                <w:lang w:val="en-GB" w:eastAsia="en-GB"/>
              </w:rPr>
              <w:br/>
              <w:t>reviewing the effectiveness of the external audit process, taking into consideration relevant UK professional and regulatory requirements</w:t>
            </w:r>
            <w:r w:rsidRPr="00143BCB">
              <w:rPr>
                <w:rFonts w:ascii="Arial" w:eastAsia="Times New Roman" w:hAnsi="Arial" w:cs="Arial"/>
                <w:color w:val="000000"/>
                <w:sz w:val="20"/>
                <w:szCs w:val="20"/>
                <w:lang w:val="en-GB" w:eastAsia="en-GB"/>
              </w:rPr>
              <w:br/>
              <w:t>reporting to the board of directors on how it has discharged its responsibilities.</w:t>
            </w:r>
          </w:p>
        </w:tc>
        <w:tc>
          <w:tcPr>
            <w:tcW w:w="1005" w:type="dxa"/>
            <w:vAlign w:val="center"/>
            <w:hideMark/>
          </w:tcPr>
          <w:p w14:paraId="60829A42"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43FBAE45" w14:textId="77777777" w:rsidTr="00143BCB">
        <w:trPr>
          <w:trHeight w:val="699"/>
          <w:jc w:val="center"/>
        </w:trPr>
        <w:tc>
          <w:tcPr>
            <w:tcW w:w="1710" w:type="dxa"/>
            <w:noWrap/>
            <w:vAlign w:val="center"/>
            <w:hideMark/>
          </w:tcPr>
          <w:p w14:paraId="6A9A1805"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D2.3</w:t>
            </w:r>
          </w:p>
        </w:tc>
        <w:tc>
          <w:tcPr>
            <w:tcW w:w="7708" w:type="dxa"/>
            <w:hideMark/>
          </w:tcPr>
          <w:p w14:paraId="3498582D"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A trust should change its external audit firm at least every 20 years. Legislation requires an NHS trust to newly appoint its external auditor at least every five years. An NHS foundation trust should re-tender its external audit at least every 10 years and in most cases more frequently than this. These timeframes are not affected by an NHS trust becoming a foundation trust.  </w:t>
            </w:r>
          </w:p>
        </w:tc>
        <w:tc>
          <w:tcPr>
            <w:tcW w:w="1005" w:type="dxa"/>
            <w:vAlign w:val="center"/>
            <w:hideMark/>
          </w:tcPr>
          <w:p w14:paraId="537B8073"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62EEAB07" w14:textId="77777777" w:rsidTr="00143BCB">
        <w:trPr>
          <w:trHeight w:val="132"/>
          <w:jc w:val="center"/>
        </w:trPr>
        <w:tc>
          <w:tcPr>
            <w:tcW w:w="1710" w:type="dxa"/>
            <w:noWrap/>
            <w:vAlign w:val="center"/>
            <w:hideMark/>
          </w:tcPr>
          <w:p w14:paraId="29595586"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D2.4</w:t>
            </w:r>
          </w:p>
        </w:tc>
        <w:tc>
          <w:tcPr>
            <w:tcW w:w="7708" w:type="dxa"/>
            <w:hideMark/>
          </w:tcPr>
          <w:p w14:paraId="6332C1F4"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The annual report should include:</w:t>
            </w:r>
          </w:p>
          <w:p w14:paraId="2D47AA66"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 the significant issues relating to the financial statements that the audit </w:t>
            </w:r>
          </w:p>
          <w:p w14:paraId="3160CF17"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committee considered, and how these issues were addressed</w:t>
            </w:r>
          </w:p>
          <w:p w14:paraId="69F57C7F"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 an explanation of how the audit committee (and/or auditor panel for an NHS </w:t>
            </w:r>
          </w:p>
          <w:p w14:paraId="09B5F77F"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trust) has assessed the independence and effectiveness of the external audit </w:t>
            </w:r>
          </w:p>
          <w:p w14:paraId="24E47112"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process and its approach to the appointment or reappointment of the external </w:t>
            </w:r>
          </w:p>
          <w:p w14:paraId="6AD28046"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auditor; length of tenure of the current audit firm, when a tender was last </w:t>
            </w:r>
          </w:p>
          <w:p w14:paraId="288FFB3C"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conducted and advance notice of any retendering plans</w:t>
            </w:r>
          </w:p>
          <w:p w14:paraId="36A605BD"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 where there is no internal audit function, an explanation for the absence, how </w:t>
            </w:r>
          </w:p>
          <w:p w14:paraId="1A36EE71"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internal assurance is achieved and how this affects the external audit</w:t>
            </w:r>
          </w:p>
          <w:p w14:paraId="4866232B"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 an explanation of how auditor independence and objectivity are safeguarded if </w:t>
            </w:r>
          </w:p>
          <w:p w14:paraId="115FF25B"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the external auditor provides non-audit services.</w:t>
            </w:r>
          </w:p>
        </w:tc>
        <w:tc>
          <w:tcPr>
            <w:tcW w:w="1005" w:type="dxa"/>
            <w:vAlign w:val="center"/>
            <w:hideMark/>
          </w:tcPr>
          <w:p w14:paraId="28E13659"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5113C4A3" w14:textId="77777777" w:rsidTr="00143BCB">
        <w:trPr>
          <w:trHeight w:val="733"/>
          <w:jc w:val="center"/>
        </w:trPr>
        <w:tc>
          <w:tcPr>
            <w:tcW w:w="1710" w:type="dxa"/>
            <w:noWrap/>
            <w:vAlign w:val="center"/>
            <w:hideMark/>
          </w:tcPr>
          <w:p w14:paraId="79241C4F"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D2.5</w:t>
            </w:r>
          </w:p>
        </w:tc>
        <w:tc>
          <w:tcPr>
            <w:tcW w:w="7708" w:type="dxa"/>
            <w:hideMark/>
          </w:tcPr>
          <w:p w14:paraId="795EEAB2"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Legislation requires an NHS trust to have a policy on its purchase of non-audit services from its external auditor. An NHS foundation trust’s audit committee should develop and implement a policy on the engagement of the external auditor to supply non-audit services. The council of governors is responsible for appointing external governors.  </w:t>
            </w:r>
          </w:p>
        </w:tc>
        <w:tc>
          <w:tcPr>
            <w:tcW w:w="1005" w:type="dxa"/>
            <w:vAlign w:val="center"/>
            <w:hideMark/>
          </w:tcPr>
          <w:p w14:paraId="495EB35D"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201F73AD" w14:textId="77777777" w:rsidTr="00143BCB">
        <w:trPr>
          <w:trHeight w:val="294"/>
          <w:jc w:val="center"/>
        </w:trPr>
        <w:tc>
          <w:tcPr>
            <w:tcW w:w="1710" w:type="dxa"/>
            <w:noWrap/>
            <w:vAlign w:val="center"/>
            <w:hideMark/>
          </w:tcPr>
          <w:p w14:paraId="7E6B707C"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D2.6</w:t>
            </w:r>
          </w:p>
        </w:tc>
        <w:tc>
          <w:tcPr>
            <w:tcW w:w="7708" w:type="dxa"/>
            <w:hideMark/>
          </w:tcPr>
          <w:p w14:paraId="7AC74BFD"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The directors should explain in the annual report their responsibility for preparing </w:t>
            </w:r>
          </w:p>
          <w:p w14:paraId="4ABB2E5B"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the annual report and accounts, and state that they consider the annual report </w:t>
            </w:r>
          </w:p>
          <w:p w14:paraId="09EE463C"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and accounts, taken as a whole, is fair, balanced and understandable, and </w:t>
            </w:r>
          </w:p>
          <w:p w14:paraId="150911DD"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provides the information necessary for stakeholders to assess the trust’s </w:t>
            </w:r>
          </w:p>
          <w:p w14:paraId="17FF0941"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performance, business model and strategy.</w:t>
            </w:r>
          </w:p>
        </w:tc>
        <w:tc>
          <w:tcPr>
            <w:tcW w:w="1005" w:type="dxa"/>
            <w:vAlign w:val="center"/>
            <w:hideMark/>
          </w:tcPr>
          <w:p w14:paraId="2E12BE68"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1F88EADA" w14:textId="77777777" w:rsidTr="00143BCB">
        <w:trPr>
          <w:trHeight w:val="70"/>
          <w:jc w:val="center"/>
        </w:trPr>
        <w:tc>
          <w:tcPr>
            <w:tcW w:w="1710" w:type="dxa"/>
            <w:noWrap/>
            <w:vAlign w:val="center"/>
            <w:hideMark/>
          </w:tcPr>
          <w:p w14:paraId="71A569CB"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D2.7</w:t>
            </w:r>
          </w:p>
        </w:tc>
        <w:tc>
          <w:tcPr>
            <w:tcW w:w="7708" w:type="dxa"/>
            <w:hideMark/>
          </w:tcPr>
          <w:p w14:paraId="71D8888E"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The board of directors should carry out a robust assessment of the trust’s </w:t>
            </w:r>
          </w:p>
          <w:p w14:paraId="1AFB9A83"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emerging and principal risks. The relevant reporting manuals will prescribe </w:t>
            </w:r>
          </w:p>
          <w:p w14:paraId="41634EDC"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associated disclosure requirements for the annual report.</w:t>
            </w:r>
          </w:p>
        </w:tc>
        <w:tc>
          <w:tcPr>
            <w:tcW w:w="1005" w:type="dxa"/>
            <w:vAlign w:val="center"/>
            <w:hideMark/>
          </w:tcPr>
          <w:p w14:paraId="19D51B66"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0684148C" w14:textId="77777777" w:rsidTr="00143BCB">
        <w:trPr>
          <w:trHeight w:val="138"/>
          <w:jc w:val="center"/>
        </w:trPr>
        <w:tc>
          <w:tcPr>
            <w:tcW w:w="1710" w:type="dxa"/>
            <w:noWrap/>
            <w:vAlign w:val="center"/>
            <w:hideMark/>
          </w:tcPr>
          <w:p w14:paraId="62A67C05"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D2.8</w:t>
            </w:r>
          </w:p>
        </w:tc>
        <w:tc>
          <w:tcPr>
            <w:tcW w:w="7708" w:type="dxa"/>
            <w:hideMark/>
          </w:tcPr>
          <w:p w14:paraId="27F0A8F4"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The board of directors should monitor the trust’s risk management and internal </w:t>
            </w:r>
          </w:p>
          <w:p w14:paraId="568E6A03"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control systems and, at least annually, review their effectiveness and report on </w:t>
            </w:r>
          </w:p>
          <w:p w14:paraId="3085D8F8"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that review in the annual report. The monitoring and review should cover all </w:t>
            </w:r>
          </w:p>
          <w:p w14:paraId="19E180CE"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material controls, including financial, operational and compliance controls. The </w:t>
            </w:r>
          </w:p>
          <w:p w14:paraId="7B172916"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board should report on internal control through the annual governance statement </w:t>
            </w:r>
          </w:p>
          <w:p w14:paraId="4290316B"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in the annual report.</w:t>
            </w:r>
          </w:p>
        </w:tc>
        <w:tc>
          <w:tcPr>
            <w:tcW w:w="1005" w:type="dxa"/>
            <w:vAlign w:val="center"/>
            <w:hideMark/>
          </w:tcPr>
          <w:p w14:paraId="30C4BC99"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7A2BB9EB" w14:textId="77777777" w:rsidTr="00C74C2C">
        <w:trPr>
          <w:trHeight w:val="274"/>
          <w:jc w:val="center"/>
        </w:trPr>
        <w:tc>
          <w:tcPr>
            <w:tcW w:w="1710" w:type="dxa"/>
            <w:noWrap/>
            <w:vAlign w:val="center"/>
            <w:hideMark/>
          </w:tcPr>
          <w:p w14:paraId="141505F8"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D2.9</w:t>
            </w:r>
          </w:p>
        </w:tc>
        <w:tc>
          <w:tcPr>
            <w:tcW w:w="7708" w:type="dxa"/>
            <w:hideMark/>
          </w:tcPr>
          <w:p w14:paraId="0592BD09"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In the annual accounts, the board of directors should state whether it considered </w:t>
            </w:r>
          </w:p>
          <w:p w14:paraId="696AAFC0"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it appropriate to adopt the going concern basis of accounting when preparing </w:t>
            </w:r>
          </w:p>
          <w:p w14:paraId="3CE53C68"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them and identify any material uncertainties regarding going concern. Trusts </w:t>
            </w:r>
          </w:p>
          <w:p w14:paraId="414B2B96"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should refer to the DHSC group accounting manual and NHS foundation trust </w:t>
            </w:r>
          </w:p>
          <w:p w14:paraId="7BD3F01B"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annual reporting manual which explain that this assessment should be based on </w:t>
            </w:r>
          </w:p>
          <w:p w14:paraId="0CAF3B1D"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whether a trust anticipates it will continue to provide its services in the public </w:t>
            </w:r>
          </w:p>
          <w:p w14:paraId="397B9264"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lastRenderedPageBreak/>
              <w:t xml:space="preserve">sector. As a result, material uncertainties over going concern are expected to be </w:t>
            </w:r>
          </w:p>
          <w:p w14:paraId="54ABCB69"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rare.    </w:t>
            </w:r>
          </w:p>
        </w:tc>
        <w:tc>
          <w:tcPr>
            <w:tcW w:w="1005" w:type="dxa"/>
            <w:vAlign w:val="center"/>
            <w:hideMark/>
          </w:tcPr>
          <w:p w14:paraId="5DA7671D"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lastRenderedPageBreak/>
              <w:t>Comply</w:t>
            </w:r>
          </w:p>
        </w:tc>
      </w:tr>
      <w:tr w:rsidR="002E680B" w:rsidRPr="00143BCB" w14:paraId="08537455" w14:textId="77777777" w:rsidTr="00143BCB">
        <w:trPr>
          <w:trHeight w:val="300"/>
          <w:jc w:val="center"/>
        </w:trPr>
        <w:tc>
          <w:tcPr>
            <w:tcW w:w="1710" w:type="dxa"/>
            <w:shd w:val="clear" w:color="auto" w:fill="D9D9D9"/>
            <w:noWrap/>
            <w:vAlign w:val="center"/>
            <w:hideMark/>
          </w:tcPr>
          <w:p w14:paraId="7A886C45" w14:textId="77777777" w:rsidR="002E680B" w:rsidRPr="00143BCB" w:rsidRDefault="002E680B" w:rsidP="002E680B">
            <w:pPr>
              <w:widowControl/>
              <w:jc w:val="center"/>
              <w:rPr>
                <w:rFonts w:ascii="Arial" w:eastAsia="Times New Roman" w:hAnsi="Arial" w:cs="Arial"/>
                <w:b/>
                <w:color w:val="000000"/>
                <w:sz w:val="20"/>
                <w:szCs w:val="20"/>
                <w:lang w:val="en-GB" w:eastAsia="en-GB"/>
              </w:rPr>
            </w:pPr>
            <w:r w:rsidRPr="00143BCB">
              <w:rPr>
                <w:rFonts w:ascii="Arial" w:eastAsia="Times New Roman" w:hAnsi="Arial" w:cs="Arial"/>
                <w:b/>
                <w:color w:val="000000"/>
                <w:sz w:val="20"/>
                <w:szCs w:val="20"/>
                <w:lang w:val="en-GB" w:eastAsia="en-GB"/>
              </w:rPr>
              <w:t>E1</w:t>
            </w:r>
          </w:p>
        </w:tc>
        <w:tc>
          <w:tcPr>
            <w:tcW w:w="7708" w:type="dxa"/>
            <w:shd w:val="clear" w:color="auto" w:fill="D9D9D9"/>
            <w:hideMark/>
          </w:tcPr>
          <w:p w14:paraId="5EAE95AA" w14:textId="77777777" w:rsidR="002E680B" w:rsidRPr="00143BCB" w:rsidRDefault="002E680B" w:rsidP="002E680B">
            <w:pPr>
              <w:widowControl/>
              <w:rPr>
                <w:rFonts w:ascii="Arial" w:eastAsia="Times New Roman" w:hAnsi="Arial" w:cs="Arial"/>
                <w:b/>
                <w:bCs/>
                <w:color w:val="000000"/>
                <w:sz w:val="20"/>
                <w:szCs w:val="20"/>
                <w:u w:val="single"/>
                <w:lang w:val="en-GB" w:eastAsia="en-GB"/>
              </w:rPr>
            </w:pPr>
            <w:r w:rsidRPr="00143BCB">
              <w:rPr>
                <w:rFonts w:ascii="Arial" w:eastAsia="Times New Roman" w:hAnsi="Arial" w:cs="Arial"/>
                <w:b/>
                <w:bCs/>
                <w:color w:val="000000"/>
                <w:sz w:val="20"/>
                <w:szCs w:val="20"/>
                <w:u w:val="single"/>
                <w:lang w:val="en-GB" w:eastAsia="en-GB"/>
              </w:rPr>
              <w:t>SECTION E:</w:t>
            </w:r>
            <w:r w:rsidRPr="00143BCB">
              <w:rPr>
                <w:rFonts w:ascii="Arial" w:eastAsia="Times New Roman" w:hAnsi="Arial" w:cs="Times New Roman"/>
                <w:sz w:val="20"/>
                <w:szCs w:val="20"/>
                <w:u w:val="single"/>
                <w:lang w:val="en-GB"/>
              </w:rPr>
              <w:t xml:space="preserve"> </w:t>
            </w:r>
            <w:r w:rsidRPr="00143BCB">
              <w:rPr>
                <w:rFonts w:ascii="Arial" w:eastAsia="Times New Roman" w:hAnsi="Arial" w:cs="Arial"/>
                <w:b/>
                <w:bCs/>
                <w:color w:val="000000"/>
                <w:sz w:val="20"/>
                <w:szCs w:val="20"/>
                <w:u w:val="single"/>
                <w:lang w:val="en-GB" w:eastAsia="en-GB"/>
              </w:rPr>
              <w:t>Remuneration</w:t>
            </w:r>
          </w:p>
          <w:p w14:paraId="6AB08BAC" w14:textId="77777777" w:rsidR="002E680B" w:rsidRPr="00143BCB" w:rsidRDefault="002E680B" w:rsidP="002E680B">
            <w:pPr>
              <w:widowControl/>
              <w:rPr>
                <w:rFonts w:ascii="Arial" w:eastAsia="Times New Roman" w:hAnsi="Arial" w:cs="Arial"/>
                <w:b/>
                <w:bCs/>
                <w:color w:val="000000"/>
                <w:sz w:val="20"/>
                <w:szCs w:val="20"/>
                <w:lang w:val="en-GB" w:eastAsia="en-GB"/>
              </w:rPr>
            </w:pPr>
            <w:r w:rsidRPr="00143BCB">
              <w:rPr>
                <w:rFonts w:ascii="Arial" w:eastAsia="Times New Roman" w:hAnsi="Arial" w:cs="Arial"/>
                <w:b/>
                <w:bCs/>
                <w:color w:val="000000"/>
                <w:sz w:val="20"/>
                <w:szCs w:val="20"/>
                <w:lang w:val="en-GB" w:eastAsia="en-GB"/>
              </w:rPr>
              <w:t xml:space="preserve">Principles </w:t>
            </w:r>
          </w:p>
        </w:tc>
        <w:tc>
          <w:tcPr>
            <w:tcW w:w="1005" w:type="dxa"/>
            <w:shd w:val="clear" w:color="auto" w:fill="D9D9D9"/>
            <w:hideMark/>
          </w:tcPr>
          <w:p w14:paraId="11EB3B6D" w14:textId="77777777" w:rsidR="002E680B" w:rsidRPr="00143BCB" w:rsidRDefault="002E680B" w:rsidP="002E680B">
            <w:pPr>
              <w:widowControl/>
              <w:rPr>
                <w:rFonts w:ascii="Arial" w:eastAsia="Times New Roman" w:hAnsi="Arial" w:cs="Arial"/>
                <w:b/>
                <w:color w:val="000000"/>
                <w:sz w:val="20"/>
                <w:szCs w:val="20"/>
                <w:lang w:val="en-GB" w:eastAsia="en-GB"/>
              </w:rPr>
            </w:pPr>
            <w:r w:rsidRPr="00143BCB">
              <w:rPr>
                <w:rFonts w:ascii="Arial" w:eastAsia="Times New Roman" w:hAnsi="Arial" w:cs="Arial"/>
                <w:b/>
                <w:color w:val="000000"/>
                <w:sz w:val="20"/>
                <w:szCs w:val="20"/>
                <w:lang w:val="en-GB" w:eastAsia="en-GB"/>
              </w:rPr>
              <w:t> </w:t>
            </w:r>
          </w:p>
        </w:tc>
      </w:tr>
      <w:tr w:rsidR="002E680B" w:rsidRPr="00143BCB" w14:paraId="0A3EEAC3" w14:textId="77777777" w:rsidTr="00143BCB">
        <w:trPr>
          <w:trHeight w:val="733"/>
          <w:jc w:val="center"/>
        </w:trPr>
        <w:tc>
          <w:tcPr>
            <w:tcW w:w="1710" w:type="dxa"/>
            <w:noWrap/>
            <w:vAlign w:val="center"/>
            <w:hideMark/>
          </w:tcPr>
          <w:p w14:paraId="04A2890B"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E1.1</w:t>
            </w:r>
          </w:p>
        </w:tc>
        <w:tc>
          <w:tcPr>
            <w:tcW w:w="7708" w:type="dxa"/>
          </w:tcPr>
          <w:p w14:paraId="6A702C42"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Levels of remuneration should be sufficient to attract, retain and motivate directors of quality, with the skills and experience required to lead the trust successfully, and collaborate effectively with system partners. Trusts should avoid paying more than is necessary for this purpose and should consider all relevant and current directions relating to contractual benefits such as pay and redundancy entitlements. Trusts should follow NHS England’s Guidance on pay for very senior managers in NHS trusts and foundation trusts and NHS trusts should also follow Guidance on senior appointments in NHS trusts.</w:t>
            </w:r>
          </w:p>
        </w:tc>
        <w:tc>
          <w:tcPr>
            <w:tcW w:w="1005" w:type="dxa"/>
            <w:vAlign w:val="center"/>
            <w:hideMark/>
          </w:tcPr>
          <w:p w14:paraId="6C5EC1D5"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649BBEAF" w14:textId="77777777" w:rsidTr="00143BCB">
        <w:trPr>
          <w:trHeight w:val="733"/>
          <w:jc w:val="center"/>
        </w:trPr>
        <w:tc>
          <w:tcPr>
            <w:tcW w:w="1710" w:type="dxa"/>
            <w:noWrap/>
            <w:vAlign w:val="center"/>
          </w:tcPr>
          <w:p w14:paraId="2AC10159"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E1.2</w:t>
            </w:r>
          </w:p>
        </w:tc>
        <w:tc>
          <w:tcPr>
            <w:tcW w:w="7708" w:type="dxa"/>
          </w:tcPr>
          <w:p w14:paraId="495D8A40"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Any performance-related elements of executive directors’ remuneration should be transparent, stretching and designed to promote the long-term sustainability of the NHS foundation trust. They should also take as a baseline for performance any required competencies specified in the job description for the post.</w:t>
            </w:r>
          </w:p>
        </w:tc>
        <w:tc>
          <w:tcPr>
            <w:tcW w:w="1005" w:type="dxa"/>
            <w:vAlign w:val="center"/>
          </w:tcPr>
          <w:p w14:paraId="248D87B4"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005C4B86" w14:textId="77777777" w:rsidTr="00143BCB">
        <w:trPr>
          <w:trHeight w:val="733"/>
          <w:jc w:val="center"/>
        </w:trPr>
        <w:tc>
          <w:tcPr>
            <w:tcW w:w="1710" w:type="dxa"/>
            <w:noWrap/>
            <w:vAlign w:val="center"/>
          </w:tcPr>
          <w:p w14:paraId="45EF258D"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E1.3</w:t>
            </w:r>
          </w:p>
        </w:tc>
        <w:tc>
          <w:tcPr>
            <w:tcW w:w="7708" w:type="dxa"/>
          </w:tcPr>
          <w:p w14:paraId="0280743C"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The remuneration committee should decide if a proportion of executive directors’ remuneration should be linked to corporate and individual performance. The remuneration committee should judge where to position its NHS foundation trust relative to other NHS foundation trusts and comparable organisations. Such comparisons should be used with caution to avoid any risk of an increase in remuneration despite no corresponding improvement in performance.</w:t>
            </w:r>
          </w:p>
        </w:tc>
        <w:tc>
          <w:tcPr>
            <w:tcW w:w="1005" w:type="dxa"/>
            <w:vAlign w:val="center"/>
          </w:tcPr>
          <w:p w14:paraId="14F7C564"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04FF5BF0" w14:textId="77777777" w:rsidTr="00143BCB">
        <w:trPr>
          <w:trHeight w:val="733"/>
          <w:jc w:val="center"/>
        </w:trPr>
        <w:tc>
          <w:tcPr>
            <w:tcW w:w="1710" w:type="dxa"/>
            <w:noWrap/>
            <w:vAlign w:val="center"/>
          </w:tcPr>
          <w:p w14:paraId="6FCA1504"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E1.4</w:t>
            </w:r>
          </w:p>
        </w:tc>
        <w:tc>
          <w:tcPr>
            <w:tcW w:w="7708" w:type="dxa"/>
          </w:tcPr>
          <w:p w14:paraId="36952348"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The remuneration committee should also be sensitive to pay and employment conditions elsewhere in the NHS, especially when determining annual salary increases.</w:t>
            </w:r>
          </w:p>
        </w:tc>
        <w:tc>
          <w:tcPr>
            <w:tcW w:w="1005" w:type="dxa"/>
            <w:vAlign w:val="center"/>
          </w:tcPr>
          <w:p w14:paraId="12774784"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2D248368" w14:textId="77777777" w:rsidTr="00143BCB">
        <w:trPr>
          <w:trHeight w:val="733"/>
          <w:jc w:val="center"/>
        </w:trPr>
        <w:tc>
          <w:tcPr>
            <w:tcW w:w="1710" w:type="dxa"/>
            <w:noWrap/>
            <w:vAlign w:val="center"/>
          </w:tcPr>
          <w:p w14:paraId="5376B684"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E1.5</w:t>
            </w:r>
          </w:p>
        </w:tc>
        <w:tc>
          <w:tcPr>
            <w:tcW w:w="7708" w:type="dxa"/>
          </w:tcPr>
          <w:p w14:paraId="0C44C5DD"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There should be a formal and transparent procedure for developing policy on executive remuneration and for fixing the remuneration packages of individual directors. No director should be involved in deciding their own remuneration.</w:t>
            </w:r>
          </w:p>
        </w:tc>
        <w:tc>
          <w:tcPr>
            <w:tcW w:w="1005" w:type="dxa"/>
            <w:vAlign w:val="center"/>
          </w:tcPr>
          <w:p w14:paraId="456775F1"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14667F95" w14:textId="77777777" w:rsidTr="00143BCB">
        <w:trPr>
          <w:trHeight w:val="416"/>
          <w:jc w:val="center"/>
        </w:trPr>
        <w:tc>
          <w:tcPr>
            <w:tcW w:w="1710" w:type="dxa"/>
            <w:noWrap/>
            <w:vAlign w:val="center"/>
          </w:tcPr>
          <w:p w14:paraId="6CD1F2FD"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E1.6</w:t>
            </w:r>
          </w:p>
        </w:tc>
        <w:tc>
          <w:tcPr>
            <w:tcW w:w="7708" w:type="dxa"/>
          </w:tcPr>
          <w:p w14:paraId="4D63B551"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The remuneration committee should take care to recognise and manage conflicts of interest when receiving views from executive directors or senior management, or consulting the chief executive about its proposals (for further information on conflicts of interest see Managing conflicts of interest in the NHS: Guidance for staff and organisations).</w:t>
            </w:r>
          </w:p>
        </w:tc>
        <w:tc>
          <w:tcPr>
            <w:tcW w:w="1005" w:type="dxa"/>
            <w:vAlign w:val="center"/>
          </w:tcPr>
          <w:p w14:paraId="052FC35D"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0BAACF99" w14:textId="77777777" w:rsidTr="00143BCB">
        <w:trPr>
          <w:trHeight w:val="448"/>
          <w:jc w:val="center"/>
        </w:trPr>
        <w:tc>
          <w:tcPr>
            <w:tcW w:w="1710" w:type="dxa"/>
            <w:noWrap/>
            <w:vAlign w:val="center"/>
          </w:tcPr>
          <w:p w14:paraId="3B3944D5"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E1.7</w:t>
            </w:r>
          </w:p>
        </w:tc>
        <w:tc>
          <w:tcPr>
            <w:tcW w:w="7708" w:type="dxa"/>
          </w:tcPr>
          <w:p w14:paraId="1F1260B8"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The remuneration committee should also be responsible for appointing any independent consultants in respect of executive director remuneration.</w:t>
            </w:r>
          </w:p>
        </w:tc>
        <w:tc>
          <w:tcPr>
            <w:tcW w:w="1005" w:type="dxa"/>
            <w:vAlign w:val="center"/>
          </w:tcPr>
          <w:p w14:paraId="1F15354F"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19B4EC49" w14:textId="77777777" w:rsidTr="00143BCB">
        <w:trPr>
          <w:trHeight w:val="733"/>
          <w:jc w:val="center"/>
        </w:trPr>
        <w:tc>
          <w:tcPr>
            <w:tcW w:w="1710" w:type="dxa"/>
            <w:noWrap/>
            <w:vAlign w:val="center"/>
          </w:tcPr>
          <w:p w14:paraId="32EAE764"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E1.8</w:t>
            </w:r>
          </w:p>
        </w:tc>
        <w:tc>
          <w:tcPr>
            <w:tcW w:w="7708" w:type="dxa"/>
          </w:tcPr>
          <w:p w14:paraId="78BBB3C0"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Where executive directors or senior management are involved in advising or supporting the remuneration committee, care should be taken to recognise and avoid conflicts of interest.</w:t>
            </w:r>
          </w:p>
        </w:tc>
        <w:tc>
          <w:tcPr>
            <w:tcW w:w="1005" w:type="dxa"/>
            <w:vAlign w:val="center"/>
          </w:tcPr>
          <w:p w14:paraId="53EBD771"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1991512B" w14:textId="77777777" w:rsidTr="00143BCB">
        <w:trPr>
          <w:trHeight w:val="492"/>
          <w:jc w:val="center"/>
        </w:trPr>
        <w:tc>
          <w:tcPr>
            <w:tcW w:w="1710" w:type="dxa"/>
            <w:noWrap/>
            <w:vAlign w:val="center"/>
          </w:tcPr>
          <w:p w14:paraId="4CD96504"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E1.9</w:t>
            </w:r>
          </w:p>
        </w:tc>
        <w:tc>
          <w:tcPr>
            <w:tcW w:w="7708" w:type="dxa"/>
          </w:tcPr>
          <w:p w14:paraId="4B0522A5"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NHS trusts should wait for notification and instruction from NHS England before implementing any cost of living increases.</w:t>
            </w:r>
          </w:p>
        </w:tc>
        <w:tc>
          <w:tcPr>
            <w:tcW w:w="1005" w:type="dxa"/>
            <w:vAlign w:val="center"/>
          </w:tcPr>
          <w:p w14:paraId="1F0EE5C4"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3801E00B" w14:textId="77777777" w:rsidTr="00143BCB">
        <w:trPr>
          <w:trHeight w:val="300"/>
          <w:jc w:val="center"/>
        </w:trPr>
        <w:tc>
          <w:tcPr>
            <w:tcW w:w="1710" w:type="dxa"/>
            <w:shd w:val="clear" w:color="auto" w:fill="D9D9D9"/>
            <w:noWrap/>
            <w:vAlign w:val="center"/>
            <w:hideMark/>
          </w:tcPr>
          <w:p w14:paraId="76E3A49A" w14:textId="77777777" w:rsidR="002E680B" w:rsidRPr="00143BCB" w:rsidRDefault="002E680B" w:rsidP="002E680B">
            <w:pPr>
              <w:widowControl/>
              <w:jc w:val="center"/>
              <w:rPr>
                <w:rFonts w:ascii="Arial" w:eastAsia="Times New Roman" w:hAnsi="Arial" w:cs="Arial"/>
                <w:b/>
                <w:color w:val="000000"/>
                <w:sz w:val="20"/>
                <w:szCs w:val="20"/>
                <w:lang w:val="en-GB" w:eastAsia="en-GB"/>
              </w:rPr>
            </w:pPr>
            <w:r w:rsidRPr="00143BCB">
              <w:rPr>
                <w:rFonts w:ascii="Arial" w:eastAsia="Times New Roman" w:hAnsi="Arial" w:cs="Arial"/>
                <w:b/>
                <w:color w:val="000000"/>
                <w:sz w:val="20"/>
                <w:szCs w:val="20"/>
                <w:lang w:val="en-GB" w:eastAsia="en-GB"/>
              </w:rPr>
              <w:t>E2</w:t>
            </w:r>
          </w:p>
        </w:tc>
        <w:tc>
          <w:tcPr>
            <w:tcW w:w="7708" w:type="dxa"/>
            <w:shd w:val="clear" w:color="auto" w:fill="D9D9D9"/>
            <w:hideMark/>
          </w:tcPr>
          <w:p w14:paraId="162E9AD0" w14:textId="77777777" w:rsidR="002E680B" w:rsidRPr="00143BCB" w:rsidRDefault="002E680B" w:rsidP="002E680B">
            <w:pPr>
              <w:widowControl/>
              <w:rPr>
                <w:rFonts w:ascii="Arial" w:eastAsia="Times New Roman" w:hAnsi="Arial" w:cs="Arial"/>
                <w:b/>
                <w:bCs/>
                <w:color w:val="000000"/>
                <w:sz w:val="20"/>
                <w:szCs w:val="20"/>
                <w:lang w:val="en-GB" w:eastAsia="en-GB"/>
              </w:rPr>
            </w:pPr>
            <w:r w:rsidRPr="00143BCB">
              <w:rPr>
                <w:rFonts w:ascii="Arial" w:eastAsia="Times New Roman" w:hAnsi="Arial" w:cs="Arial"/>
                <w:b/>
                <w:bCs/>
                <w:color w:val="000000"/>
                <w:sz w:val="20"/>
                <w:szCs w:val="20"/>
                <w:lang w:val="en-GB" w:eastAsia="en-GB"/>
              </w:rPr>
              <w:t xml:space="preserve">Provisions </w:t>
            </w:r>
          </w:p>
        </w:tc>
        <w:tc>
          <w:tcPr>
            <w:tcW w:w="1005" w:type="dxa"/>
            <w:shd w:val="clear" w:color="auto" w:fill="D9D9D9"/>
            <w:hideMark/>
          </w:tcPr>
          <w:p w14:paraId="14F5E293" w14:textId="77777777" w:rsidR="002E680B" w:rsidRPr="00143BCB" w:rsidRDefault="002E680B" w:rsidP="002E680B">
            <w:pPr>
              <w:widowControl/>
              <w:rPr>
                <w:rFonts w:ascii="Arial" w:eastAsia="Times New Roman" w:hAnsi="Arial" w:cs="Arial"/>
                <w:b/>
                <w:color w:val="000000"/>
                <w:sz w:val="20"/>
                <w:szCs w:val="20"/>
                <w:lang w:val="en-GB" w:eastAsia="en-GB"/>
              </w:rPr>
            </w:pPr>
            <w:r w:rsidRPr="00143BCB">
              <w:rPr>
                <w:rFonts w:ascii="Arial" w:eastAsia="Times New Roman" w:hAnsi="Arial" w:cs="Arial"/>
                <w:b/>
                <w:color w:val="000000"/>
                <w:sz w:val="20"/>
                <w:szCs w:val="20"/>
                <w:lang w:val="en-GB" w:eastAsia="en-GB"/>
              </w:rPr>
              <w:t> </w:t>
            </w:r>
          </w:p>
        </w:tc>
      </w:tr>
      <w:tr w:rsidR="002E680B" w:rsidRPr="00143BCB" w14:paraId="16B6FB5F" w14:textId="77777777" w:rsidTr="00143BCB">
        <w:trPr>
          <w:trHeight w:val="4385"/>
          <w:jc w:val="center"/>
        </w:trPr>
        <w:tc>
          <w:tcPr>
            <w:tcW w:w="1710" w:type="dxa"/>
            <w:noWrap/>
            <w:vAlign w:val="center"/>
            <w:hideMark/>
          </w:tcPr>
          <w:p w14:paraId="3AFCDA24"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lastRenderedPageBreak/>
              <w:t>E2.1</w:t>
            </w:r>
          </w:p>
        </w:tc>
        <w:tc>
          <w:tcPr>
            <w:tcW w:w="7708" w:type="dxa"/>
            <w:hideMark/>
          </w:tcPr>
          <w:p w14:paraId="1149703F"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Any performance-related elements of executive directors’ remuneration should be designed to align their interests with those of patients, service users and taxpayers and to give these directors keen incentives to perform at the highest levels. In designing schemes of performance-related remuneration, the remuneration committee should consider the following provisions.</w:t>
            </w:r>
            <w:r w:rsidRPr="00143BCB">
              <w:rPr>
                <w:rFonts w:ascii="Arial" w:eastAsia="Times New Roman" w:hAnsi="Arial" w:cs="Arial"/>
                <w:color w:val="000000"/>
                <w:sz w:val="20"/>
                <w:szCs w:val="20"/>
                <w:lang w:val="en-GB" w:eastAsia="en-GB"/>
              </w:rPr>
              <w:br/>
              <w:t>Whether the directors should be eligible for annual bonuses in line with local procedures. If so, performance conditions should be relevant, stretching and designed to match the long-term interests of the public and patients.</w:t>
            </w:r>
            <w:r w:rsidRPr="00143BCB">
              <w:rPr>
                <w:rFonts w:ascii="Arial" w:eastAsia="Times New Roman" w:hAnsi="Arial" w:cs="Arial"/>
                <w:color w:val="000000"/>
                <w:sz w:val="20"/>
                <w:szCs w:val="20"/>
                <w:lang w:val="en-GB" w:eastAsia="en-GB"/>
              </w:rPr>
              <w:br/>
              <w:t>Pay-outs or grants under all incentive schemes should be subject to challenging performance criteria reflecting the objectives of the trust. Consideration should be given to criteria that reflect the performance of the trust against some key indicators and relative to a group of comparator trusts, and the taking of independent and expert advice where appropriate.</w:t>
            </w:r>
            <w:r w:rsidR="00C74C2C">
              <w:rPr>
                <w:rFonts w:ascii="Arial" w:eastAsia="Times New Roman" w:hAnsi="Arial" w:cs="Arial"/>
                <w:color w:val="000000"/>
                <w:sz w:val="20"/>
                <w:szCs w:val="20"/>
                <w:lang w:val="en-GB" w:eastAsia="en-GB"/>
              </w:rPr>
              <w:t xml:space="preserve">  </w:t>
            </w:r>
            <w:r w:rsidRPr="00143BCB">
              <w:rPr>
                <w:rFonts w:ascii="Arial" w:eastAsia="Times New Roman" w:hAnsi="Arial" w:cs="Arial"/>
                <w:color w:val="000000"/>
                <w:sz w:val="20"/>
                <w:szCs w:val="20"/>
                <w:lang w:val="en-GB" w:eastAsia="en-GB"/>
              </w:rPr>
              <w:t>Performance criteria and any upper limits for annual bonuses and incentive schemes should be set and disclosed, and must be limited to the lower of £17,500 or 10% of basic salary.</w:t>
            </w:r>
            <w:r w:rsidR="00C74C2C">
              <w:rPr>
                <w:rFonts w:ascii="Arial" w:eastAsia="Times New Roman" w:hAnsi="Arial" w:cs="Arial"/>
                <w:color w:val="000000"/>
                <w:sz w:val="20"/>
                <w:szCs w:val="20"/>
                <w:lang w:val="en-GB" w:eastAsia="en-GB"/>
              </w:rPr>
              <w:t xml:space="preserve">  </w:t>
            </w:r>
            <w:r w:rsidRPr="00143BCB">
              <w:rPr>
                <w:rFonts w:ascii="Arial" w:eastAsia="Times New Roman" w:hAnsi="Arial" w:cs="Arial"/>
                <w:color w:val="000000"/>
                <w:sz w:val="20"/>
                <w:szCs w:val="20"/>
                <w:lang w:val="en-GB" w:eastAsia="en-GB"/>
              </w:rPr>
              <w:t>For NHS foundation trusts, non-executive terms and conditions are set by the trust’s council of governors.</w:t>
            </w:r>
            <w:r w:rsidRPr="00143BCB">
              <w:rPr>
                <w:rFonts w:ascii="Arial" w:eastAsia="Times New Roman" w:hAnsi="Arial" w:cs="Arial"/>
                <w:color w:val="000000"/>
                <w:sz w:val="20"/>
                <w:szCs w:val="20"/>
                <w:lang w:val="en-GB" w:eastAsia="en-GB"/>
              </w:rPr>
              <w:br/>
              <w:t>The remuneration committee should consider the pension consequences and associated costs to the trust of basic salary increases and any other changes in pensionable remuneration, especially for directors close to retirement.</w:t>
            </w:r>
          </w:p>
        </w:tc>
        <w:tc>
          <w:tcPr>
            <w:tcW w:w="1005" w:type="dxa"/>
            <w:vAlign w:val="center"/>
            <w:hideMark/>
          </w:tcPr>
          <w:p w14:paraId="4963DA35"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221A3DCF" w14:textId="77777777" w:rsidTr="00143BCB">
        <w:trPr>
          <w:trHeight w:val="396"/>
          <w:jc w:val="center"/>
        </w:trPr>
        <w:tc>
          <w:tcPr>
            <w:tcW w:w="1710" w:type="dxa"/>
            <w:noWrap/>
            <w:vAlign w:val="center"/>
            <w:hideMark/>
          </w:tcPr>
          <w:p w14:paraId="04D6365E"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E2.2</w:t>
            </w:r>
          </w:p>
        </w:tc>
        <w:tc>
          <w:tcPr>
            <w:tcW w:w="7708" w:type="dxa"/>
            <w:hideMark/>
          </w:tcPr>
          <w:p w14:paraId="28F0793C"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Levels of remuneration for the chair and other non-executive directors should reflect the Chair and non-executive director remuneration structure.</w:t>
            </w:r>
          </w:p>
        </w:tc>
        <w:tc>
          <w:tcPr>
            <w:tcW w:w="1005" w:type="dxa"/>
            <w:vAlign w:val="center"/>
            <w:hideMark/>
          </w:tcPr>
          <w:p w14:paraId="2C67B868"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4891E28A" w14:textId="77777777" w:rsidTr="00143BCB">
        <w:trPr>
          <w:trHeight w:val="274"/>
          <w:jc w:val="center"/>
        </w:trPr>
        <w:tc>
          <w:tcPr>
            <w:tcW w:w="1710" w:type="dxa"/>
            <w:noWrap/>
            <w:vAlign w:val="center"/>
            <w:hideMark/>
          </w:tcPr>
          <w:p w14:paraId="63C1E160"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E2.3</w:t>
            </w:r>
          </w:p>
        </w:tc>
        <w:tc>
          <w:tcPr>
            <w:tcW w:w="7708" w:type="dxa"/>
            <w:hideMark/>
          </w:tcPr>
          <w:p w14:paraId="1FEFFC0A"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Where a trust releases an executive director, eg; to serve as a non-executive </w:t>
            </w:r>
          </w:p>
          <w:p w14:paraId="54A4CF24"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director elsewhere, the remuneration disclosures in the annual report should </w:t>
            </w:r>
          </w:p>
          <w:p w14:paraId="51AB8B2B"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include a statement as to whether or not the director will retain such earnings.</w:t>
            </w:r>
          </w:p>
        </w:tc>
        <w:tc>
          <w:tcPr>
            <w:tcW w:w="1005" w:type="dxa"/>
            <w:vAlign w:val="center"/>
            <w:hideMark/>
          </w:tcPr>
          <w:p w14:paraId="3D06CA76"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6B880C3F" w14:textId="77777777" w:rsidTr="00143BCB">
        <w:trPr>
          <w:trHeight w:val="416"/>
          <w:jc w:val="center"/>
        </w:trPr>
        <w:tc>
          <w:tcPr>
            <w:tcW w:w="1710" w:type="dxa"/>
            <w:noWrap/>
            <w:vAlign w:val="center"/>
            <w:hideMark/>
          </w:tcPr>
          <w:p w14:paraId="1FACA186"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E2.4</w:t>
            </w:r>
          </w:p>
        </w:tc>
        <w:tc>
          <w:tcPr>
            <w:tcW w:w="7708" w:type="dxa"/>
            <w:hideMark/>
          </w:tcPr>
          <w:p w14:paraId="3CBD5FE8"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The remuneration committee should carefully consider what compensation commitments (including pension contributions and all other elements) their directors’ terms of appointments would give rise to in the event of early termination. The aim should be to avoid rewarding poor performance. Contracts should allow for compensation to be reduced to reflect a departing director’s obligation to mitigate loss. Appropriate claw-back provisions should be considered where a director returns to the NHS within the period of any putative notice.</w:t>
            </w:r>
          </w:p>
        </w:tc>
        <w:tc>
          <w:tcPr>
            <w:tcW w:w="1005" w:type="dxa"/>
            <w:vAlign w:val="center"/>
            <w:hideMark/>
          </w:tcPr>
          <w:p w14:paraId="48151309"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427DAA2F" w14:textId="77777777" w:rsidTr="00143BCB">
        <w:trPr>
          <w:trHeight w:val="660"/>
          <w:jc w:val="center"/>
        </w:trPr>
        <w:tc>
          <w:tcPr>
            <w:tcW w:w="1710" w:type="dxa"/>
            <w:noWrap/>
            <w:vAlign w:val="center"/>
            <w:hideMark/>
          </w:tcPr>
          <w:p w14:paraId="5D4AADC4"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E2.5</w:t>
            </w:r>
          </w:p>
        </w:tc>
        <w:tc>
          <w:tcPr>
            <w:tcW w:w="7708" w:type="dxa"/>
            <w:hideMark/>
          </w:tcPr>
          <w:p w14:paraId="14F9332A"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Trusts should discuss any director-level severance payment, whether contractual or non-contractual, with their NHS England regional director at the earliest opportunity (severance payment includes any payment whether included in a settlement agreement or not, redundancy payment, a secondment arrangement, pay in lieu of notice, garden leave and pension enhancements).</w:t>
            </w:r>
          </w:p>
        </w:tc>
        <w:tc>
          <w:tcPr>
            <w:tcW w:w="1005" w:type="dxa"/>
            <w:vAlign w:val="center"/>
            <w:hideMark/>
          </w:tcPr>
          <w:p w14:paraId="372C8882"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3C597F97" w14:textId="77777777" w:rsidTr="00143BCB">
        <w:trPr>
          <w:trHeight w:val="351"/>
          <w:jc w:val="center"/>
        </w:trPr>
        <w:tc>
          <w:tcPr>
            <w:tcW w:w="1710" w:type="dxa"/>
            <w:noWrap/>
            <w:vAlign w:val="center"/>
            <w:hideMark/>
          </w:tcPr>
          <w:p w14:paraId="69F6A76F"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E2.6</w:t>
            </w:r>
          </w:p>
        </w:tc>
        <w:tc>
          <w:tcPr>
            <w:tcW w:w="7708" w:type="dxa"/>
            <w:hideMark/>
          </w:tcPr>
          <w:p w14:paraId="36824FC6"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The board of directors should establish a remuneration committee of independent non-executive directors, with a minimum membership of three. The remuneration committee should make its terms of reference available, explaining its role and the authority delegated to it by the board of directors. The board member with responsibility for HR should sit as an advisor on the remuneration committee. Where remuneration consultants are appointed, a statement should be made available as to whether they have any other connection with the trust.</w:t>
            </w:r>
          </w:p>
        </w:tc>
        <w:tc>
          <w:tcPr>
            <w:tcW w:w="1005" w:type="dxa"/>
            <w:vAlign w:val="center"/>
            <w:hideMark/>
          </w:tcPr>
          <w:p w14:paraId="403B41D6"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251BCF11" w14:textId="77777777" w:rsidTr="00143BCB">
        <w:trPr>
          <w:trHeight w:val="268"/>
          <w:jc w:val="center"/>
        </w:trPr>
        <w:tc>
          <w:tcPr>
            <w:tcW w:w="1710" w:type="dxa"/>
            <w:noWrap/>
            <w:vAlign w:val="center"/>
            <w:hideMark/>
          </w:tcPr>
          <w:p w14:paraId="50809D52"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E2.7</w:t>
            </w:r>
          </w:p>
        </w:tc>
        <w:tc>
          <w:tcPr>
            <w:tcW w:w="7708" w:type="dxa"/>
            <w:hideMark/>
          </w:tcPr>
          <w:p w14:paraId="712027FB"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The remuneration committee should have delegated responsibility for setting remuneration for all executive directors, including pension rights and any compensation payments. The committee should also recommend and monitor the level and structure of remuneration for senior management. The board should define senior management for this purpose and this should normally include the first layer of management below board level.</w:t>
            </w:r>
          </w:p>
        </w:tc>
        <w:tc>
          <w:tcPr>
            <w:tcW w:w="1005" w:type="dxa"/>
            <w:vAlign w:val="center"/>
            <w:hideMark/>
          </w:tcPr>
          <w:p w14:paraId="79AAB62D"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0C24FA99" w14:textId="77777777" w:rsidTr="00143BCB">
        <w:trPr>
          <w:trHeight w:val="70"/>
          <w:jc w:val="center"/>
        </w:trPr>
        <w:tc>
          <w:tcPr>
            <w:tcW w:w="1710" w:type="dxa"/>
            <w:noWrap/>
            <w:vAlign w:val="center"/>
            <w:hideMark/>
          </w:tcPr>
          <w:p w14:paraId="36E37640"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E2.8</w:t>
            </w:r>
          </w:p>
        </w:tc>
        <w:tc>
          <w:tcPr>
            <w:tcW w:w="7708" w:type="dxa"/>
            <w:hideMark/>
          </w:tcPr>
          <w:p w14:paraId="4F3C3C22"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The council of governors is responsible for setting the remuneration of a foundation trust’s non-executive directors and the chair.</w:t>
            </w:r>
          </w:p>
        </w:tc>
        <w:tc>
          <w:tcPr>
            <w:tcW w:w="1005" w:type="dxa"/>
            <w:vAlign w:val="center"/>
            <w:hideMark/>
          </w:tcPr>
          <w:p w14:paraId="54DBB7BF"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0DD7F1F9" w14:textId="77777777" w:rsidTr="00143BCB">
        <w:trPr>
          <w:trHeight w:val="300"/>
          <w:jc w:val="center"/>
        </w:trPr>
        <w:tc>
          <w:tcPr>
            <w:tcW w:w="1710" w:type="dxa"/>
            <w:shd w:val="clear" w:color="auto" w:fill="D9D9D9"/>
            <w:noWrap/>
            <w:vAlign w:val="center"/>
          </w:tcPr>
          <w:p w14:paraId="01AE7BC1" w14:textId="77777777" w:rsidR="002E680B" w:rsidRPr="00143BCB" w:rsidRDefault="002E680B" w:rsidP="002E680B">
            <w:pPr>
              <w:widowControl/>
              <w:jc w:val="center"/>
              <w:rPr>
                <w:rFonts w:ascii="Arial" w:eastAsia="Times New Roman" w:hAnsi="Arial" w:cs="Arial"/>
                <w:b/>
                <w:color w:val="000000"/>
                <w:sz w:val="20"/>
                <w:szCs w:val="20"/>
                <w:lang w:val="en-GB" w:eastAsia="en-GB"/>
              </w:rPr>
            </w:pPr>
          </w:p>
        </w:tc>
        <w:tc>
          <w:tcPr>
            <w:tcW w:w="8713" w:type="dxa"/>
            <w:gridSpan w:val="2"/>
            <w:shd w:val="clear" w:color="auto" w:fill="D9D9D9"/>
          </w:tcPr>
          <w:p w14:paraId="1DCE491F" w14:textId="77777777" w:rsidR="002E680B" w:rsidRPr="00143BCB" w:rsidRDefault="002E680B" w:rsidP="002E680B">
            <w:pPr>
              <w:widowControl/>
              <w:tabs>
                <w:tab w:val="left" w:pos="225"/>
              </w:tabs>
              <w:rPr>
                <w:rFonts w:ascii="Arial" w:eastAsia="Times New Roman" w:hAnsi="Arial" w:cs="Arial"/>
                <w:b/>
                <w:bCs/>
                <w:color w:val="000000"/>
                <w:sz w:val="20"/>
                <w:szCs w:val="20"/>
                <w:u w:val="single"/>
                <w:lang w:val="en-GB" w:eastAsia="en-GB"/>
              </w:rPr>
            </w:pPr>
            <w:r w:rsidRPr="00143BCB">
              <w:rPr>
                <w:rFonts w:ascii="Arial" w:eastAsia="Times New Roman" w:hAnsi="Arial" w:cs="Arial"/>
                <w:b/>
                <w:bCs/>
                <w:color w:val="000000"/>
                <w:sz w:val="20"/>
                <w:szCs w:val="20"/>
                <w:u w:val="single"/>
                <w:lang w:val="en-GB" w:eastAsia="en-GB"/>
              </w:rPr>
              <w:t>Schedule A: Disclosure of corporate governance arrangements</w:t>
            </w:r>
          </w:p>
        </w:tc>
      </w:tr>
      <w:tr w:rsidR="002E680B" w:rsidRPr="00143BCB" w14:paraId="080EB4E1" w14:textId="77777777" w:rsidTr="00143BCB">
        <w:trPr>
          <w:trHeight w:val="414"/>
          <w:jc w:val="center"/>
        </w:trPr>
        <w:tc>
          <w:tcPr>
            <w:tcW w:w="1710" w:type="dxa"/>
            <w:noWrap/>
            <w:vAlign w:val="center"/>
            <w:hideMark/>
          </w:tcPr>
          <w:p w14:paraId="306AA16B"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AB2.1</w:t>
            </w:r>
          </w:p>
        </w:tc>
        <w:tc>
          <w:tcPr>
            <w:tcW w:w="7708" w:type="dxa"/>
            <w:hideMark/>
          </w:tcPr>
          <w:p w14:paraId="05BF560C"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The council of governors should meet sufficiently regularly to discharge its duties. </w:t>
            </w:r>
            <w:proofErr w:type="gramStart"/>
            <w:r w:rsidRPr="00143BCB">
              <w:rPr>
                <w:rFonts w:ascii="Arial" w:eastAsia="Times New Roman" w:hAnsi="Arial" w:cs="Arial"/>
                <w:color w:val="000000"/>
                <w:sz w:val="20"/>
                <w:szCs w:val="20"/>
                <w:lang w:val="en-GB" w:eastAsia="en-GB"/>
              </w:rPr>
              <w:t>Typically</w:t>
            </w:r>
            <w:proofErr w:type="gramEnd"/>
            <w:r w:rsidRPr="00143BCB">
              <w:rPr>
                <w:rFonts w:ascii="Arial" w:eastAsia="Times New Roman" w:hAnsi="Arial" w:cs="Arial"/>
                <w:color w:val="000000"/>
                <w:sz w:val="20"/>
                <w:szCs w:val="20"/>
                <w:lang w:val="en-GB" w:eastAsia="en-GB"/>
              </w:rPr>
              <w:t xml:space="preserve"> the council of governors would be expected to meet as a full council at least four times a year. Governors should make every effort to attend these meetings. The NHS foundation trust should take appropriate steps to facilitate attendance.</w:t>
            </w:r>
          </w:p>
        </w:tc>
        <w:tc>
          <w:tcPr>
            <w:tcW w:w="1005" w:type="dxa"/>
            <w:vAlign w:val="center"/>
            <w:hideMark/>
          </w:tcPr>
          <w:p w14:paraId="1854CB7A"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75606D17" w14:textId="77777777" w:rsidTr="00143BCB">
        <w:trPr>
          <w:trHeight w:val="233"/>
          <w:jc w:val="center"/>
        </w:trPr>
        <w:tc>
          <w:tcPr>
            <w:tcW w:w="1710" w:type="dxa"/>
            <w:noWrap/>
            <w:vAlign w:val="center"/>
            <w:hideMark/>
          </w:tcPr>
          <w:p w14:paraId="373DE000"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AB2.2</w:t>
            </w:r>
          </w:p>
        </w:tc>
        <w:tc>
          <w:tcPr>
            <w:tcW w:w="7708" w:type="dxa"/>
            <w:hideMark/>
          </w:tcPr>
          <w:p w14:paraId="5BC725AF"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The council of governors should not be so large as to be unwieldy. The council of governors should be of sufficient size for the requirements of its duties. The roles, </w:t>
            </w:r>
            <w:r w:rsidRPr="00143BCB">
              <w:rPr>
                <w:rFonts w:ascii="Arial" w:eastAsia="Times New Roman" w:hAnsi="Arial" w:cs="Arial"/>
                <w:color w:val="000000"/>
                <w:sz w:val="20"/>
                <w:szCs w:val="20"/>
                <w:lang w:val="en-GB" w:eastAsia="en-GB"/>
              </w:rPr>
              <w:lastRenderedPageBreak/>
              <w:t>structure, composition and procedures of the council of governors should be reviewed regularly.</w:t>
            </w:r>
          </w:p>
        </w:tc>
        <w:tc>
          <w:tcPr>
            <w:tcW w:w="1005" w:type="dxa"/>
            <w:vAlign w:val="center"/>
            <w:hideMark/>
          </w:tcPr>
          <w:p w14:paraId="01FD8192"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lastRenderedPageBreak/>
              <w:t>Comply</w:t>
            </w:r>
          </w:p>
        </w:tc>
      </w:tr>
      <w:tr w:rsidR="002E680B" w:rsidRPr="00143BCB" w14:paraId="182D04F1" w14:textId="77777777" w:rsidTr="00143BCB">
        <w:trPr>
          <w:trHeight w:val="587"/>
          <w:jc w:val="center"/>
        </w:trPr>
        <w:tc>
          <w:tcPr>
            <w:tcW w:w="1710" w:type="dxa"/>
            <w:noWrap/>
            <w:vAlign w:val="center"/>
            <w:hideMark/>
          </w:tcPr>
          <w:p w14:paraId="0F460E43"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AB2.3</w:t>
            </w:r>
          </w:p>
        </w:tc>
        <w:tc>
          <w:tcPr>
            <w:tcW w:w="7708" w:type="dxa"/>
            <w:hideMark/>
          </w:tcPr>
          <w:p w14:paraId="0D9DD0F9"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The annual report should identify the members of the council of governors, </w:t>
            </w:r>
          </w:p>
          <w:p w14:paraId="7A668F82"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including a description of the constituency or organisation that they represent, </w:t>
            </w:r>
          </w:p>
          <w:p w14:paraId="4B9C7120"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whether they were elected or appointed, and the duration of their appointments. </w:t>
            </w:r>
          </w:p>
          <w:p w14:paraId="4BACBF0D"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The annual report should also identify the nominated lead governor.</w:t>
            </w:r>
          </w:p>
        </w:tc>
        <w:tc>
          <w:tcPr>
            <w:tcW w:w="1005" w:type="dxa"/>
            <w:vAlign w:val="center"/>
            <w:hideMark/>
          </w:tcPr>
          <w:p w14:paraId="3D2A3B2D"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32223FF7" w14:textId="77777777" w:rsidTr="00143BCB">
        <w:trPr>
          <w:trHeight w:val="478"/>
          <w:jc w:val="center"/>
        </w:trPr>
        <w:tc>
          <w:tcPr>
            <w:tcW w:w="1710" w:type="dxa"/>
            <w:noWrap/>
            <w:vAlign w:val="center"/>
            <w:hideMark/>
          </w:tcPr>
          <w:p w14:paraId="122351FE"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AB2.4</w:t>
            </w:r>
          </w:p>
        </w:tc>
        <w:tc>
          <w:tcPr>
            <w:tcW w:w="7708" w:type="dxa"/>
            <w:hideMark/>
          </w:tcPr>
          <w:p w14:paraId="700D38D7"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The roles and responsibilities of the council of governors should be set out in a written document. This statement should include a clear explanation of the responsibilities of the council of governors towards members and other stakeholders and how governors will seek their views and keep them informed.  </w:t>
            </w:r>
          </w:p>
        </w:tc>
        <w:tc>
          <w:tcPr>
            <w:tcW w:w="1005" w:type="dxa"/>
            <w:vAlign w:val="center"/>
            <w:hideMark/>
          </w:tcPr>
          <w:p w14:paraId="464A7974"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227B8A6B" w14:textId="77777777" w:rsidTr="00143BCB">
        <w:trPr>
          <w:trHeight w:val="983"/>
          <w:jc w:val="center"/>
        </w:trPr>
        <w:tc>
          <w:tcPr>
            <w:tcW w:w="1710" w:type="dxa"/>
            <w:noWrap/>
            <w:vAlign w:val="center"/>
            <w:hideMark/>
          </w:tcPr>
          <w:p w14:paraId="66FCC4FD"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AB2.5</w:t>
            </w:r>
          </w:p>
        </w:tc>
        <w:tc>
          <w:tcPr>
            <w:tcW w:w="7708" w:type="dxa"/>
            <w:hideMark/>
          </w:tcPr>
          <w:p w14:paraId="0A1E0B16"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The chair is responsible for leadership of both the board of directors and the council of governors but the governors also have a responsibility to make the arrangements work and should take the lead in inviting the chief executive and other executives and non-executives, as appropriate, to their meetings. In these meetings other members of the council of governors may ask the chair or their deputy, or any other relevant director present at the meeting, questions about the affairs of the NHS foundation trust.</w:t>
            </w:r>
          </w:p>
        </w:tc>
        <w:tc>
          <w:tcPr>
            <w:tcW w:w="1005" w:type="dxa"/>
            <w:vAlign w:val="center"/>
            <w:hideMark/>
          </w:tcPr>
          <w:p w14:paraId="3D9BF10E"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43B8C1CB" w14:textId="77777777" w:rsidTr="00143BCB">
        <w:trPr>
          <w:trHeight w:val="841"/>
          <w:jc w:val="center"/>
        </w:trPr>
        <w:tc>
          <w:tcPr>
            <w:tcW w:w="1710" w:type="dxa"/>
            <w:noWrap/>
            <w:vAlign w:val="center"/>
            <w:hideMark/>
          </w:tcPr>
          <w:p w14:paraId="7879E6A9"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AB2.6</w:t>
            </w:r>
          </w:p>
        </w:tc>
        <w:tc>
          <w:tcPr>
            <w:tcW w:w="7708" w:type="dxa"/>
            <w:hideMark/>
          </w:tcPr>
          <w:p w14:paraId="7792DFA5"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The council of governors should establish a policy for engagement with the board of directors for those circumstances where they have concerns about the performance of the board of directors, compliance with the provider licence or other matters related to the overall wellbeing of the NHS foundation trust and its collaboration with system partners.  The council of governors should input to the board’s appointment of a senior independent director.</w:t>
            </w:r>
          </w:p>
        </w:tc>
        <w:tc>
          <w:tcPr>
            <w:tcW w:w="1005" w:type="dxa"/>
            <w:vAlign w:val="center"/>
            <w:hideMark/>
          </w:tcPr>
          <w:p w14:paraId="589ABFB1"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1FDFF699" w14:textId="77777777" w:rsidTr="00143BCB">
        <w:trPr>
          <w:trHeight w:val="286"/>
          <w:jc w:val="center"/>
        </w:trPr>
        <w:tc>
          <w:tcPr>
            <w:tcW w:w="1710" w:type="dxa"/>
            <w:noWrap/>
            <w:vAlign w:val="center"/>
            <w:hideMark/>
          </w:tcPr>
          <w:p w14:paraId="21EF5014"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AB2.7</w:t>
            </w:r>
          </w:p>
        </w:tc>
        <w:tc>
          <w:tcPr>
            <w:tcW w:w="7708" w:type="dxa"/>
            <w:hideMark/>
          </w:tcPr>
          <w:p w14:paraId="74DFE61B"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The council of governors should ensure its interaction and relationship with the board of directors is appropriate and effective, in particular, by agreeing the availability and timely communication of relevant information, discussion and the setting in advance of meeting agendas and, where possible, using clear, unambiguous language.</w:t>
            </w:r>
          </w:p>
        </w:tc>
        <w:tc>
          <w:tcPr>
            <w:tcW w:w="1005" w:type="dxa"/>
            <w:vAlign w:val="center"/>
            <w:hideMark/>
          </w:tcPr>
          <w:p w14:paraId="4C8B87A7"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7424444F" w14:textId="77777777" w:rsidTr="00143BCB">
        <w:trPr>
          <w:trHeight w:val="117"/>
          <w:jc w:val="center"/>
        </w:trPr>
        <w:tc>
          <w:tcPr>
            <w:tcW w:w="1710" w:type="dxa"/>
            <w:noWrap/>
            <w:vAlign w:val="center"/>
            <w:hideMark/>
          </w:tcPr>
          <w:p w14:paraId="6E0418C1"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AB2.8</w:t>
            </w:r>
          </w:p>
        </w:tc>
        <w:tc>
          <w:tcPr>
            <w:tcW w:w="7708" w:type="dxa"/>
            <w:hideMark/>
          </w:tcPr>
          <w:p w14:paraId="2E36A7C4"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The council of governors should only exercise its power to remove the chair or any non-executive directors after exhausting all means of engagement with the board of directors. The council should raise any issues with the chair with the senior independent director in the first instance.</w:t>
            </w:r>
          </w:p>
        </w:tc>
        <w:tc>
          <w:tcPr>
            <w:tcW w:w="1005" w:type="dxa"/>
            <w:vAlign w:val="center"/>
            <w:hideMark/>
          </w:tcPr>
          <w:p w14:paraId="01CEC33A"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2351AA9A" w14:textId="77777777" w:rsidTr="00143BCB">
        <w:trPr>
          <w:trHeight w:val="70"/>
          <w:jc w:val="center"/>
        </w:trPr>
        <w:tc>
          <w:tcPr>
            <w:tcW w:w="1710" w:type="dxa"/>
            <w:noWrap/>
            <w:vAlign w:val="center"/>
            <w:hideMark/>
          </w:tcPr>
          <w:p w14:paraId="2E5D8C67"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AB2.9</w:t>
            </w:r>
          </w:p>
        </w:tc>
        <w:tc>
          <w:tcPr>
            <w:tcW w:w="7708" w:type="dxa"/>
            <w:hideMark/>
          </w:tcPr>
          <w:p w14:paraId="55E02601"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The council of governors should receive and consider other appropriate information required to enable it to discharge its duties, e.g. clinical statistical data and operational data.</w:t>
            </w:r>
          </w:p>
        </w:tc>
        <w:tc>
          <w:tcPr>
            <w:tcW w:w="1005" w:type="dxa"/>
            <w:vAlign w:val="center"/>
            <w:hideMark/>
          </w:tcPr>
          <w:p w14:paraId="131EE55C"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6F15CD3C" w14:textId="77777777" w:rsidTr="00143BCB">
        <w:trPr>
          <w:trHeight w:val="70"/>
          <w:jc w:val="center"/>
        </w:trPr>
        <w:tc>
          <w:tcPr>
            <w:tcW w:w="1710" w:type="dxa"/>
            <w:noWrap/>
            <w:vAlign w:val="center"/>
            <w:hideMark/>
          </w:tcPr>
          <w:p w14:paraId="0F0AA7EC"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AB2.10</w:t>
            </w:r>
          </w:p>
        </w:tc>
        <w:tc>
          <w:tcPr>
            <w:tcW w:w="7708" w:type="dxa"/>
            <w:hideMark/>
          </w:tcPr>
          <w:p w14:paraId="26D8B146"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The chair (and the senior independent director and other directors as appropriate) should maintain regular contact with the governors to understand their issues and concerns.</w:t>
            </w:r>
          </w:p>
        </w:tc>
        <w:tc>
          <w:tcPr>
            <w:tcW w:w="1005" w:type="dxa"/>
            <w:vAlign w:val="center"/>
            <w:hideMark/>
          </w:tcPr>
          <w:p w14:paraId="6215882B"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0AAE86E7" w14:textId="77777777" w:rsidTr="00143BCB">
        <w:trPr>
          <w:trHeight w:val="70"/>
          <w:jc w:val="center"/>
        </w:trPr>
        <w:tc>
          <w:tcPr>
            <w:tcW w:w="1710" w:type="dxa"/>
            <w:noWrap/>
            <w:vAlign w:val="center"/>
            <w:hideMark/>
          </w:tcPr>
          <w:p w14:paraId="326F5B0D"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AB2.11</w:t>
            </w:r>
          </w:p>
        </w:tc>
        <w:tc>
          <w:tcPr>
            <w:tcW w:w="7708" w:type="dxa"/>
            <w:hideMark/>
          </w:tcPr>
          <w:p w14:paraId="7504DD0F"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Governors should seek the views of members and the public on material issues or changes being discussed by the trust. Governors should provide information and feedback to members and the public at large regarding the trust, its vision, performance and material strategic proposals made by the trust board.</w:t>
            </w:r>
          </w:p>
        </w:tc>
        <w:tc>
          <w:tcPr>
            <w:tcW w:w="1005" w:type="dxa"/>
            <w:vAlign w:val="center"/>
            <w:hideMark/>
          </w:tcPr>
          <w:p w14:paraId="56A17266"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08622B24" w14:textId="77777777" w:rsidTr="00143BCB">
        <w:trPr>
          <w:trHeight w:val="393"/>
          <w:jc w:val="center"/>
        </w:trPr>
        <w:tc>
          <w:tcPr>
            <w:tcW w:w="1710" w:type="dxa"/>
            <w:noWrap/>
            <w:vAlign w:val="center"/>
            <w:hideMark/>
          </w:tcPr>
          <w:p w14:paraId="647A0935"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AB2.12</w:t>
            </w:r>
          </w:p>
        </w:tc>
        <w:tc>
          <w:tcPr>
            <w:tcW w:w="7708" w:type="dxa"/>
            <w:hideMark/>
          </w:tcPr>
          <w:p w14:paraId="38C0266C"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It is also incumbent on the board of directors to ensure governors have the mechanisms in place to secure and report on feedback that enables them to fulfil their duty to represent the interests of members and the public at large.</w:t>
            </w:r>
          </w:p>
        </w:tc>
        <w:tc>
          <w:tcPr>
            <w:tcW w:w="1005" w:type="dxa"/>
            <w:vAlign w:val="center"/>
            <w:hideMark/>
          </w:tcPr>
          <w:p w14:paraId="3E8ED3DA"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0647C89F" w14:textId="77777777" w:rsidTr="00143BCB">
        <w:trPr>
          <w:trHeight w:val="410"/>
          <w:jc w:val="center"/>
        </w:trPr>
        <w:tc>
          <w:tcPr>
            <w:tcW w:w="1710" w:type="dxa"/>
            <w:noWrap/>
            <w:vAlign w:val="center"/>
            <w:hideMark/>
          </w:tcPr>
          <w:p w14:paraId="391DA87E"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AB2.13</w:t>
            </w:r>
          </w:p>
        </w:tc>
        <w:tc>
          <w:tcPr>
            <w:tcW w:w="7708" w:type="dxa"/>
            <w:hideMark/>
          </w:tcPr>
          <w:p w14:paraId="41D5CE41"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The chair should ensure that the views of governors and members are communicated to the board as a whole. The chair should discuss the affairs of the NHS foundation trust with governors. Non-executive directors should be offered the opportunity to attend meetings with governors and should expect to attend them if requested to do so by governors. The senior independent director should attend sufficient meetings with governors to hear their views and develop a balanced understanding of their issues and concerns.</w:t>
            </w:r>
          </w:p>
        </w:tc>
        <w:tc>
          <w:tcPr>
            <w:tcW w:w="1005" w:type="dxa"/>
            <w:vAlign w:val="center"/>
            <w:hideMark/>
          </w:tcPr>
          <w:p w14:paraId="42565D58"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64B1EC1A" w14:textId="77777777" w:rsidTr="00143BCB">
        <w:trPr>
          <w:trHeight w:val="199"/>
          <w:jc w:val="center"/>
        </w:trPr>
        <w:tc>
          <w:tcPr>
            <w:tcW w:w="1710" w:type="dxa"/>
            <w:noWrap/>
            <w:vAlign w:val="center"/>
            <w:hideMark/>
          </w:tcPr>
          <w:p w14:paraId="0AE83277"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AB2.14</w:t>
            </w:r>
          </w:p>
        </w:tc>
        <w:tc>
          <w:tcPr>
            <w:tcW w:w="7708" w:type="dxa"/>
            <w:hideMark/>
          </w:tcPr>
          <w:p w14:paraId="08E4A346"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The board of directors should ensure that the NHS foundation trust provides </w:t>
            </w:r>
          </w:p>
          <w:p w14:paraId="46587611"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effective mechanisms for communication between governors and members from </w:t>
            </w:r>
          </w:p>
          <w:p w14:paraId="4AB64883"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its constituencies. Contact procedures for members who wish to communicate </w:t>
            </w:r>
          </w:p>
          <w:p w14:paraId="4E08975D"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with governors and/or directors should be clear and made available to members </w:t>
            </w:r>
          </w:p>
          <w:p w14:paraId="3AA3B974"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on the NHS foundation trust’s website and in the annual report.</w:t>
            </w:r>
          </w:p>
        </w:tc>
        <w:tc>
          <w:tcPr>
            <w:tcW w:w="1005" w:type="dxa"/>
            <w:vAlign w:val="center"/>
            <w:hideMark/>
          </w:tcPr>
          <w:p w14:paraId="360E7BD8"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7A8F03EA" w14:textId="77777777" w:rsidTr="00143BCB">
        <w:trPr>
          <w:trHeight w:val="1024"/>
          <w:jc w:val="center"/>
        </w:trPr>
        <w:tc>
          <w:tcPr>
            <w:tcW w:w="1710" w:type="dxa"/>
            <w:noWrap/>
            <w:vAlign w:val="center"/>
            <w:hideMark/>
          </w:tcPr>
          <w:p w14:paraId="18BB8B19"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lastRenderedPageBreak/>
              <w:t>AB2.15</w:t>
            </w:r>
          </w:p>
        </w:tc>
        <w:tc>
          <w:tcPr>
            <w:tcW w:w="7708" w:type="dxa"/>
            <w:hideMark/>
          </w:tcPr>
          <w:p w14:paraId="6DD3F5E7"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The board of directors should state in the annual report the steps it has taken to </w:t>
            </w:r>
          </w:p>
          <w:p w14:paraId="778D851E"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ensure that the members of the board, and in particular the non-executive </w:t>
            </w:r>
          </w:p>
          <w:p w14:paraId="0B38C6D0"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directors, develop an understanding of the views of governors and members </w:t>
            </w:r>
          </w:p>
          <w:p w14:paraId="1C2FD73B"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about the NHS foundation trust, eg; through attendance at meetings of the council </w:t>
            </w:r>
          </w:p>
          <w:p w14:paraId="7260B8B7"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of governors, direct face-to-face contact, surveys of members’ opinions and </w:t>
            </w:r>
          </w:p>
          <w:p w14:paraId="039B2CDC"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consultations.</w:t>
            </w:r>
          </w:p>
        </w:tc>
        <w:tc>
          <w:tcPr>
            <w:tcW w:w="1005" w:type="dxa"/>
            <w:vAlign w:val="center"/>
            <w:hideMark/>
          </w:tcPr>
          <w:p w14:paraId="7314A872"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29E39F55" w14:textId="77777777" w:rsidTr="00143BCB">
        <w:trPr>
          <w:trHeight w:val="1024"/>
          <w:jc w:val="center"/>
        </w:trPr>
        <w:tc>
          <w:tcPr>
            <w:tcW w:w="1710" w:type="dxa"/>
            <w:noWrap/>
            <w:vAlign w:val="center"/>
          </w:tcPr>
          <w:p w14:paraId="5B96146D"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Additional </w:t>
            </w:r>
          </w:p>
          <w:p w14:paraId="279A9382"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requirement </w:t>
            </w:r>
          </w:p>
          <w:p w14:paraId="7019AA01"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of FT ARM</w:t>
            </w:r>
          </w:p>
          <w:p w14:paraId="239BE904"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resulting </w:t>
            </w:r>
          </w:p>
          <w:p w14:paraId="2F4713A6"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from </w:t>
            </w:r>
          </w:p>
          <w:p w14:paraId="54C98EEF"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legislation</w:t>
            </w:r>
          </w:p>
        </w:tc>
        <w:tc>
          <w:tcPr>
            <w:tcW w:w="7708" w:type="dxa"/>
          </w:tcPr>
          <w:p w14:paraId="537D598A"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If, during the financial year, the Governors have exercised their power* under </w:t>
            </w:r>
          </w:p>
          <w:p w14:paraId="0AE0E07F"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paragraph 10C** of schedule 7 of the NHS Act 2006, then information on this </w:t>
            </w:r>
          </w:p>
          <w:p w14:paraId="7011280C"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must be included in the annual report. </w:t>
            </w:r>
          </w:p>
          <w:p w14:paraId="5D3A523D"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This is required by paragraph 26(</w:t>
            </w:r>
            <w:proofErr w:type="gramStart"/>
            <w:r w:rsidRPr="00143BCB">
              <w:rPr>
                <w:rFonts w:ascii="Arial" w:eastAsia="Times New Roman" w:hAnsi="Arial" w:cs="Arial"/>
                <w:color w:val="000000"/>
                <w:sz w:val="20"/>
                <w:szCs w:val="20"/>
                <w:lang w:val="en-GB" w:eastAsia="en-GB"/>
              </w:rPr>
              <w:t>2)(</w:t>
            </w:r>
            <w:proofErr w:type="gramEnd"/>
            <w:r w:rsidRPr="00143BCB">
              <w:rPr>
                <w:rFonts w:ascii="Arial" w:eastAsia="Times New Roman" w:hAnsi="Arial" w:cs="Arial"/>
                <w:color w:val="000000"/>
                <w:sz w:val="20"/>
                <w:szCs w:val="20"/>
                <w:lang w:val="en-GB" w:eastAsia="en-GB"/>
              </w:rPr>
              <w:t xml:space="preserve">aa) of schedule 7 to the NHS Act 2006, as </w:t>
            </w:r>
          </w:p>
          <w:p w14:paraId="2171CDFF"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amended by section 151 (8) of the Health and Social Care Act 2012.</w:t>
            </w:r>
          </w:p>
          <w:p w14:paraId="25F86F54"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 Power to require one or more of the directors to attend a governors’ meeting for </w:t>
            </w:r>
          </w:p>
          <w:p w14:paraId="46D3AC20"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the purpose of obtaining information about the foundation trust’s performance of </w:t>
            </w:r>
          </w:p>
          <w:p w14:paraId="417F33D2"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its functions or the directors’ performance of their duties (and deciding whether to </w:t>
            </w:r>
          </w:p>
          <w:p w14:paraId="47F3E438"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propose a vote on the foundation trust’s or directors’ performance).</w:t>
            </w:r>
          </w:p>
          <w:p w14:paraId="72870584"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As inserted by section 151 (6) of the Health and Social Care Act 2012)</w:t>
            </w:r>
          </w:p>
        </w:tc>
        <w:tc>
          <w:tcPr>
            <w:tcW w:w="1005" w:type="dxa"/>
            <w:vAlign w:val="center"/>
          </w:tcPr>
          <w:p w14:paraId="40EB9C9A"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bl>
    <w:p w14:paraId="1C643C20" w14:textId="77777777" w:rsidR="001D1D73" w:rsidRPr="00696EE6" w:rsidRDefault="001D1D73" w:rsidP="00010A15">
      <w:pPr>
        <w:rPr>
          <w:rFonts w:ascii="Arial" w:hAnsi="Arial" w:cs="Arial"/>
          <w:sz w:val="20"/>
          <w:szCs w:val="20"/>
          <w:highlight w:val="yellow"/>
          <w:lang w:val="en-GB"/>
        </w:rPr>
      </w:pPr>
    </w:p>
    <w:p w14:paraId="4C634C99" w14:textId="77777777" w:rsidR="001D1D73" w:rsidRPr="00696EE6" w:rsidRDefault="001D1D73" w:rsidP="00010A15">
      <w:pPr>
        <w:rPr>
          <w:rFonts w:ascii="Arial" w:hAnsi="Arial" w:cs="Arial"/>
          <w:sz w:val="20"/>
          <w:szCs w:val="20"/>
          <w:highlight w:val="yellow"/>
          <w:lang w:val="en-GB"/>
        </w:rPr>
      </w:pPr>
    </w:p>
    <w:p w14:paraId="187E7389" w14:textId="77777777" w:rsidR="001D1D73" w:rsidRPr="00696EE6" w:rsidRDefault="001D1D73" w:rsidP="00010A15">
      <w:pPr>
        <w:rPr>
          <w:rFonts w:ascii="Arial" w:hAnsi="Arial" w:cs="Arial"/>
          <w:sz w:val="20"/>
          <w:szCs w:val="20"/>
          <w:highlight w:val="yellow"/>
          <w:lang w:val="en-GB"/>
        </w:rPr>
      </w:pPr>
    </w:p>
    <w:p w14:paraId="4622FC1A" w14:textId="77777777" w:rsidR="001D1D73" w:rsidRPr="00696EE6" w:rsidRDefault="001D1D73" w:rsidP="00010A15">
      <w:pPr>
        <w:rPr>
          <w:rFonts w:ascii="Arial" w:hAnsi="Arial" w:cs="Arial"/>
          <w:sz w:val="20"/>
          <w:szCs w:val="20"/>
          <w:highlight w:val="yellow"/>
          <w:lang w:val="en-GB"/>
        </w:rPr>
      </w:pPr>
    </w:p>
    <w:p w14:paraId="472E472A" w14:textId="77777777" w:rsidR="001D1D73" w:rsidRPr="00696EE6" w:rsidRDefault="001D1D73" w:rsidP="00010A15">
      <w:pPr>
        <w:rPr>
          <w:rFonts w:ascii="Arial" w:hAnsi="Arial" w:cs="Arial"/>
          <w:sz w:val="20"/>
          <w:szCs w:val="20"/>
          <w:highlight w:val="yellow"/>
          <w:lang w:val="en-GB"/>
        </w:rPr>
      </w:pPr>
    </w:p>
    <w:p w14:paraId="556CE84E" w14:textId="77777777" w:rsidR="001D1D73" w:rsidRPr="00696EE6" w:rsidRDefault="001D1D73" w:rsidP="00010A15">
      <w:pPr>
        <w:rPr>
          <w:rFonts w:ascii="Arial" w:hAnsi="Arial" w:cs="Arial"/>
          <w:sz w:val="20"/>
          <w:szCs w:val="20"/>
          <w:highlight w:val="yellow"/>
          <w:lang w:val="en-GB"/>
        </w:rPr>
      </w:pPr>
    </w:p>
    <w:p w14:paraId="4E18CE34" w14:textId="77777777" w:rsidR="001D1D73" w:rsidRPr="00696EE6" w:rsidRDefault="001D1D73" w:rsidP="00010A15">
      <w:pPr>
        <w:rPr>
          <w:rFonts w:ascii="Arial" w:hAnsi="Arial" w:cs="Arial"/>
          <w:sz w:val="20"/>
          <w:szCs w:val="20"/>
          <w:highlight w:val="yellow"/>
          <w:lang w:val="en-GB"/>
        </w:rPr>
      </w:pPr>
    </w:p>
    <w:p w14:paraId="28AB80E0" w14:textId="77777777" w:rsidR="001D1D73" w:rsidRPr="00696EE6" w:rsidRDefault="001D1D73" w:rsidP="00010A15">
      <w:pPr>
        <w:rPr>
          <w:rFonts w:ascii="Arial" w:hAnsi="Arial" w:cs="Arial"/>
          <w:sz w:val="20"/>
          <w:szCs w:val="20"/>
          <w:highlight w:val="yellow"/>
          <w:lang w:val="en-GB"/>
        </w:rPr>
      </w:pPr>
    </w:p>
    <w:p w14:paraId="567BDF00" w14:textId="77777777" w:rsidR="001D1D73" w:rsidRPr="00696EE6" w:rsidRDefault="001D1D73" w:rsidP="00010A15">
      <w:pPr>
        <w:rPr>
          <w:rFonts w:ascii="Arial" w:hAnsi="Arial" w:cs="Arial"/>
          <w:sz w:val="20"/>
          <w:szCs w:val="20"/>
          <w:highlight w:val="yellow"/>
          <w:lang w:val="en-GB"/>
        </w:rPr>
      </w:pPr>
    </w:p>
    <w:p w14:paraId="6926E3BB" w14:textId="77777777" w:rsidR="001D1D73" w:rsidRPr="00696EE6" w:rsidRDefault="001D1D73" w:rsidP="00010A15">
      <w:pPr>
        <w:rPr>
          <w:rFonts w:ascii="Arial" w:hAnsi="Arial" w:cs="Arial"/>
          <w:sz w:val="20"/>
          <w:szCs w:val="20"/>
          <w:highlight w:val="yellow"/>
          <w:lang w:val="en-GB"/>
        </w:rPr>
      </w:pPr>
    </w:p>
    <w:p w14:paraId="13FB69E2" w14:textId="77777777" w:rsidR="001D1D73" w:rsidRPr="00696EE6" w:rsidRDefault="001D1D73" w:rsidP="00010A15">
      <w:pPr>
        <w:rPr>
          <w:rFonts w:ascii="Arial" w:hAnsi="Arial" w:cs="Arial"/>
          <w:sz w:val="20"/>
          <w:szCs w:val="20"/>
          <w:highlight w:val="yellow"/>
          <w:lang w:val="en-GB"/>
        </w:rPr>
      </w:pPr>
    </w:p>
    <w:p w14:paraId="2F19BAA0" w14:textId="77777777" w:rsidR="001D1D73" w:rsidRPr="00696EE6" w:rsidRDefault="001D1D73" w:rsidP="00010A15">
      <w:pPr>
        <w:rPr>
          <w:rFonts w:ascii="Arial" w:hAnsi="Arial" w:cs="Arial"/>
          <w:sz w:val="20"/>
          <w:szCs w:val="20"/>
          <w:highlight w:val="yellow"/>
          <w:lang w:val="en-GB"/>
        </w:rPr>
      </w:pPr>
    </w:p>
    <w:p w14:paraId="09195675" w14:textId="77777777" w:rsidR="001D1D73" w:rsidRPr="00696EE6" w:rsidRDefault="001D1D73" w:rsidP="00010A15">
      <w:pPr>
        <w:rPr>
          <w:rFonts w:ascii="Arial" w:hAnsi="Arial" w:cs="Arial"/>
          <w:sz w:val="20"/>
          <w:szCs w:val="20"/>
          <w:highlight w:val="yellow"/>
          <w:lang w:val="en-GB"/>
        </w:rPr>
      </w:pPr>
    </w:p>
    <w:p w14:paraId="2C16812D" w14:textId="77777777" w:rsidR="001D1D73" w:rsidRPr="00696EE6" w:rsidRDefault="001D1D73" w:rsidP="00010A15">
      <w:pPr>
        <w:rPr>
          <w:rFonts w:ascii="Arial" w:hAnsi="Arial" w:cs="Arial"/>
          <w:sz w:val="20"/>
          <w:szCs w:val="20"/>
          <w:highlight w:val="yellow"/>
          <w:lang w:val="en-GB"/>
        </w:rPr>
      </w:pPr>
    </w:p>
    <w:p w14:paraId="76665770" w14:textId="77777777" w:rsidR="001D1D73" w:rsidRPr="00696EE6" w:rsidRDefault="001D1D73" w:rsidP="00010A15">
      <w:pPr>
        <w:rPr>
          <w:rFonts w:ascii="Arial" w:hAnsi="Arial" w:cs="Arial"/>
          <w:sz w:val="20"/>
          <w:szCs w:val="20"/>
          <w:highlight w:val="yellow"/>
          <w:lang w:val="en-GB"/>
        </w:rPr>
      </w:pPr>
    </w:p>
    <w:p w14:paraId="4F355773" w14:textId="77777777" w:rsidR="001D1D73" w:rsidRPr="00696EE6" w:rsidRDefault="001D1D73" w:rsidP="00010A15">
      <w:pPr>
        <w:rPr>
          <w:rFonts w:ascii="Arial" w:hAnsi="Arial" w:cs="Arial"/>
          <w:sz w:val="20"/>
          <w:szCs w:val="20"/>
          <w:highlight w:val="yellow"/>
          <w:lang w:val="en-GB"/>
        </w:rPr>
      </w:pPr>
    </w:p>
    <w:p w14:paraId="4C68C90B" w14:textId="77777777" w:rsidR="001D1D73" w:rsidRPr="00696EE6" w:rsidRDefault="001D1D73" w:rsidP="00010A15">
      <w:pPr>
        <w:rPr>
          <w:rFonts w:ascii="Arial" w:hAnsi="Arial" w:cs="Arial"/>
          <w:sz w:val="20"/>
          <w:szCs w:val="20"/>
          <w:highlight w:val="yellow"/>
          <w:lang w:val="en-GB"/>
        </w:rPr>
      </w:pPr>
    </w:p>
    <w:p w14:paraId="6AF584E8" w14:textId="77777777" w:rsidR="001D1D73" w:rsidRPr="00696EE6" w:rsidRDefault="001D1D73" w:rsidP="00010A15">
      <w:pPr>
        <w:rPr>
          <w:rFonts w:ascii="Arial" w:hAnsi="Arial" w:cs="Arial"/>
          <w:sz w:val="20"/>
          <w:szCs w:val="20"/>
          <w:highlight w:val="yellow"/>
          <w:lang w:val="en-GB"/>
        </w:rPr>
      </w:pPr>
    </w:p>
    <w:p w14:paraId="67F8B748" w14:textId="77777777" w:rsidR="001D1D73" w:rsidRPr="00696EE6" w:rsidRDefault="001D1D73" w:rsidP="00010A15">
      <w:pPr>
        <w:rPr>
          <w:rFonts w:ascii="Arial" w:hAnsi="Arial" w:cs="Arial"/>
          <w:sz w:val="20"/>
          <w:szCs w:val="20"/>
          <w:highlight w:val="yellow"/>
          <w:lang w:val="en-GB"/>
        </w:rPr>
      </w:pPr>
    </w:p>
    <w:p w14:paraId="4B9C40DD" w14:textId="77777777" w:rsidR="001D1D73" w:rsidRPr="00696EE6" w:rsidRDefault="001D1D73" w:rsidP="00010A15">
      <w:pPr>
        <w:rPr>
          <w:rFonts w:ascii="Arial" w:hAnsi="Arial" w:cs="Arial"/>
          <w:sz w:val="20"/>
          <w:szCs w:val="20"/>
          <w:highlight w:val="yellow"/>
          <w:lang w:val="en-GB"/>
        </w:rPr>
      </w:pPr>
    </w:p>
    <w:p w14:paraId="447133DA" w14:textId="77777777" w:rsidR="001D1D73" w:rsidRPr="00696EE6" w:rsidRDefault="001D1D73" w:rsidP="00010A15">
      <w:pPr>
        <w:rPr>
          <w:rFonts w:ascii="Arial" w:hAnsi="Arial" w:cs="Arial"/>
          <w:sz w:val="20"/>
          <w:szCs w:val="20"/>
          <w:highlight w:val="yellow"/>
          <w:lang w:val="en-GB"/>
        </w:rPr>
      </w:pPr>
    </w:p>
    <w:p w14:paraId="45DF1CAB" w14:textId="77777777" w:rsidR="001D1D73" w:rsidRPr="00696EE6" w:rsidRDefault="001D1D73" w:rsidP="00010A15">
      <w:pPr>
        <w:rPr>
          <w:rFonts w:ascii="Arial" w:hAnsi="Arial" w:cs="Arial"/>
          <w:sz w:val="20"/>
          <w:szCs w:val="20"/>
          <w:highlight w:val="yellow"/>
          <w:lang w:val="en-GB"/>
        </w:rPr>
      </w:pPr>
    </w:p>
    <w:p w14:paraId="1B5BAA3C" w14:textId="77777777" w:rsidR="001D1D73" w:rsidRPr="00696EE6" w:rsidRDefault="001D1D73" w:rsidP="00010A15">
      <w:pPr>
        <w:rPr>
          <w:rFonts w:ascii="Arial" w:hAnsi="Arial" w:cs="Arial"/>
          <w:sz w:val="20"/>
          <w:szCs w:val="20"/>
          <w:highlight w:val="yellow"/>
          <w:lang w:val="en-GB"/>
        </w:rPr>
      </w:pPr>
    </w:p>
    <w:p w14:paraId="269E78AB" w14:textId="77777777" w:rsidR="00156DD6" w:rsidRPr="00696EE6" w:rsidRDefault="00156DD6" w:rsidP="00010A15">
      <w:pPr>
        <w:rPr>
          <w:rFonts w:ascii="Arial" w:hAnsi="Arial" w:cs="Arial"/>
          <w:sz w:val="20"/>
          <w:szCs w:val="20"/>
          <w:highlight w:val="yellow"/>
          <w:lang w:val="en-GB"/>
        </w:rPr>
      </w:pPr>
    </w:p>
    <w:p w14:paraId="28880CCB" w14:textId="77777777" w:rsidR="00156DD6" w:rsidRPr="00696EE6" w:rsidRDefault="00156DD6" w:rsidP="00010A15">
      <w:pPr>
        <w:rPr>
          <w:rFonts w:ascii="Arial" w:hAnsi="Arial" w:cs="Arial"/>
          <w:sz w:val="20"/>
          <w:szCs w:val="20"/>
          <w:highlight w:val="yellow"/>
          <w:lang w:val="en-GB"/>
        </w:rPr>
      </w:pPr>
    </w:p>
    <w:p w14:paraId="065F84F7" w14:textId="77777777" w:rsidR="00156DD6" w:rsidRPr="00696EE6" w:rsidRDefault="00156DD6" w:rsidP="00010A15">
      <w:pPr>
        <w:rPr>
          <w:rFonts w:ascii="Arial" w:hAnsi="Arial" w:cs="Arial"/>
          <w:sz w:val="20"/>
          <w:szCs w:val="20"/>
          <w:highlight w:val="yellow"/>
          <w:lang w:val="en-GB"/>
        </w:rPr>
      </w:pPr>
    </w:p>
    <w:p w14:paraId="197CBA92" w14:textId="77777777" w:rsidR="00156DD6" w:rsidRDefault="00156DD6" w:rsidP="00010A15">
      <w:pPr>
        <w:rPr>
          <w:rFonts w:ascii="Arial" w:hAnsi="Arial" w:cs="Arial"/>
          <w:sz w:val="20"/>
          <w:szCs w:val="20"/>
          <w:highlight w:val="yellow"/>
          <w:lang w:val="en-GB"/>
        </w:rPr>
      </w:pPr>
    </w:p>
    <w:p w14:paraId="610E276A" w14:textId="77777777" w:rsidR="00FC01B3" w:rsidRPr="00696EE6" w:rsidRDefault="00FC01B3" w:rsidP="00010A15">
      <w:pPr>
        <w:rPr>
          <w:rFonts w:ascii="Arial" w:hAnsi="Arial" w:cs="Arial"/>
          <w:sz w:val="20"/>
          <w:szCs w:val="20"/>
          <w:highlight w:val="yellow"/>
          <w:lang w:val="en-GB"/>
        </w:rPr>
      </w:pPr>
    </w:p>
    <w:p w14:paraId="770AE612" w14:textId="77777777" w:rsidR="00156DD6" w:rsidRDefault="00156DD6" w:rsidP="00010A15">
      <w:pPr>
        <w:rPr>
          <w:rFonts w:ascii="Arial" w:hAnsi="Arial" w:cs="Arial"/>
          <w:sz w:val="20"/>
          <w:szCs w:val="20"/>
          <w:highlight w:val="yellow"/>
          <w:lang w:val="en-GB"/>
        </w:rPr>
      </w:pPr>
    </w:p>
    <w:p w14:paraId="78293533" w14:textId="77777777" w:rsidR="002E680B" w:rsidRDefault="002E680B" w:rsidP="00010A15">
      <w:pPr>
        <w:rPr>
          <w:rFonts w:ascii="Arial" w:hAnsi="Arial" w:cs="Arial"/>
          <w:sz w:val="20"/>
          <w:szCs w:val="20"/>
          <w:highlight w:val="yellow"/>
          <w:lang w:val="en-GB"/>
        </w:rPr>
      </w:pPr>
    </w:p>
    <w:p w14:paraId="5FEADEAF" w14:textId="77777777" w:rsidR="002E680B" w:rsidRDefault="002E680B" w:rsidP="00010A15">
      <w:pPr>
        <w:rPr>
          <w:rFonts w:ascii="Arial" w:hAnsi="Arial" w:cs="Arial"/>
          <w:sz w:val="20"/>
          <w:szCs w:val="20"/>
          <w:highlight w:val="yellow"/>
          <w:lang w:val="en-GB"/>
        </w:rPr>
      </w:pPr>
    </w:p>
    <w:p w14:paraId="506DD4D6" w14:textId="77777777" w:rsidR="002E680B" w:rsidRDefault="002E680B" w:rsidP="00010A15">
      <w:pPr>
        <w:rPr>
          <w:rFonts w:ascii="Arial" w:hAnsi="Arial" w:cs="Arial"/>
          <w:sz w:val="20"/>
          <w:szCs w:val="20"/>
          <w:highlight w:val="yellow"/>
          <w:lang w:val="en-GB"/>
        </w:rPr>
      </w:pPr>
    </w:p>
    <w:p w14:paraId="208AF9D9" w14:textId="77777777" w:rsidR="002E680B" w:rsidRDefault="002E680B" w:rsidP="00010A15">
      <w:pPr>
        <w:rPr>
          <w:rFonts w:ascii="Arial" w:hAnsi="Arial" w:cs="Arial"/>
          <w:sz w:val="20"/>
          <w:szCs w:val="20"/>
          <w:highlight w:val="yellow"/>
          <w:lang w:val="en-GB"/>
        </w:rPr>
      </w:pPr>
    </w:p>
    <w:p w14:paraId="0E9FC716" w14:textId="77777777" w:rsidR="004A729A" w:rsidRDefault="004A729A" w:rsidP="00010A15">
      <w:pPr>
        <w:rPr>
          <w:rFonts w:ascii="Arial" w:hAnsi="Arial" w:cs="Arial"/>
          <w:sz w:val="20"/>
          <w:szCs w:val="20"/>
          <w:highlight w:val="yellow"/>
          <w:lang w:val="en-GB"/>
        </w:rPr>
      </w:pPr>
    </w:p>
    <w:p w14:paraId="22A554E3" w14:textId="77777777" w:rsidR="004A729A" w:rsidRDefault="004A729A" w:rsidP="00010A15">
      <w:pPr>
        <w:rPr>
          <w:rFonts w:ascii="Arial" w:hAnsi="Arial" w:cs="Arial"/>
          <w:sz w:val="20"/>
          <w:szCs w:val="20"/>
          <w:highlight w:val="yellow"/>
          <w:lang w:val="en-GB"/>
        </w:rPr>
      </w:pPr>
    </w:p>
    <w:p w14:paraId="3BB63D4A" w14:textId="77777777" w:rsidR="004A729A" w:rsidRDefault="004A729A" w:rsidP="00010A15">
      <w:pPr>
        <w:rPr>
          <w:rFonts w:ascii="Arial" w:hAnsi="Arial" w:cs="Arial"/>
          <w:sz w:val="20"/>
          <w:szCs w:val="20"/>
          <w:highlight w:val="yellow"/>
          <w:lang w:val="en-GB"/>
        </w:rPr>
      </w:pPr>
    </w:p>
    <w:p w14:paraId="595A1BE5" w14:textId="77777777" w:rsidR="002E680B" w:rsidRDefault="002E680B" w:rsidP="00010A15">
      <w:pPr>
        <w:rPr>
          <w:rFonts w:ascii="Arial" w:hAnsi="Arial" w:cs="Arial"/>
          <w:sz w:val="20"/>
          <w:szCs w:val="20"/>
          <w:highlight w:val="yellow"/>
          <w:lang w:val="en-GB"/>
        </w:rPr>
      </w:pPr>
    </w:p>
    <w:p w14:paraId="70ECFC20" w14:textId="77777777" w:rsidR="002E680B" w:rsidRPr="00696EE6" w:rsidRDefault="002E680B" w:rsidP="00010A15">
      <w:pPr>
        <w:rPr>
          <w:rFonts w:ascii="Arial" w:hAnsi="Arial" w:cs="Arial"/>
          <w:sz w:val="20"/>
          <w:szCs w:val="20"/>
          <w:highlight w:val="yellow"/>
          <w:lang w:val="en-GB"/>
        </w:rPr>
      </w:pPr>
    </w:p>
    <w:p w14:paraId="4E9152F5" w14:textId="77777777" w:rsidR="001D1D73" w:rsidRPr="00696EE6" w:rsidRDefault="001D1D73" w:rsidP="00010A15">
      <w:pPr>
        <w:rPr>
          <w:rFonts w:ascii="Arial" w:hAnsi="Arial" w:cs="Arial"/>
          <w:sz w:val="20"/>
          <w:szCs w:val="20"/>
          <w:highlight w:val="yellow"/>
          <w:lang w:val="en-GB"/>
        </w:rPr>
      </w:pPr>
    </w:p>
    <w:p w14:paraId="38285A3F" w14:textId="77777777" w:rsidR="001D1D73" w:rsidRPr="00696EE6" w:rsidRDefault="001D1D73" w:rsidP="00010A15">
      <w:pPr>
        <w:rPr>
          <w:rFonts w:ascii="Arial" w:hAnsi="Arial" w:cs="Arial"/>
          <w:sz w:val="20"/>
          <w:szCs w:val="20"/>
          <w:highlight w:val="yellow"/>
          <w:lang w:val="en-GB"/>
        </w:rPr>
      </w:pPr>
    </w:p>
    <w:p w14:paraId="7F1AE32C" w14:textId="77777777" w:rsidR="001D1D73" w:rsidRPr="00696EE6" w:rsidRDefault="001D1D73" w:rsidP="00010A15">
      <w:pPr>
        <w:rPr>
          <w:rFonts w:ascii="Arial" w:hAnsi="Arial" w:cs="Arial"/>
          <w:sz w:val="20"/>
          <w:szCs w:val="20"/>
          <w:highlight w:val="yellow"/>
          <w:lang w:val="en-GB"/>
        </w:rPr>
      </w:pPr>
    </w:p>
    <w:p w14:paraId="458A0958" w14:textId="77777777" w:rsidR="001D1D73" w:rsidRPr="00696EE6" w:rsidRDefault="001D1D73" w:rsidP="00010A15">
      <w:pPr>
        <w:rPr>
          <w:rFonts w:ascii="Arial" w:hAnsi="Arial" w:cs="Arial"/>
          <w:sz w:val="20"/>
          <w:szCs w:val="20"/>
          <w:highlight w:val="yellow"/>
          <w:lang w:val="en-GB"/>
        </w:rPr>
      </w:pPr>
    </w:p>
    <w:p w14:paraId="5B954045" w14:textId="77777777" w:rsidR="001D1D73" w:rsidRPr="00696EE6" w:rsidRDefault="001D1D73" w:rsidP="00010A15">
      <w:pPr>
        <w:rPr>
          <w:rFonts w:ascii="Arial" w:hAnsi="Arial" w:cs="Arial"/>
          <w:sz w:val="20"/>
          <w:szCs w:val="20"/>
          <w:highlight w:val="yellow"/>
          <w:lang w:val="en-GB"/>
        </w:rPr>
      </w:pPr>
    </w:p>
    <w:p w14:paraId="07CF85F7" w14:textId="77777777" w:rsidR="001D1D73" w:rsidRPr="00696EE6" w:rsidRDefault="001D1D73" w:rsidP="00010A15">
      <w:pPr>
        <w:rPr>
          <w:rFonts w:ascii="Arial" w:hAnsi="Arial" w:cs="Arial"/>
          <w:sz w:val="20"/>
          <w:szCs w:val="20"/>
          <w:highlight w:val="yellow"/>
          <w:lang w:val="en-GB"/>
        </w:rPr>
      </w:pPr>
    </w:p>
    <w:p w14:paraId="3F53019D" w14:textId="77777777" w:rsidR="00010A15" w:rsidRPr="00C74C2C" w:rsidRDefault="00010A15" w:rsidP="00C74C2C">
      <w:pPr>
        <w:jc w:val="both"/>
        <w:rPr>
          <w:rFonts w:ascii="Arial" w:hAnsi="Arial" w:cs="Arial"/>
          <w:b/>
          <w:sz w:val="20"/>
          <w:szCs w:val="20"/>
          <w:lang w:val="en-GB"/>
        </w:rPr>
      </w:pPr>
      <w:bookmarkStart w:id="31" w:name="_Hlk175232932"/>
      <w:r w:rsidRPr="00C74C2C">
        <w:rPr>
          <w:rFonts w:ascii="Arial" w:hAnsi="Arial" w:cs="Arial"/>
          <w:b/>
          <w:sz w:val="20"/>
          <w:szCs w:val="20"/>
          <w:lang w:val="en-GB"/>
        </w:rPr>
        <w:lastRenderedPageBreak/>
        <w:t xml:space="preserve">NHS </w:t>
      </w:r>
      <w:r w:rsidR="00E925F8" w:rsidRPr="00C74C2C">
        <w:rPr>
          <w:rFonts w:ascii="Arial" w:hAnsi="Arial" w:cs="Arial"/>
          <w:b/>
          <w:sz w:val="20"/>
          <w:szCs w:val="20"/>
          <w:lang w:val="en-GB"/>
        </w:rPr>
        <w:t xml:space="preserve">System </w:t>
      </w:r>
      <w:r w:rsidRPr="00C74C2C">
        <w:rPr>
          <w:rFonts w:ascii="Arial" w:hAnsi="Arial" w:cs="Arial"/>
          <w:b/>
          <w:sz w:val="20"/>
          <w:szCs w:val="20"/>
          <w:lang w:val="en-GB"/>
        </w:rPr>
        <w:t>Oversight Framework</w:t>
      </w:r>
      <w:r w:rsidR="00616B0B" w:rsidRPr="00C74C2C">
        <w:rPr>
          <w:rFonts w:ascii="Arial" w:hAnsi="Arial" w:cs="Arial"/>
          <w:b/>
          <w:sz w:val="20"/>
          <w:szCs w:val="20"/>
          <w:lang w:val="en-GB"/>
        </w:rPr>
        <w:t xml:space="preserve"> </w:t>
      </w:r>
    </w:p>
    <w:bookmarkEnd w:id="31"/>
    <w:p w14:paraId="6E71B64E" w14:textId="77777777" w:rsidR="009824C3" w:rsidRPr="00C74C2C" w:rsidRDefault="009824C3" w:rsidP="00C74C2C">
      <w:pPr>
        <w:jc w:val="both"/>
        <w:rPr>
          <w:rFonts w:ascii="Arial" w:hAnsi="Arial" w:cs="Arial"/>
          <w:sz w:val="20"/>
          <w:szCs w:val="20"/>
          <w:lang w:val="en-GB"/>
        </w:rPr>
      </w:pPr>
    </w:p>
    <w:p w14:paraId="1B6BB91C" w14:textId="591036AF" w:rsidR="00A020A4" w:rsidRPr="00C74C2C" w:rsidRDefault="00A020A4" w:rsidP="00C74C2C">
      <w:pPr>
        <w:jc w:val="both"/>
        <w:rPr>
          <w:rFonts w:ascii="Arial" w:hAnsi="Arial" w:cs="Arial"/>
          <w:sz w:val="20"/>
          <w:szCs w:val="20"/>
          <w:lang w:val="en-GB"/>
        </w:rPr>
      </w:pPr>
      <w:r w:rsidRPr="00C74C2C">
        <w:rPr>
          <w:rFonts w:ascii="Arial" w:hAnsi="Arial" w:cs="Arial"/>
          <w:sz w:val="20"/>
          <w:szCs w:val="20"/>
          <w:lang w:val="en-GB"/>
        </w:rPr>
        <w:t>NHS England’s NHS Oversight Framework provides the framework for overseeing systems including providers and identifying potential support needs.  NHS organisations are allocated to one of four ‘</w:t>
      </w:r>
      <w:r w:rsidR="009875FA" w:rsidRPr="00C74C2C">
        <w:rPr>
          <w:rFonts w:ascii="Arial" w:hAnsi="Arial" w:cs="Arial"/>
          <w:sz w:val="20"/>
          <w:szCs w:val="20"/>
          <w:lang w:val="en-GB"/>
        </w:rPr>
        <w:t>segments</w:t>
      </w:r>
      <w:r w:rsidRPr="00C74C2C">
        <w:rPr>
          <w:rFonts w:ascii="Arial" w:hAnsi="Arial" w:cs="Arial"/>
          <w:sz w:val="20"/>
          <w:szCs w:val="20"/>
          <w:lang w:val="en-GB"/>
        </w:rPr>
        <w:t xml:space="preserve">.  A segmentation decision indicates the scale and general nature of support needs, from no specific support needs (segment 1) to a requirement for mandated intensive support (segment 4). </w:t>
      </w:r>
    </w:p>
    <w:p w14:paraId="0EA93ADF" w14:textId="77777777" w:rsidR="00A020A4" w:rsidRPr="00C74C2C" w:rsidRDefault="00A020A4" w:rsidP="00C74C2C">
      <w:pPr>
        <w:jc w:val="both"/>
        <w:rPr>
          <w:rFonts w:ascii="Arial" w:hAnsi="Arial" w:cs="Arial"/>
          <w:sz w:val="20"/>
          <w:szCs w:val="20"/>
          <w:lang w:val="en-GB"/>
        </w:rPr>
      </w:pPr>
    </w:p>
    <w:p w14:paraId="0D442C5F" w14:textId="77777777" w:rsidR="00A020A4" w:rsidRPr="00C74C2C" w:rsidRDefault="00A020A4" w:rsidP="00C74C2C">
      <w:pPr>
        <w:jc w:val="both"/>
        <w:rPr>
          <w:rFonts w:ascii="Arial" w:hAnsi="Arial" w:cs="Arial"/>
          <w:sz w:val="20"/>
          <w:szCs w:val="20"/>
          <w:lang w:val="en-GB"/>
        </w:rPr>
      </w:pPr>
      <w:r w:rsidRPr="00C74C2C">
        <w:rPr>
          <w:rFonts w:ascii="Arial" w:hAnsi="Arial" w:cs="Arial"/>
          <w:sz w:val="20"/>
          <w:szCs w:val="20"/>
          <w:lang w:val="en-GB"/>
        </w:rPr>
        <w:t>A segment does not determine specific support requirements. By default, all NHS organisations are allocated to segment 2 unless the criteria for moving into another segment are met. These criteria have two components:</w:t>
      </w:r>
    </w:p>
    <w:p w14:paraId="0B66E433" w14:textId="77777777" w:rsidR="00A020A4" w:rsidRPr="00C74C2C" w:rsidRDefault="00A020A4" w:rsidP="00C74C2C">
      <w:pPr>
        <w:jc w:val="both"/>
        <w:rPr>
          <w:rFonts w:ascii="Arial" w:hAnsi="Arial" w:cs="Arial"/>
          <w:sz w:val="20"/>
          <w:szCs w:val="20"/>
          <w:lang w:val="en-GB"/>
        </w:rPr>
      </w:pPr>
    </w:p>
    <w:p w14:paraId="054D2809" w14:textId="77777777" w:rsidR="00A020A4" w:rsidRPr="00C74C2C" w:rsidRDefault="00A020A4" w:rsidP="00C74C2C">
      <w:pPr>
        <w:jc w:val="both"/>
        <w:rPr>
          <w:rFonts w:ascii="Arial" w:hAnsi="Arial" w:cs="Arial"/>
          <w:sz w:val="20"/>
          <w:szCs w:val="20"/>
          <w:lang w:val="en-GB"/>
        </w:rPr>
      </w:pPr>
      <w:r w:rsidRPr="00C74C2C">
        <w:rPr>
          <w:rFonts w:ascii="Arial" w:hAnsi="Arial" w:cs="Arial"/>
          <w:sz w:val="20"/>
          <w:szCs w:val="20"/>
          <w:lang w:val="en-GB"/>
        </w:rPr>
        <w:t>a) objective and measurable eligibility criteria based on performance against the six oversight themes using the relevant oversight metrics (the themes are: quality of care, access and outcomes; people; preventing ill-health and reducing inequalities; leadership and capability; finance and use of resources; local strategic priorities)</w:t>
      </w:r>
    </w:p>
    <w:p w14:paraId="7C059AE3" w14:textId="77777777" w:rsidR="00A020A4" w:rsidRPr="00C74C2C" w:rsidRDefault="00A020A4" w:rsidP="00C74C2C">
      <w:pPr>
        <w:jc w:val="both"/>
        <w:rPr>
          <w:rFonts w:ascii="Arial" w:hAnsi="Arial" w:cs="Arial"/>
          <w:sz w:val="20"/>
          <w:szCs w:val="20"/>
          <w:lang w:val="en-GB"/>
        </w:rPr>
      </w:pPr>
      <w:r w:rsidRPr="00C74C2C">
        <w:rPr>
          <w:rFonts w:ascii="Arial" w:hAnsi="Arial" w:cs="Arial"/>
          <w:sz w:val="20"/>
          <w:szCs w:val="20"/>
          <w:lang w:val="en-GB"/>
        </w:rPr>
        <w:t>b) additional considerations focused on the assessment of system leadership and behaviours, and improvement capability and capacity.</w:t>
      </w:r>
    </w:p>
    <w:p w14:paraId="7E13EA73" w14:textId="77777777" w:rsidR="00A020A4" w:rsidRPr="00C74C2C" w:rsidRDefault="00A020A4" w:rsidP="00C74C2C">
      <w:pPr>
        <w:jc w:val="both"/>
        <w:rPr>
          <w:rFonts w:ascii="Arial" w:hAnsi="Arial" w:cs="Arial"/>
          <w:sz w:val="20"/>
          <w:szCs w:val="20"/>
          <w:lang w:val="en-GB"/>
        </w:rPr>
      </w:pPr>
    </w:p>
    <w:p w14:paraId="5D1644DF" w14:textId="77777777" w:rsidR="00A020A4" w:rsidRPr="00C74C2C" w:rsidRDefault="00A020A4" w:rsidP="00C74C2C">
      <w:pPr>
        <w:jc w:val="both"/>
        <w:rPr>
          <w:rFonts w:ascii="Arial" w:hAnsi="Arial" w:cs="Arial"/>
          <w:sz w:val="20"/>
          <w:szCs w:val="20"/>
          <w:lang w:val="en-GB"/>
        </w:rPr>
      </w:pPr>
      <w:r w:rsidRPr="00C74C2C">
        <w:rPr>
          <w:rFonts w:ascii="Arial" w:hAnsi="Arial" w:cs="Arial"/>
          <w:sz w:val="20"/>
          <w:szCs w:val="20"/>
          <w:lang w:val="en-GB"/>
        </w:rPr>
        <w:t>An NHS foundation trust will be in segment 3 or 4 only where it has been found to be in breach or suspected breach of its licence conditions.</w:t>
      </w:r>
    </w:p>
    <w:p w14:paraId="3A5D0C08" w14:textId="77777777" w:rsidR="00A020A4" w:rsidRPr="00C74C2C" w:rsidRDefault="00A020A4" w:rsidP="00C74C2C">
      <w:pPr>
        <w:jc w:val="both"/>
        <w:rPr>
          <w:rFonts w:ascii="Arial" w:hAnsi="Arial" w:cs="Arial"/>
          <w:sz w:val="20"/>
          <w:szCs w:val="20"/>
          <w:lang w:val="en-GB"/>
        </w:rPr>
      </w:pPr>
    </w:p>
    <w:p w14:paraId="1EA373C3" w14:textId="77777777" w:rsidR="008B5E89" w:rsidRPr="00C74C2C" w:rsidRDefault="00556006" w:rsidP="00C74C2C">
      <w:pPr>
        <w:jc w:val="both"/>
        <w:rPr>
          <w:rFonts w:ascii="Arial" w:hAnsi="Arial" w:cs="Arial"/>
          <w:sz w:val="20"/>
          <w:szCs w:val="20"/>
          <w:lang w:val="en-GB"/>
        </w:rPr>
      </w:pPr>
      <w:r w:rsidRPr="00C74C2C">
        <w:rPr>
          <w:rFonts w:ascii="Arial" w:hAnsi="Arial" w:cs="Arial"/>
          <w:sz w:val="20"/>
          <w:szCs w:val="20"/>
          <w:lang w:val="en-GB"/>
        </w:rPr>
        <w:t>For the reporting period the Trust remains within national Recovery Support Programme for f</w:t>
      </w:r>
      <w:r w:rsidR="00020751" w:rsidRPr="00C74C2C">
        <w:rPr>
          <w:rFonts w:ascii="Arial" w:hAnsi="Arial" w:cs="Arial"/>
          <w:sz w:val="20"/>
          <w:szCs w:val="20"/>
          <w:lang w:val="en-GB"/>
        </w:rPr>
        <w:t>inancial sustainability</w:t>
      </w:r>
      <w:r w:rsidRPr="00C74C2C">
        <w:rPr>
          <w:rFonts w:ascii="Arial" w:hAnsi="Arial" w:cs="Arial"/>
          <w:sz w:val="20"/>
          <w:szCs w:val="20"/>
          <w:lang w:val="en-GB"/>
        </w:rPr>
        <w:t xml:space="preserve">.  </w:t>
      </w:r>
    </w:p>
    <w:p w14:paraId="7F9CC60B" w14:textId="77777777" w:rsidR="00A020A4" w:rsidRPr="00C74C2C" w:rsidRDefault="00A020A4" w:rsidP="00C74C2C">
      <w:pPr>
        <w:jc w:val="both"/>
        <w:rPr>
          <w:rFonts w:ascii="Arial" w:hAnsi="Arial" w:cs="Arial"/>
          <w:sz w:val="20"/>
          <w:szCs w:val="20"/>
          <w:highlight w:val="yellow"/>
          <w:lang w:val="en-GB"/>
        </w:rPr>
      </w:pPr>
    </w:p>
    <w:p w14:paraId="3C669BC4" w14:textId="77777777" w:rsidR="009F56FB" w:rsidRPr="009B78CC" w:rsidRDefault="00D15BA2" w:rsidP="00C74C2C">
      <w:pPr>
        <w:jc w:val="both"/>
        <w:rPr>
          <w:rFonts w:ascii="Arial" w:hAnsi="Arial" w:cs="Arial"/>
          <w:sz w:val="20"/>
          <w:szCs w:val="20"/>
          <w:lang w:val="en-GB"/>
        </w:rPr>
      </w:pPr>
      <w:r w:rsidRPr="009B78CC">
        <w:rPr>
          <w:rFonts w:ascii="Arial" w:hAnsi="Arial" w:cs="Arial"/>
          <w:sz w:val="20"/>
          <w:szCs w:val="20"/>
          <w:lang w:val="en-GB"/>
        </w:rPr>
        <w:t>Following an unannounced inspection</w:t>
      </w:r>
      <w:r w:rsidR="009F56FB" w:rsidRPr="009B78CC">
        <w:rPr>
          <w:rFonts w:ascii="Arial" w:hAnsi="Arial" w:cs="Arial"/>
          <w:sz w:val="20"/>
          <w:szCs w:val="20"/>
          <w:lang w:val="en-GB"/>
        </w:rPr>
        <w:t xml:space="preserve"> in January 2024</w:t>
      </w:r>
      <w:r w:rsidRPr="009B78CC">
        <w:rPr>
          <w:rFonts w:ascii="Arial" w:hAnsi="Arial" w:cs="Arial"/>
          <w:sz w:val="20"/>
          <w:szCs w:val="20"/>
          <w:lang w:val="en-GB"/>
        </w:rPr>
        <w:t xml:space="preserve"> to the trusts Emergency Department</w:t>
      </w:r>
      <w:r w:rsidR="009F56FB" w:rsidRPr="009B78CC">
        <w:rPr>
          <w:rFonts w:ascii="Arial" w:hAnsi="Arial" w:cs="Arial"/>
          <w:sz w:val="20"/>
          <w:szCs w:val="20"/>
          <w:lang w:val="en-GB"/>
        </w:rPr>
        <w:t xml:space="preserve"> the CQC served NHS Medway with a warning notice requiring the trust to make significant improvements to the quality of healthcare in the emergency department </w:t>
      </w:r>
    </w:p>
    <w:p w14:paraId="47728D23" w14:textId="77777777" w:rsidR="009F56FB" w:rsidRPr="009B78CC" w:rsidRDefault="009F56FB" w:rsidP="00C74C2C">
      <w:pPr>
        <w:jc w:val="both"/>
        <w:rPr>
          <w:rFonts w:ascii="Arial" w:hAnsi="Arial" w:cs="Arial"/>
          <w:sz w:val="20"/>
          <w:szCs w:val="20"/>
          <w:lang w:val="en-GB"/>
        </w:rPr>
      </w:pPr>
    </w:p>
    <w:p w14:paraId="109D56E1" w14:textId="77777777" w:rsidR="009F56FB" w:rsidRPr="009B78CC" w:rsidRDefault="009F56FB" w:rsidP="00C74C2C">
      <w:pPr>
        <w:jc w:val="both"/>
        <w:rPr>
          <w:rFonts w:ascii="Arial" w:hAnsi="Arial" w:cs="Arial"/>
          <w:sz w:val="20"/>
          <w:szCs w:val="20"/>
          <w:lang w:val="en-GB"/>
        </w:rPr>
      </w:pPr>
      <w:r w:rsidRPr="009B78CC">
        <w:rPr>
          <w:rFonts w:ascii="Arial" w:hAnsi="Arial" w:cs="Arial"/>
          <w:sz w:val="20"/>
          <w:szCs w:val="20"/>
          <w:lang w:val="en-GB"/>
        </w:rPr>
        <w:t>A full recovery plan is in place to address the issues raised.</w:t>
      </w:r>
    </w:p>
    <w:p w14:paraId="7F1A9D12" w14:textId="7BFEA903" w:rsidR="00143BCB" w:rsidRPr="009B78CC" w:rsidRDefault="00891EC3" w:rsidP="00C74C2C">
      <w:pPr>
        <w:jc w:val="both"/>
        <w:rPr>
          <w:rFonts w:ascii="Arial" w:hAnsi="Arial" w:cs="Arial"/>
          <w:sz w:val="20"/>
          <w:szCs w:val="20"/>
          <w:lang w:val="en-GB"/>
        </w:rPr>
      </w:pPr>
      <w:r w:rsidRPr="009B78CC">
        <w:rPr>
          <w:rFonts w:ascii="Arial" w:hAnsi="Arial" w:cs="Arial"/>
          <w:sz w:val="20"/>
          <w:szCs w:val="20"/>
          <w:lang w:val="en-GB"/>
        </w:rPr>
        <w:t xml:space="preserve">  </w:t>
      </w:r>
    </w:p>
    <w:p w14:paraId="5B2B01C5" w14:textId="77777777" w:rsidR="00E925F8" w:rsidRPr="00C74C2C" w:rsidRDefault="00E925F8" w:rsidP="00C74C2C">
      <w:pPr>
        <w:jc w:val="both"/>
        <w:rPr>
          <w:rFonts w:ascii="Arial" w:hAnsi="Arial" w:cs="Arial"/>
          <w:b/>
          <w:sz w:val="20"/>
          <w:szCs w:val="20"/>
          <w:highlight w:val="yellow"/>
          <w:lang w:val="en-GB"/>
        </w:rPr>
      </w:pPr>
    </w:p>
    <w:p w14:paraId="1BEFC0D4" w14:textId="77777777" w:rsidR="00E925F8" w:rsidRPr="00C74C2C" w:rsidRDefault="00E925F8" w:rsidP="00C74C2C">
      <w:pPr>
        <w:jc w:val="both"/>
        <w:rPr>
          <w:rFonts w:ascii="Arial" w:hAnsi="Arial" w:cs="Arial"/>
          <w:b/>
          <w:sz w:val="20"/>
          <w:szCs w:val="20"/>
          <w:highlight w:val="yellow"/>
          <w:lang w:val="en-GB"/>
        </w:rPr>
      </w:pPr>
    </w:p>
    <w:p w14:paraId="57C54BD2" w14:textId="77777777" w:rsidR="00E925F8" w:rsidRPr="00C74C2C" w:rsidRDefault="00E925F8" w:rsidP="00C74C2C">
      <w:pPr>
        <w:jc w:val="both"/>
        <w:rPr>
          <w:rFonts w:ascii="Arial" w:hAnsi="Arial" w:cs="Arial"/>
          <w:b/>
          <w:sz w:val="20"/>
          <w:szCs w:val="20"/>
          <w:highlight w:val="yellow"/>
          <w:lang w:val="en-GB"/>
        </w:rPr>
      </w:pPr>
    </w:p>
    <w:p w14:paraId="46FAAA14" w14:textId="77777777" w:rsidR="00E925F8" w:rsidRPr="00C74C2C" w:rsidRDefault="00E925F8" w:rsidP="00C74C2C">
      <w:pPr>
        <w:jc w:val="both"/>
        <w:rPr>
          <w:rFonts w:ascii="Arial" w:hAnsi="Arial" w:cs="Arial"/>
          <w:b/>
          <w:sz w:val="20"/>
          <w:szCs w:val="20"/>
          <w:highlight w:val="yellow"/>
          <w:lang w:val="en-GB"/>
        </w:rPr>
      </w:pPr>
    </w:p>
    <w:p w14:paraId="195BA599" w14:textId="77777777" w:rsidR="00E925F8" w:rsidRPr="00C74C2C" w:rsidRDefault="00E925F8" w:rsidP="00C74C2C">
      <w:pPr>
        <w:jc w:val="both"/>
        <w:rPr>
          <w:rFonts w:ascii="Arial" w:hAnsi="Arial" w:cs="Arial"/>
          <w:b/>
          <w:sz w:val="20"/>
          <w:szCs w:val="20"/>
          <w:highlight w:val="yellow"/>
          <w:lang w:val="en-GB"/>
        </w:rPr>
      </w:pPr>
    </w:p>
    <w:p w14:paraId="6BEC9A5F" w14:textId="77777777" w:rsidR="00E925F8" w:rsidRPr="00C74C2C" w:rsidRDefault="00E925F8" w:rsidP="00C74C2C">
      <w:pPr>
        <w:jc w:val="both"/>
        <w:rPr>
          <w:rFonts w:ascii="Arial" w:hAnsi="Arial" w:cs="Arial"/>
          <w:b/>
          <w:sz w:val="20"/>
          <w:szCs w:val="20"/>
          <w:highlight w:val="yellow"/>
          <w:lang w:val="en-GB"/>
        </w:rPr>
      </w:pPr>
    </w:p>
    <w:p w14:paraId="6EEB2CC3" w14:textId="77777777" w:rsidR="00E925F8" w:rsidRPr="00C74C2C" w:rsidRDefault="00E925F8" w:rsidP="00C74C2C">
      <w:pPr>
        <w:jc w:val="both"/>
        <w:rPr>
          <w:rFonts w:ascii="Arial" w:hAnsi="Arial" w:cs="Arial"/>
          <w:b/>
          <w:sz w:val="20"/>
          <w:szCs w:val="20"/>
          <w:highlight w:val="yellow"/>
          <w:lang w:val="en-GB"/>
        </w:rPr>
      </w:pPr>
    </w:p>
    <w:p w14:paraId="4F213797" w14:textId="77777777" w:rsidR="00E925F8" w:rsidRPr="00C74C2C" w:rsidRDefault="00E925F8" w:rsidP="00C74C2C">
      <w:pPr>
        <w:jc w:val="both"/>
        <w:rPr>
          <w:rFonts w:ascii="Arial" w:hAnsi="Arial" w:cs="Arial"/>
          <w:b/>
          <w:sz w:val="20"/>
          <w:szCs w:val="20"/>
          <w:highlight w:val="yellow"/>
          <w:lang w:val="en-GB"/>
        </w:rPr>
      </w:pPr>
    </w:p>
    <w:p w14:paraId="485E7458" w14:textId="77777777" w:rsidR="00E925F8" w:rsidRPr="00C74C2C" w:rsidRDefault="00E925F8" w:rsidP="00C74C2C">
      <w:pPr>
        <w:jc w:val="both"/>
        <w:rPr>
          <w:rFonts w:ascii="Arial" w:hAnsi="Arial" w:cs="Arial"/>
          <w:b/>
          <w:sz w:val="20"/>
          <w:szCs w:val="20"/>
          <w:highlight w:val="yellow"/>
          <w:lang w:val="en-GB"/>
        </w:rPr>
      </w:pPr>
    </w:p>
    <w:p w14:paraId="6AA241A9" w14:textId="77777777" w:rsidR="00E925F8" w:rsidRPr="00C74C2C" w:rsidRDefault="00E925F8" w:rsidP="00C74C2C">
      <w:pPr>
        <w:jc w:val="both"/>
        <w:rPr>
          <w:rFonts w:ascii="Arial" w:hAnsi="Arial" w:cs="Arial"/>
          <w:b/>
          <w:sz w:val="20"/>
          <w:szCs w:val="20"/>
          <w:highlight w:val="yellow"/>
          <w:lang w:val="en-GB"/>
        </w:rPr>
      </w:pPr>
    </w:p>
    <w:p w14:paraId="6DBDED99" w14:textId="77777777" w:rsidR="00E925F8" w:rsidRPr="00C74C2C" w:rsidRDefault="00E925F8" w:rsidP="00C74C2C">
      <w:pPr>
        <w:jc w:val="both"/>
        <w:rPr>
          <w:rFonts w:ascii="Arial" w:hAnsi="Arial" w:cs="Arial"/>
          <w:b/>
          <w:sz w:val="20"/>
          <w:szCs w:val="20"/>
          <w:highlight w:val="yellow"/>
          <w:lang w:val="en-GB"/>
        </w:rPr>
      </w:pPr>
    </w:p>
    <w:p w14:paraId="2A50F46E" w14:textId="77777777" w:rsidR="00E925F8" w:rsidRPr="00C74C2C" w:rsidRDefault="00E925F8" w:rsidP="00C74C2C">
      <w:pPr>
        <w:jc w:val="both"/>
        <w:rPr>
          <w:rFonts w:ascii="Arial" w:hAnsi="Arial" w:cs="Arial"/>
          <w:b/>
          <w:sz w:val="20"/>
          <w:szCs w:val="20"/>
          <w:highlight w:val="yellow"/>
          <w:lang w:val="en-GB"/>
        </w:rPr>
      </w:pPr>
    </w:p>
    <w:p w14:paraId="7EBDDE86" w14:textId="77777777" w:rsidR="00E925F8" w:rsidRPr="00C74C2C" w:rsidRDefault="00E925F8" w:rsidP="00C74C2C">
      <w:pPr>
        <w:jc w:val="both"/>
        <w:rPr>
          <w:rFonts w:ascii="Arial" w:hAnsi="Arial" w:cs="Arial"/>
          <w:b/>
          <w:sz w:val="20"/>
          <w:szCs w:val="20"/>
          <w:highlight w:val="yellow"/>
          <w:lang w:val="en-GB"/>
        </w:rPr>
      </w:pPr>
    </w:p>
    <w:p w14:paraId="550EAE38" w14:textId="7256531D" w:rsidR="00E925F8" w:rsidRDefault="00E925F8" w:rsidP="00C74C2C">
      <w:pPr>
        <w:jc w:val="both"/>
        <w:rPr>
          <w:rFonts w:ascii="Arial" w:hAnsi="Arial" w:cs="Arial"/>
          <w:b/>
          <w:sz w:val="20"/>
          <w:szCs w:val="20"/>
          <w:highlight w:val="yellow"/>
          <w:lang w:val="en-GB"/>
        </w:rPr>
      </w:pPr>
    </w:p>
    <w:p w14:paraId="74BF6523" w14:textId="6D97D53D" w:rsidR="005E4514" w:rsidRDefault="005E4514" w:rsidP="00C74C2C">
      <w:pPr>
        <w:jc w:val="both"/>
        <w:rPr>
          <w:rFonts w:ascii="Arial" w:hAnsi="Arial" w:cs="Arial"/>
          <w:b/>
          <w:sz w:val="20"/>
          <w:szCs w:val="20"/>
          <w:highlight w:val="yellow"/>
          <w:lang w:val="en-GB"/>
        </w:rPr>
      </w:pPr>
    </w:p>
    <w:p w14:paraId="74DC8A28" w14:textId="4BAD0A41" w:rsidR="005E4514" w:rsidRDefault="005E4514" w:rsidP="00C74C2C">
      <w:pPr>
        <w:jc w:val="both"/>
        <w:rPr>
          <w:rFonts w:ascii="Arial" w:hAnsi="Arial" w:cs="Arial"/>
          <w:b/>
          <w:sz w:val="20"/>
          <w:szCs w:val="20"/>
          <w:highlight w:val="yellow"/>
          <w:lang w:val="en-GB"/>
        </w:rPr>
      </w:pPr>
    </w:p>
    <w:p w14:paraId="486F44D7" w14:textId="6FB0D527" w:rsidR="005E4514" w:rsidRDefault="005E4514" w:rsidP="00C74C2C">
      <w:pPr>
        <w:jc w:val="both"/>
        <w:rPr>
          <w:rFonts w:ascii="Arial" w:hAnsi="Arial" w:cs="Arial"/>
          <w:b/>
          <w:sz w:val="20"/>
          <w:szCs w:val="20"/>
          <w:highlight w:val="yellow"/>
          <w:lang w:val="en-GB"/>
        </w:rPr>
      </w:pPr>
    </w:p>
    <w:p w14:paraId="6DEE2C55" w14:textId="77777777" w:rsidR="005E4514" w:rsidRPr="00C74C2C" w:rsidRDefault="005E4514" w:rsidP="00C74C2C">
      <w:pPr>
        <w:jc w:val="both"/>
        <w:rPr>
          <w:rFonts w:ascii="Arial" w:hAnsi="Arial" w:cs="Arial"/>
          <w:b/>
          <w:sz w:val="20"/>
          <w:szCs w:val="20"/>
          <w:highlight w:val="yellow"/>
          <w:lang w:val="en-GB"/>
        </w:rPr>
      </w:pPr>
    </w:p>
    <w:p w14:paraId="2F3E77C8" w14:textId="77777777" w:rsidR="00E925F8" w:rsidRPr="00C74C2C" w:rsidRDefault="00E925F8" w:rsidP="00C74C2C">
      <w:pPr>
        <w:jc w:val="both"/>
        <w:rPr>
          <w:rFonts w:ascii="Arial" w:hAnsi="Arial" w:cs="Arial"/>
          <w:b/>
          <w:sz w:val="20"/>
          <w:szCs w:val="20"/>
          <w:highlight w:val="yellow"/>
          <w:lang w:val="en-GB"/>
        </w:rPr>
      </w:pPr>
    </w:p>
    <w:p w14:paraId="0A85FA8B" w14:textId="77777777" w:rsidR="00E925F8" w:rsidRPr="00C74C2C" w:rsidRDefault="00E925F8" w:rsidP="00C74C2C">
      <w:pPr>
        <w:jc w:val="both"/>
        <w:rPr>
          <w:rFonts w:ascii="Arial" w:hAnsi="Arial" w:cs="Arial"/>
          <w:b/>
          <w:sz w:val="20"/>
          <w:szCs w:val="20"/>
          <w:highlight w:val="yellow"/>
          <w:lang w:val="en-GB"/>
        </w:rPr>
      </w:pPr>
    </w:p>
    <w:p w14:paraId="50E95387" w14:textId="77777777" w:rsidR="00E925F8" w:rsidRPr="00C74C2C" w:rsidRDefault="00E925F8" w:rsidP="00C74C2C">
      <w:pPr>
        <w:jc w:val="both"/>
        <w:rPr>
          <w:rFonts w:ascii="Arial" w:hAnsi="Arial" w:cs="Arial"/>
          <w:b/>
          <w:sz w:val="20"/>
          <w:szCs w:val="20"/>
          <w:highlight w:val="yellow"/>
          <w:lang w:val="en-GB"/>
        </w:rPr>
      </w:pPr>
    </w:p>
    <w:p w14:paraId="22364241" w14:textId="77777777" w:rsidR="00E925F8" w:rsidRDefault="00E925F8" w:rsidP="00C74C2C">
      <w:pPr>
        <w:jc w:val="both"/>
        <w:rPr>
          <w:rFonts w:ascii="Arial" w:hAnsi="Arial" w:cs="Arial"/>
          <w:b/>
          <w:sz w:val="20"/>
          <w:szCs w:val="20"/>
          <w:highlight w:val="yellow"/>
          <w:lang w:val="en-GB"/>
        </w:rPr>
      </w:pPr>
    </w:p>
    <w:p w14:paraId="169873C9" w14:textId="77777777" w:rsidR="00C74C2C" w:rsidRDefault="00C74C2C" w:rsidP="00C74C2C">
      <w:pPr>
        <w:jc w:val="both"/>
        <w:rPr>
          <w:rFonts w:ascii="Arial" w:hAnsi="Arial" w:cs="Arial"/>
          <w:b/>
          <w:sz w:val="20"/>
          <w:szCs w:val="20"/>
          <w:highlight w:val="yellow"/>
          <w:lang w:val="en-GB"/>
        </w:rPr>
      </w:pPr>
    </w:p>
    <w:p w14:paraId="719E9406" w14:textId="77777777" w:rsidR="00C74C2C" w:rsidRDefault="00C74C2C" w:rsidP="00C74C2C">
      <w:pPr>
        <w:jc w:val="both"/>
        <w:rPr>
          <w:rFonts w:ascii="Arial" w:hAnsi="Arial" w:cs="Arial"/>
          <w:b/>
          <w:sz w:val="20"/>
          <w:szCs w:val="20"/>
          <w:highlight w:val="yellow"/>
          <w:lang w:val="en-GB"/>
        </w:rPr>
      </w:pPr>
    </w:p>
    <w:p w14:paraId="6BA1983F" w14:textId="77777777" w:rsidR="00C74C2C" w:rsidRDefault="00C74C2C" w:rsidP="00C74C2C">
      <w:pPr>
        <w:jc w:val="both"/>
        <w:rPr>
          <w:rFonts w:ascii="Arial" w:hAnsi="Arial" w:cs="Arial"/>
          <w:b/>
          <w:sz w:val="20"/>
          <w:szCs w:val="20"/>
          <w:highlight w:val="yellow"/>
          <w:lang w:val="en-GB"/>
        </w:rPr>
      </w:pPr>
    </w:p>
    <w:p w14:paraId="315AA2A5" w14:textId="77777777" w:rsidR="00C74C2C" w:rsidRPr="00C74C2C" w:rsidRDefault="00C74C2C" w:rsidP="00C74C2C">
      <w:pPr>
        <w:jc w:val="both"/>
        <w:rPr>
          <w:rFonts w:ascii="Arial" w:hAnsi="Arial" w:cs="Arial"/>
          <w:b/>
          <w:sz w:val="20"/>
          <w:szCs w:val="20"/>
          <w:highlight w:val="yellow"/>
          <w:lang w:val="en-GB"/>
        </w:rPr>
      </w:pPr>
    </w:p>
    <w:p w14:paraId="7D1E7439" w14:textId="77777777" w:rsidR="00E925F8" w:rsidRPr="00C74C2C" w:rsidRDefault="00E925F8" w:rsidP="00C74C2C">
      <w:pPr>
        <w:jc w:val="both"/>
        <w:rPr>
          <w:rFonts w:ascii="Arial" w:hAnsi="Arial" w:cs="Arial"/>
          <w:b/>
          <w:sz w:val="20"/>
          <w:szCs w:val="20"/>
          <w:highlight w:val="yellow"/>
          <w:lang w:val="en-GB"/>
        </w:rPr>
      </w:pPr>
    </w:p>
    <w:p w14:paraId="145D9836" w14:textId="77777777" w:rsidR="00E925F8" w:rsidRPr="00C74C2C" w:rsidRDefault="00E925F8" w:rsidP="00C74C2C">
      <w:pPr>
        <w:jc w:val="both"/>
        <w:rPr>
          <w:rFonts w:ascii="Arial" w:hAnsi="Arial" w:cs="Arial"/>
          <w:b/>
          <w:sz w:val="20"/>
          <w:szCs w:val="20"/>
          <w:highlight w:val="yellow"/>
          <w:lang w:val="en-GB"/>
        </w:rPr>
      </w:pPr>
    </w:p>
    <w:p w14:paraId="65A4F980" w14:textId="77777777" w:rsidR="00E925F8" w:rsidRPr="00C74C2C" w:rsidRDefault="00E925F8" w:rsidP="00C74C2C">
      <w:pPr>
        <w:jc w:val="both"/>
        <w:rPr>
          <w:rFonts w:ascii="Arial" w:hAnsi="Arial" w:cs="Arial"/>
          <w:b/>
          <w:sz w:val="20"/>
          <w:szCs w:val="20"/>
          <w:highlight w:val="yellow"/>
          <w:lang w:val="en-GB"/>
        </w:rPr>
      </w:pPr>
    </w:p>
    <w:p w14:paraId="050491F3" w14:textId="77777777" w:rsidR="00E925F8" w:rsidRPr="00C74C2C" w:rsidRDefault="00E925F8" w:rsidP="00C74C2C">
      <w:pPr>
        <w:jc w:val="both"/>
        <w:rPr>
          <w:rFonts w:ascii="Arial" w:hAnsi="Arial" w:cs="Arial"/>
          <w:b/>
          <w:sz w:val="20"/>
          <w:szCs w:val="20"/>
          <w:highlight w:val="yellow"/>
          <w:lang w:val="en-GB"/>
        </w:rPr>
      </w:pPr>
    </w:p>
    <w:p w14:paraId="62531065" w14:textId="77777777" w:rsidR="00815330" w:rsidRPr="00C74C2C" w:rsidRDefault="00815330" w:rsidP="00C74C2C">
      <w:pPr>
        <w:jc w:val="both"/>
        <w:rPr>
          <w:rFonts w:ascii="Arial" w:hAnsi="Arial" w:cs="Arial"/>
          <w:b/>
          <w:sz w:val="20"/>
          <w:szCs w:val="20"/>
          <w:lang w:val="en-GB"/>
        </w:rPr>
      </w:pPr>
      <w:bookmarkStart w:id="32" w:name="_Hlk175232951"/>
      <w:r w:rsidRPr="00C74C2C">
        <w:rPr>
          <w:rFonts w:ascii="Arial" w:hAnsi="Arial" w:cs="Arial"/>
          <w:b/>
          <w:sz w:val="20"/>
          <w:szCs w:val="20"/>
          <w:lang w:val="en-GB"/>
        </w:rPr>
        <w:lastRenderedPageBreak/>
        <w:t xml:space="preserve">Statement of the </w:t>
      </w:r>
      <w:r w:rsidR="00616B0B" w:rsidRPr="00C74C2C">
        <w:rPr>
          <w:rFonts w:ascii="Arial" w:hAnsi="Arial" w:cs="Arial"/>
          <w:b/>
          <w:sz w:val="20"/>
          <w:szCs w:val="20"/>
          <w:lang w:val="en-GB"/>
        </w:rPr>
        <w:t>C</w:t>
      </w:r>
      <w:r w:rsidRPr="00C74C2C">
        <w:rPr>
          <w:rFonts w:ascii="Arial" w:hAnsi="Arial" w:cs="Arial"/>
          <w:b/>
          <w:sz w:val="20"/>
          <w:szCs w:val="20"/>
          <w:lang w:val="en-GB"/>
        </w:rPr>
        <w:t xml:space="preserve">hief </w:t>
      </w:r>
      <w:r w:rsidR="00616B0B" w:rsidRPr="00C74C2C">
        <w:rPr>
          <w:rFonts w:ascii="Arial" w:hAnsi="Arial" w:cs="Arial"/>
          <w:b/>
          <w:sz w:val="20"/>
          <w:szCs w:val="20"/>
          <w:lang w:val="en-GB"/>
        </w:rPr>
        <w:t xml:space="preserve">Executive's </w:t>
      </w:r>
      <w:r w:rsidR="000E22A2" w:rsidRPr="00C74C2C">
        <w:rPr>
          <w:rFonts w:ascii="Arial" w:hAnsi="Arial" w:cs="Arial"/>
          <w:b/>
          <w:sz w:val="20"/>
          <w:szCs w:val="20"/>
          <w:lang w:val="en-GB"/>
        </w:rPr>
        <w:t>r</w:t>
      </w:r>
      <w:r w:rsidR="00616B0B" w:rsidRPr="00C74C2C">
        <w:rPr>
          <w:rFonts w:ascii="Arial" w:hAnsi="Arial" w:cs="Arial"/>
          <w:b/>
          <w:sz w:val="20"/>
          <w:szCs w:val="20"/>
          <w:lang w:val="en-GB"/>
        </w:rPr>
        <w:t>esponsibilities as the A</w:t>
      </w:r>
      <w:r w:rsidRPr="00C74C2C">
        <w:rPr>
          <w:rFonts w:ascii="Arial" w:hAnsi="Arial" w:cs="Arial"/>
          <w:b/>
          <w:sz w:val="20"/>
          <w:szCs w:val="20"/>
          <w:lang w:val="en-GB"/>
        </w:rPr>
        <w:t xml:space="preserve">ccounting </w:t>
      </w:r>
      <w:r w:rsidR="00616B0B" w:rsidRPr="00C74C2C">
        <w:rPr>
          <w:rFonts w:ascii="Arial" w:hAnsi="Arial" w:cs="Arial"/>
          <w:b/>
          <w:sz w:val="20"/>
          <w:szCs w:val="20"/>
          <w:lang w:val="en-GB"/>
        </w:rPr>
        <w:t>O</w:t>
      </w:r>
      <w:r w:rsidRPr="00C74C2C">
        <w:rPr>
          <w:rFonts w:ascii="Arial" w:hAnsi="Arial" w:cs="Arial"/>
          <w:b/>
          <w:sz w:val="20"/>
          <w:szCs w:val="20"/>
          <w:lang w:val="en-GB"/>
        </w:rPr>
        <w:t xml:space="preserve">fficer of </w:t>
      </w:r>
    </w:p>
    <w:p w14:paraId="27A8DA9E" w14:textId="77777777" w:rsidR="00FB3203" w:rsidRPr="00C74C2C" w:rsidRDefault="00815330" w:rsidP="00C74C2C">
      <w:pPr>
        <w:jc w:val="both"/>
        <w:rPr>
          <w:rFonts w:ascii="Arial" w:hAnsi="Arial" w:cs="Arial"/>
          <w:b/>
          <w:color w:val="FF0000"/>
          <w:sz w:val="20"/>
          <w:szCs w:val="20"/>
          <w:lang w:val="en-GB"/>
        </w:rPr>
      </w:pPr>
      <w:r w:rsidRPr="00C74C2C">
        <w:rPr>
          <w:rFonts w:ascii="Arial" w:hAnsi="Arial" w:cs="Arial"/>
          <w:b/>
          <w:sz w:val="20"/>
          <w:szCs w:val="20"/>
          <w:lang w:val="en-GB"/>
        </w:rPr>
        <w:t>Medway NHS Foundation Trust</w:t>
      </w:r>
      <w:r w:rsidR="00616B0B" w:rsidRPr="00C74C2C">
        <w:rPr>
          <w:rFonts w:ascii="Arial" w:hAnsi="Arial" w:cs="Arial"/>
          <w:b/>
          <w:color w:val="FF0000"/>
          <w:sz w:val="20"/>
          <w:szCs w:val="20"/>
          <w:lang w:val="en-GB"/>
        </w:rPr>
        <w:t xml:space="preserve"> </w:t>
      </w:r>
      <w:r w:rsidR="0076486B" w:rsidRPr="00C74C2C">
        <w:rPr>
          <w:rFonts w:ascii="Arial" w:hAnsi="Arial" w:cs="Arial"/>
          <w:b/>
          <w:color w:val="FF0000"/>
          <w:sz w:val="20"/>
          <w:szCs w:val="20"/>
          <w:lang w:val="en-GB"/>
        </w:rPr>
        <w:t xml:space="preserve"> </w:t>
      </w:r>
      <w:bookmarkEnd w:id="32"/>
    </w:p>
    <w:p w14:paraId="13D7B6C5" w14:textId="77777777" w:rsidR="00143BCB" w:rsidRPr="00C74C2C" w:rsidRDefault="00143BCB" w:rsidP="00C74C2C">
      <w:pPr>
        <w:jc w:val="both"/>
        <w:rPr>
          <w:rFonts w:ascii="Arial" w:hAnsi="Arial" w:cs="Arial"/>
          <w:sz w:val="20"/>
          <w:szCs w:val="20"/>
          <w:lang w:val="en-GB"/>
        </w:rPr>
      </w:pPr>
    </w:p>
    <w:p w14:paraId="558B4F19" w14:textId="77777777" w:rsidR="00815330" w:rsidRPr="00C74C2C" w:rsidRDefault="00815330" w:rsidP="00C74C2C">
      <w:pPr>
        <w:jc w:val="both"/>
        <w:rPr>
          <w:rFonts w:ascii="Arial" w:hAnsi="Arial" w:cs="Arial"/>
          <w:sz w:val="20"/>
          <w:szCs w:val="20"/>
          <w:lang w:val="en-GB"/>
        </w:rPr>
      </w:pPr>
      <w:r w:rsidRPr="00C74C2C">
        <w:rPr>
          <w:rFonts w:ascii="Arial" w:hAnsi="Arial" w:cs="Arial"/>
          <w:sz w:val="20"/>
          <w:szCs w:val="20"/>
          <w:lang w:val="en-GB"/>
        </w:rPr>
        <w:t xml:space="preserve">The NHS Act 2006 states that the </w:t>
      </w:r>
      <w:r w:rsidR="00872BCC" w:rsidRPr="00C74C2C">
        <w:rPr>
          <w:rFonts w:ascii="Arial" w:hAnsi="Arial" w:cs="Arial"/>
          <w:sz w:val="20"/>
          <w:szCs w:val="20"/>
          <w:lang w:val="en-GB"/>
        </w:rPr>
        <w:t>C</w:t>
      </w:r>
      <w:r w:rsidRPr="00C74C2C">
        <w:rPr>
          <w:rFonts w:ascii="Arial" w:hAnsi="Arial" w:cs="Arial"/>
          <w:sz w:val="20"/>
          <w:szCs w:val="20"/>
          <w:lang w:val="en-GB"/>
        </w:rPr>
        <w:t xml:space="preserve">hief </w:t>
      </w:r>
      <w:r w:rsidR="00872BCC" w:rsidRPr="00C74C2C">
        <w:rPr>
          <w:rFonts w:ascii="Arial" w:hAnsi="Arial" w:cs="Arial"/>
          <w:sz w:val="20"/>
          <w:szCs w:val="20"/>
          <w:lang w:val="en-GB"/>
        </w:rPr>
        <w:t>E</w:t>
      </w:r>
      <w:r w:rsidRPr="00C74C2C">
        <w:rPr>
          <w:rFonts w:ascii="Arial" w:hAnsi="Arial" w:cs="Arial"/>
          <w:sz w:val="20"/>
          <w:szCs w:val="20"/>
          <w:lang w:val="en-GB"/>
        </w:rPr>
        <w:t xml:space="preserve">xecutive is the </w:t>
      </w:r>
      <w:r w:rsidR="00CD0631" w:rsidRPr="00C74C2C">
        <w:rPr>
          <w:rFonts w:ascii="Arial" w:hAnsi="Arial" w:cs="Arial"/>
          <w:sz w:val="20"/>
          <w:szCs w:val="20"/>
          <w:lang w:val="en-GB"/>
        </w:rPr>
        <w:t>A</w:t>
      </w:r>
      <w:r w:rsidRPr="00C74C2C">
        <w:rPr>
          <w:rFonts w:ascii="Arial" w:hAnsi="Arial" w:cs="Arial"/>
          <w:sz w:val="20"/>
          <w:szCs w:val="20"/>
          <w:lang w:val="en-GB"/>
        </w:rPr>
        <w:t xml:space="preserve">ccounting </w:t>
      </w:r>
      <w:r w:rsidR="00CD0631" w:rsidRPr="00C74C2C">
        <w:rPr>
          <w:rFonts w:ascii="Arial" w:hAnsi="Arial" w:cs="Arial"/>
          <w:sz w:val="20"/>
          <w:szCs w:val="20"/>
          <w:lang w:val="en-GB"/>
        </w:rPr>
        <w:t>O</w:t>
      </w:r>
      <w:r w:rsidRPr="00C74C2C">
        <w:rPr>
          <w:rFonts w:ascii="Arial" w:hAnsi="Arial" w:cs="Arial"/>
          <w:sz w:val="20"/>
          <w:szCs w:val="20"/>
          <w:lang w:val="en-GB"/>
        </w:rPr>
        <w:t xml:space="preserve">fficer of </w:t>
      </w:r>
      <w:r w:rsidR="00E925F8" w:rsidRPr="00C74C2C">
        <w:rPr>
          <w:rFonts w:ascii="Arial" w:hAnsi="Arial" w:cs="Arial"/>
          <w:sz w:val="20"/>
          <w:szCs w:val="20"/>
          <w:lang w:val="en-GB"/>
        </w:rPr>
        <w:t>an</w:t>
      </w:r>
      <w:r w:rsidR="00CD0631" w:rsidRPr="00C74C2C">
        <w:rPr>
          <w:rFonts w:ascii="Arial" w:hAnsi="Arial" w:cs="Arial"/>
          <w:sz w:val="20"/>
          <w:szCs w:val="20"/>
          <w:lang w:val="en-GB"/>
        </w:rPr>
        <w:t xml:space="preserve"> </w:t>
      </w:r>
      <w:r w:rsidR="00616B0B" w:rsidRPr="00C74C2C">
        <w:rPr>
          <w:rFonts w:ascii="Arial" w:hAnsi="Arial" w:cs="Arial"/>
          <w:sz w:val="20"/>
          <w:szCs w:val="20"/>
          <w:lang w:val="en-GB"/>
        </w:rPr>
        <w:t>NHS Foundation T</w:t>
      </w:r>
      <w:r w:rsidRPr="00C74C2C">
        <w:rPr>
          <w:rFonts w:ascii="Arial" w:hAnsi="Arial" w:cs="Arial"/>
          <w:sz w:val="20"/>
          <w:szCs w:val="20"/>
          <w:lang w:val="en-GB"/>
        </w:rPr>
        <w:t>rust.</w:t>
      </w:r>
      <w:r w:rsidR="00CD0631" w:rsidRPr="00C74C2C">
        <w:rPr>
          <w:rFonts w:ascii="Arial" w:hAnsi="Arial" w:cs="Arial"/>
          <w:sz w:val="20"/>
          <w:szCs w:val="20"/>
          <w:lang w:val="en-GB"/>
        </w:rPr>
        <w:t xml:space="preserve">  </w:t>
      </w:r>
      <w:r w:rsidRPr="00C74C2C">
        <w:rPr>
          <w:rFonts w:ascii="Arial" w:hAnsi="Arial" w:cs="Arial"/>
          <w:sz w:val="20"/>
          <w:szCs w:val="20"/>
          <w:lang w:val="en-GB"/>
        </w:rPr>
        <w:t xml:space="preserve">The relevant responsibilities of the </w:t>
      </w:r>
      <w:r w:rsidR="00CD0631" w:rsidRPr="00C74C2C">
        <w:rPr>
          <w:rFonts w:ascii="Arial" w:hAnsi="Arial" w:cs="Arial"/>
          <w:sz w:val="20"/>
          <w:szCs w:val="20"/>
          <w:lang w:val="en-GB"/>
        </w:rPr>
        <w:t>A</w:t>
      </w:r>
      <w:r w:rsidRPr="00C74C2C">
        <w:rPr>
          <w:rFonts w:ascii="Arial" w:hAnsi="Arial" w:cs="Arial"/>
          <w:sz w:val="20"/>
          <w:szCs w:val="20"/>
          <w:lang w:val="en-GB"/>
        </w:rPr>
        <w:t xml:space="preserve">ccounting </w:t>
      </w:r>
      <w:r w:rsidR="00CD0631" w:rsidRPr="00C74C2C">
        <w:rPr>
          <w:rFonts w:ascii="Arial" w:hAnsi="Arial" w:cs="Arial"/>
          <w:sz w:val="20"/>
          <w:szCs w:val="20"/>
          <w:lang w:val="en-GB"/>
        </w:rPr>
        <w:t>O</w:t>
      </w:r>
      <w:r w:rsidRPr="00C74C2C">
        <w:rPr>
          <w:rFonts w:ascii="Arial" w:hAnsi="Arial" w:cs="Arial"/>
          <w:sz w:val="20"/>
          <w:szCs w:val="20"/>
          <w:lang w:val="en-GB"/>
        </w:rPr>
        <w:t xml:space="preserve">fficer, including their responsibility for the propriety and regularity of public finances for which they are answerable, and for the keeping of proper accounts, are set out in the </w:t>
      </w:r>
      <w:r w:rsidR="000E22A2" w:rsidRPr="00C74C2C">
        <w:rPr>
          <w:rFonts w:ascii="Arial" w:hAnsi="Arial" w:cs="Arial"/>
          <w:sz w:val="20"/>
          <w:szCs w:val="20"/>
          <w:lang w:val="en-GB"/>
        </w:rPr>
        <w:t>‘</w:t>
      </w:r>
      <w:r w:rsidRPr="00C74C2C">
        <w:rPr>
          <w:rFonts w:ascii="Arial" w:hAnsi="Arial" w:cs="Arial"/>
          <w:sz w:val="20"/>
          <w:szCs w:val="20"/>
          <w:lang w:val="en-GB"/>
        </w:rPr>
        <w:t>NHS Foundation Trust Accounting Officer Memorandum</w:t>
      </w:r>
      <w:r w:rsidR="000E22A2" w:rsidRPr="00C74C2C">
        <w:rPr>
          <w:rFonts w:ascii="Arial" w:hAnsi="Arial" w:cs="Arial"/>
          <w:sz w:val="20"/>
          <w:szCs w:val="20"/>
          <w:lang w:val="en-GB"/>
        </w:rPr>
        <w:t>’</w:t>
      </w:r>
      <w:r w:rsidRPr="00C74C2C">
        <w:rPr>
          <w:rFonts w:ascii="Arial" w:hAnsi="Arial" w:cs="Arial"/>
          <w:sz w:val="20"/>
          <w:szCs w:val="20"/>
          <w:lang w:val="en-GB"/>
        </w:rPr>
        <w:t xml:space="preserve"> issued by NHS England.</w:t>
      </w:r>
      <w:r w:rsidR="00CD0631" w:rsidRPr="00C74C2C">
        <w:rPr>
          <w:rFonts w:ascii="Arial" w:hAnsi="Arial" w:cs="Arial"/>
          <w:sz w:val="20"/>
          <w:szCs w:val="20"/>
          <w:lang w:val="en-GB"/>
        </w:rPr>
        <w:t xml:space="preserve">  </w:t>
      </w:r>
    </w:p>
    <w:p w14:paraId="5C666060" w14:textId="77777777" w:rsidR="000E22A2" w:rsidRPr="00C74C2C" w:rsidRDefault="000E22A2" w:rsidP="00C74C2C">
      <w:pPr>
        <w:jc w:val="both"/>
        <w:rPr>
          <w:rFonts w:ascii="Arial" w:hAnsi="Arial" w:cs="Arial"/>
          <w:sz w:val="20"/>
          <w:szCs w:val="20"/>
          <w:lang w:val="en-GB"/>
        </w:rPr>
      </w:pPr>
    </w:p>
    <w:p w14:paraId="5E8C2B19" w14:textId="77777777" w:rsidR="00815330" w:rsidRPr="00C74C2C" w:rsidRDefault="00815330" w:rsidP="00C74C2C">
      <w:pPr>
        <w:jc w:val="both"/>
        <w:rPr>
          <w:rFonts w:ascii="Arial" w:hAnsi="Arial" w:cs="Arial"/>
          <w:sz w:val="20"/>
          <w:szCs w:val="20"/>
          <w:lang w:val="en-GB"/>
        </w:rPr>
      </w:pPr>
      <w:r w:rsidRPr="00C74C2C">
        <w:rPr>
          <w:rFonts w:ascii="Arial" w:hAnsi="Arial" w:cs="Arial"/>
          <w:sz w:val="20"/>
          <w:szCs w:val="20"/>
          <w:lang w:val="en-GB"/>
        </w:rPr>
        <w:t xml:space="preserve">NHS England has given Accounts Directions which require Medway NHS </w:t>
      </w:r>
      <w:r w:rsidR="00CD0631" w:rsidRPr="00C74C2C">
        <w:rPr>
          <w:rFonts w:ascii="Arial" w:hAnsi="Arial" w:cs="Arial"/>
          <w:sz w:val="20"/>
          <w:szCs w:val="20"/>
          <w:lang w:val="en-GB"/>
        </w:rPr>
        <w:t>F</w:t>
      </w:r>
      <w:r w:rsidRPr="00C74C2C">
        <w:rPr>
          <w:rFonts w:ascii="Arial" w:hAnsi="Arial" w:cs="Arial"/>
          <w:sz w:val="20"/>
          <w:szCs w:val="20"/>
          <w:lang w:val="en-GB"/>
        </w:rPr>
        <w:t xml:space="preserve">oundation </w:t>
      </w:r>
      <w:r w:rsidR="00CD0631" w:rsidRPr="00C74C2C">
        <w:rPr>
          <w:rFonts w:ascii="Arial" w:hAnsi="Arial" w:cs="Arial"/>
          <w:sz w:val="20"/>
          <w:szCs w:val="20"/>
          <w:lang w:val="en-GB"/>
        </w:rPr>
        <w:t>T</w:t>
      </w:r>
      <w:r w:rsidRPr="00C74C2C">
        <w:rPr>
          <w:rFonts w:ascii="Arial" w:hAnsi="Arial" w:cs="Arial"/>
          <w:sz w:val="20"/>
          <w:szCs w:val="20"/>
          <w:lang w:val="en-GB"/>
        </w:rPr>
        <w:t xml:space="preserve">rust to prepare for each financial year a statement of accounts in the form and on the basis required by those </w:t>
      </w:r>
      <w:r w:rsidR="000E22A2" w:rsidRPr="00C74C2C">
        <w:rPr>
          <w:rFonts w:ascii="Arial" w:hAnsi="Arial" w:cs="Arial"/>
          <w:sz w:val="20"/>
          <w:szCs w:val="20"/>
          <w:lang w:val="en-GB"/>
        </w:rPr>
        <w:t>d</w:t>
      </w:r>
      <w:r w:rsidRPr="00C74C2C">
        <w:rPr>
          <w:rFonts w:ascii="Arial" w:hAnsi="Arial" w:cs="Arial"/>
          <w:sz w:val="20"/>
          <w:szCs w:val="20"/>
          <w:lang w:val="en-GB"/>
        </w:rPr>
        <w:t>irections.</w:t>
      </w:r>
      <w:r w:rsidR="00CD0631" w:rsidRPr="00C74C2C">
        <w:rPr>
          <w:rFonts w:ascii="Arial" w:hAnsi="Arial" w:cs="Arial"/>
          <w:sz w:val="20"/>
          <w:szCs w:val="20"/>
          <w:lang w:val="en-GB"/>
        </w:rPr>
        <w:t xml:space="preserve">  </w:t>
      </w:r>
      <w:r w:rsidRPr="00C74C2C">
        <w:rPr>
          <w:rFonts w:ascii="Arial" w:hAnsi="Arial" w:cs="Arial"/>
          <w:sz w:val="20"/>
          <w:szCs w:val="20"/>
          <w:lang w:val="en-GB"/>
        </w:rPr>
        <w:t xml:space="preserve">The accounts are prepared on an accruals basis and must give a true and fair view of the state of affairs of Medway NHS </w:t>
      </w:r>
      <w:r w:rsidR="00CD0631" w:rsidRPr="00C74C2C">
        <w:rPr>
          <w:rFonts w:ascii="Arial" w:hAnsi="Arial" w:cs="Arial"/>
          <w:sz w:val="20"/>
          <w:szCs w:val="20"/>
          <w:lang w:val="en-GB"/>
        </w:rPr>
        <w:t>F</w:t>
      </w:r>
      <w:r w:rsidRPr="00C74C2C">
        <w:rPr>
          <w:rFonts w:ascii="Arial" w:hAnsi="Arial" w:cs="Arial"/>
          <w:sz w:val="20"/>
          <w:szCs w:val="20"/>
          <w:lang w:val="en-GB"/>
        </w:rPr>
        <w:t xml:space="preserve">oundation </w:t>
      </w:r>
      <w:r w:rsidR="00CD0631" w:rsidRPr="00C74C2C">
        <w:rPr>
          <w:rFonts w:ascii="Arial" w:hAnsi="Arial" w:cs="Arial"/>
          <w:sz w:val="20"/>
          <w:szCs w:val="20"/>
          <w:lang w:val="en-GB"/>
        </w:rPr>
        <w:t>T</w:t>
      </w:r>
      <w:r w:rsidRPr="00C74C2C">
        <w:rPr>
          <w:rFonts w:ascii="Arial" w:hAnsi="Arial" w:cs="Arial"/>
          <w:sz w:val="20"/>
          <w:szCs w:val="20"/>
          <w:lang w:val="en-GB"/>
        </w:rPr>
        <w:t>rust</w:t>
      </w:r>
      <w:r w:rsidR="00CD0631" w:rsidRPr="00C74C2C">
        <w:rPr>
          <w:rFonts w:ascii="Arial" w:hAnsi="Arial" w:cs="Arial"/>
          <w:sz w:val="20"/>
          <w:szCs w:val="20"/>
          <w:lang w:val="en-GB"/>
        </w:rPr>
        <w:t xml:space="preserve">, </w:t>
      </w:r>
      <w:r w:rsidRPr="00C74C2C">
        <w:rPr>
          <w:rFonts w:ascii="Arial" w:hAnsi="Arial" w:cs="Arial"/>
          <w:sz w:val="20"/>
          <w:szCs w:val="20"/>
          <w:lang w:val="en-GB"/>
        </w:rPr>
        <w:t xml:space="preserve">of its income and expenditure, </w:t>
      </w:r>
      <w:r w:rsidR="00CD0631" w:rsidRPr="00C74C2C">
        <w:rPr>
          <w:rFonts w:ascii="Arial" w:hAnsi="Arial" w:cs="Arial"/>
          <w:sz w:val="20"/>
          <w:szCs w:val="20"/>
          <w:lang w:val="en-GB"/>
        </w:rPr>
        <w:t xml:space="preserve">and </w:t>
      </w:r>
      <w:r w:rsidRPr="00C74C2C">
        <w:rPr>
          <w:rFonts w:ascii="Arial" w:hAnsi="Arial" w:cs="Arial"/>
          <w:sz w:val="20"/>
          <w:szCs w:val="20"/>
          <w:lang w:val="en-GB"/>
        </w:rPr>
        <w:t xml:space="preserve">other items of comprehensive income and cash flows for the financial year. </w:t>
      </w:r>
    </w:p>
    <w:p w14:paraId="425E5152" w14:textId="77777777" w:rsidR="00815330" w:rsidRPr="00C74C2C" w:rsidRDefault="00815330" w:rsidP="00C74C2C">
      <w:pPr>
        <w:jc w:val="both"/>
        <w:rPr>
          <w:rFonts w:ascii="Arial" w:hAnsi="Arial" w:cs="Arial"/>
          <w:sz w:val="20"/>
          <w:szCs w:val="20"/>
          <w:lang w:val="en-GB"/>
        </w:rPr>
      </w:pPr>
    </w:p>
    <w:p w14:paraId="37629E91" w14:textId="77777777" w:rsidR="00815330" w:rsidRPr="00C74C2C" w:rsidRDefault="00815330" w:rsidP="00C74C2C">
      <w:pPr>
        <w:jc w:val="both"/>
        <w:rPr>
          <w:rFonts w:ascii="Arial" w:hAnsi="Arial" w:cs="Arial"/>
          <w:sz w:val="20"/>
          <w:szCs w:val="20"/>
          <w:lang w:val="en-GB"/>
        </w:rPr>
      </w:pPr>
      <w:r w:rsidRPr="00C74C2C">
        <w:rPr>
          <w:rFonts w:ascii="Arial" w:hAnsi="Arial" w:cs="Arial"/>
          <w:sz w:val="20"/>
          <w:szCs w:val="20"/>
          <w:lang w:val="en-GB"/>
        </w:rPr>
        <w:t>In preparing the accounts and overseeing the use of public funds, the Accounting</w:t>
      </w:r>
      <w:r w:rsidR="00CD0631" w:rsidRPr="00C74C2C">
        <w:rPr>
          <w:rFonts w:ascii="Arial" w:hAnsi="Arial" w:cs="Arial"/>
          <w:sz w:val="20"/>
          <w:szCs w:val="20"/>
          <w:lang w:val="en-GB"/>
        </w:rPr>
        <w:t xml:space="preserve"> </w:t>
      </w:r>
      <w:r w:rsidRPr="00C74C2C">
        <w:rPr>
          <w:rFonts w:ascii="Arial" w:hAnsi="Arial" w:cs="Arial"/>
          <w:sz w:val="20"/>
          <w:szCs w:val="20"/>
          <w:lang w:val="en-GB"/>
        </w:rPr>
        <w:t xml:space="preserve">Officer is required to comply with the requirements of the Department of Health and Social Care Group Accounting Manual and in particular to: </w:t>
      </w:r>
    </w:p>
    <w:p w14:paraId="5D69EA1B" w14:textId="77777777" w:rsidR="00815330" w:rsidRPr="00C74C2C" w:rsidRDefault="00815330" w:rsidP="00C74C2C">
      <w:pPr>
        <w:jc w:val="both"/>
        <w:rPr>
          <w:rFonts w:ascii="Arial" w:hAnsi="Arial" w:cs="Arial"/>
          <w:sz w:val="20"/>
          <w:szCs w:val="20"/>
          <w:lang w:val="en-GB"/>
        </w:rPr>
      </w:pPr>
    </w:p>
    <w:p w14:paraId="4346E7F3" w14:textId="77777777" w:rsidR="00815330" w:rsidRPr="00C74C2C" w:rsidRDefault="001D2208" w:rsidP="00C74C2C">
      <w:pPr>
        <w:pStyle w:val="ListParagraph"/>
        <w:numPr>
          <w:ilvl w:val="0"/>
          <w:numId w:val="8"/>
        </w:numPr>
        <w:ind w:left="426"/>
        <w:jc w:val="both"/>
        <w:rPr>
          <w:rFonts w:ascii="Arial" w:hAnsi="Arial" w:cs="Arial"/>
          <w:sz w:val="20"/>
          <w:szCs w:val="20"/>
          <w:lang w:val="en-GB"/>
        </w:rPr>
      </w:pPr>
      <w:r w:rsidRPr="00C74C2C">
        <w:rPr>
          <w:rFonts w:ascii="Arial" w:hAnsi="Arial" w:cs="Arial"/>
          <w:sz w:val="20"/>
          <w:szCs w:val="20"/>
          <w:lang w:val="en-GB"/>
        </w:rPr>
        <w:t>O</w:t>
      </w:r>
      <w:r w:rsidR="00815330" w:rsidRPr="00C74C2C">
        <w:rPr>
          <w:rFonts w:ascii="Arial" w:hAnsi="Arial" w:cs="Arial"/>
          <w:sz w:val="20"/>
          <w:szCs w:val="20"/>
          <w:lang w:val="en-GB"/>
        </w:rPr>
        <w:t xml:space="preserve">bserve the </w:t>
      </w:r>
      <w:r w:rsidR="000E22A2" w:rsidRPr="00C74C2C">
        <w:rPr>
          <w:rFonts w:ascii="Arial" w:hAnsi="Arial" w:cs="Arial"/>
          <w:sz w:val="20"/>
          <w:szCs w:val="20"/>
          <w:lang w:val="en-GB"/>
        </w:rPr>
        <w:t>a</w:t>
      </w:r>
      <w:r w:rsidR="00815330" w:rsidRPr="00C74C2C">
        <w:rPr>
          <w:rFonts w:ascii="Arial" w:hAnsi="Arial" w:cs="Arial"/>
          <w:sz w:val="20"/>
          <w:szCs w:val="20"/>
          <w:lang w:val="en-GB"/>
        </w:rPr>
        <w:t xml:space="preserve">ccounts </w:t>
      </w:r>
      <w:r w:rsidR="000E22A2" w:rsidRPr="00C74C2C">
        <w:rPr>
          <w:rFonts w:ascii="Arial" w:hAnsi="Arial" w:cs="Arial"/>
          <w:sz w:val="20"/>
          <w:szCs w:val="20"/>
          <w:lang w:val="en-GB"/>
        </w:rPr>
        <w:t>d</w:t>
      </w:r>
      <w:r w:rsidR="00815330" w:rsidRPr="00C74C2C">
        <w:rPr>
          <w:rFonts w:ascii="Arial" w:hAnsi="Arial" w:cs="Arial"/>
          <w:sz w:val="20"/>
          <w:szCs w:val="20"/>
          <w:lang w:val="en-GB"/>
        </w:rPr>
        <w:t xml:space="preserve">irection issued by NHS England, including the relevant accounting and disclosure requirements, and apply suitable accounting policies on a consistent basis </w:t>
      </w:r>
    </w:p>
    <w:p w14:paraId="123D1C76" w14:textId="77777777" w:rsidR="00815330" w:rsidRPr="00C74C2C" w:rsidRDefault="001D2208" w:rsidP="00C74C2C">
      <w:pPr>
        <w:pStyle w:val="ListParagraph"/>
        <w:numPr>
          <w:ilvl w:val="0"/>
          <w:numId w:val="8"/>
        </w:numPr>
        <w:ind w:left="426"/>
        <w:jc w:val="both"/>
        <w:rPr>
          <w:rFonts w:ascii="Arial" w:hAnsi="Arial" w:cs="Arial"/>
          <w:sz w:val="20"/>
          <w:szCs w:val="20"/>
          <w:lang w:val="en-GB"/>
        </w:rPr>
      </w:pPr>
      <w:r w:rsidRPr="00C74C2C">
        <w:rPr>
          <w:rFonts w:ascii="Arial" w:hAnsi="Arial" w:cs="Arial"/>
          <w:sz w:val="20"/>
          <w:szCs w:val="20"/>
          <w:lang w:val="en-GB"/>
        </w:rPr>
        <w:t>M</w:t>
      </w:r>
      <w:r w:rsidR="00815330" w:rsidRPr="00C74C2C">
        <w:rPr>
          <w:rFonts w:ascii="Arial" w:hAnsi="Arial" w:cs="Arial"/>
          <w:sz w:val="20"/>
          <w:szCs w:val="20"/>
          <w:lang w:val="en-GB"/>
        </w:rPr>
        <w:t>ake judgements and estimates on a reasonable basis</w:t>
      </w:r>
    </w:p>
    <w:p w14:paraId="4D79A3C6" w14:textId="77777777" w:rsidR="00815330" w:rsidRPr="00C74C2C" w:rsidRDefault="001D2208" w:rsidP="00C74C2C">
      <w:pPr>
        <w:pStyle w:val="ListParagraph"/>
        <w:numPr>
          <w:ilvl w:val="0"/>
          <w:numId w:val="8"/>
        </w:numPr>
        <w:ind w:left="426"/>
        <w:jc w:val="both"/>
        <w:rPr>
          <w:rFonts w:ascii="Arial" w:hAnsi="Arial" w:cs="Arial"/>
          <w:sz w:val="20"/>
          <w:szCs w:val="20"/>
          <w:lang w:val="en-GB"/>
        </w:rPr>
      </w:pPr>
      <w:r w:rsidRPr="00C74C2C">
        <w:rPr>
          <w:rFonts w:ascii="Arial" w:hAnsi="Arial" w:cs="Arial"/>
          <w:sz w:val="20"/>
          <w:szCs w:val="20"/>
          <w:lang w:val="en-GB"/>
        </w:rPr>
        <w:t>S</w:t>
      </w:r>
      <w:r w:rsidR="00815330" w:rsidRPr="00C74C2C">
        <w:rPr>
          <w:rFonts w:ascii="Arial" w:hAnsi="Arial" w:cs="Arial"/>
          <w:sz w:val="20"/>
          <w:szCs w:val="20"/>
          <w:lang w:val="en-GB"/>
        </w:rPr>
        <w:t xml:space="preserve">tate whether applicable accounting standards as set out in the NHS Foundation Trust Annual Reporting Manual (and the Department of Health and Social Care Group Accounting Manual) have been followed, and disclose and explain any material departures in the financial statements </w:t>
      </w:r>
    </w:p>
    <w:p w14:paraId="4E8CB2A7" w14:textId="77777777" w:rsidR="00815330" w:rsidRPr="00C74C2C" w:rsidRDefault="001D2208" w:rsidP="00C74C2C">
      <w:pPr>
        <w:pStyle w:val="ListParagraph"/>
        <w:numPr>
          <w:ilvl w:val="0"/>
          <w:numId w:val="8"/>
        </w:numPr>
        <w:ind w:left="426"/>
        <w:jc w:val="both"/>
        <w:rPr>
          <w:rFonts w:ascii="Arial" w:hAnsi="Arial" w:cs="Arial"/>
          <w:sz w:val="20"/>
          <w:szCs w:val="20"/>
          <w:lang w:val="en-GB"/>
        </w:rPr>
      </w:pPr>
      <w:r w:rsidRPr="00C74C2C">
        <w:rPr>
          <w:rFonts w:ascii="Arial" w:hAnsi="Arial" w:cs="Arial"/>
          <w:sz w:val="20"/>
          <w:szCs w:val="20"/>
          <w:lang w:val="en-GB"/>
        </w:rPr>
        <w:t>E</w:t>
      </w:r>
      <w:r w:rsidR="00815330" w:rsidRPr="00C74C2C">
        <w:rPr>
          <w:rFonts w:ascii="Arial" w:hAnsi="Arial" w:cs="Arial"/>
          <w:sz w:val="20"/>
          <w:szCs w:val="20"/>
          <w:lang w:val="en-GB"/>
        </w:rPr>
        <w:t xml:space="preserve">nsure that the use of public funds complies with the relevant legislation, delegated authorities and guidance </w:t>
      </w:r>
    </w:p>
    <w:p w14:paraId="06AE94B3" w14:textId="77777777" w:rsidR="00815330" w:rsidRPr="00C74C2C" w:rsidRDefault="001D2208" w:rsidP="00C74C2C">
      <w:pPr>
        <w:pStyle w:val="ListParagraph"/>
        <w:numPr>
          <w:ilvl w:val="0"/>
          <w:numId w:val="8"/>
        </w:numPr>
        <w:ind w:left="426"/>
        <w:jc w:val="both"/>
        <w:rPr>
          <w:rFonts w:ascii="Arial" w:hAnsi="Arial" w:cs="Arial"/>
          <w:sz w:val="20"/>
          <w:szCs w:val="20"/>
          <w:lang w:val="en-GB"/>
        </w:rPr>
      </w:pPr>
      <w:r w:rsidRPr="00C74C2C">
        <w:rPr>
          <w:rFonts w:ascii="Arial" w:hAnsi="Arial" w:cs="Arial"/>
          <w:sz w:val="20"/>
          <w:szCs w:val="20"/>
          <w:lang w:val="en-GB"/>
        </w:rPr>
        <w:t>C</w:t>
      </w:r>
      <w:r w:rsidR="00815330" w:rsidRPr="00C74C2C">
        <w:rPr>
          <w:rFonts w:ascii="Arial" w:hAnsi="Arial" w:cs="Arial"/>
          <w:sz w:val="20"/>
          <w:szCs w:val="20"/>
          <w:lang w:val="en-GB"/>
        </w:rPr>
        <w:t xml:space="preserve">onfirm that the annual report and accounts, taken as a whole, is fair, balanced and understandable and provides the information necessary for patients, regulators and stakeholders to assess the </w:t>
      </w:r>
      <w:r w:rsidR="00CD0631" w:rsidRPr="00C74C2C">
        <w:rPr>
          <w:rFonts w:ascii="Arial" w:hAnsi="Arial" w:cs="Arial"/>
          <w:sz w:val="20"/>
          <w:szCs w:val="20"/>
          <w:lang w:val="en-GB"/>
        </w:rPr>
        <w:t>T</w:t>
      </w:r>
      <w:r w:rsidR="00815330" w:rsidRPr="00C74C2C">
        <w:rPr>
          <w:rFonts w:ascii="Arial" w:hAnsi="Arial" w:cs="Arial"/>
          <w:sz w:val="20"/>
          <w:szCs w:val="20"/>
          <w:lang w:val="en-GB"/>
        </w:rPr>
        <w:t>rust’s</w:t>
      </w:r>
      <w:r w:rsidR="00A91688" w:rsidRPr="00C74C2C">
        <w:rPr>
          <w:rFonts w:ascii="Arial" w:hAnsi="Arial" w:cs="Arial"/>
          <w:sz w:val="20"/>
          <w:szCs w:val="20"/>
          <w:lang w:val="en-GB"/>
        </w:rPr>
        <w:t xml:space="preserve"> </w:t>
      </w:r>
      <w:r w:rsidR="00815330" w:rsidRPr="00C74C2C">
        <w:rPr>
          <w:rFonts w:ascii="Arial" w:hAnsi="Arial" w:cs="Arial"/>
          <w:sz w:val="20"/>
          <w:szCs w:val="20"/>
          <w:lang w:val="en-GB"/>
        </w:rPr>
        <w:t xml:space="preserve">performance, business model and strategy </w:t>
      </w:r>
    </w:p>
    <w:p w14:paraId="728B5D4F" w14:textId="77777777" w:rsidR="00815330" w:rsidRPr="00C74C2C" w:rsidRDefault="001D2208" w:rsidP="00C74C2C">
      <w:pPr>
        <w:pStyle w:val="ListParagraph"/>
        <w:numPr>
          <w:ilvl w:val="0"/>
          <w:numId w:val="8"/>
        </w:numPr>
        <w:ind w:left="426"/>
        <w:jc w:val="both"/>
        <w:rPr>
          <w:rFonts w:ascii="Arial" w:hAnsi="Arial" w:cs="Arial"/>
          <w:sz w:val="20"/>
          <w:szCs w:val="20"/>
          <w:lang w:val="en-GB"/>
        </w:rPr>
      </w:pPr>
      <w:r w:rsidRPr="00C74C2C">
        <w:rPr>
          <w:rFonts w:ascii="Arial" w:hAnsi="Arial" w:cs="Arial"/>
          <w:sz w:val="20"/>
          <w:szCs w:val="20"/>
          <w:lang w:val="en-GB"/>
        </w:rPr>
        <w:t>P</w:t>
      </w:r>
      <w:r w:rsidR="00815330" w:rsidRPr="00C74C2C">
        <w:rPr>
          <w:rFonts w:ascii="Arial" w:hAnsi="Arial" w:cs="Arial"/>
          <w:sz w:val="20"/>
          <w:szCs w:val="20"/>
          <w:lang w:val="en-GB"/>
        </w:rPr>
        <w:t>repare the financial statements on a going concern basis and disclose any</w:t>
      </w:r>
      <w:r w:rsidR="00A91688" w:rsidRPr="00C74C2C">
        <w:rPr>
          <w:rFonts w:ascii="Arial" w:hAnsi="Arial" w:cs="Arial"/>
          <w:sz w:val="20"/>
          <w:szCs w:val="20"/>
          <w:lang w:val="en-GB"/>
        </w:rPr>
        <w:t xml:space="preserve"> </w:t>
      </w:r>
      <w:r w:rsidR="00815330" w:rsidRPr="00C74C2C">
        <w:rPr>
          <w:rFonts w:ascii="Arial" w:hAnsi="Arial" w:cs="Arial"/>
          <w:sz w:val="20"/>
          <w:szCs w:val="20"/>
          <w:lang w:val="en-GB"/>
        </w:rPr>
        <w:t>material uncertainties over going concern</w:t>
      </w:r>
    </w:p>
    <w:p w14:paraId="67878812" w14:textId="77777777" w:rsidR="00815330" w:rsidRPr="00C74C2C" w:rsidRDefault="00815330" w:rsidP="00C74C2C">
      <w:pPr>
        <w:jc w:val="both"/>
        <w:rPr>
          <w:rFonts w:ascii="Arial" w:hAnsi="Arial" w:cs="Arial"/>
          <w:sz w:val="20"/>
          <w:szCs w:val="20"/>
          <w:lang w:val="en-GB"/>
        </w:rPr>
      </w:pPr>
    </w:p>
    <w:p w14:paraId="557C1BCA" w14:textId="77777777" w:rsidR="00815330" w:rsidRPr="00C74C2C" w:rsidRDefault="00815330" w:rsidP="00C74C2C">
      <w:pPr>
        <w:jc w:val="both"/>
        <w:rPr>
          <w:rFonts w:ascii="Arial" w:hAnsi="Arial" w:cs="Arial"/>
          <w:sz w:val="20"/>
          <w:szCs w:val="20"/>
          <w:lang w:val="en-GB"/>
        </w:rPr>
      </w:pPr>
      <w:r w:rsidRPr="00C74C2C">
        <w:rPr>
          <w:rFonts w:ascii="Arial" w:hAnsi="Arial" w:cs="Arial"/>
          <w:sz w:val="20"/>
          <w:szCs w:val="20"/>
          <w:lang w:val="en-GB"/>
        </w:rPr>
        <w:t>The accounting officer is responsible for keeping proper accounting records which</w:t>
      </w:r>
      <w:r w:rsidR="00A91688" w:rsidRPr="00C74C2C">
        <w:rPr>
          <w:rFonts w:ascii="Arial" w:hAnsi="Arial" w:cs="Arial"/>
          <w:sz w:val="20"/>
          <w:szCs w:val="20"/>
          <w:lang w:val="en-GB"/>
        </w:rPr>
        <w:t xml:space="preserve"> </w:t>
      </w:r>
      <w:r w:rsidRPr="00C74C2C">
        <w:rPr>
          <w:rFonts w:ascii="Arial" w:hAnsi="Arial" w:cs="Arial"/>
          <w:sz w:val="20"/>
          <w:szCs w:val="20"/>
          <w:lang w:val="en-GB"/>
        </w:rPr>
        <w:t xml:space="preserve">disclose with reasonable accuracy at any time the financial position of the </w:t>
      </w:r>
      <w:r w:rsidR="00CD0631" w:rsidRPr="00C74C2C">
        <w:rPr>
          <w:rFonts w:ascii="Arial" w:hAnsi="Arial" w:cs="Arial"/>
          <w:sz w:val="20"/>
          <w:szCs w:val="20"/>
          <w:lang w:val="en-GB"/>
        </w:rPr>
        <w:t>T</w:t>
      </w:r>
      <w:r w:rsidRPr="00C74C2C">
        <w:rPr>
          <w:rFonts w:ascii="Arial" w:hAnsi="Arial" w:cs="Arial"/>
          <w:sz w:val="20"/>
          <w:szCs w:val="20"/>
          <w:lang w:val="en-GB"/>
        </w:rPr>
        <w:t xml:space="preserve">rust and to enable </w:t>
      </w:r>
      <w:r w:rsidR="00CD0631" w:rsidRPr="00C74C2C">
        <w:rPr>
          <w:rFonts w:ascii="Arial" w:hAnsi="Arial" w:cs="Arial"/>
          <w:sz w:val="20"/>
          <w:szCs w:val="20"/>
          <w:lang w:val="en-GB"/>
        </w:rPr>
        <w:t>the Trust</w:t>
      </w:r>
      <w:r w:rsidRPr="00C74C2C">
        <w:rPr>
          <w:rFonts w:ascii="Arial" w:hAnsi="Arial" w:cs="Arial"/>
          <w:sz w:val="20"/>
          <w:szCs w:val="20"/>
          <w:lang w:val="en-GB"/>
        </w:rPr>
        <w:t xml:space="preserve"> to ensure that the accounts comply with</w:t>
      </w:r>
      <w:r w:rsidR="00A91688" w:rsidRPr="00C74C2C">
        <w:rPr>
          <w:rFonts w:ascii="Arial" w:hAnsi="Arial" w:cs="Arial"/>
          <w:sz w:val="20"/>
          <w:szCs w:val="20"/>
          <w:lang w:val="en-GB"/>
        </w:rPr>
        <w:t xml:space="preserve"> </w:t>
      </w:r>
      <w:r w:rsidRPr="00C74C2C">
        <w:rPr>
          <w:rFonts w:ascii="Arial" w:hAnsi="Arial" w:cs="Arial"/>
          <w:sz w:val="20"/>
          <w:szCs w:val="20"/>
          <w:lang w:val="en-GB"/>
        </w:rPr>
        <w:t>requirements outlined in the above</w:t>
      </w:r>
      <w:r w:rsidR="005C2C9E" w:rsidRPr="00C74C2C">
        <w:rPr>
          <w:rFonts w:ascii="Arial" w:hAnsi="Arial" w:cs="Arial"/>
          <w:sz w:val="20"/>
          <w:szCs w:val="20"/>
          <w:lang w:val="en-GB"/>
        </w:rPr>
        <w:t>-</w:t>
      </w:r>
      <w:r w:rsidRPr="00C74C2C">
        <w:rPr>
          <w:rFonts w:ascii="Arial" w:hAnsi="Arial" w:cs="Arial"/>
          <w:sz w:val="20"/>
          <w:szCs w:val="20"/>
          <w:lang w:val="en-GB"/>
        </w:rPr>
        <w:t>mentioned Act.</w:t>
      </w:r>
      <w:r w:rsidR="00CD0631" w:rsidRPr="00C74C2C">
        <w:rPr>
          <w:rFonts w:ascii="Arial" w:hAnsi="Arial" w:cs="Arial"/>
          <w:sz w:val="20"/>
          <w:szCs w:val="20"/>
          <w:lang w:val="en-GB"/>
        </w:rPr>
        <w:t xml:space="preserve">  </w:t>
      </w:r>
      <w:r w:rsidRPr="00C74C2C">
        <w:rPr>
          <w:rFonts w:ascii="Arial" w:hAnsi="Arial" w:cs="Arial"/>
          <w:sz w:val="20"/>
          <w:szCs w:val="20"/>
          <w:lang w:val="en-GB"/>
        </w:rPr>
        <w:t>The Accounting Officer is also</w:t>
      </w:r>
      <w:r w:rsidR="00A91688" w:rsidRPr="00C74C2C">
        <w:rPr>
          <w:rFonts w:ascii="Arial" w:hAnsi="Arial" w:cs="Arial"/>
          <w:sz w:val="20"/>
          <w:szCs w:val="20"/>
          <w:lang w:val="en-GB"/>
        </w:rPr>
        <w:t xml:space="preserve"> </w:t>
      </w:r>
      <w:r w:rsidRPr="00C74C2C">
        <w:rPr>
          <w:rFonts w:ascii="Arial" w:hAnsi="Arial" w:cs="Arial"/>
          <w:sz w:val="20"/>
          <w:szCs w:val="20"/>
          <w:lang w:val="en-GB"/>
        </w:rPr>
        <w:t xml:space="preserve">responsible for safeguarding the assets of the </w:t>
      </w:r>
      <w:r w:rsidR="00CD0631" w:rsidRPr="00C74C2C">
        <w:rPr>
          <w:rFonts w:ascii="Arial" w:hAnsi="Arial" w:cs="Arial"/>
          <w:sz w:val="20"/>
          <w:szCs w:val="20"/>
          <w:lang w:val="en-GB"/>
        </w:rPr>
        <w:t>T</w:t>
      </w:r>
      <w:r w:rsidRPr="00C74C2C">
        <w:rPr>
          <w:rFonts w:ascii="Arial" w:hAnsi="Arial" w:cs="Arial"/>
          <w:sz w:val="20"/>
          <w:szCs w:val="20"/>
          <w:lang w:val="en-GB"/>
        </w:rPr>
        <w:t>rust and for</w:t>
      </w:r>
      <w:r w:rsidR="00A91688" w:rsidRPr="00C74C2C">
        <w:rPr>
          <w:rFonts w:ascii="Arial" w:hAnsi="Arial" w:cs="Arial"/>
          <w:sz w:val="20"/>
          <w:szCs w:val="20"/>
          <w:lang w:val="en-GB"/>
        </w:rPr>
        <w:t xml:space="preserve"> </w:t>
      </w:r>
      <w:r w:rsidRPr="00C74C2C">
        <w:rPr>
          <w:rFonts w:ascii="Arial" w:hAnsi="Arial" w:cs="Arial"/>
          <w:sz w:val="20"/>
          <w:szCs w:val="20"/>
          <w:lang w:val="en-GB"/>
        </w:rPr>
        <w:t>taking reasonable steps for the prevention and detection of fraud and other</w:t>
      </w:r>
      <w:r w:rsidR="00A91688" w:rsidRPr="00C74C2C">
        <w:rPr>
          <w:rFonts w:ascii="Arial" w:hAnsi="Arial" w:cs="Arial"/>
          <w:sz w:val="20"/>
          <w:szCs w:val="20"/>
          <w:lang w:val="en-GB"/>
        </w:rPr>
        <w:t xml:space="preserve"> </w:t>
      </w:r>
      <w:r w:rsidRPr="00C74C2C">
        <w:rPr>
          <w:rFonts w:ascii="Arial" w:hAnsi="Arial" w:cs="Arial"/>
          <w:sz w:val="20"/>
          <w:szCs w:val="20"/>
          <w:lang w:val="en-GB"/>
        </w:rPr>
        <w:t xml:space="preserve">irregularities. </w:t>
      </w:r>
    </w:p>
    <w:p w14:paraId="1542FAE3" w14:textId="77777777" w:rsidR="00A91688" w:rsidRPr="00C74C2C" w:rsidRDefault="00A91688" w:rsidP="00C74C2C">
      <w:pPr>
        <w:jc w:val="both"/>
        <w:rPr>
          <w:rFonts w:ascii="Arial" w:hAnsi="Arial" w:cs="Arial"/>
          <w:sz w:val="20"/>
          <w:szCs w:val="20"/>
          <w:lang w:val="en-GB"/>
        </w:rPr>
      </w:pPr>
    </w:p>
    <w:p w14:paraId="3CF45CFB" w14:textId="09AB81AE" w:rsidR="00815330" w:rsidRPr="00C74C2C" w:rsidRDefault="00815330" w:rsidP="00C74C2C">
      <w:pPr>
        <w:jc w:val="both"/>
        <w:rPr>
          <w:rFonts w:ascii="Arial" w:hAnsi="Arial" w:cs="Arial"/>
          <w:sz w:val="20"/>
          <w:szCs w:val="20"/>
          <w:lang w:val="en-GB"/>
        </w:rPr>
      </w:pPr>
      <w:r w:rsidRPr="00C74C2C">
        <w:rPr>
          <w:rFonts w:ascii="Arial" w:hAnsi="Arial" w:cs="Arial"/>
          <w:sz w:val="20"/>
          <w:szCs w:val="20"/>
          <w:lang w:val="en-GB"/>
        </w:rPr>
        <w:t>As far as I am aware, there is no relevant audit information of which the</w:t>
      </w:r>
      <w:r w:rsidR="00A91688" w:rsidRPr="00C74C2C">
        <w:rPr>
          <w:rFonts w:ascii="Arial" w:hAnsi="Arial" w:cs="Arial"/>
          <w:sz w:val="20"/>
          <w:szCs w:val="20"/>
          <w:lang w:val="en-GB"/>
        </w:rPr>
        <w:t xml:space="preserve"> </w:t>
      </w:r>
      <w:r w:rsidR="00CD0631" w:rsidRPr="00C74C2C">
        <w:rPr>
          <w:rFonts w:ascii="Arial" w:hAnsi="Arial" w:cs="Arial"/>
          <w:sz w:val="20"/>
          <w:szCs w:val="20"/>
          <w:lang w:val="en-GB"/>
        </w:rPr>
        <w:t>T</w:t>
      </w:r>
      <w:r w:rsidRPr="00C74C2C">
        <w:rPr>
          <w:rFonts w:ascii="Arial" w:hAnsi="Arial" w:cs="Arial"/>
          <w:sz w:val="20"/>
          <w:szCs w:val="20"/>
          <w:lang w:val="en-GB"/>
        </w:rPr>
        <w:t>rust’s auditors are unaware, and I have taken all the steps that I ought</w:t>
      </w:r>
      <w:r w:rsidR="00A91688" w:rsidRPr="00C74C2C">
        <w:rPr>
          <w:rFonts w:ascii="Arial" w:hAnsi="Arial" w:cs="Arial"/>
          <w:sz w:val="20"/>
          <w:szCs w:val="20"/>
          <w:lang w:val="en-GB"/>
        </w:rPr>
        <w:t xml:space="preserve"> </w:t>
      </w:r>
      <w:r w:rsidRPr="00C74C2C">
        <w:rPr>
          <w:rFonts w:ascii="Arial" w:hAnsi="Arial" w:cs="Arial"/>
          <w:sz w:val="20"/>
          <w:szCs w:val="20"/>
          <w:lang w:val="en-GB"/>
        </w:rPr>
        <w:t>to have taken to make myself aware of any relevant audit information and to</w:t>
      </w:r>
      <w:r w:rsidR="00A91688" w:rsidRPr="00C74C2C">
        <w:rPr>
          <w:rFonts w:ascii="Arial" w:hAnsi="Arial" w:cs="Arial"/>
          <w:sz w:val="20"/>
          <w:szCs w:val="20"/>
          <w:lang w:val="en-GB"/>
        </w:rPr>
        <w:t xml:space="preserve"> </w:t>
      </w:r>
      <w:r w:rsidRPr="00C74C2C">
        <w:rPr>
          <w:rFonts w:ascii="Arial" w:hAnsi="Arial" w:cs="Arial"/>
          <w:sz w:val="20"/>
          <w:szCs w:val="20"/>
          <w:lang w:val="en-GB"/>
        </w:rPr>
        <w:t>establish that the</w:t>
      </w:r>
      <w:r w:rsidR="00A91688" w:rsidRPr="00C74C2C">
        <w:rPr>
          <w:rFonts w:ascii="Arial" w:hAnsi="Arial" w:cs="Arial"/>
          <w:sz w:val="20"/>
          <w:szCs w:val="20"/>
          <w:lang w:val="en-GB"/>
        </w:rPr>
        <w:t xml:space="preserve"> </w:t>
      </w:r>
      <w:r w:rsidRPr="00C74C2C">
        <w:rPr>
          <w:rFonts w:ascii="Arial" w:hAnsi="Arial" w:cs="Arial"/>
          <w:sz w:val="20"/>
          <w:szCs w:val="20"/>
          <w:lang w:val="en-GB"/>
        </w:rPr>
        <w:t>entity’s auditors are aware of that information.</w:t>
      </w:r>
      <w:r w:rsidR="00983279">
        <w:rPr>
          <w:rFonts w:ascii="Arial" w:hAnsi="Arial" w:cs="Arial"/>
          <w:sz w:val="20"/>
          <w:szCs w:val="20"/>
          <w:lang w:val="en-GB"/>
        </w:rPr>
        <w:t xml:space="preserve">  </w:t>
      </w:r>
      <w:r w:rsidRPr="00C74C2C">
        <w:rPr>
          <w:rFonts w:ascii="Arial" w:hAnsi="Arial" w:cs="Arial"/>
          <w:sz w:val="20"/>
          <w:szCs w:val="20"/>
          <w:lang w:val="en-GB"/>
        </w:rPr>
        <w:t>To the best of my knowledge and belief, I have properly discharged the</w:t>
      </w:r>
      <w:r w:rsidR="00A91688" w:rsidRPr="00C74C2C">
        <w:rPr>
          <w:rFonts w:ascii="Arial" w:hAnsi="Arial" w:cs="Arial"/>
          <w:sz w:val="20"/>
          <w:szCs w:val="20"/>
          <w:lang w:val="en-GB"/>
        </w:rPr>
        <w:t xml:space="preserve"> </w:t>
      </w:r>
      <w:r w:rsidRPr="00C74C2C">
        <w:rPr>
          <w:rFonts w:ascii="Arial" w:hAnsi="Arial" w:cs="Arial"/>
          <w:sz w:val="20"/>
          <w:szCs w:val="20"/>
          <w:lang w:val="en-GB"/>
        </w:rPr>
        <w:t>responsibilities set out in the NHS Foundation Trust Accounting Officer</w:t>
      </w:r>
      <w:r w:rsidR="00A91688" w:rsidRPr="00C74C2C">
        <w:rPr>
          <w:rFonts w:ascii="Arial" w:hAnsi="Arial" w:cs="Arial"/>
          <w:sz w:val="20"/>
          <w:szCs w:val="20"/>
          <w:lang w:val="en-GB"/>
        </w:rPr>
        <w:t xml:space="preserve"> </w:t>
      </w:r>
      <w:r w:rsidRPr="00C74C2C">
        <w:rPr>
          <w:rFonts w:ascii="Arial" w:hAnsi="Arial" w:cs="Arial"/>
          <w:sz w:val="20"/>
          <w:szCs w:val="20"/>
          <w:lang w:val="en-GB"/>
        </w:rPr>
        <w:t>Memorandum.</w:t>
      </w:r>
    </w:p>
    <w:p w14:paraId="059FE799" w14:textId="77777777" w:rsidR="00616B0B" w:rsidRPr="00C74C2C" w:rsidRDefault="00616B0B" w:rsidP="00C74C2C">
      <w:pPr>
        <w:jc w:val="both"/>
        <w:rPr>
          <w:rFonts w:ascii="Arial" w:hAnsi="Arial" w:cs="Arial"/>
          <w:b/>
          <w:color w:val="FF0000"/>
          <w:sz w:val="20"/>
          <w:szCs w:val="20"/>
          <w:lang w:val="en-GB"/>
        </w:rPr>
      </w:pPr>
    </w:p>
    <w:p w14:paraId="72F93703" w14:textId="77777777" w:rsidR="00983279" w:rsidRPr="00983279" w:rsidRDefault="00983279" w:rsidP="00983279">
      <w:pPr>
        <w:rPr>
          <w:rFonts w:ascii="Arial" w:hAnsi="Arial" w:cs="Arial"/>
          <w:sz w:val="20"/>
          <w:szCs w:val="20"/>
          <w:lang w:val="en-GB"/>
        </w:rPr>
      </w:pPr>
      <w:bookmarkStart w:id="33" w:name="_Hlk175232989"/>
      <w:bookmarkStart w:id="34" w:name="_Hlk168578405"/>
      <w:r w:rsidRPr="00983279">
        <w:rPr>
          <w:rFonts w:ascii="Arial" w:hAnsi="Arial" w:cs="Arial"/>
          <w:sz w:val="20"/>
          <w:szCs w:val="20"/>
          <w:lang w:val="en-GB"/>
        </w:rPr>
        <w:t>Signed</w:t>
      </w:r>
    </w:p>
    <w:p w14:paraId="5DC05F01" w14:textId="77777777" w:rsidR="00983279" w:rsidRPr="00983279" w:rsidRDefault="00983279" w:rsidP="00983279">
      <w:pPr>
        <w:rPr>
          <w:rFonts w:ascii="Arial" w:hAnsi="Arial" w:cs="Arial"/>
          <w:sz w:val="20"/>
          <w:szCs w:val="20"/>
          <w:lang w:val="en-GB"/>
        </w:rPr>
      </w:pPr>
    </w:p>
    <w:p w14:paraId="38099F60" w14:textId="77777777" w:rsidR="00983279" w:rsidRPr="00983279" w:rsidRDefault="00983279" w:rsidP="00983279">
      <w:pPr>
        <w:rPr>
          <w:rFonts w:ascii="Arial" w:hAnsi="Arial" w:cs="Arial"/>
          <w:sz w:val="20"/>
          <w:szCs w:val="20"/>
          <w:lang w:val="en-GB"/>
        </w:rPr>
      </w:pPr>
      <w:r w:rsidRPr="00983279">
        <w:rPr>
          <w:rFonts w:ascii="Arial" w:hAnsi="Arial" w:cs="Arial"/>
          <w:noProof/>
          <w:sz w:val="20"/>
          <w:szCs w:val="20"/>
          <w:lang w:val="en-GB"/>
        </w:rPr>
        <w:drawing>
          <wp:inline distT="0" distB="0" distL="0" distR="0" wp14:anchorId="3FD95266" wp14:editId="3E2CB675">
            <wp:extent cx="1917700" cy="1247029"/>
            <wp:effectExtent l="0" t="0" r="6350" b="0"/>
            <wp:docPr id="15" name="Picture 15" descr="Signature of Interim Chief Executive, Jonathan W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ignature of Interim Chief Executive, Jonathan Wad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51031" cy="1268703"/>
                    </a:xfrm>
                    <a:prstGeom prst="rect">
                      <a:avLst/>
                    </a:prstGeom>
                    <a:noFill/>
                    <a:ln>
                      <a:noFill/>
                    </a:ln>
                  </pic:spPr>
                </pic:pic>
              </a:graphicData>
            </a:graphic>
          </wp:inline>
        </w:drawing>
      </w:r>
    </w:p>
    <w:p w14:paraId="643402EF" w14:textId="77777777" w:rsidR="00983279" w:rsidRPr="00983279" w:rsidRDefault="00983279" w:rsidP="00983279">
      <w:pPr>
        <w:rPr>
          <w:rFonts w:ascii="Arial" w:hAnsi="Arial" w:cs="Arial"/>
          <w:sz w:val="20"/>
          <w:szCs w:val="20"/>
          <w:lang w:val="en-GB"/>
        </w:rPr>
      </w:pPr>
      <w:r w:rsidRPr="00983279">
        <w:rPr>
          <w:rFonts w:ascii="Arial" w:hAnsi="Arial" w:cs="Arial"/>
          <w:sz w:val="20"/>
          <w:szCs w:val="20"/>
          <w:lang w:val="en-GB"/>
        </w:rPr>
        <w:t>………………………………..</w:t>
      </w:r>
    </w:p>
    <w:p w14:paraId="3A617B98" w14:textId="77777777" w:rsidR="00983279" w:rsidRPr="00983279" w:rsidRDefault="00983279" w:rsidP="00983279">
      <w:pPr>
        <w:rPr>
          <w:rFonts w:ascii="Arial" w:hAnsi="Arial" w:cs="Arial"/>
          <w:b/>
          <w:sz w:val="20"/>
          <w:szCs w:val="20"/>
          <w:lang w:val="en-GB"/>
        </w:rPr>
      </w:pPr>
      <w:r w:rsidRPr="00983279">
        <w:rPr>
          <w:rFonts w:ascii="Arial" w:hAnsi="Arial" w:cs="Arial"/>
          <w:b/>
          <w:sz w:val="20"/>
          <w:szCs w:val="20"/>
          <w:lang w:val="en-GB"/>
        </w:rPr>
        <w:t>Jon Wade</w:t>
      </w:r>
    </w:p>
    <w:p w14:paraId="48CF37DB" w14:textId="77777777" w:rsidR="00983279" w:rsidRPr="00983279" w:rsidRDefault="00983279" w:rsidP="00983279">
      <w:pPr>
        <w:rPr>
          <w:rFonts w:ascii="Arial" w:hAnsi="Arial" w:cs="Arial"/>
          <w:b/>
          <w:sz w:val="20"/>
          <w:szCs w:val="20"/>
          <w:lang w:val="en-GB"/>
        </w:rPr>
      </w:pPr>
      <w:r w:rsidRPr="00983279">
        <w:rPr>
          <w:rFonts w:ascii="Arial" w:hAnsi="Arial" w:cs="Arial"/>
          <w:b/>
          <w:sz w:val="20"/>
          <w:szCs w:val="20"/>
          <w:lang w:val="en-GB"/>
        </w:rPr>
        <w:t>Chief Executive Officer</w:t>
      </w:r>
    </w:p>
    <w:p w14:paraId="509EAAE5" w14:textId="77777777" w:rsidR="00983279" w:rsidRPr="00885B57" w:rsidRDefault="00983279" w:rsidP="00983279">
      <w:pPr>
        <w:rPr>
          <w:rFonts w:ascii="Arial" w:hAnsi="Arial" w:cs="Arial"/>
          <w:b/>
          <w:sz w:val="20"/>
          <w:szCs w:val="20"/>
          <w:lang w:val="en-GB"/>
        </w:rPr>
      </w:pPr>
      <w:r w:rsidRPr="00983279">
        <w:rPr>
          <w:rFonts w:ascii="Arial" w:hAnsi="Arial" w:cs="Arial"/>
          <w:b/>
          <w:sz w:val="20"/>
          <w:szCs w:val="20"/>
          <w:lang w:val="en-GB"/>
        </w:rPr>
        <w:t>Date: Friday, 20 June 2025</w:t>
      </w:r>
    </w:p>
    <w:p w14:paraId="3A4BA161" w14:textId="77777777" w:rsidR="001653C8" w:rsidRPr="00C74C2C" w:rsidRDefault="001653C8" w:rsidP="00C74C2C">
      <w:pPr>
        <w:jc w:val="both"/>
        <w:rPr>
          <w:rFonts w:ascii="Arial" w:hAnsi="Arial" w:cs="Arial"/>
          <w:b/>
          <w:sz w:val="20"/>
          <w:szCs w:val="20"/>
          <w:lang w:val="en-GB"/>
        </w:rPr>
      </w:pPr>
      <w:r w:rsidRPr="00C74C2C">
        <w:rPr>
          <w:rFonts w:ascii="Arial" w:hAnsi="Arial" w:cs="Arial"/>
          <w:b/>
          <w:sz w:val="20"/>
          <w:szCs w:val="20"/>
          <w:lang w:val="en-GB"/>
        </w:rPr>
        <w:lastRenderedPageBreak/>
        <w:t>Annual Governance Statement 202</w:t>
      </w:r>
      <w:r w:rsidR="00E16CE6" w:rsidRPr="00C74C2C">
        <w:rPr>
          <w:rFonts w:ascii="Arial" w:hAnsi="Arial" w:cs="Arial"/>
          <w:b/>
          <w:sz w:val="20"/>
          <w:szCs w:val="20"/>
          <w:lang w:val="en-GB"/>
        </w:rPr>
        <w:t>4</w:t>
      </w:r>
      <w:r w:rsidRPr="00C74C2C">
        <w:rPr>
          <w:rFonts w:ascii="Arial" w:hAnsi="Arial" w:cs="Arial"/>
          <w:b/>
          <w:sz w:val="20"/>
          <w:szCs w:val="20"/>
          <w:lang w:val="en-GB"/>
        </w:rPr>
        <w:t>-202</w:t>
      </w:r>
      <w:r w:rsidR="00E16CE6" w:rsidRPr="00C74C2C">
        <w:rPr>
          <w:rFonts w:ascii="Arial" w:hAnsi="Arial" w:cs="Arial"/>
          <w:b/>
          <w:sz w:val="20"/>
          <w:szCs w:val="20"/>
          <w:lang w:val="en-GB"/>
        </w:rPr>
        <w:t>5</w:t>
      </w:r>
    </w:p>
    <w:bookmarkEnd w:id="33"/>
    <w:p w14:paraId="027AD704" w14:textId="77777777" w:rsidR="001653C8" w:rsidRPr="00C74C2C" w:rsidRDefault="001653C8" w:rsidP="00C74C2C">
      <w:pPr>
        <w:jc w:val="both"/>
        <w:rPr>
          <w:rFonts w:ascii="Arial" w:hAnsi="Arial" w:cs="Arial"/>
          <w:sz w:val="20"/>
          <w:szCs w:val="20"/>
          <w:lang w:val="en-GB"/>
        </w:rPr>
      </w:pPr>
    </w:p>
    <w:p w14:paraId="3D976096" w14:textId="77777777" w:rsidR="001653C8" w:rsidRPr="00C74C2C" w:rsidRDefault="001653C8" w:rsidP="00C74C2C">
      <w:pPr>
        <w:jc w:val="both"/>
        <w:rPr>
          <w:rFonts w:ascii="Arial" w:hAnsi="Arial" w:cs="Arial"/>
          <w:b/>
          <w:sz w:val="20"/>
          <w:szCs w:val="20"/>
          <w:lang w:val="en-GB"/>
        </w:rPr>
      </w:pPr>
      <w:r w:rsidRPr="00C74C2C">
        <w:rPr>
          <w:rFonts w:ascii="Arial" w:hAnsi="Arial" w:cs="Arial"/>
          <w:b/>
          <w:sz w:val="20"/>
          <w:szCs w:val="20"/>
          <w:lang w:val="en-GB"/>
        </w:rPr>
        <w:t xml:space="preserve">Scope of </w:t>
      </w:r>
      <w:r w:rsidR="00143BCB" w:rsidRPr="00C74C2C">
        <w:rPr>
          <w:rFonts w:ascii="Arial" w:hAnsi="Arial" w:cs="Arial"/>
          <w:b/>
          <w:sz w:val="20"/>
          <w:szCs w:val="20"/>
          <w:lang w:val="en-GB"/>
        </w:rPr>
        <w:t>R</w:t>
      </w:r>
      <w:r w:rsidRPr="00C74C2C">
        <w:rPr>
          <w:rFonts w:ascii="Arial" w:hAnsi="Arial" w:cs="Arial"/>
          <w:b/>
          <w:sz w:val="20"/>
          <w:szCs w:val="20"/>
          <w:lang w:val="en-GB"/>
        </w:rPr>
        <w:t xml:space="preserve">esponsibility </w:t>
      </w:r>
    </w:p>
    <w:p w14:paraId="736133CE" w14:textId="77777777" w:rsidR="001653C8" w:rsidRPr="00C74C2C" w:rsidRDefault="001653C8" w:rsidP="00C74C2C">
      <w:pPr>
        <w:jc w:val="both"/>
        <w:rPr>
          <w:rFonts w:ascii="Arial" w:hAnsi="Arial" w:cs="Arial"/>
          <w:sz w:val="20"/>
          <w:szCs w:val="20"/>
          <w:lang w:val="en-GB"/>
        </w:rPr>
      </w:pPr>
      <w:r w:rsidRPr="00C74C2C">
        <w:rPr>
          <w:rFonts w:ascii="Arial" w:hAnsi="Arial" w:cs="Arial"/>
          <w:sz w:val="20"/>
          <w:szCs w:val="20"/>
          <w:lang w:val="en-GB"/>
        </w:rPr>
        <w:t xml:space="preserve">As Accounting Officer, I have responsibility for maintaining a sound system of internal control that supports the achievement of the NHS foundation trust’s policies, aims and objectives, whilst safeguarding the public funds and departmental assets for which I am personally responsible, in accordance with the responsibilities assigned to me. I am also responsible for ensuring that the NHS foundation trust is administered prudently and economically and that resources are applied efficiently and effectively. I also acknowledge my responsibilities as set out in the NHS Foundation Trust Accounting Officer Memorandum. </w:t>
      </w:r>
    </w:p>
    <w:p w14:paraId="730D6A75" w14:textId="77777777" w:rsidR="001653C8" w:rsidRPr="00C74C2C" w:rsidRDefault="001653C8" w:rsidP="00C74C2C">
      <w:pPr>
        <w:jc w:val="both"/>
        <w:rPr>
          <w:rFonts w:ascii="Arial" w:hAnsi="Arial" w:cs="Arial"/>
          <w:sz w:val="20"/>
          <w:szCs w:val="20"/>
          <w:lang w:val="en-GB"/>
        </w:rPr>
      </w:pPr>
    </w:p>
    <w:p w14:paraId="64B9F7D3" w14:textId="77777777" w:rsidR="001653C8" w:rsidRPr="00C74C2C" w:rsidRDefault="001653C8" w:rsidP="00C74C2C">
      <w:pPr>
        <w:jc w:val="both"/>
        <w:rPr>
          <w:rFonts w:ascii="Arial" w:hAnsi="Arial" w:cs="Arial"/>
          <w:b/>
          <w:sz w:val="20"/>
          <w:szCs w:val="20"/>
          <w:lang w:val="en-GB"/>
        </w:rPr>
      </w:pPr>
      <w:r w:rsidRPr="00C74C2C">
        <w:rPr>
          <w:rFonts w:ascii="Arial" w:hAnsi="Arial" w:cs="Arial"/>
          <w:b/>
          <w:sz w:val="20"/>
          <w:szCs w:val="20"/>
          <w:lang w:val="en-GB"/>
        </w:rPr>
        <w:t xml:space="preserve">The purpose of the system of internal control </w:t>
      </w:r>
    </w:p>
    <w:p w14:paraId="4D653417" w14:textId="77777777" w:rsidR="001653C8" w:rsidRPr="00C74C2C" w:rsidRDefault="001653C8" w:rsidP="00C74C2C">
      <w:pPr>
        <w:jc w:val="both"/>
        <w:rPr>
          <w:rFonts w:ascii="Arial" w:hAnsi="Arial" w:cs="Arial"/>
          <w:sz w:val="20"/>
          <w:szCs w:val="20"/>
          <w:lang w:val="en-GB"/>
        </w:rPr>
      </w:pPr>
      <w:r w:rsidRPr="00C74C2C">
        <w:rPr>
          <w:rFonts w:ascii="Arial" w:hAnsi="Arial" w:cs="Arial"/>
          <w:sz w:val="20"/>
          <w:szCs w:val="20"/>
          <w:lang w:val="en-GB"/>
        </w:rPr>
        <w:t>The system of internal control is designed to manage risk to a reasonable level rather than to eliminate all risk of failure to achieve policies, aims and objectives; it can therefore only provide reasonable and not absolute assurance of effectiveness. The system of internal control is based on an ongoing process designed to identify and prioritise the risks to the achievement of the policies, aims and objectives of Medway NHS Foundation Trust, to evaluate the likelihood of those risks being realised and the impact should they be realised, and to manage them efficiently, effectively and economically. The system of internal control has been in place in Medway NHS Foundation Trust for the year ended 31 March 202</w:t>
      </w:r>
      <w:r w:rsidR="003932CF" w:rsidRPr="00C74C2C">
        <w:rPr>
          <w:rFonts w:ascii="Arial" w:hAnsi="Arial" w:cs="Arial"/>
          <w:sz w:val="20"/>
          <w:szCs w:val="20"/>
          <w:lang w:val="en-GB"/>
        </w:rPr>
        <w:t>5</w:t>
      </w:r>
      <w:r w:rsidRPr="00C74C2C">
        <w:rPr>
          <w:rFonts w:ascii="Arial" w:hAnsi="Arial" w:cs="Arial"/>
          <w:sz w:val="20"/>
          <w:szCs w:val="20"/>
          <w:lang w:val="en-GB"/>
        </w:rPr>
        <w:t xml:space="preserve"> and up to the date of approval of the annual report and accounts. </w:t>
      </w:r>
    </w:p>
    <w:p w14:paraId="3E8C3969" w14:textId="77777777" w:rsidR="001653C8" w:rsidRPr="00C74C2C" w:rsidRDefault="001653C8" w:rsidP="00C74C2C">
      <w:pPr>
        <w:jc w:val="both"/>
        <w:rPr>
          <w:rFonts w:ascii="Arial" w:hAnsi="Arial" w:cs="Arial"/>
          <w:sz w:val="20"/>
          <w:szCs w:val="20"/>
          <w:lang w:val="en-GB"/>
        </w:rPr>
      </w:pPr>
    </w:p>
    <w:p w14:paraId="24834FEE" w14:textId="77777777" w:rsidR="001653C8" w:rsidRPr="00C74C2C" w:rsidRDefault="001653C8" w:rsidP="00C74C2C">
      <w:pPr>
        <w:jc w:val="both"/>
        <w:rPr>
          <w:rFonts w:ascii="Arial" w:hAnsi="Arial" w:cs="Arial"/>
          <w:sz w:val="20"/>
          <w:szCs w:val="20"/>
          <w:u w:val="single"/>
          <w:lang w:val="en-GB"/>
        </w:rPr>
      </w:pPr>
      <w:r w:rsidRPr="00C74C2C">
        <w:rPr>
          <w:rFonts w:ascii="Arial" w:hAnsi="Arial" w:cs="Arial"/>
          <w:b/>
          <w:sz w:val="20"/>
          <w:szCs w:val="20"/>
          <w:lang w:val="en-GB"/>
        </w:rPr>
        <w:t xml:space="preserve">Capacity to </w:t>
      </w:r>
      <w:r w:rsidR="00143BCB" w:rsidRPr="00C74C2C">
        <w:rPr>
          <w:rFonts w:ascii="Arial" w:hAnsi="Arial" w:cs="Arial"/>
          <w:b/>
          <w:sz w:val="20"/>
          <w:szCs w:val="20"/>
          <w:lang w:val="en-GB"/>
        </w:rPr>
        <w:t>H</w:t>
      </w:r>
      <w:r w:rsidRPr="00C74C2C">
        <w:rPr>
          <w:rFonts w:ascii="Arial" w:hAnsi="Arial" w:cs="Arial"/>
          <w:b/>
          <w:sz w:val="20"/>
          <w:szCs w:val="20"/>
          <w:lang w:val="en-GB"/>
        </w:rPr>
        <w:t xml:space="preserve">andle </w:t>
      </w:r>
      <w:r w:rsidR="00143BCB" w:rsidRPr="00C74C2C">
        <w:rPr>
          <w:rFonts w:ascii="Arial" w:hAnsi="Arial" w:cs="Arial"/>
          <w:b/>
          <w:sz w:val="20"/>
          <w:szCs w:val="20"/>
          <w:lang w:val="en-GB"/>
        </w:rPr>
        <w:t>R</w:t>
      </w:r>
      <w:r w:rsidRPr="00C74C2C">
        <w:rPr>
          <w:rFonts w:ascii="Arial" w:hAnsi="Arial" w:cs="Arial"/>
          <w:b/>
          <w:sz w:val="20"/>
          <w:szCs w:val="20"/>
          <w:lang w:val="en-GB"/>
        </w:rPr>
        <w:t xml:space="preserve">isk </w:t>
      </w:r>
    </w:p>
    <w:p w14:paraId="5C9E2EAF" w14:textId="529703CB" w:rsidR="001653C8" w:rsidRPr="00C74C2C" w:rsidRDefault="001653C8" w:rsidP="00C74C2C">
      <w:pPr>
        <w:jc w:val="both"/>
        <w:rPr>
          <w:rFonts w:ascii="Arial" w:hAnsi="Arial" w:cs="Arial"/>
          <w:sz w:val="20"/>
          <w:szCs w:val="20"/>
          <w:lang w:val="en-GB"/>
        </w:rPr>
      </w:pPr>
      <w:r w:rsidRPr="00C74C2C">
        <w:rPr>
          <w:rFonts w:ascii="Arial" w:hAnsi="Arial" w:cs="Arial"/>
          <w:sz w:val="20"/>
          <w:szCs w:val="20"/>
          <w:lang w:val="en-GB"/>
        </w:rPr>
        <w:t xml:space="preserve">As Accounting Officer, I have overall responsibility for risk management within the Trust, for meeting all statutory requirements and for ensuring adherence to the guidance issued by </w:t>
      </w:r>
      <w:r w:rsidR="00AF2476">
        <w:rPr>
          <w:rFonts w:ascii="Arial" w:hAnsi="Arial" w:cs="Arial"/>
          <w:sz w:val="20"/>
          <w:szCs w:val="20"/>
          <w:lang w:val="en-GB"/>
        </w:rPr>
        <w:t>the</w:t>
      </w:r>
      <w:r w:rsidRPr="00C74C2C">
        <w:rPr>
          <w:rFonts w:ascii="Arial" w:hAnsi="Arial" w:cs="Arial"/>
          <w:sz w:val="20"/>
          <w:szCs w:val="20"/>
          <w:lang w:val="en-GB"/>
        </w:rPr>
        <w:t xml:space="preserve"> Department of Health and Social Care and the C</w:t>
      </w:r>
      <w:r w:rsidR="000E22A2" w:rsidRPr="00C74C2C">
        <w:rPr>
          <w:rFonts w:ascii="Arial" w:hAnsi="Arial" w:cs="Arial"/>
          <w:sz w:val="20"/>
          <w:szCs w:val="20"/>
          <w:lang w:val="en-GB"/>
        </w:rPr>
        <w:t>are Quality Commission</w:t>
      </w:r>
      <w:r w:rsidR="00AF2476">
        <w:rPr>
          <w:rFonts w:ascii="Arial" w:hAnsi="Arial" w:cs="Arial"/>
          <w:sz w:val="20"/>
          <w:szCs w:val="20"/>
          <w:lang w:val="en-GB"/>
        </w:rPr>
        <w:t xml:space="preserve"> and NHS England well-led framework</w:t>
      </w:r>
      <w:r w:rsidRPr="00C74C2C">
        <w:rPr>
          <w:rFonts w:ascii="Arial" w:hAnsi="Arial" w:cs="Arial"/>
          <w:sz w:val="20"/>
          <w:szCs w:val="20"/>
          <w:lang w:val="en-GB"/>
        </w:rPr>
        <w:t xml:space="preserve"> in respect of governance.</w:t>
      </w:r>
    </w:p>
    <w:p w14:paraId="3B71C584" w14:textId="77777777" w:rsidR="001653C8" w:rsidRPr="00C74C2C" w:rsidRDefault="001653C8" w:rsidP="00C74C2C">
      <w:pPr>
        <w:jc w:val="both"/>
        <w:rPr>
          <w:rFonts w:ascii="Arial" w:hAnsi="Arial" w:cs="Arial"/>
          <w:sz w:val="20"/>
          <w:szCs w:val="20"/>
          <w:lang w:val="en-GB"/>
        </w:rPr>
      </w:pPr>
    </w:p>
    <w:p w14:paraId="16B33FE8" w14:textId="00F1CF2F" w:rsidR="001653C8" w:rsidRPr="00C74C2C" w:rsidRDefault="001653C8" w:rsidP="00C74C2C">
      <w:pPr>
        <w:jc w:val="both"/>
        <w:rPr>
          <w:rFonts w:ascii="Arial" w:hAnsi="Arial" w:cs="Arial"/>
          <w:sz w:val="20"/>
          <w:szCs w:val="20"/>
          <w:lang w:val="en-GB"/>
        </w:rPr>
      </w:pPr>
      <w:r w:rsidRPr="00C74C2C">
        <w:rPr>
          <w:rFonts w:ascii="Arial" w:hAnsi="Arial" w:cs="Arial"/>
          <w:sz w:val="20"/>
          <w:szCs w:val="20"/>
          <w:lang w:val="en-GB"/>
        </w:rPr>
        <w:t xml:space="preserve">However, the Chief Nursing Officer has had specifically defined responsibilities for leading on the management of risk throughout the Trust.  Day to day management of risks is undertaken by </w:t>
      </w:r>
      <w:r w:rsidR="00696BCD">
        <w:rPr>
          <w:rFonts w:ascii="Arial" w:hAnsi="Arial" w:cs="Arial"/>
          <w:sz w:val="20"/>
          <w:szCs w:val="20"/>
          <w:lang w:val="en-GB"/>
        </w:rPr>
        <w:t xml:space="preserve">our </w:t>
      </w:r>
      <w:r w:rsidRPr="00C74C2C">
        <w:rPr>
          <w:rFonts w:ascii="Arial" w:hAnsi="Arial" w:cs="Arial"/>
          <w:sz w:val="20"/>
          <w:szCs w:val="20"/>
          <w:lang w:val="en-GB"/>
        </w:rPr>
        <w:t>operational management</w:t>
      </w:r>
      <w:r w:rsidR="00696BCD">
        <w:rPr>
          <w:rFonts w:ascii="Arial" w:hAnsi="Arial" w:cs="Arial"/>
          <w:sz w:val="20"/>
          <w:szCs w:val="20"/>
          <w:lang w:val="en-GB"/>
        </w:rPr>
        <w:t xml:space="preserve"> teams</w:t>
      </w:r>
      <w:r w:rsidRPr="00C74C2C">
        <w:rPr>
          <w:rFonts w:ascii="Arial" w:hAnsi="Arial" w:cs="Arial"/>
          <w:sz w:val="20"/>
          <w:szCs w:val="20"/>
          <w:lang w:val="en-GB"/>
        </w:rPr>
        <w:t xml:space="preserve">, who are charged with ensuring risk </w:t>
      </w:r>
      <w:r w:rsidR="000B4E56">
        <w:rPr>
          <w:rFonts w:ascii="Arial" w:hAnsi="Arial" w:cs="Arial"/>
          <w:sz w:val="20"/>
          <w:szCs w:val="20"/>
          <w:lang w:val="en-GB"/>
        </w:rPr>
        <w:t xml:space="preserve">identification, evaluation and </w:t>
      </w:r>
      <w:r w:rsidRPr="00C74C2C">
        <w:rPr>
          <w:rFonts w:ascii="Arial" w:hAnsi="Arial" w:cs="Arial"/>
          <w:sz w:val="20"/>
          <w:szCs w:val="20"/>
          <w:lang w:val="en-GB"/>
        </w:rPr>
        <w:t>assessments are undertaken proactively throughout their area of responsibility and remedial action</w:t>
      </w:r>
      <w:r w:rsidR="000B4E56">
        <w:rPr>
          <w:rFonts w:ascii="Arial" w:hAnsi="Arial" w:cs="Arial"/>
          <w:sz w:val="20"/>
          <w:szCs w:val="20"/>
          <w:lang w:val="en-GB"/>
        </w:rPr>
        <w:t xml:space="preserve"> (treat, transfer, tolerate or terminate)</w:t>
      </w:r>
      <w:r w:rsidRPr="00C74C2C">
        <w:rPr>
          <w:rFonts w:ascii="Arial" w:hAnsi="Arial" w:cs="Arial"/>
          <w:sz w:val="20"/>
          <w:szCs w:val="20"/>
          <w:lang w:val="en-GB"/>
        </w:rPr>
        <w:t xml:space="preserve"> is carried out where </w:t>
      </w:r>
      <w:r w:rsidR="000B4E56">
        <w:rPr>
          <w:rFonts w:ascii="Arial" w:hAnsi="Arial" w:cs="Arial"/>
          <w:sz w:val="20"/>
          <w:szCs w:val="20"/>
          <w:lang w:val="en-GB"/>
        </w:rPr>
        <w:t>risks and issues</w:t>
      </w:r>
      <w:r w:rsidRPr="00C74C2C">
        <w:rPr>
          <w:rFonts w:ascii="Arial" w:hAnsi="Arial" w:cs="Arial"/>
          <w:sz w:val="20"/>
          <w:szCs w:val="20"/>
          <w:lang w:val="en-GB"/>
        </w:rPr>
        <w:t xml:space="preserve"> are identified. The process of identification, assessment, analysis and management of risks (including incidents) is the responsibility of all staff across the Trust and particularly of all managers.</w:t>
      </w:r>
    </w:p>
    <w:p w14:paraId="75A770C8" w14:textId="77777777" w:rsidR="001653C8" w:rsidRPr="00C74C2C" w:rsidRDefault="001653C8" w:rsidP="00C74C2C">
      <w:pPr>
        <w:jc w:val="both"/>
        <w:rPr>
          <w:rFonts w:ascii="Arial" w:hAnsi="Arial" w:cs="Arial"/>
          <w:sz w:val="20"/>
          <w:szCs w:val="20"/>
          <w:lang w:val="en-GB"/>
        </w:rPr>
      </w:pPr>
    </w:p>
    <w:p w14:paraId="339EB021" w14:textId="2430D897" w:rsidR="001653C8" w:rsidRPr="00C74C2C" w:rsidRDefault="001653C8" w:rsidP="00C74C2C">
      <w:pPr>
        <w:jc w:val="both"/>
        <w:rPr>
          <w:rFonts w:ascii="Arial" w:hAnsi="Arial" w:cs="Arial"/>
          <w:sz w:val="20"/>
          <w:szCs w:val="20"/>
          <w:lang w:val="en-GB"/>
        </w:rPr>
      </w:pPr>
      <w:r w:rsidRPr="00C74C2C">
        <w:rPr>
          <w:rFonts w:ascii="Arial" w:hAnsi="Arial" w:cs="Arial"/>
          <w:sz w:val="20"/>
          <w:szCs w:val="20"/>
          <w:lang w:val="en-GB"/>
        </w:rPr>
        <w:t xml:space="preserve">The Trust has an Integrated Risk Management </w:t>
      </w:r>
      <w:r w:rsidR="000B4E56">
        <w:rPr>
          <w:rFonts w:ascii="Arial" w:hAnsi="Arial" w:cs="Arial"/>
          <w:sz w:val="20"/>
          <w:szCs w:val="20"/>
          <w:lang w:val="en-GB"/>
        </w:rPr>
        <w:t>Framework</w:t>
      </w:r>
      <w:r w:rsidRPr="00C74C2C">
        <w:rPr>
          <w:rFonts w:ascii="Arial" w:hAnsi="Arial" w:cs="Arial"/>
          <w:sz w:val="20"/>
          <w:szCs w:val="20"/>
          <w:lang w:val="en-GB"/>
        </w:rPr>
        <w:t xml:space="preserve"> and Policy in place which clearly sets out the accountability, reporting arrangements, identification, management for the control of risk, along with the risk management process of escalation and de-escalation to be followed.  All relevant policies and procedures relating to risks are available to staff via the Trust</w:t>
      </w:r>
      <w:r w:rsidR="000E22A2" w:rsidRPr="00C74C2C">
        <w:rPr>
          <w:rFonts w:ascii="Arial" w:hAnsi="Arial" w:cs="Arial"/>
          <w:sz w:val="20"/>
          <w:szCs w:val="20"/>
          <w:lang w:val="en-GB"/>
        </w:rPr>
        <w:t>’s</w:t>
      </w:r>
      <w:r w:rsidRPr="00C74C2C">
        <w:rPr>
          <w:rFonts w:ascii="Arial" w:hAnsi="Arial" w:cs="Arial"/>
          <w:sz w:val="20"/>
          <w:szCs w:val="20"/>
          <w:lang w:val="en-GB"/>
        </w:rPr>
        <w:t xml:space="preserve"> intranet</w:t>
      </w:r>
      <w:r w:rsidR="000B4E56">
        <w:rPr>
          <w:rFonts w:ascii="Arial" w:hAnsi="Arial" w:cs="Arial"/>
          <w:sz w:val="20"/>
          <w:szCs w:val="20"/>
          <w:lang w:val="en-GB"/>
        </w:rPr>
        <w:t xml:space="preserve"> and policy library</w:t>
      </w:r>
      <w:r w:rsidRPr="00C74C2C">
        <w:rPr>
          <w:rFonts w:ascii="Arial" w:hAnsi="Arial" w:cs="Arial"/>
          <w:sz w:val="20"/>
          <w:szCs w:val="20"/>
          <w:lang w:val="en-GB"/>
        </w:rPr>
        <w:t xml:space="preserve">.  The </w:t>
      </w:r>
      <w:r w:rsidR="000E22A2" w:rsidRPr="00C74C2C">
        <w:rPr>
          <w:rFonts w:ascii="Arial" w:hAnsi="Arial" w:cs="Arial"/>
          <w:sz w:val="20"/>
          <w:szCs w:val="20"/>
          <w:lang w:val="en-GB"/>
        </w:rPr>
        <w:t>E</w:t>
      </w:r>
      <w:r w:rsidRPr="00C74C2C">
        <w:rPr>
          <w:rFonts w:ascii="Arial" w:hAnsi="Arial" w:cs="Arial"/>
          <w:sz w:val="20"/>
          <w:szCs w:val="20"/>
          <w:lang w:val="en-GB"/>
        </w:rPr>
        <w:t xml:space="preserve">xecutive </w:t>
      </w:r>
      <w:r w:rsidR="000E22A2" w:rsidRPr="00C74C2C">
        <w:rPr>
          <w:rFonts w:ascii="Arial" w:hAnsi="Arial" w:cs="Arial"/>
          <w:sz w:val="20"/>
          <w:szCs w:val="20"/>
          <w:lang w:val="en-GB"/>
        </w:rPr>
        <w:t>D</w:t>
      </w:r>
      <w:r w:rsidRPr="00C74C2C">
        <w:rPr>
          <w:rFonts w:ascii="Arial" w:hAnsi="Arial" w:cs="Arial"/>
          <w:sz w:val="20"/>
          <w:szCs w:val="20"/>
          <w:lang w:val="en-GB"/>
        </w:rPr>
        <w:t>irectors also monitor planned actions to mitigate risks and considers risks for inclusion in the corporate risk register or Board Assurance Framework.  Risk management is a core component of the job descriptions of senior managers within the Trust.</w:t>
      </w:r>
    </w:p>
    <w:p w14:paraId="69D7A50C" w14:textId="77777777" w:rsidR="001653C8" w:rsidRPr="00C74C2C" w:rsidRDefault="001653C8" w:rsidP="00C74C2C">
      <w:pPr>
        <w:jc w:val="both"/>
        <w:rPr>
          <w:rFonts w:ascii="Arial" w:hAnsi="Arial" w:cs="Arial"/>
          <w:sz w:val="20"/>
          <w:szCs w:val="20"/>
          <w:lang w:val="en-GB"/>
        </w:rPr>
      </w:pPr>
    </w:p>
    <w:p w14:paraId="10E3AD01" w14:textId="77777777" w:rsidR="001653C8" w:rsidRPr="00C74C2C" w:rsidRDefault="001653C8" w:rsidP="00C74C2C">
      <w:pPr>
        <w:jc w:val="both"/>
        <w:rPr>
          <w:rFonts w:ascii="Arial" w:hAnsi="Arial" w:cs="Arial"/>
          <w:sz w:val="20"/>
          <w:szCs w:val="20"/>
          <w:lang w:val="en-GB"/>
        </w:rPr>
      </w:pPr>
      <w:r w:rsidRPr="00C74C2C">
        <w:rPr>
          <w:rFonts w:ascii="Arial" w:hAnsi="Arial" w:cs="Arial"/>
          <w:sz w:val="20"/>
          <w:szCs w:val="20"/>
          <w:lang w:val="en-GB"/>
        </w:rPr>
        <w:t xml:space="preserve">The Trust’s integrated quality and performance report is reviewed by all committees of the Board and the Trust Board at each meeting.  Deep dives are usually carried out for indicators where there is sustained adverse performance.  There are monthly performance improvement meetings between the group executive and the divisions to discuss areas of adverse performance as well as a dedicated risk review group which has representation from all areas of the Trusts business.  </w:t>
      </w:r>
    </w:p>
    <w:p w14:paraId="0970CB92" w14:textId="77777777" w:rsidR="001653C8" w:rsidRPr="00C74C2C" w:rsidRDefault="001653C8" w:rsidP="00C74C2C">
      <w:pPr>
        <w:jc w:val="both"/>
        <w:rPr>
          <w:rFonts w:ascii="Arial" w:hAnsi="Arial" w:cs="Arial"/>
          <w:sz w:val="20"/>
          <w:szCs w:val="20"/>
          <w:lang w:val="en-GB"/>
        </w:rPr>
      </w:pPr>
    </w:p>
    <w:p w14:paraId="473E491A" w14:textId="77777777" w:rsidR="001653C8" w:rsidRPr="00C74C2C" w:rsidRDefault="001653C8" w:rsidP="00C74C2C">
      <w:pPr>
        <w:jc w:val="both"/>
        <w:rPr>
          <w:rFonts w:ascii="Arial" w:hAnsi="Arial" w:cs="Arial"/>
          <w:sz w:val="20"/>
          <w:szCs w:val="20"/>
          <w:lang w:val="en-GB"/>
        </w:rPr>
      </w:pPr>
      <w:r w:rsidRPr="00C74C2C">
        <w:rPr>
          <w:rFonts w:ascii="Arial" w:hAnsi="Arial" w:cs="Arial"/>
          <w:sz w:val="20"/>
          <w:szCs w:val="20"/>
          <w:lang w:val="en-GB"/>
        </w:rPr>
        <w:t>The Trust learns from good practice through a range of mechanisms including clinical supervision and performance management, continuing professional development, clinical and process audit and application of evidence-based practice.  At the heart of the Trust Risk Management framework is the desire to learn from events and situations in order to continuously improve management processes.  Where necessary, and where appropriate, changes will be made to the Trust’s systems to enable this to happen.</w:t>
      </w:r>
    </w:p>
    <w:p w14:paraId="3B87329A" w14:textId="77777777" w:rsidR="001653C8" w:rsidRPr="00C74C2C" w:rsidRDefault="001653C8" w:rsidP="00C74C2C">
      <w:pPr>
        <w:jc w:val="both"/>
        <w:rPr>
          <w:rFonts w:ascii="Arial" w:hAnsi="Arial" w:cs="Arial"/>
          <w:b/>
          <w:sz w:val="20"/>
          <w:szCs w:val="20"/>
          <w:lang w:val="en-GB"/>
        </w:rPr>
      </w:pPr>
    </w:p>
    <w:p w14:paraId="4CAD14B6" w14:textId="7FDDBF8B" w:rsidR="001653C8" w:rsidRPr="00C74C2C" w:rsidRDefault="001653C8" w:rsidP="00C74C2C">
      <w:pPr>
        <w:jc w:val="both"/>
        <w:rPr>
          <w:rFonts w:ascii="Arial" w:hAnsi="Arial" w:cs="Arial"/>
          <w:b/>
          <w:sz w:val="20"/>
          <w:szCs w:val="20"/>
          <w:highlight w:val="yellow"/>
        </w:rPr>
      </w:pPr>
      <w:bookmarkStart w:id="35" w:name="_Hlk197087870"/>
      <w:bookmarkStart w:id="36" w:name="_Hlk197091651"/>
      <w:r w:rsidRPr="00C74C2C">
        <w:rPr>
          <w:rFonts w:ascii="Arial" w:hAnsi="Arial" w:cs="Arial"/>
          <w:b/>
          <w:sz w:val="20"/>
          <w:szCs w:val="20"/>
          <w:lang w:val="en-GB"/>
        </w:rPr>
        <w:t xml:space="preserve">The </w:t>
      </w:r>
      <w:r w:rsidR="00ED63D7" w:rsidRPr="00C74C2C">
        <w:rPr>
          <w:rFonts w:ascii="Arial" w:hAnsi="Arial" w:cs="Arial"/>
          <w:b/>
          <w:sz w:val="20"/>
          <w:szCs w:val="20"/>
          <w:lang w:val="en-GB"/>
        </w:rPr>
        <w:t>R</w:t>
      </w:r>
      <w:r w:rsidRPr="00C74C2C">
        <w:rPr>
          <w:rFonts w:ascii="Arial" w:hAnsi="Arial" w:cs="Arial"/>
          <w:b/>
          <w:sz w:val="20"/>
          <w:szCs w:val="20"/>
          <w:lang w:val="en-GB"/>
        </w:rPr>
        <w:t xml:space="preserve">isk and </w:t>
      </w:r>
      <w:r w:rsidR="00ED63D7" w:rsidRPr="00C74C2C">
        <w:rPr>
          <w:rFonts w:ascii="Arial" w:hAnsi="Arial" w:cs="Arial"/>
          <w:b/>
          <w:sz w:val="20"/>
          <w:szCs w:val="20"/>
          <w:lang w:val="en-GB"/>
        </w:rPr>
        <w:t>C</w:t>
      </w:r>
      <w:r w:rsidRPr="00C74C2C">
        <w:rPr>
          <w:rFonts w:ascii="Arial" w:hAnsi="Arial" w:cs="Arial"/>
          <w:b/>
          <w:sz w:val="20"/>
          <w:szCs w:val="20"/>
          <w:lang w:val="en-GB"/>
        </w:rPr>
        <w:t xml:space="preserve">ontrol </w:t>
      </w:r>
      <w:r w:rsidR="00ED63D7" w:rsidRPr="00C74C2C">
        <w:rPr>
          <w:rFonts w:ascii="Arial" w:hAnsi="Arial" w:cs="Arial"/>
          <w:b/>
          <w:sz w:val="20"/>
          <w:szCs w:val="20"/>
          <w:lang w:val="en-GB"/>
        </w:rPr>
        <w:t>F</w:t>
      </w:r>
      <w:r w:rsidRPr="00C74C2C">
        <w:rPr>
          <w:rFonts w:ascii="Arial" w:hAnsi="Arial" w:cs="Arial"/>
          <w:b/>
          <w:sz w:val="20"/>
          <w:szCs w:val="20"/>
          <w:lang w:val="en-GB"/>
        </w:rPr>
        <w:t xml:space="preserve">ramework </w:t>
      </w:r>
      <w:bookmarkEnd w:id="35"/>
    </w:p>
    <w:bookmarkEnd w:id="36"/>
    <w:p w14:paraId="270070FF" w14:textId="02F64CED" w:rsidR="001653C8" w:rsidRDefault="001653C8" w:rsidP="00C74C2C">
      <w:pPr>
        <w:jc w:val="both"/>
        <w:rPr>
          <w:rFonts w:ascii="Arial" w:hAnsi="Arial" w:cs="Arial"/>
          <w:sz w:val="20"/>
          <w:szCs w:val="20"/>
          <w:lang w:val="en-GB"/>
        </w:rPr>
      </w:pPr>
      <w:r w:rsidRPr="00C74C2C">
        <w:rPr>
          <w:rFonts w:ascii="Arial" w:hAnsi="Arial" w:cs="Arial"/>
          <w:sz w:val="20"/>
          <w:szCs w:val="20"/>
          <w:lang w:val="en-GB"/>
        </w:rPr>
        <w:t>The process starts with systematic identification of risks which are then evaluated</w:t>
      </w:r>
      <w:r w:rsidR="004611BA">
        <w:rPr>
          <w:rFonts w:ascii="Arial" w:hAnsi="Arial" w:cs="Arial"/>
          <w:sz w:val="20"/>
          <w:szCs w:val="20"/>
          <w:lang w:val="en-GB"/>
        </w:rPr>
        <w:t xml:space="preserve"> and</w:t>
      </w:r>
      <w:r w:rsidRPr="00C74C2C">
        <w:rPr>
          <w:rFonts w:ascii="Arial" w:hAnsi="Arial" w:cs="Arial"/>
          <w:sz w:val="20"/>
          <w:szCs w:val="20"/>
          <w:lang w:val="en-GB"/>
        </w:rPr>
        <w:t xml:space="preserve"> graded</w:t>
      </w:r>
      <w:r w:rsidR="004611BA">
        <w:rPr>
          <w:rFonts w:ascii="Arial" w:hAnsi="Arial" w:cs="Arial"/>
          <w:sz w:val="20"/>
          <w:szCs w:val="20"/>
          <w:lang w:val="en-GB"/>
        </w:rPr>
        <w:t xml:space="preserve">; </w:t>
      </w:r>
      <w:r w:rsidR="00EA120B">
        <w:rPr>
          <w:rFonts w:ascii="Arial" w:hAnsi="Arial" w:cs="Arial"/>
          <w:sz w:val="20"/>
          <w:szCs w:val="20"/>
          <w:lang w:val="en-GB"/>
        </w:rPr>
        <w:t>considering</w:t>
      </w:r>
      <w:r w:rsidR="004611BA">
        <w:rPr>
          <w:rFonts w:ascii="Arial" w:hAnsi="Arial" w:cs="Arial"/>
          <w:sz w:val="20"/>
          <w:szCs w:val="20"/>
          <w:lang w:val="en-GB"/>
        </w:rPr>
        <w:t xml:space="preserve"> the specific treatment types (treat, transfer, tolerate or terminate). If treated then</w:t>
      </w:r>
      <w:r w:rsidRPr="00C74C2C">
        <w:rPr>
          <w:rFonts w:ascii="Arial" w:hAnsi="Arial" w:cs="Arial"/>
          <w:sz w:val="20"/>
          <w:szCs w:val="20"/>
          <w:lang w:val="en-GB"/>
        </w:rPr>
        <w:t xml:space="preserve"> either managed locally (with risk control measures identified and implemented to mitigate the potential for </w:t>
      </w:r>
      <w:r w:rsidRPr="00C74C2C">
        <w:rPr>
          <w:rFonts w:ascii="Arial" w:hAnsi="Arial" w:cs="Arial"/>
          <w:sz w:val="20"/>
          <w:szCs w:val="20"/>
          <w:lang w:val="en-GB"/>
        </w:rPr>
        <w:lastRenderedPageBreak/>
        <w:t xml:space="preserve">harm), or escalated for possible inclusion in the clinical or corporate risk registers.  There are clear lines of accountability for the management of risks with an integrated and effective approach to managing risk across the Trust with defined structures, clear routes for escalation/de-escalation and challenge.   </w:t>
      </w:r>
    </w:p>
    <w:p w14:paraId="56FBA92C" w14:textId="77777777" w:rsidR="004611BA" w:rsidRPr="00C74C2C" w:rsidRDefault="004611BA" w:rsidP="00C74C2C">
      <w:pPr>
        <w:jc w:val="both"/>
        <w:rPr>
          <w:rFonts w:ascii="Arial" w:hAnsi="Arial" w:cs="Arial"/>
          <w:sz w:val="20"/>
          <w:szCs w:val="20"/>
          <w:lang w:val="en-GB"/>
        </w:rPr>
      </w:pPr>
    </w:p>
    <w:p w14:paraId="0F95E237" w14:textId="77777777" w:rsidR="001653C8" w:rsidRPr="00C74C2C" w:rsidRDefault="001653C8" w:rsidP="00C74C2C">
      <w:pPr>
        <w:jc w:val="both"/>
        <w:rPr>
          <w:rFonts w:ascii="Arial" w:hAnsi="Arial" w:cs="Arial"/>
          <w:sz w:val="20"/>
          <w:szCs w:val="20"/>
          <w:lang w:val="en-GB"/>
        </w:rPr>
      </w:pPr>
      <w:r w:rsidRPr="00C74C2C">
        <w:rPr>
          <w:rFonts w:ascii="Arial" w:hAnsi="Arial" w:cs="Arial"/>
          <w:sz w:val="20"/>
          <w:szCs w:val="20"/>
          <w:lang w:val="en-GB"/>
        </w:rPr>
        <w:t>A risk management matrix with clear risk descriptors and tolerance levels is used to support a consistent approach to assessing and responding to clinical and non-clinical risks and the Trust’s appetite for risk is set within the boundaries of this risk evaluation.  The Trust seeks to reduce risks to a level as low as reasonably practicable, however it is recognised that delivering healthcare carries inherent risks that can never be completely eradicated.  The Trust recognises that a key factor in driving its priorities is to ensure that effective risk management arrangements are in place and embedded in the organisation’s practices and processes.  The Board and its committees are aligned to assure that there is independent and strategic focus on risk and assurance.</w:t>
      </w:r>
    </w:p>
    <w:p w14:paraId="04141AAC" w14:textId="77777777" w:rsidR="001653C8" w:rsidRPr="00C74C2C" w:rsidRDefault="001653C8" w:rsidP="00C74C2C">
      <w:pPr>
        <w:jc w:val="both"/>
        <w:rPr>
          <w:rFonts w:ascii="Arial" w:hAnsi="Arial" w:cs="Arial"/>
          <w:sz w:val="20"/>
          <w:szCs w:val="20"/>
          <w:lang w:val="en-GB"/>
        </w:rPr>
      </w:pPr>
    </w:p>
    <w:p w14:paraId="124FDEED" w14:textId="77777777" w:rsidR="001653C8" w:rsidRPr="00C74C2C" w:rsidRDefault="001653C8" w:rsidP="00C74C2C">
      <w:pPr>
        <w:jc w:val="both"/>
        <w:rPr>
          <w:rFonts w:ascii="Arial" w:hAnsi="Arial" w:cs="Arial"/>
          <w:sz w:val="20"/>
          <w:szCs w:val="20"/>
          <w:lang w:val="en-GB"/>
        </w:rPr>
      </w:pPr>
      <w:r w:rsidRPr="00C74C2C">
        <w:rPr>
          <w:rFonts w:ascii="Arial" w:hAnsi="Arial" w:cs="Arial"/>
          <w:sz w:val="20"/>
          <w:szCs w:val="20"/>
          <w:lang w:val="en-GB"/>
        </w:rPr>
        <w:t xml:space="preserve">A Patient Safety Group, chaired by the Director of Integrated Governance, Quality and Patient Safety meets monthly to ensure detailed scrutiny of, and learning from incidents, as well as the early identification of emerging themes and associated organisational risks. </w:t>
      </w:r>
    </w:p>
    <w:p w14:paraId="1D27E48B" w14:textId="77777777" w:rsidR="001653C8" w:rsidRPr="00C74C2C" w:rsidRDefault="001653C8" w:rsidP="00C74C2C">
      <w:pPr>
        <w:jc w:val="both"/>
        <w:rPr>
          <w:rFonts w:ascii="Arial" w:hAnsi="Arial" w:cs="Arial"/>
          <w:sz w:val="20"/>
          <w:szCs w:val="20"/>
          <w:highlight w:val="yellow"/>
          <w:lang w:val="en-GB"/>
        </w:rPr>
      </w:pPr>
    </w:p>
    <w:p w14:paraId="1E77760D" w14:textId="5C9D9664" w:rsidR="001653C8" w:rsidRPr="00C74C2C" w:rsidRDefault="001653C8" w:rsidP="00C74C2C">
      <w:pPr>
        <w:jc w:val="both"/>
        <w:rPr>
          <w:rFonts w:ascii="Arial" w:hAnsi="Arial" w:cs="Arial"/>
          <w:sz w:val="20"/>
          <w:szCs w:val="20"/>
          <w:highlight w:val="yellow"/>
          <w:lang w:val="en-GB"/>
        </w:rPr>
      </w:pPr>
      <w:r w:rsidRPr="00C74C2C">
        <w:rPr>
          <w:rFonts w:ascii="Arial" w:hAnsi="Arial" w:cs="Arial"/>
          <w:sz w:val="20"/>
          <w:szCs w:val="20"/>
          <w:lang w:val="en-GB"/>
        </w:rPr>
        <w:t>During 202</w:t>
      </w:r>
      <w:r w:rsidR="005B3799" w:rsidRPr="00C74C2C">
        <w:rPr>
          <w:rFonts w:ascii="Arial" w:hAnsi="Arial" w:cs="Arial"/>
          <w:sz w:val="20"/>
          <w:szCs w:val="20"/>
          <w:lang w:val="en-GB"/>
        </w:rPr>
        <w:t>4</w:t>
      </w:r>
      <w:r w:rsidRPr="00C74C2C">
        <w:rPr>
          <w:rFonts w:ascii="Arial" w:hAnsi="Arial" w:cs="Arial"/>
          <w:sz w:val="20"/>
          <w:szCs w:val="20"/>
          <w:lang w:val="en-GB"/>
        </w:rPr>
        <w:t>/2</w:t>
      </w:r>
      <w:r w:rsidR="005B3799" w:rsidRPr="00C74C2C">
        <w:rPr>
          <w:rFonts w:ascii="Arial" w:hAnsi="Arial" w:cs="Arial"/>
          <w:sz w:val="20"/>
          <w:szCs w:val="20"/>
          <w:lang w:val="en-GB"/>
        </w:rPr>
        <w:t>5</w:t>
      </w:r>
      <w:r w:rsidRPr="00C74C2C">
        <w:rPr>
          <w:rFonts w:ascii="Arial" w:hAnsi="Arial" w:cs="Arial"/>
          <w:sz w:val="20"/>
          <w:szCs w:val="20"/>
          <w:lang w:val="en-GB"/>
        </w:rPr>
        <w:t xml:space="preserve"> the Trust</w:t>
      </w:r>
      <w:r w:rsidRPr="009B78CC">
        <w:rPr>
          <w:rFonts w:ascii="Arial" w:hAnsi="Arial" w:cs="Arial"/>
          <w:sz w:val="20"/>
          <w:szCs w:val="20"/>
          <w:lang w:val="en-GB"/>
        </w:rPr>
        <w:t xml:space="preserve"> embarked on a review of the governance structures following the</w:t>
      </w:r>
      <w:r w:rsidR="004611BA" w:rsidRPr="009B78CC">
        <w:rPr>
          <w:rFonts w:ascii="Arial" w:hAnsi="Arial" w:cs="Arial"/>
          <w:sz w:val="20"/>
          <w:szCs w:val="20"/>
          <w:lang w:val="en-GB"/>
        </w:rPr>
        <w:t xml:space="preserve"> </w:t>
      </w:r>
      <w:r w:rsidR="008B1601" w:rsidRPr="008B1601">
        <w:rPr>
          <w:rFonts w:ascii="Arial" w:hAnsi="Arial" w:cs="Arial"/>
          <w:sz w:val="20"/>
          <w:szCs w:val="20"/>
          <w:lang w:val="en-GB"/>
        </w:rPr>
        <w:t>continued introduction</w:t>
      </w:r>
      <w:r w:rsidRPr="009B78CC">
        <w:rPr>
          <w:rFonts w:ascii="Arial" w:hAnsi="Arial" w:cs="Arial"/>
          <w:sz w:val="20"/>
          <w:szCs w:val="20"/>
          <w:lang w:val="en-GB"/>
        </w:rPr>
        <w:t xml:space="preserve"> of the trust wide Patient First continual improvement approach.  Arrangements provide the necessary support to deliver operational priorities, improvement plans and strategic ambitions.  This included a refreshed Executive structure to ensure optimal assurance and alignment to Board committees.  A refreshed constitution and scheme of delegation was drafted</w:t>
      </w:r>
      <w:r w:rsidR="008B1601" w:rsidRPr="009B78CC">
        <w:rPr>
          <w:rFonts w:ascii="Arial" w:hAnsi="Arial" w:cs="Arial"/>
          <w:sz w:val="20"/>
          <w:szCs w:val="20"/>
          <w:lang w:val="en-GB"/>
        </w:rPr>
        <w:t xml:space="preserve"> and assessed against the CQC and NHS England well-led framework. </w:t>
      </w:r>
      <w:r w:rsidRPr="009B78CC">
        <w:rPr>
          <w:rFonts w:ascii="Arial" w:hAnsi="Arial" w:cs="Arial"/>
          <w:sz w:val="20"/>
          <w:szCs w:val="20"/>
          <w:lang w:val="en-GB"/>
        </w:rPr>
        <w:t>The Trust Executive Team continue to reinforce the importance of clinical leadership and oversees a number of supporting sub-committees.</w:t>
      </w:r>
    </w:p>
    <w:p w14:paraId="67F8841F" w14:textId="77777777" w:rsidR="001653C8" w:rsidRPr="00C74C2C" w:rsidRDefault="001653C8" w:rsidP="00C74C2C">
      <w:pPr>
        <w:jc w:val="both"/>
        <w:rPr>
          <w:rFonts w:ascii="Arial" w:hAnsi="Arial" w:cs="Arial"/>
          <w:sz w:val="20"/>
          <w:szCs w:val="20"/>
          <w:highlight w:val="yellow"/>
          <w:lang w:val="en-GB"/>
        </w:rPr>
      </w:pPr>
    </w:p>
    <w:p w14:paraId="43F18A54" w14:textId="249F5631" w:rsidR="001653C8" w:rsidRPr="00C74C2C" w:rsidRDefault="001653C8" w:rsidP="00C74C2C">
      <w:pPr>
        <w:jc w:val="both"/>
        <w:rPr>
          <w:rFonts w:ascii="Arial" w:hAnsi="Arial" w:cs="Arial"/>
          <w:sz w:val="20"/>
          <w:szCs w:val="20"/>
          <w:lang w:val="en-GB"/>
        </w:rPr>
      </w:pPr>
      <w:r w:rsidRPr="00C74C2C">
        <w:rPr>
          <w:rFonts w:ascii="Arial" w:hAnsi="Arial" w:cs="Arial"/>
          <w:sz w:val="20"/>
          <w:szCs w:val="20"/>
          <w:lang w:val="en-GB"/>
        </w:rPr>
        <w:t xml:space="preserve">The Board Assurance Framework (BAF) sets out the principal risks to deliver strategic objectives and the key controls and assurances available to the Board on </w:t>
      </w:r>
      <w:r w:rsidR="00861E0C" w:rsidRPr="00C74C2C">
        <w:rPr>
          <w:rFonts w:ascii="Arial" w:hAnsi="Arial" w:cs="Arial"/>
          <w:sz w:val="20"/>
          <w:szCs w:val="20"/>
          <w:lang w:val="en-GB"/>
        </w:rPr>
        <w:t xml:space="preserve">the </w:t>
      </w:r>
      <w:r w:rsidRPr="00C74C2C">
        <w:rPr>
          <w:rFonts w:ascii="Arial" w:hAnsi="Arial" w:cs="Arial"/>
          <w:sz w:val="20"/>
          <w:szCs w:val="20"/>
          <w:lang w:val="en-GB"/>
        </w:rPr>
        <w:t xml:space="preserve">management of these significant areas of risk.  Principal risks comply with the NHS Provider Licence Section 4.  The BAF also includes any Operational Risks, which may affect the achievement of the Trust’s </w:t>
      </w:r>
      <w:r w:rsidR="008B1601">
        <w:rPr>
          <w:rFonts w:ascii="Arial" w:hAnsi="Arial" w:cs="Arial"/>
          <w:sz w:val="20"/>
          <w:szCs w:val="20"/>
          <w:lang w:val="en-GB"/>
        </w:rPr>
        <w:t xml:space="preserve">strategic goals as well as the </w:t>
      </w:r>
      <w:r w:rsidRPr="00C74C2C">
        <w:rPr>
          <w:rFonts w:ascii="Arial" w:hAnsi="Arial" w:cs="Arial"/>
          <w:sz w:val="20"/>
          <w:szCs w:val="20"/>
          <w:lang w:val="en-GB"/>
        </w:rPr>
        <w:t xml:space="preserve">Patient First True North Domains. </w:t>
      </w:r>
    </w:p>
    <w:p w14:paraId="24549607" w14:textId="77777777" w:rsidR="001653C8" w:rsidRPr="00C74C2C" w:rsidRDefault="001653C8" w:rsidP="00C74C2C">
      <w:pPr>
        <w:jc w:val="both"/>
        <w:rPr>
          <w:rFonts w:ascii="Arial" w:hAnsi="Arial" w:cs="Arial"/>
          <w:sz w:val="20"/>
          <w:szCs w:val="20"/>
          <w:lang w:val="en-GB"/>
        </w:rPr>
      </w:pPr>
    </w:p>
    <w:p w14:paraId="5C0C5864" w14:textId="0FBA63CE" w:rsidR="001653C8" w:rsidRPr="009B78CC" w:rsidRDefault="001653C8" w:rsidP="00C74C2C">
      <w:pPr>
        <w:jc w:val="both"/>
        <w:rPr>
          <w:rFonts w:ascii="Arial" w:hAnsi="Arial" w:cs="Arial"/>
          <w:sz w:val="20"/>
          <w:szCs w:val="20"/>
          <w:lang w:val="en-GB"/>
        </w:rPr>
      </w:pPr>
      <w:r w:rsidRPr="00C74C2C">
        <w:rPr>
          <w:rFonts w:ascii="Arial" w:hAnsi="Arial" w:cs="Arial"/>
          <w:sz w:val="20"/>
          <w:szCs w:val="20"/>
          <w:lang w:val="en-GB"/>
        </w:rPr>
        <w:t>At the end of the 202</w:t>
      </w:r>
      <w:r w:rsidR="005B3799" w:rsidRPr="00C74C2C">
        <w:rPr>
          <w:rFonts w:ascii="Arial" w:hAnsi="Arial" w:cs="Arial"/>
          <w:sz w:val="20"/>
          <w:szCs w:val="20"/>
          <w:lang w:val="en-GB"/>
        </w:rPr>
        <w:t>4</w:t>
      </w:r>
      <w:r w:rsidRPr="00C74C2C">
        <w:rPr>
          <w:rFonts w:ascii="Arial" w:hAnsi="Arial" w:cs="Arial"/>
          <w:sz w:val="20"/>
          <w:szCs w:val="20"/>
          <w:lang w:val="en-GB"/>
        </w:rPr>
        <w:t>/2</w:t>
      </w:r>
      <w:r w:rsidR="005B3799" w:rsidRPr="00C74C2C">
        <w:rPr>
          <w:rFonts w:ascii="Arial" w:hAnsi="Arial" w:cs="Arial"/>
          <w:sz w:val="20"/>
          <w:szCs w:val="20"/>
          <w:lang w:val="en-GB"/>
        </w:rPr>
        <w:t>5</w:t>
      </w:r>
      <w:r w:rsidRPr="009B78CC">
        <w:rPr>
          <w:rFonts w:ascii="Arial" w:hAnsi="Arial" w:cs="Arial"/>
          <w:sz w:val="20"/>
          <w:szCs w:val="20"/>
          <w:lang w:val="en-GB"/>
        </w:rPr>
        <w:t xml:space="preserve"> the BAF highlighted </w:t>
      </w:r>
      <w:r w:rsidR="008B1601" w:rsidRPr="009B78CC">
        <w:rPr>
          <w:rFonts w:ascii="Arial" w:hAnsi="Arial" w:cs="Arial"/>
          <w:sz w:val="20"/>
          <w:szCs w:val="20"/>
          <w:lang w:val="en-GB"/>
        </w:rPr>
        <w:t>seven</w:t>
      </w:r>
      <w:r w:rsidRPr="009B78CC">
        <w:rPr>
          <w:rFonts w:ascii="Arial" w:hAnsi="Arial" w:cs="Arial"/>
          <w:sz w:val="20"/>
          <w:szCs w:val="20"/>
          <w:lang w:val="en-GB"/>
        </w:rPr>
        <w:t xml:space="preserve"> areas where the Board has limited or partial assurance despite significant management attention:</w:t>
      </w:r>
    </w:p>
    <w:p w14:paraId="60A7E9F7" w14:textId="77777777" w:rsidR="001653C8" w:rsidRPr="009B78CC" w:rsidRDefault="001653C8" w:rsidP="00C74C2C">
      <w:pPr>
        <w:jc w:val="both"/>
        <w:rPr>
          <w:rFonts w:ascii="Arial" w:hAnsi="Arial" w:cs="Arial"/>
          <w:sz w:val="20"/>
          <w:szCs w:val="20"/>
          <w:lang w:val="en-GB"/>
        </w:rPr>
      </w:pPr>
    </w:p>
    <w:p w14:paraId="24C78951" w14:textId="1943E76D" w:rsidR="001653C8" w:rsidRPr="009B78CC" w:rsidRDefault="001653C8" w:rsidP="00C74C2C">
      <w:pPr>
        <w:pStyle w:val="ListParagraph"/>
        <w:widowControl/>
        <w:numPr>
          <w:ilvl w:val="0"/>
          <w:numId w:val="9"/>
        </w:numPr>
        <w:ind w:left="426"/>
        <w:jc w:val="both"/>
        <w:rPr>
          <w:rFonts w:ascii="Arial" w:hAnsi="Arial" w:cs="Arial"/>
          <w:sz w:val="20"/>
          <w:szCs w:val="20"/>
          <w:lang w:val="en-GB"/>
        </w:rPr>
      </w:pPr>
      <w:r w:rsidRPr="009B78CC">
        <w:rPr>
          <w:rFonts w:ascii="Arial" w:hAnsi="Arial" w:cs="Arial"/>
          <w:sz w:val="20"/>
          <w:szCs w:val="20"/>
        </w:rPr>
        <w:t xml:space="preserve">Not delivering </w:t>
      </w:r>
      <w:r w:rsidR="001D3238" w:rsidRPr="009B78CC">
        <w:rPr>
          <w:rFonts w:ascii="Arial" w:hAnsi="Arial" w:cs="Arial"/>
          <w:sz w:val="20"/>
          <w:szCs w:val="20"/>
        </w:rPr>
        <w:t>the in-year control total</w:t>
      </w:r>
      <w:r w:rsidR="008A601C">
        <w:rPr>
          <w:rFonts w:ascii="Arial" w:hAnsi="Arial" w:cs="Arial"/>
          <w:sz w:val="20"/>
          <w:szCs w:val="20"/>
        </w:rPr>
        <w:t xml:space="preserve"> </w:t>
      </w:r>
      <w:r w:rsidRPr="009B78CC">
        <w:rPr>
          <w:rFonts w:ascii="Arial" w:hAnsi="Arial" w:cs="Arial"/>
          <w:sz w:val="20"/>
          <w:szCs w:val="20"/>
        </w:rPr>
        <w:t xml:space="preserve">(red </w:t>
      </w:r>
      <w:r w:rsidR="001D3238" w:rsidRPr="009B78CC">
        <w:rPr>
          <w:rFonts w:ascii="Arial" w:hAnsi="Arial" w:cs="Arial"/>
          <w:sz w:val="20"/>
          <w:szCs w:val="20"/>
        </w:rPr>
        <w:t>4</w:t>
      </w:r>
      <w:r w:rsidRPr="009B78CC">
        <w:rPr>
          <w:rFonts w:ascii="Arial" w:hAnsi="Arial" w:cs="Arial"/>
          <w:sz w:val="20"/>
          <w:szCs w:val="20"/>
        </w:rPr>
        <w:t>x5 = 2</w:t>
      </w:r>
      <w:r w:rsidR="001D3238" w:rsidRPr="009B78CC">
        <w:rPr>
          <w:rFonts w:ascii="Arial" w:hAnsi="Arial" w:cs="Arial"/>
          <w:sz w:val="20"/>
          <w:szCs w:val="20"/>
        </w:rPr>
        <w:t>0</w:t>
      </w:r>
      <w:r w:rsidRPr="009B78CC">
        <w:rPr>
          <w:rFonts w:ascii="Arial" w:hAnsi="Arial" w:cs="Arial"/>
          <w:sz w:val="20"/>
          <w:szCs w:val="20"/>
        </w:rPr>
        <w:t>).</w:t>
      </w:r>
    </w:p>
    <w:p w14:paraId="15EBA113" w14:textId="09B26329" w:rsidR="001653C8" w:rsidRPr="009B78CC" w:rsidRDefault="001D3238" w:rsidP="00C74C2C">
      <w:pPr>
        <w:pStyle w:val="ListParagraph"/>
        <w:widowControl/>
        <w:numPr>
          <w:ilvl w:val="0"/>
          <w:numId w:val="9"/>
        </w:numPr>
        <w:ind w:left="426"/>
        <w:jc w:val="both"/>
        <w:rPr>
          <w:rFonts w:ascii="Arial" w:hAnsi="Arial" w:cs="Arial"/>
          <w:sz w:val="20"/>
          <w:szCs w:val="20"/>
        </w:rPr>
      </w:pPr>
      <w:r w:rsidRPr="009B78CC">
        <w:rPr>
          <w:rFonts w:ascii="Arial" w:hAnsi="Arial" w:cs="Arial"/>
          <w:sz w:val="20"/>
          <w:szCs w:val="20"/>
        </w:rPr>
        <w:t xml:space="preserve">Lack of available capital funding for backlog maintenance </w:t>
      </w:r>
      <w:r w:rsidR="001653C8" w:rsidRPr="009B78CC">
        <w:rPr>
          <w:rFonts w:ascii="Arial" w:hAnsi="Arial" w:cs="Arial"/>
          <w:sz w:val="20"/>
          <w:szCs w:val="20"/>
        </w:rPr>
        <w:t>(4x5 = 20)</w:t>
      </w:r>
    </w:p>
    <w:p w14:paraId="0B8F15AB" w14:textId="5D11ED67" w:rsidR="001653C8" w:rsidRPr="009B78CC" w:rsidRDefault="001D3238" w:rsidP="00C74C2C">
      <w:pPr>
        <w:pStyle w:val="ListParagraph"/>
        <w:widowControl/>
        <w:numPr>
          <w:ilvl w:val="0"/>
          <w:numId w:val="9"/>
        </w:numPr>
        <w:ind w:left="426"/>
        <w:jc w:val="both"/>
        <w:rPr>
          <w:rFonts w:ascii="Arial" w:hAnsi="Arial" w:cs="Arial"/>
          <w:sz w:val="20"/>
          <w:szCs w:val="20"/>
        </w:rPr>
      </w:pPr>
      <w:r w:rsidRPr="009B78CC">
        <w:rPr>
          <w:rFonts w:ascii="Arial" w:hAnsi="Arial" w:cs="Arial"/>
          <w:sz w:val="20"/>
          <w:szCs w:val="20"/>
        </w:rPr>
        <w:t>Finance recovery achievement</w:t>
      </w:r>
      <w:r w:rsidR="001653C8" w:rsidRPr="009B78CC">
        <w:rPr>
          <w:rFonts w:ascii="Arial" w:hAnsi="Arial" w:cs="Arial"/>
          <w:sz w:val="20"/>
          <w:szCs w:val="20"/>
        </w:rPr>
        <w:t xml:space="preserve"> (4x</w:t>
      </w:r>
      <w:r w:rsidRPr="009B78CC">
        <w:rPr>
          <w:rFonts w:ascii="Arial" w:hAnsi="Arial" w:cs="Arial"/>
          <w:sz w:val="20"/>
          <w:szCs w:val="20"/>
        </w:rPr>
        <w:t>4</w:t>
      </w:r>
      <w:r w:rsidR="001653C8" w:rsidRPr="009B78CC">
        <w:rPr>
          <w:rFonts w:ascii="Arial" w:hAnsi="Arial" w:cs="Arial"/>
          <w:sz w:val="20"/>
          <w:szCs w:val="20"/>
        </w:rPr>
        <w:t>=</w:t>
      </w:r>
      <w:r w:rsidRPr="009B78CC">
        <w:rPr>
          <w:rFonts w:ascii="Arial" w:hAnsi="Arial" w:cs="Arial"/>
          <w:sz w:val="20"/>
          <w:szCs w:val="20"/>
        </w:rPr>
        <w:t>16</w:t>
      </w:r>
      <w:r w:rsidR="001653C8" w:rsidRPr="009B78CC">
        <w:rPr>
          <w:rFonts w:ascii="Arial" w:hAnsi="Arial" w:cs="Arial"/>
          <w:sz w:val="20"/>
          <w:szCs w:val="20"/>
        </w:rPr>
        <w:t>)</w:t>
      </w:r>
    </w:p>
    <w:p w14:paraId="0B3F0AB4" w14:textId="77777777" w:rsidR="001D3238" w:rsidRPr="009B78CC" w:rsidRDefault="001D3238" w:rsidP="00C74C2C">
      <w:pPr>
        <w:pStyle w:val="ListParagraph"/>
        <w:widowControl/>
        <w:numPr>
          <w:ilvl w:val="0"/>
          <w:numId w:val="9"/>
        </w:numPr>
        <w:ind w:left="426"/>
        <w:jc w:val="both"/>
        <w:rPr>
          <w:rFonts w:ascii="Arial" w:hAnsi="Arial" w:cs="Arial"/>
          <w:sz w:val="20"/>
          <w:szCs w:val="20"/>
        </w:rPr>
      </w:pPr>
      <w:r w:rsidRPr="009B78CC">
        <w:rPr>
          <w:rFonts w:ascii="Arial" w:hAnsi="Arial" w:cs="Arial"/>
          <w:sz w:val="20"/>
          <w:szCs w:val="20"/>
        </w:rPr>
        <w:t>SHMI outside of expected range (4x4)</w:t>
      </w:r>
    </w:p>
    <w:p w14:paraId="0C8A5D1B" w14:textId="77777777" w:rsidR="006B5C59" w:rsidRPr="009B78CC" w:rsidRDefault="001D3238" w:rsidP="00C74C2C">
      <w:pPr>
        <w:pStyle w:val="ListParagraph"/>
        <w:widowControl/>
        <w:numPr>
          <w:ilvl w:val="0"/>
          <w:numId w:val="9"/>
        </w:numPr>
        <w:ind w:left="426"/>
        <w:jc w:val="both"/>
        <w:rPr>
          <w:rFonts w:ascii="Arial" w:hAnsi="Arial" w:cs="Arial"/>
          <w:sz w:val="20"/>
          <w:szCs w:val="20"/>
        </w:rPr>
      </w:pPr>
      <w:r w:rsidRPr="009B78CC">
        <w:rPr>
          <w:rFonts w:ascii="Arial" w:hAnsi="Arial" w:cs="Arial"/>
          <w:sz w:val="20"/>
          <w:szCs w:val="20"/>
        </w:rPr>
        <w:t xml:space="preserve">RTT </w:t>
      </w:r>
      <w:r w:rsidR="004112DD" w:rsidRPr="009B78CC">
        <w:rPr>
          <w:rFonts w:ascii="Arial" w:hAnsi="Arial" w:cs="Arial"/>
          <w:sz w:val="20"/>
          <w:szCs w:val="20"/>
        </w:rPr>
        <w:t>a</w:t>
      </w:r>
      <w:r w:rsidR="002454B6" w:rsidRPr="009B78CC">
        <w:rPr>
          <w:rFonts w:ascii="Arial" w:hAnsi="Arial" w:cs="Arial"/>
          <w:sz w:val="20"/>
          <w:szCs w:val="20"/>
        </w:rPr>
        <w:t>ttainment (</w:t>
      </w:r>
      <w:r w:rsidR="006B5C59" w:rsidRPr="009B78CC">
        <w:rPr>
          <w:rFonts w:ascii="Arial" w:hAnsi="Arial" w:cs="Arial"/>
          <w:sz w:val="20"/>
          <w:szCs w:val="20"/>
        </w:rPr>
        <w:t>4x4)</w:t>
      </w:r>
    </w:p>
    <w:p w14:paraId="332293C0" w14:textId="77777777" w:rsidR="001D3238" w:rsidRPr="009B78CC" w:rsidRDefault="006B5C59" w:rsidP="00C74C2C">
      <w:pPr>
        <w:pStyle w:val="ListParagraph"/>
        <w:widowControl/>
        <w:numPr>
          <w:ilvl w:val="0"/>
          <w:numId w:val="9"/>
        </w:numPr>
        <w:ind w:left="426"/>
        <w:jc w:val="both"/>
        <w:rPr>
          <w:rFonts w:ascii="Arial" w:hAnsi="Arial" w:cs="Arial"/>
          <w:sz w:val="20"/>
          <w:szCs w:val="20"/>
        </w:rPr>
      </w:pPr>
      <w:r w:rsidRPr="009B78CC">
        <w:rPr>
          <w:rFonts w:ascii="Arial" w:hAnsi="Arial" w:cs="Arial"/>
          <w:sz w:val="20"/>
          <w:szCs w:val="20"/>
        </w:rPr>
        <w:t>Digital investment (4x4)</w:t>
      </w:r>
      <w:r w:rsidR="004112DD" w:rsidRPr="009B78CC">
        <w:rPr>
          <w:rFonts w:ascii="Arial" w:hAnsi="Arial" w:cs="Arial"/>
          <w:sz w:val="20"/>
          <w:szCs w:val="20"/>
        </w:rPr>
        <w:t xml:space="preserve"> </w:t>
      </w:r>
    </w:p>
    <w:p w14:paraId="508AF667" w14:textId="77777777" w:rsidR="001653C8" w:rsidRPr="00C74C2C" w:rsidRDefault="001653C8" w:rsidP="00C74C2C">
      <w:pPr>
        <w:jc w:val="both"/>
        <w:rPr>
          <w:rFonts w:ascii="Arial" w:hAnsi="Arial" w:cs="Arial"/>
          <w:sz w:val="20"/>
          <w:szCs w:val="20"/>
          <w:highlight w:val="yellow"/>
          <w:lang w:val="en-GB"/>
        </w:rPr>
      </w:pPr>
    </w:p>
    <w:p w14:paraId="7E1BBC75" w14:textId="77777777" w:rsidR="006B5C59" w:rsidRDefault="006B5C59" w:rsidP="00C74C2C">
      <w:pPr>
        <w:jc w:val="both"/>
        <w:rPr>
          <w:rFonts w:ascii="Arial" w:hAnsi="Arial" w:cs="Arial"/>
          <w:sz w:val="20"/>
          <w:szCs w:val="20"/>
          <w:lang w:val="en-GB"/>
        </w:rPr>
      </w:pPr>
      <w:r>
        <w:rPr>
          <w:rFonts w:ascii="Arial" w:hAnsi="Arial" w:cs="Arial"/>
          <w:sz w:val="20"/>
          <w:szCs w:val="20"/>
          <w:lang w:val="en-GB"/>
        </w:rPr>
        <w:t>These items will be carried forward into the new reporting year and a review of their mitigating actions and strength of controls will be undertaken.</w:t>
      </w:r>
    </w:p>
    <w:p w14:paraId="0919DC0E" w14:textId="77777777" w:rsidR="006B5C59" w:rsidRDefault="006B5C59" w:rsidP="00C74C2C">
      <w:pPr>
        <w:jc w:val="both"/>
        <w:rPr>
          <w:rFonts w:ascii="Arial" w:hAnsi="Arial" w:cs="Arial"/>
          <w:sz w:val="20"/>
          <w:szCs w:val="20"/>
          <w:lang w:val="en-GB"/>
        </w:rPr>
      </w:pPr>
    </w:p>
    <w:p w14:paraId="401BA8D4" w14:textId="77777777" w:rsidR="001653C8" w:rsidRPr="00C74C2C" w:rsidRDefault="001653C8" w:rsidP="00C74C2C">
      <w:pPr>
        <w:jc w:val="both"/>
        <w:rPr>
          <w:rFonts w:ascii="Arial" w:hAnsi="Arial" w:cs="Arial"/>
          <w:sz w:val="20"/>
          <w:szCs w:val="20"/>
          <w:lang w:val="en-GB"/>
        </w:rPr>
      </w:pPr>
      <w:r w:rsidRPr="00C74C2C">
        <w:rPr>
          <w:rFonts w:ascii="Arial" w:hAnsi="Arial" w:cs="Arial"/>
          <w:sz w:val="20"/>
          <w:szCs w:val="20"/>
          <w:lang w:val="en-GB"/>
        </w:rPr>
        <w:t xml:space="preserve">Each year the board completes a formal strategic risk review to identify new or continued principal risks which might threaten the achievement of the Trust’s strategy and assigns them to a lead </w:t>
      </w:r>
      <w:r w:rsidR="00861E0C" w:rsidRPr="00C74C2C">
        <w:rPr>
          <w:rFonts w:ascii="Arial" w:hAnsi="Arial" w:cs="Arial"/>
          <w:sz w:val="20"/>
          <w:szCs w:val="20"/>
          <w:lang w:val="en-GB"/>
        </w:rPr>
        <w:t>E</w:t>
      </w:r>
      <w:r w:rsidRPr="00C74C2C">
        <w:rPr>
          <w:rFonts w:ascii="Arial" w:hAnsi="Arial" w:cs="Arial"/>
          <w:sz w:val="20"/>
          <w:szCs w:val="20"/>
          <w:lang w:val="en-GB"/>
        </w:rPr>
        <w:t xml:space="preserve">xecutive </w:t>
      </w:r>
      <w:r w:rsidR="00861E0C" w:rsidRPr="00C74C2C">
        <w:rPr>
          <w:rFonts w:ascii="Arial" w:hAnsi="Arial" w:cs="Arial"/>
          <w:sz w:val="20"/>
          <w:szCs w:val="20"/>
          <w:lang w:val="en-GB"/>
        </w:rPr>
        <w:t>D</w:t>
      </w:r>
      <w:r w:rsidRPr="00C74C2C">
        <w:rPr>
          <w:rFonts w:ascii="Arial" w:hAnsi="Arial" w:cs="Arial"/>
          <w:sz w:val="20"/>
          <w:szCs w:val="20"/>
          <w:lang w:val="en-GB"/>
        </w:rPr>
        <w:t xml:space="preserve">irector.  These risks are taken forward for the new financial year and overseen through the BAF by the appropriate executive and Board committee. </w:t>
      </w:r>
    </w:p>
    <w:p w14:paraId="00289926" w14:textId="77777777" w:rsidR="001653C8" w:rsidRPr="00C74C2C" w:rsidRDefault="001653C8" w:rsidP="00C74C2C">
      <w:pPr>
        <w:jc w:val="both"/>
        <w:rPr>
          <w:rFonts w:ascii="Arial" w:hAnsi="Arial" w:cs="Arial"/>
          <w:sz w:val="20"/>
          <w:szCs w:val="20"/>
          <w:highlight w:val="yellow"/>
          <w:lang w:val="en-GB"/>
        </w:rPr>
      </w:pPr>
    </w:p>
    <w:p w14:paraId="3087E8E6" w14:textId="65E56EC2" w:rsidR="001653C8" w:rsidRPr="009B78CC" w:rsidRDefault="001653C8" w:rsidP="00C74C2C">
      <w:pPr>
        <w:jc w:val="both"/>
        <w:rPr>
          <w:rFonts w:ascii="Arial" w:hAnsi="Arial" w:cs="Arial"/>
          <w:b/>
          <w:sz w:val="20"/>
          <w:szCs w:val="20"/>
        </w:rPr>
      </w:pPr>
      <w:r w:rsidRPr="009B78CC">
        <w:rPr>
          <w:rFonts w:ascii="Arial" w:hAnsi="Arial" w:cs="Arial"/>
          <w:sz w:val="20"/>
          <w:szCs w:val="20"/>
          <w:lang w:val="en-GB"/>
        </w:rPr>
        <w:t>For 202</w:t>
      </w:r>
      <w:r w:rsidR="001175BC" w:rsidRPr="009B78CC">
        <w:rPr>
          <w:rFonts w:ascii="Arial" w:hAnsi="Arial" w:cs="Arial"/>
          <w:sz w:val="20"/>
          <w:szCs w:val="20"/>
          <w:lang w:val="en-GB"/>
        </w:rPr>
        <w:t>4</w:t>
      </w:r>
      <w:r w:rsidRPr="009B78CC">
        <w:rPr>
          <w:rFonts w:ascii="Arial" w:hAnsi="Arial" w:cs="Arial"/>
          <w:sz w:val="20"/>
          <w:szCs w:val="20"/>
          <w:lang w:val="en-GB"/>
        </w:rPr>
        <w:t>/2</w:t>
      </w:r>
      <w:r w:rsidR="001175BC" w:rsidRPr="009B78CC">
        <w:rPr>
          <w:rFonts w:ascii="Arial" w:hAnsi="Arial" w:cs="Arial"/>
          <w:sz w:val="20"/>
          <w:szCs w:val="20"/>
          <w:lang w:val="en-GB"/>
        </w:rPr>
        <w:t>5</w:t>
      </w:r>
      <w:r w:rsidRPr="009B78CC">
        <w:rPr>
          <w:rFonts w:ascii="Arial" w:hAnsi="Arial" w:cs="Arial"/>
          <w:sz w:val="20"/>
          <w:szCs w:val="20"/>
          <w:lang w:val="en-GB"/>
        </w:rPr>
        <w:t xml:space="preserve">, the Trust utilised many central control and assurance functions to ensure continued identification and evaluation of risk.  </w:t>
      </w:r>
      <w:r w:rsidR="008967BF" w:rsidRPr="009B78CC">
        <w:rPr>
          <w:rFonts w:ascii="Arial" w:hAnsi="Arial" w:cs="Arial"/>
          <w:b/>
          <w:sz w:val="20"/>
          <w:szCs w:val="20"/>
        </w:rPr>
        <w:t xml:space="preserve">  </w:t>
      </w:r>
    </w:p>
    <w:p w14:paraId="68FE8BD5" w14:textId="77777777" w:rsidR="001653C8" w:rsidRPr="00C74C2C" w:rsidRDefault="001653C8" w:rsidP="00C74C2C">
      <w:pPr>
        <w:jc w:val="both"/>
        <w:rPr>
          <w:rFonts w:ascii="Arial" w:hAnsi="Arial" w:cs="Arial"/>
          <w:sz w:val="20"/>
          <w:szCs w:val="20"/>
          <w:highlight w:val="yellow"/>
          <w:lang w:val="en-GB"/>
        </w:rPr>
      </w:pPr>
    </w:p>
    <w:p w14:paraId="08474F29" w14:textId="77777777" w:rsidR="001653C8" w:rsidRPr="009B78CC" w:rsidRDefault="001653C8" w:rsidP="00C74C2C">
      <w:pPr>
        <w:jc w:val="both"/>
        <w:rPr>
          <w:rFonts w:ascii="Arial" w:hAnsi="Arial" w:cs="Arial"/>
          <w:sz w:val="20"/>
          <w:szCs w:val="20"/>
          <w:lang w:val="en-GB"/>
        </w:rPr>
      </w:pPr>
      <w:r w:rsidRPr="009B78CC">
        <w:rPr>
          <w:rFonts w:ascii="Arial" w:hAnsi="Arial" w:cs="Arial"/>
          <w:sz w:val="20"/>
          <w:szCs w:val="20"/>
          <w:lang w:val="en-GB"/>
        </w:rPr>
        <w:t>These included:</w:t>
      </w:r>
    </w:p>
    <w:p w14:paraId="32B49723" w14:textId="77777777" w:rsidR="001653C8" w:rsidRPr="009B78CC" w:rsidRDefault="001653C8" w:rsidP="00C74C2C">
      <w:pPr>
        <w:pStyle w:val="ListParagraph"/>
        <w:numPr>
          <w:ilvl w:val="0"/>
          <w:numId w:val="9"/>
        </w:numPr>
        <w:ind w:left="426"/>
        <w:jc w:val="both"/>
        <w:rPr>
          <w:rFonts w:ascii="Arial" w:hAnsi="Arial" w:cs="Arial"/>
          <w:sz w:val="20"/>
          <w:szCs w:val="20"/>
          <w:lang w:val="en-GB"/>
        </w:rPr>
      </w:pPr>
      <w:r w:rsidRPr="009B78CC">
        <w:rPr>
          <w:rFonts w:ascii="Arial" w:hAnsi="Arial" w:cs="Arial"/>
          <w:sz w:val="20"/>
          <w:szCs w:val="20"/>
          <w:lang w:val="en-GB"/>
        </w:rPr>
        <w:t xml:space="preserve">Effective mechanisms in place to act upon national safety alerts and recommendations </w:t>
      </w:r>
    </w:p>
    <w:p w14:paraId="5516D8E1" w14:textId="77777777" w:rsidR="001653C8" w:rsidRPr="009B78CC" w:rsidRDefault="001653C8" w:rsidP="00C74C2C">
      <w:pPr>
        <w:pStyle w:val="ListParagraph"/>
        <w:numPr>
          <w:ilvl w:val="0"/>
          <w:numId w:val="9"/>
        </w:numPr>
        <w:ind w:left="426"/>
        <w:jc w:val="both"/>
        <w:rPr>
          <w:rFonts w:ascii="Arial" w:hAnsi="Arial" w:cs="Arial"/>
          <w:sz w:val="20"/>
          <w:szCs w:val="20"/>
          <w:lang w:val="en-GB"/>
        </w:rPr>
      </w:pPr>
      <w:r w:rsidRPr="009B78CC">
        <w:rPr>
          <w:rFonts w:ascii="Arial" w:hAnsi="Arial" w:cs="Arial"/>
          <w:sz w:val="20"/>
          <w:szCs w:val="20"/>
          <w:lang w:val="en-GB"/>
        </w:rPr>
        <w:t>The performance management framework, including an Integrated Quality and</w:t>
      </w:r>
      <w:r w:rsidR="001175BC" w:rsidRPr="009B78CC">
        <w:rPr>
          <w:rFonts w:ascii="Arial" w:hAnsi="Arial" w:cs="Arial"/>
          <w:sz w:val="20"/>
          <w:szCs w:val="20"/>
          <w:lang w:val="en-GB"/>
        </w:rPr>
        <w:t xml:space="preserve"> Performance Report across all aspects of the organisation</w:t>
      </w:r>
    </w:p>
    <w:p w14:paraId="39B05C4A" w14:textId="77777777" w:rsidR="001653C8" w:rsidRPr="009B78CC" w:rsidRDefault="001653C8" w:rsidP="00C74C2C">
      <w:pPr>
        <w:pStyle w:val="ListParagraph"/>
        <w:numPr>
          <w:ilvl w:val="0"/>
          <w:numId w:val="9"/>
        </w:numPr>
        <w:ind w:left="426"/>
        <w:jc w:val="both"/>
        <w:rPr>
          <w:rFonts w:ascii="Arial" w:hAnsi="Arial" w:cs="Arial"/>
          <w:sz w:val="20"/>
          <w:szCs w:val="20"/>
          <w:lang w:val="en-GB"/>
        </w:rPr>
      </w:pPr>
      <w:r w:rsidRPr="009B78CC">
        <w:rPr>
          <w:rFonts w:ascii="Arial" w:hAnsi="Arial" w:cs="Arial"/>
          <w:sz w:val="20"/>
          <w:szCs w:val="20"/>
          <w:lang w:val="en-GB"/>
        </w:rPr>
        <w:t>Analysis of patient experience, ward-level performance, incidents and complaints, monthly financial reporting and quality improvement activity</w:t>
      </w:r>
      <w:r w:rsidR="001175BC" w:rsidRPr="009B78CC">
        <w:rPr>
          <w:rFonts w:ascii="Arial" w:hAnsi="Arial" w:cs="Arial"/>
          <w:sz w:val="20"/>
          <w:szCs w:val="20"/>
          <w:lang w:val="en-GB"/>
        </w:rPr>
        <w:t xml:space="preserve"> through the trusts SDR mechanism</w:t>
      </w:r>
    </w:p>
    <w:p w14:paraId="3DD16530" w14:textId="77777777" w:rsidR="001653C8" w:rsidRPr="009B78CC" w:rsidRDefault="001653C8" w:rsidP="00C74C2C">
      <w:pPr>
        <w:pStyle w:val="ListParagraph"/>
        <w:numPr>
          <w:ilvl w:val="0"/>
          <w:numId w:val="9"/>
        </w:numPr>
        <w:ind w:left="426"/>
        <w:jc w:val="both"/>
        <w:rPr>
          <w:rFonts w:ascii="Arial" w:hAnsi="Arial" w:cs="Arial"/>
          <w:sz w:val="20"/>
          <w:szCs w:val="20"/>
          <w:lang w:val="en-GB"/>
        </w:rPr>
      </w:pPr>
      <w:r w:rsidRPr="009B78CC">
        <w:rPr>
          <w:rFonts w:ascii="Arial" w:hAnsi="Arial" w:cs="Arial"/>
          <w:sz w:val="20"/>
          <w:szCs w:val="20"/>
          <w:lang w:val="en-GB"/>
        </w:rPr>
        <w:t>Assurances provided through the work of the appropriate Risk and Assurance governance routes and reported to the Board and Committees.</w:t>
      </w:r>
    </w:p>
    <w:p w14:paraId="2523C844" w14:textId="71F3A000" w:rsidR="001653C8" w:rsidRPr="009B78CC" w:rsidRDefault="001653C8" w:rsidP="00C74C2C">
      <w:pPr>
        <w:pStyle w:val="ListParagraph"/>
        <w:numPr>
          <w:ilvl w:val="0"/>
          <w:numId w:val="9"/>
        </w:numPr>
        <w:ind w:left="426"/>
        <w:jc w:val="both"/>
        <w:rPr>
          <w:rFonts w:ascii="Arial" w:hAnsi="Arial" w:cs="Arial"/>
          <w:sz w:val="20"/>
          <w:szCs w:val="20"/>
          <w:lang w:val="en-GB"/>
        </w:rPr>
      </w:pPr>
      <w:r w:rsidRPr="009B78CC">
        <w:rPr>
          <w:rFonts w:ascii="Arial" w:hAnsi="Arial" w:cs="Arial"/>
          <w:sz w:val="20"/>
          <w:szCs w:val="20"/>
          <w:lang w:val="en-GB"/>
        </w:rPr>
        <w:lastRenderedPageBreak/>
        <w:t>Learning from incidents and near misses and working with system partners to scrutinise response and actions</w:t>
      </w:r>
      <w:r w:rsidR="001175BC" w:rsidRPr="009B78CC">
        <w:rPr>
          <w:rFonts w:ascii="Arial" w:hAnsi="Arial" w:cs="Arial"/>
          <w:sz w:val="20"/>
          <w:szCs w:val="20"/>
          <w:lang w:val="en-GB"/>
        </w:rPr>
        <w:t xml:space="preserve"> (PSIRF)</w:t>
      </w:r>
    </w:p>
    <w:p w14:paraId="68C6ACC5" w14:textId="77777777" w:rsidR="001653C8" w:rsidRPr="009B78CC" w:rsidRDefault="001653C8" w:rsidP="00C74C2C">
      <w:pPr>
        <w:pStyle w:val="ListParagraph"/>
        <w:numPr>
          <w:ilvl w:val="0"/>
          <w:numId w:val="9"/>
        </w:numPr>
        <w:ind w:left="426"/>
        <w:jc w:val="both"/>
        <w:rPr>
          <w:rFonts w:ascii="Arial" w:hAnsi="Arial" w:cs="Arial"/>
          <w:sz w:val="20"/>
          <w:szCs w:val="20"/>
          <w:lang w:val="en-GB"/>
        </w:rPr>
      </w:pPr>
      <w:r w:rsidRPr="009B78CC">
        <w:rPr>
          <w:rFonts w:ascii="Arial" w:hAnsi="Arial" w:cs="Arial"/>
          <w:sz w:val="20"/>
          <w:szCs w:val="20"/>
          <w:lang w:val="en-GB"/>
        </w:rPr>
        <w:t>Risk assessments and analysis of risk registers and the Board Assurance Framework.</w:t>
      </w:r>
    </w:p>
    <w:p w14:paraId="28DEFA21" w14:textId="77777777" w:rsidR="001653C8" w:rsidRPr="009B78CC" w:rsidRDefault="001653C8" w:rsidP="00C74C2C">
      <w:pPr>
        <w:pStyle w:val="ListParagraph"/>
        <w:numPr>
          <w:ilvl w:val="0"/>
          <w:numId w:val="9"/>
        </w:numPr>
        <w:ind w:left="426"/>
        <w:jc w:val="both"/>
        <w:rPr>
          <w:rFonts w:ascii="Arial" w:hAnsi="Arial" w:cs="Arial"/>
          <w:sz w:val="20"/>
          <w:szCs w:val="20"/>
          <w:lang w:val="en-GB"/>
        </w:rPr>
      </w:pPr>
      <w:r w:rsidRPr="009B78CC">
        <w:rPr>
          <w:rFonts w:ascii="Arial" w:hAnsi="Arial" w:cs="Arial"/>
          <w:sz w:val="20"/>
          <w:szCs w:val="20"/>
          <w:lang w:val="en-GB"/>
        </w:rPr>
        <w:t>Assurance from the Quality and Assurance Committee and the Audit and Risk Committee to the Board.</w:t>
      </w:r>
    </w:p>
    <w:p w14:paraId="0D2E816F" w14:textId="77777777" w:rsidR="001653C8" w:rsidRPr="009B78CC" w:rsidRDefault="001653C8" w:rsidP="00C74C2C">
      <w:pPr>
        <w:pStyle w:val="ListParagraph"/>
        <w:numPr>
          <w:ilvl w:val="0"/>
          <w:numId w:val="9"/>
        </w:numPr>
        <w:ind w:left="426"/>
        <w:jc w:val="both"/>
        <w:rPr>
          <w:rFonts w:ascii="Arial" w:hAnsi="Arial" w:cs="Arial"/>
          <w:sz w:val="20"/>
          <w:szCs w:val="20"/>
          <w:lang w:val="en-GB"/>
        </w:rPr>
      </w:pPr>
      <w:r w:rsidRPr="009B78CC">
        <w:rPr>
          <w:rFonts w:ascii="Arial" w:hAnsi="Arial" w:cs="Arial"/>
          <w:sz w:val="20"/>
          <w:szCs w:val="20"/>
          <w:lang w:val="en-GB"/>
        </w:rPr>
        <w:t>Clinical audit, including national audits, audits arising from national guidance (for example from NICE), confidential enquiries and local audits related to patient safety and quality of care.</w:t>
      </w:r>
    </w:p>
    <w:p w14:paraId="4C2830B4" w14:textId="77777777" w:rsidR="001653C8" w:rsidRPr="009B78CC" w:rsidRDefault="001653C8" w:rsidP="00C74C2C">
      <w:pPr>
        <w:pStyle w:val="ListParagraph"/>
        <w:numPr>
          <w:ilvl w:val="0"/>
          <w:numId w:val="9"/>
        </w:numPr>
        <w:ind w:left="426"/>
        <w:jc w:val="both"/>
        <w:rPr>
          <w:rFonts w:ascii="Arial" w:hAnsi="Arial" w:cs="Arial"/>
          <w:sz w:val="20"/>
          <w:szCs w:val="20"/>
          <w:lang w:val="en-GB"/>
        </w:rPr>
      </w:pPr>
      <w:r w:rsidRPr="009B78CC">
        <w:rPr>
          <w:rFonts w:ascii="Arial" w:hAnsi="Arial" w:cs="Arial"/>
          <w:sz w:val="20"/>
          <w:szCs w:val="20"/>
          <w:lang w:val="en-GB"/>
        </w:rPr>
        <w:t>Internal assurances through the internal audit activities and independent.</w:t>
      </w:r>
    </w:p>
    <w:p w14:paraId="3CE137C4" w14:textId="77777777" w:rsidR="001653C8" w:rsidRPr="009B78CC" w:rsidRDefault="001653C8" w:rsidP="00C74C2C">
      <w:pPr>
        <w:pStyle w:val="ListParagraph"/>
        <w:numPr>
          <w:ilvl w:val="0"/>
          <w:numId w:val="9"/>
        </w:numPr>
        <w:ind w:left="426"/>
        <w:jc w:val="both"/>
        <w:rPr>
          <w:rFonts w:ascii="Arial" w:hAnsi="Arial" w:cs="Arial"/>
          <w:sz w:val="20"/>
          <w:szCs w:val="20"/>
          <w:lang w:val="en-GB"/>
        </w:rPr>
      </w:pPr>
      <w:r w:rsidRPr="009B78CC">
        <w:rPr>
          <w:rFonts w:ascii="Arial" w:hAnsi="Arial" w:cs="Arial"/>
          <w:sz w:val="20"/>
          <w:szCs w:val="20"/>
          <w:lang w:val="en-GB"/>
        </w:rPr>
        <w:t>External regulatory and assessment body inspections and reviews including the Care Quality Commission (CQC), Royal Colleges, Postgraduate Deanery, Information Commissioner’s Office and Health and Safety Executive reports.</w:t>
      </w:r>
    </w:p>
    <w:p w14:paraId="272533E5" w14:textId="115046FD" w:rsidR="001653C8" w:rsidRPr="009B78CC" w:rsidRDefault="001653C8" w:rsidP="00C74C2C">
      <w:pPr>
        <w:pStyle w:val="ListParagraph"/>
        <w:numPr>
          <w:ilvl w:val="0"/>
          <w:numId w:val="9"/>
        </w:numPr>
        <w:ind w:left="426"/>
        <w:jc w:val="both"/>
        <w:rPr>
          <w:rFonts w:ascii="Arial" w:hAnsi="Arial" w:cs="Arial"/>
          <w:sz w:val="20"/>
          <w:szCs w:val="20"/>
          <w:lang w:val="en-GB"/>
        </w:rPr>
      </w:pPr>
      <w:r w:rsidRPr="009B78CC">
        <w:rPr>
          <w:rFonts w:ascii="Arial" w:hAnsi="Arial" w:cs="Arial"/>
          <w:sz w:val="20"/>
          <w:szCs w:val="20"/>
          <w:lang w:val="en-GB"/>
        </w:rPr>
        <w:t xml:space="preserve">Self-assessment against the compliance framework and CQC registration requirements, </w:t>
      </w:r>
    </w:p>
    <w:p w14:paraId="59449BED" w14:textId="77777777" w:rsidR="001175BC" w:rsidRPr="009B78CC" w:rsidRDefault="001175BC" w:rsidP="00C74C2C">
      <w:pPr>
        <w:pStyle w:val="ListParagraph"/>
        <w:numPr>
          <w:ilvl w:val="0"/>
          <w:numId w:val="9"/>
        </w:numPr>
        <w:ind w:left="426"/>
        <w:jc w:val="both"/>
        <w:rPr>
          <w:rFonts w:ascii="Arial" w:hAnsi="Arial" w:cs="Arial"/>
          <w:sz w:val="20"/>
          <w:szCs w:val="20"/>
          <w:lang w:val="en-GB"/>
        </w:rPr>
      </w:pPr>
      <w:r w:rsidRPr="009B78CC">
        <w:rPr>
          <w:rFonts w:ascii="Arial" w:hAnsi="Arial" w:cs="Arial"/>
          <w:sz w:val="20"/>
          <w:szCs w:val="20"/>
          <w:lang w:val="en-GB"/>
        </w:rPr>
        <w:t>Self-assessment against the Code of Governance and CQC and NHS England well-led framework</w:t>
      </w:r>
    </w:p>
    <w:p w14:paraId="381EB4BB" w14:textId="77777777" w:rsidR="001653C8" w:rsidRPr="009B78CC" w:rsidRDefault="001653C8" w:rsidP="00C74C2C">
      <w:pPr>
        <w:pStyle w:val="ListParagraph"/>
        <w:numPr>
          <w:ilvl w:val="0"/>
          <w:numId w:val="9"/>
        </w:numPr>
        <w:ind w:left="426"/>
        <w:jc w:val="both"/>
        <w:rPr>
          <w:rFonts w:ascii="Arial" w:hAnsi="Arial" w:cs="Arial"/>
          <w:sz w:val="20"/>
          <w:szCs w:val="20"/>
          <w:lang w:val="en-GB"/>
        </w:rPr>
      </w:pPr>
      <w:r w:rsidRPr="009B78CC">
        <w:rPr>
          <w:rFonts w:ascii="Arial" w:hAnsi="Arial" w:cs="Arial"/>
          <w:sz w:val="20"/>
          <w:szCs w:val="20"/>
          <w:lang w:val="en-GB"/>
        </w:rPr>
        <w:t>Freedom to speak up guardian and guardian of safe working hours (for doctors in training).</w:t>
      </w:r>
    </w:p>
    <w:p w14:paraId="0D08376A" w14:textId="77777777" w:rsidR="001653C8" w:rsidRPr="009B78CC" w:rsidRDefault="001653C8" w:rsidP="00C74C2C">
      <w:pPr>
        <w:pStyle w:val="ListParagraph"/>
        <w:numPr>
          <w:ilvl w:val="0"/>
          <w:numId w:val="9"/>
        </w:numPr>
        <w:ind w:left="426"/>
        <w:jc w:val="both"/>
        <w:rPr>
          <w:rFonts w:ascii="Arial" w:hAnsi="Arial" w:cs="Arial"/>
          <w:sz w:val="20"/>
          <w:szCs w:val="20"/>
          <w:lang w:val="en-GB"/>
        </w:rPr>
      </w:pPr>
      <w:r w:rsidRPr="009B78CC">
        <w:rPr>
          <w:rFonts w:ascii="Arial" w:hAnsi="Arial" w:cs="Arial"/>
          <w:sz w:val="20"/>
          <w:szCs w:val="20"/>
          <w:lang w:val="en-GB"/>
        </w:rPr>
        <w:t xml:space="preserve">Risk assessments of the effects of climate change and severe weather and has developed a Green Plan following the guidance of the Greener NHS programme.   </w:t>
      </w:r>
    </w:p>
    <w:p w14:paraId="0F4289F2" w14:textId="77777777" w:rsidR="001653C8" w:rsidRPr="00C74C2C" w:rsidRDefault="001653C8" w:rsidP="00C74C2C">
      <w:pPr>
        <w:jc w:val="both"/>
        <w:rPr>
          <w:rFonts w:ascii="Arial" w:hAnsi="Arial" w:cs="Arial"/>
          <w:sz w:val="20"/>
          <w:szCs w:val="20"/>
          <w:highlight w:val="yellow"/>
        </w:rPr>
      </w:pPr>
    </w:p>
    <w:p w14:paraId="06B2B161" w14:textId="4FC00252" w:rsidR="001653C8" w:rsidRPr="009B78CC" w:rsidRDefault="001653C8" w:rsidP="00C74C2C">
      <w:pPr>
        <w:jc w:val="both"/>
        <w:rPr>
          <w:rFonts w:ascii="Arial" w:hAnsi="Arial" w:cs="Arial"/>
          <w:b/>
          <w:sz w:val="20"/>
          <w:szCs w:val="20"/>
        </w:rPr>
      </w:pPr>
      <w:r w:rsidRPr="009B78CC">
        <w:rPr>
          <w:rFonts w:ascii="Arial" w:hAnsi="Arial" w:cs="Arial"/>
          <w:b/>
          <w:sz w:val="20"/>
          <w:szCs w:val="20"/>
        </w:rPr>
        <w:t>Governance and Well-Led Framework</w:t>
      </w:r>
      <w:r w:rsidR="005B3799" w:rsidRPr="009B78CC">
        <w:rPr>
          <w:rFonts w:ascii="Arial" w:hAnsi="Arial" w:cs="Arial"/>
          <w:b/>
          <w:sz w:val="20"/>
          <w:szCs w:val="20"/>
        </w:rPr>
        <w:t xml:space="preserve">  </w:t>
      </w:r>
    </w:p>
    <w:p w14:paraId="2C72FBC0" w14:textId="77777777" w:rsidR="001653C8" w:rsidRPr="009B78CC" w:rsidRDefault="001653C8" w:rsidP="00C74C2C">
      <w:pPr>
        <w:jc w:val="both"/>
        <w:rPr>
          <w:rFonts w:ascii="Arial" w:hAnsi="Arial" w:cs="Arial"/>
          <w:sz w:val="20"/>
          <w:szCs w:val="20"/>
        </w:rPr>
      </w:pPr>
      <w:r w:rsidRPr="009B78CC">
        <w:rPr>
          <w:rFonts w:ascii="Arial" w:hAnsi="Arial" w:cs="Arial"/>
          <w:sz w:val="20"/>
          <w:szCs w:val="20"/>
        </w:rPr>
        <w:t xml:space="preserve">The Well-led framework emphasise the need for strong integrated governance and leadership across quality, finance, and operations as well as focusing on organisational culture, improvement, and system working. </w:t>
      </w:r>
    </w:p>
    <w:p w14:paraId="5230AD18" w14:textId="77777777" w:rsidR="001653C8" w:rsidRPr="009B78CC" w:rsidRDefault="001653C8" w:rsidP="00C74C2C">
      <w:pPr>
        <w:jc w:val="both"/>
        <w:rPr>
          <w:rFonts w:ascii="Arial" w:hAnsi="Arial" w:cs="Arial"/>
          <w:sz w:val="20"/>
          <w:szCs w:val="20"/>
        </w:rPr>
      </w:pPr>
    </w:p>
    <w:p w14:paraId="306D6256" w14:textId="6DC88DE9" w:rsidR="001653C8" w:rsidRPr="009B78CC" w:rsidRDefault="001653C8" w:rsidP="00C74C2C">
      <w:pPr>
        <w:jc w:val="both"/>
        <w:rPr>
          <w:rFonts w:ascii="Arial" w:hAnsi="Arial" w:cs="Arial"/>
          <w:sz w:val="20"/>
          <w:szCs w:val="20"/>
        </w:rPr>
      </w:pPr>
      <w:r w:rsidRPr="009B78CC">
        <w:rPr>
          <w:rFonts w:ascii="Arial" w:hAnsi="Arial" w:cs="Arial"/>
          <w:sz w:val="20"/>
          <w:szCs w:val="20"/>
        </w:rPr>
        <w:t xml:space="preserve">To ensure its adherence to both the </w:t>
      </w:r>
      <w:r w:rsidR="001175BC" w:rsidRPr="009B78CC">
        <w:rPr>
          <w:rFonts w:ascii="Arial" w:hAnsi="Arial" w:cs="Arial"/>
          <w:sz w:val="20"/>
          <w:szCs w:val="20"/>
        </w:rPr>
        <w:t>w</w:t>
      </w:r>
      <w:r w:rsidRPr="009B78CC">
        <w:rPr>
          <w:rFonts w:ascii="Arial" w:hAnsi="Arial" w:cs="Arial"/>
          <w:sz w:val="20"/>
          <w:szCs w:val="20"/>
        </w:rPr>
        <w:t>ell-</w:t>
      </w:r>
      <w:r w:rsidR="001175BC" w:rsidRPr="009B78CC">
        <w:rPr>
          <w:rFonts w:ascii="Arial" w:hAnsi="Arial" w:cs="Arial"/>
          <w:sz w:val="20"/>
          <w:szCs w:val="20"/>
        </w:rPr>
        <w:t>l</w:t>
      </w:r>
      <w:r w:rsidRPr="009B78CC">
        <w:rPr>
          <w:rFonts w:ascii="Arial" w:hAnsi="Arial" w:cs="Arial"/>
          <w:sz w:val="20"/>
          <w:szCs w:val="20"/>
        </w:rPr>
        <w:t xml:space="preserve">ed framework and the NHS Code of Governance checklist the </w:t>
      </w:r>
      <w:r w:rsidR="0071554A">
        <w:rPr>
          <w:rFonts w:ascii="Arial" w:hAnsi="Arial" w:cs="Arial"/>
          <w:sz w:val="20"/>
          <w:szCs w:val="20"/>
        </w:rPr>
        <w:t>T</w:t>
      </w:r>
      <w:r w:rsidRPr="009B78CC">
        <w:rPr>
          <w:rFonts w:ascii="Arial" w:hAnsi="Arial" w:cs="Arial"/>
          <w:sz w:val="20"/>
          <w:szCs w:val="20"/>
        </w:rPr>
        <w:t xml:space="preserve">rust </w:t>
      </w:r>
      <w:r w:rsidR="001175BC" w:rsidRPr="009B78CC">
        <w:rPr>
          <w:rFonts w:ascii="Arial" w:hAnsi="Arial" w:cs="Arial"/>
          <w:sz w:val="20"/>
          <w:szCs w:val="20"/>
        </w:rPr>
        <w:t>reviewed</w:t>
      </w:r>
      <w:r w:rsidR="0071554A">
        <w:rPr>
          <w:rFonts w:ascii="Arial" w:hAnsi="Arial" w:cs="Arial"/>
          <w:sz w:val="20"/>
          <w:szCs w:val="20"/>
        </w:rPr>
        <w:t xml:space="preserve"> </w:t>
      </w:r>
      <w:r w:rsidRPr="009B78CC">
        <w:rPr>
          <w:rFonts w:ascii="Arial" w:hAnsi="Arial" w:cs="Arial"/>
          <w:sz w:val="20"/>
          <w:szCs w:val="20"/>
        </w:rPr>
        <w:t xml:space="preserve">its systems, processes and documentation against the available guidance. </w:t>
      </w:r>
      <w:r w:rsidR="001175BC" w:rsidRPr="009B78CC">
        <w:rPr>
          <w:rFonts w:ascii="Arial" w:hAnsi="Arial" w:cs="Arial"/>
          <w:sz w:val="20"/>
          <w:szCs w:val="20"/>
        </w:rPr>
        <w:t xml:space="preserve">An assurance report on the </w:t>
      </w:r>
      <w:r w:rsidR="0071554A">
        <w:rPr>
          <w:rFonts w:ascii="Arial" w:hAnsi="Arial" w:cs="Arial"/>
          <w:sz w:val="20"/>
          <w:szCs w:val="20"/>
        </w:rPr>
        <w:t>T</w:t>
      </w:r>
      <w:r w:rsidR="001175BC" w:rsidRPr="009B78CC">
        <w:rPr>
          <w:rFonts w:ascii="Arial" w:hAnsi="Arial" w:cs="Arial"/>
          <w:sz w:val="20"/>
          <w:szCs w:val="20"/>
        </w:rPr>
        <w:t>rusts adherence to the well-led framework is provided to the Quality Assurance Committee and the Board every six months.</w:t>
      </w:r>
      <w:r w:rsidRPr="009B78CC">
        <w:rPr>
          <w:rFonts w:ascii="Arial" w:hAnsi="Arial" w:cs="Arial"/>
          <w:sz w:val="20"/>
          <w:szCs w:val="20"/>
        </w:rPr>
        <w:t xml:space="preserve"> </w:t>
      </w:r>
    </w:p>
    <w:p w14:paraId="6F62574E" w14:textId="77777777" w:rsidR="001653C8" w:rsidRPr="009B78CC" w:rsidRDefault="001653C8" w:rsidP="00C74C2C">
      <w:pPr>
        <w:jc w:val="both"/>
        <w:rPr>
          <w:rFonts w:ascii="Arial" w:hAnsi="Arial" w:cs="Arial"/>
          <w:sz w:val="20"/>
          <w:szCs w:val="20"/>
        </w:rPr>
      </w:pPr>
    </w:p>
    <w:p w14:paraId="2ABC31EA" w14:textId="77777777" w:rsidR="001653C8" w:rsidRPr="009B78CC" w:rsidRDefault="001653C8" w:rsidP="00C74C2C">
      <w:pPr>
        <w:jc w:val="both"/>
        <w:rPr>
          <w:rFonts w:ascii="Arial" w:hAnsi="Arial" w:cs="Arial"/>
          <w:sz w:val="20"/>
          <w:szCs w:val="20"/>
        </w:rPr>
      </w:pPr>
      <w:r w:rsidRPr="009B78CC">
        <w:rPr>
          <w:rFonts w:ascii="Arial" w:hAnsi="Arial" w:cs="Arial"/>
          <w:sz w:val="20"/>
          <w:szCs w:val="20"/>
        </w:rPr>
        <w:t>The programme reflected each of the framework domains and our current performance against each domain is:</w:t>
      </w:r>
    </w:p>
    <w:p w14:paraId="10D3AB1D" w14:textId="77777777" w:rsidR="001653C8" w:rsidRPr="009B78CC" w:rsidRDefault="001653C8" w:rsidP="00E00F90">
      <w:pPr>
        <w:pStyle w:val="ListParagraph"/>
        <w:numPr>
          <w:ilvl w:val="0"/>
          <w:numId w:val="24"/>
        </w:numPr>
        <w:jc w:val="both"/>
        <w:rPr>
          <w:rFonts w:ascii="Arial" w:hAnsi="Arial" w:cs="Arial"/>
          <w:sz w:val="20"/>
          <w:szCs w:val="20"/>
        </w:rPr>
      </w:pPr>
      <w:r w:rsidRPr="009B78CC">
        <w:rPr>
          <w:rFonts w:ascii="Arial" w:hAnsi="Arial" w:cs="Arial"/>
          <w:sz w:val="20"/>
          <w:szCs w:val="20"/>
        </w:rPr>
        <w:t xml:space="preserve">Clear Vision and Direction: The Trust has a full suite of interoperable strategies and plans that direct its business including clinical operations, sustainability and people programmes. </w:t>
      </w:r>
    </w:p>
    <w:p w14:paraId="2358277E" w14:textId="77777777" w:rsidR="001653C8" w:rsidRPr="009B78CC" w:rsidRDefault="001653C8" w:rsidP="00E00F90">
      <w:pPr>
        <w:pStyle w:val="ListParagraph"/>
        <w:numPr>
          <w:ilvl w:val="0"/>
          <w:numId w:val="24"/>
        </w:numPr>
        <w:jc w:val="both"/>
        <w:rPr>
          <w:rFonts w:ascii="Arial" w:hAnsi="Arial" w:cs="Arial"/>
          <w:sz w:val="20"/>
          <w:szCs w:val="20"/>
        </w:rPr>
      </w:pPr>
      <w:r w:rsidRPr="009B78CC">
        <w:rPr>
          <w:rFonts w:ascii="Arial" w:hAnsi="Arial" w:cs="Arial"/>
          <w:sz w:val="20"/>
          <w:szCs w:val="20"/>
        </w:rPr>
        <w:t xml:space="preserve">Culture of Continuous Improvement: The </w:t>
      </w:r>
      <w:r w:rsidR="00861E0C" w:rsidRPr="009B78CC">
        <w:rPr>
          <w:rFonts w:ascii="Arial" w:hAnsi="Arial" w:cs="Arial"/>
          <w:sz w:val="20"/>
          <w:szCs w:val="20"/>
        </w:rPr>
        <w:t>T</w:t>
      </w:r>
      <w:r w:rsidRPr="009B78CC">
        <w:rPr>
          <w:rFonts w:ascii="Arial" w:hAnsi="Arial" w:cs="Arial"/>
          <w:sz w:val="20"/>
          <w:szCs w:val="20"/>
        </w:rPr>
        <w:t xml:space="preserve">rust has continued to implement its Patient First continual improvement methodology which creates an environment where a positive culture for continuous learning and improvement is centered on meeting the needs of service users and communities. The approach underpins the clinical and quality programmes as well as the sustainability and financial recovery elements. </w:t>
      </w:r>
    </w:p>
    <w:p w14:paraId="07EFC9D8" w14:textId="77777777" w:rsidR="001653C8" w:rsidRPr="009B78CC" w:rsidRDefault="001653C8" w:rsidP="00E00F90">
      <w:pPr>
        <w:pStyle w:val="ListParagraph"/>
        <w:numPr>
          <w:ilvl w:val="0"/>
          <w:numId w:val="24"/>
        </w:numPr>
        <w:jc w:val="both"/>
        <w:rPr>
          <w:rFonts w:ascii="Arial" w:hAnsi="Arial" w:cs="Arial"/>
          <w:sz w:val="20"/>
          <w:szCs w:val="20"/>
        </w:rPr>
      </w:pPr>
      <w:r w:rsidRPr="009B78CC">
        <w:rPr>
          <w:rFonts w:ascii="Arial" w:hAnsi="Arial" w:cs="Arial"/>
          <w:sz w:val="20"/>
          <w:szCs w:val="20"/>
        </w:rPr>
        <w:t xml:space="preserve">Commitment to High-Quality Care: Through its Patient First approach, high quality care in enshrined in each of the five domains. The Patient First governance of continual review is supported by the strategy and transformation teams and delivery is through the Trusts divisions and care groups. Performance is reviewed daily and improvements, issues and successes are escalated as appropriate through the organisation.  </w:t>
      </w:r>
    </w:p>
    <w:p w14:paraId="151F185F" w14:textId="77777777" w:rsidR="001653C8" w:rsidRPr="009B78CC" w:rsidRDefault="001653C8" w:rsidP="00E00F90">
      <w:pPr>
        <w:pStyle w:val="ListParagraph"/>
        <w:numPr>
          <w:ilvl w:val="0"/>
          <w:numId w:val="24"/>
        </w:numPr>
        <w:jc w:val="both"/>
        <w:rPr>
          <w:rFonts w:ascii="Arial" w:hAnsi="Arial" w:cs="Arial"/>
          <w:sz w:val="20"/>
          <w:szCs w:val="20"/>
        </w:rPr>
      </w:pPr>
      <w:r w:rsidRPr="009B78CC">
        <w:rPr>
          <w:rFonts w:ascii="Arial" w:hAnsi="Arial" w:cs="Arial"/>
          <w:sz w:val="20"/>
          <w:szCs w:val="20"/>
        </w:rPr>
        <w:t xml:space="preserve">Patient and Service User Needs: The organisation prioritises the needs of patients and service users and this is most notable demonstrated through the Trusts new clinical strategy. </w:t>
      </w:r>
      <w:r w:rsidR="00861E0C" w:rsidRPr="009B78CC">
        <w:rPr>
          <w:rFonts w:ascii="Arial" w:hAnsi="Arial" w:cs="Arial"/>
          <w:sz w:val="20"/>
          <w:szCs w:val="20"/>
        </w:rPr>
        <w:t xml:space="preserve"> </w:t>
      </w:r>
      <w:r w:rsidRPr="009B78CC">
        <w:rPr>
          <w:rFonts w:ascii="Arial" w:hAnsi="Arial" w:cs="Arial"/>
          <w:sz w:val="20"/>
          <w:szCs w:val="20"/>
        </w:rPr>
        <w:t xml:space="preserve">Under the Quality domain of the trust Patient First True North objective, patient experience and leaning from feedback is a corporate focused programme and performance is continually reviewed and reported through the Trusts Strategic reviews, Quality and Assurance Committee and the Trust Board. </w:t>
      </w:r>
    </w:p>
    <w:p w14:paraId="64F6B120" w14:textId="77777777" w:rsidR="001653C8" w:rsidRPr="009B78CC" w:rsidRDefault="001653C8" w:rsidP="00C74C2C">
      <w:pPr>
        <w:jc w:val="both"/>
        <w:rPr>
          <w:rFonts w:ascii="Arial" w:hAnsi="Arial" w:cs="Arial"/>
          <w:sz w:val="20"/>
          <w:szCs w:val="20"/>
        </w:rPr>
      </w:pPr>
    </w:p>
    <w:p w14:paraId="2BAAB822" w14:textId="1E2EC281" w:rsidR="00D86D40" w:rsidRDefault="001653C8" w:rsidP="00C74C2C">
      <w:pPr>
        <w:jc w:val="both"/>
        <w:rPr>
          <w:rFonts w:ascii="Arial" w:hAnsi="Arial" w:cs="Arial"/>
          <w:sz w:val="20"/>
          <w:szCs w:val="20"/>
        </w:rPr>
      </w:pPr>
      <w:r w:rsidRPr="009B78CC">
        <w:rPr>
          <w:rFonts w:ascii="Arial" w:hAnsi="Arial" w:cs="Arial"/>
          <w:sz w:val="20"/>
          <w:szCs w:val="20"/>
        </w:rPr>
        <w:t xml:space="preserve">The gaps identified were highlighted in the </w:t>
      </w:r>
      <w:r w:rsidR="00861E0C" w:rsidRPr="009B78CC">
        <w:rPr>
          <w:rFonts w:ascii="Arial" w:hAnsi="Arial" w:cs="Arial"/>
          <w:sz w:val="20"/>
          <w:szCs w:val="20"/>
        </w:rPr>
        <w:t>T</w:t>
      </w:r>
      <w:r w:rsidRPr="009B78CC">
        <w:rPr>
          <w:rFonts w:ascii="Arial" w:hAnsi="Arial" w:cs="Arial"/>
          <w:sz w:val="20"/>
          <w:szCs w:val="20"/>
        </w:rPr>
        <w:t>rusts risk register and routinely reviewed by the Trusts Risk and Assurance group, Audit and Risk Committee and, if necessary, the Board.</w:t>
      </w:r>
      <w:bookmarkStart w:id="37" w:name="_Hlk169098499"/>
      <w:bookmarkEnd w:id="34"/>
    </w:p>
    <w:p w14:paraId="02E8A2DD" w14:textId="7844ED60" w:rsidR="00A7627B" w:rsidRDefault="00A7627B" w:rsidP="00C74C2C">
      <w:pPr>
        <w:jc w:val="both"/>
        <w:rPr>
          <w:rFonts w:ascii="Arial" w:hAnsi="Arial" w:cs="Arial"/>
          <w:sz w:val="20"/>
          <w:szCs w:val="20"/>
        </w:rPr>
      </w:pPr>
    </w:p>
    <w:p w14:paraId="0753641B" w14:textId="3AF259E0" w:rsidR="00A7627B" w:rsidRPr="00A7627B" w:rsidRDefault="00A7627B" w:rsidP="00C74C2C">
      <w:pPr>
        <w:jc w:val="both"/>
        <w:rPr>
          <w:rFonts w:ascii="Arial" w:hAnsi="Arial" w:cs="Arial"/>
          <w:b/>
          <w:sz w:val="20"/>
          <w:szCs w:val="20"/>
        </w:rPr>
      </w:pPr>
      <w:r w:rsidRPr="00A7627B">
        <w:rPr>
          <w:rFonts w:ascii="Arial" w:hAnsi="Arial" w:cs="Arial"/>
          <w:b/>
          <w:sz w:val="20"/>
          <w:szCs w:val="20"/>
        </w:rPr>
        <w:t xml:space="preserve">Cultural transformation </w:t>
      </w:r>
    </w:p>
    <w:p w14:paraId="6DB2E8DC" w14:textId="77777777" w:rsidR="00A7627B" w:rsidRDefault="00A7627B" w:rsidP="00C74C2C">
      <w:pPr>
        <w:jc w:val="both"/>
        <w:rPr>
          <w:rFonts w:ascii="Arial" w:hAnsi="Arial" w:cs="Arial"/>
          <w:sz w:val="20"/>
          <w:szCs w:val="20"/>
        </w:rPr>
      </w:pPr>
      <w:r w:rsidRPr="00A7627B">
        <w:rPr>
          <w:rFonts w:ascii="Arial" w:hAnsi="Arial" w:cs="Arial"/>
          <w:sz w:val="20"/>
          <w:szCs w:val="20"/>
        </w:rPr>
        <w:t xml:space="preserve">A cultural transformation programme aids in delivering the </w:t>
      </w:r>
      <w:r>
        <w:rPr>
          <w:rFonts w:ascii="Arial" w:hAnsi="Arial" w:cs="Arial"/>
          <w:sz w:val="20"/>
          <w:szCs w:val="20"/>
        </w:rPr>
        <w:t xml:space="preserve">governance and </w:t>
      </w:r>
      <w:r w:rsidRPr="00A7627B">
        <w:rPr>
          <w:rFonts w:ascii="Arial" w:hAnsi="Arial" w:cs="Arial"/>
          <w:sz w:val="20"/>
          <w:szCs w:val="20"/>
        </w:rPr>
        <w:t>well-led framework</w:t>
      </w:r>
      <w:r>
        <w:rPr>
          <w:rFonts w:ascii="Arial" w:hAnsi="Arial" w:cs="Arial"/>
          <w:sz w:val="20"/>
          <w:szCs w:val="20"/>
        </w:rPr>
        <w:t>s</w:t>
      </w:r>
      <w:r w:rsidRPr="00A7627B">
        <w:rPr>
          <w:rFonts w:ascii="Arial" w:hAnsi="Arial" w:cs="Arial"/>
          <w:sz w:val="20"/>
          <w:szCs w:val="20"/>
        </w:rPr>
        <w:t xml:space="preserve"> by promoting a shared vision, enhancing leadership capabilities, ensuring inclusivity, and fostering an environment of continuous improvement</w:t>
      </w:r>
      <w:r>
        <w:rPr>
          <w:rFonts w:ascii="Arial" w:hAnsi="Arial" w:cs="Arial"/>
          <w:sz w:val="20"/>
          <w:szCs w:val="20"/>
        </w:rPr>
        <w:t xml:space="preserve"> and psychological safety.</w:t>
      </w:r>
    </w:p>
    <w:p w14:paraId="19CB3A9A" w14:textId="77777777" w:rsidR="00A7627B" w:rsidRDefault="00A7627B" w:rsidP="00C74C2C">
      <w:pPr>
        <w:jc w:val="both"/>
        <w:rPr>
          <w:rFonts w:ascii="Arial" w:hAnsi="Arial" w:cs="Arial"/>
          <w:sz w:val="20"/>
          <w:szCs w:val="20"/>
        </w:rPr>
      </w:pPr>
    </w:p>
    <w:p w14:paraId="7E6EC083" w14:textId="04F5BE27" w:rsidR="00A7627B" w:rsidRPr="00EA120B" w:rsidRDefault="00A7627B" w:rsidP="00C74C2C">
      <w:pPr>
        <w:jc w:val="both"/>
        <w:rPr>
          <w:rFonts w:ascii="Arial" w:hAnsi="Arial" w:cs="Arial"/>
          <w:sz w:val="20"/>
          <w:szCs w:val="20"/>
        </w:rPr>
      </w:pPr>
      <w:r>
        <w:rPr>
          <w:rFonts w:ascii="Arial" w:hAnsi="Arial" w:cs="Arial"/>
          <w:sz w:val="20"/>
          <w:szCs w:val="20"/>
        </w:rPr>
        <w:t>The trust has embarked on a multi-year cultural transformation programme involving independent expe</w:t>
      </w:r>
      <w:r w:rsidR="00CE4A72">
        <w:rPr>
          <w:rFonts w:ascii="Arial" w:hAnsi="Arial" w:cs="Arial"/>
          <w:sz w:val="20"/>
          <w:szCs w:val="20"/>
        </w:rPr>
        <w:t>rtise. This is a phased programme, with the trust completing the listening and analysis phase in this report period. The programme has full board oversight and the trust chair is the nominated champion for the programme.</w:t>
      </w:r>
    </w:p>
    <w:bookmarkEnd w:id="37"/>
    <w:p w14:paraId="3345640C" w14:textId="77777777" w:rsidR="00D86D40" w:rsidRPr="00C74C2C" w:rsidRDefault="00D86D40" w:rsidP="00C74C2C">
      <w:pPr>
        <w:jc w:val="both"/>
        <w:rPr>
          <w:rFonts w:ascii="Arial" w:hAnsi="Arial" w:cs="Arial"/>
          <w:b/>
          <w:sz w:val="20"/>
          <w:szCs w:val="20"/>
          <w:lang w:val="en-GB"/>
        </w:rPr>
      </w:pPr>
      <w:r w:rsidRPr="00C74C2C">
        <w:rPr>
          <w:rFonts w:ascii="Arial" w:hAnsi="Arial" w:cs="Arial"/>
          <w:b/>
          <w:sz w:val="20"/>
          <w:szCs w:val="20"/>
          <w:lang w:val="en-GB"/>
        </w:rPr>
        <w:lastRenderedPageBreak/>
        <w:t>Quality Governance Arrangements</w:t>
      </w:r>
    </w:p>
    <w:p w14:paraId="081BE320" w14:textId="77777777" w:rsidR="00D86D40" w:rsidRPr="00C74C2C" w:rsidRDefault="00D86D40" w:rsidP="00C74C2C">
      <w:pPr>
        <w:jc w:val="both"/>
        <w:rPr>
          <w:rFonts w:ascii="Arial" w:hAnsi="Arial" w:cs="Arial"/>
          <w:sz w:val="20"/>
          <w:szCs w:val="20"/>
          <w:lang w:val="en-GB"/>
        </w:rPr>
      </w:pPr>
    </w:p>
    <w:p w14:paraId="30E4F008" w14:textId="77777777" w:rsidR="00D86D40" w:rsidRPr="00C74C2C" w:rsidRDefault="00D86D40" w:rsidP="00C74C2C">
      <w:pPr>
        <w:jc w:val="both"/>
        <w:rPr>
          <w:rFonts w:ascii="Arial" w:hAnsi="Arial" w:cs="Arial"/>
          <w:b/>
          <w:sz w:val="20"/>
          <w:szCs w:val="20"/>
          <w:u w:val="single"/>
          <w:lang w:val="en-GB"/>
        </w:rPr>
      </w:pPr>
      <w:r w:rsidRPr="00C74C2C">
        <w:rPr>
          <w:rFonts w:ascii="Arial" w:hAnsi="Arial" w:cs="Arial"/>
          <w:b/>
          <w:sz w:val="20"/>
          <w:szCs w:val="20"/>
          <w:u w:val="single"/>
          <w:lang w:val="en-GB"/>
        </w:rPr>
        <w:t xml:space="preserve">Annual Quality Account </w:t>
      </w:r>
    </w:p>
    <w:p w14:paraId="59D93F97" w14:textId="77777777" w:rsidR="00D86D40" w:rsidRPr="00C74C2C" w:rsidRDefault="00D86D40" w:rsidP="00C74C2C">
      <w:pPr>
        <w:jc w:val="both"/>
        <w:rPr>
          <w:rFonts w:ascii="Arial" w:hAnsi="Arial" w:cs="Arial"/>
          <w:sz w:val="20"/>
          <w:szCs w:val="20"/>
          <w:lang w:val="en-GB"/>
        </w:rPr>
      </w:pPr>
    </w:p>
    <w:p w14:paraId="7E697824" w14:textId="77777777" w:rsidR="00D86D40" w:rsidRPr="00C74C2C" w:rsidRDefault="00D86D40" w:rsidP="00C74C2C">
      <w:pPr>
        <w:jc w:val="both"/>
        <w:rPr>
          <w:rFonts w:ascii="Arial" w:hAnsi="Arial" w:cs="Arial"/>
          <w:sz w:val="20"/>
          <w:szCs w:val="20"/>
          <w:lang w:val="en-GB"/>
        </w:rPr>
      </w:pPr>
      <w:r w:rsidRPr="00C74C2C">
        <w:rPr>
          <w:rFonts w:ascii="Arial" w:hAnsi="Arial" w:cs="Arial"/>
          <w:sz w:val="20"/>
          <w:szCs w:val="20"/>
          <w:lang w:val="en-GB"/>
        </w:rPr>
        <w:t xml:space="preserve">The directors are required under the Health Act 2009 and the National Health Service (Quality Accounts) Regulations 2010 to prepare a Quality Account for each financial year.  The Chief Nursing Officer and the Chief Medical Officer are joint nominated Trust Executive Leads for the Quality Account.  The quality priorities have been developed in consultation with a wide range of stakeholders; membership, patients, staff and Board members.  Delivery of the quality priorities will be monitored at the Quality Assurance Committee and by the Trust Board.  You can read more about the Trust’s priorities and developments in the Quality Account (published separately).  The quality governance framework is built upon the principles described within the eight domains of NHS England and the CQC’s well-led framework.  Quality is deeply embedded in the Trust’s overall Patient First strategy.  </w:t>
      </w:r>
    </w:p>
    <w:p w14:paraId="2F32F9AF" w14:textId="77777777" w:rsidR="00D86D40" w:rsidRPr="00C74C2C" w:rsidRDefault="00D86D40" w:rsidP="00C74C2C">
      <w:pPr>
        <w:jc w:val="both"/>
        <w:rPr>
          <w:rFonts w:ascii="Arial" w:hAnsi="Arial" w:cs="Arial"/>
          <w:sz w:val="20"/>
          <w:szCs w:val="20"/>
          <w:lang w:val="en-GB"/>
        </w:rPr>
      </w:pPr>
    </w:p>
    <w:p w14:paraId="51A18B1C" w14:textId="77777777" w:rsidR="00D86D40" w:rsidRPr="00C74C2C" w:rsidRDefault="00D86D40" w:rsidP="00C74C2C">
      <w:pPr>
        <w:jc w:val="both"/>
        <w:rPr>
          <w:rFonts w:ascii="Arial" w:hAnsi="Arial" w:cs="Arial"/>
          <w:sz w:val="20"/>
          <w:szCs w:val="20"/>
          <w:lang w:val="en-GB"/>
        </w:rPr>
      </w:pPr>
      <w:r w:rsidRPr="00C74C2C">
        <w:rPr>
          <w:rFonts w:ascii="Arial" w:hAnsi="Arial" w:cs="Arial"/>
          <w:sz w:val="20"/>
          <w:szCs w:val="20"/>
          <w:lang w:val="en-GB"/>
        </w:rPr>
        <w:t xml:space="preserve">The organisational strategy reinforces the vision, values and Patient First True North Domains.  The Board actively engages in quality of care with patients, the public, staff and other relevant stakeholders through a number of different mechanisms and forums.  </w:t>
      </w:r>
    </w:p>
    <w:p w14:paraId="3D629786" w14:textId="77777777" w:rsidR="00D86D40" w:rsidRPr="00C74C2C" w:rsidRDefault="00D86D40" w:rsidP="00C74C2C">
      <w:pPr>
        <w:jc w:val="both"/>
        <w:rPr>
          <w:rFonts w:ascii="Arial" w:hAnsi="Arial" w:cs="Arial"/>
          <w:sz w:val="20"/>
          <w:szCs w:val="20"/>
          <w:lang w:val="en-GB"/>
        </w:rPr>
      </w:pPr>
    </w:p>
    <w:p w14:paraId="0A5BCE2B" w14:textId="77777777" w:rsidR="00D86D40" w:rsidRPr="00C74C2C" w:rsidRDefault="00D86D40" w:rsidP="00C74C2C">
      <w:pPr>
        <w:jc w:val="both"/>
        <w:rPr>
          <w:rFonts w:ascii="Arial" w:hAnsi="Arial" w:cs="Arial"/>
          <w:sz w:val="20"/>
          <w:szCs w:val="20"/>
          <w:lang w:val="en-GB"/>
        </w:rPr>
      </w:pPr>
      <w:r w:rsidRPr="00C74C2C">
        <w:rPr>
          <w:rFonts w:ascii="Arial" w:hAnsi="Arial" w:cs="Arial"/>
          <w:sz w:val="20"/>
          <w:szCs w:val="20"/>
          <w:lang w:val="en-GB"/>
        </w:rPr>
        <w:t>Quality targets are linked to divisions, with assurance reported to the Quality and Patient Safety sub-committee and ultimately the Quality and Assurance Committee.  Each committee receives the monthly Integrated Quality and Performance Report, with up-to-date information on key quality, safety and performance indicators including patient safety, patient experience and clinical effectiveness.  The Board receives the information bi-monthly.</w:t>
      </w:r>
    </w:p>
    <w:p w14:paraId="7F00FCF7" w14:textId="77777777" w:rsidR="00D86D40" w:rsidRPr="00C74C2C" w:rsidRDefault="00D86D40" w:rsidP="00C74C2C">
      <w:pPr>
        <w:jc w:val="both"/>
        <w:rPr>
          <w:rFonts w:ascii="Arial" w:hAnsi="Arial" w:cs="Arial"/>
          <w:sz w:val="20"/>
          <w:szCs w:val="20"/>
          <w:lang w:val="en-GB"/>
        </w:rPr>
      </w:pPr>
    </w:p>
    <w:p w14:paraId="63F59C85" w14:textId="77777777" w:rsidR="00D86D40" w:rsidRPr="00C74C2C" w:rsidRDefault="00D86D40" w:rsidP="00C74C2C">
      <w:pPr>
        <w:jc w:val="both"/>
        <w:rPr>
          <w:rFonts w:ascii="Arial" w:hAnsi="Arial" w:cs="Arial"/>
          <w:sz w:val="20"/>
          <w:szCs w:val="20"/>
          <w:lang w:val="en-GB"/>
        </w:rPr>
      </w:pPr>
      <w:r w:rsidRPr="00C74C2C">
        <w:rPr>
          <w:rFonts w:ascii="Arial" w:hAnsi="Arial" w:cs="Arial"/>
          <w:sz w:val="20"/>
          <w:szCs w:val="20"/>
          <w:lang w:val="en-GB"/>
        </w:rPr>
        <w:t>The Trust’s Scheme of Delegation details decisions reserved for the Board and its committees.  The Trust has established four divisions that will provide world-class care to the diverse communities that it serves and will be supported by corporate services. These divisions are:</w:t>
      </w:r>
    </w:p>
    <w:p w14:paraId="60827FD8" w14:textId="77777777" w:rsidR="00D86D40" w:rsidRPr="00C74C2C" w:rsidRDefault="00D86D40" w:rsidP="00C74C2C">
      <w:pPr>
        <w:jc w:val="both"/>
        <w:rPr>
          <w:rFonts w:ascii="Arial" w:hAnsi="Arial" w:cs="Arial"/>
          <w:sz w:val="20"/>
          <w:szCs w:val="20"/>
          <w:lang w:val="en-GB"/>
        </w:rPr>
      </w:pPr>
    </w:p>
    <w:p w14:paraId="096F6008" w14:textId="77777777" w:rsidR="00D86D40" w:rsidRPr="00C74C2C" w:rsidRDefault="00D86D40" w:rsidP="00E00F90">
      <w:pPr>
        <w:pStyle w:val="ListParagraph"/>
        <w:numPr>
          <w:ilvl w:val="0"/>
          <w:numId w:val="21"/>
        </w:numPr>
        <w:jc w:val="both"/>
        <w:rPr>
          <w:rFonts w:ascii="Arial" w:hAnsi="Arial" w:cs="Arial"/>
          <w:sz w:val="20"/>
          <w:szCs w:val="20"/>
          <w:lang w:val="en-GB"/>
        </w:rPr>
      </w:pPr>
      <w:r w:rsidRPr="00C74C2C">
        <w:rPr>
          <w:rFonts w:ascii="Arial" w:hAnsi="Arial" w:cs="Arial"/>
          <w:sz w:val="20"/>
          <w:szCs w:val="20"/>
          <w:lang w:val="en-GB"/>
        </w:rPr>
        <w:t>Medicine and Emergency Care</w:t>
      </w:r>
    </w:p>
    <w:p w14:paraId="10C3CF3A" w14:textId="77777777" w:rsidR="00D86D40" w:rsidRPr="00C74C2C" w:rsidRDefault="00D86D40" w:rsidP="00E00F90">
      <w:pPr>
        <w:pStyle w:val="ListParagraph"/>
        <w:numPr>
          <w:ilvl w:val="0"/>
          <w:numId w:val="21"/>
        </w:numPr>
        <w:jc w:val="both"/>
        <w:rPr>
          <w:rFonts w:ascii="Arial" w:hAnsi="Arial" w:cs="Arial"/>
          <w:sz w:val="20"/>
          <w:szCs w:val="20"/>
          <w:lang w:val="en-GB"/>
        </w:rPr>
      </w:pPr>
      <w:r w:rsidRPr="00C74C2C">
        <w:rPr>
          <w:rFonts w:ascii="Arial" w:hAnsi="Arial" w:cs="Arial"/>
          <w:sz w:val="20"/>
          <w:szCs w:val="20"/>
          <w:lang w:val="en-GB"/>
        </w:rPr>
        <w:t>Surgery and Critical Care</w:t>
      </w:r>
    </w:p>
    <w:p w14:paraId="42F1A003" w14:textId="77777777" w:rsidR="00D86D40" w:rsidRPr="00C74C2C" w:rsidRDefault="00D86D40" w:rsidP="00E00F90">
      <w:pPr>
        <w:pStyle w:val="ListParagraph"/>
        <w:numPr>
          <w:ilvl w:val="0"/>
          <w:numId w:val="21"/>
        </w:numPr>
        <w:jc w:val="both"/>
        <w:rPr>
          <w:rFonts w:ascii="Arial" w:hAnsi="Arial" w:cs="Arial"/>
          <w:sz w:val="20"/>
          <w:szCs w:val="20"/>
          <w:lang w:val="en-GB"/>
        </w:rPr>
      </w:pPr>
      <w:r w:rsidRPr="00C74C2C">
        <w:rPr>
          <w:rFonts w:ascii="Arial" w:hAnsi="Arial" w:cs="Arial"/>
          <w:sz w:val="20"/>
          <w:szCs w:val="20"/>
          <w:lang w:val="en-GB"/>
        </w:rPr>
        <w:t>Women, Children and Young People</w:t>
      </w:r>
    </w:p>
    <w:p w14:paraId="4A9478EB" w14:textId="77777777" w:rsidR="00D86D40" w:rsidRPr="00C74C2C" w:rsidRDefault="00D86D40" w:rsidP="00E00F90">
      <w:pPr>
        <w:pStyle w:val="ListParagraph"/>
        <w:numPr>
          <w:ilvl w:val="0"/>
          <w:numId w:val="21"/>
        </w:numPr>
        <w:jc w:val="both"/>
        <w:rPr>
          <w:rFonts w:ascii="Arial" w:hAnsi="Arial" w:cs="Arial"/>
          <w:sz w:val="20"/>
          <w:szCs w:val="20"/>
          <w:lang w:val="en-GB"/>
        </w:rPr>
      </w:pPr>
      <w:r w:rsidRPr="00C74C2C">
        <w:rPr>
          <w:rFonts w:ascii="Arial" w:hAnsi="Arial" w:cs="Arial"/>
          <w:sz w:val="20"/>
          <w:szCs w:val="20"/>
          <w:lang w:val="en-GB"/>
        </w:rPr>
        <w:t>Cancer and Core Clinical Services</w:t>
      </w:r>
    </w:p>
    <w:p w14:paraId="3CEFA371" w14:textId="77777777" w:rsidR="00D86D40" w:rsidRPr="00C74C2C" w:rsidRDefault="00D86D40" w:rsidP="00C74C2C">
      <w:pPr>
        <w:pStyle w:val="ListParagraph"/>
        <w:ind w:left="426"/>
        <w:jc w:val="both"/>
        <w:rPr>
          <w:rFonts w:ascii="Arial" w:hAnsi="Arial" w:cs="Arial"/>
          <w:sz w:val="20"/>
          <w:szCs w:val="20"/>
          <w:lang w:val="en-GB"/>
        </w:rPr>
      </w:pPr>
    </w:p>
    <w:p w14:paraId="505DF83F" w14:textId="77777777" w:rsidR="00D86D40" w:rsidRPr="00C74C2C" w:rsidRDefault="00D86D40" w:rsidP="00C74C2C">
      <w:pPr>
        <w:jc w:val="both"/>
        <w:rPr>
          <w:rFonts w:ascii="Arial" w:hAnsi="Arial" w:cs="Arial"/>
          <w:sz w:val="20"/>
          <w:szCs w:val="20"/>
          <w:lang w:val="en-GB"/>
        </w:rPr>
      </w:pPr>
      <w:r w:rsidRPr="00C74C2C">
        <w:rPr>
          <w:rFonts w:ascii="Arial" w:hAnsi="Arial" w:cs="Arial"/>
          <w:sz w:val="20"/>
          <w:szCs w:val="20"/>
          <w:lang w:val="en-GB"/>
        </w:rPr>
        <w:t xml:space="preserve">Each division is a key building block for successfully delivering the core objectives and to ensure that strong clinical leadership remains at the heart of decision making at all levels of the Trust. </w:t>
      </w:r>
    </w:p>
    <w:p w14:paraId="40096CB1" w14:textId="77777777" w:rsidR="00D86D40" w:rsidRPr="00C74C2C" w:rsidRDefault="00D86D40" w:rsidP="00C74C2C">
      <w:pPr>
        <w:jc w:val="both"/>
        <w:rPr>
          <w:rFonts w:ascii="Arial" w:hAnsi="Arial" w:cs="Arial"/>
          <w:sz w:val="20"/>
          <w:szCs w:val="20"/>
          <w:lang w:val="en-GB"/>
        </w:rPr>
      </w:pPr>
      <w:r w:rsidRPr="00C74C2C">
        <w:rPr>
          <w:rFonts w:ascii="Arial" w:hAnsi="Arial" w:cs="Arial"/>
          <w:sz w:val="20"/>
          <w:szCs w:val="20"/>
          <w:lang w:val="en-GB"/>
        </w:rPr>
        <w:t>The governance arrangements underpinning the Trust operating model are kept under close review to ensure that issues and risks relating to quality of care are managed and where necessary escalated appropriately, and also to identify areas for improvement in executive or Board oversight of the performance of the divisions.</w:t>
      </w:r>
    </w:p>
    <w:p w14:paraId="449B9A0B" w14:textId="77777777" w:rsidR="00D86D40" w:rsidRPr="00C74C2C" w:rsidRDefault="00D86D40" w:rsidP="00C74C2C">
      <w:pPr>
        <w:jc w:val="both"/>
        <w:rPr>
          <w:rFonts w:ascii="Arial" w:hAnsi="Arial" w:cs="Arial"/>
          <w:sz w:val="20"/>
          <w:szCs w:val="20"/>
          <w:lang w:val="en-GB"/>
        </w:rPr>
      </w:pPr>
    </w:p>
    <w:p w14:paraId="20716660" w14:textId="77777777" w:rsidR="00D86D40" w:rsidRPr="00C74C2C" w:rsidRDefault="00D86D40" w:rsidP="00C74C2C">
      <w:pPr>
        <w:jc w:val="both"/>
        <w:rPr>
          <w:rFonts w:ascii="Arial" w:hAnsi="Arial" w:cs="Arial"/>
          <w:b/>
          <w:sz w:val="20"/>
          <w:szCs w:val="20"/>
          <w:lang w:val="en-GB"/>
        </w:rPr>
      </w:pPr>
      <w:r w:rsidRPr="00C74C2C">
        <w:rPr>
          <w:rFonts w:ascii="Arial" w:hAnsi="Arial" w:cs="Arial"/>
          <w:b/>
          <w:sz w:val="20"/>
          <w:szCs w:val="20"/>
          <w:lang w:val="en-GB"/>
        </w:rPr>
        <w:t>Assessing the quality of performance information</w:t>
      </w:r>
    </w:p>
    <w:p w14:paraId="39712434" w14:textId="77777777" w:rsidR="00D86D40" w:rsidRPr="00C74C2C" w:rsidRDefault="00D86D40" w:rsidP="00C74C2C">
      <w:pPr>
        <w:jc w:val="both"/>
        <w:rPr>
          <w:rFonts w:ascii="Arial" w:hAnsi="Arial" w:cs="Arial"/>
          <w:sz w:val="20"/>
          <w:szCs w:val="20"/>
          <w:lang w:val="en-GB"/>
        </w:rPr>
      </w:pPr>
      <w:r w:rsidRPr="00C74C2C">
        <w:rPr>
          <w:rFonts w:ascii="Arial" w:hAnsi="Arial" w:cs="Arial"/>
          <w:sz w:val="20"/>
          <w:szCs w:val="20"/>
          <w:lang w:val="en-GB"/>
        </w:rPr>
        <w:t>The data-driven performance framework is used to monitor key performance indicators at Trust level, divisional and care group level, with a monthly Integrated Quality and Performance Report collating trends and analysis for Committee and Board review and public scrutiny.  A risk-based assessment of the data associated with key indicators helps determine the programme undertaken by the Trust’s internal auditors.</w:t>
      </w:r>
    </w:p>
    <w:p w14:paraId="4486A2A0" w14:textId="3DF1D7EB" w:rsidR="00D86D40" w:rsidRDefault="00D86D40" w:rsidP="00C74C2C">
      <w:pPr>
        <w:jc w:val="both"/>
        <w:rPr>
          <w:rFonts w:ascii="Arial" w:hAnsi="Arial" w:cs="Arial"/>
          <w:sz w:val="20"/>
          <w:szCs w:val="20"/>
          <w:lang w:val="en-GB"/>
        </w:rPr>
      </w:pPr>
    </w:p>
    <w:p w14:paraId="03A27180" w14:textId="77777777" w:rsidR="00D86D40" w:rsidRPr="00C74C2C" w:rsidRDefault="00D86D40" w:rsidP="00C74C2C">
      <w:pPr>
        <w:jc w:val="both"/>
        <w:rPr>
          <w:rFonts w:ascii="Arial" w:hAnsi="Arial" w:cs="Arial"/>
          <w:b/>
          <w:sz w:val="20"/>
          <w:szCs w:val="20"/>
          <w:lang w:val="en-GB"/>
        </w:rPr>
      </w:pPr>
      <w:r w:rsidRPr="00C74C2C">
        <w:rPr>
          <w:rFonts w:ascii="Arial" w:hAnsi="Arial" w:cs="Arial"/>
          <w:b/>
          <w:sz w:val="20"/>
          <w:szCs w:val="20"/>
          <w:lang w:val="en-GB"/>
        </w:rPr>
        <w:t>Assurance on compliance with the Health and Social Care Act 2008</w:t>
      </w:r>
    </w:p>
    <w:p w14:paraId="09E8F25A" w14:textId="77777777" w:rsidR="00D86D40" w:rsidRPr="00C74C2C" w:rsidRDefault="00D86D40" w:rsidP="00C74C2C">
      <w:pPr>
        <w:jc w:val="both"/>
        <w:rPr>
          <w:rFonts w:ascii="Arial" w:hAnsi="Arial" w:cs="Arial"/>
          <w:sz w:val="20"/>
          <w:szCs w:val="20"/>
          <w:lang w:val="en-GB"/>
        </w:rPr>
      </w:pPr>
      <w:r w:rsidRPr="00C74C2C">
        <w:rPr>
          <w:rFonts w:ascii="Arial" w:hAnsi="Arial" w:cs="Arial"/>
          <w:sz w:val="20"/>
          <w:szCs w:val="20"/>
          <w:lang w:val="en-GB"/>
        </w:rPr>
        <w:t xml:space="preserve">The Trust is fully compliant with the registration requirements of the Care Quality Commission (CQC).  A range of mechanisms are in place to provide assurance of compliance with the Health and Social Care Act 2008 (Regulated Activities) and Regulations 2010, as set out in the CQC’s guidance for providers.  </w:t>
      </w:r>
      <w:r w:rsidRPr="00C74C2C">
        <w:rPr>
          <w:rFonts w:ascii="Arial" w:hAnsi="Arial" w:cs="Arial"/>
          <w:i/>
          <w:sz w:val="20"/>
          <w:szCs w:val="20"/>
          <w:lang w:val="en-GB"/>
        </w:rPr>
        <w:t xml:space="preserve">[Report published 28 April 2023]    </w:t>
      </w:r>
    </w:p>
    <w:p w14:paraId="48A618AC" w14:textId="77777777" w:rsidR="00D86D40" w:rsidRPr="00C74C2C" w:rsidRDefault="00D86D40" w:rsidP="00C74C2C">
      <w:pPr>
        <w:jc w:val="both"/>
        <w:rPr>
          <w:rFonts w:ascii="Arial" w:hAnsi="Arial" w:cs="Arial"/>
          <w:sz w:val="20"/>
          <w:szCs w:val="20"/>
          <w:lang w:val="en-GB"/>
        </w:rPr>
      </w:pPr>
    </w:p>
    <w:tbl>
      <w:tblPr>
        <w:tblStyle w:val="TableGrid"/>
        <w:tblW w:w="0" w:type="auto"/>
        <w:tblLook w:val="04A0" w:firstRow="1" w:lastRow="0" w:firstColumn="1" w:lastColumn="0" w:noHBand="0" w:noVBand="1"/>
      </w:tblPr>
      <w:tblGrid>
        <w:gridCol w:w="4463"/>
        <w:gridCol w:w="2089"/>
        <w:gridCol w:w="2464"/>
      </w:tblGrid>
      <w:tr w:rsidR="00D86D40" w:rsidRPr="00C74C2C" w14:paraId="3B668D3E" w14:textId="77777777" w:rsidTr="004E2D2F">
        <w:tc>
          <w:tcPr>
            <w:tcW w:w="4463" w:type="dxa"/>
          </w:tcPr>
          <w:p w14:paraId="270D5E3F" w14:textId="77777777" w:rsidR="00D86D40" w:rsidRPr="00C74C2C" w:rsidRDefault="00D86D40" w:rsidP="00C74C2C">
            <w:pPr>
              <w:jc w:val="both"/>
              <w:rPr>
                <w:rFonts w:ascii="Arial" w:hAnsi="Arial" w:cs="Arial"/>
                <w:b/>
                <w:sz w:val="20"/>
                <w:szCs w:val="20"/>
                <w:lang w:val="en-GB"/>
              </w:rPr>
            </w:pPr>
          </w:p>
        </w:tc>
        <w:tc>
          <w:tcPr>
            <w:tcW w:w="2089" w:type="dxa"/>
          </w:tcPr>
          <w:p w14:paraId="46E54F9B" w14:textId="77777777" w:rsidR="00D86D40" w:rsidRPr="00C74C2C" w:rsidRDefault="00D86D40" w:rsidP="00C74C2C">
            <w:pPr>
              <w:jc w:val="both"/>
              <w:rPr>
                <w:rFonts w:ascii="Arial" w:hAnsi="Arial" w:cs="Arial"/>
                <w:b/>
                <w:sz w:val="20"/>
                <w:szCs w:val="20"/>
                <w:lang w:val="en-GB"/>
              </w:rPr>
            </w:pPr>
            <w:r w:rsidRPr="00C74C2C">
              <w:rPr>
                <w:rFonts w:ascii="Arial" w:hAnsi="Arial" w:cs="Arial"/>
                <w:b/>
                <w:sz w:val="20"/>
                <w:szCs w:val="20"/>
                <w:lang w:val="en-GB"/>
              </w:rPr>
              <w:t>Date</w:t>
            </w:r>
          </w:p>
        </w:tc>
        <w:tc>
          <w:tcPr>
            <w:tcW w:w="2464" w:type="dxa"/>
          </w:tcPr>
          <w:p w14:paraId="662BDA67" w14:textId="77777777" w:rsidR="00D86D40" w:rsidRPr="00C74C2C" w:rsidRDefault="00D86D40" w:rsidP="00C74C2C">
            <w:pPr>
              <w:jc w:val="both"/>
              <w:rPr>
                <w:rFonts w:ascii="Arial" w:hAnsi="Arial" w:cs="Arial"/>
                <w:b/>
                <w:sz w:val="20"/>
                <w:szCs w:val="20"/>
                <w:lang w:val="en-GB"/>
              </w:rPr>
            </w:pPr>
            <w:r w:rsidRPr="00C74C2C">
              <w:rPr>
                <w:rFonts w:ascii="Arial" w:hAnsi="Arial" w:cs="Arial"/>
                <w:b/>
                <w:sz w:val="20"/>
                <w:szCs w:val="20"/>
                <w:lang w:val="en-GB"/>
              </w:rPr>
              <w:t xml:space="preserve">Rating </w:t>
            </w:r>
          </w:p>
        </w:tc>
      </w:tr>
      <w:tr w:rsidR="00D86D40" w:rsidRPr="00C74C2C" w14:paraId="4AA06624" w14:textId="77777777" w:rsidTr="004E2D2F">
        <w:tc>
          <w:tcPr>
            <w:tcW w:w="4463" w:type="dxa"/>
          </w:tcPr>
          <w:p w14:paraId="6845459C" w14:textId="77777777" w:rsidR="00D86D40" w:rsidRPr="00C74C2C" w:rsidRDefault="00D86D40" w:rsidP="00C74C2C">
            <w:pPr>
              <w:jc w:val="both"/>
              <w:rPr>
                <w:rFonts w:ascii="Arial" w:hAnsi="Arial" w:cs="Arial"/>
                <w:b/>
                <w:sz w:val="20"/>
                <w:szCs w:val="20"/>
                <w:lang w:val="en-GB"/>
              </w:rPr>
            </w:pPr>
            <w:r w:rsidRPr="00C74C2C">
              <w:rPr>
                <w:rFonts w:ascii="Arial" w:hAnsi="Arial" w:cs="Arial"/>
                <w:b/>
                <w:sz w:val="20"/>
                <w:szCs w:val="20"/>
                <w:lang w:val="en-GB"/>
              </w:rPr>
              <w:t xml:space="preserve">Safe </w:t>
            </w:r>
          </w:p>
        </w:tc>
        <w:tc>
          <w:tcPr>
            <w:tcW w:w="2089" w:type="dxa"/>
          </w:tcPr>
          <w:p w14:paraId="448C5374" w14:textId="77777777" w:rsidR="00D86D40" w:rsidRPr="00C74C2C" w:rsidRDefault="00D86D40" w:rsidP="00C74C2C">
            <w:pPr>
              <w:jc w:val="both"/>
              <w:rPr>
                <w:rFonts w:ascii="Arial" w:hAnsi="Arial" w:cs="Arial"/>
                <w:sz w:val="20"/>
                <w:szCs w:val="20"/>
                <w:lang w:val="en-GB"/>
              </w:rPr>
            </w:pPr>
            <w:r w:rsidRPr="00C74C2C">
              <w:rPr>
                <w:rFonts w:ascii="Arial" w:hAnsi="Arial" w:cs="Arial"/>
                <w:sz w:val="20"/>
                <w:szCs w:val="20"/>
                <w:lang w:val="en-GB"/>
              </w:rPr>
              <w:t>-</w:t>
            </w:r>
          </w:p>
        </w:tc>
        <w:tc>
          <w:tcPr>
            <w:tcW w:w="2464" w:type="dxa"/>
            <w:shd w:val="clear" w:color="auto" w:fill="FFC000"/>
          </w:tcPr>
          <w:p w14:paraId="566A648D" w14:textId="77777777" w:rsidR="00D86D40" w:rsidRPr="00C74C2C" w:rsidRDefault="00D86D40" w:rsidP="00C74C2C">
            <w:pPr>
              <w:jc w:val="both"/>
              <w:rPr>
                <w:rFonts w:ascii="Arial" w:hAnsi="Arial" w:cs="Arial"/>
                <w:sz w:val="20"/>
                <w:szCs w:val="20"/>
                <w:lang w:val="en-GB"/>
              </w:rPr>
            </w:pPr>
            <w:r w:rsidRPr="00C74C2C">
              <w:rPr>
                <w:rFonts w:ascii="Arial" w:hAnsi="Arial" w:cs="Arial"/>
                <w:sz w:val="20"/>
                <w:szCs w:val="20"/>
                <w:lang w:val="en-GB"/>
              </w:rPr>
              <w:t xml:space="preserve">Requires Improvement </w:t>
            </w:r>
          </w:p>
        </w:tc>
      </w:tr>
      <w:tr w:rsidR="00D86D40" w:rsidRPr="00C74C2C" w14:paraId="70876869" w14:textId="77777777" w:rsidTr="004E2D2F">
        <w:tc>
          <w:tcPr>
            <w:tcW w:w="4463" w:type="dxa"/>
          </w:tcPr>
          <w:p w14:paraId="067B42A8" w14:textId="77777777" w:rsidR="00D86D40" w:rsidRPr="00C74C2C" w:rsidRDefault="00D86D40" w:rsidP="00C74C2C">
            <w:pPr>
              <w:jc w:val="both"/>
              <w:rPr>
                <w:rFonts w:ascii="Arial" w:hAnsi="Arial" w:cs="Arial"/>
                <w:b/>
                <w:sz w:val="20"/>
                <w:szCs w:val="20"/>
                <w:lang w:val="en-GB"/>
              </w:rPr>
            </w:pPr>
            <w:r w:rsidRPr="00C74C2C">
              <w:rPr>
                <w:rFonts w:ascii="Arial" w:hAnsi="Arial" w:cs="Arial"/>
                <w:b/>
                <w:sz w:val="20"/>
                <w:szCs w:val="20"/>
                <w:lang w:val="en-GB"/>
              </w:rPr>
              <w:t xml:space="preserve">Effective </w:t>
            </w:r>
          </w:p>
        </w:tc>
        <w:tc>
          <w:tcPr>
            <w:tcW w:w="2089" w:type="dxa"/>
          </w:tcPr>
          <w:p w14:paraId="41B8D6C3" w14:textId="77777777" w:rsidR="00D86D40" w:rsidRPr="00C74C2C" w:rsidRDefault="00D86D40" w:rsidP="00C74C2C">
            <w:pPr>
              <w:jc w:val="both"/>
              <w:rPr>
                <w:rFonts w:ascii="Arial" w:hAnsi="Arial" w:cs="Arial"/>
                <w:sz w:val="20"/>
                <w:szCs w:val="20"/>
                <w:lang w:val="en-GB"/>
              </w:rPr>
            </w:pPr>
            <w:r w:rsidRPr="00C74C2C">
              <w:rPr>
                <w:rFonts w:ascii="Arial" w:hAnsi="Arial" w:cs="Arial"/>
                <w:sz w:val="20"/>
                <w:szCs w:val="20"/>
                <w:lang w:val="en-GB"/>
              </w:rPr>
              <w:t>-</w:t>
            </w:r>
          </w:p>
        </w:tc>
        <w:tc>
          <w:tcPr>
            <w:tcW w:w="2464" w:type="dxa"/>
            <w:shd w:val="clear" w:color="auto" w:fill="FFC000"/>
          </w:tcPr>
          <w:p w14:paraId="6B13C55D" w14:textId="77777777" w:rsidR="00D86D40" w:rsidRPr="00C74C2C" w:rsidRDefault="00D86D40" w:rsidP="00C74C2C">
            <w:pPr>
              <w:jc w:val="both"/>
              <w:rPr>
                <w:rFonts w:ascii="Arial" w:hAnsi="Arial" w:cs="Arial"/>
                <w:sz w:val="20"/>
                <w:szCs w:val="20"/>
                <w:lang w:val="en-GB"/>
              </w:rPr>
            </w:pPr>
            <w:r w:rsidRPr="00C74C2C">
              <w:rPr>
                <w:rFonts w:ascii="Arial" w:hAnsi="Arial" w:cs="Arial"/>
                <w:sz w:val="20"/>
                <w:szCs w:val="20"/>
                <w:lang w:val="en-GB"/>
              </w:rPr>
              <w:t xml:space="preserve">Requires Improvement </w:t>
            </w:r>
          </w:p>
        </w:tc>
      </w:tr>
      <w:tr w:rsidR="00D86D40" w:rsidRPr="00C74C2C" w14:paraId="4D793150" w14:textId="77777777" w:rsidTr="004E2D2F">
        <w:tc>
          <w:tcPr>
            <w:tcW w:w="4463" w:type="dxa"/>
          </w:tcPr>
          <w:p w14:paraId="15BD6614" w14:textId="77777777" w:rsidR="00D86D40" w:rsidRPr="00C74C2C" w:rsidRDefault="00D86D40" w:rsidP="00C74C2C">
            <w:pPr>
              <w:jc w:val="both"/>
              <w:rPr>
                <w:rFonts w:ascii="Arial" w:hAnsi="Arial" w:cs="Arial"/>
                <w:b/>
                <w:sz w:val="20"/>
                <w:szCs w:val="20"/>
                <w:lang w:val="en-GB"/>
              </w:rPr>
            </w:pPr>
            <w:r w:rsidRPr="00C74C2C">
              <w:rPr>
                <w:rFonts w:ascii="Arial" w:hAnsi="Arial" w:cs="Arial"/>
                <w:b/>
                <w:sz w:val="20"/>
                <w:szCs w:val="20"/>
                <w:lang w:val="en-GB"/>
              </w:rPr>
              <w:t>Caring</w:t>
            </w:r>
          </w:p>
        </w:tc>
        <w:tc>
          <w:tcPr>
            <w:tcW w:w="2089" w:type="dxa"/>
          </w:tcPr>
          <w:p w14:paraId="1E01D054" w14:textId="77777777" w:rsidR="00D86D40" w:rsidRPr="00C74C2C" w:rsidRDefault="00D86D40" w:rsidP="00C74C2C">
            <w:pPr>
              <w:jc w:val="both"/>
              <w:rPr>
                <w:rFonts w:ascii="Arial" w:hAnsi="Arial" w:cs="Arial"/>
                <w:sz w:val="20"/>
                <w:szCs w:val="20"/>
                <w:lang w:val="en-GB"/>
              </w:rPr>
            </w:pPr>
            <w:r w:rsidRPr="00C74C2C">
              <w:rPr>
                <w:rFonts w:ascii="Arial" w:hAnsi="Arial" w:cs="Arial"/>
                <w:sz w:val="20"/>
                <w:szCs w:val="20"/>
                <w:lang w:val="en-GB"/>
              </w:rPr>
              <w:t>-</w:t>
            </w:r>
          </w:p>
        </w:tc>
        <w:tc>
          <w:tcPr>
            <w:tcW w:w="2464" w:type="dxa"/>
            <w:shd w:val="clear" w:color="auto" w:fill="92D050"/>
          </w:tcPr>
          <w:p w14:paraId="46A1EFCC" w14:textId="77777777" w:rsidR="00D86D40" w:rsidRPr="00C74C2C" w:rsidRDefault="00D86D40" w:rsidP="00C74C2C">
            <w:pPr>
              <w:jc w:val="both"/>
              <w:rPr>
                <w:rFonts w:ascii="Arial" w:hAnsi="Arial" w:cs="Arial"/>
                <w:sz w:val="20"/>
                <w:szCs w:val="20"/>
                <w:lang w:val="en-GB"/>
              </w:rPr>
            </w:pPr>
            <w:r w:rsidRPr="00C74C2C">
              <w:rPr>
                <w:rFonts w:ascii="Arial" w:hAnsi="Arial" w:cs="Arial"/>
                <w:sz w:val="20"/>
                <w:szCs w:val="20"/>
                <w:lang w:val="en-GB"/>
              </w:rPr>
              <w:t>Good</w:t>
            </w:r>
          </w:p>
        </w:tc>
      </w:tr>
      <w:tr w:rsidR="00D86D40" w:rsidRPr="00C74C2C" w14:paraId="122B5B15" w14:textId="77777777" w:rsidTr="004E2D2F">
        <w:tc>
          <w:tcPr>
            <w:tcW w:w="4463" w:type="dxa"/>
          </w:tcPr>
          <w:p w14:paraId="3D65997D" w14:textId="77777777" w:rsidR="00D86D40" w:rsidRPr="00C74C2C" w:rsidRDefault="00D86D40" w:rsidP="00C74C2C">
            <w:pPr>
              <w:jc w:val="both"/>
              <w:rPr>
                <w:rFonts w:ascii="Arial" w:hAnsi="Arial" w:cs="Arial"/>
                <w:b/>
                <w:sz w:val="20"/>
                <w:szCs w:val="20"/>
                <w:lang w:val="en-GB"/>
              </w:rPr>
            </w:pPr>
            <w:r w:rsidRPr="00C74C2C">
              <w:rPr>
                <w:rFonts w:ascii="Arial" w:hAnsi="Arial" w:cs="Arial"/>
                <w:b/>
                <w:sz w:val="20"/>
                <w:szCs w:val="20"/>
                <w:lang w:val="en-GB"/>
              </w:rPr>
              <w:t>Responsive</w:t>
            </w:r>
          </w:p>
        </w:tc>
        <w:tc>
          <w:tcPr>
            <w:tcW w:w="2089" w:type="dxa"/>
          </w:tcPr>
          <w:p w14:paraId="7DBE1890" w14:textId="77777777" w:rsidR="00D86D40" w:rsidRPr="00C74C2C" w:rsidRDefault="00D86D40" w:rsidP="00C74C2C">
            <w:pPr>
              <w:jc w:val="both"/>
              <w:rPr>
                <w:rFonts w:ascii="Arial" w:hAnsi="Arial" w:cs="Arial"/>
                <w:sz w:val="20"/>
                <w:szCs w:val="20"/>
                <w:lang w:val="en-GB"/>
              </w:rPr>
            </w:pPr>
            <w:r w:rsidRPr="00C74C2C">
              <w:rPr>
                <w:rFonts w:ascii="Arial" w:hAnsi="Arial" w:cs="Arial"/>
                <w:sz w:val="20"/>
                <w:szCs w:val="20"/>
                <w:lang w:val="en-GB"/>
              </w:rPr>
              <w:t>-</w:t>
            </w:r>
          </w:p>
        </w:tc>
        <w:tc>
          <w:tcPr>
            <w:tcW w:w="2464" w:type="dxa"/>
            <w:shd w:val="clear" w:color="auto" w:fill="FFC000"/>
          </w:tcPr>
          <w:p w14:paraId="00C14972" w14:textId="77777777" w:rsidR="00D86D40" w:rsidRPr="00C74C2C" w:rsidRDefault="00D86D40" w:rsidP="00C74C2C">
            <w:pPr>
              <w:jc w:val="both"/>
              <w:rPr>
                <w:rFonts w:ascii="Arial" w:hAnsi="Arial" w:cs="Arial"/>
                <w:sz w:val="20"/>
                <w:szCs w:val="20"/>
                <w:lang w:val="en-GB"/>
              </w:rPr>
            </w:pPr>
            <w:r w:rsidRPr="00C74C2C">
              <w:rPr>
                <w:rFonts w:ascii="Arial" w:hAnsi="Arial" w:cs="Arial"/>
                <w:sz w:val="20"/>
                <w:szCs w:val="20"/>
                <w:lang w:val="en-GB"/>
              </w:rPr>
              <w:t xml:space="preserve">Requires Improvement </w:t>
            </w:r>
          </w:p>
        </w:tc>
      </w:tr>
      <w:tr w:rsidR="00D86D40" w:rsidRPr="00C74C2C" w14:paraId="1E52310A" w14:textId="77777777" w:rsidTr="004E2D2F">
        <w:tc>
          <w:tcPr>
            <w:tcW w:w="4463" w:type="dxa"/>
          </w:tcPr>
          <w:p w14:paraId="2451DEBE" w14:textId="77777777" w:rsidR="00D86D40" w:rsidRPr="00C74C2C" w:rsidRDefault="00D86D40" w:rsidP="00C74C2C">
            <w:pPr>
              <w:jc w:val="both"/>
              <w:rPr>
                <w:rFonts w:ascii="Arial" w:hAnsi="Arial" w:cs="Arial"/>
                <w:b/>
                <w:sz w:val="20"/>
                <w:szCs w:val="20"/>
                <w:lang w:val="en-GB"/>
              </w:rPr>
            </w:pPr>
            <w:r w:rsidRPr="00C74C2C">
              <w:rPr>
                <w:rFonts w:ascii="Arial" w:hAnsi="Arial" w:cs="Arial"/>
                <w:b/>
                <w:sz w:val="20"/>
                <w:szCs w:val="20"/>
                <w:lang w:val="en-GB"/>
              </w:rPr>
              <w:t>Well-Led</w:t>
            </w:r>
          </w:p>
        </w:tc>
        <w:tc>
          <w:tcPr>
            <w:tcW w:w="2089" w:type="dxa"/>
          </w:tcPr>
          <w:p w14:paraId="73DAE125" w14:textId="77777777" w:rsidR="00D86D40" w:rsidRPr="00C74C2C" w:rsidRDefault="00D86D40" w:rsidP="00C74C2C">
            <w:pPr>
              <w:jc w:val="both"/>
              <w:rPr>
                <w:rFonts w:ascii="Arial" w:hAnsi="Arial" w:cs="Arial"/>
                <w:sz w:val="20"/>
                <w:szCs w:val="20"/>
                <w:lang w:val="en-GB"/>
              </w:rPr>
            </w:pPr>
            <w:r w:rsidRPr="00C74C2C">
              <w:rPr>
                <w:rFonts w:ascii="Arial" w:hAnsi="Arial" w:cs="Arial"/>
                <w:sz w:val="20"/>
                <w:szCs w:val="20"/>
                <w:lang w:val="en-GB"/>
              </w:rPr>
              <w:t>-</w:t>
            </w:r>
          </w:p>
        </w:tc>
        <w:tc>
          <w:tcPr>
            <w:tcW w:w="2464" w:type="dxa"/>
            <w:shd w:val="clear" w:color="auto" w:fill="FFC000"/>
          </w:tcPr>
          <w:p w14:paraId="2EFC40E4" w14:textId="77777777" w:rsidR="00D86D40" w:rsidRPr="00C74C2C" w:rsidRDefault="00D86D40" w:rsidP="00C74C2C">
            <w:pPr>
              <w:jc w:val="both"/>
              <w:rPr>
                <w:rFonts w:ascii="Arial" w:hAnsi="Arial" w:cs="Arial"/>
                <w:sz w:val="20"/>
                <w:szCs w:val="20"/>
                <w:lang w:val="en-GB"/>
              </w:rPr>
            </w:pPr>
            <w:r w:rsidRPr="00C74C2C">
              <w:rPr>
                <w:rFonts w:ascii="Arial" w:hAnsi="Arial" w:cs="Arial"/>
                <w:sz w:val="20"/>
                <w:szCs w:val="20"/>
                <w:lang w:val="en-GB"/>
              </w:rPr>
              <w:t xml:space="preserve">Requires Improvement </w:t>
            </w:r>
          </w:p>
        </w:tc>
      </w:tr>
      <w:tr w:rsidR="00D86D40" w:rsidRPr="00C74C2C" w14:paraId="2562C0A1" w14:textId="77777777" w:rsidTr="004E2D2F">
        <w:tc>
          <w:tcPr>
            <w:tcW w:w="4463" w:type="dxa"/>
          </w:tcPr>
          <w:p w14:paraId="523007AD" w14:textId="77777777" w:rsidR="00D86D40" w:rsidRPr="00C74C2C" w:rsidRDefault="00D86D40" w:rsidP="00C74C2C">
            <w:pPr>
              <w:jc w:val="both"/>
              <w:rPr>
                <w:rFonts w:ascii="Arial" w:hAnsi="Arial" w:cs="Arial"/>
                <w:sz w:val="20"/>
                <w:szCs w:val="20"/>
                <w:lang w:val="en-GB"/>
              </w:rPr>
            </w:pPr>
            <w:r w:rsidRPr="00C74C2C">
              <w:rPr>
                <w:rFonts w:ascii="Arial" w:hAnsi="Arial" w:cs="Arial"/>
                <w:sz w:val="20"/>
                <w:szCs w:val="20"/>
                <w:lang w:val="en-GB"/>
              </w:rPr>
              <w:t>Medical Care including older people’s care</w:t>
            </w:r>
          </w:p>
        </w:tc>
        <w:tc>
          <w:tcPr>
            <w:tcW w:w="2089" w:type="dxa"/>
          </w:tcPr>
          <w:p w14:paraId="17A356C9" w14:textId="77777777" w:rsidR="00D86D40" w:rsidRPr="00C74C2C" w:rsidRDefault="00D86D40" w:rsidP="00C74C2C">
            <w:pPr>
              <w:jc w:val="both"/>
              <w:rPr>
                <w:rFonts w:ascii="Arial" w:hAnsi="Arial" w:cs="Arial"/>
                <w:sz w:val="20"/>
                <w:szCs w:val="20"/>
                <w:lang w:val="en-GB"/>
              </w:rPr>
            </w:pPr>
            <w:r w:rsidRPr="00C74C2C">
              <w:rPr>
                <w:rFonts w:ascii="Arial" w:hAnsi="Arial" w:cs="Arial"/>
                <w:sz w:val="20"/>
                <w:szCs w:val="20"/>
                <w:lang w:val="en-GB"/>
              </w:rPr>
              <w:t>30 July 2021</w:t>
            </w:r>
          </w:p>
        </w:tc>
        <w:tc>
          <w:tcPr>
            <w:tcW w:w="2464" w:type="dxa"/>
            <w:shd w:val="clear" w:color="auto" w:fill="FFC000"/>
          </w:tcPr>
          <w:p w14:paraId="704515D0" w14:textId="77777777" w:rsidR="00D86D40" w:rsidRPr="00C74C2C" w:rsidRDefault="00D86D40" w:rsidP="00C74C2C">
            <w:pPr>
              <w:jc w:val="both"/>
              <w:rPr>
                <w:rFonts w:ascii="Arial" w:hAnsi="Arial" w:cs="Arial"/>
                <w:sz w:val="20"/>
                <w:szCs w:val="20"/>
                <w:lang w:val="en-GB"/>
              </w:rPr>
            </w:pPr>
            <w:r w:rsidRPr="00C74C2C">
              <w:rPr>
                <w:rFonts w:ascii="Arial" w:hAnsi="Arial" w:cs="Arial"/>
                <w:sz w:val="20"/>
                <w:szCs w:val="20"/>
                <w:lang w:val="en-GB"/>
              </w:rPr>
              <w:t xml:space="preserve">Requires Improvement </w:t>
            </w:r>
          </w:p>
        </w:tc>
      </w:tr>
      <w:tr w:rsidR="00D86D40" w:rsidRPr="00C74C2C" w14:paraId="12645D38" w14:textId="77777777" w:rsidTr="004E2D2F">
        <w:tc>
          <w:tcPr>
            <w:tcW w:w="4463" w:type="dxa"/>
          </w:tcPr>
          <w:p w14:paraId="5884A1E6" w14:textId="77777777" w:rsidR="00D86D40" w:rsidRPr="00C74C2C" w:rsidRDefault="00D86D40" w:rsidP="00C74C2C">
            <w:pPr>
              <w:jc w:val="both"/>
              <w:rPr>
                <w:rFonts w:ascii="Arial" w:hAnsi="Arial" w:cs="Arial"/>
                <w:sz w:val="20"/>
                <w:szCs w:val="20"/>
                <w:lang w:val="en-GB"/>
              </w:rPr>
            </w:pPr>
            <w:r w:rsidRPr="00C74C2C">
              <w:rPr>
                <w:rFonts w:ascii="Arial" w:hAnsi="Arial" w:cs="Arial"/>
                <w:sz w:val="20"/>
                <w:szCs w:val="20"/>
                <w:lang w:val="en-GB"/>
              </w:rPr>
              <w:lastRenderedPageBreak/>
              <w:t xml:space="preserve">Services for children and young people </w:t>
            </w:r>
          </w:p>
        </w:tc>
        <w:tc>
          <w:tcPr>
            <w:tcW w:w="2089" w:type="dxa"/>
          </w:tcPr>
          <w:p w14:paraId="7343E458" w14:textId="77777777" w:rsidR="00D86D40" w:rsidRPr="00C74C2C" w:rsidRDefault="00D86D40" w:rsidP="00C74C2C">
            <w:pPr>
              <w:jc w:val="both"/>
              <w:rPr>
                <w:rFonts w:ascii="Arial" w:hAnsi="Arial" w:cs="Arial"/>
                <w:sz w:val="20"/>
                <w:szCs w:val="20"/>
                <w:lang w:val="en-GB"/>
              </w:rPr>
            </w:pPr>
            <w:r w:rsidRPr="00C74C2C">
              <w:rPr>
                <w:rFonts w:ascii="Arial" w:hAnsi="Arial" w:cs="Arial"/>
                <w:sz w:val="20"/>
                <w:szCs w:val="20"/>
                <w:lang w:val="en-GB"/>
              </w:rPr>
              <w:t>30 July 2021</w:t>
            </w:r>
          </w:p>
        </w:tc>
        <w:tc>
          <w:tcPr>
            <w:tcW w:w="2464" w:type="dxa"/>
            <w:shd w:val="clear" w:color="auto" w:fill="FFC000"/>
          </w:tcPr>
          <w:p w14:paraId="0E9C0479" w14:textId="77777777" w:rsidR="00D86D40" w:rsidRPr="00C74C2C" w:rsidRDefault="00D86D40" w:rsidP="00C74C2C">
            <w:pPr>
              <w:jc w:val="both"/>
              <w:rPr>
                <w:rFonts w:ascii="Arial" w:hAnsi="Arial" w:cs="Arial"/>
                <w:sz w:val="20"/>
                <w:szCs w:val="20"/>
                <w:lang w:val="en-GB"/>
              </w:rPr>
            </w:pPr>
            <w:r w:rsidRPr="00C74C2C">
              <w:rPr>
                <w:rFonts w:ascii="Arial" w:hAnsi="Arial" w:cs="Arial"/>
                <w:sz w:val="20"/>
                <w:szCs w:val="20"/>
                <w:lang w:val="en-GB"/>
              </w:rPr>
              <w:t xml:space="preserve">Requires Improvement </w:t>
            </w:r>
          </w:p>
        </w:tc>
      </w:tr>
      <w:tr w:rsidR="00D86D40" w:rsidRPr="00C74C2C" w14:paraId="20FE04BC" w14:textId="77777777" w:rsidTr="004E2D2F">
        <w:tc>
          <w:tcPr>
            <w:tcW w:w="4463" w:type="dxa"/>
          </w:tcPr>
          <w:p w14:paraId="2F58D6DB" w14:textId="77777777" w:rsidR="00D86D40" w:rsidRPr="00C74C2C" w:rsidRDefault="00D86D40" w:rsidP="00C74C2C">
            <w:pPr>
              <w:jc w:val="both"/>
              <w:rPr>
                <w:rFonts w:ascii="Arial" w:hAnsi="Arial" w:cs="Arial"/>
                <w:sz w:val="20"/>
                <w:szCs w:val="20"/>
                <w:lang w:val="en-GB"/>
              </w:rPr>
            </w:pPr>
            <w:r w:rsidRPr="00C74C2C">
              <w:rPr>
                <w:rFonts w:ascii="Arial" w:hAnsi="Arial" w:cs="Arial"/>
                <w:sz w:val="20"/>
                <w:szCs w:val="20"/>
                <w:lang w:val="en-GB"/>
              </w:rPr>
              <w:t xml:space="preserve">Critical Care </w:t>
            </w:r>
          </w:p>
        </w:tc>
        <w:tc>
          <w:tcPr>
            <w:tcW w:w="2089" w:type="dxa"/>
          </w:tcPr>
          <w:p w14:paraId="7E375B28" w14:textId="77777777" w:rsidR="00D86D40" w:rsidRPr="00C74C2C" w:rsidRDefault="00D86D40" w:rsidP="00C74C2C">
            <w:pPr>
              <w:jc w:val="both"/>
              <w:rPr>
                <w:rFonts w:ascii="Arial" w:hAnsi="Arial" w:cs="Arial"/>
                <w:sz w:val="20"/>
                <w:szCs w:val="20"/>
                <w:lang w:val="en-GB"/>
              </w:rPr>
            </w:pPr>
            <w:r w:rsidRPr="00C74C2C">
              <w:rPr>
                <w:rFonts w:ascii="Arial" w:hAnsi="Arial" w:cs="Arial"/>
                <w:sz w:val="20"/>
                <w:szCs w:val="20"/>
                <w:lang w:val="en-GB"/>
              </w:rPr>
              <w:t>30 April 2020</w:t>
            </w:r>
          </w:p>
        </w:tc>
        <w:tc>
          <w:tcPr>
            <w:tcW w:w="2464" w:type="dxa"/>
            <w:shd w:val="clear" w:color="auto" w:fill="0070C0"/>
          </w:tcPr>
          <w:p w14:paraId="2CB1184D" w14:textId="77777777" w:rsidR="00D86D40" w:rsidRPr="00C74C2C" w:rsidRDefault="00D86D40" w:rsidP="00C74C2C">
            <w:pPr>
              <w:jc w:val="both"/>
              <w:rPr>
                <w:rFonts w:ascii="Arial" w:hAnsi="Arial" w:cs="Arial"/>
                <w:sz w:val="20"/>
                <w:szCs w:val="20"/>
                <w:lang w:val="en-GB"/>
              </w:rPr>
            </w:pPr>
            <w:r w:rsidRPr="00C440BD">
              <w:rPr>
                <w:rFonts w:ascii="Arial" w:hAnsi="Arial" w:cs="Arial"/>
                <w:color w:val="FFFFFF" w:themeColor="background1"/>
                <w:sz w:val="20"/>
                <w:szCs w:val="20"/>
                <w:lang w:val="en-GB"/>
              </w:rPr>
              <w:t>Outstanding</w:t>
            </w:r>
          </w:p>
        </w:tc>
      </w:tr>
      <w:tr w:rsidR="00D86D40" w:rsidRPr="00C74C2C" w14:paraId="357695DC" w14:textId="77777777" w:rsidTr="004E2D2F">
        <w:tc>
          <w:tcPr>
            <w:tcW w:w="4463" w:type="dxa"/>
          </w:tcPr>
          <w:p w14:paraId="4C087411" w14:textId="77777777" w:rsidR="00D86D40" w:rsidRPr="00C74C2C" w:rsidRDefault="00D86D40" w:rsidP="00C74C2C">
            <w:pPr>
              <w:jc w:val="both"/>
              <w:rPr>
                <w:rFonts w:ascii="Arial" w:hAnsi="Arial" w:cs="Arial"/>
                <w:sz w:val="20"/>
                <w:szCs w:val="20"/>
                <w:lang w:val="en-GB"/>
              </w:rPr>
            </w:pPr>
            <w:r w:rsidRPr="00C74C2C">
              <w:rPr>
                <w:rFonts w:ascii="Arial" w:hAnsi="Arial" w:cs="Arial"/>
                <w:sz w:val="20"/>
                <w:szCs w:val="20"/>
                <w:lang w:val="en-GB"/>
              </w:rPr>
              <w:t>Diagnostic Imaging</w:t>
            </w:r>
          </w:p>
        </w:tc>
        <w:tc>
          <w:tcPr>
            <w:tcW w:w="2089" w:type="dxa"/>
          </w:tcPr>
          <w:p w14:paraId="7B598CDC" w14:textId="77777777" w:rsidR="00D86D40" w:rsidRPr="00C74C2C" w:rsidRDefault="00D86D40" w:rsidP="00C74C2C">
            <w:pPr>
              <w:jc w:val="both"/>
              <w:rPr>
                <w:rFonts w:ascii="Arial" w:hAnsi="Arial" w:cs="Arial"/>
                <w:sz w:val="20"/>
                <w:szCs w:val="20"/>
                <w:lang w:val="en-GB"/>
              </w:rPr>
            </w:pPr>
            <w:r w:rsidRPr="00C74C2C">
              <w:rPr>
                <w:rFonts w:ascii="Arial" w:hAnsi="Arial" w:cs="Arial"/>
                <w:sz w:val="20"/>
                <w:szCs w:val="20"/>
                <w:lang w:val="en-GB"/>
              </w:rPr>
              <w:t xml:space="preserve">26 July 2018 </w:t>
            </w:r>
          </w:p>
        </w:tc>
        <w:tc>
          <w:tcPr>
            <w:tcW w:w="2464" w:type="dxa"/>
            <w:shd w:val="clear" w:color="auto" w:fill="FFC000"/>
          </w:tcPr>
          <w:p w14:paraId="357DC836" w14:textId="77777777" w:rsidR="00D86D40" w:rsidRPr="00C74C2C" w:rsidRDefault="00D86D40" w:rsidP="00C74C2C">
            <w:pPr>
              <w:jc w:val="both"/>
              <w:rPr>
                <w:rFonts w:ascii="Arial" w:hAnsi="Arial" w:cs="Arial"/>
                <w:sz w:val="20"/>
                <w:szCs w:val="20"/>
                <w:lang w:val="en-GB"/>
              </w:rPr>
            </w:pPr>
            <w:r w:rsidRPr="00C74C2C">
              <w:rPr>
                <w:rFonts w:ascii="Arial" w:hAnsi="Arial" w:cs="Arial"/>
                <w:sz w:val="20"/>
                <w:szCs w:val="20"/>
                <w:lang w:val="en-GB"/>
              </w:rPr>
              <w:t xml:space="preserve">Requires Improvement </w:t>
            </w:r>
          </w:p>
        </w:tc>
      </w:tr>
      <w:tr w:rsidR="00D86D40" w:rsidRPr="00C74C2C" w14:paraId="20DD4882" w14:textId="77777777" w:rsidTr="004E2D2F">
        <w:tc>
          <w:tcPr>
            <w:tcW w:w="4463" w:type="dxa"/>
          </w:tcPr>
          <w:p w14:paraId="215FF563" w14:textId="77777777" w:rsidR="00D86D40" w:rsidRPr="00C74C2C" w:rsidRDefault="00D86D40" w:rsidP="00C74C2C">
            <w:pPr>
              <w:jc w:val="both"/>
              <w:rPr>
                <w:rFonts w:ascii="Arial" w:hAnsi="Arial" w:cs="Arial"/>
                <w:sz w:val="20"/>
                <w:szCs w:val="20"/>
                <w:lang w:val="en-GB"/>
              </w:rPr>
            </w:pPr>
            <w:r w:rsidRPr="00C74C2C">
              <w:rPr>
                <w:rFonts w:ascii="Arial" w:hAnsi="Arial" w:cs="Arial"/>
                <w:sz w:val="20"/>
                <w:szCs w:val="20"/>
                <w:lang w:val="en-GB"/>
              </w:rPr>
              <w:t xml:space="preserve">End of Life Care </w:t>
            </w:r>
          </w:p>
        </w:tc>
        <w:tc>
          <w:tcPr>
            <w:tcW w:w="2089" w:type="dxa"/>
          </w:tcPr>
          <w:p w14:paraId="79558FFB" w14:textId="77777777" w:rsidR="00D86D40" w:rsidRPr="00C74C2C" w:rsidRDefault="00D86D40" w:rsidP="00C74C2C">
            <w:pPr>
              <w:jc w:val="both"/>
              <w:rPr>
                <w:rFonts w:ascii="Arial" w:hAnsi="Arial" w:cs="Arial"/>
                <w:sz w:val="20"/>
                <w:szCs w:val="20"/>
                <w:lang w:val="en-GB"/>
              </w:rPr>
            </w:pPr>
            <w:r w:rsidRPr="00C74C2C">
              <w:rPr>
                <w:rFonts w:ascii="Arial" w:hAnsi="Arial" w:cs="Arial"/>
                <w:sz w:val="20"/>
                <w:szCs w:val="20"/>
                <w:lang w:val="en-GB"/>
              </w:rPr>
              <w:t>30 April 2020</w:t>
            </w:r>
          </w:p>
        </w:tc>
        <w:tc>
          <w:tcPr>
            <w:tcW w:w="2464" w:type="dxa"/>
            <w:shd w:val="clear" w:color="auto" w:fill="92D050"/>
          </w:tcPr>
          <w:p w14:paraId="62819927" w14:textId="77777777" w:rsidR="00D86D40" w:rsidRPr="00C74C2C" w:rsidRDefault="00D86D40" w:rsidP="00C74C2C">
            <w:pPr>
              <w:jc w:val="both"/>
              <w:rPr>
                <w:rFonts w:ascii="Arial" w:hAnsi="Arial" w:cs="Arial"/>
                <w:sz w:val="20"/>
                <w:szCs w:val="20"/>
                <w:lang w:val="en-GB"/>
              </w:rPr>
            </w:pPr>
            <w:r w:rsidRPr="00C74C2C">
              <w:rPr>
                <w:rFonts w:ascii="Arial" w:hAnsi="Arial" w:cs="Arial"/>
                <w:sz w:val="20"/>
                <w:szCs w:val="20"/>
                <w:lang w:val="en-GB"/>
              </w:rPr>
              <w:t>Good</w:t>
            </w:r>
          </w:p>
        </w:tc>
      </w:tr>
      <w:tr w:rsidR="00D86D40" w:rsidRPr="00C74C2C" w14:paraId="125DE8B7" w14:textId="77777777" w:rsidTr="004E2D2F">
        <w:tc>
          <w:tcPr>
            <w:tcW w:w="4463" w:type="dxa"/>
          </w:tcPr>
          <w:p w14:paraId="643366CF" w14:textId="77777777" w:rsidR="00D86D40" w:rsidRPr="00C74C2C" w:rsidRDefault="00D86D40" w:rsidP="00C74C2C">
            <w:pPr>
              <w:jc w:val="both"/>
              <w:rPr>
                <w:rFonts w:ascii="Arial" w:hAnsi="Arial" w:cs="Arial"/>
                <w:sz w:val="20"/>
                <w:szCs w:val="20"/>
                <w:lang w:val="en-GB"/>
              </w:rPr>
            </w:pPr>
            <w:r w:rsidRPr="00C74C2C">
              <w:rPr>
                <w:rFonts w:ascii="Arial" w:hAnsi="Arial" w:cs="Arial"/>
                <w:sz w:val="20"/>
                <w:szCs w:val="20"/>
                <w:lang w:val="en-GB"/>
              </w:rPr>
              <w:t>Maternity</w:t>
            </w:r>
          </w:p>
        </w:tc>
        <w:tc>
          <w:tcPr>
            <w:tcW w:w="2089" w:type="dxa"/>
          </w:tcPr>
          <w:p w14:paraId="22FC0D42" w14:textId="77777777" w:rsidR="00D86D40" w:rsidRPr="00C74C2C" w:rsidRDefault="00D86D40" w:rsidP="00C74C2C">
            <w:pPr>
              <w:jc w:val="both"/>
              <w:rPr>
                <w:rFonts w:ascii="Arial" w:hAnsi="Arial" w:cs="Arial"/>
                <w:sz w:val="20"/>
                <w:szCs w:val="20"/>
                <w:lang w:val="en-GB"/>
              </w:rPr>
            </w:pPr>
            <w:r w:rsidRPr="00C74C2C">
              <w:rPr>
                <w:rFonts w:ascii="Arial" w:hAnsi="Arial" w:cs="Arial"/>
                <w:sz w:val="20"/>
                <w:szCs w:val="20"/>
                <w:lang w:val="en-GB"/>
              </w:rPr>
              <w:t>28 April 2023</w:t>
            </w:r>
          </w:p>
        </w:tc>
        <w:tc>
          <w:tcPr>
            <w:tcW w:w="2464" w:type="dxa"/>
            <w:shd w:val="clear" w:color="auto" w:fill="92D050"/>
          </w:tcPr>
          <w:p w14:paraId="3A9572B2" w14:textId="77777777" w:rsidR="00D86D40" w:rsidRPr="00C74C2C" w:rsidRDefault="00D86D40" w:rsidP="00C74C2C">
            <w:pPr>
              <w:jc w:val="both"/>
              <w:rPr>
                <w:rFonts w:ascii="Arial" w:hAnsi="Arial" w:cs="Arial"/>
                <w:sz w:val="20"/>
                <w:szCs w:val="20"/>
                <w:lang w:val="en-GB"/>
              </w:rPr>
            </w:pPr>
            <w:r w:rsidRPr="00C74C2C">
              <w:rPr>
                <w:rFonts w:ascii="Arial" w:hAnsi="Arial" w:cs="Arial"/>
                <w:sz w:val="20"/>
                <w:szCs w:val="20"/>
                <w:lang w:val="en-GB"/>
              </w:rPr>
              <w:t>Good</w:t>
            </w:r>
          </w:p>
        </w:tc>
      </w:tr>
      <w:tr w:rsidR="00D86D40" w:rsidRPr="00C74C2C" w14:paraId="221210A4" w14:textId="77777777" w:rsidTr="004E2D2F">
        <w:tc>
          <w:tcPr>
            <w:tcW w:w="4463" w:type="dxa"/>
          </w:tcPr>
          <w:p w14:paraId="37B563FC" w14:textId="77777777" w:rsidR="00D86D40" w:rsidRPr="00C74C2C" w:rsidRDefault="00D86D40" w:rsidP="00C74C2C">
            <w:pPr>
              <w:jc w:val="both"/>
              <w:rPr>
                <w:rFonts w:ascii="Arial" w:hAnsi="Arial" w:cs="Arial"/>
                <w:sz w:val="20"/>
                <w:szCs w:val="20"/>
                <w:lang w:val="en-GB"/>
              </w:rPr>
            </w:pPr>
            <w:r w:rsidRPr="00C74C2C">
              <w:rPr>
                <w:rFonts w:ascii="Arial" w:hAnsi="Arial" w:cs="Arial"/>
                <w:sz w:val="20"/>
                <w:szCs w:val="20"/>
                <w:lang w:val="en-GB"/>
              </w:rPr>
              <w:t>Outpatients</w:t>
            </w:r>
          </w:p>
        </w:tc>
        <w:tc>
          <w:tcPr>
            <w:tcW w:w="2089" w:type="dxa"/>
          </w:tcPr>
          <w:p w14:paraId="44C99A88" w14:textId="77777777" w:rsidR="00D86D40" w:rsidRPr="00C74C2C" w:rsidRDefault="00D86D40" w:rsidP="00C74C2C">
            <w:pPr>
              <w:jc w:val="both"/>
              <w:rPr>
                <w:rFonts w:ascii="Arial" w:hAnsi="Arial" w:cs="Arial"/>
                <w:sz w:val="20"/>
                <w:szCs w:val="20"/>
                <w:lang w:val="en-GB"/>
              </w:rPr>
            </w:pPr>
            <w:r w:rsidRPr="00C74C2C">
              <w:rPr>
                <w:rFonts w:ascii="Arial" w:hAnsi="Arial" w:cs="Arial"/>
                <w:sz w:val="20"/>
                <w:szCs w:val="20"/>
                <w:lang w:val="en-GB"/>
              </w:rPr>
              <w:t>26 July 2018</w:t>
            </w:r>
          </w:p>
        </w:tc>
        <w:tc>
          <w:tcPr>
            <w:tcW w:w="2464" w:type="dxa"/>
            <w:shd w:val="clear" w:color="auto" w:fill="92D050"/>
          </w:tcPr>
          <w:p w14:paraId="053A2109" w14:textId="77777777" w:rsidR="00D86D40" w:rsidRPr="00C74C2C" w:rsidRDefault="00D86D40" w:rsidP="00C74C2C">
            <w:pPr>
              <w:jc w:val="both"/>
              <w:rPr>
                <w:rFonts w:ascii="Arial" w:hAnsi="Arial" w:cs="Arial"/>
                <w:sz w:val="20"/>
                <w:szCs w:val="20"/>
                <w:lang w:val="en-GB"/>
              </w:rPr>
            </w:pPr>
            <w:r w:rsidRPr="00C74C2C">
              <w:rPr>
                <w:rFonts w:ascii="Arial" w:hAnsi="Arial" w:cs="Arial"/>
                <w:sz w:val="20"/>
                <w:szCs w:val="20"/>
                <w:lang w:val="en-GB"/>
              </w:rPr>
              <w:t>Good</w:t>
            </w:r>
          </w:p>
        </w:tc>
      </w:tr>
      <w:tr w:rsidR="00D86D40" w:rsidRPr="00C74C2C" w14:paraId="14278295" w14:textId="77777777" w:rsidTr="004E2D2F">
        <w:tc>
          <w:tcPr>
            <w:tcW w:w="4463" w:type="dxa"/>
          </w:tcPr>
          <w:p w14:paraId="2A152A2A" w14:textId="77777777" w:rsidR="00D86D40" w:rsidRPr="00C74C2C" w:rsidRDefault="00D86D40" w:rsidP="00C74C2C">
            <w:pPr>
              <w:jc w:val="both"/>
              <w:rPr>
                <w:rFonts w:ascii="Arial" w:hAnsi="Arial" w:cs="Arial"/>
                <w:sz w:val="20"/>
                <w:szCs w:val="20"/>
                <w:lang w:val="en-GB"/>
              </w:rPr>
            </w:pPr>
            <w:r w:rsidRPr="00C74C2C">
              <w:rPr>
                <w:rFonts w:ascii="Arial" w:hAnsi="Arial" w:cs="Arial"/>
                <w:sz w:val="20"/>
                <w:szCs w:val="20"/>
                <w:lang w:val="en-GB"/>
              </w:rPr>
              <w:t xml:space="preserve">Surgery </w:t>
            </w:r>
          </w:p>
        </w:tc>
        <w:tc>
          <w:tcPr>
            <w:tcW w:w="2089" w:type="dxa"/>
          </w:tcPr>
          <w:p w14:paraId="08FF44C9" w14:textId="77777777" w:rsidR="00D86D40" w:rsidRPr="00C74C2C" w:rsidRDefault="00D86D40" w:rsidP="00C74C2C">
            <w:pPr>
              <w:jc w:val="both"/>
              <w:rPr>
                <w:rFonts w:ascii="Arial" w:hAnsi="Arial" w:cs="Arial"/>
                <w:sz w:val="20"/>
                <w:szCs w:val="20"/>
                <w:lang w:val="en-GB"/>
              </w:rPr>
            </w:pPr>
            <w:r w:rsidRPr="00C74C2C">
              <w:rPr>
                <w:rFonts w:ascii="Arial" w:hAnsi="Arial" w:cs="Arial"/>
                <w:sz w:val="20"/>
                <w:szCs w:val="20"/>
                <w:lang w:val="en-GB"/>
              </w:rPr>
              <w:t>30 April 2020</w:t>
            </w:r>
          </w:p>
        </w:tc>
        <w:tc>
          <w:tcPr>
            <w:tcW w:w="2464" w:type="dxa"/>
            <w:shd w:val="clear" w:color="auto" w:fill="FFC000"/>
          </w:tcPr>
          <w:p w14:paraId="43FE76FC" w14:textId="77777777" w:rsidR="00D86D40" w:rsidRPr="00C74C2C" w:rsidRDefault="00D86D40" w:rsidP="00C74C2C">
            <w:pPr>
              <w:jc w:val="both"/>
              <w:rPr>
                <w:rFonts w:ascii="Arial" w:hAnsi="Arial" w:cs="Arial"/>
                <w:sz w:val="20"/>
                <w:szCs w:val="20"/>
                <w:lang w:val="en-GB"/>
              </w:rPr>
            </w:pPr>
            <w:r w:rsidRPr="00C74C2C">
              <w:rPr>
                <w:rFonts w:ascii="Arial" w:hAnsi="Arial" w:cs="Arial"/>
                <w:sz w:val="20"/>
                <w:szCs w:val="20"/>
                <w:lang w:val="en-GB"/>
              </w:rPr>
              <w:t xml:space="preserve">Requires Improvement </w:t>
            </w:r>
          </w:p>
        </w:tc>
      </w:tr>
      <w:tr w:rsidR="00D86D40" w:rsidRPr="00C74C2C" w14:paraId="5965A2F2" w14:textId="77777777" w:rsidTr="004E2D2F">
        <w:tc>
          <w:tcPr>
            <w:tcW w:w="4463" w:type="dxa"/>
          </w:tcPr>
          <w:p w14:paraId="4AC94A39" w14:textId="77777777" w:rsidR="00D86D40" w:rsidRPr="00C74C2C" w:rsidRDefault="00D86D40" w:rsidP="00C74C2C">
            <w:pPr>
              <w:jc w:val="both"/>
              <w:rPr>
                <w:rFonts w:ascii="Arial" w:hAnsi="Arial" w:cs="Arial"/>
                <w:sz w:val="20"/>
                <w:szCs w:val="20"/>
                <w:lang w:val="en-GB"/>
              </w:rPr>
            </w:pPr>
            <w:r w:rsidRPr="00C74C2C">
              <w:rPr>
                <w:rFonts w:ascii="Arial" w:hAnsi="Arial" w:cs="Arial"/>
                <w:sz w:val="20"/>
                <w:szCs w:val="20"/>
                <w:lang w:val="en-GB"/>
              </w:rPr>
              <w:t>Urgent and Emergency Services</w:t>
            </w:r>
          </w:p>
        </w:tc>
        <w:tc>
          <w:tcPr>
            <w:tcW w:w="2089" w:type="dxa"/>
          </w:tcPr>
          <w:p w14:paraId="27313A1C" w14:textId="77777777" w:rsidR="00D86D40" w:rsidRPr="00C74C2C" w:rsidRDefault="00D86D40" w:rsidP="00C74C2C">
            <w:pPr>
              <w:jc w:val="both"/>
              <w:rPr>
                <w:rFonts w:ascii="Arial" w:hAnsi="Arial" w:cs="Arial"/>
                <w:sz w:val="20"/>
                <w:szCs w:val="20"/>
                <w:lang w:val="en-GB"/>
              </w:rPr>
            </w:pPr>
            <w:r w:rsidRPr="00C74C2C">
              <w:rPr>
                <w:rFonts w:ascii="Arial" w:hAnsi="Arial" w:cs="Arial"/>
                <w:sz w:val="20"/>
                <w:szCs w:val="20"/>
                <w:lang w:val="en-GB"/>
              </w:rPr>
              <w:t>21 February 2024</w:t>
            </w:r>
          </w:p>
        </w:tc>
        <w:tc>
          <w:tcPr>
            <w:tcW w:w="2464" w:type="dxa"/>
            <w:shd w:val="clear" w:color="auto" w:fill="FFC000"/>
          </w:tcPr>
          <w:p w14:paraId="268F1000" w14:textId="77777777" w:rsidR="00D86D40" w:rsidRPr="00C74C2C" w:rsidRDefault="00D86D40" w:rsidP="00C74C2C">
            <w:pPr>
              <w:jc w:val="both"/>
              <w:rPr>
                <w:rFonts w:ascii="Arial" w:hAnsi="Arial" w:cs="Arial"/>
                <w:sz w:val="20"/>
                <w:szCs w:val="20"/>
                <w:lang w:val="en-GB"/>
              </w:rPr>
            </w:pPr>
            <w:r w:rsidRPr="00C74C2C">
              <w:rPr>
                <w:rFonts w:ascii="Arial" w:hAnsi="Arial" w:cs="Arial"/>
                <w:sz w:val="20"/>
                <w:szCs w:val="20"/>
                <w:lang w:val="en-GB"/>
              </w:rPr>
              <w:t xml:space="preserve">Requires Improvement  </w:t>
            </w:r>
          </w:p>
        </w:tc>
      </w:tr>
    </w:tbl>
    <w:p w14:paraId="576562E5" w14:textId="77777777" w:rsidR="00983279" w:rsidRDefault="00983279" w:rsidP="00C74C2C">
      <w:pPr>
        <w:jc w:val="both"/>
        <w:rPr>
          <w:rFonts w:ascii="Arial" w:hAnsi="Arial" w:cs="Arial"/>
          <w:b/>
          <w:sz w:val="20"/>
          <w:szCs w:val="20"/>
          <w:lang w:val="en-GB"/>
        </w:rPr>
      </w:pPr>
    </w:p>
    <w:p w14:paraId="5E2593BD" w14:textId="271E7B1A" w:rsidR="00D86D40" w:rsidRPr="00C74C2C" w:rsidRDefault="00D86D40" w:rsidP="00C74C2C">
      <w:pPr>
        <w:jc w:val="both"/>
        <w:rPr>
          <w:rFonts w:ascii="Arial" w:hAnsi="Arial" w:cs="Arial"/>
          <w:b/>
          <w:sz w:val="20"/>
          <w:szCs w:val="20"/>
          <w:lang w:val="en-GB"/>
        </w:rPr>
      </w:pPr>
      <w:r w:rsidRPr="00C74C2C">
        <w:rPr>
          <w:rFonts w:ascii="Arial" w:hAnsi="Arial" w:cs="Arial"/>
          <w:b/>
          <w:sz w:val="20"/>
          <w:szCs w:val="20"/>
          <w:lang w:val="en-GB"/>
        </w:rPr>
        <w:t>Managing risks to data security</w:t>
      </w:r>
    </w:p>
    <w:p w14:paraId="62A1B225" w14:textId="77777777" w:rsidR="00D86D40" w:rsidRPr="00C74C2C" w:rsidRDefault="00D86D40" w:rsidP="00C74C2C">
      <w:pPr>
        <w:jc w:val="both"/>
        <w:rPr>
          <w:rFonts w:ascii="Arial" w:hAnsi="Arial" w:cs="Arial"/>
          <w:sz w:val="20"/>
          <w:szCs w:val="20"/>
          <w:lang w:val="en-GB"/>
        </w:rPr>
      </w:pPr>
      <w:r w:rsidRPr="00C74C2C">
        <w:rPr>
          <w:rFonts w:ascii="Arial" w:hAnsi="Arial" w:cs="Arial"/>
          <w:sz w:val="20"/>
          <w:szCs w:val="20"/>
          <w:lang w:val="en-GB"/>
        </w:rPr>
        <w:t>All staff receive data security training as part of their corporate induction upon joining the Trust, with annual information governance and information security training mandated for all staff.  Training requirements are supported by comprehensive policies and guidance to ensure access to relevant and up-to-date information.</w:t>
      </w:r>
    </w:p>
    <w:p w14:paraId="703C1246" w14:textId="77777777" w:rsidR="00D86D40" w:rsidRPr="00C74C2C" w:rsidRDefault="00D86D40" w:rsidP="00C74C2C">
      <w:pPr>
        <w:jc w:val="both"/>
        <w:rPr>
          <w:rFonts w:ascii="Arial" w:hAnsi="Arial" w:cs="Arial"/>
          <w:sz w:val="20"/>
          <w:szCs w:val="20"/>
          <w:lang w:val="en-GB"/>
        </w:rPr>
      </w:pPr>
    </w:p>
    <w:p w14:paraId="4B9609A8" w14:textId="77777777" w:rsidR="00D86D40" w:rsidRPr="00C74C2C" w:rsidRDefault="00D86D40" w:rsidP="00C74C2C">
      <w:pPr>
        <w:jc w:val="both"/>
        <w:rPr>
          <w:rFonts w:ascii="Arial" w:hAnsi="Arial" w:cs="Arial"/>
          <w:sz w:val="20"/>
          <w:szCs w:val="20"/>
          <w:lang w:val="en-GB"/>
        </w:rPr>
      </w:pPr>
      <w:r w:rsidRPr="00C74C2C">
        <w:rPr>
          <w:rFonts w:ascii="Arial" w:hAnsi="Arial" w:cs="Arial"/>
          <w:sz w:val="20"/>
          <w:szCs w:val="20"/>
          <w:lang w:val="en-GB"/>
        </w:rPr>
        <w:t>An information asset owner (IAO), with responsibility for managing information risks, is named for each key information asset and is supported by specialist information security and information governance staff.  Registers of information assets, flows and uses are maintained, reviewed and updated in year.</w:t>
      </w:r>
    </w:p>
    <w:p w14:paraId="55FD402E" w14:textId="77777777" w:rsidR="00D86D40" w:rsidRPr="00C74C2C" w:rsidRDefault="00D86D40" w:rsidP="00C74C2C">
      <w:pPr>
        <w:jc w:val="both"/>
        <w:rPr>
          <w:rFonts w:ascii="Arial" w:hAnsi="Arial" w:cs="Arial"/>
          <w:sz w:val="20"/>
          <w:szCs w:val="20"/>
          <w:lang w:val="en-GB"/>
        </w:rPr>
      </w:pPr>
    </w:p>
    <w:p w14:paraId="6F940FDB" w14:textId="77777777" w:rsidR="00D86D40" w:rsidRPr="00C74C2C" w:rsidRDefault="00D86D40" w:rsidP="00C74C2C">
      <w:pPr>
        <w:jc w:val="both"/>
        <w:rPr>
          <w:rFonts w:ascii="Arial" w:hAnsi="Arial" w:cs="Arial"/>
          <w:sz w:val="20"/>
          <w:szCs w:val="20"/>
          <w:lang w:val="en-GB"/>
        </w:rPr>
      </w:pPr>
      <w:r w:rsidRPr="00C74C2C">
        <w:rPr>
          <w:rFonts w:ascii="Arial" w:hAnsi="Arial" w:cs="Arial"/>
          <w:sz w:val="20"/>
          <w:szCs w:val="20"/>
          <w:lang w:val="en-GB"/>
        </w:rPr>
        <w:t xml:space="preserve">The Trust’s annual Data Security and Protection Toolkit (DSPT) submission to NHS Digital is due on 30 June 2025.  The Audit and Risk Committee received an update report in March 2025 to give members an overview of progress on the DSPT, both for our upcoming external audit and the full submission in June.  The DSPT is an online self-assessment tool that the Trust is required to complete on an annual basis to measure its performance against the 10 National Data Guardian security standards. </w:t>
      </w:r>
    </w:p>
    <w:p w14:paraId="1E313B06" w14:textId="77777777" w:rsidR="00D86D40" w:rsidRPr="00C74C2C" w:rsidRDefault="00D86D40" w:rsidP="00C74C2C">
      <w:pPr>
        <w:jc w:val="both"/>
        <w:rPr>
          <w:rFonts w:ascii="Arial" w:hAnsi="Arial" w:cs="Arial"/>
          <w:sz w:val="20"/>
          <w:szCs w:val="20"/>
          <w:lang w:val="en-GB"/>
        </w:rPr>
      </w:pPr>
    </w:p>
    <w:p w14:paraId="61B20F66" w14:textId="77777777" w:rsidR="00D86D40" w:rsidRPr="00C74C2C" w:rsidRDefault="00D86D40" w:rsidP="00C74C2C">
      <w:pPr>
        <w:pStyle w:val="Default"/>
        <w:jc w:val="both"/>
        <w:rPr>
          <w:rFonts w:ascii="Arial" w:hAnsi="Arial" w:cs="Arial"/>
          <w:sz w:val="20"/>
          <w:szCs w:val="20"/>
        </w:rPr>
      </w:pPr>
      <w:r w:rsidRPr="00C74C2C">
        <w:rPr>
          <w:rFonts w:ascii="Arial" w:hAnsi="Arial" w:cs="Arial"/>
          <w:sz w:val="20"/>
          <w:szCs w:val="20"/>
        </w:rPr>
        <w:t>The Trust obtained ‘Standards Met’ for the 2023-2024 Data Security Protection Toolkit (DSPT), which provides assurance to both research collaborators and NHS England of our data protection and data security compliance. Our external auditors raised our assurance rating from ‘partial assurance with improvements required’ to ‘significant assurance with minor improvement opportunities’, and acknowledged that the Trust had been able to demonstrate significantly more robust evidence in comparison to previous years.</w:t>
      </w:r>
    </w:p>
    <w:p w14:paraId="07059B11" w14:textId="77777777" w:rsidR="00D86D40" w:rsidRPr="00C74C2C" w:rsidRDefault="00D86D40" w:rsidP="00C74C2C">
      <w:pPr>
        <w:jc w:val="both"/>
        <w:rPr>
          <w:rFonts w:ascii="Arial" w:hAnsi="Arial" w:cs="Arial"/>
          <w:sz w:val="20"/>
          <w:szCs w:val="20"/>
        </w:rPr>
      </w:pPr>
    </w:p>
    <w:p w14:paraId="7D1A9AF0" w14:textId="77777777" w:rsidR="00D86D40" w:rsidRPr="00C74C2C" w:rsidRDefault="00D86D40" w:rsidP="00C74C2C">
      <w:pPr>
        <w:jc w:val="both"/>
        <w:rPr>
          <w:rFonts w:ascii="Arial" w:hAnsi="Arial" w:cs="Arial"/>
          <w:sz w:val="20"/>
          <w:szCs w:val="20"/>
        </w:rPr>
      </w:pPr>
      <w:r w:rsidRPr="00C74C2C">
        <w:rPr>
          <w:rFonts w:ascii="Arial" w:hAnsi="Arial" w:cs="Arial"/>
          <w:sz w:val="20"/>
          <w:szCs w:val="20"/>
        </w:rPr>
        <w:t>The 2024-2025 DSPT for NHS Trusts aligns with the Cyber Assessment Framework (CAF), which requires the Trust to use principles and expert judgment to guide competent decision-making, with a focus on achieving key outcomes. These outcomes focus on information security and information governance and require the Trust to provide detailed evidence of our data protection and data security compliance.</w:t>
      </w:r>
    </w:p>
    <w:p w14:paraId="00B6D922" w14:textId="77777777" w:rsidR="00D86D40" w:rsidRPr="00C74C2C" w:rsidRDefault="00D86D40" w:rsidP="00C74C2C">
      <w:pPr>
        <w:jc w:val="both"/>
        <w:rPr>
          <w:rFonts w:ascii="Arial" w:hAnsi="Arial" w:cs="Arial"/>
          <w:sz w:val="20"/>
          <w:szCs w:val="20"/>
          <w:lang w:val="en-GB"/>
        </w:rPr>
      </w:pPr>
    </w:p>
    <w:p w14:paraId="01B4AF38" w14:textId="77777777" w:rsidR="00D86D40" w:rsidRPr="00C74C2C" w:rsidRDefault="00D86D40" w:rsidP="00C74C2C">
      <w:pPr>
        <w:jc w:val="both"/>
        <w:rPr>
          <w:rFonts w:ascii="Arial" w:hAnsi="Arial" w:cs="Arial"/>
          <w:sz w:val="20"/>
          <w:szCs w:val="20"/>
          <w:lang w:val="en-GB"/>
        </w:rPr>
      </w:pPr>
      <w:r w:rsidRPr="00C74C2C">
        <w:rPr>
          <w:rFonts w:ascii="Arial" w:hAnsi="Arial" w:cs="Arial"/>
          <w:sz w:val="20"/>
          <w:szCs w:val="20"/>
          <w:lang w:val="en-GB"/>
        </w:rPr>
        <w:t xml:space="preserve">This work will be tracked by the Trust’s internal audit tracker and will be overseen by the Audit and Risk Committee.  All information incidents and near misses are investigated and used as opportunities to improve processes and reduce risk.  This is reinforced by information governance and information security awareness training that focuses on the need for safe processing and protection of personal and sensitive data. </w:t>
      </w:r>
    </w:p>
    <w:p w14:paraId="0BB29DDD" w14:textId="77777777" w:rsidR="00D86D40" w:rsidRPr="00C74C2C" w:rsidRDefault="00D86D40" w:rsidP="00C74C2C">
      <w:pPr>
        <w:jc w:val="both"/>
        <w:rPr>
          <w:rFonts w:ascii="Arial" w:hAnsi="Arial" w:cs="Arial"/>
          <w:sz w:val="20"/>
          <w:szCs w:val="20"/>
          <w:lang w:val="en-GB"/>
        </w:rPr>
      </w:pPr>
    </w:p>
    <w:p w14:paraId="5E5ECDD5" w14:textId="77777777" w:rsidR="00D86D40" w:rsidRPr="00C74C2C" w:rsidRDefault="00D86D40" w:rsidP="00C74C2C">
      <w:pPr>
        <w:jc w:val="both"/>
        <w:rPr>
          <w:rFonts w:ascii="Arial" w:hAnsi="Arial" w:cs="Arial"/>
          <w:sz w:val="20"/>
          <w:szCs w:val="20"/>
          <w:lang w:val="en-GB"/>
        </w:rPr>
      </w:pPr>
      <w:r w:rsidRPr="00C74C2C">
        <w:rPr>
          <w:rFonts w:ascii="Arial" w:hAnsi="Arial" w:cs="Arial"/>
          <w:sz w:val="20"/>
          <w:szCs w:val="20"/>
          <w:lang w:val="en-GB"/>
        </w:rPr>
        <w:t xml:space="preserve">As with all NHS organisations, the Trust faces continual challenges in balancing the delivery of high-quality care with rising demand, rising acuity, rising rates of inflation and the need to increase both productivity and efficiency to meet challenging activity requirements. Successful delivery against the risk management policy will be critical in enabling the Trust to do this in the future.  </w:t>
      </w:r>
    </w:p>
    <w:p w14:paraId="760B4BD3" w14:textId="77777777" w:rsidR="00D86D40" w:rsidRPr="00C74C2C" w:rsidRDefault="00D86D40" w:rsidP="00C74C2C">
      <w:pPr>
        <w:jc w:val="both"/>
        <w:rPr>
          <w:rFonts w:ascii="Arial" w:hAnsi="Arial" w:cs="Arial"/>
          <w:sz w:val="20"/>
          <w:szCs w:val="20"/>
          <w:lang w:val="en-GB"/>
        </w:rPr>
      </w:pPr>
    </w:p>
    <w:p w14:paraId="2A68D085" w14:textId="77777777" w:rsidR="00D86D40" w:rsidRPr="00C74C2C" w:rsidRDefault="00D86D40" w:rsidP="00C74C2C">
      <w:pPr>
        <w:jc w:val="both"/>
        <w:rPr>
          <w:rFonts w:ascii="Arial" w:hAnsi="Arial" w:cs="Arial"/>
          <w:sz w:val="20"/>
          <w:szCs w:val="20"/>
          <w:lang w:val="en-GB"/>
        </w:rPr>
      </w:pPr>
      <w:r w:rsidRPr="00C74C2C">
        <w:rPr>
          <w:rFonts w:ascii="Arial" w:hAnsi="Arial" w:cs="Arial"/>
          <w:sz w:val="20"/>
          <w:szCs w:val="20"/>
          <w:lang w:val="en-GB"/>
        </w:rPr>
        <w:t xml:space="preserve">The Trust recognises that strategic and transformational change both internally and across the local and integrated care system is required to address identified risks.  The same strategic risks for the organisation in 2024/25 will therefore be carried forward into 2025/26, but the effectiveness of their controls and sources of assurance will need to continue to be assessed in light of the challenges facing the Trust and ongoing developments.  The Director of Strategy and Partnerships has completed a full review of the Trust’s Strategic and Operational Risks working in conjunction with the Audit and Risk Committee.  </w:t>
      </w:r>
    </w:p>
    <w:p w14:paraId="12144354" w14:textId="77777777" w:rsidR="00D86D40" w:rsidRPr="00C74C2C" w:rsidRDefault="00D86D40" w:rsidP="00C74C2C">
      <w:pPr>
        <w:jc w:val="both"/>
        <w:rPr>
          <w:rFonts w:ascii="Arial" w:hAnsi="Arial" w:cs="Arial"/>
          <w:sz w:val="20"/>
          <w:szCs w:val="20"/>
          <w:lang w:val="en-GB"/>
        </w:rPr>
      </w:pPr>
    </w:p>
    <w:p w14:paraId="2E67AC28" w14:textId="77777777" w:rsidR="00D86D40" w:rsidRPr="00C74C2C" w:rsidRDefault="00D86D40" w:rsidP="00C74C2C">
      <w:pPr>
        <w:jc w:val="both"/>
        <w:rPr>
          <w:rFonts w:ascii="Arial" w:hAnsi="Arial" w:cs="Arial"/>
          <w:sz w:val="20"/>
          <w:szCs w:val="20"/>
          <w:lang w:val="en-GB"/>
        </w:rPr>
      </w:pPr>
      <w:r w:rsidRPr="00C74C2C">
        <w:rPr>
          <w:rFonts w:ascii="Arial" w:hAnsi="Arial" w:cs="Arial"/>
          <w:sz w:val="20"/>
          <w:szCs w:val="20"/>
          <w:lang w:val="en-GB"/>
        </w:rPr>
        <w:t>All staff are encouraged to report incidents and near misses as part of an open and fair culture.  Training is given to all staff at induction, including junior doctors, newly-appointed governance leads and newly-</w:t>
      </w:r>
      <w:r w:rsidRPr="00C74C2C">
        <w:rPr>
          <w:rFonts w:ascii="Arial" w:hAnsi="Arial" w:cs="Arial"/>
          <w:sz w:val="20"/>
          <w:szCs w:val="20"/>
          <w:lang w:val="en-GB"/>
        </w:rPr>
        <w:lastRenderedPageBreak/>
        <w:t xml:space="preserve">qualified nurses/midwives.  The electronic incident reporting system gives feedback when an incident is investigated if the member of staff wishes to receive this.  Staff are prompted by the incident reporting system to follow the ‘duty of candour’ process, with duty of candour information and training widely available. All reported incidents are fully investigated to ensure lessons are learnt and shared across the Trust.  Themes are identified, so that future recurrences can be prevented. </w:t>
      </w:r>
    </w:p>
    <w:p w14:paraId="5A444EAD" w14:textId="77777777" w:rsidR="00FC349A" w:rsidRPr="00C74C2C" w:rsidRDefault="00FC349A" w:rsidP="00C74C2C">
      <w:pPr>
        <w:jc w:val="both"/>
        <w:rPr>
          <w:rFonts w:ascii="Arial" w:hAnsi="Arial" w:cs="Arial"/>
          <w:sz w:val="20"/>
          <w:szCs w:val="20"/>
          <w:lang w:val="en-GB"/>
        </w:rPr>
      </w:pPr>
    </w:p>
    <w:p w14:paraId="098B1C04" w14:textId="77777777" w:rsidR="00F351D5" w:rsidRPr="00C74C2C" w:rsidRDefault="00F351D5" w:rsidP="00C74C2C">
      <w:pPr>
        <w:jc w:val="both"/>
        <w:rPr>
          <w:rFonts w:ascii="Arial" w:hAnsi="Arial" w:cs="Arial"/>
          <w:b/>
          <w:sz w:val="20"/>
          <w:szCs w:val="20"/>
          <w:lang w:val="en-GB"/>
        </w:rPr>
      </w:pPr>
      <w:r w:rsidRPr="00C74C2C">
        <w:rPr>
          <w:rFonts w:ascii="Arial" w:hAnsi="Arial" w:cs="Arial"/>
          <w:b/>
          <w:sz w:val="20"/>
          <w:szCs w:val="20"/>
          <w:lang w:val="en-GB"/>
        </w:rPr>
        <w:t xml:space="preserve">Register of Interest </w:t>
      </w:r>
    </w:p>
    <w:p w14:paraId="38BE7EC6" w14:textId="77777777" w:rsidR="0002105B" w:rsidRPr="00C74C2C" w:rsidRDefault="0002105B" w:rsidP="00C74C2C">
      <w:pPr>
        <w:jc w:val="both"/>
        <w:rPr>
          <w:rFonts w:ascii="Arial" w:hAnsi="Arial" w:cs="Arial"/>
          <w:sz w:val="20"/>
          <w:szCs w:val="20"/>
          <w:lang w:val="en-GB"/>
        </w:rPr>
      </w:pPr>
      <w:r w:rsidRPr="00C74C2C">
        <w:rPr>
          <w:rFonts w:ascii="Arial" w:hAnsi="Arial" w:cs="Arial"/>
          <w:sz w:val="20"/>
          <w:szCs w:val="20"/>
          <w:lang w:val="en-GB"/>
        </w:rPr>
        <w:t xml:space="preserve">Medway </w:t>
      </w:r>
      <w:r w:rsidR="00857415" w:rsidRPr="00C74C2C">
        <w:rPr>
          <w:rFonts w:ascii="Arial" w:hAnsi="Arial" w:cs="Arial"/>
          <w:sz w:val="20"/>
          <w:szCs w:val="20"/>
          <w:lang w:val="en-GB"/>
        </w:rPr>
        <w:t xml:space="preserve">NHS </w:t>
      </w:r>
      <w:r w:rsidRPr="00C74C2C">
        <w:rPr>
          <w:rFonts w:ascii="Arial" w:hAnsi="Arial" w:cs="Arial"/>
          <w:sz w:val="20"/>
          <w:szCs w:val="20"/>
          <w:lang w:val="en-GB"/>
        </w:rPr>
        <w:t xml:space="preserve">Foundation Trust has published on its website an up-to-date </w:t>
      </w:r>
      <w:r w:rsidR="00CD0631" w:rsidRPr="00C74C2C">
        <w:rPr>
          <w:rFonts w:ascii="Arial" w:hAnsi="Arial" w:cs="Arial"/>
          <w:sz w:val="20"/>
          <w:szCs w:val="20"/>
          <w:lang w:val="en-GB"/>
        </w:rPr>
        <w:t>Declaration of Interests</w:t>
      </w:r>
      <w:r w:rsidRPr="00C74C2C">
        <w:rPr>
          <w:rFonts w:ascii="Arial" w:hAnsi="Arial" w:cs="Arial"/>
          <w:sz w:val="20"/>
          <w:szCs w:val="20"/>
          <w:lang w:val="en-GB"/>
        </w:rPr>
        <w:t>, including gifts and hospitality, for decision-making staff within the past twelve months as required by the Managing Conflicts of Interest in the NHS27 guidance.</w:t>
      </w:r>
    </w:p>
    <w:p w14:paraId="7F124A0B" w14:textId="77777777" w:rsidR="0002105B" w:rsidRPr="00C74C2C" w:rsidRDefault="0002105B" w:rsidP="00C74C2C">
      <w:pPr>
        <w:jc w:val="both"/>
        <w:rPr>
          <w:rFonts w:ascii="Arial" w:hAnsi="Arial" w:cs="Arial"/>
          <w:sz w:val="20"/>
          <w:szCs w:val="20"/>
          <w:lang w:val="en-GB"/>
        </w:rPr>
      </w:pPr>
    </w:p>
    <w:p w14:paraId="7BAF7936" w14:textId="77777777" w:rsidR="0002105B" w:rsidRPr="00C74C2C" w:rsidRDefault="0002105B" w:rsidP="00C74C2C">
      <w:pPr>
        <w:jc w:val="both"/>
        <w:rPr>
          <w:rFonts w:ascii="Arial" w:hAnsi="Arial" w:cs="Arial"/>
          <w:sz w:val="20"/>
          <w:szCs w:val="20"/>
          <w:lang w:val="en-GB"/>
        </w:rPr>
      </w:pPr>
      <w:r w:rsidRPr="00C74C2C">
        <w:rPr>
          <w:rFonts w:ascii="Arial" w:hAnsi="Arial" w:cs="Arial"/>
          <w:sz w:val="20"/>
          <w:szCs w:val="20"/>
          <w:lang w:val="en-GB"/>
        </w:rPr>
        <w:t xml:space="preserve">The </w:t>
      </w:r>
      <w:r w:rsidR="00CD0631" w:rsidRPr="00C74C2C">
        <w:rPr>
          <w:rFonts w:ascii="Arial" w:hAnsi="Arial" w:cs="Arial"/>
          <w:sz w:val="20"/>
          <w:szCs w:val="20"/>
          <w:lang w:val="en-GB"/>
        </w:rPr>
        <w:t>Board regularly r</w:t>
      </w:r>
      <w:r w:rsidRPr="00C74C2C">
        <w:rPr>
          <w:rFonts w:ascii="Arial" w:hAnsi="Arial" w:cs="Arial"/>
          <w:sz w:val="20"/>
          <w:szCs w:val="20"/>
          <w:lang w:val="en-GB"/>
        </w:rPr>
        <w:t xml:space="preserve">eviews the </w:t>
      </w:r>
      <w:r w:rsidR="00CD0631" w:rsidRPr="00C74C2C">
        <w:rPr>
          <w:rFonts w:ascii="Arial" w:hAnsi="Arial" w:cs="Arial"/>
          <w:sz w:val="20"/>
          <w:szCs w:val="20"/>
          <w:lang w:val="en-GB"/>
        </w:rPr>
        <w:t xml:space="preserve">Declarations of Interest </w:t>
      </w:r>
      <w:r w:rsidR="00632464" w:rsidRPr="00C74C2C">
        <w:rPr>
          <w:rFonts w:ascii="Arial" w:hAnsi="Arial" w:cs="Arial"/>
          <w:sz w:val="20"/>
          <w:szCs w:val="20"/>
          <w:lang w:val="en-GB"/>
        </w:rPr>
        <w:t xml:space="preserve">Register </w:t>
      </w:r>
      <w:r w:rsidR="00CD0631" w:rsidRPr="00C74C2C">
        <w:rPr>
          <w:rFonts w:ascii="Arial" w:hAnsi="Arial" w:cs="Arial"/>
          <w:sz w:val="20"/>
          <w:szCs w:val="20"/>
          <w:lang w:val="en-GB"/>
        </w:rPr>
        <w:t xml:space="preserve">and </w:t>
      </w:r>
      <w:r w:rsidRPr="00C74C2C">
        <w:rPr>
          <w:rFonts w:ascii="Arial" w:hAnsi="Arial" w:cs="Arial"/>
          <w:sz w:val="20"/>
          <w:szCs w:val="20"/>
          <w:lang w:val="en-GB"/>
        </w:rPr>
        <w:t>requires all executive and non-executive directors to confirm their entries.</w:t>
      </w:r>
      <w:r w:rsidR="00780311" w:rsidRPr="00C74C2C">
        <w:rPr>
          <w:rFonts w:ascii="Arial" w:hAnsi="Arial" w:cs="Arial"/>
          <w:sz w:val="20"/>
          <w:szCs w:val="20"/>
          <w:lang w:val="en-GB"/>
        </w:rPr>
        <w:t xml:space="preserve">  </w:t>
      </w:r>
      <w:r w:rsidRPr="00C74C2C">
        <w:rPr>
          <w:rFonts w:ascii="Arial" w:hAnsi="Arial" w:cs="Arial"/>
          <w:sz w:val="20"/>
          <w:szCs w:val="20"/>
          <w:lang w:val="en-GB"/>
        </w:rPr>
        <w:t xml:space="preserve">A standing item is contained on all </w:t>
      </w:r>
      <w:r w:rsidR="00632464" w:rsidRPr="00C74C2C">
        <w:rPr>
          <w:rFonts w:ascii="Arial" w:hAnsi="Arial" w:cs="Arial"/>
          <w:sz w:val="20"/>
          <w:szCs w:val="20"/>
          <w:lang w:val="en-GB"/>
        </w:rPr>
        <w:t>B</w:t>
      </w:r>
      <w:r w:rsidRPr="00C74C2C">
        <w:rPr>
          <w:rFonts w:ascii="Arial" w:hAnsi="Arial" w:cs="Arial"/>
          <w:sz w:val="20"/>
          <w:szCs w:val="20"/>
          <w:lang w:val="en-GB"/>
        </w:rPr>
        <w:t xml:space="preserve">oard and </w:t>
      </w:r>
      <w:r w:rsidR="00857415" w:rsidRPr="00C74C2C">
        <w:rPr>
          <w:rFonts w:ascii="Arial" w:hAnsi="Arial" w:cs="Arial"/>
          <w:sz w:val="20"/>
          <w:szCs w:val="20"/>
          <w:lang w:val="en-GB"/>
        </w:rPr>
        <w:t>c</w:t>
      </w:r>
      <w:r w:rsidRPr="00C74C2C">
        <w:rPr>
          <w:rFonts w:ascii="Arial" w:hAnsi="Arial" w:cs="Arial"/>
          <w:sz w:val="20"/>
          <w:szCs w:val="20"/>
          <w:lang w:val="en-GB"/>
        </w:rPr>
        <w:t xml:space="preserve">ommittee agendas which requires all senior staff, executive and non-executive directors to make known any </w:t>
      </w:r>
      <w:r w:rsidR="00CD0631" w:rsidRPr="00C74C2C">
        <w:rPr>
          <w:rFonts w:ascii="Arial" w:hAnsi="Arial" w:cs="Arial"/>
          <w:sz w:val="20"/>
          <w:szCs w:val="20"/>
          <w:lang w:val="en-GB"/>
        </w:rPr>
        <w:t xml:space="preserve">declarations of </w:t>
      </w:r>
      <w:r w:rsidRPr="00C74C2C">
        <w:rPr>
          <w:rFonts w:ascii="Arial" w:hAnsi="Arial" w:cs="Arial"/>
          <w:sz w:val="20"/>
          <w:szCs w:val="20"/>
          <w:lang w:val="en-GB"/>
        </w:rPr>
        <w:t>interests in relation to the agenda.</w:t>
      </w:r>
    </w:p>
    <w:p w14:paraId="15C9F824" w14:textId="77777777" w:rsidR="0002105B" w:rsidRPr="00C74C2C" w:rsidRDefault="0002105B" w:rsidP="00C74C2C">
      <w:pPr>
        <w:jc w:val="both"/>
        <w:rPr>
          <w:rFonts w:ascii="Arial" w:hAnsi="Arial" w:cs="Arial"/>
          <w:sz w:val="20"/>
          <w:szCs w:val="20"/>
          <w:lang w:val="en-GB"/>
        </w:rPr>
      </w:pPr>
    </w:p>
    <w:p w14:paraId="004149BC" w14:textId="77777777" w:rsidR="0002105B" w:rsidRPr="00C74C2C" w:rsidRDefault="00632464" w:rsidP="00C74C2C">
      <w:pPr>
        <w:jc w:val="both"/>
        <w:rPr>
          <w:rFonts w:ascii="Arial" w:hAnsi="Arial" w:cs="Arial"/>
          <w:sz w:val="20"/>
          <w:szCs w:val="20"/>
          <w:lang w:val="en-GB"/>
        </w:rPr>
      </w:pPr>
      <w:r w:rsidRPr="00C74C2C">
        <w:rPr>
          <w:rFonts w:ascii="Arial" w:hAnsi="Arial" w:cs="Arial"/>
          <w:sz w:val="20"/>
          <w:szCs w:val="20"/>
          <w:lang w:val="en-GB"/>
        </w:rPr>
        <w:t xml:space="preserve">The Declarations of Interest </w:t>
      </w:r>
      <w:r w:rsidR="00005152" w:rsidRPr="00C74C2C">
        <w:rPr>
          <w:rFonts w:ascii="Arial" w:hAnsi="Arial" w:cs="Arial"/>
          <w:sz w:val="20"/>
          <w:szCs w:val="20"/>
          <w:lang w:val="en-GB"/>
        </w:rPr>
        <w:t>R</w:t>
      </w:r>
      <w:r w:rsidR="0002105B" w:rsidRPr="00C74C2C">
        <w:rPr>
          <w:rFonts w:ascii="Arial" w:hAnsi="Arial" w:cs="Arial"/>
          <w:sz w:val="20"/>
          <w:szCs w:val="20"/>
          <w:lang w:val="en-GB"/>
        </w:rPr>
        <w:t>egister is available to the public by contacting:</w:t>
      </w:r>
    </w:p>
    <w:p w14:paraId="63B65DCD" w14:textId="77777777" w:rsidR="0002105B" w:rsidRPr="00C74C2C" w:rsidRDefault="0002105B" w:rsidP="00C74C2C">
      <w:pPr>
        <w:ind w:left="720"/>
        <w:jc w:val="both"/>
        <w:rPr>
          <w:rFonts w:ascii="Arial" w:hAnsi="Arial" w:cs="Arial"/>
          <w:sz w:val="20"/>
          <w:szCs w:val="20"/>
          <w:lang w:val="en-GB"/>
        </w:rPr>
      </w:pPr>
      <w:r w:rsidRPr="00C74C2C">
        <w:rPr>
          <w:rFonts w:ascii="Arial" w:hAnsi="Arial" w:cs="Arial"/>
          <w:sz w:val="20"/>
          <w:szCs w:val="20"/>
          <w:lang w:val="en-GB"/>
        </w:rPr>
        <w:t xml:space="preserve">The Company Secretary </w:t>
      </w:r>
    </w:p>
    <w:p w14:paraId="66397DA1" w14:textId="77777777" w:rsidR="0002105B" w:rsidRPr="00C74C2C" w:rsidRDefault="0002105B" w:rsidP="00C74C2C">
      <w:pPr>
        <w:ind w:left="720"/>
        <w:jc w:val="both"/>
        <w:rPr>
          <w:rFonts w:ascii="Arial" w:hAnsi="Arial" w:cs="Arial"/>
          <w:sz w:val="20"/>
          <w:szCs w:val="20"/>
          <w:lang w:val="en-GB"/>
        </w:rPr>
      </w:pPr>
      <w:r w:rsidRPr="00C74C2C">
        <w:rPr>
          <w:rFonts w:ascii="Arial" w:hAnsi="Arial" w:cs="Arial"/>
          <w:sz w:val="20"/>
          <w:szCs w:val="20"/>
          <w:lang w:val="en-GB"/>
        </w:rPr>
        <w:t>Medway NHS Foundation Trust,</w:t>
      </w:r>
    </w:p>
    <w:p w14:paraId="469570E4" w14:textId="77777777" w:rsidR="0002105B" w:rsidRPr="00C74C2C" w:rsidRDefault="0002105B" w:rsidP="00C74C2C">
      <w:pPr>
        <w:ind w:left="720"/>
        <w:jc w:val="both"/>
        <w:rPr>
          <w:rFonts w:ascii="Arial" w:hAnsi="Arial" w:cs="Arial"/>
          <w:sz w:val="20"/>
          <w:szCs w:val="20"/>
          <w:lang w:val="en-GB"/>
        </w:rPr>
      </w:pPr>
      <w:r w:rsidRPr="00C74C2C">
        <w:rPr>
          <w:rFonts w:ascii="Arial" w:hAnsi="Arial" w:cs="Arial"/>
          <w:sz w:val="20"/>
          <w:szCs w:val="20"/>
          <w:lang w:val="en-GB"/>
        </w:rPr>
        <w:t>Medway Maritime Hospital,</w:t>
      </w:r>
      <w:r w:rsidR="00D30693" w:rsidRPr="00C74C2C">
        <w:rPr>
          <w:rFonts w:ascii="Arial" w:hAnsi="Arial" w:cs="Arial"/>
          <w:sz w:val="20"/>
          <w:szCs w:val="20"/>
          <w:lang w:val="en-GB"/>
        </w:rPr>
        <w:t xml:space="preserve"> </w:t>
      </w:r>
      <w:r w:rsidRPr="00C74C2C">
        <w:rPr>
          <w:rFonts w:ascii="Arial" w:hAnsi="Arial" w:cs="Arial"/>
          <w:sz w:val="20"/>
          <w:szCs w:val="20"/>
          <w:lang w:val="en-GB"/>
        </w:rPr>
        <w:t>Windmill Road,</w:t>
      </w:r>
    </w:p>
    <w:p w14:paraId="6E18A7C7" w14:textId="77777777" w:rsidR="0002105B" w:rsidRPr="00C74C2C" w:rsidRDefault="0002105B" w:rsidP="00C74C2C">
      <w:pPr>
        <w:ind w:left="720"/>
        <w:jc w:val="both"/>
        <w:rPr>
          <w:rFonts w:ascii="Arial" w:hAnsi="Arial" w:cs="Arial"/>
          <w:sz w:val="20"/>
          <w:szCs w:val="20"/>
          <w:lang w:val="en-GB"/>
        </w:rPr>
      </w:pPr>
      <w:r w:rsidRPr="00C74C2C">
        <w:rPr>
          <w:rFonts w:ascii="Arial" w:hAnsi="Arial" w:cs="Arial"/>
          <w:sz w:val="20"/>
          <w:szCs w:val="20"/>
          <w:lang w:val="en-GB"/>
        </w:rPr>
        <w:t>Gillingham,</w:t>
      </w:r>
      <w:r w:rsidR="00D30693" w:rsidRPr="00C74C2C">
        <w:rPr>
          <w:rFonts w:ascii="Arial" w:hAnsi="Arial" w:cs="Arial"/>
          <w:sz w:val="20"/>
          <w:szCs w:val="20"/>
          <w:lang w:val="en-GB"/>
        </w:rPr>
        <w:t xml:space="preserve"> </w:t>
      </w:r>
      <w:r w:rsidRPr="00C74C2C">
        <w:rPr>
          <w:rFonts w:ascii="Arial" w:hAnsi="Arial" w:cs="Arial"/>
          <w:sz w:val="20"/>
          <w:szCs w:val="20"/>
          <w:lang w:val="en-GB"/>
        </w:rPr>
        <w:t>Kent</w:t>
      </w:r>
    </w:p>
    <w:p w14:paraId="42E96C0A" w14:textId="77777777" w:rsidR="0002105B" w:rsidRPr="00C74C2C" w:rsidRDefault="00005152" w:rsidP="00C74C2C">
      <w:pPr>
        <w:ind w:left="720"/>
        <w:jc w:val="both"/>
        <w:rPr>
          <w:rFonts w:ascii="Arial" w:hAnsi="Arial" w:cs="Arial"/>
          <w:sz w:val="20"/>
          <w:szCs w:val="20"/>
          <w:lang w:val="en-GB"/>
        </w:rPr>
      </w:pPr>
      <w:r w:rsidRPr="00C74C2C">
        <w:rPr>
          <w:rFonts w:ascii="Arial" w:hAnsi="Arial" w:cs="Arial"/>
          <w:sz w:val="20"/>
          <w:szCs w:val="20"/>
          <w:lang w:val="en-GB"/>
        </w:rPr>
        <w:t>ME7 5NY</w:t>
      </w:r>
    </w:p>
    <w:p w14:paraId="0FE28118" w14:textId="77777777" w:rsidR="00005152" w:rsidRPr="00C74C2C" w:rsidRDefault="00005152" w:rsidP="00C74C2C">
      <w:pPr>
        <w:ind w:left="720"/>
        <w:jc w:val="both"/>
        <w:rPr>
          <w:rFonts w:ascii="Arial" w:hAnsi="Arial" w:cs="Arial"/>
          <w:sz w:val="20"/>
          <w:szCs w:val="20"/>
          <w:lang w:val="en-GB"/>
        </w:rPr>
      </w:pPr>
      <w:hyperlink r:id="rId43" w:history="1">
        <w:r w:rsidRPr="00C74C2C">
          <w:rPr>
            <w:rStyle w:val="Hyperlink"/>
            <w:rFonts w:ascii="Arial" w:hAnsi="Arial" w:cs="Arial"/>
            <w:sz w:val="20"/>
            <w:szCs w:val="20"/>
            <w:lang w:val="en-GB"/>
          </w:rPr>
          <w:t>medwayft.trustsecretary@nhs.net</w:t>
        </w:r>
      </w:hyperlink>
      <w:r w:rsidRPr="00C74C2C">
        <w:rPr>
          <w:rFonts w:ascii="Arial" w:hAnsi="Arial" w:cs="Arial"/>
          <w:sz w:val="20"/>
          <w:szCs w:val="20"/>
          <w:lang w:val="en-GB"/>
        </w:rPr>
        <w:t xml:space="preserve"> </w:t>
      </w:r>
    </w:p>
    <w:p w14:paraId="7F7F37CD" w14:textId="77777777" w:rsidR="0002105B" w:rsidRPr="00C74C2C" w:rsidRDefault="0002105B" w:rsidP="00C74C2C">
      <w:pPr>
        <w:jc w:val="both"/>
        <w:rPr>
          <w:rFonts w:ascii="Arial" w:hAnsi="Arial" w:cs="Arial"/>
          <w:sz w:val="20"/>
          <w:szCs w:val="20"/>
          <w:u w:val="single"/>
          <w:lang w:val="en-GB"/>
        </w:rPr>
      </w:pPr>
    </w:p>
    <w:p w14:paraId="4E8CBB9E" w14:textId="77777777" w:rsidR="0002105B" w:rsidRPr="00C74C2C" w:rsidRDefault="0002105B" w:rsidP="00C74C2C">
      <w:pPr>
        <w:jc w:val="both"/>
        <w:rPr>
          <w:rFonts w:ascii="Arial" w:hAnsi="Arial" w:cs="Arial"/>
          <w:sz w:val="20"/>
          <w:szCs w:val="20"/>
          <w:lang w:val="en-GB"/>
        </w:rPr>
      </w:pPr>
      <w:r w:rsidRPr="00C74C2C">
        <w:rPr>
          <w:rFonts w:ascii="Arial" w:hAnsi="Arial" w:cs="Arial"/>
          <w:sz w:val="20"/>
          <w:szCs w:val="20"/>
          <w:lang w:val="en-GB"/>
        </w:rPr>
        <w:t xml:space="preserve">As an employer with staff entitled to membership of the NHS Pension Scheme, control measures are in place to ensure all employer obligations contained within the </w:t>
      </w:r>
      <w:r w:rsidR="00861E0C" w:rsidRPr="00C74C2C">
        <w:rPr>
          <w:rFonts w:ascii="Arial" w:hAnsi="Arial" w:cs="Arial"/>
          <w:sz w:val="20"/>
          <w:szCs w:val="20"/>
          <w:lang w:val="en-GB"/>
        </w:rPr>
        <w:t>s</w:t>
      </w:r>
      <w:r w:rsidRPr="00C74C2C">
        <w:rPr>
          <w:rFonts w:ascii="Arial" w:hAnsi="Arial" w:cs="Arial"/>
          <w:sz w:val="20"/>
          <w:szCs w:val="20"/>
          <w:lang w:val="en-GB"/>
        </w:rPr>
        <w:t>cheme regulations are complied with.</w:t>
      </w:r>
      <w:r w:rsidR="009A7EA3" w:rsidRPr="00C74C2C">
        <w:rPr>
          <w:rFonts w:ascii="Arial" w:hAnsi="Arial" w:cs="Arial"/>
          <w:sz w:val="20"/>
          <w:szCs w:val="20"/>
          <w:lang w:val="en-GB"/>
        </w:rPr>
        <w:t xml:space="preserve">  </w:t>
      </w:r>
      <w:r w:rsidRPr="00C74C2C">
        <w:rPr>
          <w:rFonts w:ascii="Arial" w:hAnsi="Arial" w:cs="Arial"/>
          <w:sz w:val="20"/>
          <w:szCs w:val="20"/>
          <w:lang w:val="en-GB"/>
        </w:rPr>
        <w:t xml:space="preserve">This includes ensuring that deductions from salary, employer’s contributions and payments into the </w:t>
      </w:r>
      <w:r w:rsidR="00861E0C" w:rsidRPr="00C74C2C">
        <w:rPr>
          <w:rFonts w:ascii="Arial" w:hAnsi="Arial" w:cs="Arial"/>
          <w:sz w:val="20"/>
          <w:szCs w:val="20"/>
          <w:lang w:val="en-GB"/>
        </w:rPr>
        <w:t>s</w:t>
      </w:r>
      <w:r w:rsidRPr="00C74C2C">
        <w:rPr>
          <w:rFonts w:ascii="Arial" w:hAnsi="Arial" w:cs="Arial"/>
          <w:sz w:val="20"/>
          <w:szCs w:val="20"/>
          <w:lang w:val="en-GB"/>
        </w:rPr>
        <w:t xml:space="preserve">cheme are in accordance with the </w:t>
      </w:r>
      <w:r w:rsidR="00861E0C" w:rsidRPr="00C74C2C">
        <w:rPr>
          <w:rFonts w:ascii="Arial" w:hAnsi="Arial" w:cs="Arial"/>
          <w:sz w:val="20"/>
          <w:szCs w:val="20"/>
          <w:lang w:val="en-GB"/>
        </w:rPr>
        <w:t>s</w:t>
      </w:r>
      <w:r w:rsidRPr="00C74C2C">
        <w:rPr>
          <w:rFonts w:ascii="Arial" w:hAnsi="Arial" w:cs="Arial"/>
          <w:sz w:val="20"/>
          <w:szCs w:val="20"/>
          <w:lang w:val="en-GB"/>
        </w:rPr>
        <w:t xml:space="preserve">cheme rules, and that member Pension Scheme records are accurately updated in accordance with the timescales detailed in the </w:t>
      </w:r>
      <w:r w:rsidR="00861E0C" w:rsidRPr="00C74C2C">
        <w:rPr>
          <w:rFonts w:ascii="Arial" w:hAnsi="Arial" w:cs="Arial"/>
          <w:sz w:val="20"/>
          <w:szCs w:val="20"/>
          <w:lang w:val="en-GB"/>
        </w:rPr>
        <w:t>r</w:t>
      </w:r>
      <w:r w:rsidRPr="00C74C2C">
        <w:rPr>
          <w:rFonts w:ascii="Arial" w:hAnsi="Arial" w:cs="Arial"/>
          <w:sz w:val="20"/>
          <w:szCs w:val="20"/>
          <w:lang w:val="en-GB"/>
        </w:rPr>
        <w:t>egulations.</w:t>
      </w:r>
    </w:p>
    <w:p w14:paraId="080677E4" w14:textId="77777777" w:rsidR="0002105B" w:rsidRPr="00C74C2C" w:rsidRDefault="0002105B" w:rsidP="00C74C2C">
      <w:pPr>
        <w:jc w:val="both"/>
        <w:rPr>
          <w:rFonts w:ascii="Arial" w:hAnsi="Arial" w:cs="Arial"/>
          <w:sz w:val="20"/>
          <w:szCs w:val="20"/>
          <w:lang w:val="en-GB"/>
        </w:rPr>
      </w:pPr>
    </w:p>
    <w:p w14:paraId="7B3210FC" w14:textId="77777777" w:rsidR="0002105B" w:rsidRPr="00C74C2C" w:rsidRDefault="0002105B" w:rsidP="00C74C2C">
      <w:pPr>
        <w:jc w:val="both"/>
        <w:rPr>
          <w:rFonts w:ascii="Arial" w:hAnsi="Arial" w:cs="Arial"/>
          <w:sz w:val="20"/>
          <w:szCs w:val="20"/>
          <w:lang w:val="en-GB"/>
        </w:rPr>
      </w:pPr>
      <w:r w:rsidRPr="00C74C2C">
        <w:rPr>
          <w:rFonts w:ascii="Arial" w:hAnsi="Arial" w:cs="Arial"/>
          <w:sz w:val="20"/>
          <w:szCs w:val="20"/>
          <w:lang w:val="en-GB"/>
        </w:rPr>
        <w:t>Control measures are in place to ensure that all the organisation’s obligations under equality, diversity and human rights legislation are complied with.</w:t>
      </w:r>
    </w:p>
    <w:p w14:paraId="4AC2855D" w14:textId="77777777" w:rsidR="00ED7971" w:rsidRPr="00C74C2C" w:rsidRDefault="00ED7971" w:rsidP="00C74C2C">
      <w:pPr>
        <w:jc w:val="both"/>
        <w:rPr>
          <w:rFonts w:ascii="Arial" w:hAnsi="Arial" w:cs="Arial"/>
          <w:sz w:val="20"/>
          <w:szCs w:val="20"/>
          <w:lang w:val="en-GB"/>
        </w:rPr>
      </w:pPr>
    </w:p>
    <w:p w14:paraId="23831754" w14:textId="77777777" w:rsidR="00F351D5" w:rsidRPr="00C74C2C" w:rsidRDefault="00F351D5" w:rsidP="00C74C2C">
      <w:pPr>
        <w:jc w:val="both"/>
        <w:rPr>
          <w:rFonts w:ascii="Arial" w:hAnsi="Arial" w:cs="Arial"/>
          <w:b/>
          <w:sz w:val="20"/>
          <w:szCs w:val="20"/>
          <w:lang w:val="en-GB"/>
        </w:rPr>
      </w:pPr>
      <w:r w:rsidRPr="00C74C2C">
        <w:rPr>
          <w:rFonts w:ascii="Arial" w:hAnsi="Arial" w:cs="Arial"/>
          <w:b/>
          <w:sz w:val="20"/>
          <w:szCs w:val="20"/>
          <w:lang w:val="en-GB"/>
        </w:rPr>
        <w:t>Green Plan</w:t>
      </w:r>
    </w:p>
    <w:p w14:paraId="7722C37C" w14:textId="4CE556D0" w:rsidR="00C74C2C" w:rsidRDefault="0002105B" w:rsidP="00C74C2C">
      <w:pPr>
        <w:jc w:val="both"/>
        <w:rPr>
          <w:rFonts w:ascii="Arial" w:hAnsi="Arial" w:cs="Arial"/>
          <w:sz w:val="20"/>
          <w:szCs w:val="20"/>
          <w:lang w:val="en-GB"/>
        </w:rPr>
      </w:pPr>
      <w:r w:rsidRPr="00C74C2C">
        <w:rPr>
          <w:rFonts w:ascii="Arial" w:hAnsi="Arial" w:cs="Arial"/>
          <w:sz w:val="20"/>
          <w:szCs w:val="20"/>
          <w:lang w:val="en-GB"/>
        </w:rPr>
        <w:t xml:space="preserve">The </w:t>
      </w:r>
      <w:r w:rsidR="009A7EA3" w:rsidRPr="00C74C2C">
        <w:rPr>
          <w:rFonts w:ascii="Arial" w:hAnsi="Arial" w:cs="Arial"/>
          <w:sz w:val="20"/>
          <w:szCs w:val="20"/>
          <w:lang w:val="en-GB"/>
        </w:rPr>
        <w:t>T</w:t>
      </w:r>
      <w:r w:rsidRPr="00C74C2C">
        <w:rPr>
          <w:rFonts w:ascii="Arial" w:hAnsi="Arial" w:cs="Arial"/>
          <w:sz w:val="20"/>
          <w:szCs w:val="20"/>
          <w:lang w:val="en-GB"/>
        </w:rPr>
        <w:t>rust has undertaken risk assessments and has plans in place which take account of the ‘Delivering a Net Zero Health Service’ report under the Greener NHS programme.</w:t>
      </w:r>
      <w:r w:rsidR="009A7EA3" w:rsidRPr="00C74C2C">
        <w:rPr>
          <w:rFonts w:ascii="Arial" w:hAnsi="Arial" w:cs="Arial"/>
          <w:sz w:val="20"/>
          <w:szCs w:val="20"/>
          <w:lang w:val="en-GB"/>
        </w:rPr>
        <w:t xml:space="preserve"> </w:t>
      </w:r>
      <w:r w:rsidRPr="00C74C2C">
        <w:rPr>
          <w:rFonts w:ascii="Arial" w:hAnsi="Arial" w:cs="Arial"/>
          <w:sz w:val="20"/>
          <w:szCs w:val="20"/>
          <w:lang w:val="en-GB"/>
        </w:rPr>
        <w:t xml:space="preserve">The </w:t>
      </w:r>
      <w:r w:rsidR="00857415" w:rsidRPr="00C74C2C">
        <w:rPr>
          <w:rFonts w:ascii="Arial" w:hAnsi="Arial" w:cs="Arial"/>
          <w:sz w:val="20"/>
          <w:szCs w:val="20"/>
          <w:lang w:val="en-GB"/>
        </w:rPr>
        <w:t>T</w:t>
      </w:r>
      <w:r w:rsidRPr="00C74C2C">
        <w:rPr>
          <w:rFonts w:ascii="Arial" w:hAnsi="Arial" w:cs="Arial"/>
          <w:sz w:val="20"/>
          <w:szCs w:val="20"/>
          <w:lang w:val="en-GB"/>
        </w:rPr>
        <w:t>rust ensures that its obligations under the Climate Change Act and the Adaptation Reporting requirements are complied with.</w:t>
      </w:r>
      <w:r w:rsidR="00565B24">
        <w:rPr>
          <w:rFonts w:ascii="Arial" w:hAnsi="Arial" w:cs="Arial"/>
          <w:sz w:val="20"/>
          <w:szCs w:val="20"/>
          <w:lang w:val="en-GB"/>
        </w:rPr>
        <w:t xml:space="preserve"> The Trust has been successful in securing external investment to advance its Green strategy. </w:t>
      </w:r>
    </w:p>
    <w:p w14:paraId="0BB26150" w14:textId="77777777" w:rsidR="00C74C2C" w:rsidRPr="00C74C2C" w:rsidRDefault="00C74C2C" w:rsidP="00C74C2C">
      <w:pPr>
        <w:jc w:val="both"/>
        <w:rPr>
          <w:rFonts w:ascii="Arial" w:hAnsi="Arial" w:cs="Arial"/>
          <w:sz w:val="20"/>
          <w:szCs w:val="20"/>
          <w:lang w:val="en-GB"/>
        </w:rPr>
      </w:pPr>
    </w:p>
    <w:p w14:paraId="554BF7E1" w14:textId="77777777" w:rsidR="00B1649A" w:rsidRPr="00C74C2C" w:rsidRDefault="00B1649A" w:rsidP="00C74C2C">
      <w:pPr>
        <w:jc w:val="both"/>
        <w:rPr>
          <w:rFonts w:ascii="Arial" w:hAnsi="Arial" w:cs="Arial"/>
          <w:b/>
          <w:sz w:val="20"/>
          <w:szCs w:val="20"/>
          <w:lang w:val="en-GB"/>
        </w:rPr>
      </w:pPr>
      <w:bookmarkStart w:id="38" w:name="_Hlk197088943"/>
      <w:r w:rsidRPr="00C74C2C">
        <w:rPr>
          <w:rFonts w:ascii="Arial" w:hAnsi="Arial" w:cs="Arial"/>
          <w:b/>
          <w:sz w:val="20"/>
          <w:szCs w:val="20"/>
          <w:lang w:val="en-GB"/>
        </w:rPr>
        <w:t xml:space="preserve">Emergency Preparedness, Resilience and Response </w:t>
      </w:r>
      <w:r w:rsidR="00861E0C" w:rsidRPr="00C74C2C">
        <w:rPr>
          <w:rFonts w:ascii="Arial" w:hAnsi="Arial" w:cs="Arial"/>
          <w:b/>
          <w:sz w:val="20"/>
          <w:szCs w:val="20"/>
          <w:lang w:val="en-GB"/>
        </w:rPr>
        <w:t>(EPRR)</w:t>
      </w:r>
      <w:r w:rsidR="00E23EAF" w:rsidRPr="00C74C2C">
        <w:rPr>
          <w:rFonts w:ascii="Arial" w:hAnsi="Arial" w:cs="Arial"/>
          <w:b/>
          <w:color w:val="FF0000"/>
          <w:sz w:val="20"/>
          <w:szCs w:val="20"/>
          <w:lang w:val="en-GB"/>
        </w:rPr>
        <w:t xml:space="preserve"> </w:t>
      </w:r>
    </w:p>
    <w:p w14:paraId="5E7146F5" w14:textId="77777777" w:rsidR="00B1649A" w:rsidRPr="00C74C2C" w:rsidRDefault="00B1649A" w:rsidP="00C74C2C">
      <w:pPr>
        <w:jc w:val="both"/>
        <w:rPr>
          <w:rFonts w:ascii="Arial" w:hAnsi="Arial" w:cs="Arial"/>
          <w:sz w:val="20"/>
          <w:szCs w:val="20"/>
          <w:lang w:val="en-GB"/>
        </w:rPr>
      </w:pPr>
      <w:r w:rsidRPr="00C74C2C">
        <w:rPr>
          <w:rFonts w:ascii="Arial" w:hAnsi="Arial" w:cs="Arial"/>
          <w:sz w:val="20"/>
          <w:szCs w:val="20"/>
          <w:lang w:val="en-GB"/>
        </w:rPr>
        <w:t xml:space="preserve">The Trust is a Category One responder under the Civil Contingencies Act (2004).  Within the Act the Trust has specific statutory duties in relation to maintaining a resilient organisation that is able to work in partnership with other responders in response and recovery from major and business continuity incidents.  In order to demonstrate </w:t>
      </w:r>
      <w:r w:rsidR="00156DD6" w:rsidRPr="00C74C2C">
        <w:rPr>
          <w:rFonts w:ascii="Arial" w:hAnsi="Arial" w:cs="Arial"/>
          <w:sz w:val="20"/>
          <w:szCs w:val="20"/>
          <w:lang w:val="en-GB"/>
        </w:rPr>
        <w:t>compliance,</w:t>
      </w:r>
      <w:r w:rsidRPr="00C74C2C">
        <w:rPr>
          <w:rFonts w:ascii="Arial" w:hAnsi="Arial" w:cs="Arial"/>
          <w:sz w:val="20"/>
          <w:szCs w:val="20"/>
          <w:lang w:val="en-GB"/>
        </w:rPr>
        <w:t xml:space="preserve"> the Trust is aligned to the National Emergency preparedness, Resilience and Response Framework (2015).  NHS England nationally issues core standards against which each Trust undertakes a self-assessment and is then audited by its </w:t>
      </w:r>
      <w:r w:rsidR="00861E0C" w:rsidRPr="00C74C2C">
        <w:rPr>
          <w:rFonts w:ascii="Arial" w:hAnsi="Arial" w:cs="Arial"/>
          <w:sz w:val="20"/>
          <w:szCs w:val="20"/>
          <w:lang w:val="en-GB"/>
        </w:rPr>
        <w:t>c</w:t>
      </w:r>
      <w:r w:rsidRPr="00C74C2C">
        <w:rPr>
          <w:rFonts w:ascii="Arial" w:hAnsi="Arial" w:cs="Arial"/>
          <w:sz w:val="20"/>
          <w:szCs w:val="20"/>
          <w:lang w:val="en-GB"/>
        </w:rPr>
        <w:t xml:space="preserve">ommissioner. </w:t>
      </w:r>
    </w:p>
    <w:p w14:paraId="3ABC0523" w14:textId="77777777" w:rsidR="00B1649A" w:rsidRPr="00C74C2C" w:rsidRDefault="00B1649A" w:rsidP="00C74C2C">
      <w:pPr>
        <w:jc w:val="both"/>
        <w:rPr>
          <w:rFonts w:ascii="Arial" w:hAnsi="Arial" w:cs="Arial"/>
          <w:sz w:val="20"/>
          <w:szCs w:val="20"/>
          <w:lang w:val="en-GB"/>
        </w:rPr>
      </w:pPr>
      <w:r w:rsidRPr="00C74C2C">
        <w:rPr>
          <w:rFonts w:ascii="Arial" w:hAnsi="Arial" w:cs="Arial"/>
          <w:sz w:val="20"/>
          <w:szCs w:val="20"/>
          <w:lang w:val="en-GB"/>
        </w:rPr>
        <w:t>Medway</w:t>
      </w:r>
      <w:r w:rsidR="00861E0C" w:rsidRPr="00C74C2C">
        <w:rPr>
          <w:rFonts w:ascii="Arial" w:hAnsi="Arial" w:cs="Arial"/>
          <w:sz w:val="20"/>
          <w:szCs w:val="20"/>
          <w:lang w:val="en-GB"/>
        </w:rPr>
        <w:t xml:space="preserve"> NHS</w:t>
      </w:r>
      <w:r w:rsidRPr="00C74C2C">
        <w:rPr>
          <w:rFonts w:ascii="Arial" w:hAnsi="Arial" w:cs="Arial"/>
          <w:sz w:val="20"/>
          <w:szCs w:val="20"/>
          <w:lang w:val="en-GB"/>
        </w:rPr>
        <w:t xml:space="preserve"> Foundation Trust have been assessed as Fully compliant against the 2023/24 NHS England EPRR core standards. NHS England define Fully Compliant as: The organisation if fully compliant against 100% of the relevant NHS EPRR Core Standards.</w:t>
      </w:r>
    </w:p>
    <w:p w14:paraId="5A1DEB47" w14:textId="77777777" w:rsidR="002E594A" w:rsidRPr="00C74C2C" w:rsidRDefault="002E594A" w:rsidP="00C74C2C">
      <w:pPr>
        <w:jc w:val="both"/>
        <w:rPr>
          <w:rFonts w:ascii="Arial" w:hAnsi="Arial" w:cs="Arial"/>
          <w:sz w:val="20"/>
          <w:szCs w:val="20"/>
          <w:lang w:val="en-GB"/>
        </w:rPr>
      </w:pPr>
    </w:p>
    <w:p w14:paraId="48D7DB48" w14:textId="77777777" w:rsidR="002E594A" w:rsidRPr="00C74C2C" w:rsidRDefault="002E594A" w:rsidP="00C74C2C">
      <w:pPr>
        <w:jc w:val="both"/>
        <w:rPr>
          <w:rFonts w:ascii="Arial" w:hAnsi="Arial" w:cs="Arial"/>
          <w:sz w:val="20"/>
          <w:szCs w:val="20"/>
          <w:lang w:val="en-GB"/>
        </w:rPr>
      </w:pPr>
      <w:r w:rsidRPr="00C74C2C">
        <w:rPr>
          <w:rFonts w:ascii="Arial" w:hAnsi="Arial" w:cs="Arial"/>
          <w:sz w:val="20"/>
          <w:szCs w:val="20"/>
          <w:lang w:val="en-GB"/>
        </w:rPr>
        <w:t xml:space="preserve">The 2024/25 Assurance is due early September 2025.  It is anticipated that NHS England will publish its 2025 Assurance toolkit and accompanying Guidance letter by June 2025.  Initial verbal update from NHS England have advised that the Assurance toolkit will be largely the same as used in 2024.  The Trust await confirmation of the 2025 process.  </w:t>
      </w:r>
    </w:p>
    <w:p w14:paraId="1C0446DB" w14:textId="77777777" w:rsidR="00B1649A" w:rsidRPr="00C74C2C" w:rsidRDefault="00B1649A" w:rsidP="00C74C2C">
      <w:pPr>
        <w:jc w:val="both"/>
        <w:rPr>
          <w:rFonts w:ascii="Arial" w:hAnsi="Arial" w:cs="Arial"/>
          <w:sz w:val="20"/>
          <w:szCs w:val="20"/>
          <w:lang w:val="en-GB"/>
        </w:rPr>
      </w:pPr>
    </w:p>
    <w:p w14:paraId="6B1EF009" w14:textId="77777777" w:rsidR="00B1649A" w:rsidRPr="00C74C2C" w:rsidRDefault="00B1649A" w:rsidP="00C74C2C">
      <w:pPr>
        <w:jc w:val="both"/>
        <w:rPr>
          <w:rFonts w:ascii="Arial" w:hAnsi="Arial" w:cs="Arial"/>
          <w:sz w:val="20"/>
          <w:szCs w:val="20"/>
          <w:lang w:val="en-GB"/>
        </w:rPr>
      </w:pPr>
      <w:r w:rsidRPr="00C74C2C">
        <w:rPr>
          <w:rFonts w:ascii="Arial" w:hAnsi="Arial" w:cs="Arial"/>
          <w:sz w:val="20"/>
          <w:szCs w:val="20"/>
          <w:lang w:val="en-GB"/>
        </w:rPr>
        <w:t xml:space="preserve">This has been reported via Kent </w:t>
      </w:r>
      <w:r w:rsidR="00861E0C" w:rsidRPr="00C74C2C">
        <w:rPr>
          <w:rFonts w:ascii="Arial" w:hAnsi="Arial" w:cs="Arial"/>
          <w:sz w:val="20"/>
          <w:szCs w:val="20"/>
          <w:lang w:val="en-GB"/>
        </w:rPr>
        <w:t>and</w:t>
      </w:r>
      <w:r w:rsidRPr="00C74C2C">
        <w:rPr>
          <w:rFonts w:ascii="Arial" w:hAnsi="Arial" w:cs="Arial"/>
          <w:sz w:val="20"/>
          <w:szCs w:val="20"/>
          <w:lang w:val="en-GB"/>
        </w:rPr>
        <w:t xml:space="preserve"> Medway ICB, the Local Health Resilience Partnership Executive Group for Kent and Medway and to NHS England region and England.</w:t>
      </w:r>
    </w:p>
    <w:p w14:paraId="628D0B58" w14:textId="08357A7A" w:rsidR="00843979" w:rsidRDefault="00B1649A" w:rsidP="00C74C2C">
      <w:pPr>
        <w:jc w:val="both"/>
        <w:rPr>
          <w:rFonts w:ascii="Arial" w:hAnsi="Arial" w:cs="Arial"/>
          <w:i/>
          <w:sz w:val="20"/>
          <w:szCs w:val="20"/>
          <w:lang w:val="en-GB"/>
        </w:rPr>
      </w:pPr>
      <w:r w:rsidRPr="00C74C2C">
        <w:rPr>
          <w:rFonts w:ascii="Arial" w:hAnsi="Arial" w:cs="Arial"/>
          <w:i/>
          <w:sz w:val="20"/>
          <w:szCs w:val="20"/>
          <w:lang w:val="en-GB"/>
        </w:rPr>
        <w:t>Brian Williams – Head of EPRR, M</w:t>
      </w:r>
      <w:r w:rsidR="00861E0C" w:rsidRPr="00C74C2C">
        <w:rPr>
          <w:rFonts w:ascii="Arial" w:hAnsi="Arial" w:cs="Arial"/>
          <w:i/>
          <w:sz w:val="20"/>
          <w:szCs w:val="20"/>
          <w:lang w:val="en-GB"/>
        </w:rPr>
        <w:t>edway NHS Foundation Trust</w:t>
      </w:r>
    </w:p>
    <w:p w14:paraId="06A85AB0" w14:textId="03ABC68B" w:rsidR="00843979" w:rsidRDefault="00843979" w:rsidP="00C74C2C">
      <w:pPr>
        <w:jc w:val="both"/>
        <w:rPr>
          <w:rFonts w:ascii="Arial" w:hAnsi="Arial" w:cs="Arial"/>
          <w:sz w:val="20"/>
          <w:szCs w:val="20"/>
          <w:lang w:val="en-GB"/>
        </w:rPr>
      </w:pPr>
    </w:p>
    <w:p w14:paraId="6FEC633D" w14:textId="642692F7" w:rsidR="00843979" w:rsidRPr="00843979" w:rsidRDefault="00843979" w:rsidP="00C74C2C">
      <w:pPr>
        <w:jc w:val="both"/>
        <w:rPr>
          <w:rFonts w:ascii="Arial" w:hAnsi="Arial" w:cs="Arial"/>
          <w:b/>
          <w:sz w:val="20"/>
          <w:szCs w:val="20"/>
          <w:lang w:val="en-GB"/>
        </w:rPr>
      </w:pPr>
      <w:r w:rsidRPr="00843979">
        <w:rPr>
          <w:rFonts w:ascii="Arial" w:hAnsi="Arial" w:cs="Arial"/>
          <w:b/>
          <w:sz w:val="20"/>
          <w:szCs w:val="20"/>
          <w:lang w:val="en-GB"/>
        </w:rPr>
        <w:lastRenderedPageBreak/>
        <w:t xml:space="preserve">Health and Safety </w:t>
      </w:r>
    </w:p>
    <w:p w14:paraId="6936D162" w14:textId="77777777" w:rsidR="00386A8D" w:rsidRDefault="00386A8D" w:rsidP="00386A8D">
      <w:pPr>
        <w:jc w:val="both"/>
        <w:rPr>
          <w:rFonts w:ascii="Arial" w:hAnsi="Arial" w:cs="Arial"/>
          <w:sz w:val="20"/>
          <w:szCs w:val="20"/>
          <w:lang w:val="en-GB"/>
        </w:rPr>
      </w:pPr>
    </w:p>
    <w:p w14:paraId="746AD50E" w14:textId="6DF7992A" w:rsidR="00386A8D" w:rsidRDefault="00386A8D" w:rsidP="00386A8D">
      <w:pPr>
        <w:jc w:val="both"/>
        <w:rPr>
          <w:rFonts w:ascii="Arial" w:hAnsi="Arial" w:cs="Arial"/>
          <w:sz w:val="20"/>
          <w:szCs w:val="20"/>
          <w:lang w:val="en-GB"/>
        </w:rPr>
      </w:pPr>
      <w:r w:rsidRPr="00386A8D">
        <w:rPr>
          <w:rFonts w:ascii="Arial" w:hAnsi="Arial" w:cs="Arial"/>
          <w:sz w:val="20"/>
          <w:szCs w:val="20"/>
          <w:lang w:val="en-GB"/>
        </w:rPr>
        <w:t xml:space="preserve">The statutory Health and Safety </w:t>
      </w:r>
      <w:r>
        <w:rPr>
          <w:rFonts w:ascii="Arial" w:hAnsi="Arial" w:cs="Arial"/>
          <w:sz w:val="20"/>
          <w:szCs w:val="20"/>
          <w:lang w:val="en-GB"/>
        </w:rPr>
        <w:t>Group</w:t>
      </w:r>
      <w:r w:rsidRPr="00386A8D">
        <w:rPr>
          <w:rFonts w:ascii="Arial" w:hAnsi="Arial" w:cs="Arial"/>
          <w:sz w:val="20"/>
          <w:szCs w:val="20"/>
          <w:lang w:val="en-GB"/>
        </w:rPr>
        <w:t xml:space="preserve"> seeks assurance and monitors organisational compliance with statutory health and safety requirements. The </w:t>
      </w:r>
      <w:r>
        <w:rPr>
          <w:rFonts w:ascii="Arial" w:hAnsi="Arial" w:cs="Arial"/>
          <w:sz w:val="20"/>
          <w:szCs w:val="20"/>
          <w:lang w:val="en-GB"/>
        </w:rPr>
        <w:t>Chief Nursing Officer</w:t>
      </w:r>
      <w:r w:rsidRPr="00386A8D">
        <w:rPr>
          <w:rFonts w:ascii="Arial" w:hAnsi="Arial" w:cs="Arial"/>
          <w:sz w:val="20"/>
          <w:szCs w:val="20"/>
          <w:lang w:val="en-GB"/>
        </w:rPr>
        <w:t xml:space="preserve"> has delegated responsibility</w:t>
      </w:r>
      <w:r>
        <w:rPr>
          <w:rFonts w:ascii="Arial" w:hAnsi="Arial" w:cs="Arial"/>
          <w:sz w:val="20"/>
          <w:szCs w:val="20"/>
          <w:lang w:val="en-GB"/>
        </w:rPr>
        <w:t xml:space="preserve"> </w:t>
      </w:r>
      <w:r w:rsidRPr="00386A8D">
        <w:rPr>
          <w:rFonts w:ascii="Arial" w:hAnsi="Arial" w:cs="Arial"/>
          <w:sz w:val="20"/>
          <w:szCs w:val="20"/>
          <w:lang w:val="en-GB"/>
        </w:rPr>
        <w:t xml:space="preserve">for health and safety within </w:t>
      </w:r>
      <w:r>
        <w:rPr>
          <w:rFonts w:ascii="Arial" w:hAnsi="Arial" w:cs="Arial"/>
          <w:sz w:val="20"/>
          <w:szCs w:val="20"/>
          <w:lang w:val="en-GB"/>
        </w:rPr>
        <w:t>Medway NHS Foundation Trust</w:t>
      </w:r>
      <w:r w:rsidRPr="00386A8D">
        <w:rPr>
          <w:rFonts w:ascii="Arial" w:hAnsi="Arial" w:cs="Arial"/>
          <w:sz w:val="20"/>
          <w:szCs w:val="20"/>
          <w:lang w:val="en-GB"/>
        </w:rPr>
        <w:t xml:space="preserve">. </w:t>
      </w:r>
    </w:p>
    <w:p w14:paraId="4EBBCF60" w14:textId="77777777" w:rsidR="00386A8D" w:rsidRPr="00386A8D" w:rsidRDefault="00386A8D" w:rsidP="00386A8D">
      <w:pPr>
        <w:jc w:val="both"/>
        <w:rPr>
          <w:rFonts w:ascii="Arial" w:hAnsi="Arial" w:cs="Arial"/>
          <w:sz w:val="20"/>
          <w:szCs w:val="20"/>
          <w:lang w:val="en-GB"/>
        </w:rPr>
      </w:pPr>
    </w:p>
    <w:p w14:paraId="417C6F33" w14:textId="1AD1D044" w:rsidR="00386A8D" w:rsidRPr="00386A8D" w:rsidRDefault="00386A8D" w:rsidP="00386A8D">
      <w:pPr>
        <w:jc w:val="both"/>
        <w:rPr>
          <w:rFonts w:ascii="Arial" w:hAnsi="Arial" w:cs="Arial"/>
          <w:sz w:val="20"/>
          <w:szCs w:val="20"/>
          <w:lang w:val="en-GB"/>
        </w:rPr>
      </w:pPr>
      <w:r w:rsidRPr="00386A8D">
        <w:rPr>
          <w:rFonts w:ascii="Arial" w:hAnsi="Arial" w:cs="Arial"/>
          <w:sz w:val="20"/>
          <w:szCs w:val="20"/>
          <w:lang w:val="en-GB"/>
        </w:rPr>
        <w:t xml:space="preserve">The group is accountable to the Quality and </w:t>
      </w:r>
      <w:r>
        <w:rPr>
          <w:rFonts w:ascii="Arial" w:hAnsi="Arial" w:cs="Arial"/>
          <w:sz w:val="20"/>
          <w:szCs w:val="20"/>
          <w:lang w:val="en-GB"/>
        </w:rPr>
        <w:t>Assurance</w:t>
      </w:r>
      <w:r w:rsidRPr="00386A8D">
        <w:rPr>
          <w:rFonts w:ascii="Arial" w:hAnsi="Arial" w:cs="Arial"/>
          <w:sz w:val="20"/>
          <w:szCs w:val="20"/>
          <w:lang w:val="en-GB"/>
        </w:rPr>
        <w:t xml:space="preserve"> Committee, which is in turn, is accountable to </w:t>
      </w:r>
    </w:p>
    <w:p w14:paraId="5DC2CDC5" w14:textId="77777777" w:rsidR="00386A8D" w:rsidRPr="00386A8D" w:rsidRDefault="00386A8D" w:rsidP="00386A8D">
      <w:pPr>
        <w:jc w:val="both"/>
        <w:rPr>
          <w:rFonts w:ascii="Arial" w:hAnsi="Arial" w:cs="Arial"/>
          <w:sz w:val="20"/>
          <w:szCs w:val="20"/>
          <w:lang w:val="en-GB"/>
        </w:rPr>
      </w:pPr>
      <w:r w:rsidRPr="00386A8D">
        <w:rPr>
          <w:rFonts w:ascii="Arial" w:hAnsi="Arial" w:cs="Arial"/>
          <w:sz w:val="20"/>
          <w:szCs w:val="20"/>
          <w:lang w:val="en-GB"/>
        </w:rPr>
        <w:t xml:space="preserve">the Board of Directors. It meets quarterly and receives reports from its sub-committees as a way of </w:t>
      </w:r>
    </w:p>
    <w:p w14:paraId="155CDB08" w14:textId="77777777" w:rsidR="00386A8D" w:rsidRPr="00386A8D" w:rsidRDefault="00386A8D" w:rsidP="00386A8D">
      <w:pPr>
        <w:jc w:val="both"/>
        <w:rPr>
          <w:rFonts w:ascii="Arial" w:hAnsi="Arial" w:cs="Arial"/>
          <w:sz w:val="20"/>
          <w:szCs w:val="20"/>
          <w:lang w:val="en-GB"/>
        </w:rPr>
      </w:pPr>
      <w:r w:rsidRPr="00386A8D">
        <w:rPr>
          <w:rFonts w:ascii="Arial" w:hAnsi="Arial" w:cs="Arial"/>
          <w:sz w:val="20"/>
          <w:szCs w:val="20"/>
          <w:lang w:val="en-GB"/>
        </w:rPr>
        <w:t xml:space="preserve">monitoring and seeking assurance of compliance with statutory requirements. </w:t>
      </w:r>
    </w:p>
    <w:p w14:paraId="3267657C" w14:textId="6044C581" w:rsidR="00386A8D" w:rsidRDefault="00386A8D" w:rsidP="00386A8D">
      <w:pPr>
        <w:jc w:val="both"/>
        <w:rPr>
          <w:rFonts w:ascii="Arial" w:hAnsi="Arial" w:cs="Arial"/>
          <w:sz w:val="20"/>
          <w:szCs w:val="20"/>
          <w:lang w:val="en-GB"/>
        </w:rPr>
      </w:pPr>
      <w:r>
        <w:rPr>
          <w:rFonts w:ascii="Arial" w:hAnsi="Arial" w:cs="Arial"/>
          <w:sz w:val="20"/>
          <w:szCs w:val="20"/>
          <w:lang w:val="en-GB"/>
        </w:rPr>
        <w:t>The trust achieved five of its eight stated objectives for this reporting period. The objectives concerning moving and handling training</w:t>
      </w:r>
      <w:r w:rsidR="005F2721">
        <w:rPr>
          <w:rFonts w:ascii="Arial" w:hAnsi="Arial" w:cs="Arial"/>
          <w:sz w:val="20"/>
          <w:szCs w:val="20"/>
          <w:lang w:val="en-GB"/>
        </w:rPr>
        <w:t xml:space="preserve"> (clinical refresher, national back exchange, revised training programme)</w:t>
      </w:r>
      <w:r>
        <w:rPr>
          <w:rFonts w:ascii="Arial" w:hAnsi="Arial" w:cs="Arial"/>
          <w:sz w:val="20"/>
          <w:szCs w:val="20"/>
          <w:lang w:val="en-GB"/>
        </w:rPr>
        <w:t xml:space="preserve"> were not fully met</w:t>
      </w:r>
      <w:r w:rsidR="005F2721">
        <w:rPr>
          <w:rFonts w:ascii="Arial" w:hAnsi="Arial" w:cs="Arial"/>
          <w:sz w:val="20"/>
          <w:szCs w:val="20"/>
          <w:lang w:val="en-GB"/>
        </w:rPr>
        <w:t xml:space="preserve"> but have been mitigated in part and have been added to the 2025/26 plan.</w:t>
      </w:r>
    </w:p>
    <w:p w14:paraId="264B7AEE" w14:textId="0021F958" w:rsidR="00386A8D" w:rsidRPr="00386A8D" w:rsidRDefault="00386A8D" w:rsidP="00386A8D">
      <w:pPr>
        <w:jc w:val="both"/>
        <w:rPr>
          <w:rFonts w:ascii="Arial" w:hAnsi="Arial" w:cs="Arial"/>
          <w:sz w:val="20"/>
          <w:szCs w:val="20"/>
          <w:lang w:val="en-GB"/>
        </w:rPr>
      </w:pPr>
      <w:r w:rsidRPr="00386A8D">
        <w:rPr>
          <w:rFonts w:ascii="Arial" w:hAnsi="Arial" w:cs="Arial"/>
          <w:sz w:val="20"/>
          <w:szCs w:val="20"/>
          <w:lang w:val="en-GB"/>
        </w:rPr>
        <w:t xml:space="preserve"> </w:t>
      </w:r>
    </w:p>
    <w:p w14:paraId="3D33B0F2" w14:textId="77777777" w:rsidR="00386A8D" w:rsidRPr="00386A8D" w:rsidRDefault="00386A8D" w:rsidP="00386A8D">
      <w:pPr>
        <w:jc w:val="both"/>
        <w:rPr>
          <w:rFonts w:ascii="Arial" w:hAnsi="Arial" w:cs="Arial"/>
          <w:sz w:val="20"/>
          <w:szCs w:val="20"/>
          <w:lang w:val="en-GB"/>
        </w:rPr>
      </w:pPr>
      <w:r w:rsidRPr="00386A8D">
        <w:rPr>
          <w:rFonts w:ascii="Arial" w:hAnsi="Arial" w:cs="Arial"/>
          <w:sz w:val="20"/>
          <w:szCs w:val="20"/>
          <w:lang w:val="en-GB"/>
        </w:rPr>
        <w:t xml:space="preserve">Health and safety incident reporting remains an important role for the health and safety team, along </w:t>
      </w:r>
    </w:p>
    <w:p w14:paraId="03180B96" w14:textId="77777777" w:rsidR="00386A8D" w:rsidRPr="00386A8D" w:rsidRDefault="00386A8D" w:rsidP="00386A8D">
      <w:pPr>
        <w:jc w:val="both"/>
        <w:rPr>
          <w:rFonts w:ascii="Arial" w:hAnsi="Arial" w:cs="Arial"/>
          <w:sz w:val="20"/>
          <w:szCs w:val="20"/>
          <w:lang w:val="en-GB"/>
        </w:rPr>
      </w:pPr>
      <w:r w:rsidRPr="00386A8D">
        <w:rPr>
          <w:rFonts w:ascii="Arial" w:hAnsi="Arial" w:cs="Arial"/>
          <w:sz w:val="20"/>
          <w:szCs w:val="20"/>
          <w:lang w:val="en-GB"/>
        </w:rPr>
        <w:t xml:space="preserve">with the investigation of incidents which were reportable under the Reporting of Injuries, Diseases </w:t>
      </w:r>
    </w:p>
    <w:p w14:paraId="4C811A89" w14:textId="77777777" w:rsidR="00386A8D" w:rsidRPr="00386A8D" w:rsidRDefault="00386A8D" w:rsidP="00386A8D">
      <w:pPr>
        <w:jc w:val="both"/>
        <w:rPr>
          <w:rFonts w:ascii="Arial" w:hAnsi="Arial" w:cs="Arial"/>
          <w:sz w:val="20"/>
          <w:szCs w:val="20"/>
          <w:lang w:val="en-GB"/>
        </w:rPr>
      </w:pPr>
      <w:r w:rsidRPr="00386A8D">
        <w:rPr>
          <w:rFonts w:ascii="Arial" w:hAnsi="Arial" w:cs="Arial"/>
          <w:sz w:val="20"/>
          <w:szCs w:val="20"/>
          <w:lang w:val="en-GB"/>
        </w:rPr>
        <w:t xml:space="preserve">and Dangerous Occurrences Regulations 2013, as does working with our legal team where issues </w:t>
      </w:r>
    </w:p>
    <w:p w14:paraId="0FE3D796" w14:textId="7DE94CCE" w:rsidR="00386A8D" w:rsidRDefault="00386A8D" w:rsidP="00386A8D">
      <w:pPr>
        <w:jc w:val="both"/>
        <w:rPr>
          <w:rFonts w:ascii="Arial" w:hAnsi="Arial" w:cs="Arial"/>
          <w:sz w:val="20"/>
          <w:szCs w:val="20"/>
          <w:lang w:val="en-GB"/>
        </w:rPr>
      </w:pPr>
      <w:r w:rsidRPr="00386A8D">
        <w:rPr>
          <w:rFonts w:ascii="Arial" w:hAnsi="Arial" w:cs="Arial"/>
          <w:sz w:val="20"/>
          <w:szCs w:val="20"/>
          <w:lang w:val="en-GB"/>
        </w:rPr>
        <w:t xml:space="preserve">with employer’s liability arise. </w:t>
      </w:r>
    </w:p>
    <w:p w14:paraId="7A347EB5" w14:textId="4AEDD9F8" w:rsidR="005F2721" w:rsidRDefault="005F2721" w:rsidP="00386A8D">
      <w:pPr>
        <w:jc w:val="both"/>
        <w:rPr>
          <w:rFonts w:ascii="Arial" w:hAnsi="Arial" w:cs="Arial"/>
          <w:sz w:val="20"/>
          <w:szCs w:val="20"/>
          <w:lang w:val="en-GB"/>
        </w:rPr>
      </w:pPr>
    </w:p>
    <w:p w14:paraId="37DB2A3D" w14:textId="17DCBA58" w:rsidR="005F2721" w:rsidRDefault="005F2721" w:rsidP="005F2721">
      <w:pPr>
        <w:jc w:val="both"/>
        <w:rPr>
          <w:rFonts w:ascii="Arial" w:hAnsi="Arial" w:cs="Arial"/>
          <w:sz w:val="20"/>
          <w:szCs w:val="20"/>
          <w:lang w:val="en-GB"/>
        </w:rPr>
      </w:pPr>
      <w:r w:rsidRPr="005F2721">
        <w:rPr>
          <w:rFonts w:ascii="Arial" w:hAnsi="Arial" w:cs="Arial"/>
          <w:sz w:val="20"/>
          <w:szCs w:val="20"/>
          <w:lang w:val="en-GB"/>
        </w:rPr>
        <w:t xml:space="preserve">Violence and aggression continue to be an area of interest, particularly within the Medicine and Emergency Care Division which has seen an increase in incidents since last year, with 152 physical assault incidents notified this year, compared to 120 incidents notified last year, an increase of 27%. </w:t>
      </w:r>
    </w:p>
    <w:p w14:paraId="09E58C3A" w14:textId="77777777" w:rsidR="005F2721" w:rsidRPr="005F2721" w:rsidRDefault="005F2721" w:rsidP="005F2721">
      <w:pPr>
        <w:jc w:val="both"/>
        <w:rPr>
          <w:rFonts w:ascii="Arial" w:hAnsi="Arial" w:cs="Arial"/>
          <w:sz w:val="20"/>
          <w:szCs w:val="20"/>
          <w:lang w:val="en-GB"/>
        </w:rPr>
      </w:pPr>
    </w:p>
    <w:p w14:paraId="21CFCE72" w14:textId="6329A803" w:rsidR="005F2721" w:rsidRDefault="005F2721" w:rsidP="005F2721">
      <w:pPr>
        <w:jc w:val="both"/>
        <w:rPr>
          <w:rFonts w:ascii="Arial" w:hAnsi="Arial" w:cs="Arial"/>
          <w:sz w:val="20"/>
          <w:szCs w:val="20"/>
          <w:lang w:val="en-GB"/>
        </w:rPr>
      </w:pPr>
      <w:r w:rsidRPr="005F2721">
        <w:rPr>
          <w:rFonts w:ascii="Arial" w:hAnsi="Arial" w:cs="Arial"/>
          <w:sz w:val="20"/>
          <w:szCs w:val="20"/>
          <w:lang w:val="en-GB"/>
        </w:rPr>
        <w:t xml:space="preserve">However, the Trust recorded reduction in numbers of violence and aggression incidents reaching threshold of RIDDOR with four incidents this year meeting RIDDOR criteria as opposed to seven meeting RIDDOR criteria last year. This may be associated </w:t>
      </w:r>
      <w:r>
        <w:rPr>
          <w:rFonts w:ascii="Arial" w:hAnsi="Arial" w:cs="Arial"/>
          <w:sz w:val="20"/>
          <w:szCs w:val="20"/>
          <w:lang w:val="en-GB"/>
        </w:rPr>
        <w:t xml:space="preserve">with the </w:t>
      </w:r>
      <w:r w:rsidRPr="005F2721">
        <w:rPr>
          <w:rFonts w:ascii="Arial" w:hAnsi="Arial" w:cs="Arial"/>
          <w:sz w:val="20"/>
          <w:szCs w:val="20"/>
          <w:lang w:val="en-GB"/>
        </w:rPr>
        <w:t>increase in security personnel to manage and de-escalate incidents.</w:t>
      </w:r>
      <w:r w:rsidR="00A7627B">
        <w:rPr>
          <w:rFonts w:ascii="Arial" w:hAnsi="Arial" w:cs="Arial"/>
          <w:sz w:val="20"/>
          <w:szCs w:val="20"/>
          <w:lang w:val="en-GB"/>
        </w:rPr>
        <w:t xml:space="preserve"> This is also an area that has been included in the trust’s cultural transformation programme. </w:t>
      </w:r>
    </w:p>
    <w:p w14:paraId="1414D2D7" w14:textId="77777777" w:rsidR="005F2721" w:rsidRPr="00386A8D" w:rsidRDefault="005F2721" w:rsidP="00386A8D">
      <w:pPr>
        <w:jc w:val="both"/>
        <w:rPr>
          <w:rFonts w:ascii="Arial" w:hAnsi="Arial" w:cs="Arial"/>
          <w:sz w:val="20"/>
          <w:szCs w:val="20"/>
          <w:lang w:val="en-GB"/>
        </w:rPr>
      </w:pPr>
    </w:p>
    <w:p w14:paraId="49C3D4D4" w14:textId="536F95E6" w:rsidR="00386A8D" w:rsidRPr="00386A8D" w:rsidRDefault="00386A8D" w:rsidP="00386A8D">
      <w:pPr>
        <w:jc w:val="both"/>
        <w:rPr>
          <w:rFonts w:ascii="Arial" w:hAnsi="Arial" w:cs="Arial"/>
          <w:sz w:val="20"/>
          <w:szCs w:val="20"/>
          <w:lang w:val="en-GB"/>
        </w:rPr>
      </w:pPr>
      <w:r w:rsidRPr="00386A8D">
        <w:rPr>
          <w:rFonts w:ascii="Arial" w:hAnsi="Arial" w:cs="Arial"/>
          <w:sz w:val="20"/>
          <w:szCs w:val="20"/>
          <w:lang w:val="en-GB"/>
        </w:rPr>
        <w:t xml:space="preserve">Health and safety training </w:t>
      </w:r>
      <w:r w:rsidR="00A7627B" w:rsidRPr="00386A8D">
        <w:rPr>
          <w:rFonts w:ascii="Arial" w:hAnsi="Arial" w:cs="Arial"/>
          <w:sz w:val="20"/>
          <w:szCs w:val="20"/>
          <w:lang w:val="en-GB"/>
        </w:rPr>
        <w:t>have</w:t>
      </w:r>
      <w:r w:rsidRPr="00386A8D">
        <w:rPr>
          <w:rFonts w:ascii="Arial" w:hAnsi="Arial" w:cs="Arial"/>
          <w:sz w:val="20"/>
          <w:szCs w:val="20"/>
          <w:lang w:val="en-GB"/>
        </w:rPr>
        <w:t xml:space="preserve"> continued</w:t>
      </w:r>
      <w:r w:rsidR="00A7627B">
        <w:rPr>
          <w:rFonts w:ascii="Arial" w:hAnsi="Arial" w:cs="Arial"/>
          <w:sz w:val="20"/>
          <w:szCs w:val="20"/>
          <w:lang w:val="en-GB"/>
        </w:rPr>
        <w:t xml:space="preserve"> as has the </w:t>
      </w:r>
      <w:r w:rsidRPr="00386A8D">
        <w:rPr>
          <w:rFonts w:ascii="Arial" w:hAnsi="Arial" w:cs="Arial"/>
          <w:sz w:val="20"/>
          <w:szCs w:val="20"/>
          <w:lang w:val="en-GB"/>
        </w:rPr>
        <w:t>annual programme of inspection with strong engagement and ongoing management of action plans by</w:t>
      </w:r>
      <w:r w:rsidR="00A7627B">
        <w:rPr>
          <w:rFonts w:ascii="Arial" w:hAnsi="Arial" w:cs="Arial"/>
          <w:sz w:val="20"/>
          <w:szCs w:val="20"/>
          <w:lang w:val="en-GB"/>
        </w:rPr>
        <w:t xml:space="preserve"> </w:t>
      </w:r>
      <w:r w:rsidRPr="00386A8D">
        <w:rPr>
          <w:rFonts w:ascii="Arial" w:hAnsi="Arial" w:cs="Arial"/>
          <w:sz w:val="20"/>
          <w:szCs w:val="20"/>
          <w:lang w:val="en-GB"/>
        </w:rPr>
        <w:t xml:space="preserve">all of our divisions to ensure environments remain safe for all. </w:t>
      </w:r>
    </w:p>
    <w:p w14:paraId="10457878" w14:textId="77777777" w:rsidR="00B1649A" w:rsidRPr="00C74C2C" w:rsidRDefault="00B1649A" w:rsidP="00C74C2C">
      <w:pPr>
        <w:jc w:val="both"/>
        <w:rPr>
          <w:rFonts w:ascii="Arial" w:hAnsi="Arial" w:cs="Arial"/>
          <w:sz w:val="20"/>
          <w:szCs w:val="20"/>
          <w:lang w:val="en-GB"/>
        </w:rPr>
      </w:pPr>
    </w:p>
    <w:bookmarkEnd w:id="38"/>
    <w:p w14:paraId="542B3A68" w14:textId="77777777" w:rsidR="0002105B" w:rsidRPr="00C74C2C" w:rsidRDefault="0002105B" w:rsidP="00C74C2C">
      <w:pPr>
        <w:jc w:val="both"/>
        <w:rPr>
          <w:rFonts w:ascii="Arial" w:hAnsi="Arial" w:cs="Arial"/>
          <w:b/>
          <w:sz w:val="20"/>
          <w:szCs w:val="20"/>
          <w:lang w:val="en-GB"/>
        </w:rPr>
      </w:pPr>
      <w:r w:rsidRPr="00C74C2C">
        <w:rPr>
          <w:rFonts w:ascii="Arial" w:hAnsi="Arial" w:cs="Arial"/>
          <w:b/>
          <w:sz w:val="20"/>
          <w:szCs w:val="20"/>
          <w:lang w:val="en-GB"/>
        </w:rPr>
        <w:t xml:space="preserve">Review of </w:t>
      </w:r>
      <w:r w:rsidR="002E594A" w:rsidRPr="00C74C2C">
        <w:rPr>
          <w:rFonts w:ascii="Arial" w:hAnsi="Arial" w:cs="Arial"/>
          <w:b/>
          <w:sz w:val="20"/>
          <w:szCs w:val="20"/>
          <w:lang w:val="en-GB"/>
        </w:rPr>
        <w:t>E</w:t>
      </w:r>
      <w:r w:rsidRPr="00C74C2C">
        <w:rPr>
          <w:rFonts w:ascii="Arial" w:hAnsi="Arial" w:cs="Arial"/>
          <w:b/>
          <w:sz w:val="20"/>
          <w:szCs w:val="20"/>
          <w:lang w:val="en-GB"/>
        </w:rPr>
        <w:t xml:space="preserve">conomy, </w:t>
      </w:r>
      <w:r w:rsidR="002E594A" w:rsidRPr="00C74C2C">
        <w:rPr>
          <w:rFonts w:ascii="Arial" w:hAnsi="Arial" w:cs="Arial"/>
          <w:b/>
          <w:sz w:val="20"/>
          <w:szCs w:val="20"/>
          <w:lang w:val="en-GB"/>
        </w:rPr>
        <w:t>E</w:t>
      </w:r>
      <w:r w:rsidRPr="00C74C2C">
        <w:rPr>
          <w:rFonts w:ascii="Arial" w:hAnsi="Arial" w:cs="Arial"/>
          <w:b/>
          <w:sz w:val="20"/>
          <w:szCs w:val="20"/>
          <w:lang w:val="en-GB"/>
        </w:rPr>
        <w:t xml:space="preserve">fficiency and </w:t>
      </w:r>
      <w:r w:rsidR="002E594A" w:rsidRPr="00C74C2C">
        <w:rPr>
          <w:rFonts w:ascii="Arial" w:hAnsi="Arial" w:cs="Arial"/>
          <w:b/>
          <w:sz w:val="20"/>
          <w:szCs w:val="20"/>
          <w:lang w:val="en-GB"/>
        </w:rPr>
        <w:t>E</w:t>
      </w:r>
      <w:r w:rsidRPr="00C74C2C">
        <w:rPr>
          <w:rFonts w:ascii="Arial" w:hAnsi="Arial" w:cs="Arial"/>
          <w:b/>
          <w:sz w:val="20"/>
          <w:szCs w:val="20"/>
          <w:lang w:val="en-GB"/>
        </w:rPr>
        <w:t xml:space="preserve">ffectiveness of the use of </w:t>
      </w:r>
      <w:r w:rsidR="002E594A" w:rsidRPr="00C74C2C">
        <w:rPr>
          <w:rFonts w:ascii="Arial" w:hAnsi="Arial" w:cs="Arial"/>
          <w:b/>
          <w:sz w:val="20"/>
          <w:szCs w:val="20"/>
          <w:lang w:val="en-GB"/>
        </w:rPr>
        <w:t>R</w:t>
      </w:r>
      <w:r w:rsidRPr="00C74C2C">
        <w:rPr>
          <w:rFonts w:ascii="Arial" w:hAnsi="Arial" w:cs="Arial"/>
          <w:b/>
          <w:sz w:val="20"/>
          <w:szCs w:val="20"/>
          <w:lang w:val="en-GB"/>
        </w:rPr>
        <w:t>esources</w:t>
      </w:r>
    </w:p>
    <w:p w14:paraId="196C8512" w14:textId="77777777" w:rsidR="0002105B" w:rsidRPr="00C74C2C" w:rsidRDefault="0002105B" w:rsidP="00C74C2C">
      <w:pPr>
        <w:jc w:val="both"/>
        <w:rPr>
          <w:rFonts w:ascii="Arial" w:hAnsi="Arial" w:cs="Arial"/>
          <w:b/>
          <w:sz w:val="20"/>
          <w:szCs w:val="20"/>
          <w:lang w:val="en-GB"/>
        </w:rPr>
      </w:pPr>
      <w:r w:rsidRPr="00C74C2C">
        <w:rPr>
          <w:rFonts w:ascii="Arial" w:hAnsi="Arial" w:cs="Arial"/>
          <w:sz w:val="20"/>
          <w:szCs w:val="20"/>
          <w:lang w:val="en-GB"/>
        </w:rPr>
        <w:t>The Trust has a range of processes to ensure resources are used economically, efficiently and effectively.</w:t>
      </w:r>
      <w:r w:rsidR="009A7EA3" w:rsidRPr="00C74C2C">
        <w:rPr>
          <w:rFonts w:ascii="Arial" w:hAnsi="Arial" w:cs="Arial"/>
          <w:sz w:val="20"/>
          <w:szCs w:val="20"/>
          <w:lang w:val="en-GB"/>
        </w:rPr>
        <w:t xml:space="preserve">  </w:t>
      </w:r>
      <w:r w:rsidRPr="00C74C2C">
        <w:rPr>
          <w:rFonts w:ascii="Arial" w:hAnsi="Arial" w:cs="Arial"/>
          <w:sz w:val="20"/>
          <w:szCs w:val="20"/>
          <w:lang w:val="en-GB"/>
        </w:rPr>
        <w:t xml:space="preserve">This includes clear and effective management and supervision arrangements for staff and the presentation of regular finance and efficiency programme reports to the </w:t>
      </w:r>
      <w:r w:rsidR="009A7EA3" w:rsidRPr="00C74C2C">
        <w:rPr>
          <w:rFonts w:ascii="Arial" w:hAnsi="Arial" w:cs="Arial"/>
          <w:sz w:val="20"/>
          <w:szCs w:val="20"/>
          <w:lang w:val="en-GB"/>
        </w:rPr>
        <w:t>E</w:t>
      </w:r>
      <w:r w:rsidRPr="00C74C2C">
        <w:rPr>
          <w:rFonts w:ascii="Arial" w:hAnsi="Arial" w:cs="Arial"/>
          <w:sz w:val="20"/>
          <w:szCs w:val="20"/>
          <w:lang w:val="en-GB"/>
        </w:rPr>
        <w:t xml:space="preserve">xecutive </w:t>
      </w:r>
      <w:r w:rsidR="009A7EA3" w:rsidRPr="00C74C2C">
        <w:rPr>
          <w:rFonts w:ascii="Arial" w:hAnsi="Arial" w:cs="Arial"/>
          <w:sz w:val="20"/>
          <w:szCs w:val="20"/>
          <w:lang w:val="en-GB"/>
        </w:rPr>
        <w:t>Team</w:t>
      </w:r>
      <w:r w:rsidRPr="00C74C2C">
        <w:rPr>
          <w:rFonts w:ascii="Arial" w:hAnsi="Arial" w:cs="Arial"/>
          <w:sz w:val="20"/>
          <w:szCs w:val="20"/>
          <w:lang w:val="en-GB"/>
        </w:rPr>
        <w:t xml:space="preserve">, the </w:t>
      </w:r>
      <w:r w:rsidR="009A7EA3" w:rsidRPr="00C74C2C">
        <w:rPr>
          <w:rFonts w:ascii="Arial" w:hAnsi="Arial" w:cs="Arial"/>
          <w:sz w:val="20"/>
          <w:szCs w:val="20"/>
          <w:lang w:val="en-GB"/>
        </w:rPr>
        <w:t xml:space="preserve">Board </w:t>
      </w:r>
      <w:r w:rsidRPr="00C74C2C">
        <w:rPr>
          <w:rFonts w:ascii="Arial" w:hAnsi="Arial" w:cs="Arial"/>
          <w:sz w:val="20"/>
          <w:szCs w:val="20"/>
          <w:lang w:val="en-GB"/>
        </w:rPr>
        <w:t>and associated committees.</w:t>
      </w:r>
    </w:p>
    <w:p w14:paraId="7339BC7B" w14:textId="77777777" w:rsidR="0002105B" w:rsidRPr="00C74C2C" w:rsidRDefault="0002105B" w:rsidP="00C74C2C">
      <w:pPr>
        <w:jc w:val="both"/>
        <w:rPr>
          <w:rFonts w:ascii="Arial" w:hAnsi="Arial" w:cs="Arial"/>
          <w:sz w:val="20"/>
          <w:szCs w:val="20"/>
          <w:lang w:val="en-GB"/>
        </w:rPr>
      </w:pPr>
    </w:p>
    <w:p w14:paraId="0900BCB0" w14:textId="77777777" w:rsidR="00B233A8" w:rsidRPr="00C74C2C" w:rsidRDefault="007C025E" w:rsidP="00C74C2C">
      <w:pPr>
        <w:jc w:val="both"/>
        <w:rPr>
          <w:rFonts w:ascii="Arial" w:hAnsi="Arial" w:cs="Arial"/>
          <w:sz w:val="20"/>
          <w:szCs w:val="20"/>
          <w:lang w:val="en-GB"/>
        </w:rPr>
      </w:pPr>
      <w:r w:rsidRPr="00C74C2C">
        <w:rPr>
          <w:rFonts w:ascii="Arial" w:hAnsi="Arial" w:cs="Arial"/>
          <w:sz w:val="20"/>
          <w:szCs w:val="20"/>
          <w:lang w:val="en-GB"/>
        </w:rPr>
        <w:t>C</w:t>
      </w:r>
      <w:r w:rsidR="00B233A8" w:rsidRPr="00C74C2C">
        <w:rPr>
          <w:rFonts w:ascii="Arial" w:hAnsi="Arial" w:cs="Arial"/>
          <w:sz w:val="20"/>
          <w:szCs w:val="20"/>
          <w:lang w:val="en-GB"/>
        </w:rPr>
        <w:t xml:space="preserve">ontrol measures are in place to ensure that all </w:t>
      </w:r>
      <w:r w:rsidR="00861E0C" w:rsidRPr="00C74C2C">
        <w:rPr>
          <w:rFonts w:ascii="Arial" w:hAnsi="Arial" w:cs="Arial"/>
          <w:sz w:val="20"/>
          <w:szCs w:val="20"/>
          <w:lang w:val="en-GB"/>
        </w:rPr>
        <w:t xml:space="preserve">of </w:t>
      </w:r>
      <w:r w:rsidR="00B233A8" w:rsidRPr="00C74C2C">
        <w:rPr>
          <w:rFonts w:ascii="Arial" w:hAnsi="Arial" w:cs="Arial"/>
          <w:sz w:val="20"/>
          <w:szCs w:val="20"/>
          <w:lang w:val="en-GB"/>
        </w:rPr>
        <w:t>the organisation’s obligations</w:t>
      </w:r>
      <w:r w:rsidR="00E251D1" w:rsidRPr="00C74C2C">
        <w:rPr>
          <w:rFonts w:ascii="Arial" w:hAnsi="Arial" w:cs="Arial"/>
          <w:sz w:val="20"/>
          <w:szCs w:val="20"/>
          <w:lang w:val="en-GB"/>
        </w:rPr>
        <w:t xml:space="preserve"> </w:t>
      </w:r>
      <w:r w:rsidR="00B233A8" w:rsidRPr="00C74C2C">
        <w:rPr>
          <w:rFonts w:ascii="Arial" w:hAnsi="Arial" w:cs="Arial"/>
          <w:sz w:val="20"/>
          <w:szCs w:val="20"/>
          <w:lang w:val="en-GB"/>
        </w:rPr>
        <w:t>under equality, diversity and human rights legislation are complied with.</w:t>
      </w:r>
    </w:p>
    <w:p w14:paraId="0216D989" w14:textId="77777777" w:rsidR="00EA120B" w:rsidRDefault="00EA120B" w:rsidP="00BB1165">
      <w:pPr>
        <w:jc w:val="both"/>
        <w:rPr>
          <w:rFonts w:ascii="Arial" w:hAnsi="Arial" w:cs="Arial"/>
          <w:sz w:val="20"/>
          <w:szCs w:val="20"/>
          <w:lang w:val="en-GB"/>
        </w:rPr>
      </w:pPr>
      <w:bookmarkStart w:id="39" w:name="_Hlk164762595"/>
      <w:bookmarkStart w:id="40" w:name="_Hlk165375593"/>
    </w:p>
    <w:p w14:paraId="0A91DD6D" w14:textId="378846F4" w:rsidR="00BB1165" w:rsidRPr="00C74C2C" w:rsidRDefault="00BB1165" w:rsidP="00BB1165">
      <w:pPr>
        <w:jc w:val="both"/>
        <w:rPr>
          <w:rFonts w:ascii="Arial" w:hAnsi="Arial" w:cs="Arial"/>
          <w:b/>
          <w:bCs/>
          <w:sz w:val="20"/>
          <w:szCs w:val="20"/>
          <w:u w:val="single"/>
        </w:rPr>
      </w:pPr>
      <w:r w:rsidRPr="00C74C2C">
        <w:rPr>
          <w:rFonts w:ascii="Arial" w:hAnsi="Arial" w:cs="Arial"/>
          <w:b/>
          <w:bCs/>
          <w:sz w:val="20"/>
          <w:szCs w:val="20"/>
          <w:u w:val="single"/>
        </w:rPr>
        <w:t xml:space="preserve">Information Governance </w:t>
      </w:r>
    </w:p>
    <w:p w14:paraId="18E85513" w14:textId="77777777" w:rsidR="00F03E13" w:rsidRPr="00C74C2C" w:rsidRDefault="00F03E13" w:rsidP="00F03E13">
      <w:pPr>
        <w:rPr>
          <w:rFonts w:ascii="Arial" w:hAnsi="Arial" w:cs="Arial"/>
          <w:sz w:val="20"/>
          <w:szCs w:val="20"/>
        </w:rPr>
      </w:pPr>
      <w:r w:rsidRPr="00C74C2C">
        <w:rPr>
          <w:rFonts w:ascii="Arial" w:hAnsi="Arial" w:cs="Arial"/>
          <w:sz w:val="20"/>
          <w:szCs w:val="20"/>
        </w:rPr>
        <w:t>The table below breaks down the information breaches recorded on the Trusts DATIX reporting system for the 2024/25 reporting period. Three incidents met the criteria required to report to the Information Commissioner’s Office (ICO), none required regulatory action.</w:t>
      </w:r>
    </w:p>
    <w:p w14:paraId="24146F67" w14:textId="77777777" w:rsidR="00F03E13" w:rsidRPr="00C74C2C" w:rsidRDefault="00F03E13" w:rsidP="00F03E13">
      <w:pPr>
        <w:rPr>
          <w:rFonts w:ascii="Arial" w:hAnsi="Arial" w:cs="Arial"/>
          <w:sz w:val="20"/>
          <w:szCs w:val="20"/>
        </w:rPr>
      </w:pPr>
    </w:p>
    <w:tbl>
      <w:tblPr>
        <w:tblW w:w="9204" w:type="dxa"/>
        <w:tblCellMar>
          <w:left w:w="0" w:type="dxa"/>
          <w:right w:w="0" w:type="dxa"/>
        </w:tblCellMar>
        <w:tblLook w:val="04A0" w:firstRow="1" w:lastRow="0" w:firstColumn="1" w:lastColumn="0" w:noHBand="0" w:noVBand="1"/>
      </w:tblPr>
      <w:tblGrid>
        <w:gridCol w:w="1300"/>
        <w:gridCol w:w="1338"/>
        <w:gridCol w:w="1251"/>
        <w:gridCol w:w="1647"/>
        <w:gridCol w:w="1839"/>
        <w:gridCol w:w="1829"/>
      </w:tblGrid>
      <w:tr w:rsidR="00F03E13" w:rsidRPr="00C74C2C" w14:paraId="41883228" w14:textId="77777777" w:rsidTr="00245130">
        <w:tc>
          <w:tcPr>
            <w:tcW w:w="130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F02906B" w14:textId="77777777" w:rsidR="00F03E13" w:rsidRPr="00C74C2C" w:rsidRDefault="00F03E13" w:rsidP="00245130">
            <w:pPr>
              <w:jc w:val="center"/>
              <w:rPr>
                <w:rFonts w:ascii="Arial" w:hAnsi="Arial" w:cs="Arial"/>
                <w:b/>
                <w:bCs/>
                <w:sz w:val="20"/>
                <w:szCs w:val="20"/>
              </w:rPr>
            </w:pPr>
            <w:r w:rsidRPr="00C74C2C">
              <w:rPr>
                <w:rFonts w:ascii="Arial" w:hAnsi="Arial" w:cs="Arial"/>
                <w:b/>
                <w:bCs/>
                <w:sz w:val="20"/>
                <w:szCs w:val="20"/>
              </w:rPr>
              <w:t>Identifiable data lost in transit</w:t>
            </w:r>
          </w:p>
        </w:tc>
        <w:tc>
          <w:tcPr>
            <w:tcW w:w="133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06B3615" w14:textId="77777777" w:rsidR="00F03E13" w:rsidRPr="00C74C2C" w:rsidRDefault="00F03E13" w:rsidP="00245130">
            <w:pPr>
              <w:jc w:val="center"/>
              <w:rPr>
                <w:rFonts w:ascii="Arial" w:hAnsi="Arial" w:cs="Arial"/>
                <w:b/>
                <w:bCs/>
                <w:sz w:val="20"/>
                <w:szCs w:val="20"/>
              </w:rPr>
            </w:pPr>
            <w:r w:rsidRPr="00C74C2C">
              <w:rPr>
                <w:rFonts w:ascii="Arial" w:hAnsi="Arial" w:cs="Arial"/>
                <w:b/>
                <w:bCs/>
                <w:sz w:val="20"/>
                <w:szCs w:val="20"/>
              </w:rPr>
              <w:t>Data disclosed in error such as emails sent to the wrong place, reports sent to the wrong patient</w:t>
            </w:r>
          </w:p>
        </w:tc>
        <w:tc>
          <w:tcPr>
            <w:tcW w:w="125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C069BF9" w14:textId="77777777" w:rsidR="00F03E13" w:rsidRPr="00C74C2C" w:rsidRDefault="00F03E13" w:rsidP="00245130">
            <w:pPr>
              <w:jc w:val="center"/>
              <w:rPr>
                <w:rFonts w:ascii="Arial" w:hAnsi="Arial" w:cs="Arial"/>
                <w:b/>
                <w:bCs/>
                <w:sz w:val="20"/>
                <w:szCs w:val="20"/>
              </w:rPr>
            </w:pPr>
            <w:r w:rsidRPr="00C74C2C">
              <w:rPr>
                <w:rFonts w:ascii="Arial" w:hAnsi="Arial" w:cs="Arial"/>
                <w:b/>
                <w:bCs/>
                <w:sz w:val="20"/>
                <w:szCs w:val="20"/>
              </w:rPr>
              <w:t>Non-secure disposal of paperwork</w:t>
            </w:r>
          </w:p>
        </w:tc>
        <w:tc>
          <w:tcPr>
            <w:tcW w:w="164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49A58D9" w14:textId="77777777" w:rsidR="00F03E13" w:rsidRPr="00C74C2C" w:rsidRDefault="00F03E13" w:rsidP="00245130">
            <w:pPr>
              <w:jc w:val="center"/>
              <w:rPr>
                <w:rFonts w:ascii="Arial" w:hAnsi="Arial" w:cs="Arial"/>
                <w:b/>
                <w:bCs/>
                <w:sz w:val="20"/>
                <w:szCs w:val="20"/>
              </w:rPr>
            </w:pPr>
            <w:r w:rsidRPr="00C74C2C">
              <w:rPr>
                <w:rFonts w:ascii="Arial" w:hAnsi="Arial" w:cs="Arial"/>
                <w:b/>
                <w:bCs/>
                <w:sz w:val="20"/>
                <w:szCs w:val="20"/>
              </w:rPr>
              <w:t>Unauthorised access to staff or patient information including sharing passwords or smartcards</w:t>
            </w:r>
          </w:p>
        </w:tc>
        <w:tc>
          <w:tcPr>
            <w:tcW w:w="183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04F8247" w14:textId="77777777" w:rsidR="00F03E13" w:rsidRPr="00C74C2C" w:rsidRDefault="00F03E13" w:rsidP="00245130">
            <w:pPr>
              <w:jc w:val="center"/>
              <w:rPr>
                <w:rFonts w:ascii="Arial" w:hAnsi="Arial" w:cs="Arial"/>
                <w:b/>
                <w:bCs/>
                <w:sz w:val="20"/>
                <w:szCs w:val="20"/>
              </w:rPr>
            </w:pPr>
            <w:r w:rsidRPr="00C74C2C">
              <w:rPr>
                <w:rFonts w:ascii="Arial" w:hAnsi="Arial" w:cs="Arial"/>
                <w:b/>
                <w:bCs/>
                <w:sz w:val="20"/>
                <w:szCs w:val="20"/>
              </w:rPr>
              <w:t>Other Information Governance/data security incident</w:t>
            </w:r>
          </w:p>
        </w:tc>
        <w:tc>
          <w:tcPr>
            <w:tcW w:w="1829" w:type="dxa"/>
            <w:tcBorders>
              <w:top w:val="single" w:sz="8" w:space="0" w:color="auto"/>
              <w:left w:val="nil"/>
              <w:bottom w:val="single" w:sz="8" w:space="0" w:color="auto"/>
              <w:right w:val="single" w:sz="8" w:space="0" w:color="auto"/>
            </w:tcBorders>
            <w:hideMark/>
          </w:tcPr>
          <w:p w14:paraId="6545CAF6" w14:textId="77777777" w:rsidR="00F03E13" w:rsidRPr="00C74C2C" w:rsidRDefault="00F03E13" w:rsidP="00245130">
            <w:pPr>
              <w:jc w:val="center"/>
              <w:rPr>
                <w:rFonts w:ascii="Arial" w:hAnsi="Arial" w:cs="Arial"/>
                <w:b/>
                <w:bCs/>
                <w:sz w:val="20"/>
                <w:szCs w:val="20"/>
              </w:rPr>
            </w:pPr>
            <w:r w:rsidRPr="00C74C2C">
              <w:rPr>
                <w:rFonts w:ascii="Arial" w:hAnsi="Arial" w:cs="Arial"/>
                <w:b/>
                <w:bCs/>
                <w:sz w:val="20"/>
                <w:szCs w:val="20"/>
              </w:rPr>
              <w:t>All other incidents including an element of Information Governance / data security</w:t>
            </w:r>
          </w:p>
        </w:tc>
      </w:tr>
      <w:tr w:rsidR="00F03E13" w:rsidRPr="00C74C2C" w14:paraId="74C58925" w14:textId="77777777" w:rsidTr="00245130">
        <w:tc>
          <w:tcPr>
            <w:tcW w:w="13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F90CDD" w14:textId="77777777" w:rsidR="00F03E13" w:rsidRPr="00C74C2C" w:rsidRDefault="00F03E13" w:rsidP="00245130">
            <w:pPr>
              <w:jc w:val="center"/>
              <w:rPr>
                <w:rFonts w:ascii="Arial" w:hAnsi="Arial" w:cs="Arial"/>
                <w:bCs/>
                <w:sz w:val="20"/>
                <w:szCs w:val="20"/>
              </w:rPr>
            </w:pPr>
            <w:r w:rsidRPr="00C74C2C">
              <w:rPr>
                <w:rFonts w:ascii="Arial" w:hAnsi="Arial" w:cs="Arial"/>
                <w:bCs/>
                <w:sz w:val="20"/>
                <w:szCs w:val="20"/>
              </w:rPr>
              <w:t>4</w:t>
            </w:r>
          </w:p>
        </w:tc>
        <w:tc>
          <w:tcPr>
            <w:tcW w:w="1338" w:type="dxa"/>
            <w:tcBorders>
              <w:top w:val="nil"/>
              <w:left w:val="nil"/>
              <w:bottom w:val="single" w:sz="8" w:space="0" w:color="auto"/>
              <w:right w:val="single" w:sz="8" w:space="0" w:color="auto"/>
            </w:tcBorders>
            <w:tcMar>
              <w:top w:w="0" w:type="dxa"/>
              <w:left w:w="108" w:type="dxa"/>
              <w:bottom w:w="0" w:type="dxa"/>
              <w:right w:w="108" w:type="dxa"/>
            </w:tcMar>
            <w:hideMark/>
          </w:tcPr>
          <w:p w14:paraId="0D6F3615" w14:textId="77777777" w:rsidR="00F03E13" w:rsidRPr="00C74C2C" w:rsidRDefault="00F03E13" w:rsidP="00245130">
            <w:pPr>
              <w:jc w:val="center"/>
              <w:rPr>
                <w:rFonts w:ascii="Arial" w:hAnsi="Arial" w:cs="Arial"/>
                <w:bCs/>
                <w:sz w:val="20"/>
                <w:szCs w:val="20"/>
              </w:rPr>
            </w:pPr>
            <w:r w:rsidRPr="00C74C2C">
              <w:rPr>
                <w:rFonts w:ascii="Arial" w:hAnsi="Arial" w:cs="Arial"/>
                <w:bCs/>
                <w:sz w:val="20"/>
                <w:szCs w:val="20"/>
              </w:rPr>
              <w:t>29</w:t>
            </w:r>
          </w:p>
        </w:tc>
        <w:tc>
          <w:tcPr>
            <w:tcW w:w="1251" w:type="dxa"/>
            <w:tcBorders>
              <w:top w:val="nil"/>
              <w:left w:val="nil"/>
              <w:bottom w:val="single" w:sz="8" w:space="0" w:color="auto"/>
              <w:right w:val="single" w:sz="8" w:space="0" w:color="auto"/>
            </w:tcBorders>
            <w:tcMar>
              <w:top w:w="0" w:type="dxa"/>
              <w:left w:w="108" w:type="dxa"/>
              <w:bottom w:w="0" w:type="dxa"/>
              <w:right w:w="108" w:type="dxa"/>
            </w:tcMar>
            <w:hideMark/>
          </w:tcPr>
          <w:p w14:paraId="7E7A7527" w14:textId="77777777" w:rsidR="00F03E13" w:rsidRPr="00C74C2C" w:rsidRDefault="00F03E13" w:rsidP="00245130">
            <w:pPr>
              <w:jc w:val="center"/>
              <w:rPr>
                <w:rFonts w:ascii="Arial" w:hAnsi="Arial" w:cs="Arial"/>
                <w:bCs/>
                <w:sz w:val="20"/>
                <w:szCs w:val="20"/>
              </w:rPr>
            </w:pPr>
            <w:r w:rsidRPr="00C74C2C">
              <w:rPr>
                <w:rFonts w:ascii="Arial" w:hAnsi="Arial" w:cs="Arial"/>
                <w:bCs/>
                <w:sz w:val="20"/>
                <w:szCs w:val="20"/>
              </w:rPr>
              <w:t>2</w:t>
            </w:r>
          </w:p>
        </w:tc>
        <w:tc>
          <w:tcPr>
            <w:tcW w:w="1647" w:type="dxa"/>
            <w:tcBorders>
              <w:top w:val="nil"/>
              <w:left w:val="nil"/>
              <w:bottom w:val="single" w:sz="8" w:space="0" w:color="auto"/>
              <w:right w:val="single" w:sz="8" w:space="0" w:color="auto"/>
            </w:tcBorders>
            <w:tcMar>
              <w:top w:w="0" w:type="dxa"/>
              <w:left w:w="108" w:type="dxa"/>
              <w:bottom w:w="0" w:type="dxa"/>
              <w:right w:w="108" w:type="dxa"/>
            </w:tcMar>
            <w:hideMark/>
          </w:tcPr>
          <w:p w14:paraId="3AED5BD8" w14:textId="77777777" w:rsidR="00F03E13" w:rsidRPr="00C74C2C" w:rsidRDefault="00F03E13" w:rsidP="00245130">
            <w:pPr>
              <w:jc w:val="center"/>
              <w:rPr>
                <w:rFonts w:ascii="Arial" w:hAnsi="Arial" w:cs="Arial"/>
                <w:bCs/>
                <w:sz w:val="20"/>
                <w:szCs w:val="20"/>
              </w:rPr>
            </w:pPr>
            <w:r w:rsidRPr="00C74C2C">
              <w:rPr>
                <w:rFonts w:ascii="Arial" w:hAnsi="Arial" w:cs="Arial"/>
                <w:bCs/>
                <w:sz w:val="20"/>
                <w:szCs w:val="20"/>
              </w:rPr>
              <w:t>2</w:t>
            </w:r>
          </w:p>
        </w:tc>
        <w:tc>
          <w:tcPr>
            <w:tcW w:w="1839" w:type="dxa"/>
            <w:tcBorders>
              <w:top w:val="nil"/>
              <w:left w:val="nil"/>
              <w:bottom w:val="single" w:sz="8" w:space="0" w:color="auto"/>
              <w:right w:val="single" w:sz="8" w:space="0" w:color="auto"/>
            </w:tcBorders>
            <w:tcMar>
              <w:top w:w="0" w:type="dxa"/>
              <w:left w:w="108" w:type="dxa"/>
              <w:bottom w:w="0" w:type="dxa"/>
              <w:right w:w="108" w:type="dxa"/>
            </w:tcMar>
            <w:hideMark/>
          </w:tcPr>
          <w:p w14:paraId="3EE93EEB" w14:textId="77777777" w:rsidR="00F03E13" w:rsidRPr="00C74C2C" w:rsidRDefault="00F03E13" w:rsidP="00245130">
            <w:pPr>
              <w:jc w:val="center"/>
              <w:rPr>
                <w:rFonts w:ascii="Arial" w:hAnsi="Arial" w:cs="Arial"/>
                <w:bCs/>
                <w:sz w:val="20"/>
                <w:szCs w:val="20"/>
              </w:rPr>
            </w:pPr>
            <w:r w:rsidRPr="00C74C2C">
              <w:rPr>
                <w:rFonts w:ascii="Arial" w:hAnsi="Arial" w:cs="Arial"/>
                <w:bCs/>
                <w:sz w:val="20"/>
                <w:szCs w:val="20"/>
              </w:rPr>
              <w:t>22</w:t>
            </w:r>
          </w:p>
        </w:tc>
        <w:tc>
          <w:tcPr>
            <w:tcW w:w="1829" w:type="dxa"/>
            <w:tcBorders>
              <w:top w:val="nil"/>
              <w:left w:val="nil"/>
              <w:bottom w:val="single" w:sz="8" w:space="0" w:color="auto"/>
              <w:right w:val="single" w:sz="8" w:space="0" w:color="auto"/>
            </w:tcBorders>
            <w:hideMark/>
          </w:tcPr>
          <w:p w14:paraId="151F81DC" w14:textId="77777777" w:rsidR="00F03E13" w:rsidRPr="00C74C2C" w:rsidRDefault="00F03E13" w:rsidP="00245130">
            <w:pPr>
              <w:jc w:val="center"/>
              <w:rPr>
                <w:rFonts w:ascii="Arial" w:hAnsi="Arial" w:cs="Arial"/>
                <w:bCs/>
                <w:sz w:val="20"/>
                <w:szCs w:val="20"/>
              </w:rPr>
            </w:pPr>
            <w:r w:rsidRPr="00C74C2C">
              <w:rPr>
                <w:rFonts w:ascii="Arial" w:hAnsi="Arial" w:cs="Arial"/>
                <w:bCs/>
                <w:sz w:val="20"/>
                <w:szCs w:val="20"/>
              </w:rPr>
              <w:t>951</w:t>
            </w:r>
          </w:p>
        </w:tc>
      </w:tr>
    </w:tbl>
    <w:p w14:paraId="592B416F" w14:textId="77777777" w:rsidR="00BB1165" w:rsidRPr="00C74C2C" w:rsidRDefault="00BB1165" w:rsidP="00B233A8">
      <w:pPr>
        <w:rPr>
          <w:rFonts w:ascii="Arial" w:hAnsi="Arial" w:cs="Arial"/>
          <w:sz w:val="20"/>
          <w:szCs w:val="20"/>
          <w:highlight w:val="yellow"/>
          <w:lang w:val="en-GB"/>
        </w:rPr>
      </w:pPr>
    </w:p>
    <w:p w14:paraId="6B7A15DD" w14:textId="77777777" w:rsidR="00BB1165" w:rsidRPr="00C74C2C" w:rsidRDefault="00B233A8" w:rsidP="00BB1165">
      <w:pPr>
        <w:jc w:val="both"/>
        <w:rPr>
          <w:rFonts w:ascii="Arial" w:hAnsi="Arial" w:cs="Arial"/>
          <w:b/>
          <w:sz w:val="20"/>
          <w:szCs w:val="20"/>
          <w:lang w:val="en-GB"/>
        </w:rPr>
      </w:pPr>
      <w:r w:rsidRPr="00C74C2C">
        <w:rPr>
          <w:rFonts w:ascii="Arial" w:hAnsi="Arial" w:cs="Arial"/>
          <w:b/>
          <w:sz w:val="20"/>
          <w:szCs w:val="20"/>
          <w:lang w:val="en-GB"/>
        </w:rPr>
        <w:lastRenderedPageBreak/>
        <w:t xml:space="preserve">Data </w:t>
      </w:r>
      <w:r w:rsidR="00677E1A" w:rsidRPr="00C74C2C">
        <w:rPr>
          <w:rFonts w:ascii="Arial" w:hAnsi="Arial" w:cs="Arial"/>
          <w:b/>
          <w:sz w:val="20"/>
          <w:szCs w:val="20"/>
          <w:lang w:val="en-GB"/>
        </w:rPr>
        <w:t>Q</w:t>
      </w:r>
      <w:r w:rsidRPr="00C74C2C">
        <w:rPr>
          <w:rFonts w:ascii="Arial" w:hAnsi="Arial" w:cs="Arial"/>
          <w:b/>
          <w:sz w:val="20"/>
          <w:szCs w:val="20"/>
          <w:lang w:val="en-GB"/>
        </w:rPr>
        <w:t xml:space="preserve">uality and </w:t>
      </w:r>
      <w:r w:rsidR="00677E1A" w:rsidRPr="00C74C2C">
        <w:rPr>
          <w:rFonts w:ascii="Arial" w:hAnsi="Arial" w:cs="Arial"/>
          <w:b/>
          <w:sz w:val="20"/>
          <w:szCs w:val="20"/>
          <w:lang w:val="en-GB"/>
        </w:rPr>
        <w:t>G</w:t>
      </w:r>
      <w:r w:rsidRPr="00C74C2C">
        <w:rPr>
          <w:rFonts w:ascii="Arial" w:hAnsi="Arial" w:cs="Arial"/>
          <w:b/>
          <w:sz w:val="20"/>
          <w:szCs w:val="20"/>
          <w:lang w:val="en-GB"/>
        </w:rPr>
        <w:t>overnance</w:t>
      </w:r>
      <w:r w:rsidR="00D17BF7" w:rsidRPr="00C74C2C">
        <w:rPr>
          <w:rFonts w:ascii="Arial" w:hAnsi="Arial" w:cs="Arial"/>
          <w:b/>
          <w:sz w:val="20"/>
          <w:szCs w:val="20"/>
          <w:lang w:val="en-GB"/>
        </w:rPr>
        <w:t xml:space="preserve">  </w:t>
      </w:r>
    </w:p>
    <w:p w14:paraId="45A5B79F" w14:textId="77777777" w:rsidR="00320645" w:rsidRPr="00C74C2C" w:rsidRDefault="00A96F9F" w:rsidP="00BB1165">
      <w:pPr>
        <w:jc w:val="both"/>
        <w:rPr>
          <w:rFonts w:ascii="Arial" w:hAnsi="Arial" w:cs="Arial"/>
          <w:sz w:val="20"/>
          <w:szCs w:val="20"/>
          <w:lang w:val="en-GB"/>
        </w:rPr>
      </w:pPr>
      <w:r w:rsidRPr="00C74C2C">
        <w:rPr>
          <w:rFonts w:ascii="Arial" w:hAnsi="Arial" w:cs="Arial"/>
          <w:sz w:val="20"/>
          <w:szCs w:val="20"/>
          <w:lang w:val="en-GB"/>
        </w:rPr>
        <w:t xml:space="preserve">The quality and assurance teams work closely with colleagues in the </w:t>
      </w:r>
      <w:r w:rsidR="00320645" w:rsidRPr="00C74C2C">
        <w:rPr>
          <w:rFonts w:ascii="Arial" w:hAnsi="Arial" w:cs="Arial"/>
          <w:sz w:val="20"/>
          <w:szCs w:val="20"/>
          <w:lang w:val="en-GB"/>
        </w:rPr>
        <w:t>business intelligence team</w:t>
      </w:r>
      <w:r w:rsidRPr="00C74C2C">
        <w:rPr>
          <w:rFonts w:ascii="Arial" w:hAnsi="Arial" w:cs="Arial"/>
          <w:sz w:val="20"/>
          <w:szCs w:val="20"/>
          <w:lang w:val="en-GB"/>
        </w:rPr>
        <w:t xml:space="preserve"> to ensure data provided to the Board is validated and accurate. Both teams have a variety of skills and expertise including analytics. This includes oversight by those with expertise in the relevant field; for example, the head of complaints would sign off any complaints data, ensure that correct processes have been applied to reporting the data from the system and that the data set is complete. </w:t>
      </w:r>
    </w:p>
    <w:p w14:paraId="01821DD1" w14:textId="77777777" w:rsidR="00BB1165" w:rsidRPr="00C74C2C" w:rsidRDefault="00BB1165" w:rsidP="00BB1165">
      <w:pPr>
        <w:jc w:val="both"/>
        <w:rPr>
          <w:rFonts w:ascii="Arial" w:hAnsi="Arial" w:cs="Arial"/>
          <w:sz w:val="20"/>
          <w:szCs w:val="20"/>
          <w:lang w:val="en-GB"/>
        </w:rPr>
      </w:pPr>
    </w:p>
    <w:p w14:paraId="77BE803D" w14:textId="77777777" w:rsidR="00320645" w:rsidRPr="00C74C2C" w:rsidRDefault="00A96F9F" w:rsidP="00BB1165">
      <w:pPr>
        <w:jc w:val="both"/>
        <w:rPr>
          <w:rFonts w:ascii="Arial" w:hAnsi="Arial" w:cs="Arial"/>
          <w:sz w:val="20"/>
          <w:szCs w:val="20"/>
          <w:lang w:val="en-GB"/>
        </w:rPr>
      </w:pPr>
      <w:r w:rsidRPr="00C74C2C">
        <w:rPr>
          <w:rFonts w:ascii="Arial" w:hAnsi="Arial" w:cs="Arial"/>
          <w:sz w:val="20"/>
          <w:szCs w:val="20"/>
          <w:lang w:val="en-GB"/>
        </w:rPr>
        <w:t xml:space="preserve">The quality and assurance teams collate data monthly from a variety of sources for the executive </w:t>
      </w:r>
      <w:r w:rsidR="00320645" w:rsidRPr="00C74C2C">
        <w:rPr>
          <w:rFonts w:ascii="Arial" w:hAnsi="Arial" w:cs="Arial"/>
          <w:sz w:val="20"/>
          <w:szCs w:val="20"/>
          <w:lang w:val="en-GB"/>
        </w:rPr>
        <w:t xml:space="preserve">and trust management </w:t>
      </w:r>
      <w:r w:rsidRPr="00C74C2C">
        <w:rPr>
          <w:rFonts w:ascii="Arial" w:hAnsi="Arial" w:cs="Arial"/>
          <w:sz w:val="20"/>
          <w:szCs w:val="20"/>
          <w:lang w:val="en-GB"/>
        </w:rPr>
        <w:t>meetings and Integrated</w:t>
      </w:r>
      <w:r w:rsidR="00320645" w:rsidRPr="00C74C2C">
        <w:rPr>
          <w:rFonts w:ascii="Arial" w:hAnsi="Arial" w:cs="Arial"/>
          <w:sz w:val="20"/>
          <w:szCs w:val="20"/>
          <w:lang w:val="en-GB"/>
        </w:rPr>
        <w:t xml:space="preserve"> Quality and Performance</w:t>
      </w:r>
      <w:r w:rsidRPr="00C74C2C">
        <w:rPr>
          <w:rFonts w:ascii="Arial" w:hAnsi="Arial" w:cs="Arial"/>
          <w:sz w:val="20"/>
          <w:szCs w:val="20"/>
          <w:lang w:val="en-GB"/>
        </w:rPr>
        <w:t xml:space="preserve"> Report.</w:t>
      </w:r>
      <w:r w:rsidR="00BB1165" w:rsidRPr="00C74C2C">
        <w:rPr>
          <w:rFonts w:ascii="Arial" w:hAnsi="Arial" w:cs="Arial"/>
          <w:sz w:val="20"/>
          <w:szCs w:val="20"/>
          <w:lang w:val="en-GB"/>
        </w:rPr>
        <w:t xml:space="preserve">  </w:t>
      </w:r>
      <w:r w:rsidRPr="00C74C2C">
        <w:rPr>
          <w:rFonts w:ascii="Arial" w:hAnsi="Arial" w:cs="Arial"/>
          <w:sz w:val="20"/>
          <w:szCs w:val="20"/>
          <w:lang w:val="en-GB"/>
        </w:rPr>
        <w:t xml:space="preserve">Primary sources include </w:t>
      </w:r>
      <w:r w:rsidR="00FB1CC8" w:rsidRPr="00C74C2C">
        <w:rPr>
          <w:rFonts w:ascii="Arial" w:hAnsi="Arial" w:cs="Arial"/>
          <w:sz w:val="20"/>
          <w:szCs w:val="20"/>
          <w:lang w:val="en-GB"/>
        </w:rPr>
        <w:t xml:space="preserve">the </w:t>
      </w:r>
      <w:r w:rsidRPr="00C74C2C">
        <w:rPr>
          <w:rFonts w:ascii="Arial" w:hAnsi="Arial" w:cs="Arial"/>
          <w:sz w:val="20"/>
          <w:szCs w:val="20"/>
          <w:lang w:val="en-GB"/>
        </w:rPr>
        <w:t xml:space="preserve">local risk management system, which holds all incident, complaints, legal services, risks and safety alert databases. </w:t>
      </w:r>
    </w:p>
    <w:p w14:paraId="624A8F88" w14:textId="77777777" w:rsidR="00320645" w:rsidRPr="00C74C2C" w:rsidRDefault="00320645" w:rsidP="00BB1165">
      <w:pPr>
        <w:jc w:val="both"/>
        <w:rPr>
          <w:rFonts w:ascii="Arial" w:hAnsi="Arial" w:cs="Arial"/>
          <w:sz w:val="20"/>
          <w:szCs w:val="20"/>
          <w:lang w:val="en-GB"/>
        </w:rPr>
      </w:pPr>
    </w:p>
    <w:p w14:paraId="61714506" w14:textId="77777777" w:rsidR="00320645" w:rsidRPr="00C74C2C" w:rsidRDefault="00A96F9F" w:rsidP="00BB1165">
      <w:pPr>
        <w:jc w:val="both"/>
        <w:rPr>
          <w:rFonts w:ascii="Arial" w:hAnsi="Arial" w:cs="Arial"/>
          <w:sz w:val="20"/>
          <w:szCs w:val="20"/>
          <w:lang w:val="en-GB"/>
        </w:rPr>
      </w:pPr>
      <w:r w:rsidRPr="00C74C2C">
        <w:rPr>
          <w:rFonts w:ascii="Arial" w:hAnsi="Arial" w:cs="Arial"/>
          <w:sz w:val="20"/>
          <w:szCs w:val="20"/>
          <w:lang w:val="en-GB"/>
        </w:rPr>
        <w:t>A senior clinical analyst validates the data and issues the</w:t>
      </w:r>
      <w:r w:rsidR="00320645" w:rsidRPr="00C74C2C">
        <w:rPr>
          <w:rFonts w:ascii="Arial" w:hAnsi="Arial" w:cs="Arial"/>
          <w:sz w:val="20"/>
          <w:szCs w:val="20"/>
          <w:lang w:val="en-GB"/>
        </w:rPr>
        <w:t xml:space="preserve"> data </w:t>
      </w:r>
      <w:r w:rsidRPr="00C74C2C">
        <w:rPr>
          <w:rFonts w:ascii="Arial" w:hAnsi="Arial" w:cs="Arial"/>
          <w:sz w:val="20"/>
          <w:szCs w:val="20"/>
          <w:lang w:val="en-GB"/>
        </w:rPr>
        <w:t xml:space="preserve">packs monthly to </w:t>
      </w:r>
      <w:r w:rsidR="00320645" w:rsidRPr="00C74C2C">
        <w:rPr>
          <w:rFonts w:ascii="Arial" w:hAnsi="Arial" w:cs="Arial"/>
          <w:sz w:val="20"/>
          <w:szCs w:val="20"/>
          <w:lang w:val="en-GB"/>
        </w:rPr>
        <w:t>the executive</w:t>
      </w:r>
      <w:r w:rsidRPr="00C74C2C">
        <w:rPr>
          <w:rFonts w:ascii="Arial" w:hAnsi="Arial" w:cs="Arial"/>
          <w:sz w:val="20"/>
          <w:szCs w:val="20"/>
          <w:lang w:val="en-GB"/>
        </w:rPr>
        <w:t>, which feeds into the Integrated</w:t>
      </w:r>
      <w:r w:rsidR="00320645" w:rsidRPr="00C74C2C">
        <w:rPr>
          <w:rFonts w:ascii="Arial" w:hAnsi="Arial" w:cs="Arial"/>
          <w:sz w:val="20"/>
          <w:szCs w:val="20"/>
          <w:lang w:val="en-GB"/>
        </w:rPr>
        <w:t xml:space="preserve"> Quality and</w:t>
      </w:r>
      <w:r w:rsidRPr="00C74C2C">
        <w:rPr>
          <w:rFonts w:ascii="Arial" w:hAnsi="Arial" w:cs="Arial"/>
          <w:sz w:val="20"/>
          <w:szCs w:val="20"/>
          <w:lang w:val="en-GB"/>
        </w:rPr>
        <w:t xml:space="preserve"> Performance Report for data accuracy, validity and alignment. The Trust has a number of policies and protocols which describe the desired outcome or key performance indicator (KPI) which assists the Trust Board in determining if they are assured by the data they are receiving. For example, the Trust’s position relating to mortality outcomes is demonstrated by the Summary Hospital-Level Mortality Indicator (SHMI) and the Hospital Standardised Mortality Ratio (HSMR) which are benchmarked nationally to give Board members a clear picture of the Trust’s performance in this area. </w:t>
      </w:r>
    </w:p>
    <w:p w14:paraId="5171D13E" w14:textId="77777777" w:rsidR="00320645" w:rsidRPr="00C74C2C" w:rsidRDefault="00320645" w:rsidP="00BB1165">
      <w:pPr>
        <w:jc w:val="both"/>
        <w:rPr>
          <w:rFonts w:ascii="Arial" w:hAnsi="Arial" w:cs="Arial"/>
          <w:sz w:val="20"/>
          <w:szCs w:val="20"/>
          <w:lang w:val="en-GB"/>
        </w:rPr>
      </w:pPr>
    </w:p>
    <w:p w14:paraId="16751E1A" w14:textId="77777777" w:rsidR="00A96F9F" w:rsidRPr="00C74C2C" w:rsidRDefault="00A96F9F" w:rsidP="00BB1165">
      <w:pPr>
        <w:jc w:val="both"/>
        <w:rPr>
          <w:rFonts w:ascii="Arial" w:hAnsi="Arial" w:cs="Arial"/>
          <w:sz w:val="20"/>
          <w:szCs w:val="20"/>
          <w:lang w:val="en-GB"/>
        </w:rPr>
      </w:pPr>
      <w:r w:rsidRPr="00C74C2C">
        <w:rPr>
          <w:rFonts w:ascii="Arial" w:hAnsi="Arial" w:cs="Arial"/>
          <w:sz w:val="20"/>
          <w:szCs w:val="20"/>
          <w:lang w:val="en-GB"/>
        </w:rPr>
        <w:t xml:space="preserve">A range of audits – internal and external – give assurance about the accuracy of data throughout the year. The Trust has a Quality and </w:t>
      </w:r>
      <w:r w:rsidR="00320645" w:rsidRPr="00C74C2C">
        <w:rPr>
          <w:rFonts w:ascii="Arial" w:hAnsi="Arial" w:cs="Arial"/>
          <w:sz w:val="20"/>
          <w:szCs w:val="20"/>
          <w:lang w:val="en-GB"/>
        </w:rPr>
        <w:t>Patient Safety sub-c</w:t>
      </w:r>
      <w:r w:rsidRPr="00C74C2C">
        <w:rPr>
          <w:rFonts w:ascii="Arial" w:hAnsi="Arial" w:cs="Arial"/>
          <w:sz w:val="20"/>
          <w:szCs w:val="20"/>
          <w:lang w:val="en-GB"/>
        </w:rPr>
        <w:t>ommittee where all data and information relating to quality of care and patient experience is reviewed. The Trust employs rigorous information assurance processes in the production of the monthly Integrated</w:t>
      </w:r>
      <w:r w:rsidR="00320645" w:rsidRPr="00C74C2C">
        <w:rPr>
          <w:rFonts w:ascii="Arial" w:hAnsi="Arial" w:cs="Arial"/>
          <w:sz w:val="20"/>
          <w:szCs w:val="20"/>
          <w:lang w:val="en-GB"/>
        </w:rPr>
        <w:t xml:space="preserve"> Quality and</w:t>
      </w:r>
      <w:r w:rsidRPr="00C74C2C">
        <w:rPr>
          <w:rFonts w:ascii="Arial" w:hAnsi="Arial" w:cs="Arial"/>
          <w:sz w:val="20"/>
          <w:szCs w:val="20"/>
          <w:lang w:val="en-GB"/>
        </w:rPr>
        <w:t xml:space="preserve"> Performance Report at both </w:t>
      </w:r>
      <w:r w:rsidR="00991783" w:rsidRPr="00C74C2C">
        <w:rPr>
          <w:rFonts w:ascii="Arial" w:hAnsi="Arial" w:cs="Arial"/>
          <w:sz w:val="20"/>
          <w:szCs w:val="20"/>
          <w:lang w:val="en-GB"/>
        </w:rPr>
        <w:t>c</w:t>
      </w:r>
      <w:r w:rsidRPr="00C74C2C">
        <w:rPr>
          <w:rFonts w:ascii="Arial" w:hAnsi="Arial" w:cs="Arial"/>
          <w:sz w:val="20"/>
          <w:szCs w:val="20"/>
          <w:lang w:val="en-GB"/>
        </w:rPr>
        <w:t xml:space="preserve">linical </w:t>
      </w:r>
      <w:r w:rsidR="00991783" w:rsidRPr="00C74C2C">
        <w:rPr>
          <w:rFonts w:ascii="Arial" w:hAnsi="Arial" w:cs="Arial"/>
          <w:sz w:val="20"/>
          <w:szCs w:val="20"/>
          <w:lang w:val="en-GB"/>
        </w:rPr>
        <w:t>g</w:t>
      </w:r>
      <w:r w:rsidRPr="00C74C2C">
        <w:rPr>
          <w:rFonts w:ascii="Arial" w:hAnsi="Arial" w:cs="Arial"/>
          <w:sz w:val="20"/>
          <w:szCs w:val="20"/>
          <w:lang w:val="en-GB"/>
        </w:rPr>
        <w:t>roup and Trust level, including local and Trust-wide validation of data and national benchmarking where available. The Integrated</w:t>
      </w:r>
      <w:r w:rsidR="00320645" w:rsidRPr="00C74C2C">
        <w:rPr>
          <w:rFonts w:ascii="Arial" w:hAnsi="Arial" w:cs="Arial"/>
          <w:sz w:val="20"/>
          <w:szCs w:val="20"/>
          <w:lang w:val="en-GB"/>
        </w:rPr>
        <w:t xml:space="preserve"> Quality and</w:t>
      </w:r>
      <w:r w:rsidRPr="00C74C2C">
        <w:rPr>
          <w:rFonts w:ascii="Arial" w:hAnsi="Arial" w:cs="Arial"/>
          <w:sz w:val="20"/>
          <w:szCs w:val="20"/>
          <w:lang w:val="en-GB"/>
        </w:rPr>
        <w:t xml:space="preserve"> Performance Report is published as part of the Board papers and is available on the Trust’s website.</w:t>
      </w:r>
    </w:p>
    <w:bookmarkEnd w:id="39"/>
    <w:p w14:paraId="26109879" w14:textId="77777777" w:rsidR="00245130" w:rsidRPr="00C74C2C" w:rsidRDefault="00245130" w:rsidP="00BB1165">
      <w:pPr>
        <w:jc w:val="both"/>
        <w:rPr>
          <w:rFonts w:ascii="Arial" w:hAnsi="Arial" w:cs="Arial"/>
          <w:b/>
          <w:sz w:val="20"/>
          <w:szCs w:val="20"/>
          <w:lang w:val="en-GB"/>
        </w:rPr>
      </w:pPr>
    </w:p>
    <w:p w14:paraId="65B6294E" w14:textId="77777777" w:rsidR="00E251D1" w:rsidRPr="00C74C2C" w:rsidRDefault="00B233A8" w:rsidP="002E594A">
      <w:pPr>
        <w:jc w:val="both"/>
        <w:rPr>
          <w:rFonts w:ascii="Arial" w:hAnsi="Arial" w:cs="Arial"/>
          <w:b/>
          <w:sz w:val="20"/>
          <w:szCs w:val="20"/>
          <w:lang w:val="en-GB"/>
        </w:rPr>
      </w:pPr>
      <w:r w:rsidRPr="00C74C2C">
        <w:rPr>
          <w:rFonts w:ascii="Arial" w:hAnsi="Arial" w:cs="Arial"/>
          <w:b/>
          <w:sz w:val="20"/>
          <w:szCs w:val="20"/>
          <w:lang w:val="en-GB"/>
        </w:rPr>
        <w:t xml:space="preserve">Review of </w:t>
      </w:r>
      <w:r w:rsidR="00A061BF" w:rsidRPr="00C74C2C">
        <w:rPr>
          <w:rFonts w:ascii="Arial" w:hAnsi="Arial" w:cs="Arial"/>
          <w:b/>
          <w:sz w:val="20"/>
          <w:szCs w:val="20"/>
          <w:lang w:val="en-GB"/>
        </w:rPr>
        <w:t>E</w:t>
      </w:r>
      <w:r w:rsidRPr="00C74C2C">
        <w:rPr>
          <w:rFonts w:ascii="Arial" w:hAnsi="Arial" w:cs="Arial"/>
          <w:b/>
          <w:sz w:val="20"/>
          <w:szCs w:val="20"/>
          <w:lang w:val="en-GB"/>
        </w:rPr>
        <w:t xml:space="preserve">ffectiveness </w:t>
      </w:r>
    </w:p>
    <w:p w14:paraId="185B7CE4" w14:textId="77777777" w:rsidR="00B233A8" w:rsidRPr="00C74C2C" w:rsidRDefault="00B233A8" w:rsidP="002E594A">
      <w:pPr>
        <w:jc w:val="both"/>
        <w:rPr>
          <w:rFonts w:ascii="Arial" w:hAnsi="Arial" w:cs="Arial"/>
          <w:sz w:val="20"/>
          <w:szCs w:val="20"/>
          <w:lang w:val="en-GB"/>
        </w:rPr>
      </w:pPr>
      <w:r w:rsidRPr="00C74C2C">
        <w:rPr>
          <w:rFonts w:ascii="Arial" w:hAnsi="Arial" w:cs="Arial"/>
          <w:sz w:val="20"/>
          <w:szCs w:val="20"/>
          <w:lang w:val="en-GB"/>
        </w:rPr>
        <w:t>As Accounting Officer, I have responsibility for reviewing the effectiveness of the</w:t>
      </w:r>
      <w:r w:rsidR="004E7446" w:rsidRPr="00C74C2C">
        <w:rPr>
          <w:rFonts w:ascii="Arial" w:hAnsi="Arial" w:cs="Arial"/>
          <w:sz w:val="20"/>
          <w:szCs w:val="20"/>
          <w:lang w:val="en-GB"/>
        </w:rPr>
        <w:t xml:space="preserve"> </w:t>
      </w:r>
      <w:r w:rsidRPr="00C74C2C">
        <w:rPr>
          <w:rFonts w:ascii="Arial" w:hAnsi="Arial" w:cs="Arial"/>
          <w:sz w:val="20"/>
          <w:szCs w:val="20"/>
          <w:lang w:val="en-GB"/>
        </w:rPr>
        <w:t>system of internal control. My review of the effectiveness of the system of internal</w:t>
      </w:r>
      <w:r w:rsidR="004E7446" w:rsidRPr="00C74C2C">
        <w:rPr>
          <w:rFonts w:ascii="Arial" w:hAnsi="Arial" w:cs="Arial"/>
          <w:sz w:val="20"/>
          <w:szCs w:val="20"/>
          <w:lang w:val="en-GB"/>
        </w:rPr>
        <w:t xml:space="preserve"> </w:t>
      </w:r>
      <w:r w:rsidRPr="00C74C2C">
        <w:rPr>
          <w:rFonts w:ascii="Arial" w:hAnsi="Arial" w:cs="Arial"/>
          <w:sz w:val="20"/>
          <w:szCs w:val="20"/>
          <w:lang w:val="en-GB"/>
        </w:rPr>
        <w:t>control is informed by the work of the internal auditors, clinical audit and the</w:t>
      </w:r>
      <w:r w:rsidR="004E7446" w:rsidRPr="00C74C2C">
        <w:rPr>
          <w:rFonts w:ascii="Arial" w:hAnsi="Arial" w:cs="Arial"/>
          <w:sz w:val="20"/>
          <w:szCs w:val="20"/>
          <w:lang w:val="en-GB"/>
        </w:rPr>
        <w:t xml:space="preserve"> </w:t>
      </w:r>
      <w:r w:rsidRPr="00C74C2C">
        <w:rPr>
          <w:rFonts w:ascii="Arial" w:hAnsi="Arial" w:cs="Arial"/>
          <w:sz w:val="20"/>
          <w:szCs w:val="20"/>
          <w:lang w:val="en-GB"/>
        </w:rPr>
        <w:t>executive managers and clinical leads within the NHS foundation trust who have</w:t>
      </w:r>
      <w:r w:rsidR="004E7446" w:rsidRPr="00C74C2C">
        <w:rPr>
          <w:rFonts w:ascii="Arial" w:hAnsi="Arial" w:cs="Arial"/>
          <w:sz w:val="20"/>
          <w:szCs w:val="20"/>
          <w:lang w:val="en-GB"/>
        </w:rPr>
        <w:t xml:space="preserve"> </w:t>
      </w:r>
      <w:r w:rsidRPr="00C74C2C">
        <w:rPr>
          <w:rFonts w:ascii="Arial" w:hAnsi="Arial" w:cs="Arial"/>
          <w:sz w:val="20"/>
          <w:szCs w:val="20"/>
          <w:lang w:val="en-GB"/>
        </w:rPr>
        <w:t>responsibility for the development and maintenance of the internal control</w:t>
      </w:r>
      <w:r w:rsidR="004E7446" w:rsidRPr="00C74C2C">
        <w:rPr>
          <w:rFonts w:ascii="Arial" w:hAnsi="Arial" w:cs="Arial"/>
          <w:sz w:val="20"/>
          <w:szCs w:val="20"/>
          <w:lang w:val="en-GB"/>
        </w:rPr>
        <w:t xml:space="preserve"> </w:t>
      </w:r>
      <w:r w:rsidRPr="00C74C2C">
        <w:rPr>
          <w:rFonts w:ascii="Arial" w:hAnsi="Arial" w:cs="Arial"/>
          <w:sz w:val="20"/>
          <w:szCs w:val="20"/>
          <w:lang w:val="en-GB"/>
        </w:rPr>
        <w:t>framework. I have drawn on performance information available to me. My review</w:t>
      </w:r>
      <w:r w:rsidR="004E7446" w:rsidRPr="00C74C2C">
        <w:rPr>
          <w:rFonts w:ascii="Arial" w:hAnsi="Arial" w:cs="Arial"/>
          <w:sz w:val="20"/>
          <w:szCs w:val="20"/>
          <w:lang w:val="en-GB"/>
        </w:rPr>
        <w:t xml:space="preserve"> </w:t>
      </w:r>
      <w:r w:rsidRPr="00C74C2C">
        <w:rPr>
          <w:rFonts w:ascii="Arial" w:hAnsi="Arial" w:cs="Arial"/>
          <w:sz w:val="20"/>
          <w:szCs w:val="20"/>
          <w:lang w:val="en-GB"/>
        </w:rPr>
        <w:t>is also informed by comments made by the external auditors in their management</w:t>
      </w:r>
      <w:r w:rsidR="004E7446" w:rsidRPr="00C74C2C">
        <w:rPr>
          <w:rFonts w:ascii="Arial" w:hAnsi="Arial" w:cs="Arial"/>
          <w:sz w:val="20"/>
          <w:szCs w:val="20"/>
          <w:lang w:val="en-GB"/>
        </w:rPr>
        <w:t xml:space="preserve"> </w:t>
      </w:r>
      <w:r w:rsidRPr="00C74C2C">
        <w:rPr>
          <w:rFonts w:ascii="Arial" w:hAnsi="Arial" w:cs="Arial"/>
          <w:sz w:val="20"/>
          <w:szCs w:val="20"/>
          <w:lang w:val="en-GB"/>
        </w:rPr>
        <w:t>letter and other reports. I have been advised on the implications of the result of</w:t>
      </w:r>
      <w:r w:rsidR="004E7446" w:rsidRPr="00C74C2C">
        <w:rPr>
          <w:rFonts w:ascii="Arial" w:hAnsi="Arial" w:cs="Arial"/>
          <w:sz w:val="20"/>
          <w:szCs w:val="20"/>
          <w:lang w:val="en-GB"/>
        </w:rPr>
        <w:t xml:space="preserve"> </w:t>
      </w:r>
      <w:r w:rsidRPr="00C74C2C">
        <w:rPr>
          <w:rFonts w:ascii="Arial" w:hAnsi="Arial" w:cs="Arial"/>
          <w:sz w:val="20"/>
          <w:szCs w:val="20"/>
          <w:lang w:val="en-GB"/>
        </w:rPr>
        <w:t>my review of the effectiveness of the system of internal control by the board, the</w:t>
      </w:r>
      <w:r w:rsidR="004E7446" w:rsidRPr="00C74C2C">
        <w:rPr>
          <w:rFonts w:ascii="Arial" w:hAnsi="Arial" w:cs="Arial"/>
          <w:sz w:val="20"/>
          <w:szCs w:val="20"/>
          <w:lang w:val="en-GB"/>
        </w:rPr>
        <w:t xml:space="preserve"> A</w:t>
      </w:r>
      <w:r w:rsidRPr="00C74C2C">
        <w:rPr>
          <w:rFonts w:ascii="Arial" w:hAnsi="Arial" w:cs="Arial"/>
          <w:sz w:val="20"/>
          <w:szCs w:val="20"/>
          <w:lang w:val="en-GB"/>
        </w:rPr>
        <w:t>udit</w:t>
      </w:r>
      <w:r w:rsidR="004E7446" w:rsidRPr="00C74C2C">
        <w:rPr>
          <w:rFonts w:ascii="Arial" w:hAnsi="Arial" w:cs="Arial"/>
          <w:sz w:val="20"/>
          <w:szCs w:val="20"/>
          <w:lang w:val="en-GB"/>
        </w:rPr>
        <w:t xml:space="preserve"> and Risk C</w:t>
      </w:r>
      <w:r w:rsidRPr="00C74C2C">
        <w:rPr>
          <w:rFonts w:ascii="Arial" w:hAnsi="Arial" w:cs="Arial"/>
          <w:sz w:val="20"/>
          <w:szCs w:val="20"/>
          <w:lang w:val="en-GB"/>
        </w:rPr>
        <w:t>ommittee</w:t>
      </w:r>
      <w:r w:rsidR="00FB5975" w:rsidRPr="00C74C2C">
        <w:rPr>
          <w:rFonts w:ascii="Arial" w:hAnsi="Arial" w:cs="Arial"/>
          <w:sz w:val="20"/>
          <w:szCs w:val="20"/>
          <w:lang w:val="en-GB"/>
        </w:rPr>
        <w:t xml:space="preserve"> and its sub-committees and groups and the Quality Assurance Committee and its sub-committees and groups,</w:t>
      </w:r>
      <w:r w:rsidR="004E7446" w:rsidRPr="00C74C2C">
        <w:rPr>
          <w:rFonts w:ascii="Arial" w:hAnsi="Arial" w:cs="Arial"/>
          <w:sz w:val="20"/>
          <w:szCs w:val="20"/>
          <w:lang w:val="en-GB"/>
        </w:rPr>
        <w:t xml:space="preserve"> </w:t>
      </w:r>
      <w:r w:rsidRPr="00C74C2C">
        <w:rPr>
          <w:rFonts w:ascii="Arial" w:hAnsi="Arial" w:cs="Arial"/>
          <w:sz w:val="20"/>
          <w:szCs w:val="20"/>
          <w:lang w:val="en-GB"/>
        </w:rPr>
        <w:t xml:space="preserve">and a plan to address weaknesses and ensure continuous improvement of the </w:t>
      </w:r>
      <w:r w:rsidR="004E7446" w:rsidRPr="00C74C2C">
        <w:rPr>
          <w:rFonts w:ascii="Arial" w:hAnsi="Arial" w:cs="Arial"/>
          <w:sz w:val="20"/>
          <w:szCs w:val="20"/>
          <w:lang w:val="en-GB"/>
        </w:rPr>
        <w:t>s</w:t>
      </w:r>
      <w:r w:rsidRPr="00C74C2C">
        <w:rPr>
          <w:rFonts w:ascii="Arial" w:hAnsi="Arial" w:cs="Arial"/>
          <w:sz w:val="20"/>
          <w:szCs w:val="20"/>
          <w:lang w:val="en-GB"/>
        </w:rPr>
        <w:t xml:space="preserve">ystem is in place. </w:t>
      </w:r>
    </w:p>
    <w:p w14:paraId="08D2EB5B" w14:textId="77777777" w:rsidR="004E7446" w:rsidRPr="00C74C2C" w:rsidRDefault="004E7446" w:rsidP="002E594A">
      <w:pPr>
        <w:jc w:val="both"/>
        <w:rPr>
          <w:rFonts w:ascii="Arial" w:hAnsi="Arial" w:cs="Arial"/>
          <w:sz w:val="20"/>
          <w:szCs w:val="20"/>
          <w:lang w:val="en-GB"/>
        </w:rPr>
      </w:pPr>
    </w:p>
    <w:p w14:paraId="1E9BC233" w14:textId="77777777" w:rsidR="00FB5975" w:rsidRPr="00C74C2C" w:rsidRDefault="00FB5975" w:rsidP="002E594A">
      <w:pPr>
        <w:jc w:val="both"/>
        <w:rPr>
          <w:rFonts w:ascii="Arial" w:hAnsi="Arial" w:cs="Arial"/>
          <w:sz w:val="20"/>
          <w:szCs w:val="20"/>
          <w:lang w:val="en-GB"/>
        </w:rPr>
      </w:pPr>
      <w:r w:rsidRPr="00C74C2C">
        <w:rPr>
          <w:rFonts w:ascii="Arial" w:hAnsi="Arial" w:cs="Arial"/>
          <w:sz w:val="20"/>
          <w:szCs w:val="20"/>
          <w:lang w:val="en-GB"/>
        </w:rPr>
        <w:t xml:space="preserve">The head of internal audit provides me with an opinion on the overall arrangements for gaining assurance through the Board Assurance Framework and on the controls reviewed as part of the internal audit work. My review of the effectiveness of the system of internal control is informed by executives and managers within the organisation who have responsibility for the development and maintenance of the system of internal control and the assurance framework. The Board Assurance Framework itself provides me with evidence that the effectiveness of controls that manage the risks to the organisation achieving its objectives have been reviewed.  </w:t>
      </w:r>
    </w:p>
    <w:p w14:paraId="5875E496" w14:textId="77777777" w:rsidR="00FB5975" w:rsidRPr="00C74C2C" w:rsidRDefault="00FB5975" w:rsidP="002E594A">
      <w:pPr>
        <w:jc w:val="both"/>
        <w:rPr>
          <w:rFonts w:ascii="Arial" w:hAnsi="Arial" w:cs="Arial"/>
          <w:sz w:val="20"/>
          <w:szCs w:val="20"/>
          <w:lang w:val="en-GB"/>
        </w:rPr>
      </w:pPr>
    </w:p>
    <w:p w14:paraId="3DCF21F6" w14:textId="77777777" w:rsidR="00FB5975" w:rsidRPr="00983279" w:rsidRDefault="00FB5975" w:rsidP="002E594A">
      <w:pPr>
        <w:jc w:val="both"/>
        <w:rPr>
          <w:rFonts w:ascii="Arial" w:hAnsi="Arial" w:cs="Arial"/>
          <w:sz w:val="20"/>
          <w:szCs w:val="20"/>
          <w:lang w:val="en-GB"/>
        </w:rPr>
      </w:pPr>
      <w:r w:rsidRPr="00C74C2C">
        <w:rPr>
          <w:rFonts w:ascii="Arial" w:hAnsi="Arial" w:cs="Arial"/>
          <w:sz w:val="20"/>
          <w:szCs w:val="20"/>
          <w:lang w:val="en-GB"/>
        </w:rPr>
        <w:t xml:space="preserve">The Board Assurance Framework is framed in the context of the Trust’s strategic objectives (Patient First) to ensure that focus is maintained on the delivery of agreed outcomes and the effective management of attendant risks. The internal auditors have confirmed that the Trust’s Board Assurance Framework does reflect the Trust’s key objectives and risks and is regularly reviewed by the </w:t>
      </w:r>
      <w:r w:rsidR="00FC01B3" w:rsidRPr="00C74C2C">
        <w:rPr>
          <w:rFonts w:ascii="Arial" w:hAnsi="Arial" w:cs="Arial"/>
          <w:sz w:val="20"/>
          <w:szCs w:val="20"/>
          <w:lang w:val="en-GB"/>
        </w:rPr>
        <w:t>B</w:t>
      </w:r>
      <w:r w:rsidRPr="00C74C2C">
        <w:rPr>
          <w:rFonts w:ascii="Arial" w:hAnsi="Arial" w:cs="Arial"/>
          <w:sz w:val="20"/>
          <w:szCs w:val="20"/>
          <w:lang w:val="en-GB"/>
        </w:rPr>
        <w:t xml:space="preserve">oard. The Executive reviews the Board Assurance Framework on a monthly basis and the Trust Board reviews it on a </w:t>
      </w:r>
      <w:r w:rsidR="00F52143" w:rsidRPr="00C74C2C">
        <w:rPr>
          <w:rFonts w:ascii="Arial" w:hAnsi="Arial" w:cs="Arial"/>
          <w:sz w:val="20"/>
          <w:szCs w:val="20"/>
          <w:lang w:val="en-GB"/>
        </w:rPr>
        <w:t>monthly</w:t>
      </w:r>
      <w:r w:rsidRPr="00C74C2C">
        <w:rPr>
          <w:rFonts w:ascii="Arial" w:hAnsi="Arial" w:cs="Arial"/>
          <w:sz w:val="20"/>
          <w:szCs w:val="20"/>
          <w:lang w:val="en-GB"/>
        </w:rPr>
        <w:t xml:space="preserve"> basis, and the Audit and Risk Co</w:t>
      </w:r>
      <w:r w:rsidRPr="00983279">
        <w:rPr>
          <w:rFonts w:ascii="Arial" w:hAnsi="Arial" w:cs="Arial"/>
          <w:sz w:val="20"/>
          <w:szCs w:val="20"/>
          <w:lang w:val="en-GB"/>
        </w:rPr>
        <w:t>mmittee provides views on whether the Trust’s risk management procedures are operating effectively.</w:t>
      </w:r>
    </w:p>
    <w:p w14:paraId="4E56C18B" w14:textId="77777777" w:rsidR="00FB5975" w:rsidRPr="00983279" w:rsidRDefault="00FB5975" w:rsidP="002E594A">
      <w:pPr>
        <w:jc w:val="both"/>
        <w:rPr>
          <w:rFonts w:ascii="Arial" w:hAnsi="Arial" w:cs="Arial"/>
          <w:sz w:val="20"/>
          <w:szCs w:val="20"/>
          <w:lang w:val="en-GB"/>
        </w:rPr>
      </w:pPr>
    </w:p>
    <w:p w14:paraId="714BCFE7" w14:textId="630CE894" w:rsidR="00FB5975" w:rsidRPr="00212FB4" w:rsidRDefault="00DB0F59" w:rsidP="002E594A">
      <w:pPr>
        <w:jc w:val="both"/>
        <w:rPr>
          <w:rFonts w:ascii="Arial" w:hAnsi="Arial" w:cs="Arial"/>
          <w:sz w:val="20"/>
          <w:szCs w:val="20"/>
          <w:lang w:val="en-GB"/>
        </w:rPr>
      </w:pPr>
      <w:r w:rsidRPr="00983279">
        <w:rPr>
          <w:rFonts w:ascii="Arial" w:hAnsi="Arial" w:cs="Arial"/>
          <w:sz w:val="20"/>
          <w:szCs w:val="20"/>
          <w:lang w:val="en-GB"/>
        </w:rPr>
        <w:t>The Head of Internal Audit Opinion 202</w:t>
      </w:r>
      <w:r w:rsidR="00FC01B3" w:rsidRPr="00983279">
        <w:rPr>
          <w:rFonts w:ascii="Arial" w:hAnsi="Arial" w:cs="Arial"/>
          <w:sz w:val="20"/>
          <w:szCs w:val="20"/>
          <w:lang w:val="en-GB"/>
        </w:rPr>
        <w:t>4</w:t>
      </w:r>
      <w:r w:rsidRPr="00983279">
        <w:rPr>
          <w:rFonts w:ascii="Arial" w:hAnsi="Arial" w:cs="Arial"/>
          <w:sz w:val="20"/>
          <w:szCs w:val="20"/>
          <w:lang w:val="en-GB"/>
        </w:rPr>
        <w:t>/2</w:t>
      </w:r>
      <w:r w:rsidR="00FC01B3" w:rsidRPr="00983279">
        <w:rPr>
          <w:rFonts w:ascii="Arial" w:hAnsi="Arial" w:cs="Arial"/>
          <w:sz w:val="20"/>
          <w:szCs w:val="20"/>
          <w:lang w:val="en-GB"/>
        </w:rPr>
        <w:t>5</w:t>
      </w:r>
      <w:r w:rsidRPr="00983279">
        <w:rPr>
          <w:rFonts w:ascii="Arial" w:hAnsi="Arial" w:cs="Arial"/>
          <w:sz w:val="20"/>
          <w:szCs w:val="20"/>
          <w:lang w:val="en-GB"/>
        </w:rPr>
        <w:t xml:space="preserve"> was presented to the Audit and Risk Committee on </w:t>
      </w:r>
      <w:r w:rsidR="00983279" w:rsidRPr="00983279">
        <w:rPr>
          <w:rFonts w:ascii="Arial" w:hAnsi="Arial" w:cs="Arial"/>
          <w:sz w:val="20"/>
          <w:szCs w:val="20"/>
          <w:lang w:val="en-GB"/>
        </w:rPr>
        <w:t xml:space="preserve">19 June 2025 </w:t>
      </w:r>
      <w:r w:rsidRPr="00983279">
        <w:rPr>
          <w:rFonts w:ascii="Arial" w:hAnsi="Arial" w:cs="Arial"/>
          <w:sz w:val="20"/>
          <w:szCs w:val="20"/>
          <w:lang w:val="en-GB"/>
        </w:rPr>
        <w:t>for the period 01 April 202</w:t>
      </w:r>
      <w:r w:rsidR="00FC01B3" w:rsidRPr="00983279">
        <w:rPr>
          <w:rFonts w:ascii="Arial" w:hAnsi="Arial" w:cs="Arial"/>
          <w:sz w:val="20"/>
          <w:szCs w:val="20"/>
          <w:lang w:val="en-GB"/>
        </w:rPr>
        <w:t>4</w:t>
      </w:r>
      <w:r w:rsidRPr="00983279">
        <w:rPr>
          <w:rFonts w:ascii="Arial" w:hAnsi="Arial" w:cs="Arial"/>
          <w:sz w:val="20"/>
          <w:szCs w:val="20"/>
          <w:lang w:val="en-GB"/>
        </w:rPr>
        <w:t xml:space="preserve"> to 31 March 202</w:t>
      </w:r>
      <w:r w:rsidR="00FC01B3" w:rsidRPr="00983279">
        <w:rPr>
          <w:rFonts w:ascii="Arial" w:hAnsi="Arial" w:cs="Arial"/>
          <w:sz w:val="20"/>
          <w:szCs w:val="20"/>
          <w:lang w:val="en-GB"/>
        </w:rPr>
        <w:t>5</w:t>
      </w:r>
      <w:r w:rsidRPr="00983279">
        <w:rPr>
          <w:rFonts w:ascii="Arial" w:hAnsi="Arial" w:cs="Arial"/>
          <w:sz w:val="20"/>
          <w:szCs w:val="20"/>
          <w:lang w:val="en-GB"/>
        </w:rPr>
        <w:t xml:space="preserve">.  </w:t>
      </w:r>
      <w:r w:rsidRPr="00212FB4">
        <w:rPr>
          <w:rFonts w:ascii="Arial" w:hAnsi="Arial" w:cs="Arial"/>
          <w:sz w:val="20"/>
          <w:szCs w:val="20"/>
          <w:lang w:val="en-GB"/>
        </w:rPr>
        <w:t xml:space="preserve">An overall rating of ‘‘partial assurance with improvements required (Amber/Red)” can be given on the overall adequacy and effectiveness of the </w:t>
      </w:r>
      <w:r w:rsidRPr="00212FB4">
        <w:rPr>
          <w:rFonts w:ascii="Arial" w:hAnsi="Arial" w:cs="Arial"/>
          <w:sz w:val="20"/>
          <w:szCs w:val="20"/>
          <w:lang w:val="en-GB"/>
        </w:rPr>
        <w:lastRenderedPageBreak/>
        <w:t>organisation’s framework of governance, risk management and control.</w:t>
      </w:r>
      <w:r w:rsidRPr="00212FB4">
        <w:rPr>
          <w:rFonts w:ascii="Arial" w:hAnsi="Arial" w:cs="Arial"/>
          <w:b/>
          <w:color w:val="FF0000"/>
          <w:sz w:val="20"/>
          <w:szCs w:val="20"/>
          <w:lang w:val="en-GB"/>
        </w:rPr>
        <w:t xml:space="preserve"> </w:t>
      </w:r>
    </w:p>
    <w:p w14:paraId="0473CC07" w14:textId="77777777" w:rsidR="00FB5975" w:rsidRPr="00212FB4" w:rsidRDefault="00FB5975" w:rsidP="002E594A">
      <w:pPr>
        <w:jc w:val="both"/>
        <w:rPr>
          <w:rFonts w:ascii="Arial" w:hAnsi="Arial" w:cs="Arial"/>
          <w:sz w:val="20"/>
          <w:szCs w:val="20"/>
          <w:lang w:val="en-GB"/>
        </w:rPr>
      </w:pPr>
    </w:p>
    <w:p w14:paraId="6966ECCD" w14:textId="77777777" w:rsidR="00FB5975" w:rsidRPr="00C74C2C" w:rsidRDefault="00FB5975" w:rsidP="002E594A">
      <w:pPr>
        <w:jc w:val="both"/>
        <w:rPr>
          <w:rFonts w:ascii="Arial" w:hAnsi="Arial" w:cs="Arial"/>
          <w:sz w:val="20"/>
          <w:szCs w:val="20"/>
          <w:lang w:val="en-GB"/>
        </w:rPr>
      </w:pPr>
      <w:r w:rsidRPr="00212FB4">
        <w:rPr>
          <w:rFonts w:ascii="Arial" w:hAnsi="Arial" w:cs="Arial"/>
          <w:sz w:val="20"/>
          <w:szCs w:val="20"/>
          <w:lang w:val="en-GB"/>
        </w:rPr>
        <w:t xml:space="preserve">The </w:t>
      </w:r>
      <w:r w:rsidR="00F52143" w:rsidRPr="00212FB4">
        <w:rPr>
          <w:rFonts w:ascii="Arial" w:hAnsi="Arial" w:cs="Arial"/>
          <w:sz w:val="20"/>
          <w:szCs w:val="20"/>
          <w:lang w:val="en-GB"/>
        </w:rPr>
        <w:t>B</w:t>
      </w:r>
      <w:r w:rsidRPr="00212FB4">
        <w:rPr>
          <w:rFonts w:ascii="Arial" w:hAnsi="Arial" w:cs="Arial"/>
          <w:sz w:val="20"/>
          <w:szCs w:val="20"/>
          <w:lang w:val="en-GB"/>
        </w:rPr>
        <w:t xml:space="preserve">oard, through the executive directors, reviews risks to the delivery of the Trust’s performance objectives through </w:t>
      </w:r>
      <w:r w:rsidR="00F52143" w:rsidRPr="00212FB4">
        <w:rPr>
          <w:rFonts w:ascii="Arial" w:hAnsi="Arial" w:cs="Arial"/>
          <w:sz w:val="20"/>
          <w:szCs w:val="20"/>
          <w:lang w:val="en-GB"/>
        </w:rPr>
        <w:t>bi-</w:t>
      </w:r>
      <w:r w:rsidRPr="00212FB4">
        <w:rPr>
          <w:rFonts w:ascii="Arial" w:hAnsi="Arial" w:cs="Arial"/>
          <w:sz w:val="20"/>
          <w:szCs w:val="20"/>
          <w:lang w:val="en-GB"/>
        </w:rPr>
        <w:t>monthly monitoring and discussion of the performance in the key areas of finance, activity, national targets, patient safety, patient experience, quality and workforce. The implementation of Patient First has strengthened this approach and enables the organisati</w:t>
      </w:r>
      <w:r w:rsidRPr="00C74C2C">
        <w:rPr>
          <w:rFonts w:ascii="Arial" w:hAnsi="Arial" w:cs="Arial"/>
          <w:sz w:val="20"/>
          <w:szCs w:val="20"/>
          <w:lang w:val="en-GB"/>
        </w:rPr>
        <w:t>on to focus on addressing key issues as they arise in the most appropriate place.</w:t>
      </w:r>
    </w:p>
    <w:p w14:paraId="2C976085" w14:textId="77777777" w:rsidR="00FB5975" w:rsidRPr="00C74C2C" w:rsidRDefault="00FB5975" w:rsidP="002E594A">
      <w:pPr>
        <w:jc w:val="both"/>
        <w:rPr>
          <w:rFonts w:ascii="Arial" w:hAnsi="Arial" w:cs="Arial"/>
          <w:sz w:val="20"/>
          <w:szCs w:val="20"/>
          <w:lang w:val="en-GB"/>
        </w:rPr>
      </w:pPr>
    </w:p>
    <w:p w14:paraId="465EA54F" w14:textId="77777777" w:rsidR="00FB5975" w:rsidRPr="00C74C2C" w:rsidRDefault="00FB5975" w:rsidP="002E594A">
      <w:pPr>
        <w:jc w:val="both"/>
        <w:rPr>
          <w:rFonts w:ascii="Arial" w:hAnsi="Arial" w:cs="Arial"/>
          <w:sz w:val="20"/>
          <w:szCs w:val="20"/>
          <w:lang w:val="en-GB"/>
        </w:rPr>
      </w:pPr>
      <w:r w:rsidRPr="00C74C2C">
        <w:rPr>
          <w:rFonts w:ascii="Arial" w:hAnsi="Arial" w:cs="Arial"/>
          <w:sz w:val="20"/>
          <w:szCs w:val="20"/>
          <w:lang w:val="en-GB"/>
        </w:rPr>
        <w:t xml:space="preserve">The Audit and Risk Committee oversees the effectiveness of the Trust’s overall risk management and internal control arrangement. On behalf of the </w:t>
      </w:r>
      <w:r w:rsidR="002244B8" w:rsidRPr="00C74C2C">
        <w:rPr>
          <w:rFonts w:ascii="Arial" w:hAnsi="Arial" w:cs="Arial"/>
          <w:sz w:val="20"/>
          <w:szCs w:val="20"/>
          <w:lang w:val="en-GB"/>
        </w:rPr>
        <w:t>b</w:t>
      </w:r>
      <w:r w:rsidRPr="00C74C2C">
        <w:rPr>
          <w:rFonts w:ascii="Arial" w:hAnsi="Arial" w:cs="Arial"/>
          <w:sz w:val="20"/>
          <w:szCs w:val="20"/>
          <w:lang w:val="en-GB"/>
        </w:rPr>
        <w:t>oard, it independently reviews the effectiveness of risk management systems in ensuring all significant risks are identified, assessed, recorded and escalated as appropriate. The Audit</w:t>
      </w:r>
      <w:r w:rsidR="00F52143" w:rsidRPr="00C74C2C">
        <w:rPr>
          <w:rFonts w:ascii="Arial" w:hAnsi="Arial" w:cs="Arial"/>
          <w:sz w:val="20"/>
          <w:szCs w:val="20"/>
          <w:lang w:val="en-GB"/>
        </w:rPr>
        <w:t xml:space="preserve"> and Risk</w:t>
      </w:r>
      <w:r w:rsidRPr="00C74C2C">
        <w:rPr>
          <w:rFonts w:ascii="Arial" w:hAnsi="Arial" w:cs="Arial"/>
          <w:sz w:val="20"/>
          <w:szCs w:val="20"/>
          <w:lang w:val="en-GB"/>
        </w:rPr>
        <w:t xml:space="preserve"> Committee regularly receives reports on internal control and risk management matters from the internal and external auditors. Concerns raised by the internal or external auditors have been considered by the executive team and the Audit and Risk Committee and have been addressed appropriately. </w:t>
      </w:r>
    </w:p>
    <w:p w14:paraId="37F89D1E" w14:textId="77777777" w:rsidR="00FB5975" w:rsidRPr="00C74C2C" w:rsidRDefault="00FB5975" w:rsidP="002E594A">
      <w:pPr>
        <w:jc w:val="both"/>
        <w:rPr>
          <w:rFonts w:ascii="Arial" w:hAnsi="Arial" w:cs="Arial"/>
          <w:sz w:val="20"/>
          <w:szCs w:val="20"/>
          <w:lang w:val="en-GB"/>
        </w:rPr>
      </w:pPr>
    </w:p>
    <w:p w14:paraId="57B0646F" w14:textId="77777777" w:rsidR="00E5309E" w:rsidRPr="00C74C2C" w:rsidRDefault="00FB5975" w:rsidP="002E594A">
      <w:pPr>
        <w:jc w:val="both"/>
        <w:rPr>
          <w:rFonts w:ascii="Arial" w:hAnsi="Arial" w:cs="Arial"/>
          <w:sz w:val="20"/>
          <w:szCs w:val="20"/>
          <w:lang w:val="en-GB"/>
        </w:rPr>
      </w:pPr>
      <w:r w:rsidRPr="00C74C2C">
        <w:rPr>
          <w:rFonts w:ascii="Arial" w:hAnsi="Arial" w:cs="Arial"/>
          <w:sz w:val="20"/>
          <w:szCs w:val="20"/>
          <w:lang w:val="en-GB"/>
        </w:rPr>
        <w:t xml:space="preserve">The responsibility for compliance with the CQC essential standards is allocated to lead executive directors who are responsible for maintaining evidence of compliance. The Trust is addressing all areas of underperformance and non-compliance identified either through external </w:t>
      </w:r>
      <w:r w:rsidR="0064076B" w:rsidRPr="00C74C2C">
        <w:rPr>
          <w:rFonts w:ascii="Arial" w:hAnsi="Arial" w:cs="Arial"/>
          <w:sz w:val="20"/>
          <w:szCs w:val="20"/>
          <w:lang w:val="en-GB"/>
        </w:rPr>
        <w:t>inspections and</w:t>
      </w:r>
      <w:r w:rsidRPr="00C74C2C">
        <w:rPr>
          <w:rFonts w:ascii="Arial" w:hAnsi="Arial" w:cs="Arial"/>
          <w:sz w:val="20"/>
          <w:szCs w:val="20"/>
          <w:lang w:val="en-GB"/>
        </w:rPr>
        <w:t xml:space="preserve"> patient and staff surveys, raised by stakeholders, including patients, staff, governors and others or identified by internal peer review.</w:t>
      </w:r>
      <w:r w:rsidR="00E5309E" w:rsidRPr="00C74C2C">
        <w:rPr>
          <w:rFonts w:ascii="Arial" w:hAnsi="Arial" w:cs="Arial"/>
          <w:sz w:val="20"/>
          <w:szCs w:val="20"/>
          <w:lang w:val="en-GB"/>
        </w:rPr>
        <w:t xml:space="preserve">  </w:t>
      </w:r>
    </w:p>
    <w:p w14:paraId="2509DCAE" w14:textId="77777777" w:rsidR="00E5309E" w:rsidRPr="00C74C2C" w:rsidRDefault="00E5309E" w:rsidP="002E594A">
      <w:pPr>
        <w:jc w:val="both"/>
        <w:rPr>
          <w:rFonts w:ascii="Arial" w:hAnsi="Arial" w:cs="Arial"/>
          <w:sz w:val="20"/>
          <w:szCs w:val="20"/>
          <w:lang w:val="en-GB"/>
        </w:rPr>
      </w:pPr>
    </w:p>
    <w:p w14:paraId="0663B756" w14:textId="77777777" w:rsidR="00FB5975" w:rsidRPr="00C74C2C" w:rsidRDefault="0064076B" w:rsidP="002E594A">
      <w:pPr>
        <w:jc w:val="both"/>
        <w:rPr>
          <w:rFonts w:ascii="Arial" w:hAnsi="Arial" w:cs="Arial"/>
          <w:sz w:val="20"/>
          <w:szCs w:val="20"/>
          <w:lang w:val="en-GB"/>
        </w:rPr>
      </w:pPr>
      <w:r w:rsidRPr="00C74C2C">
        <w:rPr>
          <w:rFonts w:ascii="Arial" w:hAnsi="Arial" w:cs="Arial"/>
          <w:sz w:val="20"/>
          <w:szCs w:val="20"/>
          <w:lang w:val="en-GB"/>
        </w:rPr>
        <w:t xml:space="preserve">The Trust has redesigned its governance systems and processes to both support the implementation of Patient First but also to strengthen decision making, accountability and quality. </w:t>
      </w:r>
    </w:p>
    <w:bookmarkEnd w:id="40"/>
    <w:p w14:paraId="3A7D1398" w14:textId="77777777" w:rsidR="00FB5975" w:rsidRPr="00C74C2C" w:rsidRDefault="00FB5975" w:rsidP="002E594A">
      <w:pPr>
        <w:jc w:val="both"/>
        <w:rPr>
          <w:rFonts w:ascii="Arial" w:hAnsi="Arial" w:cs="Arial"/>
          <w:sz w:val="20"/>
          <w:szCs w:val="20"/>
          <w:lang w:val="en-GB"/>
        </w:rPr>
      </w:pPr>
    </w:p>
    <w:p w14:paraId="6B656E48" w14:textId="77777777" w:rsidR="00F13958" w:rsidRPr="00C74C2C" w:rsidRDefault="00F13958" w:rsidP="002E594A">
      <w:pPr>
        <w:jc w:val="both"/>
        <w:rPr>
          <w:rFonts w:ascii="Arial" w:hAnsi="Arial" w:cs="Arial"/>
          <w:b/>
          <w:sz w:val="20"/>
          <w:szCs w:val="20"/>
          <w:lang w:val="en-GB"/>
        </w:rPr>
      </w:pPr>
      <w:r w:rsidRPr="00C74C2C">
        <w:rPr>
          <w:rFonts w:ascii="Arial" w:hAnsi="Arial" w:cs="Arial"/>
          <w:b/>
          <w:sz w:val="20"/>
          <w:szCs w:val="20"/>
          <w:lang w:val="en-GB"/>
        </w:rPr>
        <w:t>Conclusion</w:t>
      </w:r>
    </w:p>
    <w:p w14:paraId="3D92296A" w14:textId="22CC99A3" w:rsidR="00005152" w:rsidRPr="00EA120B" w:rsidRDefault="00EA120B" w:rsidP="00EA120B">
      <w:pPr>
        <w:rPr>
          <w:rFonts w:ascii="Arial" w:hAnsi="Arial" w:cs="Arial"/>
          <w:sz w:val="20"/>
          <w:szCs w:val="20"/>
          <w:lang w:val="en-GB"/>
        </w:rPr>
      </w:pPr>
      <w:r>
        <w:rPr>
          <w:rFonts w:ascii="Arial" w:hAnsi="Arial" w:cs="Arial"/>
          <w:sz w:val="20"/>
          <w:szCs w:val="20"/>
          <w:lang w:val="en-GB"/>
        </w:rPr>
        <w:t>T</w:t>
      </w:r>
      <w:r w:rsidRPr="00EA120B">
        <w:rPr>
          <w:rFonts w:ascii="Arial" w:hAnsi="Arial" w:cs="Arial"/>
          <w:sz w:val="20"/>
          <w:szCs w:val="20"/>
          <w:lang w:val="en-GB"/>
        </w:rPr>
        <w:t>here has been one significant control issue regarding a CQC S29A Warning Notice</w:t>
      </w:r>
      <w:r>
        <w:rPr>
          <w:rFonts w:ascii="Arial" w:hAnsi="Arial" w:cs="Arial"/>
          <w:sz w:val="20"/>
          <w:szCs w:val="20"/>
          <w:lang w:val="en-GB"/>
        </w:rPr>
        <w:t>, the Trust received in relation to the Emergency Department on 05 March 2025</w:t>
      </w:r>
      <w:r w:rsidR="00A7627B">
        <w:rPr>
          <w:rFonts w:ascii="Arial" w:hAnsi="Arial" w:cs="Arial"/>
          <w:sz w:val="20"/>
          <w:szCs w:val="20"/>
          <w:lang w:val="en-GB"/>
        </w:rPr>
        <w:t>; a full recovery action plan is in place with Board oversight for this control issue.</w:t>
      </w:r>
    </w:p>
    <w:p w14:paraId="2B4B95E2" w14:textId="77777777" w:rsidR="00F352C9" w:rsidRPr="00C74C2C" w:rsidRDefault="00F352C9" w:rsidP="002E594A">
      <w:pPr>
        <w:jc w:val="both"/>
        <w:rPr>
          <w:rFonts w:ascii="Arial" w:hAnsi="Arial" w:cs="Arial"/>
          <w:sz w:val="20"/>
          <w:szCs w:val="20"/>
          <w:lang w:val="en-GB"/>
        </w:rPr>
      </w:pPr>
    </w:p>
    <w:p w14:paraId="0143712D" w14:textId="77777777" w:rsidR="00983279" w:rsidRPr="00983279" w:rsidRDefault="00983279" w:rsidP="00983279">
      <w:pPr>
        <w:rPr>
          <w:rFonts w:ascii="Arial" w:hAnsi="Arial" w:cs="Arial"/>
          <w:sz w:val="20"/>
          <w:szCs w:val="20"/>
          <w:lang w:val="en-GB"/>
        </w:rPr>
      </w:pPr>
      <w:bookmarkStart w:id="41" w:name="_Hlk175233038"/>
      <w:bookmarkStart w:id="42" w:name="_Hlk170297694"/>
      <w:r w:rsidRPr="00983279">
        <w:rPr>
          <w:rFonts w:ascii="Arial" w:hAnsi="Arial" w:cs="Arial"/>
          <w:sz w:val="20"/>
          <w:szCs w:val="20"/>
          <w:lang w:val="en-GB"/>
        </w:rPr>
        <w:t>Signed</w:t>
      </w:r>
    </w:p>
    <w:p w14:paraId="1359850C" w14:textId="77777777" w:rsidR="00983279" w:rsidRPr="00983279" w:rsidRDefault="00983279" w:rsidP="00983279">
      <w:pPr>
        <w:rPr>
          <w:rFonts w:ascii="Arial" w:hAnsi="Arial" w:cs="Arial"/>
          <w:sz w:val="20"/>
          <w:szCs w:val="20"/>
          <w:lang w:val="en-GB"/>
        </w:rPr>
      </w:pPr>
    </w:p>
    <w:p w14:paraId="6C51CB97" w14:textId="77777777" w:rsidR="00983279" w:rsidRPr="00983279" w:rsidRDefault="00983279" w:rsidP="00983279">
      <w:pPr>
        <w:rPr>
          <w:rFonts w:ascii="Arial" w:hAnsi="Arial" w:cs="Arial"/>
          <w:sz w:val="20"/>
          <w:szCs w:val="20"/>
          <w:lang w:val="en-GB"/>
        </w:rPr>
      </w:pPr>
      <w:r w:rsidRPr="00983279">
        <w:rPr>
          <w:rFonts w:ascii="Arial" w:hAnsi="Arial" w:cs="Arial"/>
          <w:noProof/>
          <w:sz w:val="20"/>
          <w:szCs w:val="20"/>
          <w:lang w:val="en-GB"/>
        </w:rPr>
        <w:drawing>
          <wp:inline distT="0" distB="0" distL="0" distR="0" wp14:anchorId="05A14C29" wp14:editId="52E07A85">
            <wp:extent cx="2324100" cy="1511300"/>
            <wp:effectExtent l="0" t="0" r="0" b="0"/>
            <wp:docPr id="16" name="Picture 16" descr="Signature of Interim Chief Executive, Jonathan W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ignature of Interim Chief Executive, Jonathan Wad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24100" cy="1511300"/>
                    </a:xfrm>
                    <a:prstGeom prst="rect">
                      <a:avLst/>
                    </a:prstGeom>
                    <a:noFill/>
                    <a:ln>
                      <a:noFill/>
                    </a:ln>
                  </pic:spPr>
                </pic:pic>
              </a:graphicData>
            </a:graphic>
          </wp:inline>
        </w:drawing>
      </w:r>
    </w:p>
    <w:p w14:paraId="18FC47F9" w14:textId="77777777" w:rsidR="00983279" w:rsidRPr="00983279" w:rsidRDefault="00983279" w:rsidP="00983279">
      <w:pPr>
        <w:rPr>
          <w:rFonts w:ascii="Arial" w:hAnsi="Arial" w:cs="Arial"/>
          <w:sz w:val="20"/>
          <w:szCs w:val="20"/>
          <w:lang w:val="en-GB"/>
        </w:rPr>
      </w:pPr>
      <w:r w:rsidRPr="00983279">
        <w:rPr>
          <w:rFonts w:ascii="Arial" w:hAnsi="Arial" w:cs="Arial"/>
          <w:sz w:val="20"/>
          <w:szCs w:val="20"/>
          <w:lang w:val="en-GB"/>
        </w:rPr>
        <w:t>………………………………..</w:t>
      </w:r>
    </w:p>
    <w:p w14:paraId="2161CABD" w14:textId="77777777" w:rsidR="00983279" w:rsidRPr="00983279" w:rsidRDefault="00983279" w:rsidP="00983279">
      <w:pPr>
        <w:rPr>
          <w:rFonts w:ascii="Arial" w:hAnsi="Arial" w:cs="Arial"/>
          <w:b/>
          <w:sz w:val="20"/>
          <w:szCs w:val="20"/>
          <w:lang w:val="en-GB"/>
        </w:rPr>
      </w:pPr>
      <w:r w:rsidRPr="00983279">
        <w:rPr>
          <w:rFonts w:ascii="Arial" w:hAnsi="Arial" w:cs="Arial"/>
          <w:b/>
          <w:sz w:val="20"/>
          <w:szCs w:val="20"/>
          <w:lang w:val="en-GB"/>
        </w:rPr>
        <w:t>Jon Wade</w:t>
      </w:r>
    </w:p>
    <w:p w14:paraId="3FAB7FBD" w14:textId="77777777" w:rsidR="00983279" w:rsidRPr="00983279" w:rsidRDefault="00983279" w:rsidP="00983279">
      <w:pPr>
        <w:rPr>
          <w:rFonts w:ascii="Arial" w:hAnsi="Arial" w:cs="Arial"/>
          <w:b/>
          <w:sz w:val="20"/>
          <w:szCs w:val="20"/>
          <w:lang w:val="en-GB"/>
        </w:rPr>
      </w:pPr>
      <w:r w:rsidRPr="00983279">
        <w:rPr>
          <w:rFonts w:ascii="Arial" w:hAnsi="Arial" w:cs="Arial"/>
          <w:b/>
          <w:sz w:val="20"/>
          <w:szCs w:val="20"/>
          <w:lang w:val="en-GB"/>
        </w:rPr>
        <w:t>Chief Executive Officer</w:t>
      </w:r>
    </w:p>
    <w:p w14:paraId="31504FA6" w14:textId="77777777" w:rsidR="00983279" w:rsidRPr="00885B57" w:rsidRDefault="00983279" w:rsidP="00983279">
      <w:pPr>
        <w:rPr>
          <w:rFonts w:ascii="Arial" w:hAnsi="Arial" w:cs="Arial"/>
          <w:b/>
          <w:sz w:val="20"/>
          <w:szCs w:val="20"/>
          <w:lang w:val="en-GB"/>
        </w:rPr>
      </w:pPr>
      <w:r w:rsidRPr="00983279">
        <w:rPr>
          <w:rFonts w:ascii="Arial" w:hAnsi="Arial" w:cs="Arial"/>
          <w:b/>
          <w:sz w:val="20"/>
          <w:szCs w:val="20"/>
          <w:lang w:val="en-GB"/>
        </w:rPr>
        <w:t>Date: Friday, 20 June 2025</w:t>
      </w:r>
    </w:p>
    <w:p w14:paraId="710C72E9" w14:textId="77777777" w:rsidR="00983279" w:rsidRPr="00885B57" w:rsidRDefault="00983279" w:rsidP="00983279">
      <w:pPr>
        <w:rPr>
          <w:rFonts w:ascii="Arial" w:hAnsi="Arial" w:cs="Arial"/>
          <w:sz w:val="20"/>
          <w:szCs w:val="20"/>
          <w:lang w:val="en-GB"/>
        </w:rPr>
      </w:pPr>
    </w:p>
    <w:p w14:paraId="10D07325" w14:textId="27DE1FB2" w:rsidR="00A7627B" w:rsidRDefault="00A7627B" w:rsidP="00F46465">
      <w:pPr>
        <w:rPr>
          <w:rFonts w:ascii="Arial" w:hAnsi="Arial" w:cs="Arial"/>
          <w:sz w:val="20"/>
          <w:szCs w:val="20"/>
          <w:lang w:val="en-GB"/>
        </w:rPr>
      </w:pPr>
    </w:p>
    <w:p w14:paraId="0F72AD8F" w14:textId="3D78FBC6" w:rsidR="00A7627B" w:rsidRDefault="00A7627B" w:rsidP="00F46465">
      <w:pPr>
        <w:rPr>
          <w:rFonts w:ascii="Arial" w:hAnsi="Arial" w:cs="Arial"/>
          <w:sz w:val="20"/>
          <w:szCs w:val="20"/>
          <w:lang w:val="en-GB"/>
        </w:rPr>
      </w:pPr>
    </w:p>
    <w:p w14:paraId="655FB6F1" w14:textId="23FA177D" w:rsidR="00A7627B" w:rsidRDefault="00A7627B" w:rsidP="00F46465">
      <w:pPr>
        <w:rPr>
          <w:rFonts w:ascii="Arial" w:hAnsi="Arial" w:cs="Arial"/>
          <w:sz w:val="20"/>
          <w:szCs w:val="20"/>
          <w:lang w:val="en-GB"/>
        </w:rPr>
      </w:pPr>
    </w:p>
    <w:p w14:paraId="4C63EB61" w14:textId="3049C154" w:rsidR="00A7627B" w:rsidRDefault="00A7627B" w:rsidP="00F46465">
      <w:pPr>
        <w:rPr>
          <w:rFonts w:ascii="Arial" w:hAnsi="Arial" w:cs="Arial"/>
          <w:sz w:val="20"/>
          <w:szCs w:val="20"/>
          <w:lang w:val="en-GB"/>
        </w:rPr>
      </w:pPr>
    </w:p>
    <w:p w14:paraId="188A8C3C" w14:textId="16328FAC" w:rsidR="00A7627B" w:rsidRDefault="00A7627B" w:rsidP="00F46465">
      <w:pPr>
        <w:rPr>
          <w:rFonts w:ascii="Arial" w:hAnsi="Arial" w:cs="Arial"/>
          <w:sz w:val="20"/>
          <w:szCs w:val="20"/>
          <w:lang w:val="en-GB"/>
        </w:rPr>
      </w:pPr>
    </w:p>
    <w:p w14:paraId="3670725F" w14:textId="77777777" w:rsidR="00326F74" w:rsidRPr="00326F74" w:rsidRDefault="00326F74" w:rsidP="00326F74">
      <w:pPr>
        <w:keepNext/>
        <w:widowControl/>
        <w:spacing w:before="240" w:after="120" w:line="320" w:lineRule="exact"/>
        <w:ind w:left="284" w:hanging="284"/>
        <w:outlineLvl w:val="1"/>
        <w:rPr>
          <w:rFonts w:ascii="Arial" w:eastAsia="Times New Roman" w:hAnsi="Arial" w:cs="Arial"/>
          <w:kern w:val="32"/>
          <w:sz w:val="26"/>
          <w:szCs w:val="19"/>
        </w:rPr>
      </w:pPr>
      <w:r w:rsidRPr="00326F74">
        <w:rPr>
          <w:rFonts w:ascii="Arial" w:eastAsia="Times New Roman" w:hAnsi="Arial" w:cs="Arial"/>
          <w:kern w:val="32"/>
          <w:sz w:val="26"/>
          <w:szCs w:val="19"/>
        </w:rPr>
        <w:lastRenderedPageBreak/>
        <w:t>Independent auditor's report to the Council of Governors of Medway NHS Foundation Trust</w:t>
      </w:r>
    </w:p>
    <w:p w14:paraId="12E0756A" w14:textId="77777777" w:rsidR="00326F74" w:rsidRPr="00326F74" w:rsidRDefault="00326F74" w:rsidP="00326F74">
      <w:pPr>
        <w:keepNext/>
        <w:widowControl/>
        <w:spacing w:before="240" w:after="120" w:line="240" w:lineRule="atLeast"/>
        <w:outlineLvl w:val="2"/>
        <w:rPr>
          <w:rFonts w:ascii="Arial" w:eastAsia="Times New Roman" w:hAnsi="Arial" w:cs="Arial"/>
          <w:b/>
          <w:bCs/>
          <w:kern w:val="32"/>
          <w:sz w:val="24"/>
          <w:szCs w:val="24"/>
        </w:rPr>
      </w:pPr>
      <w:r w:rsidRPr="00326F74">
        <w:rPr>
          <w:rFonts w:ascii="Arial" w:eastAsia="Times New Roman" w:hAnsi="Arial" w:cs="Arial"/>
          <w:b/>
          <w:bCs/>
          <w:kern w:val="32"/>
          <w:sz w:val="24"/>
          <w:szCs w:val="24"/>
        </w:rPr>
        <w:t>Report on the audit of the financial statements</w:t>
      </w:r>
    </w:p>
    <w:p w14:paraId="48052140" w14:textId="77777777" w:rsidR="00326F74" w:rsidRPr="00326F74" w:rsidRDefault="00326F74" w:rsidP="00326F74">
      <w:pPr>
        <w:keepNext/>
        <w:widowControl/>
        <w:spacing w:before="240" w:after="120" w:line="240" w:lineRule="atLeast"/>
        <w:outlineLvl w:val="2"/>
        <w:rPr>
          <w:rFonts w:ascii="Arial" w:eastAsia="Times New Roman" w:hAnsi="Arial" w:cs="Arial"/>
          <w:b/>
          <w:bCs/>
          <w:kern w:val="32"/>
          <w:sz w:val="18"/>
          <w:szCs w:val="18"/>
        </w:rPr>
      </w:pPr>
      <w:r w:rsidRPr="00326F74">
        <w:rPr>
          <w:rFonts w:ascii="Arial" w:eastAsia="Times New Roman" w:hAnsi="Arial" w:cs="Arial"/>
          <w:b/>
          <w:bCs/>
          <w:kern w:val="32"/>
          <w:sz w:val="18"/>
          <w:szCs w:val="18"/>
        </w:rPr>
        <w:t>Opinion on financial statements</w:t>
      </w:r>
    </w:p>
    <w:p w14:paraId="07D96181" w14:textId="77777777" w:rsidR="00326F74" w:rsidRPr="00326F74" w:rsidRDefault="00326F74" w:rsidP="00326F74">
      <w:pPr>
        <w:widowControl/>
        <w:spacing w:after="120" w:line="240" w:lineRule="atLeast"/>
        <w:rPr>
          <w:rFonts w:ascii="Arial" w:eastAsia="Times New Roman" w:hAnsi="Arial" w:cs="Arial"/>
          <w:sz w:val="18"/>
          <w:szCs w:val="18"/>
          <w:lang w:val="en-GB" w:eastAsia="en-GB"/>
        </w:rPr>
      </w:pPr>
      <w:r w:rsidRPr="00326F74">
        <w:rPr>
          <w:rFonts w:ascii="Arial" w:eastAsia="Times New Roman" w:hAnsi="Arial" w:cs="Times New Roman"/>
          <w:sz w:val="18"/>
          <w:szCs w:val="18"/>
        </w:rPr>
        <w:t xml:space="preserve">We have audited the financial statements of </w:t>
      </w:r>
      <w:r w:rsidRPr="00326F74">
        <w:rPr>
          <w:rFonts w:ascii="Arial" w:eastAsia="Times New Roman" w:hAnsi="Arial" w:cs="Arial"/>
          <w:sz w:val="18"/>
          <w:szCs w:val="18"/>
        </w:rPr>
        <w:t xml:space="preserve">Medway NHS Foundation Trust </w:t>
      </w:r>
      <w:r w:rsidRPr="00326F74">
        <w:rPr>
          <w:rFonts w:ascii="Arial" w:eastAsia="Times New Roman" w:hAnsi="Arial" w:cs="Times New Roman"/>
          <w:sz w:val="18"/>
          <w:szCs w:val="18"/>
        </w:rPr>
        <w:t xml:space="preserve">(the ‘Trust’) for the year ended 31 March 2025, which comprise </w:t>
      </w:r>
      <w:r w:rsidRPr="00326F74">
        <w:rPr>
          <w:rFonts w:ascii="Arial" w:eastAsia="Times New Roman" w:hAnsi="Arial" w:cs="Times New Roman"/>
          <w:sz w:val="18"/>
          <w:szCs w:val="18"/>
          <w:lang w:val="en-GB"/>
        </w:rPr>
        <w:t>the statement of comprehensive income, the statement of financial position, the statement of changes in equity, the statement of cash flows</w:t>
      </w:r>
      <w:r w:rsidRPr="00326F74">
        <w:rPr>
          <w:rFonts w:ascii="Arial" w:eastAsia="Times New Roman" w:hAnsi="Arial" w:cs="Times New Roman"/>
          <w:sz w:val="18"/>
          <w:szCs w:val="18"/>
        </w:rPr>
        <w:t xml:space="preserve"> and notes to the financial statements, including material accounting policy information. The financial reporting framework that has been applied in their preparation is applicable law and i</w:t>
      </w:r>
      <w:r w:rsidRPr="00326F74">
        <w:rPr>
          <w:rFonts w:ascii="Arial" w:eastAsia="Times New Roman" w:hAnsi="Arial" w:cs="Arial"/>
          <w:sz w:val="18"/>
          <w:szCs w:val="18"/>
          <w:lang w:eastAsia="en-GB"/>
        </w:rPr>
        <w:t xml:space="preserve">nternational accounting standards in conformity with the requirements of </w:t>
      </w:r>
      <w:r w:rsidRPr="00326F74">
        <w:rPr>
          <w:rFonts w:ascii="Arial" w:eastAsia="Times New Roman" w:hAnsi="Arial" w:cs="Arial"/>
          <w:sz w:val="18"/>
          <w:szCs w:val="18"/>
          <w:lang w:val="en-GB" w:eastAsia="en-GB"/>
        </w:rPr>
        <w:t>the Accounts Directions issued under Schedule 7 of the National Health Service Act 2006</w:t>
      </w:r>
      <w:r w:rsidRPr="00326F74">
        <w:rPr>
          <w:rFonts w:ascii="Arial" w:eastAsia="Times New Roman" w:hAnsi="Arial" w:cs="Arial"/>
          <w:sz w:val="18"/>
          <w:szCs w:val="18"/>
          <w:lang w:eastAsia="en-GB"/>
        </w:rPr>
        <w:t>, as interpreted and adapted by</w:t>
      </w:r>
      <w:r w:rsidRPr="00326F74">
        <w:rPr>
          <w:rFonts w:ascii="Arial" w:eastAsia="Times New Roman" w:hAnsi="Arial" w:cs="Arial"/>
          <w:sz w:val="20"/>
          <w:szCs w:val="20"/>
          <w:lang w:eastAsia="en-GB"/>
        </w:rPr>
        <w:t xml:space="preserve"> </w:t>
      </w:r>
      <w:r w:rsidRPr="00326F74">
        <w:rPr>
          <w:rFonts w:ascii="Arial" w:eastAsia="Times New Roman" w:hAnsi="Arial" w:cs="Times New Roman"/>
          <w:sz w:val="18"/>
          <w:szCs w:val="18"/>
        </w:rPr>
        <w:t>the Department of Health and Social Care Group Accounting Manual 2024-25.</w:t>
      </w:r>
    </w:p>
    <w:p w14:paraId="397E4FC1" w14:textId="77777777" w:rsidR="00326F74" w:rsidRPr="00326F74" w:rsidRDefault="00326F74" w:rsidP="00326F74">
      <w:pPr>
        <w:widowControl/>
        <w:spacing w:after="120" w:line="240" w:lineRule="atLeast"/>
        <w:rPr>
          <w:rFonts w:ascii="Arial" w:eastAsia="Times New Roman" w:hAnsi="Arial" w:cs="Times New Roman"/>
          <w:sz w:val="18"/>
          <w:szCs w:val="18"/>
        </w:rPr>
      </w:pPr>
      <w:r w:rsidRPr="00326F74">
        <w:rPr>
          <w:rFonts w:ascii="Arial" w:eastAsia="Times New Roman" w:hAnsi="Arial" w:cs="Times New Roman"/>
          <w:sz w:val="18"/>
          <w:szCs w:val="18"/>
        </w:rPr>
        <w:t>In our opinion, the financial statements:</w:t>
      </w:r>
    </w:p>
    <w:p w14:paraId="3DC67A4D" w14:textId="77777777" w:rsidR="00326F74" w:rsidRPr="00326F74" w:rsidRDefault="00326F74" w:rsidP="00326F74">
      <w:pPr>
        <w:widowControl/>
        <w:tabs>
          <w:tab w:val="num" w:pos="284"/>
        </w:tabs>
        <w:spacing w:after="120" w:line="240" w:lineRule="atLeast"/>
        <w:ind w:left="284" w:hanging="284"/>
        <w:rPr>
          <w:rFonts w:ascii="Arial" w:eastAsia="Times New Roman" w:hAnsi="Arial" w:cs="Times New Roman"/>
          <w:sz w:val="18"/>
          <w:szCs w:val="18"/>
          <w:lang w:val="en-GB"/>
        </w:rPr>
      </w:pPr>
      <w:r w:rsidRPr="00326F74">
        <w:rPr>
          <w:rFonts w:ascii="Arial" w:eastAsia="Times New Roman" w:hAnsi="Arial" w:cs="Times New Roman"/>
          <w:sz w:val="18"/>
          <w:szCs w:val="18"/>
        </w:rPr>
        <w:t>give a true and fair view of the financial position of the Trust as at 31 March 2025 and</w:t>
      </w:r>
      <w:r w:rsidRPr="00326F74">
        <w:rPr>
          <w:rFonts w:ascii="Arial" w:eastAsia="Times New Roman" w:hAnsi="Arial" w:cs="Arial"/>
          <w:sz w:val="18"/>
          <w:szCs w:val="18"/>
          <w:lang w:val="en-GB" w:eastAsia="en-GB"/>
        </w:rPr>
        <w:t xml:space="preserve"> </w:t>
      </w:r>
      <w:r w:rsidRPr="00326F74">
        <w:rPr>
          <w:rFonts w:ascii="Arial" w:eastAsia="Times New Roman" w:hAnsi="Arial" w:cs="Times New Roman"/>
          <w:sz w:val="18"/>
          <w:szCs w:val="18"/>
          <w:lang w:val="en-GB"/>
        </w:rPr>
        <w:t xml:space="preserve">its </w:t>
      </w:r>
      <w:r w:rsidRPr="00326F74">
        <w:rPr>
          <w:rFonts w:ascii="Arial" w:eastAsia="Times New Roman" w:hAnsi="Arial" w:cs="Times New Roman"/>
          <w:sz w:val="18"/>
          <w:szCs w:val="18"/>
        </w:rPr>
        <w:t>expenditure and income for the year then ended; and</w:t>
      </w:r>
    </w:p>
    <w:p w14:paraId="024EB7FD" w14:textId="77777777" w:rsidR="00326F74" w:rsidRPr="00326F74" w:rsidRDefault="00326F74" w:rsidP="00326F74">
      <w:pPr>
        <w:widowControl/>
        <w:tabs>
          <w:tab w:val="num" w:pos="284"/>
        </w:tabs>
        <w:spacing w:after="120" w:line="240" w:lineRule="atLeast"/>
        <w:ind w:left="284" w:hanging="284"/>
        <w:rPr>
          <w:rFonts w:ascii="Arial" w:eastAsia="Times New Roman" w:hAnsi="Arial" w:cs="Times New Roman"/>
          <w:sz w:val="18"/>
          <w:szCs w:val="18"/>
        </w:rPr>
      </w:pPr>
      <w:r w:rsidRPr="00326F74">
        <w:rPr>
          <w:rFonts w:ascii="Arial" w:eastAsia="Times New Roman" w:hAnsi="Arial" w:cs="Times New Roman"/>
          <w:sz w:val="18"/>
          <w:szCs w:val="18"/>
        </w:rPr>
        <w:t>have been properly prepared in accordance with international accounting standards as interpreted and adapted by the Department of Health and Social Care Group Accounting Manual 2024-25; and</w:t>
      </w:r>
    </w:p>
    <w:p w14:paraId="20F51A7C" w14:textId="77777777" w:rsidR="00326F74" w:rsidRPr="00326F74" w:rsidRDefault="00326F74" w:rsidP="00326F74">
      <w:pPr>
        <w:widowControl/>
        <w:tabs>
          <w:tab w:val="num" w:pos="284"/>
        </w:tabs>
        <w:spacing w:after="120" w:line="240" w:lineRule="atLeast"/>
        <w:ind w:left="284" w:hanging="284"/>
        <w:rPr>
          <w:rFonts w:ascii="Arial" w:eastAsia="Times New Roman" w:hAnsi="Arial" w:cs="Times New Roman"/>
          <w:sz w:val="18"/>
          <w:szCs w:val="18"/>
        </w:rPr>
      </w:pPr>
      <w:r w:rsidRPr="00326F74">
        <w:rPr>
          <w:rFonts w:ascii="Arial" w:eastAsia="Times New Roman" w:hAnsi="Arial" w:cs="Times New Roman"/>
          <w:sz w:val="18"/>
          <w:szCs w:val="18"/>
        </w:rPr>
        <w:t>have been prepared in accordance with the requirements of the National Health Service Act 2006.</w:t>
      </w:r>
    </w:p>
    <w:p w14:paraId="7605DC04" w14:textId="77777777" w:rsidR="00326F74" w:rsidRPr="00326F74" w:rsidRDefault="00326F74" w:rsidP="00326F74">
      <w:pPr>
        <w:keepNext/>
        <w:widowControl/>
        <w:spacing w:before="240" w:after="120" w:line="240" w:lineRule="atLeast"/>
        <w:outlineLvl w:val="2"/>
        <w:rPr>
          <w:rFonts w:ascii="Arial" w:eastAsia="Times New Roman" w:hAnsi="Arial" w:cs="Arial"/>
          <w:b/>
          <w:bCs/>
          <w:kern w:val="32"/>
          <w:sz w:val="18"/>
          <w:szCs w:val="18"/>
        </w:rPr>
      </w:pPr>
      <w:r w:rsidRPr="00326F74">
        <w:rPr>
          <w:rFonts w:ascii="Arial" w:eastAsia="Times New Roman" w:hAnsi="Arial" w:cs="Arial"/>
          <w:b/>
          <w:bCs/>
          <w:kern w:val="32"/>
          <w:sz w:val="18"/>
          <w:szCs w:val="18"/>
        </w:rPr>
        <w:t>Basis for opinion</w:t>
      </w:r>
    </w:p>
    <w:p w14:paraId="59D6758B" w14:textId="77777777" w:rsidR="00326F74" w:rsidRPr="00326F74" w:rsidRDefault="00326F74" w:rsidP="00326F74">
      <w:pPr>
        <w:widowControl/>
        <w:spacing w:after="120" w:line="240" w:lineRule="atLeast"/>
        <w:rPr>
          <w:rFonts w:ascii="Arial" w:eastAsia="Times New Roman" w:hAnsi="Arial" w:cs="Times New Roman"/>
          <w:sz w:val="18"/>
          <w:szCs w:val="18"/>
          <w:lang w:val="en-GB"/>
        </w:rPr>
      </w:pPr>
      <w:r w:rsidRPr="00326F74">
        <w:rPr>
          <w:rFonts w:ascii="Arial" w:eastAsia="Times New Roman" w:hAnsi="Arial" w:cs="Times New Roman"/>
          <w:sz w:val="18"/>
          <w:szCs w:val="18"/>
        </w:rPr>
        <w:t xml:space="preserve">We conducted our audit in accordance with International Standards on Auditing (UK) (ISAs (UK)) and applicable law, as required by the Code of Audit Practice (2024) (“the Code of Audit Practice”) approved by the Comptroller and Auditor General. Our responsibilities under those standards are further described in the ‘Auditor’s responsibilities for the audit of the financial statements’ section of our report. We are independent of the </w:t>
      </w:r>
      <w:r w:rsidRPr="00326F74">
        <w:rPr>
          <w:rFonts w:ascii="Arial" w:eastAsia="Times New Roman" w:hAnsi="Arial" w:cs="Times New Roman"/>
          <w:sz w:val="18"/>
          <w:szCs w:val="18"/>
          <w:lang w:val="en-GB"/>
        </w:rPr>
        <w:t>Trust</w:t>
      </w:r>
      <w:r w:rsidRPr="00326F74">
        <w:rPr>
          <w:rFonts w:ascii="Arial" w:eastAsia="Times New Roman" w:hAnsi="Arial" w:cs="Times New Roman"/>
          <w:sz w:val="18"/>
          <w:szCs w:val="18"/>
        </w:rPr>
        <w:t xml:space="preserve"> in accordance with the ethical requirements that are relevant to our audit of the financial statements in the UK, including the FRC’s Ethical Standard, and we have fulfilled our other ethical responsibilities in accordance with these requirements. We believe that the audit evidence we have obtained is sufficient and appropriate to provide a basis for our opinion.</w:t>
      </w:r>
    </w:p>
    <w:p w14:paraId="13684B83" w14:textId="77777777" w:rsidR="00326F74" w:rsidRPr="00326F74" w:rsidRDefault="00326F74" w:rsidP="00326F74">
      <w:pPr>
        <w:keepNext/>
        <w:widowControl/>
        <w:spacing w:before="240" w:after="120" w:line="240" w:lineRule="atLeast"/>
        <w:outlineLvl w:val="2"/>
        <w:rPr>
          <w:rFonts w:ascii="Arial" w:eastAsia="Times New Roman" w:hAnsi="Arial" w:cs="Arial"/>
          <w:b/>
          <w:bCs/>
          <w:kern w:val="32"/>
          <w:sz w:val="18"/>
          <w:szCs w:val="18"/>
        </w:rPr>
      </w:pPr>
      <w:r w:rsidRPr="00326F74">
        <w:rPr>
          <w:rFonts w:ascii="Arial" w:eastAsia="Times New Roman" w:hAnsi="Arial" w:cs="Arial"/>
          <w:b/>
          <w:bCs/>
          <w:kern w:val="32"/>
          <w:sz w:val="18"/>
          <w:szCs w:val="18"/>
        </w:rPr>
        <w:t>Conclusions relating to going concern</w:t>
      </w:r>
    </w:p>
    <w:p w14:paraId="2325974A" w14:textId="77777777" w:rsidR="00326F74" w:rsidRPr="00326F74" w:rsidRDefault="00326F74" w:rsidP="00326F74">
      <w:pPr>
        <w:widowControl/>
        <w:spacing w:after="120" w:line="240" w:lineRule="atLeast"/>
        <w:rPr>
          <w:rFonts w:ascii="Arial" w:eastAsia="Times New Roman" w:hAnsi="Arial" w:cs="Times New Roman"/>
          <w:sz w:val="18"/>
          <w:szCs w:val="18"/>
          <w:lang w:val="en-GB"/>
        </w:rPr>
      </w:pPr>
      <w:r w:rsidRPr="00326F74">
        <w:rPr>
          <w:rFonts w:ascii="Arial" w:eastAsia="Times New Roman" w:hAnsi="Arial" w:cs="Times New Roman"/>
          <w:sz w:val="18"/>
          <w:szCs w:val="18"/>
        </w:rPr>
        <w:t xml:space="preserve">We are responsible for concluding on the appropriateness of the </w:t>
      </w:r>
      <w:r w:rsidRPr="00326F74">
        <w:rPr>
          <w:rFonts w:ascii="Arial" w:eastAsia="Times New Roman" w:hAnsi="Arial" w:cs="Times New Roman"/>
          <w:sz w:val="18"/>
          <w:szCs w:val="18"/>
          <w:lang w:val="en-GB"/>
        </w:rPr>
        <w:t>Accounting Officer</w:t>
      </w:r>
      <w:r w:rsidRPr="00326F74">
        <w:rPr>
          <w:rFonts w:ascii="Arial" w:eastAsia="Times New Roman" w:hAnsi="Arial" w:cs="Times New Roman"/>
          <w:sz w:val="18"/>
          <w:szCs w:val="18"/>
        </w:rPr>
        <w:t xml:space="preserve">’s use of the going concern basis of accounting and, based on the audit evidence obtained, whether a material uncertainty exists related to events or conditions that may cast significant doubt on the Trust’s ability to continue as a going concern. If we conclude that a material uncertainty exists, we are required to draw attention in our report to the related disclosures in the financial statements or, if such disclosures are inadequate, to modify the auditor’s opinion. Our conclusions are based on the audit evidence obtained up to the date of our report. However, future events or conditions may cause the </w:t>
      </w:r>
      <w:bookmarkStart w:id="43" w:name="_Hlk189124583"/>
      <w:r w:rsidRPr="00326F74">
        <w:rPr>
          <w:rFonts w:ascii="Arial" w:eastAsia="Times New Roman" w:hAnsi="Arial" w:cs="Times New Roman"/>
          <w:sz w:val="18"/>
          <w:szCs w:val="18"/>
        </w:rPr>
        <w:t>Trust</w:t>
      </w:r>
      <w:bookmarkEnd w:id="43"/>
      <w:r w:rsidRPr="00326F74">
        <w:rPr>
          <w:rFonts w:ascii="Arial" w:eastAsia="Times New Roman" w:hAnsi="Arial" w:cs="Times New Roman"/>
          <w:sz w:val="18"/>
          <w:szCs w:val="18"/>
        </w:rPr>
        <w:t xml:space="preserve"> to cease to continue as a going concern.</w:t>
      </w:r>
    </w:p>
    <w:p w14:paraId="7429BC49" w14:textId="77777777" w:rsidR="00326F74" w:rsidRPr="00326F74" w:rsidRDefault="00326F74" w:rsidP="00326F74">
      <w:pPr>
        <w:widowControl/>
        <w:spacing w:after="120" w:line="240" w:lineRule="atLeast"/>
        <w:rPr>
          <w:rFonts w:ascii="Arial" w:eastAsia="Times New Roman" w:hAnsi="Arial" w:cs="Times New Roman"/>
          <w:sz w:val="18"/>
          <w:szCs w:val="18"/>
          <w:lang w:eastAsia="en-GB"/>
        </w:rPr>
      </w:pPr>
      <w:r w:rsidRPr="00326F74">
        <w:rPr>
          <w:rFonts w:ascii="Arial" w:eastAsia="Times New Roman" w:hAnsi="Arial" w:cs="Times New Roman"/>
          <w:sz w:val="18"/>
          <w:szCs w:val="18"/>
          <w:lang w:eastAsia="en-GB"/>
        </w:rPr>
        <w:t xml:space="preserve">In our evaluation of the </w:t>
      </w:r>
      <w:r w:rsidRPr="00326F74">
        <w:rPr>
          <w:rFonts w:ascii="Arial" w:eastAsia="Times New Roman" w:hAnsi="Arial" w:cs="Times New Roman"/>
          <w:sz w:val="18"/>
          <w:szCs w:val="18"/>
        </w:rPr>
        <w:t xml:space="preserve">Accounting Officer’s </w:t>
      </w:r>
      <w:r w:rsidRPr="00326F74">
        <w:rPr>
          <w:rFonts w:ascii="Arial" w:eastAsia="Times New Roman" w:hAnsi="Arial" w:cs="Times New Roman"/>
          <w:sz w:val="18"/>
          <w:szCs w:val="18"/>
          <w:lang w:eastAsia="en-GB"/>
        </w:rPr>
        <w:t xml:space="preserve">conclusions, and in accordance with the expectation set out within the </w:t>
      </w:r>
      <w:r w:rsidRPr="00326F74">
        <w:rPr>
          <w:rFonts w:ascii="Arial" w:eastAsia="Times New Roman" w:hAnsi="Arial" w:cs="Times New Roman"/>
          <w:sz w:val="18"/>
          <w:szCs w:val="18"/>
        </w:rPr>
        <w:t xml:space="preserve">Department of Health and Social Care Group Accounting Manual 2024-25 that the </w:t>
      </w:r>
      <w:bookmarkStart w:id="44" w:name="_Hlk189124770"/>
      <w:r w:rsidRPr="00326F74">
        <w:rPr>
          <w:rFonts w:ascii="Arial" w:eastAsia="Times New Roman" w:hAnsi="Arial" w:cs="Times New Roman"/>
          <w:sz w:val="18"/>
          <w:szCs w:val="18"/>
        </w:rPr>
        <w:t>Trust</w:t>
      </w:r>
      <w:bookmarkEnd w:id="44"/>
      <w:r w:rsidRPr="00326F74">
        <w:rPr>
          <w:rFonts w:ascii="Arial" w:eastAsia="Times New Roman" w:hAnsi="Arial" w:cs="Times New Roman"/>
          <w:sz w:val="18"/>
          <w:szCs w:val="18"/>
        </w:rPr>
        <w:t xml:space="preserve">’s financial statements shall be prepared on a going concern basis, </w:t>
      </w:r>
      <w:r w:rsidRPr="00326F74">
        <w:rPr>
          <w:rFonts w:ascii="Arial" w:eastAsia="Times New Roman" w:hAnsi="Arial" w:cs="Times New Roman"/>
          <w:sz w:val="18"/>
          <w:szCs w:val="18"/>
          <w:lang w:eastAsia="en-GB"/>
        </w:rPr>
        <w:t>we considered the inherent risks associated with the continuation of services provided by the Trust. In doing so we had regard to the guidance provided in Practice Note 10 Audit of financial statements and regularity of public sector bodies in the United Kingdom (Revised 2024) on the application of ISA (UK) 570 Going Concern to public sector entities. We assessed the reasonableness of the basis of preparation used by the Trust and the Trust’s disclosures over the going concern period.</w:t>
      </w:r>
    </w:p>
    <w:p w14:paraId="00292486" w14:textId="77777777" w:rsidR="00326F74" w:rsidRPr="00326F74" w:rsidRDefault="00326F74" w:rsidP="00326F74">
      <w:pPr>
        <w:widowControl/>
        <w:spacing w:after="120" w:line="240" w:lineRule="atLeast"/>
        <w:rPr>
          <w:rFonts w:ascii="Arial" w:eastAsia="Times New Roman" w:hAnsi="Arial" w:cs="Times New Roman"/>
          <w:sz w:val="18"/>
          <w:szCs w:val="18"/>
        </w:rPr>
      </w:pPr>
      <w:r w:rsidRPr="00326F74">
        <w:rPr>
          <w:rFonts w:ascii="Arial" w:eastAsia="Times New Roman" w:hAnsi="Arial" w:cs="Times New Roman"/>
          <w:sz w:val="18"/>
          <w:szCs w:val="18"/>
        </w:rPr>
        <w:t>In auditing the financial statements, we have concluded that the Accounting Officer’s use of the going concern basis of accounting in the preparation of the financial statements is appropriate.</w:t>
      </w:r>
    </w:p>
    <w:p w14:paraId="456AE0A7" w14:textId="77777777" w:rsidR="00326F74" w:rsidRPr="00326F74" w:rsidRDefault="00326F74" w:rsidP="00326F74">
      <w:pPr>
        <w:widowControl/>
        <w:spacing w:after="120" w:line="240" w:lineRule="atLeast"/>
        <w:rPr>
          <w:rFonts w:ascii="Arial" w:eastAsia="Times New Roman" w:hAnsi="Arial" w:cs="Times New Roman"/>
          <w:sz w:val="18"/>
          <w:szCs w:val="18"/>
          <w:lang w:val="en-GB"/>
        </w:rPr>
      </w:pPr>
      <w:r w:rsidRPr="00326F74">
        <w:rPr>
          <w:rFonts w:ascii="Arial" w:eastAsia="Times New Roman" w:hAnsi="Arial" w:cs="Times New Roman"/>
          <w:sz w:val="18"/>
          <w:szCs w:val="18"/>
        </w:rPr>
        <w:t>Based on the work we have performed, we have not identified any material uncertainties relating to events or conditions that, individually or collectively, may cast significant doubt on the Trust’s ability to continue as a going concern for a period of at least twelve months from when the financial statements are authorised for issue.</w:t>
      </w:r>
    </w:p>
    <w:p w14:paraId="30393472" w14:textId="77777777" w:rsidR="00326F74" w:rsidRPr="00326F74" w:rsidRDefault="00326F74" w:rsidP="00326F74">
      <w:pPr>
        <w:keepNext/>
        <w:widowControl/>
        <w:spacing w:after="120" w:line="240" w:lineRule="atLeast"/>
        <w:outlineLvl w:val="2"/>
        <w:rPr>
          <w:rFonts w:ascii="Arial" w:eastAsia="Times New Roman" w:hAnsi="Arial" w:cs="Arial"/>
          <w:kern w:val="32"/>
          <w:sz w:val="18"/>
          <w:szCs w:val="18"/>
        </w:rPr>
      </w:pPr>
      <w:r w:rsidRPr="00326F74">
        <w:rPr>
          <w:rFonts w:ascii="Arial" w:eastAsia="Times New Roman" w:hAnsi="Arial" w:cs="Arial"/>
          <w:kern w:val="32"/>
          <w:sz w:val="18"/>
          <w:szCs w:val="18"/>
        </w:rPr>
        <w:lastRenderedPageBreak/>
        <w:t>Our responsibilities and the responsibilities of the Accounting Officer with respect to going concern are described in the relevant sections of this report.</w:t>
      </w:r>
    </w:p>
    <w:p w14:paraId="1D9DD01C" w14:textId="77777777" w:rsidR="00326F74" w:rsidRPr="00326F74" w:rsidRDefault="00326F74" w:rsidP="00326F74">
      <w:pPr>
        <w:keepNext/>
        <w:widowControl/>
        <w:spacing w:before="240" w:after="120" w:line="240" w:lineRule="atLeast"/>
        <w:outlineLvl w:val="2"/>
        <w:rPr>
          <w:rFonts w:ascii="Arial" w:eastAsia="Times New Roman" w:hAnsi="Arial" w:cs="Arial"/>
          <w:b/>
          <w:bCs/>
          <w:kern w:val="32"/>
          <w:sz w:val="18"/>
          <w:szCs w:val="18"/>
        </w:rPr>
      </w:pPr>
      <w:r w:rsidRPr="00326F74">
        <w:rPr>
          <w:rFonts w:ascii="Arial" w:eastAsia="Times New Roman" w:hAnsi="Arial" w:cs="Arial"/>
          <w:b/>
          <w:bCs/>
          <w:kern w:val="32"/>
          <w:sz w:val="18"/>
          <w:szCs w:val="18"/>
        </w:rPr>
        <w:t>Other information</w:t>
      </w:r>
    </w:p>
    <w:p w14:paraId="4A457BB7" w14:textId="77777777" w:rsidR="00326F74" w:rsidRPr="00326F74" w:rsidRDefault="00326F74" w:rsidP="00326F74">
      <w:pPr>
        <w:widowControl/>
        <w:spacing w:after="120" w:line="240" w:lineRule="atLeast"/>
        <w:rPr>
          <w:rFonts w:ascii="Arial" w:eastAsia="Times New Roman" w:hAnsi="Arial" w:cs="Times New Roman"/>
          <w:sz w:val="18"/>
          <w:szCs w:val="18"/>
          <w:lang w:val="en-GB"/>
        </w:rPr>
      </w:pPr>
      <w:r w:rsidRPr="00326F74">
        <w:rPr>
          <w:rFonts w:ascii="Arial" w:eastAsia="Times New Roman" w:hAnsi="Arial" w:cs="Times New Roman"/>
          <w:sz w:val="18"/>
          <w:szCs w:val="18"/>
        </w:rPr>
        <w:t xml:space="preserve">The other information comprises the information included in the Annual Report and Accounts, other than the financial statements and our auditor’s report thereon. The </w:t>
      </w:r>
      <w:r w:rsidRPr="00326F74">
        <w:rPr>
          <w:rFonts w:ascii="Arial" w:eastAsia="Times New Roman" w:hAnsi="Arial" w:cs="Times New Roman"/>
          <w:sz w:val="18"/>
          <w:szCs w:val="18"/>
          <w:lang w:val="en-GB"/>
        </w:rPr>
        <w:t>Accounting Officer</w:t>
      </w:r>
      <w:r w:rsidRPr="00326F74">
        <w:rPr>
          <w:rFonts w:ascii="Arial" w:eastAsia="Times New Roman" w:hAnsi="Arial" w:cs="Times New Roman"/>
          <w:sz w:val="18"/>
          <w:szCs w:val="18"/>
        </w:rPr>
        <w:t xml:space="preserve"> </w:t>
      </w:r>
      <w:r w:rsidRPr="00326F74">
        <w:rPr>
          <w:rFonts w:ascii="Arial" w:eastAsia="Times New Roman" w:hAnsi="Arial" w:cs="Times New Roman"/>
          <w:sz w:val="18"/>
          <w:szCs w:val="18"/>
          <w:lang w:val="en-GB"/>
        </w:rPr>
        <w:t>is</w:t>
      </w:r>
      <w:r w:rsidRPr="00326F74">
        <w:rPr>
          <w:rFonts w:ascii="Arial" w:eastAsia="Times New Roman" w:hAnsi="Arial" w:cs="Times New Roman"/>
          <w:sz w:val="18"/>
          <w:szCs w:val="18"/>
        </w:rPr>
        <w:t xml:space="preserve"> responsible for the other information contained within the Annual Report and Accounts. Our opinion on the financial statements does not cover the other information and, except to the extent otherwise explicitly stated in our report, we do not express any form of assurance conclusion thereon.</w:t>
      </w:r>
    </w:p>
    <w:p w14:paraId="66A80880" w14:textId="77777777" w:rsidR="00326F74" w:rsidRPr="00326F74" w:rsidRDefault="00326F74" w:rsidP="00326F74">
      <w:pPr>
        <w:widowControl/>
        <w:spacing w:after="120" w:line="240" w:lineRule="atLeast"/>
        <w:rPr>
          <w:rFonts w:ascii="Arial" w:eastAsia="Times New Roman" w:hAnsi="Arial" w:cs="Times New Roman"/>
          <w:sz w:val="18"/>
          <w:szCs w:val="18"/>
        </w:rPr>
      </w:pPr>
      <w:r w:rsidRPr="00326F74">
        <w:rPr>
          <w:rFonts w:ascii="Arial" w:eastAsia="Times New Roman" w:hAnsi="Arial" w:cs="Times New Roman"/>
          <w:sz w:val="18"/>
          <w:szCs w:val="18"/>
        </w:rPr>
        <w:t>Our responsibility is to read the other information and, in doing so, consider whether the other information is materially inconsistent with the financial statements or our knowledge obtained in the audit or otherwise appears to be materially misstated. If we identify such material inconsistencies or apparent material misstatements, we are required to determine whether there is a material misstatement in the financial statements themselves. If, based on the work we have performed, we conclude that there is a material misstatement of this other information, we are required to report that fact.</w:t>
      </w:r>
    </w:p>
    <w:p w14:paraId="575AFB5A" w14:textId="77777777" w:rsidR="00326F74" w:rsidRPr="00326F74" w:rsidRDefault="00326F74" w:rsidP="00326F74">
      <w:pPr>
        <w:widowControl/>
        <w:spacing w:after="120" w:line="240" w:lineRule="atLeast"/>
        <w:rPr>
          <w:rFonts w:ascii="Arial" w:eastAsia="Times New Roman" w:hAnsi="Arial" w:cs="Times New Roman"/>
          <w:sz w:val="18"/>
          <w:szCs w:val="18"/>
        </w:rPr>
      </w:pPr>
      <w:r w:rsidRPr="00326F74">
        <w:rPr>
          <w:rFonts w:ascii="Arial" w:eastAsia="Times New Roman" w:hAnsi="Arial" w:cs="Times New Roman"/>
          <w:sz w:val="18"/>
          <w:szCs w:val="18"/>
        </w:rPr>
        <w:t>We have nothing to report in this regard.</w:t>
      </w:r>
    </w:p>
    <w:p w14:paraId="58699844" w14:textId="77777777" w:rsidR="00326F74" w:rsidRPr="00326F74" w:rsidRDefault="00326F74" w:rsidP="00326F74">
      <w:pPr>
        <w:keepNext/>
        <w:widowControl/>
        <w:spacing w:before="240" w:after="120" w:line="240" w:lineRule="atLeast"/>
        <w:outlineLvl w:val="2"/>
        <w:rPr>
          <w:rFonts w:ascii="Arial" w:eastAsia="Times New Roman" w:hAnsi="Arial" w:cs="Arial"/>
          <w:b/>
          <w:bCs/>
          <w:kern w:val="32"/>
          <w:sz w:val="18"/>
          <w:szCs w:val="18"/>
        </w:rPr>
      </w:pPr>
      <w:r w:rsidRPr="00326F74">
        <w:rPr>
          <w:rFonts w:ascii="Arial" w:eastAsia="Times New Roman" w:hAnsi="Arial" w:cs="Arial"/>
          <w:b/>
          <w:bCs/>
          <w:kern w:val="32"/>
          <w:sz w:val="18"/>
          <w:szCs w:val="18"/>
        </w:rPr>
        <w:t>Other information we are required to report on by exception under the Code of Audit Practice</w:t>
      </w:r>
    </w:p>
    <w:p w14:paraId="66034A1C" w14:textId="77777777" w:rsidR="00326F74" w:rsidRPr="00326F74" w:rsidRDefault="00326F74" w:rsidP="00326F74">
      <w:pPr>
        <w:widowControl/>
        <w:spacing w:after="120" w:line="240" w:lineRule="atLeast"/>
        <w:rPr>
          <w:rFonts w:ascii="Arial" w:eastAsia="Times New Roman" w:hAnsi="Arial" w:cs="Times New Roman"/>
          <w:sz w:val="18"/>
          <w:szCs w:val="18"/>
          <w:lang w:val="en-GB"/>
        </w:rPr>
      </w:pPr>
      <w:r w:rsidRPr="00326F74">
        <w:rPr>
          <w:rFonts w:ascii="Arial" w:eastAsia="Times New Roman" w:hAnsi="Arial" w:cs="Times New Roman"/>
          <w:sz w:val="18"/>
          <w:szCs w:val="18"/>
        </w:rPr>
        <w:t xml:space="preserve">Under the Code of Audit Practice published by the National Audit Office in November 2024 on behalf of the Comptroller and Auditor General (the Code of Audit Practice) we are required to consider whether the Annual Governance Statement does not comply with the </w:t>
      </w:r>
      <w:r w:rsidRPr="00326F74">
        <w:rPr>
          <w:rFonts w:ascii="Arial" w:eastAsia="Times New Roman" w:hAnsi="Arial" w:cs="Times New Roman"/>
          <w:sz w:val="18"/>
          <w:szCs w:val="18"/>
          <w:lang w:val="en-GB"/>
        </w:rPr>
        <w:t xml:space="preserve">disclosure </w:t>
      </w:r>
      <w:r w:rsidRPr="00326F74">
        <w:rPr>
          <w:rFonts w:ascii="Arial" w:eastAsia="Times New Roman" w:hAnsi="Arial" w:cs="Times New Roman"/>
          <w:sz w:val="18"/>
          <w:szCs w:val="18"/>
        </w:rPr>
        <w:t xml:space="preserve">requirements </w:t>
      </w:r>
      <w:r w:rsidRPr="00326F74">
        <w:rPr>
          <w:rFonts w:ascii="Arial" w:eastAsia="Times New Roman" w:hAnsi="Arial" w:cs="Times New Roman"/>
          <w:sz w:val="18"/>
          <w:szCs w:val="18"/>
          <w:lang w:val="en-GB"/>
        </w:rPr>
        <w:t>set out in the NHS Foundation Trust Annual Reporting Manual</w:t>
      </w:r>
      <w:r w:rsidRPr="00326F74">
        <w:rPr>
          <w:rFonts w:ascii="Arial" w:eastAsia="Times New Roman" w:hAnsi="Arial" w:cs="Times New Roman"/>
          <w:sz w:val="18"/>
          <w:szCs w:val="18"/>
        </w:rPr>
        <w:t xml:space="preserve"> 2024/25 or is misleading or inconsistent with the information of which we are aware from our audit. We are not required to consider whether the Annual Governance Statement addresses all risks and controls or that risks are satisfactorily addressed by internal controls.</w:t>
      </w:r>
    </w:p>
    <w:p w14:paraId="273EF31C" w14:textId="77777777" w:rsidR="00326F74" w:rsidRPr="00326F74" w:rsidRDefault="00326F74" w:rsidP="00326F74">
      <w:pPr>
        <w:widowControl/>
        <w:spacing w:after="120" w:line="240" w:lineRule="atLeast"/>
        <w:rPr>
          <w:rFonts w:ascii="Arial" w:eastAsia="Times New Roman" w:hAnsi="Arial" w:cs="Times New Roman"/>
          <w:sz w:val="18"/>
          <w:szCs w:val="18"/>
        </w:rPr>
      </w:pPr>
      <w:r w:rsidRPr="00326F74">
        <w:rPr>
          <w:rFonts w:ascii="Arial" w:eastAsia="Times New Roman" w:hAnsi="Arial" w:cs="Times New Roman"/>
          <w:sz w:val="18"/>
          <w:szCs w:val="18"/>
        </w:rPr>
        <w:t>We have nothing to report in this regard.</w:t>
      </w:r>
    </w:p>
    <w:p w14:paraId="350131F8" w14:textId="77777777" w:rsidR="00326F74" w:rsidRPr="00326F74" w:rsidRDefault="00326F74" w:rsidP="00326F74">
      <w:pPr>
        <w:keepNext/>
        <w:widowControl/>
        <w:spacing w:before="240" w:after="120" w:line="240" w:lineRule="atLeast"/>
        <w:outlineLvl w:val="2"/>
        <w:rPr>
          <w:rFonts w:ascii="Arial" w:eastAsia="Times New Roman" w:hAnsi="Arial" w:cs="Arial"/>
          <w:b/>
          <w:bCs/>
          <w:kern w:val="32"/>
          <w:sz w:val="18"/>
          <w:szCs w:val="18"/>
          <w:lang w:eastAsia="en-GB"/>
        </w:rPr>
      </w:pPr>
      <w:r w:rsidRPr="00326F74">
        <w:rPr>
          <w:rFonts w:ascii="Arial" w:eastAsia="Times New Roman" w:hAnsi="Arial" w:cs="Arial"/>
          <w:b/>
          <w:bCs/>
          <w:kern w:val="32"/>
          <w:sz w:val="18"/>
          <w:szCs w:val="18"/>
          <w:lang w:eastAsia="en-GB"/>
        </w:rPr>
        <w:t>Opinion on other matters required by the Code of Audit Practice</w:t>
      </w:r>
    </w:p>
    <w:p w14:paraId="09E6C4CC" w14:textId="77777777" w:rsidR="00326F74" w:rsidRPr="00326F74" w:rsidRDefault="00326F74" w:rsidP="00326F74">
      <w:pPr>
        <w:widowControl/>
        <w:spacing w:after="120" w:line="240" w:lineRule="atLeast"/>
        <w:rPr>
          <w:rFonts w:ascii="Arial" w:eastAsia="Times New Roman" w:hAnsi="Arial" w:cs="Arial"/>
          <w:sz w:val="18"/>
          <w:lang w:eastAsia="en-GB"/>
        </w:rPr>
      </w:pPr>
      <w:r w:rsidRPr="00326F74">
        <w:rPr>
          <w:rFonts w:ascii="Arial" w:eastAsia="Times New Roman" w:hAnsi="Arial" w:cs="Arial"/>
          <w:sz w:val="18"/>
          <w:lang w:eastAsia="en-GB"/>
        </w:rPr>
        <w:t>In our opinion:</w:t>
      </w:r>
    </w:p>
    <w:p w14:paraId="75188772" w14:textId="77777777" w:rsidR="00326F74" w:rsidRPr="00326F74" w:rsidRDefault="00326F74" w:rsidP="00326F74">
      <w:pPr>
        <w:widowControl/>
        <w:tabs>
          <w:tab w:val="num" w:pos="284"/>
        </w:tabs>
        <w:spacing w:after="120" w:line="240" w:lineRule="atLeast"/>
        <w:ind w:left="284" w:hanging="284"/>
        <w:rPr>
          <w:rFonts w:ascii="Arial" w:eastAsia="Times New Roman" w:hAnsi="Arial" w:cs="Times New Roman"/>
          <w:sz w:val="18"/>
          <w:szCs w:val="18"/>
          <w:lang w:eastAsia="en-GB"/>
        </w:rPr>
      </w:pPr>
      <w:r w:rsidRPr="00326F74">
        <w:rPr>
          <w:rFonts w:ascii="Arial" w:eastAsia="Times New Roman" w:hAnsi="Arial" w:cs="Times New Roman"/>
          <w:sz w:val="18"/>
          <w:szCs w:val="18"/>
          <w:lang w:eastAsia="en-GB"/>
        </w:rPr>
        <w:t xml:space="preserve">the parts of the Remuneration </w:t>
      </w:r>
      <w:r w:rsidRPr="00326F74">
        <w:rPr>
          <w:rFonts w:ascii="Arial" w:eastAsia="Times New Roman" w:hAnsi="Arial" w:cs="Times New Roman"/>
          <w:sz w:val="18"/>
          <w:szCs w:val="18"/>
          <w:lang w:val="en-GB" w:eastAsia="en-GB"/>
        </w:rPr>
        <w:t xml:space="preserve">Report </w:t>
      </w:r>
      <w:r w:rsidRPr="00326F74">
        <w:rPr>
          <w:rFonts w:ascii="Arial" w:eastAsia="Times New Roman" w:hAnsi="Arial" w:cs="Times New Roman"/>
          <w:sz w:val="18"/>
          <w:szCs w:val="18"/>
          <w:lang w:eastAsia="en-GB"/>
        </w:rPr>
        <w:t xml:space="preserve">and </w:t>
      </w:r>
      <w:r w:rsidRPr="00326F74">
        <w:rPr>
          <w:rFonts w:ascii="Arial" w:eastAsia="Times New Roman" w:hAnsi="Arial" w:cs="Times New Roman"/>
          <w:sz w:val="18"/>
          <w:szCs w:val="18"/>
          <w:lang w:val="en-GB" w:eastAsia="en-GB"/>
        </w:rPr>
        <w:t xml:space="preserve">the </w:t>
      </w:r>
      <w:r w:rsidRPr="00326F74">
        <w:rPr>
          <w:rFonts w:ascii="Arial" w:eastAsia="Times New Roman" w:hAnsi="Arial" w:cs="Times New Roman"/>
          <w:sz w:val="18"/>
          <w:szCs w:val="18"/>
          <w:lang w:eastAsia="en-GB"/>
        </w:rPr>
        <w:t xml:space="preserve">Staff Report to be audited have been properly prepared in accordance </w:t>
      </w:r>
      <w:r w:rsidRPr="00326F74">
        <w:rPr>
          <w:rFonts w:ascii="Arial" w:eastAsia="Times New Roman" w:hAnsi="Arial" w:cs="Arial"/>
          <w:sz w:val="18"/>
          <w:lang w:eastAsia="en-GB"/>
        </w:rPr>
        <w:t xml:space="preserve">with the requirements of </w:t>
      </w:r>
      <w:r w:rsidRPr="00326F74">
        <w:rPr>
          <w:rFonts w:ascii="Arial" w:eastAsia="Times New Roman" w:hAnsi="Arial" w:cs="Times New Roman"/>
          <w:sz w:val="18"/>
          <w:szCs w:val="18"/>
        </w:rPr>
        <w:t xml:space="preserve">the </w:t>
      </w:r>
      <w:r w:rsidRPr="00326F74">
        <w:rPr>
          <w:rFonts w:ascii="Arial" w:eastAsia="Times New Roman" w:hAnsi="Arial" w:cs="Times New Roman"/>
          <w:sz w:val="18"/>
          <w:szCs w:val="18"/>
          <w:lang w:val="en-GB"/>
        </w:rPr>
        <w:t>NHS Foundation Trust Annual Reporting Manual</w:t>
      </w:r>
      <w:r w:rsidRPr="00326F74">
        <w:rPr>
          <w:rFonts w:ascii="Arial" w:eastAsia="Times New Roman" w:hAnsi="Arial" w:cs="Times New Roman"/>
          <w:sz w:val="18"/>
          <w:szCs w:val="18"/>
        </w:rPr>
        <w:t xml:space="preserve"> 2024/25;</w:t>
      </w:r>
      <w:r w:rsidRPr="00326F74">
        <w:rPr>
          <w:rFonts w:ascii="Arial" w:eastAsia="Times New Roman" w:hAnsi="Arial" w:cs="Times New Roman"/>
          <w:sz w:val="18"/>
          <w:szCs w:val="18"/>
          <w:lang w:eastAsia="en-GB"/>
        </w:rPr>
        <w:t xml:space="preserve"> and</w:t>
      </w:r>
    </w:p>
    <w:p w14:paraId="4911093D" w14:textId="77777777" w:rsidR="00326F74" w:rsidRPr="00326F74" w:rsidRDefault="00326F74" w:rsidP="00326F74">
      <w:pPr>
        <w:widowControl/>
        <w:tabs>
          <w:tab w:val="num" w:pos="284"/>
        </w:tabs>
        <w:spacing w:after="120" w:line="240" w:lineRule="atLeast"/>
        <w:ind w:left="284" w:hanging="284"/>
        <w:rPr>
          <w:rFonts w:ascii="Arial" w:eastAsia="Times New Roman" w:hAnsi="Arial" w:cs="Times New Roman"/>
          <w:sz w:val="18"/>
          <w:szCs w:val="18"/>
          <w:lang w:eastAsia="en-GB"/>
        </w:rPr>
      </w:pPr>
      <w:r w:rsidRPr="00326F74">
        <w:rPr>
          <w:rFonts w:ascii="Arial" w:eastAsia="Times New Roman" w:hAnsi="Arial" w:cs="Times New Roman"/>
          <w:sz w:val="18"/>
          <w:szCs w:val="18"/>
          <w:lang w:eastAsia="en-GB"/>
        </w:rPr>
        <w:t xml:space="preserve">based on the work undertaken in the course of the audit of the financial statements, the other information published together with the financial statements in the Annual Report and Accounts for the </w:t>
      </w:r>
      <w:r w:rsidRPr="00326F74">
        <w:rPr>
          <w:rFonts w:ascii="Arial" w:eastAsia="Times New Roman" w:hAnsi="Arial" w:cs="Times New Roman"/>
          <w:sz w:val="18"/>
          <w:szCs w:val="18"/>
          <w:lang w:val="en-GB" w:eastAsia="en-GB"/>
        </w:rPr>
        <w:t xml:space="preserve">financial year </w:t>
      </w:r>
      <w:r w:rsidRPr="00326F74">
        <w:rPr>
          <w:rFonts w:ascii="Arial" w:eastAsia="Times New Roman" w:hAnsi="Arial" w:cs="Times New Roman"/>
          <w:sz w:val="18"/>
          <w:szCs w:val="18"/>
          <w:lang w:eastAsia="en-GB"/>
        </w:rPr>
        <w:t>for which the financial statements are prepared is consistent with the financial statements.</w:t>
      </w:r>
    </w:p>
    <w:p w14:paraId="2D9C477F" w14:textId="77777777" w:rsidR="00326F74" w:rsidRPr="00326F74" w:rsidRDefault="00326F74" w:rsidP="00326F74">
      <w:pPr>
        <w:keepNext/>
        <w:widowControl/>
        <w:spacing w:before="240" w:after="120" w:line="240" w:lineRule="atLeast"/>
        <w:outlineLvl w:val="2"/>
        <w:rPr>
          <w:rFonts w:ascii="Arial" w:eastAsia="Times New Roman" w:hAnsi="Arial" w:cs="Arial"/>
          <w:b/>
          <w:bCs/>
          <w:kern w:val="32"/>
          <w:sz w:val="18"/>
          <w:szCs w:val="18"/>
        </w:rPr>
      </w:pPr>
      <w:r w:rsidRPr="00326F74">
        <w:rPr>
          <w:rFonts w:ascii="Arial" w:eastAsia="Times New Roman" w:hAnsi="Arial" w:cs="Arial"/>
          <w:b/>
          <w:bCs/>
          <w:kern w:val="32"/>
          <w:sz w:val="18"/>
          <w:szCs w:val="18"/>
        </w:rPr>
        <w:t>Matters on which we are required to report by exception</w:t>
      </w:r>
    </w:p>
    <w:p w14:paraId="5F6FA0E9" w14:textId="77777777" w:rsidR="00326F74" w:rsidRPr="00326F74" w:rsidRDefault="00326F74" w:rsidP="00326F74">
      <w:pPr>
        <w:widowControl/>
        <w:spacing w:after="120" w:line="240" w:lineRule="atLeast"/>
        <w:rPr>
          <w:rFonts w:ascii="Arial" w:eastAsia="Times New Roman" w:hAnsi="Arial" w:cs="Times New Roman"/>
          <w:sz w:val="18"/>
          <w:szCs w:val="18"/>
        </w:rPr>
      </w:pPr>
      <w:r w:rsidRPr="00326F74">
        <w:rPr>
          <w:rFonts w:ascii="Arial" w:eastAsia="Times New Roman" w:hAnsi="Arial" w:cs="Times New Roman"/>
          <w:sz w:val="18"/>
          <w:szCs w:val="18"/>
        </w:rPr>
        <w:t>Under the Code of Audit Practice, we are required to report to you if:</w:t>
      </w:r>
    </w:p>
    <w:p w14:paraId="587CF950" w14:textId="77777777" w:rsidR="00326F74" w:rsidRPr="00326F74" w:rsidRDefault="00326F74" w:rsidP="00326F74">
      <w:pPr>
        <w:widowControl/>
        <w:tabs>
          <w:tab w:val="num" w:pos="284"/>
        </w:tabs>
        <w:spacing w:after="120" w:line="240" w:lineRule="atLeast"/>
        <w:ind w:left="284" w:hanging="284"/>
        <w:rPr>
          <w:rFonts w:ascii="Arial" w:eastAsia="Times New Roman" w:hAnsi="Arial" w:cs="Times New Roman"/>
          <w:sz w:val="18"/>
          <w:szCs w:val="18"/>
          <w:lang w:val="en-GB"/>
        </w:rPr>
      </w:pPr>
      <w:r w:rsidRPr="00326F74">
        <w:rPr>
          <w:rFonts w:ascii="Arial" w:eastAsia="Times New Roman" w:hAnsi="Arial" w:cs="Times New Roman"/>
          <w:sz w:val="18"/>
          <w:szCs w:val="18"/>
        </w:rPr>
        <w:t xml:space="preserve">we issue a report in the public interest under </w:t>
      </w:r>
      <w:r w:rsidRPr="00326F74">
        <w:rPr>
          <w:rFonts w:ascii="Arial" w:eastAsia="Times New Roman" w:hAnsi="Arial" w:cs="Times New Roman"/>
          <w:sz w:val="18"/>
          <w:szCs w:val="18"/>
          <w:lang w:val="en-GB"/>
        </w:rPr>
        <w:t>Schedule 10 (3) of the National Health Service Act 2006</w:t>
      </w:r>
      <w:r w:rsidRPr="00326F74">
        <w:rPr>
          <w:rFonts w:ascii="Arial" w:eastAsia="Times New Roman" w:hAnsi="Arial" w:cs="Times New Roman"/>
          <w:sz w:val="18"/>
          <w:szCs w:val="18"/>
        </w:rPr>
        <w:t xml:space="preserve"> in the course of, or at the conclusion of the audit; or</w:t>
      </w:r>
    </w:p>
    <w:p w14:paraId="4D7556C4" w14:textId="77777777" w:rsidR="00326F74" w:rsidRPr="00326F74" w:rsidRDefault="00326F74" w:rsidP="00326F74">
      <w:pPr>
        <w:widowControl/>
        <w:tabs>
          <w:tab w:val="num" w:pos="284"/>
        </w:tabs>
        <w:spacing w:after="120" w:line="240" w:lineRule="atLeast"/>
        <w:ind w:left="284" w:hanging="284"/>
        <w:rPr>
          <w:rFonts w:ascii="Arial" w:eastAsia="Times New Roman" w:hAnsi="Arial" w:cs="Times New Roman"/>
          <w:sz w:val="18"/>
          <w:szCs w:val="18"/>
          <w:lang w:val="en-GB"/>
        </w:rPr>
      </w:pPr>
      <w:r w:rsidRPr="00326F74">
        <w:rPr>
          <w:rFonts w:ascii="Arial" w:eastAsia="Times New Roman" w:hAnsi="Arial" w:cs="Times New Roman"/>
          <w:sz w:val="18"/>
          <w:szCs w:val="18"/>
        </w:rPr>
        <w:t xml:space="preserve">we refer a matter to the </w:t>
      </w:r>
      <w:r w:rsidRPr="00326F74">
        <w:rPr>
          <w:rFonts w:ascii="Arial" w:eastAsia="Times New Roman" w:hAnsi="Arial" w:cs="Times New Roman"/>
          <w:sz w:val="18"/>
          <w:szCs w:val="18"/>
          <w:lang w:val="en-GB"/>
        </w:rPr>
        <w:t>regulator</w:t>
      </w:r>
      <w:r w:rsidRPr="00326F74">
        <w:rPr>
          <w:rFonts w:ascii="Arial" w:eastAsia="Times New Roman" w:hAnsi="Arial" w:cs="Times New Roman"/>
          <w:sz w:val="18"/>
          <w:szCs w:val="18"/>
        </w:rPr>
        <w:t xml:space="preserve"> under </w:t>
      </w:r>
      <w:r w:rsidRPr="00326F74">
        <w:rPr>
          <w:rFonts w:ascii="Arial" w:eastAsia="Times New Roman" w:hAnsi="Arial" w:cs="Times New Roman"/>
          <w:sz w:val="18"/>
          <w:szCs w:val="18"/>
          <w:lang w:val="en-GB"/>
        </w:rPr>
        <w:t>Schedule 10 (6) of the National Health Service Act 2006</w:t>
      </w:r>
      <w:r w:rsidRPr="00326F74">
        <w:rPr>
          <w:rFonts w:ascii="Arial" w:eastAsia="Times New Roman" w:hAnsi="Arial" w:cs="Times New Roman"/>
          <w:sz w:val="18"/>
          <w:szCs w:val="18"/>
        </w:rPr>
        <w:t xml:space="preserve"> because we have reason to believe that the </w:t>
      </w:r>
      <w:r w:rsidRPr="00326F74">
        <w:rPr>
          <w:rFonts w:ascii="Arial" w:eastAsia="Times New Roman" w:hAnsi="Arial" w:cs="Times New Roman"/>
          <w:sz w:val="18"/>
          <w:szCs w:val="18"/>
          <w:lang w:val="en-GB"/>
        </w:rPr>
        <w:t>Trust</w:t>
      </w:r>
      <w:r w:rsidRPr="00326F74">
        <w:rPr>
          <w:rFonts w:ascii="Arial" w:eastAsia="Times New Roman" w:hAnsi="Arial" w:cs="Times New Roman"/>
          <w:sz w:val="18"/>
          <w:szCs w:val="18"/>
        </w:rPr>
        <w:t xml:space="preserve">, or an officer of the </w:t>
      </w:r>
      <w:r w:rsidRPr="00326F74">
        <w:rPr>
          <w:rFonts w:ascii="Arial" w:eastAsia="Times New Roman" w:hAnsi="Arial" w:cs="Times New Roman"/>
          <w:sz w:val="18"/>
          <w:szCs w:val="18"/>
          <w:lang w:val="en-GB"/>
        </w:rPr>
        <w:t>Trust</w:t>
      </w:r>
      <w:r w:rsidRPr="00326F74">
        <w:rPr>
          <w:rFonts w:ascii="Arial" w:eastAsia="Times New Roman" w:hAnsi="Arial" w:cs="Times New Roman"/>
          <w:sz w:val="18"/>
          <w:szCs w:val="18"/>
        </w:rPr>
        <w:t>, is about to make, or has made, a decision which involves or would involve the incurring of unlawful expenditure, or is about to take, or has begun to take a course of action which, if followed to its conclusion, would be unlawful and likely to cause a loss or deficiency.</w:t>
      </w:r>
    </w:p>
    <w:p w14:paraId="298E7BD7" w14:textId="77777777" w:rsidR="00326F74" w:rsidRPr="00326F74" w:rsidRDefault="00326F74" w:rsidP="00326F74">
      <w:pPr>
        <w:widowControl/>
        <w:spacing w:after="120" w:line="240" w:lineRule="atLeast"/>
        <w:rPr>
          <w:rFonts w:ascii="Arial" w:eastAsia="Times New Roman" w:hAnsi="Arial" w:cs="Times New Roman"/>
          <w:sz w:val="18"/>
          <w:szCs w:val="18"/>
        </w:rPr>
      </w:pPr>
      <w:r w:rsidRPr="00326F74">
        <w:rPr>
          <w:rFonts w:ascii="Arial" w:eastAsia="Times New Roman" w:hAnsi="Arial" w:cs="Times New Roman"/>
          <w:sz w:val="18"/>
          <w:szCs w:val="18"/>
        </w:rPr>
        <w:t>We have nothing to report in respect of the above matters.</w:t>
      </w:r>
    </w:p>
    <w:p w14:paraId="5A31AA64" w14:textId="77777777" w:rsidR="00326F74" w:rsidRPr="00326F74" w:rsidRDefault="00326F74" w:rsidP="00326F74">
      <w:pPr>
        <w:keepNext/>
        <w:widowControl/>
        <w:spacing w:before="240" w:after="120" w:line="240" w:lineRule="atLeast"/>
        <w:outlineLvl w:val="2"/>
        <w:rPr>
          <w:rFonts w:ascii="Arial" w:eastAsia="Times New Roman" w:hAnsi="Arial" w:cs="Arial"/>
          <w:b/>
          <w:bCs/>
          <w:kern w:val="32"/>
          <w:sz w:val="18"/>
          <w:szCs w:val="18"/>
        </w:rPr>
      </w:pPr>
      <w:r w:rsidRPr="00326F74">
        <w:rPr>
          <w:rFonts w:ascii="Arial" w:eastAsia="Times New Roman" w:hAnsi="Arial" w:cs="Arial"/>
          <w:b/>
          <w:bCs/>
          <w:kern w:val="32"/>
          <w:sz w:val="18"/>
          <w:szCs w:val="18"/>
        </w:rPr>
        <w:t>Responsibilities of</w:t>
      </w:r>
      <w:bookmarkStart w:id="45" w:name="_Hlk71629876"/>
      <w:r w:rsidRPr="00326F74">
        <w:rPr>
          <w:rFonts w:ascii="Arial" w:eastAsia="Times New Roman" w:hAnsi="Arial" w:cs="Arial"/>
          <w:b/>
          <w:bCs/>
          <w:kern w:val="32"/>
          <w:sz w:val="18"/>
          <w:szCs w:val="18"/>
        </w:rPr>
        <w:t xml:space="preserve"> the Accounting Officer</w:t>
      </w:r>
      <w:bookmarkEnd w:id="45"/>
    </w:p>
    <w:p w14:paraId="3E629C83" w14:textId="77777777" w:rsidR="00326F74" w:rsidRPr="00326F74" w:rsidRDefault="00326F74" w:rsidP="00326F74">
      <w:pPr>
        <w:widowControl/>
        <w:spacing w:after="120" w:line="240" w:lineRule="atLeast"/>
        <w:rPr>
          <w:rFonts w:ascii="Arial" w:eastAsia="Times New Roman" w:hAnsi="Arial" w:cs="Times New Roman"/>
          <w:sz w:val="18"/>
          <w:szCs w:val="18"/>
          <w:lang w:val="en-GB"/>
        </w:rPr>
      </w:pPr>
      <w:r w:rsidRPr="00326F74">
        <w:rPr>
          <w:rFonts w:ascii="Arial" w:eastAsia="Times New Roman" w:hAnsi="Arial" w:cs="Times New Roman"/>
          <w:sz w:val="18"/>
          <w:szCs w:val="18"/>
        </w:rPr>
        <w:t xml:space="preserve">As explained more fully in the Statement of the Chief Executive's responsibilities as the accounting officer, the Chief Executive, as Accounting Officer, is responsible for the preparation of the financial statements in the form and on the basis set out in the Accounts Directions included in the NHS Foundation Trust Annual Reporting Manual 2024/25, for being satisfied that they give a true and fair view, and for such internal control as the </w:t>
      </w:r>
      <w:r w:rsidRPr="00326F74">
        <w:rPr>
          <w:rFonts w:ascii="Arial" w:eastAsia="Times New Roman" w:hAnsi="Arial" w:cs="Times New Roman"/>
          <w:sz w:val="18"/>
          <w:szCs w:val="18"/>
        </w:rPr>
        <w:lastRenderedPageBreak/>
        <w:t>Accounting Officer determines is necessary to enable the preparation of financial statements that are free from material misstatement, whether due to fraud or error.</w:t>
      </w:r>
    </w:p>
    <w:p w14:paraId="681B33CA" w14:textId="77777777" w:rsidR="00326F74" w:rsidRPr="00326F74" w:rsidRDefault="00326F74" w:rsidP="00326F74">
      <w:pPr>
        <w:widowControl/>
        <w:spacing w:after="120" w:line="240" w:lineRule="atLeast"/>
        <w:rPr>
          <w:rFonts w:ascii="Arial" w:eastAsia="Times New Roman" w:hAnsi="Arial" w:cs="Times New Roman"/>
          <w:sz w:val="18"/>
          <w:szCs w:val="18"/>
          <w:lang w:val="en-GB"/>
        </w:rPr>
      </w:pPr>
      <w:r w:rsidRPr="00326F74">
        <w:rPr>
          <w:rFonts w:ascii="Arial" w:eastAsia="Times New Roman" w:hAnsi="Arial" w:cs="Times New Roman"/>
          <w:sz w:val="18"/>
          <w:szCs w:val="18"/>
        </w:rPr>
        <w:t xml:space="preserve">In preparing the financial statements, the Accounting Officer is responsible for assessing the Trust’s ability to continue as a going concern, disclosing, as applicable, matters related to going concern and using the going concern basis of accounting unless </w:t>
      </w:r>
      <w:bookmarkStart w:id="46" w:name="_Hlk72229750"/>
      <w:r w:rsidRPr="00326F74">
        <w:rPr>
          <w:rFonts w:ascii="Arial" w:eastAsia="Times New Roman" w:hAnsi="Arial" w:cs="Times New Roman"/>
          <w:sz w:val="18"/>
          <w:szCs w:val="18"/>
        </w:rPr>
        <w:t>the Accounting Officer has been informed by the relevant national body of the intention to dissolve the Trust without the transfer of its services to another public sector entity.</w:t>
      </w:r>
    </w:p>
    <w:bookmarkEnd w:id="46"/>
    <w:p w14:paraId="769EC34A" w14:textId="77777777" w:rsidR="00326F74" w:rsidRPr="00326F74" w:rsidRDefault="00326F74" w:rsidP="00326F74">
      <w:pPr>
        <w:keepNext/>
        <w:widowControl/>
        <w:spacing w:before="240" w:after="120" w:line="240" w:lineRule="atLeast"/>
        <w:outlineLvl w:val="2"/>
        <w:rPr>
          <w:rFonts w:ascii="Arial" w:eastAsia="Times New Roman" w:hAnsi="Arial" w:cs="Arial"/>
          <w:b/>
          <w:bCs/>
          <w:kern w:val="32"/>
          <w:sz w:val="18"/>
          <w:szCs w:val="18"/>
        </w:rPr>
      </w:pPr>
      <w:r w:rsidRPr="00326F74">
        <w:rPr>
          <w:rFonts w:ascii="Arial" w:eastAsia="Times New Roman" w:hAnsi="Arial" w:cs="Arial"/>
          <w:b/>
          <w:bCs/>
          <w:kern w:val="32"/>
          <w:sz w:val="18"/>
          <w:szCs w:val="18"/>
        </w:rPr>
        <w:t>Auditor’s responsibilities for the audit of the financial statements</w:t>
      </w:r>
    </w:p>
    <w:p w14:paraId="43B6F833" w14:textId="77777777" w:rsidR="00326F74" w:rsidRPr="00326F74" w:rsidRDefault="00326F74" w:rsidP="00326F74">
      <w:pPr>
        <w:widowControl/>
        <w:spacing w:after="120" w:line="240" w:lineRule="atLeast"/>
        <w:rPr>
          <w:rFonts w:ascii="Arial" w:eastAsia="Times New Roman" w:hAnsi="Arial" w:cs="Times New Roman"/>
          <w:sz w:val="18"/>
          <w:szCs w:val="18"/>
        </w:rPr>
      </w:pPr>
      <w:r w:rsidRPr="00326F74">
        <w:rPr>
          <w:rFonts w:ascii="Arial" w:eastAsia="Times New Roman" w:hAnsi="Arial" w:cs="Times New Roman"/>
          <w:sz w:val="18"/>
          <w:szCs w:val="18"/>
        </w:rPr>
        <w:t>Our objectives are to obtain reasonable assurance about whether the financial statements as a whole are free from material misstatement, whether due to fraud or error, and to issue an auditor’s report that includes our opinion. Reasonable assurance is a high level of assurance</w:t>
      </w:r>
      <w:r w:rsidRPr="00326F74">
        <w:rPr>
          <w:rFonts w:ascii="Arial" w:eastAsia="Times New Roman" w:hAnsi="Arial" w:cs="Times New Roman"/>
          <w:b/>
          <w:bCs/>
          <w:sz w:val="18"/>
          <w:szCs w:val="18"/>
        </w:rPr>
        <w:t>,</w:t>
      </w:r>
      <w:r w:rsidRPr="00326F74">
        <w:rPr>
          <w:rFonts w:ascii="Arial" w:eastAsia="Times New Roman" w:hAnsi="Arial" w:cs="Times New Roman"/>
          <w:sz w:val="18"/>
          <w:szCs w:val="18"/>
        </w:rPr>
        <w:t xml:space="preserve"> but is not a guarantee that an audit conducted in accordance with ISAs (UK) will always detect a material misstatement when it exists.</w:t>
      </w:r>
    </w:p>
    <w:p w14:paraId="5D5CA25A" w14:textId="77777777" w:rsidR="00326F74" w:rsidRPr="00326F74" w:rsidRDefault="00326F74" w:rsidP="00326F74">
      <w:pPr>
        <w:widowControl/>
        <w:spacing w:after="120" w:line="240" w:lineRule="atLeast"/>
        <w:rPr>
          <w:rFonts w:ascii="Arial" w:eastAsia="Times New Roman" w:hAnsi="Arial" w:cs="Times New Roman"/>
          <w:sz w:val="18"/>
          <w:szCs w:val="18"/>
        </w:rPr>
      </w:pPr>
      <w:r w:rsidRPr="00326F74">
        <w:rPr>
          <w:rFonts w:ascii="Arial" w:eastAsia="Times New Roman" w:hAnsi="Arial" w:cs="Times New Roman"/>
          <w:sz w:val="18"/>
          <w:szCs w:val="18"/>
        </w:rPr>
        <w:t>Misstatements can arise from fraud or error and are considered material if, individually or in the aggregate, they could reasonably be expected to influence the economic decisions of users taken on the basis of these financial statements.</w:t>
      </w:r>
    </w:p>
    <w:p w14:paraId="45CD5121" w14:textId="77777777" w:rsidR="00326F74" w:rsidRPr="00326F74" w:rsidRDefault="00326F74" w:rsidP="00326F74">
      <w:pPr>
        <w:widowControl/>
        <w:spacing w:after="120" w:line="240" w:lineRule="atLeast"/>
        <w:rPr>
          <w:rFonts w:ascii="Arial" w:eastAsia="Times New Roman" w:hAnsi="Arial" w:cs="Arial"/>
          <w:sz w:val="18"/>
          <w:szCs w:val="18"/>
          <w:lang w:eastAsia="en-GB"/>
        </w:rPr>
      </w:pPr>
      <w:bookmarkStart w:id="47" w:name="_Hlk49163163"/>
      <w:r w:rsidRPr="00326F74">
        <w:rPr>
          <w:rFonts w:ascii="Arial" w:eastAsia="Times New Roman" w:hAnsi="Arial" w:cs="Times New Roman"/>
          <w:sz w:val="18"/>
          <w:szCs w:val="18"/>
        </w:rPr>
        <w:t xml:space="preserve">Irregularities, including fraud, are instances of non-compliance with laws and regulations. </w:t>
      </w:r>
      <w:bookmarkStart w:id="48" w:name="_Hlk49280582"/>
      <w:r w:rsidRPr="00326F74">
        <w:rPr>
          <w:rFonts w:ascii="Arial" w:eastAsia="Times New Roman" w:hAnsi="Arial" w:cs="Arial"/>
          <w:sz w:val="18"/>
          <w:szCs w:val="18"/>
        </w:rPr>
        <w:t>The extent to which our procedures are capable of detecting irregularities, including fraud is detailed below</w:t>
      </w:r>
      <w:r w:rsidRPr="00326F74">
        <w:rPr>
          <w:rFonts w:ascii="Arial" w:eastAsia="Times New Roman" w:hAnsi="Arial" w:cs="Arial"/>
          <w:sz w:val="18"/>
          <w:szCs w:val="18"/>
          <w:lang w:eastAsia="en-GB"/>
        </w:rPr>
        <w:t>:</w:t>
      </w:r>
    </w:p>
    <w:bookmarkEnd w:id="48"/>
    <w:p w14:paraId="70AE312F" w14:textId="77777777" w:rsidR="00326F74" w:rsidRPr="00326F74" w:rsidRDefault="00326F74" w:rsidP="00326F74">
      <w:pPr>
        <w:widowControl/>
        <w:numPr>
          <w:ilvl w:val="0"/>
          <w:numId w:val="64"/>
        </w:numPr>
        <w:spacing w:after="120" w:line="240" w:lineRule="atLeast"/>
        <w:ind w:left="284" w:hanging="284"/>
        <w:rPr>
          <w:rFonts w:ascii="Arial" w:eastAsia="Times New Roman" w:hAnsi="Arial" w:cs="Times New Roman"/>
          <w:sz w:val="18"/>
          <w:szCs w:val="18"/>
          <w:lang w:eastAsia="en-GB"/>
        </w:rPr>
      </w:pPr>
      <w:r w:rsidRPr="00326F74">
        <w:rPr>
          <w:rFonts w:ascii="Arial" w:eastAsia="Times New Roman" w:hAnsi="Arial" w:cs="Arial"/>
          <w:sz w:val="18"/>
          <w:szCs w:val="18"/>
          <w:shd w:val="clear" w:color="auto" w:fill="FFFFFF"/>
        </w:rPr>
        <w:t>We obtained an understanding of the legal and regulatory frameworks that are applicable to the Trust and determined that the most significant which are directly relevant to specific assertions in the financial statements are those related to the reporting frameworks</w:t>
      </w:r>
      <w:r w:rsidRPr="00326F74">
        <w:rPr>
          <w:rFonts w:ascii="Arial" w:eastAsia="Times New Roman" w:hAnsi="Arial" w:cs="Arial"/>
          <w:sz w:val="20"/>
          <w:szCs w:val="20"/>
          <w:shd w:val="clear" w:color="auto" w:fill="FFFFFF"/>
        </w:rPr>
        <w:t xml:space="preserve"> </w:t>
      </w:r>
      <w:r w:rsidRPr="00326F74">
        <w:rPr>
          <w:rFonts w:ascii="Arial" w:eastAsia="Times New Roman" w:hAnsi="Arial" w:cs="Arial"/>
          <w:sz w:val="18"/>
          <w:szCs w:val="18"/>
          <w:shd w:val="clear" w:color="auto" w:fill="FFFFFF"/>
        </w:rPr>
        <w:t xml:space="preserve">(international accounting standards and the National Health Service Act 2006, as interpreted and adapted </w:t>
      </w:r>
      <w:r w:rsidRPr="00326F74">
        <w:rPr>
          <w:rFonts w:ascii="Arial" w:eastAsia="Times New Roman" w:hAnsi="Arial" w:cs="Times New Roman"/>
          <w:sz w:val="18"/>
          <w:szCs w:val="18"/>
        </w:rPr>
        <w:t>by the Department of Health and Social Care Group Accounting Manual 2024-25)</w:t>
      </w:r>
      <w:r w:rsidRPr="00326F74">
        <w:rPr>
          <w:rFonts w:ascii="Arial" w:eastAsia="Times New Roman" w:hAnsi="Arial" w:cs="Arial"/>
          <w:sz w:val="20"/>
          <w:szCs w:val="20"/>
          <w:shd w:val="clear" w:color="auto" w:fill="FFFFFF"/>
        </w:rPr>
        <w:t>.</w:t>
      </w:r>
    </w:p>
    <w:p w14:paraId="65A1BBE0" w14:textId="77777777" w:rsidR="00326F74" w:rsidRPr="00326F74" w:rsidRDefault="00326F74" w:rsidP="00326F74">
      <w:pPr>
        <w:widowControl/>
        <w:tabs>
          <w:tab w:val="num" w:pos="709"/>
        </w:tabs>
        <w:spacing w:after="120" w:line="240" w:lineRule="atLeast"/>
        <w:ind w:left="284" w:hanging="284"/>
        <w:rPr>
          <w:rFonts w:ascii="Arial" w:eastAsia="Times New Roman" w:hAnsi="Arial" w:cs="Arial"/>
          <w:sz w:val="18"/>
          <w:szCs w:val="18"/>
          <w:lang w:val="en-GB" w:eastAsia="en-GB"/>
        </w:rPr>
      </w:pPr>
      <w:r w:rsidRPr="00326F74">
        <w:rPr>
          <w:rFonts w:ascii="Arial" w:eastAsia="Times New Roman" w:hAnsi="Arial" w:cs="Arial"/>
          <w:sz w:val="18"/>
          <w:szCs w:val="18"/>
          <w:lang w:eastAsia="en-GB"/>
        </w:rPr>
        <w:t xml:space="preserve">We enquired of management and the Audit &amp; Risk Committee, concerning the </w:t>
      </w:r>
      <w:r w:rsidRPr="00326F74">
        <w:rPr>
          <w:rFonts w:ascii="Arial" w:eastAsia="Times New Roman" w:hAnsi="Arial" w:cs="Arial"/>
          <w:sz w:val="18"/>
          <w:szCs w:val="18"/>
          <w:lang w:val="en-GB" w:eastAsia="en-GB"/>
        </w:rPr>
        <w:t>Trust</w:t>
      </w:r>
      <w:r w:rsidRPr="00326F74">
        <w:rPr>
          <w:rFonts w:ascii="Arial" w:eastAsia="Times New Roman" w:hAnsi="Arial" w:cs="Arial"/>
          <w:sz w:val="18"/>
          <w:szCs w:val="18"/>
          <w:lang w:eastAsia="en-GB"/>
        </w:rPr>
        <w:t>’s policies and procedures relating to:</w:t>
      </w:r>
    </w:p>
    <w:p w14:paraId="08B17E7C" w14:textId="77777777" w:rsidR="00326F74" w:rsidRPr="00326F74" w:rsidRDefault="00326F74" w:rsidP="00326F74">
      <w:pPr>
        <w:widowControl/>
        <w:numPr>
          <w:ilvl w:val="1"/>
          <w:numId w:val="0"/>
        </w:numPr>
        <w:tabs>
          <w:tab w:val="num" w:pos="567"/>
        </w:tabs>
        <w:spacing w:after="120" w:line="240" w:lineRule="atLeast"/>
        <w:ind w:left="567" w:hanging="283"/>
        <w:rPr>
          <w:rFonts w:ascii="Arial" w:eastAsia="Times New Roman" w:hAnsi="Arial" w:cs="Times New Roman"/>
          <w:sz w:val="18"/>
          <w:szCs w:val="18"/>
          <w:lang w:eastAsia="en-GB"/>
        </w:rPr>
      </w:pPr>
      <w:r w:rsidRPr="00326F74">
        <w:rPr>
          <w:rFonts w:ascii="Arial" w:eastAsia="Times New Roman" w:hAnsi="Arial" w:cs="Arial"/>
          <w:sz w:val="18"/>
          <w:szCs w:val="18"/>
          <w:lang w:eastAsia="en-GB"/>
        </w:rPr>
        <w:t>the identification, evaluation and compliance with laws and regulations;</w:t>
      </w:r>
    </w:p>
    <w:p w14:paraId="1C4E0310" w14:textId="77777777" w:rsidR="00326F74" w:rsidRPr="00326F74" w:rsidRDefault="00326F74" w:rsidP="00326F74">
      <w:pPr>
        <w:widowControl/>
        <w:numPr>
          <w:ilvl w:val="1"/>
          <w:numId w:val="0"/>
        </w:numPr>
        <w:tabs>
          <w:tab w:val="num" w:pos="567"/>
        </w:tabs>
        <w:spacing w:after="120" w:line="240" w:lineRule="atLeast"/>
        <w:ind w:left="567" w:hanging="283"/>
        <w:rPr>
          <w:rFonts w:ascii="Arial" w:eastAsia="Times New Roman" w:hAnsi="Arial" w:cs="Times New Roman"/>
          <w:sz w:val="18"/>
          <w:szCs w:val="18"/>
          <w:lang w:eastAsia="en-GB"/>
        </w:rPr>
      </w:pPr>
      <w:r w:rsidRPr="00326F74">
        <w:rPr>
          <w:rFonts w:ascii="Arial" w:eastAsia="Times New Roman" w:hAnsi="Arial" w:cs="Arial"/>
          <w:sz w:val="18"/>
          <w:szCs w:val="18"/>
          <w:lang w:eastAsia="en-GB"/>
        </w:rPr>
        <w:t>the detection and response to the risks of fraud; and</w:t>
      </w:r>
    </w:p>
    <w:p w14:paraId="77D83023" w14:textId="77777777" w:rsidR="00326F74" w:rsidRPr="00326F74" w:rsidRDefault="00326F74" w:rsidP="00326F74">
      <w:pPr>
        <w:widowControl/>
        <w:numPr>
          <w:ilvl w:val="1"/>
          <w:numId w:val="0"/>
        </w:numPr>
        <w:tabs>
          <w:tab w:val="num" w:pos="567"/>
        </w:tabs>
        <w:spacing w:after="120" w:line="240" w:lineRule="atLeast"/>
        <w:ind w:left="567" w:hanging="283"/>
        <w:rPr>
          <w:rFonts w:ascii="Arial" w:eastAsia="Times New Roman" w:hAnsi="Arial" w:cs="Times New Roman"/>
          <w:sz w:val="18"/>
          <w:szCs w:val="18"/>
          <w:lang w:eastAsia="en-GB"/>
        </w:rPr>
      </w:pPr>
      <w:r w:rsidRPr="00326F74">
        <w:rPr>
          <w:rFonts w:ascii="Arial" w:eastAsia="Times New Roman" w:hAnsi="Arial" w:cs="Arial"/>
          <w:sz w:val="18"/>
          <w:szCs w:val="18"/>
          <w:lang w:eastAsia="en-GB"/>
        </w:rPr>
        <w:t>the establishment of internal controls to mitigate risks related to fraud or non-compliance with laws and regulations.</w:t>
      </w:r>
    </w:p>
    <w:p w14:paraId="3BBB98D0" w14:textId="77777777" w:rsidR="00326F74" w:rsidRPr="00326F74" w:rsidRDefault="00326F74" w:rsidP="00326F74">
      <w:pPr>
        <w:widowControl/>
        <w:numPr>
          <w:ilvl w:val="0"/>
          <w:numId w:val="62"/>
        </w:numPr>
        <w:tabs>
          <w:tab w:val="clear" w:pos="720"/>
          <w:tab w:val="num" w:pos="426"/>
        </w:tabs>
        <w:spacing w:after="120" w:line="240" w:lineRule="atLeast"/>
        <w:ind w:left="284" w:hanging="284"/>
        <w:rPr>
          <w:rFonts w:ascii="Arial" w:eastAsia="Times New Roman" w:hAnsi="Arial" w:cs="Arial"/>
          <w:sz w:val="18"/>
          <w:szCs w:val="18"/>
          <w:lang w:eastAsia="en-GB"/>
        </w:rPr>
      </w:pPr>
      <w:r w:rsidRPr="00326F74">
        <w:rPr>
          <w:rFonts w:ascii="Arial" w:eastAsia="Times New Roman" w:hAnsi="Arial" w:cs="Arial"/>
          <w:sz w:val="18"/>
          <w:szCs w:val="18"/>
          <w:lang w:eastAsia="en-GB"/>
        </w:rPr>
        <w:t>We enquired of management, internal audit and the Audit &amp; Risk Committee, whether they were aware of any instances of non-compliance with laws and regulations or whether they had any knowledge of actual, suspected or alleged fraud.</w:t>
      </w:r>
    </w:p>
    <w:p w14:paraId="26E24532" w14:textId="77777777" w:rsidR="00326F74" w:rsidRPr="00326F74" w:rsidRDefault="00326F74" w:rsidP="00326F74">
      <w:pPr>
        <w:widowControl/>
        <w:spacing w:after="120" w:line="240" w:lineRule="atLeast"/>
        <w:ind w:left="284" w:hanging="284"/>
        <w:rPr>
          <w:rFonts w:ascii="Arial" w:eastAsia="Times New Roman" w:hAnsi="Arial" w:cs="Times New Roman"/>
          <w:sz w:val="18"/>
          <w:szCs w:val="18"/>
          <w:lang w:eastAsia="en-GB"/>
        </w:rPr>
      </w:pPr>
      <w:r w:rsidRPr="00326F74">
        <w:rPr>
          <w:rFonts w:ascii="Arial" w:eastAsia="Times New Roman" w:hAnsi="Arial" w:cs="Times New Roman"/>
          <w:sz w:val="18"/>
          <w:szCs w:val="18"/>
          <w:lang w:eastAsia="en-GB"/>
        </w:rPr>
        <w:t xml:space="preserve">We assessed the susceptibility of the </w:t>
      </w:r>
      <w:r w:rsidRPr="00326F74">
        <w:rPr>
          <w:rFonts w:ascii="Arial" w:eastAsia="Times New Roman" w:hAnsi="Arial" w:cs="Arial"/>
          <w:sz w:val="18"/>
          <w:szCs w:val="18"/>
          <w:shd w:val="clear" w:color="auto" w:fill="FFFFFF"/>
        </w:rPr>
        <w:t>Trust</w:t>
      </w:r>
      <w:r w:rsidRPr="00326F74">
        <w:rPr>
          <w:rFonts w:ascii="Arial" w:eastAsia="Times New Roman" w:hAnsi="Arial" w:cs="Times New Roman"/>
          <w:sz w:val="18"/>
          <w:szCs w:val="18"/>
          <w:lang w:eastAsia="en-GB"/>
        </w:rPr>
        <w:t>’s financial statements to material misstatement, including how fraud might occur, evaluating management's incentives and opportunities for manipulation of the financial statements. This included the evaluation of the risk of management override of controls, the risk of improper revenue recognition and the risk of fraud in expenditure recognition. We determined that the principal risks were in relation to:</w:t>
      </w:r>
    </w:p>
    <w:p w14:paraId="51855CA4" w14:textId="77777777" w:rsidR="00326F74" w:rsidRPr="00326F74" w:rsidRDefault="00326F74" w:rsidP="00326F74">
      <w:pPr>
        <w:widowControl/>
        <w:numPr>
          <w:ilvl w:val="1"/>
          <w:numId w:val="0"/>
        </w:numPr>
        <w:tabs>
          <w:tab w:val="num" w:pos="567"/>
        </w:tabs>
        <w:spacing w:after="120" w:line="240" w:lineRule="atLeast"/>
        <w:ind w:left="567" w:hanging="283"/>
        <w:rPr>
          <w:rFonts w:ascii="Arial" w:eastAsia="Times New Roman" w:hAnsi="Arial" w:cs="Times New Roman"/>
          <w:sz w:val="18"/>
          <w:szCs w:val="18"/>
          <w:lang w:eastAsia="en-GB"/>
        </w:rPr>
      </w:pPr>
      <w:r w:rsidRPr="00326F74">
        <w:rPr>
          <w:rFonts w:ascii="Arial" w:eastAsia="Times New Roman" w:hAnsi="Arial" w:cs="Times New Roman"/>
          <w:sz w:val="18"/>
          <w:szCs w:val="18"/>
          <w:lang w:eastAsia="en-GB"/>
        </w:rPr>
        <w:t>Management override of controls;</w:t>
      </w:r>
    </w:p>
    <w:p w14:paraId="043FD261" w14:textId="77777777" w:rsidR="00326F74" w:rsidRPr="00326F74" w:rsidRDefault="00326F74" w:rsidP="00326F74">
      <w:pPr>
        <w:widowControl/>
        <w:numPr>
          <w:ilvl w:val="1"/>
          <w:numId w:val="0"/>
        </w:numPr>
        <w:tabs>
          <w:tab w:val="num" w:pos="567"/>
        </w:tabs>
        <w:spacing w:after="120" w:line="240" w:lineRule="atLeast"/>
        <w:ind w:left="567" w:hanging="283"/>
        <w:rPr>
          <w:rFonts w:ascii="Arial" w:eastAsia="Times New Roman" w:hAnsi="Arial" w:cs="Times New Roman"/>
          <w:sz w:val="18"/>
          <w:szCs w:val="18"/>
          <w:lang w:eastAsia="en-GB"/>
        </w:rPr>
      </w:pPr>
      <w:r w:rsidRPr="00326F74">
        <w:rPr>
          <w:rFonts w:ascii="Arial" w:eastAsia="Times New Roman" w:hAnsi="Arial" w:cs="Times New Roman"/>
          <w:sz w:val="18"/>
          <w:szCs w:val="18"/>
          <w:lang w:eastAsia="en-GB"/>
        </w:rPr>
        <w:t>Improper revenue recognition;</w:t>
      </w:r>
    </w:p>
    <w:p w14:paraId="1F767BB4" w14:textId="77777777" w:rsidR="00326F74" w:rsidRPr="00326F74" w:rsidRDefault="00326F74" w:rsidP="00326F74">
      <w:pPr>
        <w:widowControl/>
        <w:numPr>
          <w:ilvl w:val="1"/>
          <w:numId w:val="0"/>
        </w:numPr>
        <w:tabs>
          <w:tab w:val="num" w:pos="567"/>
        </w:tabs>
        <w:spacing w:after="120" w:line="240" w:lineRule="atLeast"/>
        <w:ind w:left="567" w:hanging="283"/>
        <w:rPr>
          <w:rFonts w:ascii="Arial" w:eastAsia="Times New Roman" w:hAnsi="Arial" w:cs="Times New Roman"/>
          <w:sz w:val="18"/>
          <w:szCs w:val="18"/>
          <w:lang w:eastAsia="en-GB"/>
        </w:rPr>
      </w:pPr>
      <w:r w:rsidRPr="00326F74">
        <w:rPr>
          <w:rFonts w:ascii="Arial" w:eastAsia="Times New Roman" w:hAnsi="Arial" w:cs="Times New Roman"/>
          <w:sz w:val="18"/>
          <w:szCs w:val="18"/>
          <w:lang w:eastAsia="en-GB"/>
        </w:rPr>
        <w:t>Expenditure recognition prevalent around year end.</w:t>
      </w:r>
    </w:p>
    <w:p w14:paraId="1F745F2A" w14:textId="77777777" w:rsidR="00326F74" w:rsidRPr="00326F74" w:rsidRDefault="00326F74" w:rsidP="00326F74">
      <w:pPr>
        <w:widowControl/>
        <w:numPr>
          <w:ilvl w:val="1"/>
          <w:numId w:val="65"/>
        </w:numPr>
        <w:spacing w:after="120" w:line="240" w:lineRule="atLeast"/>
        <w:ind w:left="284" w:hanging="284"/>
        <w:rPr>
          <w:rFonts w:ascii="Arial" w:eastAsia="Times New Roman" w:hAnsi="Arial" w:cs="Times New Roman"/>
          <w:sz w:val="18"/>
          <w:szCs w:val="18"/>
          <w:lang w:eastAsia="en-GB"/>
        </w:rPr>
      </w:pPr>
      <w:r w:rsidRPr="00326F74">
        <w:rPr>
          <w:rFonts w:ascii="Arial" w:eastAsia="Times New Roman" w:hAnsi="Arial" w:cs="Times New Roman"/>
          <w:sz w:val="18"/>
          <w:szCs w:val="18"/>
          <w:lang w:eastAsia="en-GB"/>
        </w:rPr>
        <w:t>Our audit procedures involved:</w:t>
      </w:r>
    </w:p>
    <w:p w14:paraId="4E739FA1" w14:textId="77777777" w:rsidR="00326F74" w:rsidRPr="00326F74" w:rsidRDefault="00326F74" w:rsidP="00326F74">
      <w:pPr>
        <w:widowControl/>
        <w:numPr>
          <w:ilvl w:val="1"/>
          <w:numId w:val="0"/>
        </w:numPr>
        <w:tabs>
          <w:tab w:val="num" w:pos="567"/>
        </w:tabs>
        <w:spacing w:after="120" w:line="240" w:lineRule="atLeast"/>
        <w:ind w:left="567" w:hanging="283"/>
        <w:rPr>
          <w:rFonts w:ascii="Arial" w:eastAsia="Times New Roman" w:hAnsi="Arial" w:cs="Times New Roman"/>
          <w:sz w:val="18"/>
          <w:szCs w:val="18"/>
          <w:lang w:eastAsia="en-GB"/>
        </w:rPr>
      </w:pPr>
      <w:r w:rsidRPr="00326F74">
        <w:rPr>
          <w:rFonts w:ascii="Arial" w:eastAsia="Times New Roman" w:hAnsi="Arial" w:cs="Times New Roman"/>
          <w:sz w:val="18"/>
          <w:szCs w:val="18"/>
          <w:lang w:eastAsia="en-GB"/>
        </w:rPr>
        <w:t>evaluation of the design effectiveness of controls that management has in place to prevent and detect fraud;</w:t>
      </w:r>
    </w:p>
    <w:p w14:paraId="44BFC75E" w14:textId="77777777" w:rsidR="00326F74" w:rsidRPr="00326F74" w:rsidRDefault="00326F74" w:rsidP="00326F74">
      <w:pPr>
        <w:widowControl/>
        <w:numPr>
          <w:ilvl w:val="1"/>
          <w:numId w:val="0"/>
        </w:numPr>
        <w:tabs>
          <w:tab w:val="num" w:pos="567"/>
        </w:tabs>
        <w:spacing w:after="120" w:line="240" w:lineRule="atLeast"/>
        <w:ind w:left="567" w:hanging="283"/>
        <w:rPr>
          <w:rFonts w:ascii="Arial" w:eastAsia="Times New Roman" w:hAnsi="Arial" w:cs="Times New Roman"/>
          <w:b/>
          <w:bCs/>
          <w:sz w:val="18"/>
          <w:szCs w:val="18"/>
          <w:lang w:eastAsia="en-GB"/>
        </w:rPr>
      </w:pPr>
      <w:r w:rsidRPr="00326F74">
        <w:rPr>
          <w:rFonts w:ascii="Arial" w:eastAsia="Times New Roman" w:hAnsi="Arial" w:cs="Times New Roman"/>
          <w:sz w:val="18"/>
          <w:szCs w:val="18"/>
          <w:lang w:eastAsia="en-GB"/>
        </w:rPr>
        <w:t xml:space="preserve">journal entry testing, with a focus </w:t>
      </w:r>
      <w:r w:rsidRPr="00326F74">
        <w:rPr>
          <w:rFonts w:ascii="Arial" w:eastAsia="Times New Roman" w:hAnsi="Arial" w:cs="Arial"/>
          <w:sz w:val="18"/>
          <w:szCs w:val="18"/>
          <w:shd w:val="clear" w:color="auto" w:fill="FFFFFF"/>
        </w:rPr>
        <w:t>on high value journals posted after year end, journals posted by specific members of management and journals that have a material impact on financial reporting;</w:t>
      </w:r>
    </w:p>
    <w:p w14:paraId="0C503FDC" w14:textId="77777777" w:rsidR="00326F74" w:rsidRPr="00326F74" w:rsidRDefault="00326F74" w:rsidP="00326F74">
      <w:pPr>
        <w:widowControl/>
        <w:numPr>
          <w:ilvl w:val="1"/>
          <w:numId w:val="0"/>
        </w:numPr>
        <w:tabs>
          <w:tab w:val="num" w:pos="567"/>
        </w:tabs>
        <w:spacing w:after="120" w:line="240" w:lineRule="atLeast"/>
        <w:ind w:left="567" w:hanging="283"/>
        <w:rPr>
          <w:rFonts w:ascii="Arial" w:eastAsia="Times New Roman" w:hAnsi="Arial" w:cs="Times New Roman"/>
          <w:sz w:val="18"/>
          <w:szCs w:val="18"/>
          <w:lang w:eastAsia="en-GB"/>
        </w:rPr>
      </w:pPr>
      <w:r w:rsidRPr="00326F74">
        <w:rPr>
          <w:rFonts w:ascii="Arial" w:eastAsia="Times New Roman" w:hAnsi="Arial" w:cs="Times New Roman"/>
          <w:sz w:val="18"/>
          <w:szCs w:val="18"/>
          <w:lang w:eastAsia="en-GB"/>
        </w:rPr>
        <w:t>testing of income for the year to invoices and cash payment or other supporting evidences;</w:t>
      </w:r>
    </w:p>
    <w:p w14:paraId="7DAEA52C" w14:textId="77777777" w:rsidR="00326F74" w:rsidRPr="00326F74" w:rsidRDefault="00326F74" w:rsidP="00326F74">
      <w:pPr>
        <w:widowControl/>
        <w:numPr>
          <w:ilvl w:val="1"/>
          <w:numId w:val="0"/>
        </w:numPr>
        <w:tabs>
          <w:tab w:val="num" w:pos="567"/>
        </w:tabs>
        <w:spacing w:after="120" w:line="240" w:lineRule="atLeast"/>
        <w:ind w:left="567" w:hanging="283"/>
        <w:rPr>
          <w:rFonts w:ascii="Arial" w:eastAsia="Times New Roman" w:hAnsi="Arial" w:cs="Times New Roman"/>
          <w:sz w:val="18"/>
          <w:szCs w:val="18"/>
          <w:lang w:eastAsia="en-GB"/>
        </w:rPr>
      </w:pPr>
      <w:r w:rsidRPr="00326F74">
        <w:rPr>
          <w:rFonts w:ascii="Arial" w:eastAsia="Times New Roman" w:hAnsi="Arial" w:cs="Times New Roman"/>
          <w:sz w:val="18"/>
          <w:szCs w:val="18"/>
          <w:lang w:eastAsia="en-GB"/>
        </w:rPr>
        <w:t>testing of year end expenditure to invoices, cash payments and other supporting evidences;</w:t>
      </w:r>
    </w:p>
    <w:p w14:paraId="3003896A" w14:textId="77777777" w:rsidR="00326F74" w:rsidRPr="00326F74" w:rsidRDefault="00326F74" w:rsidP="00326F74">
      <w:pPr>
        <w:widowControl/>
        <w:numPr>
          <w:ilvl w:val="1"/>
          <w:numId w:val="0"/>
        </w:numPr>
        <w:tabs>
          <w:tab w:val="num" w:pos="567"/>
        </w:tabs>
        <w:spacing w:after="120" w:line="240" w:lineRule="atLeast"/>
        <w:ind w:left="567" w:hanging="283"/>
        <w:rPr>
          <w:rFonts w:ascii="Arial" w:eastAsia="Times New Roman" w:hAnsi="Arial" w:cs="Times New Roman"/>
          <w:sz w:val="18"/>
          <w:szCs w:val="18"/>
          <w:lang w:eastAsia="en-GB"/>
        </w:rPr>
      </w:pPr>
      <w:r w:rsidRPr="00326F74">
        <w:rPr>
          <w:rFonts w:ascii="Arial" w:eastAsia="Times New Roman" w:hAnsi="Arial" w:cs="Times New Roman"/>
          <w:sz w:val="18"/>
          <w:szCs w:val="18"/>
          <w:lang w:eastAsia="en-GB"/>
        </w:rPr>
        <w:t>assessing the extent of compliance with the relevant laws and regulations as part of our procedures on the related financial statement item.</w:t>
      </w:r>
    </w:p>
    <w:p w14:paraId="12BB67E0" w14:textId="77777777" w:rsidR="00326F74" w:rsidRPr="00326F74" w:rsidRDefault="00326F74" w:rsidP="00326F74">
      <w:pPr>
        <w:widowControl/>
        <w:tabs>
          <w:tab w:val="num" w:pos="284"/>
        </w:tabs>
        <w:spacing w:after="120" w:line="240" w:lineRule="atLeast"/>
        <w:ind w:left="284" w:hanging="284"/>
        <w:rPr>
          <w:rFonts w:ascii="Arial" w:eastAsia="Times New Roman" w:hAnsi="Arial" w:cs="Times New Roman"/>
          <w:sz w:val="18"/>
          <w:szCs w:val="18"/>
          <w:lang w:eastAsia="en-GB"/>
        </w:rPr>
      </w:pPr>
      <w:r w:rsidRPr="00326F74">
        <w:rPr>
          <w:rFonts w:ascii="Arial" w:eastAsia="Times New Roman" w:hAnsi="Arial" w:cs="Times New Roman"/>
          <w:sz w:val="18"/>
          <w:szCs w:val="18"/>
          <w:lang w:eastAsia="en-GB"/>
        </w:rPr>
        <w:lastRenderedPageBreak/>
        <w:t xml:space="preserve">These audit procedures were designed to provide reasonable assurance that the financial statements were free from fraud or error. </w:t>
      </w:r>
      <w:bookmarkStart w:id="49" w:name="_Hlk103000571"/>
      <w:r w:rsidRPr="00326F74">
        <w:rPr>
          <w:rFonts w:ascii="Arial" w:eastAsia="Times New Roman" w:hAnsi="Arial" w:cs="Times New Roman"/>
          <w:sz w:val="18"/>
          <w:szCs w:val="18"/>
          <w:lang w:eastAsia="en-GB"/>
        </w:rPr>
        <w:t>The risk of not detecting a material misstatement due to fraud is higher than the risk of not detecting one resulting from error and detecting irregularities that result from fraud is inherently more difficult than detecting those that result from error, as fraud may involve collusion, deliberate concealment, forgery or intentional misrepresentations. Also, the further removed non-compliance with laws and regulations is from events and transactions reflected in the financial statements, the less likely we would become aware of it.</w:t>
      </w:r>
    </w:p>
    <w:bookmarkEnd w:id="49"/>
    <w:p w14:paraId="3A8CB0FA" w14:textId="77777777" w:rsidR="00326F74" w:rsidRPr="00326F74" w:rsidRDefault="00326F74" w:rsidP="00326F74">
      <w:pPr>
        <w:widowControl/>
        <w:tabs>
          <w:tab w:val="num" w:pos="284"/>
        </w:tabs>
        <w:spacing w:after="120" w:line="240" w:lineRule="atLeast"/>
        <w:ind w:left="284" w:hanging="284"/>
        <w:rPr>
          <w:rFonts w:ascii="Arial" w:eastAsia="Times New Roman" w:hAnsi="Arial" w:cs="Times New Roman"/>
          <w:sz w:val="18"/>
          <w:szCs w:val="18"/>
          <w:lang w:eastAsia="en-GB"/>
        </w:rPr>
      </w:pPr>
      <w:r w:rsidRPr="00326F74">
        <w:rPr>
          <w:rFonts w:ascii="Arial" w:eastAsia="Times New Roman" w:hAnsi="Arial" w:cs="Times New Roman"/>
          <w:sz w:val="18"/>
          <w:szCs w:val="18"/>
          <w:lang w:eastAsia="en-GB"/>
        </w:rPr>
        <w:t>We communicated relevant laws and regulations and potential fraud risks to all engagement team members, including management override of control, improper revenue recognition and expenditure recognition around year end. We remained alert to any indications of non-compliance with laws and regulations, including fraud, throughout the audit.</w:t>
      </w:r>
    </w:p>
    <w:p w14:paraId="426E2DED" w14:textId="77777777" w:rsidR="00326F74" w:rsidRPr="00326F74" w:rsidRDefault="00326F74" w:rsidP="00326F74">
      <w:pPr>
        <w:widowControl/>
        <w:tabs>
          <w:tab w:val="num" w:pos="284"/>
        </w:tabs>
        <w:spacing w:after="120" w:line="240" w:lineRule="atLeast"/>
        <w:ind w:left="284" w:hanging="284"/>
        <w:rPr>
          <w:rFonts w:ascii="Arial" w:eastAsia="Times New Roman" w:hAnsi="Arial" w:cs="Times New Roman"/>
          <w:sz w:val="18"/>
          <w:szCs w:val="18"/>
          <w:lang w:eastAsia="en-GB"/>
        </w:rPr>
      </w:pPr>
      <w:r w:rsidRPr="00326F74">
        <w:rPr>
          <w:rFonts w:ascii="Arial" w:eastAsia="Times New Roman" w:hAnsi="Arial" w:cs="Arial"/>
          <w:sz w:val="18"/>
          <w:szCs w:val="18"/>
          <w:shd w:val="clear" w:color="auto" w:fill="FFFFFF"/>
        </w:rPr>
        <w:t xml:space="preserve">The engagement partner’s </w:t>
      </w:r>
      <w:r w:rsidRPr="00326F74">
        <w:rPr>
          <w:rFonts w:ascii="Arial" w:eastAsia="Times New Roman" w:hAnsi="Arial" w:cs="Times New Roman"/>
          <w:sz w:val="18"/>
          <w:szCs w:val="18"/>
          <w:lang w:eastAsia="en-GB"/>
        </w:rPr>
        <w:t>assessment of the appropriateness of the collective competence and capabilities of the engagement team included consideration of the engagement team's:</w:t>
      </w:r>
    </w:p>
    <w:p w14:paraId="17E4C567" w14:textId="77777777" w:rsidR="00326F74" w:rsidRPr="00326F74" w:rsidRDefault="00326F74" w:rsidP="00326F74">
      <w:pPr>
        <w:widowControl/>
        <w:numPr>
          <w:ilvl w:val="1"/>
          <w:numId w:val="0"/>
        </w:numPr>
        <w:tabs>
          <w:tab w:val="num" w:pos="567"/>
        </w:tabs>
        <w:spacing w:after="120" w:line="240" w:lineRule="atLeast"/>
        <w:ind w:left="567" w:hanging="283"/>
        <w:rPr>
          <w:rFonts w:ascii="Arial" w:eastAsia="Times New Roman" w:hAnsi="Arial" w:cs="Times New Roman"/>
          <w:sz w:val="18"/>
          <w:szCs w:val="18"/>
          <w:lang w:eastAsia="en-GB"/>
        </w:rPr>
      </w:pPr>
      <w:r w:rsidRPr="00326F74">
        <w:rPr>
          <w:rFonts w:ascii="Arial" w:eastAsia="Times New Roman" w:hAnsi="Arial" w:cs="Times New Roman"/>
          <w:sz w:val="18"/>
          <w:szCs w:val="18"/>
          <w:lang w:eastAsia="en-GB"/>
        </w:rPr>
        <w:t>understanding of, and practical experience with audit engagements of a similar nature and complexity through appropriate training and participation;</w:t>
      </w:r>
    </w:p>
    <w:p w14:paraId="3E75ADE6" w14:textId="77777777" w:rsidR="00326F74" w:rsidRPr="00326F74" w:rsidRDefault="00326F74" w:rsidP="00326F74">
      <w:pPr>
        <w:widowControl/>
        <w:numPr>
          <w:ilvl w:val="1"/>
          <w:numId w:val="0"/>
        </w:numPr>
        <w:tabs>
          <w:tab w:val="num" w:pos="567"/>
        </w:tabs>
        <w:spacing w:after="120" w:line="240" w:lineRule="atLeast"/>
        <w:ind w:left="567" w:hanging="283"/>
        <w:rPr>
          <w:rFonts w:ascii="Arial" w:eastAsia="Times New Roman" w:hAnsi="Arial" w:cs="Times New Roman"/>
          <w:sz w:val="18"/>
          <w:szCs w:val="18"/>
          <w:lang w:eastAsia="en-GB"/>
        </w:rPr>
      </w:pPr>
      <w:r w:rsidRPr="00326F74">
        <w:rPr>
          <w:rFonts w:ascii="Arial" w:eastAsia="Times New Roman" w:hAnsi="Arial" w:cs="Times New Roman"/>
          <w:sz w:val="18"/>
          <w:szCs w:val="18"/>
          <w:lang w:eastAsia="en-GB"/>
        </w:rPr>
        <w:t xml:space="preserve">knowledge of the health sector and economy in which the </w:t>
      </w:r>
      <w:r w:rsidRPr="00326F74">
        <w:rPr>
          <w:rFonts w:ascii="Arial" w:eastAsia="Times New Roman" w:hAnsi="Arial" w:cs="Arial"/>
          <w:sz w:val="18"/>
          <w:szCs w:val="18"/>
          <w:shd w:val="clear" w:color="auto" w:fill="FFFFFF"/>
        </w:rPr>
        <w:t>Trust</w:t>
      </w:r>
      <w:r w:rsidRPr="00326F74">
        <w:rPr>
          <w:rFonts w:ascii="Arial" w:eastAsia="Times New Roman" w:hAnsi="Arial" w:cs="Times New Roman"/>
          <w:sz w:val="18"/>
          <w:szCs w:val="18"/>
          <w:lang w:eastAsia="en-GB"/>
        </w:rPr>
        <w:t xml:space="preserve"> operates;</w:t>
      </w:r>
    </w:p>
    <w:p w14:paraId="439D3436" w14:textId="77777777" w:rsidR="00326F74" w:rsidRPr="00326F74" w:rsidRDefault="00326F74" w:rsidP="00326F74">
      <w:pPr>
        <w:widowControl/>
        <w:numPr>
          <w:ilvl w:val="1"/>
          <w:numId w:val="0"/>
        </w:numPr>
        <w:tabs>
          <w:tab w:val="num" w:pos="567"/>
        </w:tabs>
        <w:spacing w:after="120" w:line="240" w:lineRule="atLeast"/>
        <w:ind w:left="567" w:hanging="283"/>
        <w:rPr>
          <w:rFonts w:ascii="Arial" w:eastAsia="Times New Roman" w:hAnsi="Arial" w:cs="Times New Roman"/>
          <w:sz w:val="18"/>
          <w:szCs w:val="18"/>
          <w:lang w:eastAsia="en-GB"/>
        </w:rPr>
      </w:pPr>
      <w:r w:rsidRPr="00326F74">
        <w:rPr>
          <w:rFonts w:ascii="Arial" w:eastAsia="Times New Roman" w:hAnsi="Arial" w:cs="Times New Roman"/>
          <w:sz w:val="18"/>
          <w:szCs w:val="18"/>
          <w:lang w:eastAsia="en-GB"/>
        </w:rPr>
        <w:t xml:space="preserve">understanding of the legal and regulatory requirements specific to the </w:t>
      </w:r>
      <w:r w:rsidRPr="00326F74">
        <w:rPr>
          <w:rFonts w:ascii="Arial" w:eastAsia="Times New Roman" w:hAnsi="Arial" w:cs="Arial"/>
          <w:sz w:val="18"/>
          <w:szCs w:val="18"/>
          <w:shd w:val="clear" w:color="auto" w:fill="FFFFFF"/>
        </w:rPr>
        <w:t>Trust</w:t>
      </w:r>
      <w:r w:rsidRPr="00326F74">
        <w:rPr>
          <w:rFonts w:ascii="Arial" w:eastAsia="Times New Roman" w:hAnsi="Arial" w:cs="Times New Roman"/>
          <w:sz w:val="18"/>
          <w:szCs w:val="18"/>
          <w:lang w:eastAsia="en-GB"/>
        </w:rPr>
        <w:t xml:space="preserve"> including:</w:t>
      </w:r>
    </w:p>
    <w:p w14:paraId="00E8C56D" w14:textId="77777777" w:rsidR="00326F74" w:rsidRPr="00326F74" w:rsidRDefault="00326F74" w:rsidP="00326F74">
      <w:pPr>
        <w:widowControl/>
        <w:numPr>
          <w:ilvl w:val="2"/>
          <w:numId w:val="0"/>
        </w:numPr>
        <w:tabs>
          <w:tab w:val="num" w:pos="851"/>
        </w:tabs>
        <w:spacing w:after="120" w:line="240" w:lineRule="atLeast"/>
        <w:ind w:left="851" w:hanging="284"/>
        <w:rPr>
          <w:rFonts w:ascii="Arial" w:eastAsia="Times New Roman" w:hAnsi="Arial" w:cs="Times New Roman"/>
          <w:sz w:val="18"/>
          <w:szCs w:val="18"/>
          <w:lang w:eastAsia="en-GB"/>
        </w:rPr>
      </w:pPr>
      <w:r w:rsidRPr="00326F74">
        <w:rPr>
          <w:rFonts w:ascii="Arial" w:eastAsia="Times New Roman" w:hAnsi="Arial" w:cs="Times New Roman"/>
          <w:sz w:val="18"/>
          <w:szCs w:val="18"/>
          <w:lang w:eastAsia="en-GB"/>
        </w:rPr>
        <w:t>the provisions of the applicable legislation;</w:t>
      </w:r>
    </w:p>
    <w:p w14:paraId="7CEA96D9" w14:textId="77777777" w:rsidR="00326F74" w:rsidRPr="00326F74" w:rsidRDefault="00326F74" w:rsidP="00326F74">
      <w:pPr>
        <w:widowControl/>
        <w:numPr>
          <w:ilvl w:val="2"/>
          <w:numId w:val="0"/>
        </w:numPr>
        <w:tabs>
          <w:tab w:val="num" w:pos="851"/>
        </w:tabs>
        <w:spacing w:after="120" w:line="240" w:lineRule="atLeast"/>
        <w:ind w:left="851" w:hanging="284"/>
        <w:rPr>
          <w:rFonts w:ascii="Arial" w:eastAsia="Times New Roman" w:hAnsi="Arial" w:cs="Times New Roman"/>
          <w:sz w:val="18"/>
          <w:szCs w:val="18"/>
          <w:lang w:eastAsia="en-GB"/>
        </w:rPr>
      </w:pPr>
      <w:r w:rsidRPr="00326F74">
        <w:rPr>
          <w:rFonts w:ascii="Arial" w:eastAsia="Times New Roman" w:hAnsi="Arial" w:cs="Times New Roman"/>
          <w:sz w:val="18"/>
          <w:szCs w:val="18"/>
          <w:lang w:eastAsia="en-GB"/>
        </w:rPr>
        <w:t>NHS England’s rules and related guidance;</w:t>
      </w:r>
    </w:p>
    <w:p w14:paraId="4EAA0223" w14:textId="77777777" w:rsidR="00326F74" w:rsidRPr="00326F74" w:rsidRDefault="00326F74" w:rsidP="00326F74">
      <w:pPr>
        <w:widowControl/>
        <w:numPr>
          <w:ilvl w:val="2"/>
          <w:numId w:val="0"/>
        </w:numPr>
        <w:tabs>
          <w:tab w:val="num" w:pos="851"/>
        </w:tabs>
        <w:spacing w:after="120" w:line="240" w:lineRule="atLeast"/>
        <w:ind w:left="851" w:hanging="284"/>
        <w:rPr>
          <w:rFonts w:ascii="Arial" w:eastAsia="Times New Roman" w:hAnsi="Arial" w:cs="Times New Roman"/>
          <w:sz w:val="18"/>
          <w:szCs w:val="18"/>
          <w:lang w:eastAsia="en-GB"/>
        </w:rPr>
      </w:pPr>
      <w:r w:rsidRPr="00326F74">
        <w:rPr>
          <w:rFonts w:ascii="Arial" w:eastAsia="Times New Roman" w:hAnsi="Arial" w:cs="Times New Roman"/>
          <w:sz w:val="18"/>
          <w:szCs w:val="18"/>
          <w:lang w:eastAsia="en-GB"/>
        </w:rPr>
        <w:t>the applicable statutory provisions.</w:t>
      </w:r>
    </w:p>
    <w:p w14:paraId="6B20CF1B" w14:textId="77777777" w:rsidR="00326F74" w:rsidRPr="00326F74" w:rsidRDefault="00326F74" w:rsidP="00326F74">
      <w:pPr>
        <w:widowControl/>
        <w:tabs>
          <w:tab w:val="num" w:pos="284"/>
        </w:tabs>
        <w:spacing w:after="120" w:line="240" w:lineRule="atLeast"/>
        <w:ind w:left="284" w:hanging="284"/>
        <w:rPr>
          <w:rFonts w:ascii="Arial" w:eastAsia="Times New Roman" w:hAnsi="Arial" w:cs="Times New Roman"/>
          <w:sz w:val="18"/>
          <w:szCs w:val="18"/>
          <w:lang w:eastAsia="en-GB"/>
        </w:rPr>
      </w:pPr>
      <w:r w:rsidRPr="00326F74">
        <w:rPr>
          <w:rFonts w:ascii="Arial" w:eastAsia="Times New Roman" w:hAnsi="Arial" w:cs="Times New Roman"/>
          <w:sz w:val="18"/>
          <w:szCs w:val="18"/>
          <w:lang w:eastAsia="en-GB"/>
        </w:rPr>
        <w:t>In assessing the potential risks of material misstatement, we obtained an understanding of:</w:t>
      </w:r>
    </w:p>
    <w:p w14:paraId="64B62934" w14:textId="77777777" w:rsidR="00326F74" w:rsidRPr="00326F74" w:rsidRDefault="00326F74" w:rsidP="00326F74">
      <w:pPr>
        <w:widowControl/>
        <w:numPr>
          <w:ilvl w:val="1"/>
          <w:numId w:val="0"/>
        </w:numPr>
        <w:tabs>
          <w:tab w:val="num" w:pos="567"/>
        </w:tabs>
        <w:spacing w:after="120" w:line="240" w:lineRule="atLeast"/>
        <w:ind w:left="567" w:hanging="283"/>
        <w:rPr>
          <w:rFonts w:ascii="Arial" w:eastAsia="Times New Roman" w:hAnsi="Arial" w:cs="Times New Roman"/>
          <w:sz w:val="18"/>
          <w:szCs w:val="18"/>
          <w:lang w:eastAsia="en-GB"/>
        </w:rPr>
      </w:pPr>
      <w:r w:rsidRPr="00326F74">
        <w:rPr>
          <w:rFonts w:ascii="Arial" w:eastAsia="Times New Roman" w:hAnsi="Arial" w:cs="Times New Roman"/>
          <w:sz w:val="18"/>
          <w:szCs w:val="18"/>
          <w:lang w:eastAsia="en-GB"/>
        </w:rPr>
        <w:t>The Trust’s operations, including the nature of its income and expenditure and its services and of its objectives and strategies to understand the classes of transactions, account balances,</w:t>
      </w:r>
      <w:r w:rsidRPr="00326F74">
        <w:rPr>
          <w:rFonts w:ascii="Arial" w:eastAsia="Times New Roman" w:hAnsi="Arial" w:cs="Times New Roman"/>
          <w:sz w:val="18"/>
          <w:szCs w:val="18"/>
        </w:rPr>
        <w:t xml:space="preserve"> </w:t>
      </w:r>
      <w:r w:rsidRPr="00326F74">
        <w:rPr>
          <w:rFonts w:ascii="Arial" w:eastAsia="Times New Roman" w:hAnsi="Arial" w:cs="Times New Roman"/>
          <w:sz w:val="18"/>
          <w:szCs w:val="18"/>
          <w:lang w:eastAsia="en-GB"/>
        </w:rPr>
        <w:t>expected financial statement disclosures and business risks that may result in risks of material misstatement.</w:t>
      </w:r>
    </w:p>
    <w:p w14:paraId="3B57AD65" w14:textId="77777777" w:rsidR="00326F74" w:rsidRPr="00326F74" w:rsidRDefault="00326F74" w:rsidP="00326F74">
      <w:pPr>
        <w:widowControl/>
        <w:numPr>
          <w:ilvl w:val="1"/>
          <w:numId w:val="0"/>
        </w:numPr>
        <w:tabs>
          <w:tab w:val="num" w:pos="567"/>
        </w:tabs>
        <w:spacing w:after="120" w:line="240" w:lineRule="atLeast"/>
        <w:ind w:left="567" w:hanging="283"/>
        <w:rPr>
          <w:rFonts w:ascii="Arial" w:eastAsia="Times New Roman" w:hAnsi="Arial" w:cs="Times New Roman"/>
          <w:sz w:val="18"/>
          <w:szCs w:val="18"/>
          <w:lang w:eastAsia="en-GB"/>
        </w:rPr>
      </w:pPr>
      <w:r w:rsidRPr="00326F74">
        <w:rPr>
          <w:rFonts w:ascii="Arial" w:eastAsia="Times New Roman" w:hAnsi="Arial" w:cs="Times New Roman"/>
          <w:sz w:val="18"/>
          <w:szCs w:val="18"/>
          <w:lang w:eastAsia="en-GB"/>
        </w:rPr>
        <w:t>The Trust’s control environment, including the policies and procedures implemented by the Trust to ensure compliance with the requirements of the financial reporting framework</w:t>
      </w:r>
      <w:r w:rsidRPr="00326F74">
        <w:rPr>
          <w:rFonts w:ascii="Arial" w:eastAsia="Times New Roman" w:hAnsi="Arial" w:cs="Times New Roman"/>
          <w:b/>
          <w:bCs/>
          <w:sz w:val="18"/>
          <w:szCs w:val="18"/>
          <w:lang w:eastAsia="en-GB"/>
        </w:rPr>
        <w:t>.</w:t>
      </w:r>
    </w:p>
    <w:bookmarkEnd w:id="47"/>
    <w:p w14:paraId="2DA3DF0C" w14:textId="77777777" w:rsidR="00326F74" w:rsidRPr="00326F74" w:rsidRDefault="00326F74" w:rsidP="00326F74">
      <w:pPr>
        <w:widowControl/>
        <w:spacing w:after="120" w:line="240" w:lineRule="atLeast"/>
        <w:rPr>
          <w:rFonts w:ascii="Arial" w:eastAsia="Times New Roman" w:hAnsi="Arial" w:cs="Times New Roman"/>
          <w:sz w:val="18"/>
          <w:szCs w:val="18"/>
        </w:rPr>
      </w:pPr>
      <w:r w:rsidRPr="00326F74">
        <w:rPr>
          <w:rFonts w:ascii="Arial" w:eastAsia="Times New Roman" w:hAnsi="Arial" w:cs="Times New Roman"/>
          <w:sz w:val="18"/>
          <w:szCs w:val="18"/>
        </w:rPr>
        <w:t xml:space="preserve">A further description of our responsibilities for the audit of the financial statements is located on the Financial Reporting Council’s website at: </w:t>
      </w:r>
      <w:hyperlink r:id="rId44" w:history="1">
        <w:r w:rsidRPr="00326F74">
          <w:rPr>
            <w:rFonts w:ascii="Arial" w:eastAsia="Times New Roman" w:hAnsi="Arial" w:cs="Times New Roman"/>
            <w:sz w:val="18"/>
            <w:szCs w:val="18"/>
            <w:u w:val="single"/>
            <w:lang w:val="en-GB"/>
          </w:rPr>
          <w:t>www.frc.org.uk/auditorsresponsibilities</w:t>
        </w:r>
      </w:hyperlink>
      <w:r w:rsidRPr="00326F74">
        <w:rPr>
          <w:rFonts w:ascii="Arial" w:eastAsia="Times New Roman" w:hAnsi="Arial" w:cs="Times New Roman"/>
          <w:sz w:val="18"/>
          <w:szCs w:val="18"/>
        </w:rPr>
        <w:t>. This description forms part of our auditor’s report.</w:t>
      </w:r>
    </w:p>
    <w:p w14:paraId="02B0A3A8" w14:textId="77777777" w:rsidR="00326F74" w:rsidRPr="00326F74" w:rsidRDefault="00326F74" w:rsidP="00326F74">
      <w:pPr>
        <w:keepNext/>
        <w:widowControl/>
        <w:spacing w:before="240" w:after="120" w:line="240" w:lineRule="atLeast"/>
        <w:outlineLvl w:val="2"/>
        <w:rPr>
          <w:rFonts w:ascii="Arial" w:eastAsia="Times New Roman" w:hAnsi="Arial" w:cs="Arial"/>
          <w:b/>
          <w:bCs/>
          <w:kern w:val="32"/>
          <w:sz w:val="24"/>
          <w:szCs w:val="24"/>
        </w:rPr>
      </w:pPr>
    </w:p>
    <w:p w14:paraId="4D8324C5" w14:textId="77777777" w:rsidR="00326F74" w:rsidRPr="00326F74" w:rsidRDefault="00326F74" w:rsidP="00326F74">
      <w:pPr>
        <w:keepNext/>
        <w:widowControl/>
        <w:spacing w:before="240" w:after="120" w:line="320" w:lineRule="exact"/>
        <w:outlineLvl w:val="1"/>
        <w:rPr>
          <w:rFonts w:ascii="Arial" w:eastAsia="Times New Roman" w:hAnsi="Arial" w:cs="Arial"/>
          <w:b/>
          <w:kern w:val="32"/>
          <w:sz w:val="24"/>
          <w:szCs w:val="24"/>
        </w:rPr>
      </w:pPr>
      <w:bookmarkStart w:id="50" w:name="_Hlk72138232"/>
      <w:bookmarkStart w:id="51" w:name="_Hlk73427212"/>
      <w:r w:rsidRPr="00326F74">
        <w:rPr>
          <w:rFonts w:ascii="Arial" w:eastAsia="Times New Roman" w:hAnsi="Arial" w:cs="Arial"/>
          <w:b/>
          <w:kern w:val="32"/>
          <w:sz w:val="24"/>
          <w:szCs w:val="24"/>
        </w:rPr>
        <w:t>Report on other legal and regulatory requirements – the Trust’s arrangements for securing economy, efficiency and effectiveness in its use of resources</w:t>
      </w:r>
    </w:p>
    <w:bookmarkEnd w:id="50"/>
    <w:p w14:paraId="3B267103" w14:textId="77777777" w:rsidR="00326F74" w:rsidRPr="00326F74" w:rsidRDefault="00326F74" w:rsidP="00326F74">
      <w:pPr>
        <w:keepNext/>
        <w:widowControl/>
        <w:spacing w:before="240" w:after="120" w:line="240" w:lineRule="atLeast"/>
        <w:outlineLvl w:val="2"/>
        <w:rPr>
          <w:rFonts w:ascii="Arial" w:eastAsia="Times New Roman" w:hAnsi="Arial" w:cs="Arial"/>
          <w:b/>
          <w:bCs/>
          <w:kern w:val="32"/>
          <w:sz w:val="18"/>
          <w:szCs w:val="18"/>
        </w:rPr>
      </w:pPr>
      <w:r w:rsidRPr="00326F74">
        <w:rPr>
          <w:rFonts w:ascii="Arial" w:eastAsia="Times New Roman" w:hAnsi="Arial" w:cs="Arial"/>
          <w:b/>
          <w:bCs/>
          <w:kern w:val="32"/>
          <w:sz w:val="18"/>
          <w:szCs w:val="18"/>
        </w:rPr>
        <w:t>Matter on which we are required to report by exception – the Trust’s arrangements for securing economy, efficiency and effectiveness in its use of resources</w:t>
      </w:r>
    </w:p>
    <w:p w14:paraId="4CCA4998" w14:textId="77777777" w:rsidR="00326F74" w:rsidRPr="00326F74" w:rsidRDefault="00326F74" w:rsidP="00326F74">
      <w:pPr>
        <w:widowControl/>
        <w:spacing w:after="120" w:line="240" w:lineRule="atLeast"/>
        <w:rPr>
          <w:rFonts w:ascii="Arial" w:eastAsia="Times New Roman" w:hAnsi="Arial" w:cs="Times New Roman"/>
          <w:sz w:val="18"/>
          <w:szCs w:val="18"/>
        </w:rPr>
      </w:pPr>
      <w:r w:rsidRPr="00326F74">
        <w:rPr>
          <w:rFonts w:ascii="Arial" w:eastAsia="Times New Roman" w:hAnsi="Arial" w:cs="Times New Roman"/>
          <w:sz w:val="18"/>
          <w:szCs w:val="18"/>
        </w:rPr>
        <w:t>Under the Code of Audit Practice, we are required to report to you if, in our opinion, we have not been able to satisfy ourselves that the Trust has made proper arrangements for securing economy, efficiency and effectiveness in its use of resources for the year ended 31 March 2025.</w:t>
      </w:r>
    </w:p>
    <w:p w14:paraId="07762D54" w14:textId="77777777" w:rsidR="00326F74" w:rsidRPr="00326F74" w:rsidRDefault="00326F74" w:rsidP="00326F74">
      <w:pPr>
        <w:widowControl/>
        <w:spacing w:after="120" w:line="240" w:lineRule="atLeast"/>
        <w:rPr>
          <w:rFonts w:ascii="Arial" w:eastAsia="Times New Roman" w:hAnsi="Arial" w:cs="Times New Roman"/>
          <w:sz w:val="18"/>
          <w:szCs w:val="18"/>
        </w:rPr>
      </w:pPr>
      <w:bookmarkStart w:id="52" w:name="_Hlk72837807"/>
      <w:r w:rsidRPr="00326F74">
        <w:rPr>
          <w:rFonts w:ascii="Arial" w:eastAsia="Times New Roman" w:hAnsi="Arial" w:cs="Times New Roman"/>
          <w:sz w:val="18"/>
          <w:szCs w:val="18"/>
          <w:lang w:val="en-GB"/>
        </w:rPr>
        <w:t xml:space="preserve">We have nothing to report regarding the above matter, except that on 14 June 2024, we identified a significant weakness in how the Trust plans and manages its resources to ensure that it can continue to deliver its services. In our 2024/25 assessment we reported the Trust delivered a </w:t>
      </w:r>
      <w:r w:rsidRPr="00326F74">
        <w:rPr>
          <w:rFonts w:ascii="Arial" w:eastAsia="Times New Roman" w:hAnsi="Arial" w:cs="Times New Roman"/>
          <w:sz w:val="18"/>
          <w:szCs w:val="18"/>
        </w:rPr>
        <w:t xml:space="preserve">full-year deficit of £22.4m supported by £25.4m in deficit funding. The Trust’s cost improvement plan for 2025/26 totaling £45.4m, still has a large proportion of unidentified schemes and a financial recovery plan has not been finalized. As such, we recommended the Trust should: </w:t>
      </w:r>
    </w:p>
    <w:p w14:paraId="5BB5B293" w14:textId="77777777" w:rsidR="00326F74" w:rsidRPr="00326F74" w:rsidRDefault="00326F74" w:rsidP="00326F74">
      <w:pPr>
        <w:widowControl/>
        <w:numPr>
          <w:ilvl w:val="0"/>
          <w:numId w:val="66"/>
        </w:numPr>
        <w:spacing w:after="120" w:line="240" w:lineRule="atLeast"/>
        <w:rPr>
          <w:rFonts w:ascii="Arial" w:eastAsia="Times New Roman" w:hAnsi="Arial" w:cs="Times New Roman"/>
          <w:sz w:val="18"/>
          <w:szCs w:val="18"/>
          <w:lang w:val="en-GB"/>
        </w:rPr>
      </w:pPr>
      <w:r w:rsidRPr="00326F74">
        <w:rPr>
          <w:rFonts w:ascii="Arial" w:eastAsia="Times New Roman" w:hAnsi="Arial" w:cs="Times New Roman"/>
          <w:sz w:val="18"/>
          <w:szCs w:val="18"/>
          <w:lang w:val="en-GB"/>
        </w:rPr>
        <w:t xml:space="preserve">Develop and agree with system partners a financial recovery plan, supported by a credible multiyear pipeline of efficiency programmes; </w:t>
      </w:r>
    </w:p>
    <w:p w14:paraId="6490A10B" w14:textId="77777777" w:rsidR="00326F74" w:rsidRPr="00326F74" w:rsidRDefault="00326F74" w:rsidP="00326F74">
      <w:pPr>
        <w:widowControl/>
        <w:numPr>
          <w:ilvl w:val="0"/>
          <w:numId w:val="66"/>
        </w:numPr>
        <w:spacing w:after="120" w:line="240" w:lineRule="atLeast"/>
        <w:rPr>
          <w:rFonts w:ascii="Arial" w:eastAsia="Times New Roman" w:hAnsi="Arial" w:cs="Times New Roman"/>
          <w:sz w:val="18"/>
          <w:szCs w:val="18"/>
          <w:lang w:val="en-GB"/>
        </w:rPr>
      </w:pPr>
      <w:r w:rsidRPr="00326F74">
        <w:rPr>
          <w:rFonts w:ascii="Arial" w:eastAsia="Times New Roman" w:hAnsi="Arial" w:cs="Times New Roman"/>
          <w:sz w:val="18"/>
          <w:szCs w:val="18"/>
          <w:lang w:val="en-GB"/>
        </w:rPr>
        <w:lastRenderedPageBreak/>
        <w:t>Develop and deliver recurrent costs savings schemes in line with the internal CIP target and work with partners to convert the high-level system actions into tangible savings schemes.  This should be done at pace and at the latest, by the end of quarter one 2025/26.</w:t>
      </w:r>
    </w:p>
    <w:bookmarkEnd w:id="52"/>
    <w:p w14:paraId="1B7F1590" w14:textId="77777777" w:rsidR="00326F74" w:rsidRPr="00326F74" w:rsidRDefault="00326F74" w:rsidP="00326F74">
      <w:pPr>
        <w:keepNext/>
        <w:widowControl/>
        <w:spacing w:before="240" w:after="120" w:line="240" w:lineRule="atLeast"/>
        <w:outlineLvl w:val="2"/>
        <w:rPr>
          <w:rFonts w:ascii="Arial" w:eastAsia="Times New Roman" w:hAnsi="Arial" w:cs="Arial"/>
          <w:b/>
          <w:bCs/>
          <w:kern w:val="32"/>
          <w:sz w:val="18"/>
          <w:szCs w:val="18"/>
        </w:rPr>
      </w:pPr>
      <w:r w:rsidRPr="00326F74">
        <w:rPr>
          <w:rFonts w:ascii="Arial" w:eastAsia="Times New Roman" w:hAnsi="Arial" w:cs="Arial"/>
          <w:b/>
          <w:bCs/>
          <w:kern w:val="32"/>
          <w:sz w:val="18"/>
          <w:szCs w:val="18"/>
        </w:rPr>
        <w:t>Responsibilities of the Accounting Officer</w:t>
      </w:r>
    </w:p>
    <w:p w14:paraId="756B04BC" w14:textId="77777777" w:rsidR="00326F74" w:rsidRPr="00326F74" w:rsidRDefault="00326F74" w:rsidP="00326F74">
      <w:pPr>
        <w:widowControl/>
        <w:spacing w:after="120" w:line="240" w:lineRule="atLeast"/>
        <w:rPr>
          <w:rFonts w:ascii="Arial" w:eastAsia="Times New Roman" w:hAnsi="Arial" w:cs="Times New Roman"/>
          <w:sz w:val="18"/>
          <w:szCs w:val="18"/>
        </w:rPr>
      </w:pPr>
      <w:r w:rsidRPr="00326F74">
        <w:rPr>
          <w:rFonts w:ascii="Arial" w:eastAsia="Times New Roman" w:hAnsi="Arial" w:cs="Times New Roman"/>
          <w:sz w:val="18"/>
          <w:szCs w:val="18"/>
        </w:rPr>
        <w:t>The Chief Executive, as Accounting Officer, is responsible for putting in place proper arrangements for securing economy, efficiency and effectiveness in the use of the Trust's resources.</w:t>
      </w:r>
    </w:p>
    <w:p w14:paraId="25A18ED1" w14:textId="77777777" w:rsidR="00326F74" w:rsidRPr="00326F74" w:rsidRDefault="00326F74" w:rsidP="00326F74">
      <w:pPr>
        <w:keepNext/>
        <w:widowControl/>
        <w:spacing w:before="240" w:after="120" w:line="240" w:lineRule="atLeast"/>
        <w:outlineLvl w:val="2"/>
        <w:rPr>
          <w:rFonts w:ascii="Arial" w:eastAsia="Times New Roman" w:hAnsi="Arial" w:cs="Arial"/>
          <w:b/>
          <w:bCs/>
          <w:kern w:val="32"/>
          <w:sz w:val="18"/>
          <w:szCs w:val="18"/>
        </w:rPr>
      </w:pPr>
      <w:r w:rsidRPr="00326F74">
        <w:rPr>
          <w:rFonts w:ascii="Arial" w:eastAsia="Times New Roman" w:hAnsi="Arial" w:cs="Arial"/>
          <w:b/>
          <w:bCs/>
          <w:kern w:val="32"/>
          <w:sz w:val="18"/>
          <w:szCs w:val="18"/>
        </w:rPr>
        <w:t>Auditor’s responsibilities for the review of the Trust’s arrangements for securing economy, efficiency and effectiveness in its use of resources</w:t>
      </w:r>
    </w:p>
    <w:p w14:paraId="41F0BEC5" w14:textId="77777777" w:rsidR="00326F74" w:rsidRPr="00326F74" w:rsidRDefault="00326F74" w:rsidP="00326F74">
      <w:pPr>
        <w:widowControl/>
        <w:spacing w:after="120" w:line="240" w:lineRule="atLeast"/>
        <w:rPr>
          <w:rFonts w:ascii="Arial" w:eastAsia="Times New Roman" w:hAnsi="Arial" w:cs="Times New Roman"/>
          <w:sz w:val="18"/>
          <w:szCs w:val="18"/>
        </w:rPr>
      </w:pPr>
      <w:r w:rsidRPr="00326F74">
        <w:rPr>
          <w:rFonts w:ascii="Arial" w:eastAsia="Times New Roman" w:hAnsi="Arial" w:cs="Times New Roman"/>
          <w:sz w:val="18"/>
          <w:szCs w:val="18"/>
        </w:rPr>
        <w:t>We are required under paragraph 1 of Schedule 10 of the National Health Service Act 2006 to be satisfied that the Trust has made proper arrangements for securing economy, efficiency and effectiveness in its use of resources. We are not required to consider, nor have we considered, whether all aspects of the Trust's arrangements for securing economy, efficiency and effectiveness in its use of resources are operating effectively.</w:t>
      </w:r>
    </w:p>
    <w:p w14:paraId="4BD3530C" w14:textId="77777777" w:rsidR="00326F74" w:rsidRPr="00326F74" w:rsidRDefault="00326F74" w:rsidP="00326F74">
      <w:pPr>
        <w:widowControl/>
        <w:spacing w:after="120" w:line="240" w:lineRule="atLeast"/>
        <w:rPr>
          <w:rFonts w:ascii="Arial" w:eastAsia="Times New Roman" w:hAnsi="Arial" w:cs="Times New Roman"/>
          <w:sz w:val="18"/>
          <w:szCs w:val="18"/>
        </w:rPr>
      </w:pPr>
      <w:r w:rsidRPr="00326F74">
        <w:rPr>
          <w:rFonts w:ascii="Arial" w:eastAsia="Times New Roman" w:hAnsi="Arial" w:cs="Times New Roman"/>
          <w:sz w:val="18"/>
          <w:szCs w:val="18"/>
        </w:rPr>
        <w:t xml:space="preserve">We have undertaken our review in accordance with the Code of Audit Practice, having regard to the guidance issued by the Comptroller and Auditor General in November 2024. This guidance sets out the arrangements that fall within the scope of ‘proper </w:t>
      </w:r>
      <w:proofErr w:type="gramStart"/>
      <w:r w:rsidRPr="00326F74">
        <w:rPr>
          <w:rFonts w:ascii="Arial" w:eastAsia="Times New Roman" w:hAnsi="Arial" w:cs="Times New Roman"/>
          <w:sz w:val="18"/>
          <w:szCs w:val="18"/>
        </w:rPr>
        <w:t>arrangements’</w:t>
      </w:r>
      <w:proofErr w:type="gramEnd"/>
      <w:r w:rsidRPr="00326F74">
        <w:rPr>
          <w:rFonts w:ascii="Arial" w:eastAsia="Times New Roman" w:hAnsi="Arial" w:cs="Times New Roman"/>
          <w:sz w:val="18"/>
          <w:szCs w:val="18"/>
        </w:rPr>
        <w:t>. When reporting on these arrangements, the Code of Audit Practice requires auditors to structure their commentary on arrangements under three specified reporting criteria:</w:t>
      </w:r>
    </w:p>
    <w:p w14:paraId="0525D824" w14:textId="77777777" w:rsidR="00326F74" w:rsidRPr="00326F74" w:rsidRDefault="00326F74" w:rsidP="00326F74">
      <w:pPr>
        <w:widowControl/>
        <w:numPr>
          <w:ilvl w:val="0"/>
          <w:numId w:val="63"/>
        </w:numPr>
        <w:spacing w:after="120" w:line="240" w:lineRule="atLeast"/>
        <w:rPr>
          <w:rFonts w:ascii="Arial" w:eastAsia="Times New Roman" w:hAnsi="Arial" w:cs="Times New Roman"/>
          <w:sz w:val="18"/>
          <w:szCs w:val="18"/>
        </w:rPr>
      </w:pPr>
      <w:r w:rsidRPr="00326F74">
        <w:rPr>
          <w:rFonts w:ascii="Arial" w:eastAsia="Times New Roman" w:hAnsi="Arial" w:cs="Times New Roman"/>
          <w:sz w:val="18"/>
          <w:szCs w:val="18"/>
        </w:rPr>
        <w:t>Financial sustainability: how the Trust plans and manages its resources to ensure it can continue to deliver its services;</w:t>
      </w:r>
    </w:p>
    <w:p w14:paraId="17E19C52" w14:textId="77777777" w:rsidR="00326F74" w:rsidRPr="00326F74" w:rsidRDefault="00326F74" w:rsidP="00326F74">
      <w:pPr>
        <w:widowControl/>
        <w:numPr>
          <w:ilvl w:val="0"/>
          <w:numId w:val="63"/>
        </w:numPr>
        <w:spacing w:after="120" w:line="240" w:lineRule="atLeast"/>
        <w:rPr>
          <w:rFonts w:ascii="Arial" w:eastAsia="Times New Roman" w:hAnsi="Arial" w:cs="Times New Roman"/>
          <w:sz w:val="18"/>
          <w:szCs w:val="18"/>
        </w:rPr>
      </w:pPr>
      <w:r w:rsidRPr="00326F74">
        <w:rPr>
          <w:rFonts w:ascii="Arial" w:eastAsia="Times New Roman" w:hAnsi="Arial" w:cs="Times New Roman"/>
          <w:sz w:val="18"/>
          <w:szCs w:val="18"/>
        </w:rPr>
        <w:t>Governance: how the Trust ensures that it makes informed decisions and properly manages its risks; and</w:t>
      </w:r>
    </w:p>
    <w:p w14:paraId="4536B4F4" w14:textId="77777777" w:rsidR="00326F74" w:rsidRPr="00326F74" w:rsidRDefault="00326F74" w:rsidP="00326F74">
      <w:pPr>
        <w:widowControl/>
        <w:numPr>
          <w:ilvl w:val="0"/>
          <w:numId w:val="63"/>
        </w:numPr>
        <w:spacing w:after="120" w:line="240" w:lineRule="atLeast"/>
        <w:rPr>
          <w:rFonts w:ascii="Arial" w:eastAsia="Times New Roman" w:hAnsi="Arial" w:cs="Times New Roman"/>
          <w:sz w:val="18"/>
          <w:szCs w:val="18"/>
        </w:rPr>
      </w:pPr>
      <w:r w:rsidRPr="00326F74">
        <w:rPr>
          <w:rFonts w:ascii="Arial" w:eastAsia="Times New Roman" w:hAnsi="Arial" w:cs="Times New Roman"/>
          <w:sz w:val="18"/>
          <w:szCs w:val="18"/>
        </w:rPr>
        <w:t>Improving economy, efficiency and effectiveness: how the Trust uses information about its costs and performance to improve the way it manages and delivers its services.</w:t>
      </w:r>
    </w:p>
    <w:p w14:paraId="595B2E35" w14:textId="4E986F0D" w:rsidR="00326F74" w:rsidRPr="00326F74" w:rsidRDefault="00326F74" w:rsidP="00326F74">
      <w:pPr>
        <w:widowControl/>
        <w:spacing w:after="120" w:line="240" w:lineRule="atLeast"/>
        <w:rPr>
          <w:rFonts w:ascii="Arial" w:eastAsia="Times New Roman" w:hAnsi="Arial" w:cs="Times New Roman"/>
          <w:sz w:val="18"/>
          <w:szCs w:val="18"/>
        </w:rPr>
      </w:pPr>
      <w:r w:rsidRPr="00326F74">
        <w:rPr>
          <w:rFonts w:ascii="Arial" w:eastAsia="Times New Roman" w:hAnsi="Arial" w:cs="Times New Roman"/>
          <w:sz w:val="18"/>
          <w:szCs w:val="18"/>
        </w:rPr>
        <w:t>We have documented our understanding of the arrangements the Trust has in place for each of these three specified reporting criteria, gathering sufficient evidence to support our risk assessment and commentary in our Auditor’s Annual Report. In undertaking our work, we have considered whether there is evidence to suggest that there are significant weaknesses in arrangements.</w:t>
      </w:r>
      <w:bookmarkEnd w:id="51"/>
    </w:p>
    <w:p w14:paraId="1A088990" w14:textId="77777777" w:rsidR="00326F74" w:rsidRPr="00326F74" w:rsidRDefault="00326F74" w:rsidP="00326F74">
      <w:pPr>
        <w:keepNext/>
        <w:widowControl/>
        <w:spacing w:before="240" w:after="120" w:line="240" w:lineRule="atLeast"/>
        <w:outlineLvl w:val="2"/>
        <w:rPr>
          <w:rFonts w:ascii="Arial" w:eastAsia="Times New Roman" w:hAnsi="Arial" w:cs="Arial"/>
          <w:b/>
          <w:bCs/>
          <w:kern w:val="32"/>
          <w:sz w:val="24"/>
          <w:szCs w:val="24"/>
        </w:rPr>
      </w:pPr>
      <w:r w:rsidRPr="00326F74">
        <w:rPr>
          <w:rFonts w:ascii="Arial" w:eastAsia="Times New Roman" w:hAnsi="Arial" w:cs="Arial"/>
          <w:b/>
          <w:bCs/>
          <w:kern w:val="32"/>
          <w:sz w:val="24"/>
          <w:szCs w:val="24"/>
        </w:rPr>
        <w:t xml:space="preserve">Report on other legal and regulatory requirements – </w:t>
      </w:r>
      <w:bookmarkStart w:id="53" w:name="_Hlk72837967"/>
      <w:r w:rsidRPr="00326F74">
        <w:rPr>
          <w:rFonts w:ascii="Arial" w:eastAsia="Times New Roman" w:hAnsi="Arial" w:cs="Arial"/>
          <w:b/>
          <w:bCs/>
          <w:kern w:val="32"/>
          <w:sz w:val="24"/>
          <w:szCs w:val="24"/>
        </w:rPr>
        <w:t>Delay in certification of completion of the audit</w:t>
      </w:r>
    </w:p>
    <w:p w14:paraId="549218C7" w14:textId="77777777" w:rsidR="00326F74" w:rsidRPr="00326F74" w:rsidRDefault="00326F74" w:rsidP="00326F74">
      <w:pPr>
        <w:widowControl/>
        <w:spacing w:after="120" w:line="240" w:lineRule="atLeast"/>
        <w:rPr>
          <w:rFonts w:ascii="Arial" w:eastAsia="Times New Roman" w:hAnsi="Arial" w:cs="Times New Roman"/>
          <w:sz w:val="16"/>
          <w:szCs w:val="16"/>
          <w:lang w:val="en-GB"/>
        </w:rPr>
      </w:pPr>
      <w:r w:rsidRPr="00326F74">
        <w:rPr>
          <w:rFonts w:ascii="Arial" w:eastAsia="Times New Roman" w:hAnsi="Arial" w:cs="Times New Roman"/>
          <w:sz w:val="18"/>
          <w:szCs w:val="18"/>
        </w:rPr>
        <w:t xml:space="preserve">We cannot formally conclude the audit and issue an audit certificate for </w:t>
      </w:r>
      <w:r w:rsidRPr="00326F74">
        <w:rPr>
          <w:rFonts w:ascii="Arial" w:eastAsia="Times New Roman" w:hAnsi="Arial" w:cs="Arial"/>
          <w:sz w:val="18"/>
          <w:szCs w:val="18"/>
        </w:rPr>
        <w:t xml:space="preserve">Medway NHS Foundation Trust </w:t>
      </w:r>
      <w:r w:rsidRPr="00326F74">
        <w:rPr>
          <w:rFonts w:ascii="Arial" w:eastAsia="Times New Roman" w:hAnsi="Arial" w:cs="Times New Roman"/>
          <w:sz w:val="18"/>
          <w:szCs w:val="18"/>
          <w:lang w:val="en-GB"/>
        </w:rPr>
        <w:t xml:space="preserve">for the year ended 31 March 2025 in accordance with the requirements of </w:t>
      </w:r>
      <w:r w:rsidRPr="00326F74">
        <w:rPr>
          <w:rFonts w:ascii="Arial" w:eastAsia="Times New Roman" w:hAnsi="Arial" w:cs="Times New Roman"/>
          <w:sz w:val="18"/>
          <w:szCs w:val="18"/>
        </w:rPr>
        <w:t xml:space="preserve">Chapter 10 of the National Health Service Act 2006 </w:t>
      </w:r>
      <w:r w:rsidRPr="00326F74">
        <w:rPr>
          <w:rFonts w:ascii="Arial" w:eastAsia="Times New Roman" w:hAnsi="Arial" w:cs="Times New Roman"/>
          <w:sz w:val="18"/>
          <w:szCs w:val="18"/>
          <w:lang w:val="en-GB"/>
        </w:rPr>
        <w:t>and the Code of Audit Practice until we have completed the work necessary in relation to the Trust’s consolidation schedules, and we have received confirmation from the National Audit Office that the audit of the NHS group consolidation is complete for the year ended 31 March 2025. We are satisfied that this work does not have a material effect on the financial statements for the year ended 31 March 2025.</w:t>
      </w:r>
    </w:p>
    <w:bookmarkEnd w:id="53"/>
    <w:p w14:paraId="03CD5E5E" w14:textId="77777777" w:rsidR="00326F74" w:rsidRPr="00326F74" w:rsidRDefault="00326F74" w:rsidP="00326F74">
      <w:pPr>
        <w:keepNext/>
        <w:widowControl/>
        <w:spacing w:before="240" w:after="120" w:line="240" w:lineRule="atLeast"/>
        <w:outlineLvl w:val="2"/>
        <w:rPr>
          <w:rFonts w:ascii="Arial" w:eastAsia="Times New Roman" w:hAnsi="Arial" w:cs="Arial"/>
          <w:b/>
          <w:bCs/>
          <w:kern w:val="32"/>
          <w:sz w:val="18"/>
          <w:szCs w:val="18"/>
        </w:rPr>
      </w:pPr>
      <w:r w:rsidRPr="00326F74">
        <w:rPr>
          <w:rFonts w:ascii="Arial" w:eastAsia="Times New Roman" w:hAnsi="Arial" w:cs="Arial"/>
          <w:b/>
          <w:bCs/>
          <w:kern w:val="32"/>
          <w:sz w:val="18"/>
          <w:szCs w:val="18"/>
        </w:rPr>
        <w:t>Use of our report</w:t>
      </w:r>
    </w:p>
    <w:p w14:paraId="29356BFD" w14:textId="2D1D0D6A" w:rsidR="00326F74" w:rsidRPr="00326F74" w:rsidRDefault="00326F74" w:rsidP="00326F74">
      <w:pPr>
        <w:widowControl/>
        <w:spacing w:after="120" w:line="240" w:lineRule="atLeast"/>
        <w:rPr>
          <w:rFonts w:ascii="Arial" w:eastAsia="Times New Roman" w:hAnsi="Arial" w:cs="Times New Roman"/>
          <w:sz w:val="18"/>
          <w:szCs w:val="18"/>
        </w:rPr>
      </w:pPr>
      <w:r w:rsidRPr="00326F74">
        <w:rPr>
          <w:rFonts w:ascii="Arial" w:eastAsia="Times New Roman" w:hAnsi="Arial" w:cs="Times New Roman"/>
          <w:sz w:val="18"/>
          <w:szCs w:val="18"/>
        </w:rPr>
        <w:t>This report is made solely to the Council of Governors of the Trust, as a body, in accordance with Schedule 10 of the National Health Service Act 2006. Our audit work has been undertaken so that we might state to the Trust’s Council of Governors those matters we are required to state to them in an auditor’s report and for no other purpose. To the fullest extent permitted by law, we do not accept or assume responsibility to anyone other than the Trust and the Trust’s Council of Governors as a body, for our audit work, for this report, or for the opinions we have formed.</w:t>
      </w:r>
    </w:p>
    <w:p w14:paraId="017CA0A8" w14:textId="77777777" w:rsidR="00326F74" w:rsidRPr="00326F74" w:rsidRDefault="00326F74" w:rsidP="00326F74">
      <w:pPr>
        <w:widowControl/>
        <w:spacing w:after="120" w:line="240" w:lineRule="atLeast"/>
        <w:rPr>
          <w:rFonts w:ascii="Freestyle Script" w:eastAsia="Times New Roman" w:hAnsi="Freestyle Script" w:cs="Times New Roman"/>
          <w:b/>
          <w:sz w:val="32"/>
          <w:szCs w:val="32"/>
        </w:rPr>
      </w:pPr>
      <w:r w:rsidRPr="00326F74">
        <w:rPr>
          <w:rFonts w:ascii="Freestyle Script" w:eastAsia="Times New Roman" w:hAnsi="Freestyle Script" w:cs="Times New Roman"/>
          <w:bCs/>
          <w:sz w:val="32"/>
          <w:szCs w:val="32"/>
        </w:rPr>
        <w:t>Darren Wells</w:t>
      </w:r>
    </w:p>
    <w:p w14:paraId="3252CA06" w14:textId="77777777" w:rsidR="00326F74" w:rsidRDefault="00326F74" w:rsidP="00326F74">
      <w:pPr>
        <w:widowControl/>
        <w:spacing w:line="240" w:lineRule="atLeast"/>
        <w:rPr>
          <w:rFonts w:ascii="Arial" w:eastAsia="Times New Roman" w:hAnsi="Arial" w:cs="Times New Roman"/>
          <w:bCs/>
          <w:sz w:val="18"/>
          <w:szCs w:val="18"/>
        </w:rPr>
      </w:pPr>
      <w:r w:rsidRPr="00326F74">
        <w:rPr>
          <w:rFonts w:ascii="Arial" w:eastAsia="Times New Roman" w:hAnsi="Arial" w:cs="Times New Roman"/>
          <w:bCs/>
          <w:sz w:val="18"/>
          <w:szCs w:val="18"/>
        </w:rPr>
        <w:t>Darren Wells, Key Audit Partner</w:t>
      </w:r>
    </w:p>
    <w:p w14:paraId="226480B0" w14:textId="5C93EF5E" w:rsidR="00326F74" w:rsidRPr="00326F74" w:rsidRDefault="00326F74" w:rsidP="00326F74">
      <w:pPr>
        <w:widowControl/>
        <w:spacing w:line="240" w:lineRule="atLeast"/>
        <w:rPr>
          <w:rFonts w:ascii="Arial" w:eastAsia="Times New Roman" w:hAnsi="Arial" w:cs="Times New Roman"/>
          <w:bCs/>
          <w:sz w:val="18"/>
          <w:szCs w:val="18"/>
        </w:rPr>
      </w:pPr>
      <w:r w:rsidRPr="00326F74">
        <w:rPr>
          <w:rFonts w:ascii="Arial" w:eastAsia="Times New Roman" w:hAnsi="Arial" w:cs="Times New Roman"/>
          <w:bCs/>
          <w:sz w:val="18"/>
          <w:szCs w:val="18"/>
        </w:rPr>
        <w:t>for and on behalf of Grant Thornton UK LLP, Local Auditor</w:t>
      </w:r>
    </w:p>
    <w:p w14:paraId="04A9AF2E" w14:textId="77777777" w:rsidR="00326F74" w:rsidRPr="00326F74" w:rsidRDefault="00326F74" w:rsidP="00326F74">
      <w:pPr>
        <w:widowControl/>
        <w:spacing w:line="240" w:lineRule="atLeast"/>
        <w:rPr>
          <w:rFonts w:ascii="Arial" w:eastAsia="Times New Roman" w:hAnsi="Arial" w:cs="Times New Roman"/>
          <w:bCs/>
          <w:sz w:val="18"/>
          <w:szCs w:val="18"/>
        </w:rPr>
      </w:pPr>
      <w:r w:rsidRPr="00326F74">
        <w:rPr>
          <w:rFonts w:ascii="Arial" w:eastAsia="Times New Roman" w:hAnsi="Arial" w:cs="Times New Roman"/>
          <w:bCs/>
          <w:sz w:val="18"/>
          <w:szCs w:val="18"/>
        </w:rPr>
        <w:t>London</w:t>
      </w:r>
    </w:p>
    <w:p w14:paraId="7CB21B43" w14:textId="77777777" w:rsidR="00326F74" w:rsidRPr="00326F74" w:rsidRDefault="00326F74" w:rsidP="00326F74">
      <w:pPr>
        <w:widowControl/>
        <w:spacing w:line="240" w:lineRule="atLeast"/>
        <w:rPr>
          <w:rFonts w:ascii="Arial" w:eastAsia="Times New Roman" w:hAnsi="Arial" w:cs="Times New Roman"/>
          <w:bCs/>
          <w:sz w:val="18"/>
          <w:szCs w:val="18"/>
        </w:rPr>
      </w:pPr>
      <w:r w:rsidRPr="00326F74">
        <w:rPr>
          <w:rFonts w:ascii="Arial" w:eastAsia="Times New Roman" w:hAnsi="Arial" w:cs="Times New Roman"/>
          <w:bCs/>
          <w:sz w:val="18"/>
          <w:szCs w:val="18"/>
        </w:rPr>
        <w:t>25 June 2025</w:t>
      </w:r>
    </w:p>
    <w:p w14:paraId="2CBE83F7" w14:textId="23D96357" w:rsidR="00A7627B" w:rsidRDefault="00A7627B" w:rsidP="00F46465">
      <w:pPr>
        <w:rPr>
          <w:rFonts w:ascii="Arial" w:hAnsi="Arial" w:cs="Arial"/>
          <w:sz w:val="20"/>
          <w:szCs w:val="20"/>
          <w:lang w:val="en-GB"/>
        </w:rPr>
      </w:pPr>
    </w:p>
    <w:bookmarkEnd w:id="41"/>
    <w:bookmarkEnd w:id="42"/>
    <w:p w14:paraId="31BA83A7" w14:textId="77777777" w:rsidR="005C29FF" w:rsidRPr="009301DF" w:rsidRDefault="005C29FF" w:rsidP="002D15F6">
      <w:pPr>
        <w:rPr>
          <w:rFonts w:ascii="Arial" w:hAnsi="Arial" w:cs="Arial"/>
          <w:sz w:val="20"/>
          <w:szCs w:val="20"/>
          <w:highlight w:val="yellow"/>
          <w:lang w:val="en-GB"/>
        </w:rPr>
        <w:sectPr w:rsidR="005C29FF" w:rsidRPr="009301DF" w:rsidSect="0045689C">
          <w:footerReference w:type="default" r:id="rId45"/>
          <w:type w:val="continuous"/>
          <w:pgSz w:w="11906" w:h="16838"/>
          <w:pgMar w:top="1440" w:right="1440" w:bottom="1418" w:left="1440" w:header="708" w:footer="81" w:gutter="0"/>
          <w:cols w:space="708"/>
          <w:docGrid w:linePitch="360"/>
        </w:sectPr>
      </w:pPr>
    </w:p>
    <w:p w14:paraId="5B5959D6" w14:textId="77777777" w:rsidR="00991783" w:rsidRDefault="00BB1165" w:rsidP="00DD1B79">
      <w:pPr>
        <w:jc w:val="center"/>
        <w:rPr>
          <w:rFonts w:ascii="Arial" w:hAnsi="Arial" w:cs="Arial"/>
          <w:b/>
          <w:sz w:val="28"/>
          <w:szCs w:val="28"/>
          <w:lang w:val="en-GB"/>
        </w:rPr>
      </w:pPr>
      <w:r w:rsidRPr="00BB1165">
        <w:rPr>
          <w:rFonts w:ascii="Times New Roman" w:eastAsia="Times New Roman" w:hAnsi="Times New Roman" w:cs="Times New Roman"/>
          <w:noProof/>
          <w:sz w:val="24"/>
          <w:szCs w:val="24"/>
          <w:lang w:val="en-GB" w:eastAsia="en-GB"/>
        </w:rPr>
        <w:lastRenderedPageBreak/>
        <w:drawing>
          <wp:anchor distT="0" distB="0" distL="114300" distR="114300" simplePos="0" relativeHeight="251823104" behindDoc="0" locked="0" layoutInCell="1" allowOverlap="1" wp14:anchorId="217CC951" wp14:editId="4B43E9FD">
            <wp:simplePos x="0" y="0"/>
            <wp:positionH relativeFrom="column">
              <wp:posOffset>-431555</wp:posOffset>
            </wp:positionH>
            <wp:positionV relativeFrom="page">
              <wp:posOffset>-27940</wp:posOffset>
            </wp:positionV>
            <wp:extent cx="7560945" cy="10692765"/>
            <wp:effectExtent l="0" t="0" r="1905" b="0"/>
            <wp:wrapNone/>
            <wp:docPr id="25" name="Picture 25" descr="Image of a nurse in blue uniform sat at a desk on the computer smi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na.Almond\Downloads\Annual Accounts.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560945" cy="10692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D83B1D" w14:textId="77777777" w:rsidR="00991783" w:rsidRDefault="00991783" w:rsidP="00DD1B79">
      <w:pPr>
        <w:jc w:val="center"/>
        <w:rPr>
          <w:rFonts w:ascii="Arial" w:hAnsi="Arial" w:cs="Arial"/>
          <w:b/>
          <w:sz w:val="28"/>
          <w:szCs w:val="28"/>
          <w:lang w:val="en-GB"/>
        </w:rPr>
      </w:pPr>
    </w:p>
    <w:p w14:paraId="3B608F3E" w14:textId="77777777" w:rsidR="00BB1165" w:rsidRPr="00BB1165" w:rsidRDefault="00BB1165" w:rsidP="00BB1165">
      <w:pPr>
        <w:widowControl/>
        <w:spacing w:before="100" w:beforeAutospacing="1" w:after="100" w:afterAutospacing="1"/>
        <w:rPr>
          <w:rFonts w:ascii="Times New Roman" w:eastAsia="Times New Roman" w:hAnsi="Times New Roman" w:cs="Times New Roman"/>
          <w:sz w:val="24"/>
          <w:szCs w:val="24"/>
          <w:lang w:val="en-GB" w:eastAsia="en-GB"/>
        </w:rPr>
      </w:pPr>
    </w:p>
    <w:p w14:paraId="026410D9" w14:textId="77777777" w:rsidR="00BB1165" w:rsidRDefault="00BB1165" w:rsidP="00DD1B79">
      <w:pPr>
        <w:jc w:val="center"/>
        <w:rPr>
          <w:rFonts w:ascii="Arial" w:hAnsi="Arial" w:cs="Arial"/>
          <w:b/>
          <w:sz w:val="28"/>
          <w:szCs w:val="28"/>
          <w:lang w:val="en-GB"/>
        </w:rPr>
      </w:pPr>
    </w:p>
    <w:p w14:paraId="022D7F7A" w14:textId="77777777" w:rsidR="00E91426" w:rsidRPr="00E91426" w:rsidRDefault="00BB1165" w:rsidP="00E91426">
      <w:pPr>
        <w:jc w:val="center"/>
        <w:rPr>
          <w:rFonts w:ascii="Arial" w:eastAsia="Calibri" w:hAnsi="Arial" w:cs="Arial"/>
          <w:b/>
          <w:sz w:val="20"/>
          <w:szCs w:val="20"/>
          <w:lang w:val="en-GB"/>
        </w:rPr>
      </w:pPr>
      <w:r>
        <w:rPr>
          <w:rFonts w:ascii="Arial" w:hAnsi="Arial" w:cs="Arial"/>
          <w:b/>
          <w:sz w:val="28"/>
          <w:szCs w:val="28"/>
          <w:lang w:val="en-GB"/>
        </w:rPr>
        <w:br w:type="page"/>
      </w:r>
      <w:r w:rsidR="00E91426" w:rsidRPr="00E91426">
        <w:rPr>
          <w:rFonts w:ascii="Arial" w:eastAsia="Calibri" w:hAnsi="Arial" w:cs="Arial"/>
          <w:b/>
          <w:sz w:val="20"/>
          <w:szCs w:val="20"/>
          <w:lang w:val="en-GB"/>
        </w:rPr>
        <w:lastRenderedPageBreak/>
        <w:t>Medway NHS Foundation Trust</w:t>
      </w:r>
    </w:p>
    <w:p w14:paraId="26802624" w14:textId="77777777" w:rsidR="00E91426" w:rsidRPr="00E91426" w:rsidRDefault="00E91426" w:rsidP="00E91426">
      <w:pPr>
        <w:widowControl/>
        <w:spacing w:after="160" w:line="259" w:lineRule="auto"/>
        <w:jc w:val="center"/>
        <w:rPr>
          <w:rFonts w:ascii="Arial" w:eastAsia="Calibri" w:hAnsi="Arial" w:cs="Arial"/>
          <w:sz w:val="20"/>
          <w:szCs w:val="20"/>
          <w:lang w:val="en-GB"/>
        </w:rPr>
      </w:pPr>
    </w:p>
    <w:p w14:paraId="1D43FD1D" w14:textId="77777777" w:rsidR="00E91426" w:rsidRPr="00E91426" w:rsidRDefault="00E91426" w:rsidP="00E91426">
      <w:pPr>
        <w:widowControl/>
        <w:spacing w:after="160" w:line="259" w:lineRule="auto"/>
        <w:jc w:val="center"/>
        <w:rPr>
          <w:rFonts w:ascii="Arial" w:eastAsia="Calibri" w:hAnsi="Arial" w:cs="Arial"/>
          <w:sz w:val="20"/>
          <w:szCs w:val="20"/>
          <w:lang w:val="en-GB"/>
        </w:rPr>
      </w:pPr>
    </w:p>
    <w:p w14:paraId="5451F755" w14:textId="44145EB3" w:rsidR="00E91426" w:rsidRPr="00E91426" w:rsidRDefault="00E91426" w:rsidP="00E91426">
      <w:pPr>
        <w:widowControl/>
        <w:spacing w:after="160" w:line="259" w:lineRule="auto"/>
        <w:jc w:val="center"/>
        <w:rPr>
          <w:rFonts w:ascii="Arial" w:eastAsia="Calibri" w:hAnsi="Arial" w:cs="Arial"/>
          <w:sz w:val="20"/>
          <w:szCs w:val="20"/>
          <w:lang w:val="en-GB"/>
        </w:rPr>
      </w:pPr>
      <w:r w:rsidRPr="00E91426">
        <w:rPr>
          <w:rFonts w:ascii="Arial" w:eastAsia="Calibri" w:hAnsi="Arial" w:cs="Arial"/>
          <w:sz w:val="20"/>
          <w:szCs w:val="20"/>
          <w:lang w:val="en-GB"/>
        </w:rPr>
        <w:t>Annual Accounts for the year ended 31 March 2025</w:t>
      </w:r>
    </w:p>
    <w:p w14:paraId="678A61C0" w14:textId="77777777" w:rsidR="00E91426" w:rsidRPr="00E91426" w:rsidRDefault="00E91426" w:rsidP="00E91426">
      <w:pPr>
        <w:widowControl/>
        <w:spacing w:after="160" w:line="259" w:lineRule="auto"/>
        <w:rPr>
          <w:rFonts w:ascii="Arial" w:eastAsia="Calibri" w:hAnsi="Arial" w:cs="Arial"/>
          <w:sz w:val="20"/>
          <w:szCs w:val="20"/>
          <w:lang w:val="en-GB"/>
        </w:rPr>
      </w:pPr>
      <w:r w:rsidRPr="00E91426">
        <w:rPr>
          <w:rFonts w:ascii="Arial" w:eastAsia="Calibri" w:hAnsi="Arial" w:cs="Arial"/>
          <w:sz w:val="20"/>
          <w:szCs w:val="20"/>
          <w:lang w:val="en-GB"/>
        </w:rPr>
        <w:br w:type="page"/>
      </w:r>
    </w:p>
    <w:sdt>
      <w:sdtPr>
        <w:rPr>
          <w:rFonts w:ascii="Arial" w:eastAsia="Calibri" w:hAnsi="Arial" w:cs="Arial"/>
          <w:sz w:val="20"/>
          <w:szCs w:val="20"/>
          <w:lang w:val="en-GB"/>
        </w:rPr>
        <w:id w:val="1180781171"/>
        <w:docPartObj>
          <w:docPartGallery w:val="Table of Contents"/>
          <w:docPartUnique/>
        </w:docPartObj>
      </w:sdtPr>
      <w:sdtEndPr>
        <w:rPr>
          <w:b/>
          <w:bCs/>
          <w:noProof/>
        </w:rPr>
      </w:sdtEndPr>
      <w:sdtContent>
        <w:p w14:paraId="42D4F5D7" w14:textId="77777777" w:rsidR="00E91426" w:rsidRPr="00E91426" w:rsidRDefault="00E91426" w:rsidP="00E91426">
          <w:pPr>
            <w:keepNext/>
            <w:keepLines/>
            <w:widowControl/>
            <w:spacing w:before="240" w:line="259" w:lineRule="auto"/>
            <w:rPr>
              <w:rFonts w:ascii="Arial" w:eastAsia="Times New Roman" w:hAnsi="Arial" w:cs="Arial"/>
              <w:b/>
              <w:color w:val="000000"/>
              <w:sz w:val="20"/>
              <w:szCs w:val="20"/>
            </w:rPr>
          </w:pPr>
          <w:r w:rsidRPr="00E91426">
            <w:rPr>
              <w:rFonts w:ascii="Arial" w:eastAsia="Times New Roman" w:hAnsi="Arial" w:cs="Arial"/>
              <w:b/>
              <w:color w:val="000000"/>
              <w:sz w:val="20"/>
              <w:szCs w:val="20"/>
            </w:rPr>
            <w:t>Table of Contents</w:t>
          </w:r>
        </w:p>
        <w:p w14:paraId="7EE812F1" w14:textId="387CC0F7" w:rsidR="00E91426" w:rsidRPr="00E91426" w:rsidRDefault="00E91426" w:rsidP="00E91426">
          <w:pPr>
            <w:widowControl/>
            <w:tabs>
              <w:tab w:val="right" w:leader="dot" w:pos="9016"/>
            </w:tabs>
            <w:spacing w:after="100" w:line="259" w:lineRule="auto"/>
            <w:rPr>
              <w:rFonts w:ascii="Arial" w:eastAsia="Times New Roman" w:hAnsi="Arial" w:cs="Arial"/>
              <w:noProof/>
              <w:sz w:val="20"/>
              <w:szCs w:val="20"/>
              <w:lang w:val="en-GB" w:eastAsia="en-GB"/>
            </w:rPr>
          </w:pPr>
          <w:r w:rsidRPr="00E91426">
            <w:rPr>
              <w:rFonts w:ascii="Arial" w:eastAsia="Calibri" w:hAnsi="Arial" w:cs="Arial"/>
              <w:sz w:val="20"/>
              <w:szCs w:val="20"/>
              <w:lang w:val="en-GB"/>
            </w:rPr>
            <w:fldChar w:fldCharType="begin"/>
          </w:r>
          <w:r w:rsidRPr="00E91426">
            <w:rPr>
              <w:rFonts w:ascii="Arial" w:eastAsia="Calibri" w:hAnsi="Arial" w:cs="Arial"/>
              <w:sz w:val="20"/>
              <w:szCs w:val="20"/>
              <w:lang w:val="en-GB"/>
            </w:rPr>
            <w:instrText xml:space="preserve"> TOC \o "1-3" \h \z \u </w:instrText>
          </w:r>
          <w:r w:rsidRPr="00E91426">
            <w:rPr>
              <w:rFonts w:ascii="Arial" w:eastAsia="Calibri" w:hAnsi="Arial" w:cs="Arial"/>
              <w:sz w:val="20"/>
              <w:szCs w:val="20"/>
              <w:lang w:val="en-GB"/>
            </w:rPr>
            <w:fldChar w:fldCharType="separate"/>
          </w:r>
          <w:hyperlink w:anchor="_Toc195698692" w:history="1">
            <w:r w:rsidRPr="00E91426">
              <w:rPr>
                <w:rFonts w:ascii="Arial" w:eastAsia="Calibri" w:hAnsi="Arial" w:cs="Arial"/>
                <w:noProof/>
                <w:color w:val="0563C1"/>
                <w:sz w:val="20"/>
                <w:szCs w:val="20"/>
                <w:u w:val="single"/>
                <w:lang w:val="en-GB"/>
              </w:rPr>
              <w:t>Foreword to the accounts</w:t>
            </w:r>
            <w:r w:rsidRPr="00E91426">
              <w:rPr>
                <w:rFonts w:ascii="Arial" w:eastAsia="Calibri" w:hAnsi="Arial" w:cs="Arial"/>
                <w:noProof/>
                <w:webHidden/>
                <w:sz w:val="20"/>
                <w:szCs w:val="20"/>
                <w:lang w:val="en-GB"/>
              </w:rPr>
              <w:tab/>
            </w:r>
            <w:r w:rsidRPr="00E91426">
              <w:rPr>
                <w:rFonts w:ascii="Arial" w:eastAsia="Calibri" w:hAnsi="Arial" w:cs="Arial"/>
                <w:noProof/>
                <w:webHidden/>
                <w:sz w:val="20"/>
                <w:szCs w:val="20"/>
                <w:lang w:val="en-GB"/>
              </w:rPr>
              <w:fldChar w:fldCharType="begin"/>
            </w:r>
            <w:r w:rsidRPr="00E91426">
              <w:rPr>
                <w:rFonts w:ascii="Arial" w:eastAsia="Calibri" w:hAnsi="Arial" w:cs="Arial"/>
                <w:noProof/>
                <w:webHidden/>
                <w:sz w:val="20"/>
                <w:szCs w:val="20"/>
                <w:lang w:val="en-GB"/>
              </w:rPr>
              <w:instrText xml:space="preserve"> PAGEREF _Toc195698692 \h </w:instrText>
            </w:r>
            <w:r w:rsidRPr="00E91426">
              <w:rPr>
                <w:rFonts w:ascii="Arial" w:eastAsia="Calibri" w:hAnsi="Arial" w:cs="Arial"/>
                <w:noProof/>
                <w:webHidden/>
                <w:sz w:val="20"/>
                <w:szCs w:val="20"/>
                <w:lang w:val="en-GB"/>
              </w:rPr>
            </w:r>
            <w:r w:rsidRPr="00E91426">
              <w:rPr>
                <w:rFonts w:ascii="Arial" w:eastAsia="Calibri" w:hAnsi="Arial" w:cs="Arial"/>
                <w:noProof/>
                <w:webHidden/>
                <w:sz w:val="20"/>
                <w:szCs w:val="20"/>
                <w:lang w:val="en-GB"/>
              </w:rPr>
              <w:fldChar w:fldCharType="separate"/>
            </w:r>
            <w:r w:rsidR="00326F74">
              <w:rPr>
                <w:rFonts w:ascii="Arial" w:eastAsia="Calibri" w:hAnsi="Arial" w:cs="Arial"/>
                <w:noProof/>
                <w:webHidden/>
                <w:sz w:val="20"/>
                <w:szCs w:val="20"/>
                <w:lang w:val="en-GB"/>
              </w:rPr>
              <w:t>99</w:t>
            </w:r>
            <w:r w:rsidRPr="00E91426">
              <w:rPr>
                <w:rFonts w:ascii="Arial" w:eastAsia="Calibri" w:hAnsi="Arial" w:cs="Arial"/>
                <w:noProof/>
                <w:webHidden/>
                <w:sz w:val="20"/>
                <w:szCs w:val="20"/>
                <w:lang w:val="en-GB"/>
              </w:rPr>
              <w:fldChar w:fldCharType="end"/>
            </w:r>
          </w:hyperlink>
        </w:p>
        <w:p w14:paraId="282B9F96" w14:textId="2EB06133" w:rsidR="00E91426" w:rsidRPr="00E91426" w:rsidRDefault="00E91426" w:rsidP="00E91426">
          <w:pPr>
            <w:widowControl/>
            <w:tabs>
              <w:tab w:val="right" w:leader="dot" w:pos="9016"/>
            </w:tabs>
            <w:spacing w:after="100" w:line="259" w:lineRule="auto"/>
            <w:rPr>
              <w:rFonts w:ascii="Arial" w:eastAsia="Times New Roman" w:hAnsi="Arial" w:cs="Arial"/>
              <w:noProof/>
              <w:sz w:val="20"/>
              <w:szCs w:val="20"/>
              <w:lang w:val="en-GB" w:eastAsia="en-GB"/>
            </w:rPr>
          </w:pPr>
          <w:hyperlink w:anchor="_Toc195698693" w:history="1">
            <w:r w:rsidRPr="00E91426">
              <w:rPr>
                <w:rFonts w:ascii="Arial" w:eastAsia="Calibri" w:hAnsi="Arial" w:cs="Arial"/>
                <w:noProof/>
                <w:color w:val="0563C1"/>
                <w:sz w:val="20"/>
                <w:szCs w:val="20"/>
                <w:u w:val="single"/>
                <w:lang w:val="en-GB"/>
              </w:rPr>
              <w:t>Statement of Comprehensive Income</w:t>
            </w:r>
            <w:r w:rsidRPr="00E91426">
              <w:rPr>
                <w:rFonts w:ascii="Arial" w:eastAsia="Calibri" w:hAnsi="Arial" w:cs="Arial"/>
                <w:noProof/>
                <w:webHidden/>
                <w:sz w:val="20"/>
                <w:szCs w:val="20"/>
                <w:lang w:val="en-GB"/>
              </w:rPr>
              <w:tab/>
            </w:r>
            <w:r w:rsidRPr="00E91426">
              <w:rPr>
                <w:rFonts w:ascii="Arial" w:eastAsia="Calibri" w:hAnsi="Arial" w:cs="Arial"/>
                <w:noProof/>
                <w:webHidden/>
                <w:sz w:val="20"/>
                <w:szCs w:val="20"/>
                <w:lang w:val="en-GB"/>
              </w:rPr>
              <w:fldChar w:fldCharType="begin"/>
            </w:r>
            <w:r w:rsidRPr="00E91426">
              <w:rPr>
                <w:rFonts w:ascii="Arial" w:eastAsia="Calibri" w:hAnsi="Arial" w:cs="Arial"/>
                <w:noProof/>
                <w:webHidden/>
                <w:sz w:val="20"/>
                <w:szCs w:val="20"/>
                <w:lang w:val="en-GB"/>
              </w:rPr>
              <w:instrText xml:space="preserve"> PAGEREF _Toc195698693 \h </w:instrText>
            </w:r>
            <w:r w:rsidRPr="00E91426">
              <w:rPr>
                <w:rFonts w:ascii="Arial" w:eastAsia="Calibri" w:hAnsi="Arial" w:cs="Arial"/>
                <w:noProof/>
                <w:webHidden/>
                <w:sz w:val="20"/>
                <w:szCs w:val="20"/>
                <w:lang w:val="en-GB"/>
              </w:rPr>
            </w:r>
            <w:r w:rsidRPr="00E91426">
              <w:rPr>
                <w:rFonts w:ascii="Arial" w:eastAsia="Calibri" w:hAnsi="Arial" w:cs="Arial"/>
                <w:noProof/>
                <w:webHidden/>
                <w:sz w:val="20"/>
                <w:szCs w:val="20"/>
                <w:lang w:val="en-GB"/>
              </w:rPr>
              <w:fldChar w:fldCharType="separate"/>
            </w:r>
            <w:r w:rsidR="00326F74">
              <w:rPr>
                <w:rFonts w:ascii="Arial" w:eastAsia="Calibri" w:hAnsi="Arial" w:cs="Arial"/>
                <w:noProof/>
                <w:webHidden/>
                <w:sz w:val="20"/>
                <w:szCs w:val="20"/>
                <w:lang w:val="en-GB"/>
              </w:rPr>
              <w:t>100</w:t>
            </w:r>
            <w:r w:rsidRPr="00E91426">
              <w:rPr>
                <w:rFonts w:ascii="Arial" w:eastAsia="Calibri" w:hAnsi="Arial" w:cs="Arial"/>
                <w:noProof/>
                <w:webHidden/>
                <w:sz w:val="20"/>
                <w:szCs w:val="20"/>
                <w:lang w:val="en-GB"/>
              </w:rPr>
              <w:fldChar w:fldCharType="end"/>
            </w:r>
          </w:hyperlink>
        </w:p>
        <w:p w14:paraId="2C961708" w14:textId="6537E824" w:rsidR="00E91426" w:rsidRPr="00E91426" w:rsidRDefault="00E91426" w:rsidP="00E91426">
          <w:pPr>
            <w:widowControl/>
            <w:tabs>
              <w:tab w:val="right" w:leader="dot" w:pos="9016"/>
            </w:tabs>
            <w:spacing w:after="100" w:line="259" w:lineRule="auto"/>
            <w:rPr>
              <w:rFonts w:ascii="Arial" w:eastAsia="Times New Roman" w:hAnsi="Arial" w:cs="Arial"/>
              <w:noProof/>
              <w:sz w:val="20"/>
              <w:szCs w:val="20"/>
              <w:lang w:val="en-GB" w:eastAsia="en-GB"/>
            </w:rPr>
          </w:pPr>
          <w:hyperlink w:anchor="_Toc195698694" w:history="1">
            <w:r w:rsidRPr="00E91426">
              <w:rPr>
                <w:rFonts w:ascii="Arial" w:eastAsia="Calibri" w:hAnsi="Arial" w:cs="Arial"/>
                <w:noProof/>
                <w:color w:val="0563C1"/>
                <w:sz w:val="20"/>
                <w:szCs w:val="20"/>
                <w:u w:val="single"/>
                <w:lang w:val="en-GB"/>
              </w:rPr>
              <w:t>Statement of Financial Position</w:t>
            </w:r>
            <w:r w:rsidRPr="00E91426">
              <w:rPr>
                <w:rFonts w:ascii="Arial" w:eastAsia="Calibri" w:hAnsi="Arial" w:cs="Arial"/>
                <w:noProof/>
                <w:webHidden/>
                <w:sz w:val="20"/>
                <w:szCs w:val="20"/>
                <w:lang w:val="en-GB"/>
              </w:rPr>
              <w:tab/>
            </w:r>
            <w:r w:rsidRPr="00E91426">
              <w:rPr>
                <w:rFonts w:ascii="Arial" w:eastAsia="Calibri" w:hAnsi="Arial" w:cs="Arial"/>
                <w:noProof/>
                <w:webHidden/>
                <w:sz w:val="20"/>
                <w:szCs w:val="20"/>
                <w:lang w:val="en-GB"/>
              </w:rPr>
              <w:fldChar w:fldCharType="begin"/>
            </w:r>
            <w:r w:rsidRPr="00E91426">
              <w:rPr>
                <w:rFonts w:ascii="Arial" w:eastAsia="Calibri" w:hAnsi="Arial" w:cs="Arial"/>
                <w:noProof/>
                <w:webHidden/>
                <w:sz w:val="20"/>
                <w:szCs w:val="20"/>
                <w:lang w:val="en-GB"/>
              </w:rPr>
              <w:instrText xml:space="preserve"> PAGEREF _Toc195698694 \h </w:instrText>
            </w:r>
            <w:r w:rsidRPr="00E91426">
              <w:rPr>
                <w:rFonts w:ascii="Arial" w:eastAsia="Calibri" w:hAnsi="Arial" w:cs="Arial"/>
                <w:noProof/>
                <w:webHidden/>
                <w:sz w:val="20"/>
                <w:szCs w:val="20"/>
                <w:lang w:val="en-GB"/>
              </w:rPr>
            </w:r>
            <w:r w:rsidRPr="00E91426">
              <w:rPr>
                <w:rFonts w:ascii="Arial" w:eastAsia="Calibri" w:hAnsi="Arial" w:cs="Arial"/>
                <w:noProof/>
                <w:webHidden/>
                <w:sz w:val="20"/>
                <w:szCs w:val="20"/>
                <w:lang w:val="en-GB"/>
              </w:rPr>
              <w:fldChar w:fldCharType="separate"/>
            </w:r>
            <w:r w:rsidR="00326F74">
              <w:rPr>
                <w:rFonts w:ascii="Arial" w:eastAsia="Calibri" w:hAnsi="Arial" w:cs="Arial"/>
                <w:noProof/>
                <w:webHidden/>
                <w:sz w:val="20"/>
                <w:szCs w:val="20"/>
                <w:lang w:val="en-GB"/>
              </w:rPr>
              <w:t>101</w:t>
            </w:r>
            <w:r w:rsidRPr="00E91426">
              <w:rPr>
                <w:rFonts w:ascii="Arial" w:eastAsia="Calibri" w:hAnsi="Arial" w:cs="Arial"/>
                <w:noProof/>
                <w:webHidden/>
                <w:sz w:val="20"/>
                <w:szCs w:val="20"/>
                <w:lang w:val="en-GB"/>
              </w:rPr>
              <w:fldChar w:fldCharType="end"/>
            </w:r>
          </w:hyperlink>
        </w:p>
        <w:p w14:paraId="14FE6A12" w14:textId="4385A7B2" w:rsidR="00E91426" w:rsidRPr="00E91426" w:rsidRDefault="00E91426" w:rsidP="00E91426">
          <w:pPr>
            <w:widowControl/>
            <w:tabs>
              <w:tab w:val="right" w:leader="dot" w:pos="9016"/>
            </w:tabs>
            <w:spacing w:after="100" w:line="259" w:lineRule="auto"/>
            <w:rPr>
              <w:rFonts w:ascii="Arial" w:eastAsia="Times New Roman" w:hAnsi="Arial" w:cs="Arial"/>
              <w:noProof/>
              <w:sz w:val="20"/>
              <w:szCs w:val="20"/>
              <w:lang w:val="en-GB" w:eastAsia="en-GB"/>
            </w:rPr>
          </w:pPr>
          <w:hyperlink w:anchor="_Toc195698695" w:history="1">
            <w:r w:rsidRPr="00E91426">
              <w:rPr>
                <w:rFonts w:ascii="Arial" w:eastAsia="Calibri" w:hAnsi="Arial" w:cs="Arial"/>
                <w:noProof/>
                <w:color w:val="0563C1"/>
                <w:sz w:val="20"/>
                <w:szCs w:val="20"/>
                <w:u w:val="single"/>
                <w:lang w:val="en-GB"/>
              </w:rPr>
              <w:t>Statement of Changes in Equity</w:t>
            </w:r>
            <w:r w:rsidRPr="00E91426">
              <w:rPr>
                <w:rFonts w:ascii="Arial" w:eastAsia="Calibri" w:hAnsi="Arial" w:cs="Arial"/>
                <w:noProof/>
                <w:webHidden/>
                <w:sz w:val="20"/>
                <w:szCs w:val="20"/>
                <w:lang w:val="en-GB"/>
              </w:rPr>
              <w:tab/>
            </w:r>
            <w:r w:rsidRPr="00E91426">
              <w:rPr>
                <w:rFonts w:ascii="Arial" w:eastAsia="Calibri" w:hAnsi="Arial" w:cs="Arial"/>
                <w:noProof/>
                <w:webHidden/>
                <w:sz w:val="20"/>
                <w:szCs w:val="20"/>
                <w:lang w:val="en-GB"/>
              </w:rPr>
              <w:fldChar w:fldCharType="begin"/>
            </w:r>
            <w:r w:rsidRPr="00E91426">
              <w:rPr>
                <w:rFonts w:ascii="Arial" w:eastAsia="Calibri" w:hAnsi="Arial" w:cs="Arial"/>
                <w:noProof/>
                <w:webHidden/>
                <w:sz w:val="20"/>
                <w:szCs w:val="20"/>
                <w:lang w:val="en-GB"/>
              </w:rPr>
              <w:instrText xml:space="preserve"> PAGEREF _Toc195698695 \h </w:instrText>
            </w:r>
            <w:r w:rsidRPr="00E91426">
              <w:rPr>
                <w:rFonts w:ascii="Arial" w:eastAsia="Calibri" w:hAnsi="Arial" w:cs="Arial"/>
                <w:noProof/>
                <w:webHidden/>
                <w:sz w:val="20"/>
                <w:szCs w:val="20"/>
                <w:lang w:val="en-GB"/>
              </w:rPr>
            </w:r>
            <w:r w:rsidRPr="00E91426">
              <w:rPr>
                <w:rFonts w:ascii="Arial" w:eastAsia="Calibri" w:hAnsi="Arial" w:cs="Arial"/>
                <w:noProof/>
                <w:webHidden/>
                <w:sz w:val="20"/>
                <w:szCs w:val="20"/>
                <w:lang w:val="en-GB"/>
              </w:rPr>
              <w:fldChar w:fldCharType="separate"/>
            </w:r>
            <w:r w:rsidR="00326F74">
              <w:rPr>
                <w:rFonts w:ascii="Arial" w:eastAsia="Calibri" w:hAnsi="Arial" w:cs="Arial"/>
                <w:noProof/>
                <w:webHidden/>
                <w:sz w:val="20"/>
                <w:szCs w:val="20"/>
                <w:lang w:val="en-GB"/>
              </w:rPr>
              <w:t>102</w:t>
            </w:r>
            <w:r w:rsidRPr="00E91426">
              <w:rPr>
                <w:rFonts w:ascii="Arial" w:eastAsia="Calibri" w:hAnsi="Arial" w:cs="Arial"/>
                <w:noProof/>
                <w:webHidden/>
                <w:sz w:val="20"/>
                <w:szCs w:val="20"/>
                <w:lang w:val="en-GB"/>
              </w:rPr>
              <w:fldChar w:fldCharType="end"/>
            </w:r>
          </w:hyperlink>
        </w:p>
        <w:p w14:paraId="7F37F80C" w14:textId="2A4C61E1" w:rsidR="00E91426" w:rsidRPr="00E91426" w:rsidRDefault="00E91426" w:rsidP="00E91426">
          <w:pPr>
            <w:widowControl/>
            <w:tabs>
              <w:tab w:val="right" w:leader="dot" w:pos="9016"/>
            </w:tabs>
            <w:spacing w:after="100" w:line="259" w:lineRule="auto"/>
            <w:rPr>
              <w:rFonts w:ascii="Arial" w:eastAsia="Times New Roman" w:hAnsi="Arial" w:cs="Arial"/>
              <w:noProof/>
              <w:sz w:val="20"/>
              <w:szCs w:val="20"/>
              <w:lang w:val="en-GB" w:eastAsia="en-GB"/>
            </w:rPr>
          </w:pPr>
          <w:hyperlink w:anchor="_Toc195698696" w:history="1">
            <w:r w:rsidRPr="00E91426">
              <w:rPr>
                <w:rFonts w:ascii="Arial" w:eastAsia="Calibri" w:hAnsi="Arial" w:cs="Arial"/>
                <w:noProof/>
                <w:color w:val="0563C1"/>
                <w:sz w:val="20"/>
                <w:szCs w:val="20"/>
                <w:u w:val="single"/>
                <w:lang w:val="en-GB"/>
              </w:rPr>
              <w:t>Statement of Cash Flows</w:t>
            </w:r>
            <w:r w:rsidRPr="00E91426">
              <w:rPr>
                <w:rFonts w:ascii="Arial" w:eastAsia="Calibri" w:hAnsi="Arial" w:cs="Arial"/>
                <w:noProof/>
                <w:webHidden/>
                <w:sz w:val="20"/>
                <w:szCs w:val="20"/>
                <w:lang w:val="en-GB"/>
              </w:rPr>
              <w:tab/>
            </w:r>
            <w:r w:rsidRPr="00E91426">
              <w:rPr>
                <w:rFonts w:ascii="Arial" w:eastAsia="Calibri" w:hAnsi="Arial" w:cs="Arial"/>
                <w:noProof/>
                <w:webHidden/>
                <w:sz w:val="20"/>
                <w:szCs w:val="20"/>
                <w:lang w:val="en-GB"/>
              </w:rPr>
              <w:fldChar w:fldCharType="begin"/>
            </w:r>
            <w:r w:rsidRPr="00E91426">
              <w:rPr>
                <w:rFonts w:ascii="Arial" w:eastAsia="Calibri" w:hAnsi="Arial" w:cs="Arial"/>
                <w:noProof/>
                <w:webHidden/>
                <w:sz w:val="20"/>
                <w:szCs w:val="20"/>
                <w:lang w:val="en-GB"/>
              </w:rPr>
              <w:instrText xml:space="preserve"> PAGEREF _Toc195698696 \h </w:instrText>
            </w:r>
            <w:r w:rsidRPr="00E91426">
              <w:rPr>
                <w:rFonts w:ascii="Arial" w:eastAsia="Calibri" w:hAnsi="Arial" w:cs="Arial"/>
                <w:noProof/>
                <w:webHidden/>
                <w:sz w:val="20"/>
                <w:szCs w:val="20"/>
                <w:lang w:val="en-GB"/>
              </w:rPr>
            </w:r>
            <w:r w:rsidRPr="00E91426">
              <w:rPr>
                <w:rFonts w:ascii="Arial" w:eastAsia="Calibri" w:hAnsi="Arial" w:cs="Arial"/>
                <w:noProof/>
                <w:webHidden/>
                <w:sz w:val="20"/>
                <w:szCs w:val="20"/>
                <w:lang w:val="en-GB"/>
              </w:rPr>
              <w:fldChar w:fldCharType="separate"/>
            </w:r>
            <w:r w:rsidR="00326F74">
              <w:rPr>
                <w:rFonts w:ascii="Arial" w:eastAsia="Calibri" w:hAnsi="Arial" w:cs="Arial"/>
                <w:noProof/>
                <w:webHidden/>
                <w:sz w:val="20"/>
                <w:szCs w:val="20"/>
                <w:lang w:val="en-GB"/>
              </w:rPr>
              <w:t>103</w:t>
            </w:r>
            <w:r w:rsidRPr="00E91426">
              <w:rPr>
                <w:rFonts w:ascii="Arial" w:eastAsia="Calibri" w:hAnsi="Arial" w:cs="Arial"/>
                <w:noProof/>
                <w:webHidden/>
                <w:sz w:val="20"/>
                <w:szCs w:val="20"/>
                <w:lang w:val="en-GB"/>
              </w:rPr>
              <w:fldChar w:fldCharType="end"/>
            </w:r>
          </w:hyperlink>
        </w:p>
        <w:p w14:paraId="2133D774" w14:textId="3247536E" w:rsidR="00E91426" w:rsidRPr="00E91426" w:rsidRDefault="00E91426" w:rsidP="00E91426">
          <w:pPr>
            <w:widowControl/>
            <w:tabs>
              <w:tab w:val="right" w:leader="dot" w:pos="9016"/>
            </w:tabs>
            <w:spacing w:after="100" w:line="259" w:lineRule="auto"/>
            <w:rPr>
              <w:rFonts w:ascii="Arial" w:eastAsia="Times New Roman" w:hAnsi="Arial" w:cs="Arial"/>
              <w:noProof/>
              <w:sz w:val="20"/>
              <w:szCs w:val="20"/>
              <w:lang w:val="en-GB" w:eastAsia="en-GB"/>
            </w:rPr>
          </w:pPr>
          <w:hyperlink w:anchor="_Toc195698697" w:history="1">
            <w:r w:rsidRPr="00E91426">
              <w:rPr>
                <w:rFonts w:ascii="Arial" w:eastAsia="Times New Roman" w:hAnsi="Arial" w:cs="Arial"/>
                <w:noProof/>
                <w:color w:val="0563C1"/>
                <w:sz w:val="20"/>
                <w:szCs w:val="20"/>
                <w:u w:val="single"/>
                <w:lang w:val="en-GB" w:eastAsia="en-GB"/>
              </w:rPr>
              <w:t>Notes to the accounts</w:t>
            </w:r>
            <w:r w:rsidRPr="00E91426">
              <w:rPr>
                <w:rFonts w:ascii="Arial" w:eastAsia="Calibri" w:hAnsi="Arial" w:cs="Arial"/>
                <w:noProof/>
                <w:webHidden/>
                <w:sz w:val="20"/>
                <w:szCs w:val="20"/>
                <w:lang w:val="en-GB"/>
              </w:rPr>
              <w:tab/>
            </w:r>
            <w:r w:rsidRPr="00E91426">
              <w:rPr>
                <w:rFonts w:ascii="Arial" w:eastAsia="Calibri" w:hAnsi="Arial" w:cs="Arial"/>
                <w:noProof/>
                <w:webHidden/>
                <w:sz w:val="20"/>
                <w:szCs w:val="20"/>
                <w:lang w:val="en-GB"/>
              </w:rPr>
              <w:fldChar w:fldCharType="begin"/>
            </w:r>
            <w:r w:rsidRPr="00E91426">
              <w:rPr>
                <w:rFonts w:ascii="Arial" w:eastAsia="Calibri" w:hAnsi="Arial" w:cs="Arial"/>
                <w:noProof/>
                <w:webHidden/>
                <w:sz w:val="20"/>
                <w:szCs w:val="20"/>
                <w:lang w:val="en-GB"/>
              </w:rPr>
              <w:instrText xml:space="preserve"> PAGEREF _Toc195698697 \h </w:instrText>
            </w:r>
            <w:r w:rsidRPr="00E91426">
              <w:rPr>
                <w:rFonts w:ascii="Arial" w:eastAsia="Calibri" w:hAnsi="Arial" w:cs="Arial"/>
                <w:noProof/>
                <w:webHidden/>
                <w:sz w:val="20"/>
                <w:szCs w:val="20"/>
                <w:lang w:val="en-GB"/>
              </w:rPr>
            </w:r>
            <w:r w:rsidRPr="00E91426">
              <w:rPr>
                <w:rFonts w:ascii="Arial" w:eastAsia="Calibri" w:hAnsi="Arial" w:cs="Arial"/>
                <w:noProof/>
                <w:webHidden/>
                <w:sz w:val="20"/>
                <w:szCs w:val="20"/>
                <w:lang w:val="en-GB"/>
              </w:rPr>
              <w:fldChar w:fldCharType="separate"/>
            </w:r>
            <w:r w:rsidR="00326F74">
              <w:rPr>
                <w:rFonts w:ascii="Arial" w:eastAsia="Calibri" w:hAnsi="Arial" w:cs="Arial"/>
                <w:noProof/>
                <w:webHidden/>
                <w:sz w:val="20"/>
                <w:szCs w:val="20"/>
                <w:lang w:val="en-GB"/>
              </w:rPr>
              <w:t>104</w:t>
            </w:r>
            <w:r w:rsidRPr="00E91426">
              <w:rPr>
                <w:rFonts w:ascii="Arial" w:eastAsia="Calibri" w:hAnsi="Arial" w:cs="Arial"/>
                <w:noProof/>
                <w:webHidden/>
                <w:sz w:val="20"/>
                <w:szCs w:val="20"/>
                <w:lang w:val="en-GB"/>
              </w:rPr>
              <w:fldChar w:fldCharType="end"/>
            </w:r>
          </w:hyperlink>
        </w:p>
        <w:p w14:paraId="5CDD309D" w14:textId="2DF9E7B8" w:rsidR="00E91426" w:rsidRPr="00E91426" w:rsidRDefault="00E91426" w:rsidP="00E91426">
          <w:pPr>
            <w:widowControl/>
            <w:tabs>
              <w:tab w:val="right" w:leader="dot" w:pos="9016"/>
            </w:tabs>
            <w:spacing w:after="100" w:line="259" w:lineRule="auto"/>
            <w:rPr>
              <w:rFonts w:ascii="Arial" w:eastAsia="Times New Roman" w:hAnsi="Arial" w:cs="Arial"/>
              <w:noProof/>
              <w:sz w:val="20"/>
              <w:szCs w:val="20"/>
              <w:lang w:val="en-GB" w:eastAsia="en-GB"/>
            </w:rPr>
          </w:pPr>
          <w:hyperlink w:anchor="_Toc195698698" w:history="1">
            <w:r w:rsidRPr="00E91426">
              <w:rPr>
                <w:rFonts w:ascii="Arial" w:eastAsia="Calibri" w:hAnsi="Arial" w:cs="Arial"/>
                <w:noProof/>
                <w:color w:val="0563C1"/>
                <w:sz w:val="20"/>
                <w:szCs w:val="20"/>
                <w:u w:val="single"/>
                <w:lang w:val="en-GB"/>
              </w:rPr>
              <w:t>Note 1 Accounting policies and other information</w:t>
            </w:r>
            <w:r w:rsidRPr="00E91426">
              <w:rPr>
                <w:rFonts w:ascii="Arial" w:eastAsia="Calibri" w:hAnsi="Arial" w:cs="Arial"/>
                <w:noProof/>
                <w:webHidden/>
                <w:sz w:val="20"/>
                <w:szCs w:val="20"/>
                <w:lang w:val="en-GB"/>
              </w:rPr>
              <w:tab/>
            </w:r>
            <w:r w:rsidRPr="00E91426">
              <w:rPr>
                <w:rFonts w:ascii="Arial" w:eastAsia="Calibri" w:hAnsi="Arial" w:cs="Arial"/>
                <w:noProof/>
                <w:webHidden/>
                <w:sz w:val="20"/>
                <w:szCs w:val="20"/>
                <w:lang w:val="en-GB"/>
              </w:rPr>
              <w:fldChar w:fldCharType="begin"/>
            </w:r>
            <w:r w:rsidRPr="00E91426">
              <w:rPr>
                <w:rFonts w:ascii="Arial" w:eastAsia="Calibri" w:hAnsi="Arial" w:cs="Arial"/>
                <w:noProof/>
                <w:webHidden/>
                <w:sz w:val="20"/>
                <w:szCs w:val="20"/>
                <w:lang w:val="en-GB"/>
              </w:rPr>
              <w:instrText xml:space="preserve"> PAGEREF _Toc195698698 \h </w:instrText>
            </w:r>
            <w:r w:rsidRPr="00E91426">
              <w:rPr>
                <w:rFonts w:ascii="Arial" w:eastAsia="Calibri" w:hAnsi="Arial" w:cs="Arial"/>
                <w:noProof/>
                <w:webHidden/>
                <w:sz w:val="20"/>
                <w:szCs w:val="20"/>
                <w:lang w:val="en-GB"/>
              </w:rPr>
            </w:r>
            <w:r w:rsidRPr="00E91426">
              <w:rPr>
                <w:rFonts w:ascii="Arial" w:eastAsia="Calibri" w:hAnsi="Arial" w:cs="Arial"/>
                <w:noProof/>
                <w:webHidden/>
                <w:sz w:val="20"/>
                <w:szCs w:val="20"/>
                <w:lang w:val="en-GB"/>
              </w:rPr>
              <w:fldChar w:fldCharType="separate"/>
            </w:r>
            <w:r w:rsidR="00326F74">
              <w:rPr>
                <w:rFonts w:ascii="Arial" w:eastAsia="Calibri" w:hAnsi="Arial" w:cs="Arial"/>
                <w:noProof/>
                <w:webHidden/>
                <w:sz w:val="20"/>
                <w:szCs w:val="20"/>
                <w:lang w:val="en-GB"/>
              </w:rPr>
              <w:t>104</w:t>
            </w:r>
            <w:r w:rsidRPr="00E91426">
              <w:rPr>
                <w:rFonts w:ascii="Arial" w:eastAsia="Calibri" w:hAnsi="Arial" w:cs="Arial"/>
                <w:noProof/>
                <w:webHidden/>
                <w:sz w:val="20"/>
                <w:szCs w:val="20"/>
                <w:lang w:val="en-GB"/>
              </w:rPr>
              <w:fldChar w:fldCharType="end"/>
            </w:r>
          </w:hyperlink>
        </w:p>
        <w:p w14:paraId="2C9EEF12" w14:textId="5CA4DAA1" w:rsidR="00E91426" w:rsidRPr="00E91426" w:rsidRDefault="00E91426" w:rsidP="00E91426">
          <w:pPr>
            <w:widowControl/>
            <w:tabs>
              <w:tab w:val="right" w:leader="dot" w:pos="9016"/>
            </w:tabs>
            <w:spacing w:after="100" w:line="259" w:lineRule="auto"/>
            <w:rPr>
              <w:rFonts w:ascii="Arial" w:eastAsia="Times New Roman" w:hAnsi="Arial" w:cs="Arial"/>
              <w:noProof/>
              <w:sz w:val="20"/>
              <w:szCs w:val="20"/>
              <w:lang w:val="en-GB" w:eastAsia="en-GB"/>
            </w:rPr>
          </w:pPr>
          <w:hyperlink w:anchor="_Toc195698699" w:history="1">
            <w:r w:rsidRPr="00E91426">
              <w:rPr>
                <w:rFonts w:ascii="Arial" w:eastAsia="Calibri" w:hAnsi="Arial" w:cs="Arial"/>
                <w:noProof/>
                <w:color w:val="0563C1"/>
                <w:sz w:val="20"/>
                <w:szCs w:val="20"/>
                <w:u w:val="single"/>
                <w:lang w:val="en-GB"/>
              </w:rPr>
              <w:t>Note 2 Operating segments</w:t>
            </w:r>
            <w:r w:rsidRPr="00E91426">
              <w:rPr>
                <w:rFonts w:ascii="Arial" w:eastAsia="Calibri" w:hAnsi="Arial" w:cs="Arial"/>
                <w:noProof/>
                <w:webHidden/>
                <w:sz w:val="20"/>
                <w:szCs w:val="20"/>
                <w:lang w:val="en-GB"/>
              </w:rPr>
              <w:tab/>
            </w:r>
            <w:r w:rsidRPr="00E91426">
              <w:rPr>
                <w:rFonts w:ascii="Arial" w:eastAsia="Calibri" w:hAnsi="Arial" w:cs="Arial"/>
                <w:noProof/>
                <w:webHidden/>
                <w:sz w:val="20"/>
                <w:szCs w:val="20"/>
                <w:lang w:val="en-GB"/>
              </w:rPr>
              <w:fldChar w:fldCharType="begin"/>
            </w:r>
            <w:r w:rsidRPr="00E91426">
              <w:rPr>
                <w:rFonts w:ascii="Arial" w:eastAsia="Calibri" w:hAnsi="Arial" w:cs="Arial"/>
                <w:noProof/>
                <w:webHidden/>
                <w:sz w:val="20"/>
                <w:szCs w:val="20"/>
                <w:lang w:val="en-GB"/>
              </w:rPr>
              <w:instrText xml:space="preserve"> PAGEREF _Toc195698699 \h </w:instrText>
            </w:r>
            <w:r w:rsidRPr="00E91426">
              <w:rPr>
                <w:rFonts w:ascii="Arial" w:eastAsia="Calibri" w:hAnsi="Arial" w:cs="Arial"/>
                <w:noProof/>
                <w:webHidden/>
                <w:sz w:val="20"/>
                <w:szCs w:val="20"/>
                <w:lang w:val="en-GB"/>
              </w:rPr>
            </w:r>
            <w:r w:rsidRPr="00E91426">
              <w:rPr>
                <w:rFonts w:ascii="Arial" w:eastAsia="Calibri" w:hAnsi="Arial" w:cs="Arial"/>
                <w:noProof/>
                <w:webHidden/>
                <w:sz w:val="20"/>
                <w:szCs w:val="20"/>
                <w:lang w:val="en-GB"/>
              </w:rPr>
              <w:fldChar w:fldCharType="separate"/>
            </w:r>
            <w:r w:rsidR="00326F74">
              <w:rPr>
                <w:rFonts w:ascii="Arial" w:eastAsia="Calibri" w:hAnsi="Arial" w:cs="Arial"/>
                <w:noProof/>
                <w:webHidden/>
                <w:sz w:val="20"/>
                <w:szCs w:val="20"/>
                <w:lang w:val="en-GB"/>
              </w:rPr>
              <w:t>115</w:t>
            </w:r>
            <w:r w:rsidRPr="00E91426">
              <w:rPr>
                <w:rFonts w:ascii="Arial" w:eastAsia="Calibri" w:hAnsi="Arial" w:cs="Arial"/>
                <w:noProof/>
                <w:webHidden/>
                <w:sz w:val="20"/>
                <w:szCs w:val="20"/>
                <w:lang w:val="en-GB"/>
              </w:rPr>
              <w:fldChar w:fldCharType="end"/>
            </w:r>
          </w:hyperlink>
        </w:p>
        <w:p w14:paraId="68465EED" w14:textId="167F1D97" w:rsidR="00E91426" w:rsidRPr="00E91426" w:rsidRDefault="00E91426" w:rsidP="00E91426">
          <w:pPr>
            <w:widowControl/>
            <w:tabs>
              <w:tab w:val="right" w:leader="dot" w:pos="9016"/>
            </w:tabs>
            <w:spacing w:after="100" w:line="259" w:lineRule="auto"/>
            <w:rPr>
              <w:rFonts w:ascii="Arial" w:eastAsia="Times New Roman" w:hAnsi="Arial" w:cs="Arial"/>
              <w:noProof/>
              <w:sz w:val="20"/>
              <w:szCs w:val="20"/>
              <w:lang w:val="en-GB" w:eastAsia="en-GB"/>
            </w:rPr>
          </w:pPr>
          <w:hyperlink w:anchor="_Toc195698700" w:history="1">
            <w:r w:rsidRPr="00E91426">
              <w:rPr>
                <w:rFonts w:ascii="Arial" w:eastAsia="Calibri" w:hAnsi="Arial" w:cs="Arial"/>
                <w:noProof/>
                <w:color w:val="0563C1"/>
                <w:sz w:val="20"/>
                <w:szCs w:val="20"/>
                <w:u w:val="single"/>
                <w:lang w:val="en-GB"/>
              </w:rPr>
              <w:t>Note 3 Operating income from patient care activities</w:t>
            </w:r>
            <w:r w:rsidRPr="00E91426">
              <w:rPr>
                <w:rFonts w:ascii="Arial" w:eastAsia="Calibri" w:hAnsi="Arial" w:cs="Arial"/>
                <w:noProof/>
                <w:webHidden/>
                <w:sz w:val="20"/>
                <w:szCs w:val="20"/>
                <w:lang w:val="en-GB"/>
              </w:rPr>
              <w:tab/>
            </w:r>
            <w:r w:rsidRPr="00E91426">
              <w:rPr>
                <w:rFonts w:ascii="Arial" w:eastAsia="Calibri" w:hAnsi="Arial" w:cs="Arial"/>
                <w:noProof/>
                <w:webHidden/>
                <w:sz w:val="20"/>
                <w:szCs w:val="20"/>
                <w:lang w:val="en-GB"/>
              </w:rPr>
              <w:fldChar w:fldCharType="begin"/>
            </w:r>
            <w:r w:rsidRPr="00E91426">
              <w:rPr>
                <w:rFonts w:ascii="Arial" w:eastAsia="Calibri" w:hAnsi="Arial" w:cs="Arial"/>
                <w:noProof/>
                <w:webHidden/>
                <w:sz w:val="20"/>
                <w:szCs w:val="20"/>
                <w:lang w:val="en-GB"/>
              </w:rPr>
              <w:instrText xml:space="preserve"> PAGEREF _Toc195698700 \h </w:instrText>
            </w:r>
            <w:r w:rsidRPr="00E91426">
              <w:rPr>
                <w:rFonts w:ascii="Arial" w:eastAsia="Calibri" w:hAnsi="Arial" w:cs="Arial"/>
                <w:noProof/>
                <w:webHidden/>
                <w:sz w:val="20"/>
                <w:szCs w:val="20"/>
                <w:lang w:val="en-GB"/>
              </w:rPr>
            </w:r>
            <w:r w:rsidRPr="00E91426">
              <w:rPr>
                <w:rFonts w:ascii="Arial" w:eastAsia="Calibri" w:hAnsi="Arial" w:cs="Arial"/>
                <w:noProof/>
                <w:webHidden/>
                <w:sz w:val="20"/>
                <w:szCs w:val="20"/>
                <w:lang w:val="en-GB"/>
              </w:rPr>
              <w:fldChar w:fldCharType="separate"/>
            </w:r>
            <w:r w:rsidR="00326F74">
              <w:rPr>
                <w:rFonts w:ascii="Arial" w:eastAsia="Calibri" w:hAnsi="Arial" w:cs="Arial"/>
                <w:noProof/>
                <w:webHidden/>
                <w:sz w:val="20"/>
                <w:szCs w:val="20"/>
                <w:lang w:val="en-GB"/>
              </w:rPr>
              <w:t>116</w:t>
            </w:r>
            <w:r w:rsidRPr="00E91426">
              <w:rPr>
                <w:rFonts w:ascii="Arial" w:eastAsia="Calibri" w:hAnsi="Arial" w:cs="Arial"/>
                <w:noProof/>
                <w:webHidden/>
                <w:sz w:val="20"/>
                <w:szCs w:val="20"/>
                <w:lang w:val="en-GB"/>
              </w:rPr>
              <w:fldChar w:fldCharType="end"/>
            </w:r>
          </w:hyperlink>
        </w:p>
        <w:p w14:paraId="6EB49EAF" w14:textId="582E2254" w:rsidR="00E91426" w:rsidRPr="00E91426" w:rsidRDefault="00E91426" w:rsidP="00E91426">
          <w:pPr>
            <w:widowControl/>
            <w:tabs>
              <w:tab w:val="right" w:leader="dot" w:pos="9016"/>
            </w:tabs>
            <w:spacing w:after="100" w:line="259" w:lineRule="auto"/>
            <w:rPr>
              <w:rFonts w:ascii="Arial" w:eastAsia="Times New Roman" w:hAnsi="Arial" w:cs="Arial"/>
              <w:noProof/>
              <w:sz w:val="20"/>
              <w:szCs w:val="20"/>
              <w:lang w:val="en-GB" w:eastAsia="en-GB"/>
            </w:rPr>
          </w:pPr>
          <w:hyperlink w:anchor="_Toc195698701" w:history="1">
            <w:r w:rsidRPr="00E91426">
              <w:rPr>
                <w:rFonts w:ascii="Arial" w:eastAsia="Calibri" w:hAnsi="Arial" w:cs="Arial"/>
                <w:noProof/>
                <w:color w:val="0563C1"/>
                <w:sz w:val="20"/>
                <w:szCs w:val="20"/>
                <w:u w:val="single"/>
                <w:lang w:val="en-GB"/>
              </w:rPr>
              <w:t>Note 4 Other operating income</w:t>
            </w:r>
            <w:r w:rsidRPr="00E91426">
              <w:rPr>
                <w:rFonts w:ascii="Arial" w:eastAsia="Calibri" w:hAnsi="Arial" w:cs="Arial"/>
                <w:noProof/>
                <w:webHidden/>
                <w:sz w:val="20"/>
                <w:szCs w:val="20"/>
                <w:lang w:val="en-GB"/>
              </w:rPr>
              <w:tab/>
            </w:r>
            <w:r w:rsidRPr="00E91426">
              <w:rPr>
                <w:rFonts w:ascii="Arial" w:eastAsia="Calibri" w:hAnsi="Arial" w:cs="Arial"/>
                <w:noProof/>
                <w:webHidden/>
                <w:sz w:val="20"/>
                <w:szCs w:val="20"/>
                <w:lang w:val="en-GB"/>
              </w:rPr>
              <w:fldChar w:fldCharType="begin"/>
            </w:r>
            <w:r w:rsidRPr="00E91426">
              <w:rPr>
                <w:rFonts w:ascii="Arial" w:eastAsia="Calibri" w:hAnsi="Arial" w:cs="Arial"/>
                <w:noProof/>
                <w:webHidden/>
                <w:sz w:val="20"/>
                <w:szCs w:val="20"/>
                <w:lang w:val="en-GB"/>
              </w:rPr>
              <w:instrText xml:space="preserve"> PAGEREF _Toc195698701 \h </w:instrText>
            </w:r>
            <w:r w:rsidRPr="00E91426">
              <w:rPr>
                <w:rFonts w:ascii="Arial" w:eastAsia="Calibri" w:hAnsi="Arial" w:cs="Arial"/>
                <w:noProof/>
                <w:webHidden/>
                <w:sz w:val="20"/>
                <w:szCs w:val="20"/>
                <w:lang w:val="en-GB"/>
              </w:rPr>
            </w:r>
            <w:r w:rsidRPr="00E91426">
              <w:rPr>
                <w:rFonts w:ascii="Arial" w:eastAsia="Calibri" w:hAnsi="Arial" w:cs="Arial"/>
                <w:noProof/>
                <w:webHidden/>
                <w:sz w:val="20"/>
                <w:szCs w:val="20"/>
                <w:lang w:val="en-GB"/>
              </w:rPr>
              <w:fldChar w:fldCharType="separate"/>
            </w:r>
            <w:r w:rsidR="00326F74">
              <w:rPr>
                <w:rFonts w:ascii="Arial" w:eastAsia="Calibri" w:hAnsi="Arial" w:cs="Arial"/>
                <w:noProof/>
                <w:webHidden/>
                <w:sz w:val="20"/>
                <w:szCs w:val="20"/>
                <w:lang w:val="en-GB"/>
              </w:rPr>
              <w:t>117</w:t>
            </w:r>
            <w:r w:rsidRPr="00E91426">
              <w:rPr>
                <w:rFonts w:ascii="Arial" w:eastAsia="Calibri" w:hAnsi="Arial" w:cs="Arial"/>
                <w:noProof/>
                <w:webHidden/>
                <w:sz w:val="20"/>
                <w:szCs w:val="20"/>
                <w:lang w:val="en-GB"/>
              </w:rPr>
              <w:fldChar w:fldCharType="end"/>
            </w:r>
          </w:hyperlink>
        </w:p>
        <w:p w14:paraId="223891B1" w14:textId="50F667CB" w:rsidR="00E91426" w:rsidRPr="00E91426" w:rsidRDefault="00E91426" w:rsidP="00E91426">
          <w:pPr>
            <w:widowControl/>
            <w:tabs>
              <w:tab w:val="right" w:leader="dot" w:pos="9016"/>
            </w:tabs>
            <w:spacing w:after="100" w:line="259" w:lineRule="auto"/>
            <w:rPr>
              <w:rFonts w:ascii="Arial" w:eastAsia="Times New Roman" w:hAnsi="Arial" w:cs="Arial"/>
              <w:noProof/>
              <w:sz w:val="20"/>
              <w:szCs w:val="20"/>
              <w:lang w:val="en-GB" w:eastAsia="en-GB"/>
            </w:rPr>
          </w:pPr>
          <w:hyperlink w:anchor="_Toc195698702" w:history="1">
            <w:r w:rsidRPr="00E91426">
              <w:rPr>
                <w:rFonts w:ascii="Arial" w:eastAsia="Calibri" w:hAnsi="Arial" w:cs="Arial"/>
                <w:noProof/>
                <w:color w:val="0563C1"/>
                <w:sz w:val="20"/>
                <w:szCs w:val="20"/>
                <w:u w:val="single"/>
                <w:lang w:val="en-GB"/>
              </w:rPr>
              <w:t>Note 5 Operating expenses</w:t>
            </w:r>
            <w:r w:rsidRPr="00E91426">
              <w:rPr>
                <w:rFonts w:ascii="Arial" w:eastAsia="Calibri" w:hAnsi="Arial" w:cs="Arial"/>
                <w:noProof/>
                <w:webHidden/>
                <w:sz w:val="20"/>
                <w:szCs w:val="20"/>
                <w:lang w:val="en-GB"/>
              </w:rPr>
              <w:tab/>
            </w:r>
            <w:r w:rsidRPr="00E91426">
              <w:rPr>
                <w:rFonts w:ascii="Arial" w:eastAsia="Calibri" w:hAnsi="Arial" w:cs="Arial"/>
                <w:noProof/>
                <w:webHidden/>
                <w:sz w:val="20"/>
                <w:szCs w:val="20"/>
                <w:lang w:val="en-GB"/>
              </w:rPr>
              <w:fldChar w:fldCharType="begin"/>
            </w:r>
            <w:r w:rsidRPr="00E91426">
              <w:rPr>
                <w:rFonts w:ascii="Arial" w:eastAsia="Calibri" w:hAnsi="Arial" w:cs="Arial"/>
                <w:noProof/>
                <w:webHidden/>
                <w:sz w:val="20"/>
                <w:szCs w:val="20"/>
                <w:lang w:val="en-GB"/>
              </w:rPr>
              <w:instrText xml:space="preserve"> PAGEREF _Toc195698702 \h </w:instrText>
            </w:r>
            <w:r w:rsidRPr="00E91426">
              <w:rPr>
                <w:rFonts w:ascii="Arial" w:eastAsia="Calibri" w:hAnsi="Arial" w:cs="Arial"/>
                <w:noProof/>
                <w:webHidden/>
                <w:sz w:val="20"/>
                <w:szCs w:val="20"/>
                <w:lang w:val="en-GB"/>
              </w:rPr>
            </w:r>
            <w:r w:rsidRPr="00E91426">
              <w:rPr>
                <w:rFonts w:ascii="Arial" w:eastAsia="Calibri" w:hAnsi="Arial" w:cs="Arial"/>
                <w:noProof/>
                <w:webHidden/>
                <w:sz w:val="20"/>
                <w:szCs w:val="20"/>
                <w:lang w:val="en-GB"/>
              </w:rPr>
              <w:fldChar w:fldCharType="separate"/>
            </w:r>
            <w:r w:rsidR="00326F74">
              <w:rPr>
                <w:rFonts w:ascii="Arial" w:eastAsia="Calibri" w:hAnsi="Arial" w:cs="Arial"/>
                <w:noProof/>
                <w:webHidden/>
                <w:sz w:val="20"/>
                <w:szCs w:val="20"/>
                <w:lang w:val="en-GB"/>
              </w:rPr>
              <w:t>119</w:t>
            </w:r>
            <w:r w:rsidRPr="00E91426">
              <w:rPr>
                <w:rFonts w:ascii="Arial" w:eastAsia="Calibri" w:hAnsi="Arial" w:cs="Arial"/>
                <w:noProof/>
                <w:webHidden/>
                <w:sz w:val="20"/>
                <w:szCs w:val="20"/>
                <w:lang w:val="en-GB"/>
              </w:rPr>
              <w:fldChar w:fldCharType="end"/>
            </w:r>
          </w:hyperlink>
        </w:p>
        <w:p w14:paraId="6F39FF5A" w14:textId="52FEC7F1" w:rsidR="00E91426" w:rsidRPr="00E91426" w:rsidRDefault="00E91426" w:rsidP="00E91426">
          <w:pPr>
            <w:widowControl/>
            <w:tabs>
              <w:tab w:val="right" w:leader="dot" w:pos="9016"/>
            </w:tabs>
            <w:spacing w:after="100" w:line="259" w:lineRule="auto"/>
            <w:rPr>
              <w:rFonts w:ascii="Arial" w:eastAsia="Times New Roman" w:hAnsi="Arial" w:cs="Arial"/>
              <w:noProof/>
              <w:sz w:val="20"/>
              <w:szCs w:val="20"/>
              <w:lang w:val="en-GB" w:eastAsia="en-GB"/>
            </w:rPr>
          </w:pPr>
          <w:hyperlink w:anchor="_Toc195698703" w:history="1">
            <w:r w:rsidRPr="00E91426">
              <w:rPr>
                <w:rFonts w:ascii="Arial" w:eastAsia="Calibri" w:hAnsi="Arial" w:cs="Arial"/>
                <w:noProof/>
                <w:color w:val="0563C1"/>
                <w:sz w:val="20"/>
                <w:szCs w:val="20"/>
                <w:u w:val="single"/>
                <w:lang w:val="en-GB"/>
              </w:rPr>
              <w:t>Note 6 Employee benefits</w:t>
            </w:r>
            <w:r w:rsidRPr="00E91426">
              <w:rPr>
                <w:rFonts w:ascii="Arial" w:eastAsia="Calibri" w:hAnsi="Arial" w:cs="Arial"/>
                <w:noProof/>
                <w:webHidden/>
                <w:sz w:val="20"/>
                <w:szCs w:val="20"/>
                <w:lang w:val="en-GB"/>
              </w:rPr>
              <w:tab/>
            </w:r>
            <w:r w:rsidRPr="00E91426">
              <w:rPr>
                <w:rFonts w:ascii="Arial" w:eastAsia="Calibri" w:hAnsi="Arial" w:cs="Arial"/>
                <w:noProof/>
                <w:webHidden/>
                <w:sz w:val="20"/>
                <w:szCs w:val="20"/>
                <w:lang w:val="en-GB"/>
              </w:rPr>
              <w:fldChar w:fldCharType="begin"/>
            </w:r>
            <w:r w:rsidRPr="00E91426">
              <w:rPr>
                <w:rFonts w:ascii="Arial" w:eastAsia="Calibri" w:hAnsi="Arial" w:cs="Arial"/>
                <w:noProof/>
                <w:webHidden/>
                <w:sz w:val="20"/>
                <w:szCs w:val="20"/>
                <w:lang w:val="en-GB"/>
              </w:rPr>
              <w:instrText xml:space="preserve"> PAGEREF _Toc195698703 \h </w:instrText>
            </w:r>
            <w:r w:rsidRPr="00E91426">
              <w:rPr>
                <w:rFonts w:ascii="Arial" w:eastAsia="Calibri" w:hAnsi="Arial" w:cs="Arial"/>
                <w:noProof/>
                <w:webHidden/>
                <w:sz w:val="20"/>
                <w:szCs w:val="20"/>
                <w:lang w:val="en-GB"/>
              </w:rPr>
            </w:r>
            <w:r w:rsidRPr="00E91426">
              <w:rPr>
                <w:rFonts w:ascii="Arial" w:eastAsia="Calibri" w:hAnsi="Arial" w:cs="Arial"/>
                <w:noProof/>
                <w:webHidden/>
                <w:sz w:val="20"/>
                <w:szCs w:val="20"/>
                <w:lang w:val="en-GB"/>
              </w:rPr>
              <w:fldChar w:fldCharType="separate"/>
            </w:r>
            <w:r w:rsidR="00326F74">
              <w:rPr>
                <w:rFonts w:ascii="Arial" w:eastAsia="Calibri" w:hAnsi="Arial" w:cs="Arial"/>
                <w:noProof/>
                <w:webHidden/>
                <w:sz w:val="20"/>
                <w:szCs w:val="20"/>
                <w:lang w:val="en-GB"/>
              </w:rPr>
              <w:t>120</w:t>
            </w:r>
            <w:r w:rsidRPr="00E91426">
              <w:rPr>
                <w:rFonts w:ascii="Arial" w:eastAsia="Calibri" w:hAnsi="Arial" w:cs="Arial"/>
                <w:noProof/>
                <w:webHidden/>
                <w:sz w:val="20"/>
                <w:szCs w:val="20"/>
                <w:lang w:val="en-GB"/>
              </w:rPr>
              <w:fldChar w:fldCharType="end"/>
            </w:r>
          </w:hyperlink>
        </w:p>
        <w:p w14:paraId="1F06078C" w14:textId="424560D3" w:rsidR="00E91426" w:rsidRPr="00E91426" w:rsidRDefault="00E91426" w:rsidP="00E91426">
          <w:pPr>
            <w:widowControl/>
            <w:tabs>
              <w:tab w:val="right" w:leader="dot" w:pos="9016"/>
            </w:tabs>
            <w:spacing w:after="100" w:line="259" w:lineRule="auto"/>
            <w:rPr>
              <w:rFonts w:ascii="Arial" w:eastAsia="Times New Roman" w:hAnsi="Arial" w:cs="Arial"/>
              <w:noProof/>
              <w:sz w:val="20"/>
              <w:szCs w:val="20"/>
              <w:lang w:val="en-GB" w:eastAsia="en-GB"/>
            </w:rPr>
          </w:pPr>
          <w:hyperlink w:anchor="_Toc195698704" w:history="1">
            <w:r w:rsidRPr="00E91426">
              <w:rPr>
                <w:rFonts w:ascii="Arial" w:eastAsia="Calibri" w:hAnsi="Arial" w:cs="Arial"/>
                <w:noProof/>
                <w:color w:val="0563C1"/>
                <w:sz w:val="20"/>
                <w:szCs w:val="20"/>
                <w:u w:val="single"/>
                <w:lang w:val="en-GB"/>
              </w:rPr>
              <w:t>Note 7 Pension costs</w:t>
            </w:r>
            <w:r w:rsidRPr="00E91426">
              <w:rPr>
                <w:rFonts w:ascii="Arial" w:eastAsia="Calibri" w:hAnsi="Arial" w:cs="Arial"/>
                <w:noProof/>
                <w:webHidden/>
                <w:sz w:val="20"/>
                <w:szCs w:val="20"/>
                <w:lang w:val="en-GB"/>
              </w:rPr>
              <w:tab/>
            </w:r>
            <w:r w:rsidRPr="00E91426">
              <w:rPr>
                <w:rFonts w:ascii="Arial" w:eastAsia="Calibri" w:hAnsi="Arial" w:cs="Arial"/>
                <w:noProof/>
                <w:webHidden/>
                <w:sz w:val="20"/>
                <w:szCs w:val="20"/>
                <w:lang w:val="en-GB"/>
              </w:rPr>
              <w:fldChar w:fldCharType="begin"/>
            </w:r>
            <w:r w:rsidRPr="00E91426">
              <w:rPr>
                <w:rFonts w:ascii="Arial" w:eastAsia="Calibri" w:hAnsi="Arial" w:cs="Arial"/>
                <w:noProof/>
                <w:webHidden/>
                <w:sz w:val="20"/>
                <w:szCs w:val="20"/>
                <w:lang w:val="en-GB"/>
              </w:rPr>
              <w:instrText xml:space="preserve"> PAGEREF _Toc195698704 \h </w:instrText>
            </w:r>
            <w:r w:rsidRPr="00E91426">
              <w:rPr>
                <w:rFonts w:ascii="Arial" w:eastAsia="Calibri" w:hAnsi="Arial" w:cs="Arial"/>
                <w:noProof/>
                <w:webHidden/>
                <w:sz w:val="20"/>
                <w:szCs w:val="20"/>
                <w:lang w:val="en-GB"/>
              </w:rPr>
            </w:r>
            <w:r w:rsidRPr="00E91426">
              <w:rPr>
                <w:rFonts w:ascii="Arial" w:eastAsia="Calibri" w:hAnsi="Arial" w:cs="Arial"/>
                <w:noProof/>
                <w:webHidden/>
                <w:sz w:val="20"/>
                <w:szCs w:val="20"/>
                <w:lang w:val="en-GB"/>
              </w:rPr>
              <w:fldChar w:fldCharType="separate"/>
            </w:r>
            <w:r w:rsidR="00326F74">
              <w:rPr>
                <w:rFonts w:ascii="Arial" w:eastAsia="Calibri" w:hAnsi="Arial" w:cs="Arial"/>
                <w:noProof/>
                <w:webHidden/>
                <w:sz w:val="20"/>
                <w:szCs w:val="20"/>
                <w:lang w:val="en-GB"/>
              </w:rPr>
              <w:t>121</w:t>
            </w:r>
            <w:r w:rsidRPr="00E91426">
              <w:rPr>
                <w:rFonts w:ascii="Arial" w:eastAsia="Calibri" w:hAnsi="Arial" w:cs="Arial"/>
                <w:noProof/>
                <w:webHidden/>
                <w:sz w:val="20"/>
                <w:szCs w:val="20"/>
                <w:lang w:val="en-GB"/>
              </w:rPr>
              <w:fldChar w:fldCharType="end"/>
            </w:r>
          </w:hyperlink>
        </w:p>
        <w:p w14:paraId="455C5668" w14:textId="3C047FD6" w:rsidR="00E91426" w:rsidRPr="00E91426" w:rsidRDefault="00E91426" w:rsidP="00E91426">
          <w:pPr>
            <w:widowControl/>
            <w:tabs>
              <w:tab w:val="right" w:leader="dot" w:pos="9016"/>
            </w:tabs>
            <w:spacing w:after="100" w:line="259" w:lineRule="auto"/>
            <w:rPr>
              <w:rFonts w:ascii="Arial" w:eastAsia="Times New Roman" w:hAnsi="Arial" w:cs="Arial"/>
              <w:noProof/>
              <w:sz w:val="20"/>
              <w:szCs w:val="20"/>
              <w:lang w:val="en-GB" w:eastAsia="en-GB"/>
            </w:rPr>
          </w:pPr>
          <w:hyperlink w:anchor="_Toc195698705" w:history="1">
            <w:r w:rsidRPr="00E91426">
              <w:rPr>
                <w:rFonts w:ascii="Arial" w:eastAsia="Calibri" w:hAnsi="Arial" w:cs="Arial"/>
                <w:noProof/>
                <w:color w:val="0563C1"/>
                <w:sz w:val="20"/>
                <w:szCs w:val="20"/>
                <w:u w:val="single"/>
                <w:lang w:val="en-GB"/>
              </w:rPr>
              <w:t>Note 8 Finance income</w:t>
            </w:r>
            <w:r w:rsidRPr="00E91426">
              <w:rPr>
                <w:rFonts w:ascii="Arial" w:eastAsia="Calibri" w:hAnsi="Arial" w:cs="Arial"/>
                <w:noProof/>
                <w:webHidden/>
                <w:sz w:val="20"/>
                <w:szCs w:val="20"/>
                <w:lang w:val="en-GB"/>
              </w:rPr>
              <w:tab/>
            </w:r>
            <w:r w:rsidRPr="00E91426">
              <w:rPr>
                <w:rFonts w:ascii="Arial" w:eastAsia="Calibri" w:hAnsi="Arial" w:cs="Arial"/>
                <w:noProof/>
                <w:webHidden/>
                <w:sz w:val="20"/>
                <w:szCs w:val="20"/>
                <w:lang w:val="en-GB"/>
              </w:rPr>
              <w:fldChar w:fldCharType="begin"/>
            </w:r>
            <w:r w:rsidRPr="00E91426">
              <w:rPr>
                <w:rFonts w:ascii="Arial" w:eastAsia="Calibri" w:hAnsi="Arial" w:cs="Arial"/>
                <w:noProof/>
                <w:webHidden/>
                <w:sz w:val="20"/>
                <w:szCs w:val="20"/>
                <w:lang w:val="en-GB"/>
              </w:rPr>
              <w:instrText xml:space="preserve"> PAGEREF _Toc195698705 \h </w:instrText>
            </w:r>
            <w:r w:rsidRPr="00E91426">
              <w:rPr>
                <w:rFonts w:ascii="Arial" w:eastAsia="Calibri" w:hAnsi="Arial" w:cs="Arial"/>
                <w:noProof/>
                <w:webHidden/>
                <w:sz w:val="20"/>
                <w:szCs w:val="20"/>
                <w:lang w:val="en-GB"/>
              </w:rPr>
            </w:r>
            <w:r w:rsidRPr="00E91426">
              <w:rPr>
                <w:rFonts w:ascii="Arial" w:eastAsia="Calibri" w:hAnsi="Arial" w:cs="Arial"/>
                <w:noProof/>
                <w:webHidden/>
                <w:sz w:val="20"/>
                <w:szCs w:val="20"/>
                <w:lang w:val="en-GB"/>
              </w:rPr>
              <w:fldChar w:fldCharType="separate"/>
            </w:r>
            <w:r w:rsidR="00326F74">
              <w:rPr>
                <w:rFonts w:ascii="Arial" w:eastAsia="Calibri" w:hAnsi="Arial" w:cs="Arial"/>
                <w:noProof/>
                <w:webHidden/>
                <w:sz w:val="20"/>
                <w:szCs w:val="20"/>
                <w:lang w:val="en-GB"/>
              </w:rPr>
              <w:t>122</w:t>
            </w:r>
            <w:r w:rsidRPr="00E91426">
              <w:rPr>
                <w:rFonts w:ascii="Arial" w:eastAsia="Calibri" w:hAnsi="Arial" w:cs="Arial"/>
                <w:noProof/>
                <w:webHidden/>
                <w:sz w:val="20"/>
                <w:szCs w:val="20"/>
                <w:lang w:val="en-GB"/>
              </w:rPr>
              <w:fldChar w:fldCharType="end"/>
            </w:r>
          </w:hyperlink>
        </w:p>
        <w:p w14:paraId="026BB7BD" w14:textId="4DE587DC" w:rsidR="00E91426" w:rsidRPr="00E91426" w:rsidRDefault="00E91426" w:rsidP="00E91426">
          <w:pPr>
            <w:widowControl/>
            <w:tabs>
              <w:tab w:val="right" w:leader="dot" w:pos="9016"/>
            </w:tabs>
            <w:spacing w:after="100" w:line="259" w:lineRule="auto"/>
            <w:rPr>
              <w:rFonts w:ascii="Arial" w:eastAsia="Times New Roman" w:hAnsi="Arial" w:cs="Arial"/>
              <w:noProof/>
              <w:sz w:val="20"/>
              <w:szCs w:val="20"/>
              <w:lang w:val="en-GB" w:eastAsia="en-GB"/>
            </w:rPr>
          </w:pPr>
          <w:hyperlink w:anchor="_Toc195698706" w:history="1">
            <w:r w:rsidRPr="00E91426">
              <w:rPr>
                <w:rFonts w:ascii="Arial" w:eastAsia="Calibri" w:hAnsi="Arial" w:cs="Arial"/>
                <w:noProof/>
                <w:color w:val="0563C1"/>
                <w:sz w:val="20"/>
                <w:szCs w:val="20"/>
                <w:u w:val="single"/>
                <w:lang w:val="en-GB"/>
              </w:rPr>
              <w:t>Note 9 Finance expenditure</w:t>
            </w:r>
            <w:r w:rsidRPr="00E91426">
              <w:rPr>
                <w:rFonts w:ascii="Arial" w:eastAsia="Calibri" w:hAnsi="Arial" w:cs="Arial"/>
                <w:noProof/>
                <w:webHidden/>
                <w:sz w:val="20"/>
                <w:szCs w:val="20"/>
                <w:lang w:val="en-GB"/>
              </w:rPr>
              <w:tab/>
            </w:r>
            <w:r w:rsidRPr="00E91426">
              <w:rPr>
                <w:rFonts w:ascii="Arial" w:eastAsia="Calibri" w:hAnsi="Arial" w:cs="Arial"/>
                <w:noProof/>
                <w:webHidden/>
                <w:sz w:val="20"/>
                <w:szCs w:val="20"/>
                <w:lang w:val="en-GB"/>
              </w:rPr>
              <w:fldChar w:fldCharType="begin"/>
            </w:r>
            <w:r w:rsidRPr="00E91426">
              <w:rPr>
                <w:rFonts w:ascii="Arial" w:eastAsia="Calibri" w:hAnsi="Arial" w:cs="Arial"/>
                <w:noProof/>
                <w:webHidden/>
                <w:sz w:val="20"/>
                <w:szCs w:val="20"/>
                <w:lang w:val="en-GB"/>
              </w:rPr>
              <w:instrText xml:space="preserve"> PAGEREF _Toc195698706 \h </w:instrText>
            </w:r>
            <w:r w:rsidRPr="00E91426">
              <w:rPr>
                <w:rFonts w:ascii="Arial" w:eastAsia="Calibri" w:hAnsi="Arial" w:cs="Arial"/>
                <w:noProof/>
                <w:webHidden/>
                <w:sz w:val="20"/>
                <w:szCs w:val="20"/>
                <w:lang w:val="en-GB"/>
              </w:rPr>
            </w:r>
            <w:r w:rsidRPr="00E91426">
              <w:rPr>
                <w:rFonts w:ascii="Arial" w:eastAsia="Calibri" w:hAnsi="Arial" w:cs="Arial"/>
                <w:noProof/>
                <w:webHidden/>
                <w:sz w:val="20"/>
                <w:szCs w:val="20"/>
                <w:lang w:val="en-GB"/>
              </w:rPr>
              <w:fldChar w:fldCharType="separate"/>
            </w:r>
            <w:r w:rsidR="00326F74">
              <w:rPr>
                <w:rFonts w:ascii="Arial" w:eastAsia="Calibri" w:hAnsi="Arial" w:cs="Arial"/>
                <w:noProof/>
                <w:webHidden/>
                <w:sz w:val="20"/>
                <w:szCs w:val="20"/>
                <w:lang w:val="en-GB"/>
              </w:rPr>
              <w:t>122</w:t>
            </w:r>
            <w:r w:rsidRPr="00E91426">
              <w:rPr>
                <w:rFonts w:ascii="Arial" w:eastAsia="Calibri" w:hAnsi="Arial" w:cs="Arial"/>
                <w:noProof/>
                <w:webHidden/>
                <w:sz w:val="20"/>
                <w:szCs w:val="20"/>
                <w:lang w:val="en-GB"/>
              </w:rPr>
              <w:fldChar w:fldCharType="end"/>
            </w:r>
          </w:hyperlink>
        </w:p>
        <w:p w14:paraId="79748CF9" w14:textId="5C492702" w:rsidR="00E91426" w:rsidRPr="00E91426" w:rsidRDefault="00E91426" w:rsidP="00E91426">
          <w:pPr>
            <w:widowControl/>
            <w:tabs>
              <w:tab w:val="right" w:leader="dot" w:pos="9016"/>
            </w:tabs>
            <w:spacing w:after="100" w:line="259" w:lineRule="auto"/>
            <w:rPr>
              <w:rFonts w:ascii="Arial" w:eastAsia="Times New Roman" w:hAnsi="Arial" w:cs="Arial"/>
              <w:noProof/>
              <w:sz w:val="20"/>
              <w:szCs w:val="20"/>
              <w:lang w:val="en-GB" w:eastAsia="en-GB"/>
            </w:rPr>
          </w:pPr>
          <w:hyperlink w:anchor="_Toc195698707" w:history="1">
            <w:r w:rsidRPr="00E91426">
              <w:rPr>
                <w:rFonts w:ascii="Arial" w:eastAsia="Calibri" w:hAnsi="Arial" w:cs="Arial"/>
                <w:noProof/>
                <w:color w:val="0563C1"/>
                <w:sz w:val="20"/>
                <w:szCs w:val="20"/>
                <w:u w:val="single"/>
                <w:lang w:val="en-GB"/>
              </w:rPr>
              <w:t>Note 10 Property, plant and equipment</w:t>
            </w:r>
            <w:r w:rsidRPr="00E91426">
              <w:rPr>
                <w:rFonts w:ascii="Arial" w:eastAsia="Calibri" w:hAnsi="Arial" w:cs="Arial"/>
                <w:noProof/>
                <w:webHidden/>
                <w:sz w:val="20"/>
                <w:szCs w:val="20"/>
                <w:lang w:val="en-GB"/>
              </w:rPr>
              <w:tab/>
            </w:r>
            <w:r w:rsidRPr="00E91426">
              <w:rPr>
                <w:rFonts w:ascii="Arial" w:eastAsia="Calibri" w:hAnsi="Arial" w:cs="Arial"/>
                <w:noProof/>
                <w:webHidden/>
                <w:sz w:val="20"/>
                <w:szCs w:val="20"/>
                <w:lang w:val="en-GB"/>
              </w:rPr>
              <w:fldChar w:fldCharType="begin"/>
            </w:r>
            <w:r w:rsidRPr="00E91426">
              <w:rPr>
                <w:rFonts w:ascii="Arial" w:eastAsia="Calibri" w:hAnsi="Arial" w:cs="Arial"/>
                <w:noProof/>
                <w:webHidden/>
                <w:sz w:val="20"/>
                <w:szCs w:val="20"/>
                <w:lang w:val="en-GB"/>
              </w:rPr>
              <w:instrText xml:space="preserve"> PAGEREF _Toc195698707 \h </w:instrText>
            </w:r>
            <w:r w:rsidRPr="00E91426">
              <w:rPr>
                <w:rFonts w:ascii="Arial" w:eastAsia="Calibri" w:hAnsi="Arial" w:cs="Arial"/>
                <w:noProof/>
                <w:webHidden/>
                <w:sz w:val="20"/>
                <w:szCs w:val="20"/>
                <w:lang w:val="en-GB"/>
              </w:rPr>
            </w:r>
            <w:r w:rsidRPr="00E91426">
              <w:rPr>
                <w:rFonts w:ascii="Arial" w:eastAsia="Calibri" w:hAnsi="Arial" w:cs="Arial"/>
                <w:noProof/>
                <w:webHidden/>
                <w:sz w:val="20"/>
                <w:szCs w:val="20"/>
                <w:lang w:val="en-GB"/>
              </w:rPr>
              <w:fldChar w:fldCharType="separate"/>
            </w:r>
            <w:r w:rsidR="00326F74">
              <w:rPr>
                <w:rFonts w:ascii="Arial" w:eastAsia="Calibri" w:hAnsi="Arial" w:cs="Arial"/>
                <w:noProof/>
                <w:webHidden/>
                <w:sz w:val="20"/>
                <w:szCs w:val="20"/>
                <w:lang w:val="en-GB"/>
              </w:rPr>
              <w:t>123</w:t>
            </w:r>
            <w:r w:rsidRPr="00E91426">
              <w:rPr>
                <w:rFonts w:ascii="Arial" w:eastAsia="Calibri" w:hAnsi="Arial" w:cs="Arial"/>
                <w:noProof/>
                <w:webHidden/>
                <w:sz w:val="20"/>
                <w:szCs w:val="20"/>
                <w:lang w:val="en-GB"/>
              </w:rPr>
              <w:fldChar w:fldCharType="end"/>
            </w:r>
          </w:hyperlink>
        </w:p>
        <w:p w14:paraId="075118F6" w14:textId="788A8558" w:rsidR="00E91426" w:rsidRPr="00E91426" w:rsidRDefault="00E91426" w:rsidP="00E91426">
          <w:pPr>
            <w:widowControl/>
            <w:tabs>
              <w:tab w:val="right" w:leader="dot" w:pos="9016"/>
            </w:tabs>
            <w:spacing w:after="100" w:line="259" w:lineRule="auto"/>
            <w:rPr>
              <w:rFonts w:ascii="Arial" w:eastAsia="Times New Roman" w:hAnsi="Arial" w:cs="Arial"/>
              <w:noProof/>
              <w:sz w:val="20"/>
              <w:szCs w:val="20"/>
              <w:lang w:val="en-GB" w:eastAsia="en-GB"/>
            </w:rPr>
          </w:pPr>
          <w:hyperlink w:anchor="_Toc195698708" w:history="1">
            <w:r w:rsidRPr="00E91426">
              <w:rPr>
                <w:rFonts w:ascii="Arial" w:eastAsia="Calibri" w:hAnsi="Arial" w:cs="Arial"/>
                <w:noProof/>
                <w:color w:val="0563C1"/>
                <w:sz w:val="20"/>
                <w:szCs w:val="20"/>
                <w:u w:val="single"/>
                <w:lang w:val="en-GB"/>
              </w:rPr>
              <w:t>Note 11 Donations of property, plant and equipment</w:t>
            </w:r>
            <w:r w:rsidRPr="00E91426">
              <w:rPr>
                <w:rFonts w:ascii="Arial" w:eastAsia="Calibri" w:hAnsi="Arial" w:cs="Arial"/>
                <w:noProof/>
                <w:webHidden/>
                <w:sz w:val="20"/>
                <w:szCs w:val="20"/>
                <w:lang w:val="en-GB"/>
              </w:rPr>
              <w:tab/>
            </w:r>
            <w:r w:rsidRPr="00E91426">
              <w:rPr>
                <w:rFonts w:ascii="Arial" w:eastAsia="Calibri" w:hAnsi="Arial" w:cs="Arial"/>
                <w:noProof/>
                <w:webHidden/>
                <w:sz w:val="20"/>
                <w:szCs w:val="20"/>
                <w:lang w:val="en-GB"/>
              </w:rPr>
              <w:fldChar w:fldCharType="begin"/>
            </w:r>
            <w:r w:rsidRPr="00E91426">
              <w:rPr>
                <w:rFonts w:ascii="Arial" w:eastAsia="Calibri" w:hAnsi="Arial" w:cs="Arial"/>
                <w:noProof/>
                <w:webHidden/>
                <w:sz w:val="20"/>
                <w:szCs w:val="20"/>
                <w:lang w:val="en-GB"/>
              </w:rPr>
              <w:instrText xml:space="preserve"> PAGEREF _Toc195698708 \h </w:instrText>
            </w:r>
            <w:r w:rsidRPr="00E91426">
              <w:rPr>
                <w:rFonts w:ascii="Arial" w:eastAsia="Calibri" w:hAnsi="Arial" w:cs="Arial"/>
                <w:noProof/>
                <w:webHidden/>
                <w:sz w:val="20"/>
                <w:szCs w:val="20"/>
                <w:lang w:val="en-GB"/>
              </w:rPr>
            </w:r>
            <w:r w:rsidRPr="00E91426">
              <w:rPr>
                <w:rFonts w:ascii="Arial" w:eastAsia="Calibri" w:hAnsi="Arial" w:cs="Arial"/>
                <w:noProof/>
                <w:webHidden/>
                <w:sz w:val="20"/>
                <w:szCs w:val="20"/>
                <w:lang w:val="en-GB"/>
              </w:rPr>
              <w:fldChar w:fldCharType="separate"/>
            </w:r>
            <w:r w:rsidR="00326F74">
              <w:rPr>
                <w:rFonts w:ascii="Arial" w:eastAsia="Calibri" w:hAnsi="Arial" w:cs="Arial"/>
                <w:noProof/>
                <w:webHidden/>
                <w:sz w:val="20"/>
                <w:szCs w:val="20"/>
                <w:lang w:val="en-GB"/>
              </w:rPr>
              <w:t>126</w:t>
            </w:r>
            <w:r w:rsidRPr="00E91426">
              <w:rPr>
                <w:rFonts w:ascii="Arial" w:eastAsia="Calibri" w:hAnsi="Arial" w:cs="Arial"/>
                <w:noProof/>
                <w:webHidden/>
                <w:sz w:val="20"/>
                <w:szCs w:val="20"/>
                <w:lang w:val="en-GB"/>
              </w:rPr>
              <w:fldChar w:fldCharType="end"/>
            </w:r>
          </w:hyperlink>
        </w:p>
        <w:p w14:paraId="4D373A28" w14:textId="08F5B3C7" w:rsidR="00E91426" w:rsidRPr="00E91426" w:rsidRDefault="00E91426" w:rsidP="00E91426">
          <w:pPr>
            <w:widowControl/>
            <w:tabs>
              <w:tab w:val="right" w:leader="dot" w:pos="9016"/>
            </w:tabs>
            <w:spacing w:after="100" w:line="259" w:lineRule="auto"/>
            <w:rPr>
              <w:rFonts w:ascii="Arial" w:eastAsia="Times New Roman" w:hAnsi="Arial" w:cs="Arial"/>
              <w:noProof/>
              <w:sz w:val="20"/>
              <w:szCs w:val="20"/>
              <w:lang w:val="en-GB" w:eastAsia="en-GB"/>
            </w:rPr>
          </w:pPr>
          <w:hyperlink w:anchor="_Toc195698709" w:history="1">
            <w:r w:rsidRPr="00E91426">
              <w:rPr>
                <w:rFonts w:ascii="Arial" w:eastAsia="Calibri" w:hAnsi="Arial" w:cs="Arial"/>
                <w:noProof/>
                <w:color w:val="0563C1"/>
                <w:sz w:val="20"/>
                <w:szCs w:val="20"/>
                <w:u w:val="single"/>
                <w:lang w:val="en-GB"/>
              </w:rPr>
              <w:t>Note 12 Revaluations and impairments of property, plant and equipment</w:t>
            </w:r>
            <w:r w:rsidRPr="00E91426">
              <w:rPr>
                <w:rFonts w:ascii="Arial" w:eastAsia="Calibri" w:hAnsi="Arial" w:cs="Arial"/>
                <w:noProof/>
                <w:webHidden/>
                <w:sz w:val="20"/>
                <w:szCs w:val="20"/>
                <w:lang w:val="en-GB"/>
              </w:rPr>
              <w:tab/>
            </w:r>
            <w:r w:rsidRPr="00E91426">
              <w:rPr>
                <w:rFonts w:ascii="Arial" w:eastAsia="Calibri" w:hAnsi="Arial" w:cs="Arial"/>
                <w:noProof/>
                <w:webHidden/>
                <w:sz w:val="20"/>
                <w:szCs w:val="20"/>
                <w:lang w:val="en-GB"/>
              </w:rPr>
              <w:fldChar w:fldCharType="begin"/>
            </w:r>
            <w:r w:rsidRPr="00E91426">
              <w:rPr>
                <w:rFonts w:ascii="Arial" w:eastAsia="Calibri" w:hAnsi="Arial" w:cs="Arial"/>
                <w:noProof/>
                <w:webHidden/>
                <w:sz w:val="20"/>
                <w:szCs w:val="20"/>
                <w:lang w:val="en-GB"/>
              </w:rPr>
              <w:instrText xml:space="preserve"> PAGEREF _Toc195698709 \h </w:instrText>
            </w:r>
            <w:r w:rsidRPr="00E91426">
              <w:rPr>
                <w:rFonts w:ascii="Arial" w:eastAsia="Calibri" w:hAnsi="Arial" w:cs="Arial"/>
                <w:noProof/>
                <w:webHidden/>
                <w:sz w:val="20"/>
                <w:szCs w:val="20"/>
                <w:lang w:val="en-GB"/>
              </w:rPr>
            </w:r>
            <w:r w:rsidRPr="00E91426">
              <w:rPr>
                <w:rFonts w:ascii="Arial" w:eastAsia="Calibri" w:hAnsi="Arial" w:cs="Arial"/>
                <w:noProof/>
                <w:webHidden/>
                <w:sz w:val="20"/>
                <w:szCs w:val="20"/>
                <w:lang w:val="en-GB"/>
              </w:rPr>
              <w:fldChar w:fldCharType="separate"/>
            </w:r>
            <w:r w:rsidR="00326F74">
              <w:rPr>
                <w:rFonts w:ascii="Arial" w:eastAsia="Calibri" w:hAnsi="Arial" w:cs="Arial"/>
                <w:noProof/>
                <w:webHidden/>
                <w:sz w:val="20"/>
                <w:szCs w:val="20"/>
                <w:lang w:val="en-GB"/>
              </w:rPr>
              <w:t>126</w:t>
            </w:r>
            <w:r w:rsidRPr="00E91426">
              <w:rPr>
                <w:rFonts w:ascii="Arial" w:eastAsia="Calibri" w:hAnsi="Arial" w:cs="Arial"/>
                <w:noProof/>
                <w:webHidden/>
                <w:sz w:val="20"/>
                <w:szCs w:val="20"/>
                <w:lang w:val="en-GB"/>
              </w:rPr>
              <w:fldChar w:fldCharType="end"/>
            </w:r>
          </w:hyperlink>
        </w:p>
        <w:p w14:paraId="5ABEF17D" w14:textId="5D746645" w:rsidR="00E91426" w:rsidRPr="00E91426" w:rsidRDefault="00E91426" w:rsidP="00E91426">
          <w:pPr>
            <w:widowControl/>
            <w:tabs>
              <w:tab w:val="right" w:leader="dot" w:pos="9016"/>
            </w:tabs>
            <w:spacing w:after="100" w:line="259" w:lineRule="auto"/>
            <w:rPr>
              <w:rFonts w:ascii="Arial" w:eastAsia="Times New Roman" w:hAnsi="Arial" w:cs="Arial"/>
              <w:noProof/>
              <w:sz w:val="20"/>
              <w:szCs w:val="20"/>
              <w:lang w:val="en-GB" w:eastAsia="en-GB"/>
            </w:rPr>
          </w:pPr>
          <w:hyperlink w:anchor="_Toc195698710" w:history="1">
            <w:r w:rsidRPr="00E91426">
              <w:rPr>
                <w:rFonts w:ascii="Arial" w:eastAsia="Calibri" w:hAnsi="Arial" w:cs="Arial"/>
                <w:noProof/>
                <w:color w:val="0563C1"/>
                <w:sz w:val="20"/>
                <w:szCs w:val="20"/>
                <w:u w:val="single"/>
                <w:lang w:val="en-GB"/>
              </w:rPr>
              <w:t>Note 13 Right of use assets</w:t>
            </w:r>
            <w:r w:rsidRPr="00E91426">
              <w:rPr>
                <w:rFonts w:ascii="Arial" w:eastAsia="Calibri" w:hAnsi="Arial" w:cs="Arial"/>
                <w:noProof/>
                <w:webHidden/>
                <w:sz w:val="20"/>
                <w:szCs w:val="20"/>
                <w:lang w:val="en-GB"/>
              </w:rPr>
              <w:tab/>
            </w:r>
            <w:r w:rsidRPr="00E91426">
              <w:rPr>
                <w:rFonts w:ascii="Arial" w:eastAsia="Calibri" w:hAnsi="Arial" w:cs="Arial"/>
                <w:noProof/>
                <w:webHidden/>
                <w:sz w:val="20"/>
                <w:szCs w:val="20"/>
                <w:lang w:val="en-GB"/>
              </w:rPr>
              <w:fldChar w:fldCharType="begin"/>
            </w:r>
            <w:r w:rsidRPr="00E91426">
              <w:rPr>
                <w:rFonts w:ascii="Arial" w:eastAsia="Calibri" w:hAnsi="Arial" w:cs="Arial"/>
                <w:noProof/>
                <w:webHidden/>
                <w:sz w:val="20"/>
                <w:szCs w:val="20"/>
                <w:lang w:val="en-GB"/>
              </w:rPr>
              <w:instrText xml:space="preserve"> PAGEREF _Toc195698710 \h </w:instrText>
            </w:r>
            <w:r w:rsidRPr="00E91426">
              <w:rPr>
                <w:rFonts w:ascii="Arial" w:eastAsia="Calibri" w:hAnsi="Arial" w:cs="Arial"/>
                <w:noProof/>
                <w:webHidden/>
                <w:sz w:val="20"/>
                <w:szCs w:val="20"/>
                <w:lang w:val="en-GB"/>
              </w:rPr>
            </w:r>
            <w:r w:rsidRPr="00E91426">
              <w:rPr>
                <w:rFonts w:ascii="Arial" w:eastAsia="Calibri" w:hAnsi="Arial" w:cs="Arial"/>
                <w:noProof/>
                <w:webHidden/>
                <w:sz w:val="20"/>
                <w:szCs w:val="20"/>
                <w:lang w:val="en-GB"/>
              </w:rPr>
              <w:fldChar w:fldCharType="separate"/>
            </w:r>
            <w:r w:rsidR="00326F74">
              <w:rPr>
                <w:rFonts w:ascii="Arial" w:eastAsia="Calibri" w:hAnsi="Arial" w:cs="Arial"/>
                <w:noProof/>
                <w:webHidden/>
                <w:sz w:val="20"/>
                <w:szCs w:val="20"/>
                <w:lang w:val="en-GB"/>
              </w:rPr>
              <w:t>127</w:t>
            </w:r>
            <w:r w:rsidRPr="00E91426">
              <w:rPr>
                <w:rFonts w:ascii="Arial" w:eastAsia="Calibri" w:hAnsi="Arial" w:cs="Arial"/>
                <w:noProof/>
                <w:webHidden/>
                <w:sz w:val="20"/>
                <w:szCs w:val="20"/>
                <w:lang w:val="en-GB"/>
              </w:rPr>
              <w:fldChar w:fldCharType="end"/>
            </w:r>
          </w:hyperlink>
        </w:p>
        <w:p w14:paraId="6A4323E5" w14:textId="44D78497" w:rsidR="00E91426" w:rsidRPr="00E91426" w:rsidRDefault="00E91426" w:rsidP="00E91426">
          <w:pPr>
            <w:widowControl/>
            <w:tabs>
              <w:tab w:val="right" w:leader="dot" w:pos="9016"/>
            </w:tabs>
            <w:spacing w:after="100" w:line="259" w:lineRule="auto"/>
            <w:rPr>
              <w:rFonts w:ascii="Arial" w:eastAsia="Times New Roman" w:hAnsi="Arial" w:cs="Arial"/>
              <w:noProof/>
              <w:sz w:val="20"/>
              <w:szCs w:val="20"/>
              <w:lang w:val="en-GB" w:eastAsia="en-GB"/>
            </w:rPr>
          </w:pPr>
          <w:hyperlink w:anchor="_Toc195698711" w:history="1">
            <w:r w:rsidRPr="00E91426">
              <w:rPr>
                <w:rFonts w:ascii="Arial" w:eastAsia="Calibri" w:hAnsi="Arial" w:cs="Arial"/>
                <w:noProof/>
                <w:color w:val="0563C1"/>
                <w:sz w:val="20"/>
                <w:szCs w:val="20"/>
                <w:u w:val="single"/>
                <w:lang w:val="en-GB"/>
              </w:rPr>
              <w:t>Note 14 Non-current assets held for sale</w:t>
            </w:r>
            <w:r w:rsidRPr="00E91426">
              <w:rPr>
                <w:rFonts w:ascii="Arial" w:eastAsia="Calibri" w:hAnsi="Arial" w:cs="Arial"/>
                <w:noProof/>
                <w:webHidden/>
                <w:sz w:val="20"/>
                <w:szCs w:val="20"/>
                <w:lang w:val="en-GB"/>
              </w:rPr>
              <w:tab/>
            </w:r>
            <w:r w:rsidRPr="00E91426">
              <w:rPr>
                <w:rFonts w:ascii="Arial" w:eastAsia="Calibri" w:hAnsi="Arial" w:cs="Arial"/>
                <w:noProof/>
                <w:webHidden/>
                <w:sz w:val="20"/>
                <w:szCs w:val="20"/>
                <w:lang w:val="en-GB"/>
              </w:rPr>
              <w:fldChar w:fldCharType="begin"/>
            </w:r>
            <w:r w:rsidRPr="00E91426">
              <w:rPr>
                <w:rFonts w:ascii="Arial" w:eastAsia="Calibri" w:hAnsi="Arial" w:cs="Arial"/>
                <w:noProof/>
                <w:webHidden/>
                <w:sz w:val="20"/>
                <w:szCs w:val="20"/>
                <w:lang w:val="en-GB"/>
              </w:rPr>
              <w:instrText xml:space="preserve"> PAGEREF _Toc195698711 \h </w:instrText>
            </w:r>
            <w:r w:rsidRPr="00E91426">
              <w:rPr>
                <w:rFonts w:ascii="Arial" w:eastAsia="Calibri" w:hAnsi="Arial" w:cs="Arial"/>
                <w:noProof/>
                <w:webHidden/>
                <w:sz w:val="20"/>
                <w:szCs w:val="20"/>
                <w:lang w:val="en-GB"/>
              </w:rPr>
            </w:r>
            <w:r w:rsidRPr="00E91426">
              <w:rPr>
                <w:rFonts w:ascii="Arial" w:eastAsia="Calibri" w:hAnsi="Arial" w:cs="Arial"/>
                <w:noProof/>
                <w:webHidden/>
                <w:sz w:val="20"/>
                <w:szCs w:val="20"/>
                <w:lang w:val="en-GB"/>
              </w:rPr>
              <w:fldChar w:fldCharType="separate"/>
            </w:r>
            <w:r w:rsidR="00326F74">
              <w:rPr>
                <w:rFonts w:ascii="Arial" w:eastAsia="Calibri" w:hAnsi="Arial" w:cs="Arial"/>
                <w:noProof/>
                <w:webHidden/>
                <w:sz w:val="20"/>
                <w:szCs w:val="20"/>
                <w:lang w:val="en-GB"/>
              </w:rPr>
              <w:t>129</w:t>
            </w:r>
            <w:r w:rsidRPr="00E91426">
              <w:rPr>
                <w:rFonts w:ascii="Arial" w:eastAsia="Calibri" w:hAnsi="Arial" w:cs="Arial"/>
                <w:noProof/>
                <w:webHidden/>
                <w:sz w:val="20"/>
                <w:szCs w:val="20"/>
                <w:lang w:val="en-GB"/>
              </w:rPr>
              <w:fldChar w:fldCharType="end"/>
            </w:r>
          </w:hyperlink>
        </w:p>
        <w:p w14:paraId="2CC50014" w14:textId="6680E550" w:rsidR="00E91426" w:rsidRPr="00E91426" w:rsidRDefault="00E91426" w:rsidP="00E91426">
          <w:pPr>
            <w:widowControl/>
            <w:tabs>
              <w:tab w:val="right" w:leader="dot" w:pos="9016"/>
            </w:tabs>
            <w:spacing w:after="100" w:line="259" w:lineRule="auto"/>
            <w:rPr>
              <w:rFonts w:ascii="Arial" w:eastAsia="Times New Roman" w:hAnsi="Arial" w:cs="Arial"/>
              <w:noProof/>
              <w:sz w:val="20"/>
              <w:szCs w:val="20"/>
              <w:lang w:val="en-GB" w:eastAsia="en-GB"/>
            </w:rPr>
          </w:pPr>
          <w:hyperlink w:anchor="_Toc195698712" w:history="1">
            <w:r w:rsidRPr="00E91426">
              <w:rPr>
                <w:rFonts w:ascii="Arial" w:eastAsia="Calibri" w:hAnsi="Arial" w:cs="Arial"/>
                <w:noProof/>
                <w:color w:val="0563C1"/>
                <w:sz w:val="20"/>
                <w:szCs w:val="20"/>
                <w:u w:val="single"/>
                <w:lang w:val="en-GB"/>
              </w:rPr>
              <w:t>Note 15 Trade and other receivables</w:t>
            </w:r>
            <w:r w:rsidRPr="00E91426">
              <w:rPr>
                <w:rFonts w:ascii="Arial" w:eastAsia="Calibri" w:hAnsi="Arial" w:cs="Arial"/>
                <w:noProof/>
                <w:webHidden/>
                <w:sz w:val="20"/>
                <w:szCs w:val="20"/>
                <w:lang w:val="en-GB"/>
              </w:rPr>
              <w:tab/>
            </w:r>
            <w:r w:rsidRPr="00E91426">
              <w:rPr>
                <w:rFonts w:ascii="Arial" w:eastAsia="Calibri" w:hAnsi="Arial" w:cs="Arial"/>
                <w:noProof/>
                <w:webHidden/>
                <w:sz w:val="20"/>
                <w:szCs w:val="20"/>
                <w:lang w:val="en-GB"/>
              </w:rPr>
              <w:fldChar w:fldCharType="begin"/>
            </w:r>
            <w:r w:rsidRPr="00E91426">
              <w:rPr>
                <w:rFonts w:ascii="Arial" w:eastAsia="Calibri" w:hAnsi="Arial" w:cs="Arial"/>
                <w:noProof/>
                <w:webHidden/>
                <w:sz w:val="20"/>
                <w:szCs w:val="20"/>
                <w:lang w:val="en-GB"/>
              </w:rPr>
              <w:instrText xml:space="preserve"> PAGEREF _Toc195698712 \h </w:instrText>
            </w:r>
            <w:r w:rsidRPr="00E91426">
              <w:rPr>
                <w:rFonts w:ascii="Arial" w:eastAsia="Calibri" w:hAnsi="Arial" w:cs="Arial"/>
                <w:noProof/>
                <w:webHidden/>
                <w:sz w:val="20"/>
                <w:szCs w:val="20"/>
                <w:lang w:val="en-GB"/>
              </w:rPr>
            </w:r>
            <w:r w:rsidRPr="00E91426">
              <w:rPr>
                <w:rFonts w:ascii="Arial" w:eastAsia="Calibri" w:hAnsi="Arial" w:cs="Arial"/>
                <w:noProof/>
                <w:webHidden/>
                <w:sz w:val="20"/>
                <w:szCs w:val="20"/>
                <w:lang w:val="en-GB"/>
              </w:rPr>
              <w:fldChar w:fldCharType="separate"/>
            </w:r>
            <w:r w:rsidR="00326F74">
              <w:rPr>
                <w:rFonts w:ascii="Arial" w:eastAsia="Calibri" w:hAnsi="Arial" w:cs="Arial"/>
                <w:noProof/>
                <w:webHidden/>
                <w:sz w:val="20"/>
                <w:szCs w:val="20"/>
                <w:lang w:val="en-GB"/>
              </w:rPr>
              <w:t>130</w:t>
            </w:r>
            <w:r w:rsidRPr="00E91426">
              <w:rPr>
                <w:rFonts w:ascii="Arial" w:eastAsia="Calibri" w:hAnsi="Arial" w:cs="Arial"/>
                <w:noProof/>
                <w:webHidden/>
                <w:sz w:val="20"/>
                <w:szCs w:val="20"/>
                <w:lang w:val="en-GB"/>
              </w:rPr>
              <w:fldChar w:fldCharType="end"/>
            </w:r>
          </w:hyperlink>
        </w:p>
        <w:p w14:paraId="1CA0CAB9" w14:textId="3C40D6B9" w:rsidR="00E91426" w:rsidRPr="00E91426" w:rsidRDefault="00E91426" w:rsidP="00E91426">
          <w:pPr>
            <w:widowControl/>
            <w:tabs>
              <w:tab w:val="right" w:leader="dot" w:pos="9016"/>
            </w:tabs>
            <w:spacing w:after="100" w:line="259" w:lineRule="auto"/>
            <w:rPr>
              <w:rFonts w:ascii="Arial" w:eastAsia="Times New Roman" w:hAnsi="Arial" w:cs="Arial"/>
              <w:noProof/>
              <w:sz w:val="20"/>
              <w:szCs w:val="20"/>
              <w:lang w:val="en-GB" w:eastAsia="en-GB"/>
            </w:rPr>
          </w:pPr>
          <w:hyperlink w:anchor="_Toc195698713" w:history="1">
            <w:r w:rsidRPr="00E91426">
              <w:rPr>
                <w:rFonts w:ascii="Arial" w:eastAsia="Calibri" w:hAnsi="Arial" w:cs="Arial"/>
                <w:noProof/>
                <w:color w:val="0563C1"/>
                <w:sz w:val="20"/>
                <w:szCs w:val="20"/>
                <w:u w:val="single"/>
                <w:lang w:val="en-GB"/>
              </w:rPr>
              <w:t>Note 16 Inventories</w:t>
            </w:r>
            <w:r w:rsidRPr="00E91426">
              <w:rPr>
                <w:rFonts w:ascii="Arial" w:eastAsia="Calibri" w:hAnsi="Arial" w:cs="Arial"/>
                <w:noProof/>
                <w:webHidden/>
                <w:sz w:val="20"/>
                <w:szCs w:val="20"/>
                <w:lang w:val="en-GB"/>
              </w:rPr>
              <w:tab/>
            </w:r>
            <w:r w:rsidRPr="00E91426">
              <w:rPr>
                <w:rFonts w:ascii="Arial" w:eastAsia="Calibri" w:hAnsi="Arial" w:cs="Arial"/>
                <w:noProof/>
                <w:webHidden/>
                <w:sz w:val="20"/>
                <w:szCs w:val="20"/>
                <w:lang w:val="en-GB"/>
              </w:rPr>
              <w:fldChar w:fldCharType="begin"/>
            </w:r>
            <w:r w:rsidRPr="00E91426">
              <w:rPr>
                <w:rFonts w:ascii="Arial" w:eastAsia="Calibri" w:hAnsi="Arial" w:cs="Arial"/>
                <w:noProof/>
                <w:webHidden/>
                <w:sz w:val="20"/>
                <w:szCs w:val="20"/>
                <w:lang w:val="en-GB"/>
              </w:rPr>
              <w:instrText xml:space="preserve"> PAGEREF _Toc195698713 \h </w:instrText>
            </w:r>
            <w:r w:rsidRPr="00E91426">
              <w:rPr>
                <w:rFonts w:ascii="Arial" w:eastAsia="Calibri" w:hAnsi="Arial" w:cs="Arial"/>
                <w:noProof/>
                <w:webHidden/>
                <w:sz w:val="20"/>
                <w:szCs w:val="20"/>
                <w:lang w:val="en-GB"/>
              </w:rPr>
            </w:r>
            <w:r w:rsidRPr="00E91426">
              <w:rPr>
                <w:rFonts w:ascii="Arial" w:eastAsia="Calibri" w:hAnsi="Arial" w:cs="Arial"/>
                <w:noProof/>
                <w:webHidden/>
                <w:sz w:val="20"/>
                <w:szCs w:val="20"/>
                <w:lang w:val="en-GB"/>
              </w:rPr>
              <w:fldChar w:fldCharType="separate"/>
            </w:r>
            <w:r w:rsidR="00326F74">
              <w:rPr>
                <w:rFonts w:ascii="Arial" w:eastAsia="Calibri" w:hAnsi="Arial" w:cs="Arial"/>
                <w:noProof/>
                <w:webHidden/>
                <w:sz w:val="20"/>
                <w:szCs w:val="20"/>
                <w:lang w:val="en-GB"/>
              </w:rPr>
              <w:t>131</w:t>
            </w:r>
            <w:r w:rsidRPr="00E91426">
              <w:rPr>
                <w:rFonts w:ascii="Arial" w:eastAsia="Calibri" w:hAnsi="Arial" w:cs="Arial"/>
                <w:noProof/>
                <w:webHidden/>
                <w:sz w:val="20"/>
                <w:szCs w:val="20"/>
                <w:lang w:val="en-GB"/>
              </w:rPr>
              <w:fldChar w:fldCharType="end"/>
            </w:r>
          </w:hyperlink>
        </w:p>
        <w:p w14:paraId="5F8DCB4F" w14:textId="5D92C206" w:rsidR="00E91426" w:rsidRPr="00E91426" w:rsidRDefault="00E91426" w:rsidP="00E91426">
          <w:pPr>
            <w:widowControl/>
            <w:tabs>
              <w:tab w:val="right" w:leader="dot" w:pos="9016"/>
            </w:tabs>
            <w:spacing w:after="100" w:line="259" w:lineRule="auto"/>
            <w:rPr>
              <w:rFonts w:ascii="Arial" w:eastAsia="Times New Roman" w:hAnsi="Arial" w:cs="Arial"/>
              <w:noProof/>
              <w:sz w:val="20"/>
              <w:szCs w:val="20"/>
              <w:lang w:val="en-GB" w:eastAsia="en-GB"/>
            </w:rPr>
          </w:pPr>
          <w:hyperlink w:anchor="_Toc195698714" w:history="1">
            <w:r w:rsidRPr="00E91426">
              <w:rPr>
                <w:rFonts w:ascii="Arial" w:eastAsia="Calibri" w:hAnsi="Arial" w:cs="Arial"/>
                <w:noProof/>
                <w:color w:val="0563C1"/>
                <w:sz w:val="20"/>
                <w:szCs w:val="20"/>
                <w:u w:val="single"/>
                <w:lang w:val="en-GB"/>
              </w:rPr>
              <w:t>Note 17 Cash and cash equivalents</w:t>
            </w:r>
            <w:r w:rsidRPr="00E91426">
              <w:rPr>
                <w:rFonts w:ascii="Arial" w:eastAsia="Calibri" w:hAnsi="Arial" w:cs="Arial"/>
                <w:noProof/>
                <w:webHidden/>
                <w:sz w:val="20"/>
                <w:szCs w:val="20"/>
                <w:lang w:val="en-GB"/>
              </w:rPr>
              <w:tab/>
            </w:r>
            <w:r w:rsidRPr="00E91426">
              <w:rPr>
                <w:rFonts w:ascii="Arial" w:eastAsia="Calibri" w:hAnsi="Arial" w:cs="Arial"/>
                <w:noProof/>
                <w:webHidden/>
                <w:sz w:val="20"/>
                <w:szCs w:val="20"/>
                <w:lang w:val="en-GB"/>
              </w:rPr>
              <w:fldChar w:fldCharType="begin"/>
            </w:r>
            <w:r w:rsidRPr="00E91426">
              <w:rPr>
                <w:rFonts w:ascii="Arial" w:eastAsia="Calibri" w:hAnsi="Arial" w:cs="Arial"/>
                <w:noProof/>
                <w:webHidden/>
                <w:sz w:val="20"/>
                <w:szCs w:val="20"/>
                <w:lang w:val="en-GB"/>
              </w:rPr>
              <w:instrText xml:space="preserve"> PAGEREF _Toc195698714 \h </w:instrText>
            </w:r>
            <w:r w:rsidRPr="00E91426">
              <w:rPr>
                <w:rFonts w:ascii="Arial" w:eastAsia="Calibri" w:hAnsi="Arial" w:cs="Arial"/>
                <w:noProof/>
                <w:webHidden/>
                <w:sz w:val="20"/>
                <w:szCs w:val="20"/>
                <w:lang w:val="en-GB"/>
              </w:rPr>
            </w:r>
            <w:r w:rsidRPr="00E91426">
              <w:rPr>
                <w:rFonts w:ascii="Arial" w:eastAsia="Calibri" w:hAnsi="Arial" w:cs="Arial"/>
                <w:noProof/>
                <w:webHidden/>
                <w:sz w:val="20"/>
                <w:szCs w:val="20"/>
                <w:lang w:val="en-GB"/>
              </w:rPr>
              <w:fldChar w:fldCharType="separate"/>
            </w:r>
            <w:r w:rsidR="00326F74">
              <w:rPr>
                <w:rFonts w:ascii="Arial" w:eastAsia="Calibri" w:hAnsi="Arial" w:cs="Arial"/>
                <w:noProof/>
                <w:webHidden/>
                <w:sz w:val="20"/>
                <w:szCs w:val="20"/>
                <w:lang w:val="en-GB"/>
              </w:rPr>
              <w:t>131</w:t>
            </w:r>
            <w:r w:rsidRPr="00E91426">
              <w:rPr>
                <w:rFonts w:ascii="Arial" w:eastAsia="Calibri" w:hAnsi="Arial" w:cs="Arial"/>
                <w:noProof/>
                <w:webHidden/>
                <w:sz w:val="20"/>
                <w:szCs w:val="20"/>
                <w:lang w:val="en-GB"/>
              </w:rPr>
              <w:fldChar w:fldCharType="end"/>
            </w:r>
          </w:hyperlink>
        </w:p>
        <w:p w14:paraId="5DBD8710" w14:textId="4527D06E" w:rsidR="00E91426" w:rsidRPr="00E91426" w:rsidRDefault="00E91426" w:rsidP="00E91426">
          <w:pPr>
            <w:widowControl/>
            <w:tabs>
              <w:tab w:val="right" w:leader="dot" w:pos="9016"/>
            </w:tabs>
            <w:spacing w:after="100" w:line="259" w:lineRule="auto"/>
            <w:rPr>
              <w:rFonts w:ascii="Arial" w:eastAsia="Times New Roman" w:hAnsi="Arial" w:cs="Arial"/>
              <w:noProof/>
              <w:sz w:val="20"/>
              <w:szCs w:val="20"/>
              <w:lang w:val="en-GB" w:eastAsia="en-GB"/>
            </w:rPr>
          </w:pPr>
          <w:hyperlink w:anchor="_Toc195698715" w:history="1">
            <w:r w:rsidRPr="00E91426">
              <w:rPr>
                <w:rFonts w:ascii="Arial" w:eastAsia="Calibri" w:hAnsi="Arial" w:cs="Arial"/>
                <w:noProof/>
                <w:color w:val="0563C1"/>
                <w:sz w:val="20"/>
                <w:szCs w:val="20"/>
                <w:u w:val="single"/>
                <w:lang w:val="en-GB"/>
              </w:rPr>
              <w:t>Note 18 Trade and other payables</w:t>
            </w:r>
            <w:r w:rsidRPr="00E91426">
              <w:rPr>
                <w:rFonts w:ascii="Arial" w:eastAsia="Calibri" w:hAnsi="Arial" w:cs="Arial"/>
                <w:noProof/>
                <w:webHidden/>
                <w:sz w:val="20"/>
                <w:szCs w:val="20"/>
                <w:lang w:val="en-GB"/>
              </w:rPr>
              <w:tab/>
            </w:r>
            <w:r w:rsidRPr="00E91426">
              <w:rPr>
                <w:rFonts w:ascii="Arial" w:eastAsia="Calibri" w:hAnsi="Arial" w:cs="Arial"/>
                <w:noProof/>
                <w:webHidden/>
                <w:sz w:val="20"/>
                <w:szCs w:val="20"/>
                <w:lang w:val="en-GB"/>
              </w:rPr>
              <w:fldChar w:fldCharType="begin"/>
            </w:r>
            <w:r w:rsidRPr="00E91426">
              <w:rPr>
                <w:rFonts w:ascii="Arial" w:eastAsia="Calibri" w:hAnsi="Arial" w:cs="Arial"/>
                <w:noProof/>
                <w:webHidden/>
                <w:sz w:val="20"/>
                <w:szCs w:val="20"/>
                <w:lang w:val="en-GB"/>
              </w:rPr>
              <w:instrText xml:space="preserve"> PAGEREF _Toc195698715 \h </w:instrText>
            </w:r>
            <w:r w:rsidRPr="00E91426">
              <w:rPr>
                <w:rFonts w:ascii="Arial" w:eastAsia="Calibri" w:hAnsi="Arial" w:cs="Arial"/>
                <w:noProof/>
                <w:webHidden/>
                <w:sz w:val="20"/>
                <w:szCs w:val="20"/>
                <w:lang w:val="en-GB"/>
              </w:rPr>
            </w:r>
            <w:r w:rsidRPr="00E91426">
              <w:rPr>
                <w:rFonts w:ascii="Arial" w:eastAsia="Calibri" w:hAnsi="Arial" w:cs="Arial"/>
                <w:noProof/>
                <w:webHidden/>
                <w:sz w:val="20"/>
                <w:szCs w:val="20"/>
                <w:lang w:val="en-GB"/>
              </w:rPr>
              <w:fldChar w:fldCharType="separate"/>
            </w:r>
            <w:r w:rsidR="00326F74">
              <w:rPr>
                <w:rFonts w:ascii="Arial" w:eastAsia="Calibri" w:hAnsi="Arial" w:cs="Arial"/>
                <w:noProof/>
                <w:webHidden/>
                <w:sz w:val="20"/>
                <w:szCs w:val="20"/>
                <w:lang w:val="en-GB"/>
              </w:rPr>
              <w:t>132</w:t>
            </w:r>
            <w:r w:rsidRPr="00E91426">
              <w:rPr>
                <w:rFonts w:ascii="Arial" w:eastAsia="Calibri" w:hAnsi="Arial" w:cs="Arial"/>
                <w:noProof/>
                <w:webHidden/>
                <w:sz w:val="20"/>
                <w:szCs w:val="20"/>
                <w:lang w:val="en-GB"/>
              </w:rPr>
              <w:fldChar w:fldCharType="end"/>
            </w:r>
          </w:hyperlink>
        </w:p>
        <w:p w14:paraId="4AF36A32" w14:textId="5F0085E7" w:rsidR="00E91426" w:rsidRPr="00E91426" w:rsidRDefault="00E91426" w:rsidP="00E91426">
          <w:pPr>
            <w:widowControl/>
            <w:tabs>
              <w:tab w:val="right" w:leader="dot" w:pos="9016"/>
            </w:tabs>
            <w:spacing w:after="100" w:line="259" w:lineRule="auto"/>
            <w:rPr>
              <w:rFonts w:ascii="Arial" w:eastAsia="Times New Roman" w:hAnsi="Arial" w:cs="Arial"/>
              <w:noProof/>
              <w:sz w:val="20"/>
              <w:szCs w:val="20"/>
              <w:lang w:val="en-GB" w:eastAsia="en-GB"/>
            </w:rPr>
          </w:pPr>
          <w:hyperlink w:anchor="_Toc195698716" w:history="1">
            <w:r w:rsidRPr="00E91426">
              <w:rPr>
                <w:rFonts w:ascii="Arial" w:eastAsia="Calibri" w:hAnsi="Arial" w:cs="Arial"/>
                <w:noProof/>
                <w:color w:val="0563C1"/>
                <w:sz w:val="20"/>
                <w:szCs w:val="20"/>
                <w:u w:val="single"/>
                <w:lang w:val="en-GB"/>
              </w:rPr>
              <w:t>Note 19 Other Liabilities</w:t>
            </w:r>
            <w:r w:rsidRPr="00E91426">
              <w:rPr>
                <w:rFonts w:ascii="Arial" w:eastAsia="Calibri" w:hAnsi="Arial" w:cs="Arial"/>
                <w:noProof/>
                <w:webHidden/>
                <w:sz w:val="20"/>
                <w:szCs w:val="20"/>
                <w:lang w:val="en-GB"/>
              </w:rPr>
              <w:tab/>
            </w:r>
            <w:r w:rsidRPr="00E91426">
              <w:rPr>
                <w:rFonts w:ascii="Arial" w:eastAsia="Calibri" w:hAnsi="Arial" w:cs="Arial"/>
                <w:noProof/>
                <w:webHidden/>
                <w:sz w:val="20"/>
                <w:szCs w:val="20"/>
                <w:lang w:val="en-GB"/>
              </w:rPr>
              <w:fldChar w:fldCharType="begin"/>
            </w:r>
            <w:r w:rsidRPr="00E91426">
              <w:rPr>
                <w:rFonts w:ascii="Arial" w:eastAsia="Calibri" w:hAnsi="Arial" w:cs="Arial"/>
                <w:noProof/>
                <w:webHidden/>
                <w:sz w:val="20"/>
                <w:szCs w:val="20"/>
                <w:lang w:val="en-GB"/>
              </w:rPr>
              <w:instrText xml:space="preserve"> PAGEREF _Toc195698716 \h </w:instrText>
            </w:r>
            <w:r w:rsidRPr="00E91426">
              <w:rPr>
                <w:rFonts w:ascii="Arial" w:eastAsia="Calibri" w:hAnsi="Arial" w:cs="Arial"/>
                <w:noProof/>
                <w:webHidden/>
                <w:sz w:val="20"/>
                <w:szCs w:val="20"/>
                <w:lang w:val="en-GB"/>
              </w:rPr>
            </w:r>
            <w:r w:rsidRPr="00E91426">
              <w:rPr>
                <w:rFonts w:ascii="Arial" w:eastAsia="Calibri" w:hAnsi="Arial" w:cs="Arial"/>
                <w:noProof/>
                <w:webHidden/>
                <w:sz w:val="20"/>
                <w:szCs w:val="20"/>
                <w:lang w:val="en-GB"/>
              </w:rPr>
              <w:fldChar w:fldCharType="separate"/>
            </w:r>
            <w:r w:rsidR="00326F74">
              <w:rPr>
                <w:rFonts w:ascii="Arial" w:eastAsia="Calibri" w:hAnsi="Arial" w:cs="Arial"/>
                <w:noProof/>
                <w:webHidden/>
                <w:sz w:val="20"/>
                <w:szCs w:val="20"/>
                <w:lang w:val="en-GB"/>
              </w:rPr>
              <w:t>133</w:t>
            </w:r>
            <w:r w:rsidRPr="00E91426">
              <w:rPr>
                <w:rFonts w:ascii="Arial" w:eastAsia="Calibri" w:hAnsi="Arial" w:cs="Arial"/>
                <w:noProof/>
                <w:webHidden/>
                <w:sz w:val="20"/>
                <w:szCs w:val="20"/>
                <w:lang w:val="en-GB"/>
              </w:rPr>
              <w:fldChar w:fldCharType="end"/>
            </w:r>
          </w:hyperlink>
        </w:p>
        <w:p w14:paraId="773DE3E4" w14:textId="7807D48A" w:rsidR="00E91426" w:rsidRPr="00E91426" w:rsidRDefault="00E91426" w:rsidP="00E91426">
          <w:pPr>
            <w:widowControl/>
            <w:tabs>
              <w:tab w:val="right" w:leader="dot" w:pos="9016"/>
            </w:tabs>
            <w:spacing w:after="100" w:line="259" w:lineRule="auto"/>
            <w:rPr>
              <w:rFonts w:ascii="Arial" w:eastAsia="Times New Roman" w:hAnsi="Arial" w:cs="Arial"/>
              <w:noProof/>
              <w:sz w:val="20"/>
              <w:szCs w:val="20"/>
              <w:lang w:val="en-GB" w:eastAsia="en-GB"/>
            </w:rPr>
          </w:pPr>
          <w:hyperlink w:anchor="_Toc195698717" w:history="1">
            <w:r w:rsidRPr="00E91426">
              <w:rPr>
                <w:rFonts w:ascii="Arial" w:eastAsia="Calibri" w:hAnsi="Arial" w:cs="Arial"/>
                <w:noProof/>
                <w:color w:val="0563C1"/>
                <w:sz w:val="20"/>
                <w:szCs w:val="20"/>
                <w:u w:val="single"/>
                <w:lang w:val="en-GB"/>
              </w:rPr>
              <w:t>Note 20 Borrowings</w:t>
            </w:r>
            <w:r w:rsidRPr="00E91426">
              <w:rPr>
                <w:rFonts w:ascii="Arial" w:eastAsia="Calibri" w:hAnsi="Arial" w:cs="Arial"/>
                <w:noProof/>
                <w:webHidden/>
                <w:sz w:val="20"/>
                <w:szCs w:val="20"/>
                <w:lang w:val="en-GB"/>
              </w:rPr>
              <w:tab/>
            </w:r>
            <w:r w:rsidRPr="00E91426">
              <w:rPr>
                <w:rFonts w:ascii="Arial" w:eastAsia="Calibri" w:hAnsi="Arial" w:cs="Arial"/>
                <w:noProof/>
                <w:webHidden/>
                <w:sz w:val="20"/>
                <w:szCs w:val="20"/>
                <w:lang w:val="en-GB"/>
              </w:rPr>
              <w:fldChar w:fldCharType="begin"/>
            </w:r>
            <w:r w:rsidRPr="00E91426">
              <w:rPr>
                <w:rFonts w:ascii="Arial" w:eastAsia="Calibri" w:hAnsi="Arial" w:cs="Arial"/>
                <w:noProof/>
                <w:webHidden/>
                <w:sz w:val="20"/>
                <w:szCs w:val="20"/>
                <w:lang w:val="en-GB"/>
              </w:rPr>
              <w:instrText xml:space="preserve"> PAGEREF _Toc195698717 \h </w:instrText>
            </w:r>
            <w:r w:rsidRPr="00E91426">
              <w:rPr>
                <w:rFonts w:ascii="Arial" w:eastAsia="Calibri" w:hAnsi="Arial" w:cs="Arial"/>
                <w:noProof/>
                <w:webHidden/>
                <w:sz w:val="20"/>
                <w:szCs w:val="20"/>
                <w:lang w:val="en-GB"/>
              </w:rPr>
            </w:r>
            <w:r w:rsidRPr="00E91426">
              <w:rPr>
                <w:rFonts w:ascii="Arial" w:eastAsia="Calibri" w:hAnsi="Arial" w:cs="Arial"/>
                <w:noProof/>
                <w:webHidden/>
                <w:sz w:val="20"/>
                <w:szCs w:val="20"/>
                <w:lang w:val="en-GB"/>
              </w:rPr>
              <w:fldChar w:fldCharType="separate"/>
            </w:r>
            <w:r w:rsidR="00326F74">
              <w:rPr>
                <w:rFonts w:ascii="Arial" w:eastAsia="Calibri" w:hAnsi="Arial" w:cs="Arial"/>
                <w:noProof/>
                <w:webHidden/>
                <w:sz w:val="20"/>
                <w:szCs w:val="20"/>
                <w:lang w:val="en-GB"/>
              </w:rPr>
              <w:t>133</w:t>
            </w:r>
            <w:r w:rsidRPr="00E91426">
              <w:rPr>
                <w:rFonts w:ascii="Arial" w:eastAsia="Calibri" w:hAnsi="Arial" w:cs="Arial"/>
                <w:noProof/>
                <w:webHidden/>
                <w:sz w:val="20"/>
                <w:szCs w:val="20"/>
                <w:lang w:val="en-GB"/>
              </w:rPr>
              <w:fldChar w:fldCharType="end"/>
            </w:r>
          </w:hyperlink>
        </w:p>
        <w:p w14:paraId="1C5C98F7" w14:textId="3DC60DD0" w:rsidR="00E91426" w:rsidRPr="00E91426" w:rsidRDefault="00E91426" w:rsidP="00E91426">
          <w:pPr>
            <w:widowControl/>
            <w:tabs>
              <w:tab w:val="right" w:leader="dot" w:pos="9016"/>
            </w:tabs>
            <w:spacing w:after="100" w:line="259" w:lineRule="auto"/>
            <w:rPr>
              <w:rFonts w:ascii="Arial" w:eastAsia="Times New Roman" w:hAnsi="Arial" w:cs="Arial"/>
              <w:noProof/>
              <w:sz w:val="20"/>
              <w:szCs w:val="20"/>
              <w:lang w:val="en-GB" w:eastAsia="en-GB"/>
            </w:rPr>
          </w:pPr>
          <w:hyperlink w:anchor="_Toc195698718" w:history="1">
            <w:r w:rsidRPr="00E91426">
              <w:rPr>
                <w:rFonts w:ascii="Arial" w:eastAsia="Calibri" w:hAnsi="Arial" w:cs="Arial"/>
                <w:noProof/>
                <w:color w:val="0563C1"/>
                <w:sz w:val="20"/>
                <w:szCs w:val="20"/>
                <w:u w:val="single"/>
                <w:lang w:val="en-GB"/>
              </w:rPr>
              <w:t>Note 21 Provisions for liabilities and charges</w:t>
            </w:r>
            <w:r w:rsidRPr="00E91426">
              <w:rPr>
                <w:rFonts w:ascii="Arial" w:eastAsia="Calibri" w:hAnsi="Arial" w:cs="Arial"/>
                <w:noProof/>
                <w:webHidden/>
                <w:sz w:val="20"/>
                <w:szCs w:val="20"/>
                <w:lang w:val="en-GB"/>
              </w:rPr>
              <w:tab/>
            </w:r>
            <w:r w:rsidRPr="00E91426">
              <w:rPr>
                <w:rFonts w:ascii="Arial" w:eastAsia="Calibri" w:hAnsi="Arial" w:cs="Arial"/>
                <w:noProof/>
                <w:webHidden/>
                <w:sz w:val="20"/>
                <w:szCs w:val="20"/>
                <w:lang w:val="en-GB"/>
              </w:rPr>
              <w:fldChar w:fldCharType="begin"/>
            </w:r>
            <w:r w:rsidRPr="00E91426">
              <w:rPr>
                <w:rFonts w:ascii="Arial" w:eastAsia="Calibri" w:hAnsi="Arial" w:cs="Arial"/>
                <w:noProof/>
                <w:webHidden/>
                <w:sz w:val="20"/>
                <w:szCs w:val="20"/>
                <w:lang w:val="en-GB"/>
              </w:rPr>
              <w:instrText xml:space="preserve"> PAGEREF _Toc195698718 \h </w:instrText>
            </w:r>
            <w:r w:rsidRPr="00E91426">
              <w:rPr>
                <w:rFonts w:ascii="Arial" w:eastAsia="Calibri" w:hAnsi="Arial" w:cs="Arial"/>
                <w:noProof/>
                <w:webHidden/>
                <w:sz w:val="20"/>
                <w:szCs w:val="20"/>
                <w:lang w:val="en-GB"/>
              </w:rPr>
            </w:r>
            <w:r w:rsidRPr="00E91426">
              <w:rPr>
                <w:rFonts w:ascii="Arial" w:eastAsia="Calibri" w:hAnsi="Arial" w:cs="Arial"/>
                <w:noProof/>
                <w:webHidden/>
                <w:sz w:val="20"/>
                <w:szCs w:val="20"/>
                <w:lang w:val="en-GB"/>
              </w:rPr>
              <w:fldChar w:fldCharType="separate"/>
            </w:r>
            <w:r w:rsidR="00326F74">
              <w:rPr>
                <w:rFonts w:ascii="Arial" w:eastAsia="Calibri" w:hAnsi="Arial" w:cs="Arial"/>
                <w:noProof/>
                <w:webHidden/>
                <w:sz w:val="20"/>
                <w:szCs w:val="20"/>
                <w:lang w:val="en-GB"/>
              </w:rPr>
              <w:t>135</w:t>
            </w:r>
            <w:r w:rsidRPr="00E91426">
              <w:rPr>
                <w:rFonts w:ascii="Arial" w:eastAsia="Calibri" w:hAnsi="Arial" w:cs="Arial"/>
                <w:noProof/>
                <w:webHidden/>
                <w:sz w:val="20"/>
                <w:szCs w:val="20"/>
                <w:lang w:val="en-GB"/>
              </w:rPr>
              <w:fldChar w:fldCharType="end"/>
            </w:r>
          </w:hyperlink>
        </w:p>
        <w:p w14:paraId="27650E61" w14:textId="2B7DAE15" w:rsidR="00E91426" w:rsidRPr="00E91426" w:rsidRDefault="00E91426" w:rsidP="00E91426">
          <w:pPr>
            <w:widowControl/>
            <w:tabs>
              <w:tab w:val="right" w:leader="dot" w:pos="9016"/>
            </w:tabs>
            <w:spacing w:after="100" w:line="259" w:lineRule="auto"/>
            <w:rPr>
              <w:rFonts w:ascii="Arial" w:eastAsia="Times New Roman" w:hAnsi="Arial" w:cs="Arial"/>
              <w:noProof/>
              <w:sz w:val="20"/>
              <w:szCs w:val="20"/>
              <w:lang w:val="en-GB" w:eastAsia="en-GB"/>
            </w:rPr>
          </w:pPr>
          <w:hyperlink w:anchor="_Toc195698719" w:history="1">
            <w:r w:rsidRPr="00E91426">
              <w:rPr>
                <w:rFonts w:ascii="Arial" w:eastAsia="Calibri" w:hAnsi="Arial" w:cs="Arial"/>
                <w:noProof/>
                <w:color w:val="0563C1"/>
                <w:sz w:val="20"/>
                <w:szCs w:val="20"/>
                <w:u w:val="single"/>
                <w:lang w:val="en-GB"/>
              </w:rPr>
              <w:t>Note 22 Contingent assets and liabilities</w:t>
            </w:r>
            <w:r w:rsidRPr="00E91426">
              <w:rPr>
                <w:rFonts w:ascii="Arial" w:eastAsia="Calibri" w:hAnsi="Arial" w:cs="Arial"/>
                <w:noProof/>
                <w:webHidden/>
                <w:sz w:val="20"/>
                <w:szCs w:val="20"/>
                <w:lang w:val="en-GB"/>
              </w:rPr>
              <w:tab/>
            </w:r>
            <w:r w:rsidRPr="00E91426">
              <w:rPr>
                <w:rFonts w:ascii="Arial" w:eastAsia="Calibri" w:hAnsi="Arial" w:cs="Arial"/>
                <w:noProof/>
                <w:webHidden/>
                <w:sz w:val="20"/>
                <w:szCs w:val="20"/>
                <w:lang w:val="en-GB"/>
              </w:rPr>
              <w:fldChar w:fldCharType="begin"/>
            </w:r>
            <w:r w:rsidRPr="00E91426">
              <w:rPr>
                <w:rFonts w:ascii="Arial" w:eastAsia="Calibri" w:hAnsi="Arial" w:cs="Arial"/>
                <w:noProof/>
                <w:webHidden/>
                <w:sz w:val="20"/>
                <w:szCs w:val="20"/>
                <w:lang w:val="en-GB"/>
              </w:rPr>
              <w:instrText xml:space="preserve"> PAGEREF _Toc195698719 \h </w:instrText>
            </w:r>
            <w:r w:rsidRPr="00E91426">
              <w:rPr>
                <w:rFonts w:ascii="Arial" w:eastAsia="Calibri" w:hAnsi="Arial" w:cs="Arial"/>
                <w:noProof/>
                <w:webHidden/>
                <w:sz w:val="20"/>
                <w:szCs w:val="20"/>
                <w:lang w:val="en-GB"/>
              </w:rPr>
            </w:r>
            <w:r w:rsidRPr="00E91426">
              <w:rPr>
                <w:rFonts w:ascii="Arial" w:eastAsia="Calibri" w:hAnsi="Arial" w:cs="Arial"/>
                <w:noProof/>
                <w:webHidden/>
                <w:sz w:val="20"/>
                <w:szCs w:val="20"/>
                <w:lang w:val="en-GB"/>
              </w:rPr>
              <w:fldChar w:fldCharType="separate"/>
            </w:r>
            <w:r w:rsidR="00326F74">
              <w:rPr>
                <w:rFonts w:ascii="Arial" w:eastAsia="Calibri" w:hAnsi="Arial" w:cs="Arial"/>
                <w:noProof/>
                <w:webHidden/>
                <w:sz w:val="20"/>
                <w:szCs w:val="20"/>
                <w:lang w:val="en-GB"/>
              </w:rPr>
              <w:t>136</w:t>
            </w:r>
            <w:r w:rsidRPr="00E91426">
              <w:rPr>
                <w:rFonts w:ascii="Arial" w:eastAsia="Calibri" w:hAnsi="Arial" w:cs="Arial"/>
                <w:noProof/>
                <w:webHidden/>
                <w:sz w:val="20"/>
                <w:szCs w:val="20"/>
                <w:lang w:val="en-GB"/>
              </w:rPr>
              <w:fldChar w:fldCharType="end"/>
            </w:r>
          </w:hyperlink>
        </w:p>
        <w:p w14:paraId="6AE56020" w14:textId="1A66F1A5" w:rsidR="00E91426" w:rsidRPr="00E91426" w:rsidRDefault="00E91426" w:rsidP="00E91426">
          <w:pPr>
            <w:widowControl/>
            <w:tabs>
              <w:tab w:val="right" w:leader="dot" w:pos="9016"/>
            </w:tabs>
            <w:spacing w:after="100" w:line="259" w:lineRule="auto"/>
            <w:rPr>
              <w:rFonts w:ascii="Arial" w:eastAsia="Times New Roman" w:hAnsi="Arial" w:cs="Arial"/>
              <w:noProof/>
              <w:sz w:val="20"/>
              <w:szCs w:val="20"/>
              <w:lang w:val="en-GB" w:eastAsia="en-GB"/>
            </w:rPr>
          </w:pPr>
          <w:hyperlink w:anchor="_Toc195698720" w:history="1">
            <w:r w:rsidRPr="00E91426">
              <w:rPr>
                <w:rFonts w:ascii="Arial" w:eastAsia="Calibri" w:hAnsi="Arial" w:cs="Arial"/>
                <w:noProof/>
                <w:color w:val="0563C1"/>
                <w:sz w:val="20"/>
                <w:szCs w:val="20"/>
                <w:u w:val="single"/>
                <w:lang w:val="en-GB"/>
              </w:rPr>
              <w:t>Note 23 Financial instruments</w:t>
            </w:r>
            <w:r w:rsidRPr="00E91426">
              <w:rPr>
                <w:rFonts w:ascii="Arial" w:eastAsia="Calibri" w:hAnsi="Arial" w:cs="Arial"/>
                <w:noProof/>
                <w:webHidden/>
                <w:sz w:val="20"/>
                <w:szCs w:val="20"/>
                <w:lang w:val="en-GB"/>
              </w:rPr>
              <w:tab/>
            </w:r>
            <w:r w:rsidRPr="00E91426">
              <w:rPr>
                <w:rFonts w:ascii="Arial" w:eastAsia="Calibri" w:hAnsi="Arial" w:cs="Arial"/>
                <w:noProof/>
                <w:webHidden/>
                <w:sz w:val="20"/>
                <w:szCs w:val="20"/>
                <w:lang w:val="en-GB"/>
              </w:rPr>
              <w:fldChar w:fldCharType="begin"/>
            </w:r>
            <w:r w:rsidRPr="00E91426">
              <w:rPr>
                <w:rFonts w:ascii="Arial" w:eastAsia="Calibri" w:hAnsi="Arial" w:cs="Arial"/>
                <w:noProof/>
                <w:webHidden/>
                <w:sz w:val="20"/>
                <w:szCs w:val="20"/>
                <w:lang w:val="en-GB"/>
              </w:rPr>
              <w:instrText xml:space="preserve"> PAGEREF _Toc195698720 \h </w:instrText>
            </w:r>
            <w:r w:rsidRPr="00E91426">
              <w:rPr>
                <w:rFonts w:ascii="Arial" w:eastAsia="Calibri" w:hAnsi="Arial" w:cs="Arial"/>
                <w:noProof/>
                <w:webHidden/>
                <w:sz w:val="20"/>
                <w:szCs w:val="20"/>
                <w:lang w:val="en-GB"/>
              </w:rPr>
            </w:r>
            <w:r w:rsidRPr="00E91426">
              <w:rPr>
                <w:rFonts w:ascii="Arial" w:eastAsia="Calibri" w:hAnsi="Arial" w:cs="Arial"/>
                <w:noProof/>
                <w:webHidden/>
                <w:sz w:val="20"/>
                <w:szCs w:val="20"/>
                <w:lang w:val="en-GB"/>
              </w:rPr>
              <w:fldChar w:fldCharType="separate"/>
            </w:r>
            <w:r w:rsidR="00326F74">
              <w:rPr>
                <w:rFonts w:ascii="Arial" w:eastAsia="Calibri" w:hAnsi="Arial" w:cs="Arial"/>
                <w:noProof/>
                <w:webHidden/>
                <w:sz w:val="20"/>
                <w:szCs w:val="20"/>
                <w:lang w:val="en-GB"/>
              </w:rPr>
              <w:t>136</w:t>
            </w:r>
            <w:r w:rsidRPr="00E91426">
              <w:rPr>
                <w:rFonts w:ascii="Arial" w:eastAsia="Calibri" w:hAnsi="Arial" w:cs="Arial"/>
                <w:noProof/>
                <w:webHidden/>
                <w:sz w:val="20"/>
                <w:szCs w:val="20"/>
                <w:lang w:val="en-GB"/>
              </w:rPr>
              <w:fldChar w:fldCharType="end"/>
            </w:r>
          </w:hyperlink>
        </w:p>
        <w:p w14:paraId="7CA59100" w14:textId="113244BB" w:rsidR="00E91426" w:rsidRPr="00E91426" w:rsidRDefault="00E91426" w:rsidP="00E91426">
          <w:pPr>
            <w:widowControl/>
            <w:tabs>
              <w:tab w:val="right" w:leader="dot" w:pos="9016"/>
            </w:tabs>
            <w:spacing w:after="100" w:line="259" w:lineRule="auto"/>
            <w:rPr>
              <w:rFonts w:ascii="Arial" w:eastAsia="Times New Roman" w:hAnsi="Arial" w:cs="Arial"/>
              <w:noProof/>
              <w:sz w:val="20"/>
              <w:szCs w:val="20"/>
              <w:lang w:val="en-GB" w:eastAsia="en-GB"/>
            </w:rPr>
          </w:pPr>
          <w:hyperlink w:anchor="_Toc195698721" w:history="1">
            <w:r w:rsidRPr="00E91426">
              <w:rPr>
                <w:rFonts w:ascii="Arial" w:eastAsia="Calibri" w:hAnsi="Arial" w:cs="Arial"/>
                <w:noProof/>
                <w:color w:val="0563C1"/>
                <w:sz w:val="20"/>
                <w:szCs w:val="20"/>
                <w:u w:val="single"/>
                <w:lang w:val="en-GB"/>
              </w:rPr>
              <w:t>Note 24 Losses and special payments</w:t>
            </w:r>
            <w:r w:rsidRPr="00E91426">
              <w:rPr>
                <w:rFonts w:ascii="Arial" w:eastAsia="Calibri" w:hAnsi="Arial" w:cs="Arial"/>
                <w:noProof/>
                <w:webHidden/>
                <w:sz w:val="20"/>
                <w:szCs w:val="20"/>
                <w:lang w:val="en-GB"/>
              </w:rPr>
              <w:tab/>
            </w:r>
            <w:r w:rsidRPr="00E91426">
              <w:rPr>
                <w:rFonts w:ascii="Arial" w:eastAsia="Calibri" w:hAnsi="Arial" w:cs="Arial"/>
                <w:noProof/>
                <w:webHidden/>
                <w:sz w:val="20"/>
                <w:szCs w:val="20"/>
                <w:lang w:val="en-GB"/>
              </w:rPr>
              <w:fldChar w:fldCharType="begin"/>
            </w:r>
            <w:r w:rsidRPr="00E91426">
              <w:rPr>
                <w:rFonts w:ascii="Arial" w:eastAsia="Calibri" w:hAnsi="Arial" w:cs="Arial"/>
                <w:noProof/>
                <w:webHidden/>
                <w:sz w:val="20"/>
                <w:szCs w:val="20"/>
                <w:lang w:val="en-GB"/>
              </w:rPr>
              <w:instrText xml:space="preserve"> PAGEREF _Toc195698721 \h </w:instrText>
            </w:r>
            <w:r w:rsidRPr="00E91426">
              <w:rPr>
                <w:rFonts w:ascii="Arial" w:eastAsia="Calibri" w:hAnsi="Arial" w:cs="Arial"/>
                <w:noProof/>
                <w:webHidden/>
                <w:sz w:val="20"/>
                <w:szCs w:val="20"/>
                <w:lang w:val="en-GB"/>
              </w:rPr>
            </w:r>
            <w:r w:rsidRPr="00E91426">
              <w:rPr>
                <w:rFonts w:ascii="Arial" w:eastAsia="Calibri" w:hAnsi="Arial" w:cs="Arial"/>
                <w:noProof/>
                <w:webHidden/>
                <w:sz w:val="20"/>
                <w:szCs w:val="20"/>
                <w:lang w:val="en-GB"/>
              </w:rPr>
              <w:fldChar w:fldCharType="separate"/>
            </w:r>
            <w:r w:rsidR="00326F74">
              <w:rPr>
                <w:rFonts w:ascii="Arial" w:eastAsia="Calibri" w:hAnsi="Arial" w:cs="Arial"/>
                <w:noProof/>
                <w:webHidden/>
                <w:sz w:val="20"/>
                <w:szCs w:val="20"/>
                <w:lang w:val="en-GB"/>
              </w:rPr>
              <w:t>138</w:t>
            </w:r>
            <w:r w:rsidRPr="00E91426">
              <w:rPr>
                <w:rFonts w:ascii="Arial" w:eastAsia="Calibri" w:hAnsi="Arial" w:cs="Arial"/>
                <w:noProof/>
                <w:webHidden/>
                <w:sz w:val="20"/>
                <w:szCs w:val="20"/>
                <w:lang w:val="en-GB"/>
              </w:rPr>
              <w:fldChar w:fldCharType="end"/>
            </w:r>
          </w:hyperlink>
        </w:p>
        <w:p w14:paraId="76B8A40F" w14:textId="7A74D9EB" w:rsidR="00E91426" w:rsidRPr="00E91426" w:rsidRDefault="00E91426" w:rsidP="00E91426">
          <w:pPr>
            <w:widowControl/>
            <w:tabs>
              <w:tab w:val="right" w:leader="dot" w:pos="9016"/>
            </w:tabs>
            <w:spacing w:after="100" w:line="259" w:lineRule="auto"/>
            <w:rPr>
              <w:rFonts w:ascii="Arial" w:eastAsia="Times New Roman" w:hAnsi="Arial" w:cs="Arial"/>
              <w:noProof/>
              <w:sz w:val="20"/>
              <w:szCs w:val="20"/>
              <w:lang w:val="en-GB" w:eastAsia="en-GB"/>
            </w:rPr>
          </w:pPr>
          <w:hyperlink w:anchor="_Toc195698722" w:history="1">
            <w:r w:rsidRPr="00E91426">
              <w:rPr>
                <w:rFonts w:ascii="Arial" w:eastAsia="Calibri" w:hAnsi="Arial" w:cs="Arial"/>
                <w:noProof/>
                <w:color w:val="0563C1"/>
                <w:sz w:val="20"/>
                <w:szCs w:val="20"/>
                <w:u w:val="single"/>
                <w:lang w:val="en-GB"/>
              </w:rPr>
              <w:t>Note 25 Gifts</w:t>
            </w:r>
            <w:r w:rsidRPr="00E91426">
              <w:rPr>
                <w:rFonts w:ascii="Arial" w:eastAsia="Calibri" w:hAnsi="Arial" w:cs="Arial"/>
                <w:noProof/>
                <w:webHidden/>
                <w:sz w:val="20"/>
                <w:szCs w:val="20"/>
                <w:lang w:val="en-GB"/>
              </w:rPr>
              <w:tab/>
            </w:r>
            <w:r w:rsidRPr="00E91426">
              <w:rPr>
                <w:rFonts w:ascii="Arial" w:eastAsia="Calibri" w:hAnsi="Arial" w:cs="Arial"/>
                <w:noProof/>
                <w:webHidden/>
                <w:sz w:val="20"/>
                <w:szCs w:val="20"/>
                <w:lang w:val="en-GB"/>
              </w:rPr>
              <w:fldChar w:fldCharType="begin"/>
            </w:r>
            <w:r w:rsidRPr="00E91426">
              <w:rPr>
                <w:rFonts w:ascii="Arial" w:eastAsia="Calibri" w:hAnsi="Arial" w:cs="Arial"/>
                <w:noProof/>
                <w:webHidden/>
                <w:sz w:val="20"/>
                <w:szCs w:val="20"/>
                <w:lang w:val="en-GB"/>
              </w:rPr>
              <w:instrText xml:space="preserve"> PAGEREF _Toc195698722 \h </w:instrText>
            </w:r>
            <w:r w:rsidRPr="00E91426">
              <w:rPr>
                <w:rFonts w:ascii="Arial" w:eastAsia="Calibri" w:hAnsi="Arial" w:cs="Arial"/>
                <w:noProof/>
                <w:webHidden/>
                <w:sz w:val="20"/>
                <w:szCs w:val="20"/>
                <w:lang w:val="en-GB"/>
              </w:rPr>
            </w:r>
            <w:r w:rsidRPr="00E91426">
              <w:rPr>
                <w:rFonts w:ascii="Arial" w:eastAsia="Calibri" w:hAnsi="Arial" w:cs="Arial"/>
                <w:noProof/>
                <w:webHidden/>
                <w:sz w:val="20"/>
                <w:szCs w:val="20"/>
                <w:lang w:val="en-GB"/>
              </w:rPr>
              <w:fldChar w:fldCharType="separate"/>
            </w:r>
            <w:r w:rsidR="00326F74">
              <w:rPr>
                <w:rFonts w:ascii="Arial" w:eastAsia="Calibri" w:hAnsi="Arial" w:cs="Arial"/>
                <w:noProof/>
                <w:webHidden/>
                <w:sz w:val="20"/>
                <w:szCs w:val="20"/>
                <w:lang w:val="en-GB"/>
              </w:rPr>
              <w:t>138</w:t>
            </w:r>
            <w:r w:rsidRPr="00E91426">
              <w:rPr>
                <w:rFonts w:ascii="Arial" w:eastAsia="Calibri" w:hAnsi="Arial" w:cs="Arial"/>
                <w:noProof/>
                <w:webHidden/>
                <w:sz w:val="20"/>
                <w:szCs w:val="20"/>
                <w:lang w:val="en-GB"/>
              </w:rPr>
              <w:fldChar w:fldCharType="end"/>
            </w:r>
          </w:hyperlink>
        </w:p>
        <w:p w14:paraId="247AC56B" w14:textId="0302E13D" w:rsidR="00E91426" w:rsidRPr="00E91426" w:rsidRDefault="00E91426" w:rsidP="00E91426">
          <w:pPr>
            <w:widowControl/>
            <w:tabs>
              <w:tab w:val="right" w:leader="dot" w:pos="9016"/>
            </w:tabs>
            <w:spacing w:after="100" w:line="259" w:lineRule="auto"/>
            <w:rPr>
              <w:rFonts w:ascii="Arial" w:eastAsia="Times New Roman" w:hAnsi="Arial" w:cs="Arial"/>
              <w:noProof/>
              <w:sz w:val="20"/>
              <w:szCs w:val="20"/>
              <w:lang w:val="en-GB" w:eastAsia="en-GB"/>
            </w:rPr>
          </w:pPr>
          <w:hyperlink w:anchor="_Toc195698723" w:history="1">
            <w:r w:rsidRPr="00E91426">
              <w:rPr>
                <w:rFonts w:ascii="Arial" w:eastAsia="Calibri" w:hAnsi="Arial" w:cs="Arial"/>
                <w:noProof/>
                <w:color w:val="0563C1"/>
                <w:sz w:val="20"/>
                <w:szCs w:val="20"/>
                <w:u w:val="single"/>
                <w:lang w:val="en-GB"/>
              </w:rPr>
              <w:t>Note 26 Third party assets</w:t>
            </w:r>
            <w:r w:rsidRPr="00E91426">
              <w:rPr>
                <w:rFonts w:ascii="Arial" w:eastAsia="Calibri" w:hAnsi="Arial" w:cs="Arial"/>
                <w:noProof/>
                <w:webHidden/>
                <w:sz w:val="20"/>
                <w:szCs w:val="20"/>
                <w:lang w:val="en-GB"/>
              </w:rPr>
              <w:tab/>
            </w:r>
            <w:r w:rsidRPr="00E91426">
              <w:rPr>
                <w:rFonts w:ascii="Arial" w:eastAsia="Calibri" w:hAnsi="Arial" w:cs="Arial"/>
                <w:noProof/>
                <w:webHidden/>
                <w:sz w:val="20"/>
                <w:szCs w:val="20"/>
                <w:lang w:val="en-GB"/>
              </w:rPr>
              <w:fldChar w:fldCharType="begin"/>
            </w:r>
            <w:r w:rsidRPr="00E91426">
              <w:rPr>
                <w:rFonts w:ascii="Arial" w:eastAsia="Calibri" w:hAnsi="Arial" w:cs="Arial"/>
                <w:noProof/>
                <w:webHidden/>
                <w:sz w:val="20"/>
                <w:szCs w:val="20"/>
                <w:lang w:val="en-GB"/>
              </w:rPr>
              <w:instrText xml:space="preserve"> PAGEREF _Toc195698723 \h </w:instrText>
            </w:r>
            <w:r w:rsidRPr="00E91426">
              <w:rPr>
                <w:rFonts w:ascii="Arial" w:eastAsia="Calibri" w:hAnsi="Arial" w:cs="Arial"/>
                <w:noProof/>
                <w:webHidden/>
                <w:sz w:val="20"/>
                <w:szCs w:val="20"/>
                <w:lang w:val="en-GB"/>
              </w:rPr>
            </w:r>
            <w:r w:rsidRPr="00E91426">
              <w:rPr>
                <w:rFonts w:ascii="Arial" w:eastAsia="Calibri" w:hAnsi="Arial" w:cs="Arial"/>
                <w:noProof/>
                <w:webHidden/>
                <w:sz w:val="20"/>
                <w:szCs w:val="20"/>
                <w:lang w:val="en-GB"/>
              </w:rPr>
              <w:fldChar w:fldCharType="separate"/>
            </w:r>
            <w:r w:rsidR="00326F74">
              <w:rPr>
                <w:rFonts w:ascii="Arial" w:eastAsia="Calibri" w:hAnsi="Arial" w:cs="Arial"/>
                <w:noProof/>
                <w:webHidden/>
                <w:sz w:val="20"/>
                <w:szCs w:val="20"/>
                <w:lang w:val="en-GB"/>
              </w:rPr>
              <w:t>138</w:t>
            </w:r>
            <w:r w:rsidRPr="00E91426">
              <w:rPr>
                <w:rFonts w:ascii="Arial" w:eastAsia="Calibri" w:hAnsi="Arial" w:cs="Arial"/>
                <w:noProof/>
                <w:webHidden/>
                <w:sz w:val="20"/>
                <w:szCs w:val="20"/>
                <w:lang w:val="en-GB"/>
              </w:rPr>
              <w:fldChar w:fldCharType="end"/>
            </w:r>
          </w:hyperlink>
        </w:p>
        <w:p w14:paraId="14F457FD" w14:textId="7284C188" w:rsidR="00E91426" w:rsidRPr="00E91426" w:rsidRDefault="00E91426" w:rsidP="00E91426">
          <w:pPr>
            <w:widowControl/>
            <w:tabs>
              <w:tab w:val="right" w:leader="dot" w:pos="9016"/>
            </w:tabs>
            <w:spacing w:after="100" w:line="259" w:lineRule="auto"/>
            <w:rPr>
              <w:rFonts w:ascii="Arial" w:eastAsia="Times New Roman" w:hAnsi="Arial" w:cs="Arial"/>
              <w:noProof/>
              <w:sz w:val="20"/>
              <w:szCs w:val="20"/>
              <w:lang w:val="en-GB" w:eastAsia="en-GB"/>
            </w:rPr>
          </w:pPr>
          <w:hyperlink w:anchor="_Toc195698724" w:history="1">
            <w:r w:rsidRPr="00E91426">
              <w:rPr>
                <w:rFonts w:ascii="Arial" w:eastAsia="Calibri" w:hAnsi="Arial" w:cs="Arial"/>
                <w:noProof/>
                <w:color w:val="0563C1"/>
                <w:sz w:val="20"/>
                <w:szCs w:val="20"/>
                <w:u w:val="single"/>
                <w:lang w:val="en-GB"/>
              </w:rPr>
              <w:t>Note 27 Public Dividend Capital payable</w:t>
            </w:r>
            <w:r w:rsidRPr="00E91426">
              <w:rPr>
                <w:rFonts w:ascii="Arial" w:eastAsia="Calibri" w:hAnsi="Arial" w:cs="Arial"/>
                <w:noProof/>
                <w:webHidden/>
                <w:sz w:val="20"/>
                <w:szCs w:val="20"/>
                <w:lang w:val="en-GB"/>
              </w:rPr>
              <w:tab/>
            </w:r>
            <w:r w:rsidRPr="00E91426">
              <w:rPr>
                <w:rFonts w:ascii="Arial" w:eastAsia="Calibri" w:hAnsi="Arial" w:cs="Arial"/>
                <w:noProof/>
                <w:webHidden/>
                <w:sz w:val="20"/>
                <w:szCs w:val="20"/>
                <w:lang w:val="en-GB"/>
              </w:rPr>
              <w:fldChar w:fldCharType="begin"/>
            </w:r>
            <w:r w:rsidRPr="00E91426">
              <w:rPr>
                <w:rFonts w:ascii="Arial" w:eastAsia="Calibri" w:hAnsi="Arial" w:cs="Arial"/>
                <w:noProof/>
                <w:webHidden/>
                <w:sz w:val="20"/>
                <w:szCs w:val="20"/>
                <w:lang w:val="en-GB"/>
              </w:rPr>
              <w:instrText xml:space="preserve"> PAGEREF _Toc195698724 \h </w:instrText>
            </w:r>
            <w:r w:rsidRPr="00E91426">
              <w:rPr>
                <w:rFonts w:ascii="Arial" w:eastAsia="Calibri" w:hAnsi="Arial" w:cs="Arial"/>
                <w:noProof/>
                <w:webHidden/>
                <w:sz w:val="20"/>
                <w:szCs w:val="20"/>
                <w:lang w:val="en-GB"/>
              </w:rPr>
            </w:r>
            <w:r w:rsidRPr="00E91426">
              <w:rPr>
                <w:rFonts w:ascii="Arial" w:eastAsia="Calibri" w:hAnsi="Arial" w:cs="Arial"/>
                <w:noProof/>
                <w:webHidden/>
                <w:sz w:val="20"/>
                <w:szCs w:val="20"/>
                <w:lang w:val="en-GB"/>
              </w:rPr>
              <w:fldChar w:fldCharType="separate"/>
            </w:r>
            <w:r w:rsidR="00326F74">
              <w:rPr>
                <w:rFonts w:ascii="Arial" w:eastAsia="Calibri" w:hAnsi="Arial" w:cs="Arial"/>
                <w:noProof/>
                <w:webHidden/>
                <w:sz w:val="20"/>
                <w:szCs w:val="20"/>
                <w:lang w:val="en-GB"/>
              </w:rPr>
              <w:t>138</w:t>
            </w:r>
            <w:r w:rsidRPr="00E91426">
              <w:rPr>
                <w:rFonts w:ascii="Arial" w:eastAsia="Calibri" w:hAnsi="Arial" w:cs="Arial"/>
                <w:noProof/>
                <w:webHidden/>
                <w:sz w:val="20"/>
                <w:szCs w:val="20"/>
                <w:lang w:val="en-GB"/>
              </w:rPr>
              <w:fldChar w:fldCharType="end"/>
            </w:r>
          </w:hyperlink>
        </w:p>
        <w:p w14:paraId="7CE04EA3" w14:textId="68E18CDA" w:rsidR="00E91426" w:rsidRPr="00E91426" w:rsidRDefault="00E91426" w:rsidP="00E91426">
          <w:pPr>
            <w:widowControl/>
            <w:tabs>
              <w:tab w:val="right" w:leader="dot" w:pos="9016"/>
            </w:tabs>
            <w:spacing w:after="100" w:line="259" w:lineRule="auto"/>
            <w:rPr>
              <w:rFonts w:ascii="Arial" w:eastAsia="Times New Roman" w:hAnsi="Arial" w:cs="Arial"/>
              <w:noProof/>
              <w:sz w:val="20"/>
              <w:szCs w:val="20"/>
              <w:lang w:val="en-GB" w:eastAsia="en-GB"/>
            </w:rPr>
          </w:pPr>
          <w:hyperlink w:anchor="_Toc195698725" w:history="1">
            <w:r w:rsidRPr="00E91426">
              <w:rPr>
                <w:rFonts w:ascii="Arial" w:eastAsia="Calibri" w:hAnsi="Arial" w:cs="Arial"/>
                <w:noProof/>
                <w:color w:val="0563C1"/>
                <w:sz w:val="20"/>
                <w:szCs w:val="20"/>
                <w:u w:val="single"/>
                <w:lang w:val="en-GB"/>
              </w:rPr>
              <w:t>Note 28 Capital commitments</w:t>
            </w:r>
            <w:r w:rsidRPr="00E91426">
              <w:rPr>
                <w:rFonts w:ascii="Arial" w:eastAsia="Calibri" w:hAnsi="Arial" w:cs="Arial"/>
                <w:noProof/>
                <w:webHidden/>
                <w:sz w:val="20"/>
                <w:szCs w:val="20"/>
                <w:lang w:val="en-GB"/>
              </w:rPr>
              <w:tab/>
            </w:r>
            <w:r w:rsidRPr="00E91426">
              <w:rPr>
                <w:rFonts w:ascii="Arial" w:eastAsia="Calibri" w:hAnsi="Arial" w:cs="Arial"/>
                <w:noProof/>
                <w:webHidden/>
                <w:sz w:val="20"/>
                <w:szCs w:val="20"/>
                <w:lang w:val="en-GB"/>
              </w:rPr>
              <w:fldChar w:fldCharType="begin"/>
            </w:r>
            <w:r w:rsidRPr="00E91426">
              <w:rPr>
                <w:rFonts w:ascii="Arial" w:eastAsia="Calibri" w:hAnsi="Arial" w:cs="Arial"/>
                <w:noProof/>
                <w:webHidden/>
                <w:sz w:val="20"/>
                <w:szCs w:val="20"/>
                <w:lang w:val="en-GB"/>
              </w:rPr>
              <w:instrText xml:space="preserve"> PAGEREF _Toc195698725 \h </w:instrText>
            </w:r>
            <w:r w:rsidRPr="00E91426">
              <w:rPr>
                <w:rFonts w:ascii="Arial" w:eastAsia="Calibri" w:hAnsi="Arial" w:cs="Arial"/>
                <w:noProof/>
                <w:webHidden/>
                <w:sz w:val="20"/>
                <w:szCs w:val="20"/>
                <w:lang w:val="en-GB"/>
              </w:rPr>
            </w:r>
            <w:r w:rsidRPr="00E91426">
              <w:rPr>
                <w:rFonts w:ascii="Arial" w:eastAsia="Calibri" w:hAnsi="Arial" w:cs="Arial"/>
                <w:noProof/>
                <w:webHidden/>
                <w:sz w:val="20"/>
                <w:szCs w:val="20"/>
                <w:lang w:val="en-GB"/>
              </w:rPr>
              <w:fldChar w:fldCharType="separate"/>
            </w:r>
            <w:r w:rsidR="00326F74">
              <w:rPr>
                <w:rFonts w:ascii="Arial" w:eastAsia="Calibri" w:hAnsi="Arial" w:cs="Arial"/>
                <w:noProof/>
                <w:webHidden/>
                <w:sz w:val="20"/>
                <w:szCs w:val="20"/>
                <w:lang w:val="en-GB"/>
              </w:rPr>
              <w:t>138</w:t>
            </w:r>
            <w:r w:rsidRPr="00E91426">
              <w:rPr>
                <w:rFonts w:ascii="Arial" w:eastAsia="Calibri" w:hAnsi="Arial" w:cs="Arial"/>
                <w:noProof/>
                <w:webHidden/>
                <w:sz w:val="20"/>
                <w:szCs w:val="20"/>
                <w:lang w:val="en-GB"/>
              </w:rPr>
              <w:fldChar w:fldCharType="end"/>
            </w:r>
          </w:hyperlink>
        </w:p>
        <w:p w14:paraId="4435B93A" w14:textId="1A5C070E" w:rsidR="00E91426" w:rsidRPr="00E91426" w:rsidRDefault="00E91426" w:rsidP="00E91426">
          <w:pPr>
            <w:widowControl/>
            <w:tabs>
              <w:tab w:val="right" w:leader="dot" w:pos="9016"/>
            </w:tabs>
            <w:spacing w:after="100" w:line="259" w:lineRule="auto"/>
            <w:rPr>
              <w:rFonts w:ascii="Arial" w:eastAsia="Times New Roman" w:hAnsi="Arial" w:cs="Arial"/>
              <w:noProof/>
              <w:sz w:val="20"/>
              <w:szCs w:val="20"/>
              <w:lang w:val="en-GB" w:eastAsia="en-GB"/>
            </w:rPr>
          </w:pPr>
          <w:hyperlink w:anchor="_Toc195698726" w:history="1">
            <w:r w:rsidRPr="00E91426">
              <w:rPr>
                <w:rFonts w:ascii="Arial" w:eastAsia="Calibri" w:hAnsi="Arial" w:cs="Arial"/>
                <w:noProof/>
                <w:color w:val="0563C1"/>
                <w:sz w:val="20"/>
                <w:szCs w:val="20"/>
                <w:u w:val="single"/>
                <w:lang w:val="en-GB"/>
              </w:rPr>
              <w:t>Note 29 Related parties</w:t>
            </w:r>
            <w:r w:rsidRPr="00E91426">
              <w:rPr>
                <w:rFonts w:ascii="Arial" w:eastAsia="Calibri" w:hAnsi="Arial" w:cs="Arial"/>
                <w:noProof/>
                <w:webHidden/>
                <w:sz w:val="20"/>
                <w:szCs w:val="20"/>
                <w:lang w:val="en-GB"/>
              </w:rPr>
              <w:tab/>
            </w:r>
            <w:r w:rsidRPr="00E91426">
              <w:rPr>
                <w:rFonts w:ascii="Arial" w:eastAsia="Calibri" w:hAnsi="Arial" w:cs="Arial"/>
                <w:noProof/>
                <w:webHidden/>
                <w:sz w:val="20"/>
                <w:szCs w:val="20"/>
                <w:lang w:val="en-GB"/>
              </w:rPr>
              <w:fldChar w:fldCharType="begin"/>
            </w:r>
            <w:r w:rsidRPr="00E91426">
              <w:rPr>
                <w:rFonts w:ascii="Arial" w:eastAsia="Calibri" w:hAnsi="Arial" w:cs="Arial"/>
                <w:noProof/>
                <w:webHidden/>
                <w:sz w:val="20"/>
                <w:szCs w:val="20"/>
                <w:lang w:val="en-GB"/>
              </w:rPr>
              <w:instrText xml:space="preserve"> PAGEREF _Toc195698726 \h </w:instrText>
            </w:r>
            <w:r w:rsidRPr="00E91426">
              <w:rPr>
                <w:rFonts w:ascii="Arial" w:eastAsia="Calibri" w:hAnsi="Arial" w:cs="Arial"/>
                <w:noProof/>
                <w:webHidden/>
                <w:sz w:val="20"/>
                <w:szCs w:val="20"/>
                <w:lang w:val="en-GB"/>
              </w:rPr>
            </w:r>
            <w:r w:rsidRPr="00E91426">
              <w:rPr>
                <w:rFonts w:ascii="Arial" w:eastAsia="Calibri" w:hAnsi="Arial" w:cs="Arial"/>
                <w:noProof/>
                <w:webHidden/>
                <w:sz w:val="20"/>
                <w:szCs w:val="20"/>
                <w:lang w:val="en-GB"/>
              </w:rPr>
              <w:fldChar w:fldCharType="separate"/>
            </w:r>
            <w:r w:rsidR="00326F74">
              <w:rPr>
                <w:rFonts w:ascii="Arial" w:eastAsia="Calibri" w:hAnsi="Arial" w:cs="Arial"/>
                <w:noProof/>
                <w:webHidden/>
                <w:sz w:val="20"/>
                <w:szCs w:val="20"/>
                <w:lang w:val="en-GB"/>
              </w:rPr>
              <w:t>139</w:t>
            </w:r>
            <w:r w:rsidRPr="00E91426">
              <w:rPr>
                <w:rFonts w:ascii="Arial" w:eastAsia="Calibri" w:hAnsi="Arial" w:cs="Arial"/>
                <w:noProof/>
                <w:webHidden/>
                <w:sz w:val="20"/>
                <w:szCs w:val="20"/>
                <w:lang w:val="en-GB"/>
              </w:rPr>
              <w:fldChar w:fldCharType="end"/>
            </w:r>
          </w:hyperlink>
        </w:p>
        <w:p w14:paraId="5C0FC334" w14:textId="5D9E995E" w:rsidR="00E91426" w:rsidRPr="00E91426" w:rsidRDefault="00E91426" w:rsidP="00E91426">
          <w:pPr>
            <w:widowControl/>
            <w:tabs>
              <w:tab w:val="right" w:leader="dot" w:pos="9016"/>
            </w:tabs>
            <w:spacing w:after="100" w:line="259" w:lineRule="auto"/>
            <w:rPr>
              <w:rFonts w:ascii="Arial" w:eastAsia="Times New Roman" w:hAnsi="Arial" w:cs="Arial"/>
              <w:noProof/>
              <w:sz w:val="20"/>
              <w:szCs w:val="20"/>
              <w:lang w:val="en-GB" w:eastAsia="en-GB"/>
            </w:rPr>
          </w:pPr>
          <w:hyperlink w:anchor="_Toc195698727" w:history="1">
            <w:r w:rsidRPr="00E91426">
              <w:rPr>
                <w:rFonts w:ascii="Arial" w:eastAsia="Calibri" w:hAnsi="Arial" w:cs="Arial"/>
                <w:noProof/>
                <w:color w:val="0563C1"/>
                <w:sz w:val="20"/>
                <w:szCs w:val="20"/>
                <w:u w:val="single"/>
                <w:lang w:val="en-GB"/>
              </w:rPr>
              <w:t>Note 30 Events after the reporting date</w:t>
            </w:r>
            <w:r w:rsidRPr="00E91426">
              <w:rPr>
                <w:rFonts w:ascii="Arial" w:eastAsia="Calibri" w:hAnsi="Arial" w:cs="Arial"/>
                <w:noProof/>
                <w:webHidden/>
                <w:sz w:val="20"/>
                <w:szCs w:val="20"/>
                <w:lang w:val="en-GB"/>
              </w:rPr>
              <w:tab/>
            </w:r>
            <w:r w:rsidRPr="00E91426">
              <w:rPr>
                <w:rFonts w:ascii="Arial" w:eastAsia="Calibri" w:hAnsi="Arial" w:cs="Arial"/>
                <w:noProof/>
                <w:webHidden/>
                <w:sz w:val="20"/>
                <w:szCs w:val="20"/>
                <w:lang w:val="en-GB"/>
              </w:rPr>
              <w:fldChar w:fldCharType="begin"/>
            </w:r>
            <w:r w:rsidRPr="00E91426">
              <w:rPr>
                <w:rFonts w:ascii="Arial" w:eastAsia="Calibri" w:hAnsi="Arial" w:cs="Arial"/>
                <w:noProof/>
                <w:webHidden/>
                <w:sz w:val="20"/>
                <w:szCs w:val="20"/>
                <w:lang w:val="en-GB"/>
              </w:rPr>
              <w:instrText xml:space="preserve"> PAGEREF _Toc195698727 \h </w:instrText>
            </w:r>
            <w:r w:rsidRPr="00E91426">
              <w:rPr>
                <w:rFonts w:ascii="Arial" w:eastAsia="Calibri" w:hAnsi="Arial" w:cs="Arial"/>
                <w:noProof/>
                <w:webHidden/>
                <w:sz w:val="20"/>
                <w:szCs w:val="20"/>
                <w:lang w:val="en-GB"/>
              </w:rPr>
            </w:r>
            <w:r w:rsidRPr="00E91426">
              <w:rPr>
                <w:rFonts w:ascii="Arial" w:eastAsia="Calibri" w:hAnsi="Arial" w:cs="Arial"/>
                <w:noProof/>
                <w:webHidden/>
                <w:sz w:val="20"/>
                <w:szCs w:val="20"/>
                <w:lang w:val="en-GB"/>
              </w:rPr>
              <w:fldChar w:fldCharType="separate"/>
            </w:r>
            <w:r w:rsidR="00326F74">
              <w:rPr>
                <w:rFonts w:ascii="Arial" w:eastAsia="Calibri" w:hAnsi="Arial" w:cs="Arial"/>
                <w:noProof/>
                <w:webHidden/>
                <w:sz w:val="20"/>
                <w:szCs w:val="20"/>
                <w:lang w:val="en-GB"/>
              </w:rPr>
              <w:t>139</w:t>
            </w:r>
            <w:r w:rsidRPr="00E91426">
              <w:rPr>
                <w:rFonts w:ascii="Arial" w:eastAsia="Calibri" w:hAnsi="Arial" w:cs="Arial"/>
                <w:noProof/>
                <w:webHidden/>
                <w:sz w:val="20"/>
                <w:szCs w:val="20"/>
                <w:lang w:val="en-GB"/>
              </w:rPr>
              <w:fldChar w:fldCharType="end"/>
            </w:r>
          </w:hyperlink>
        </w:p>
        <w:p w14:paraId="63C099A0" w14:textId="4415F230" w:rsidR="00E91426" w:rsidRPr="00E91426" w:rsidRDefault="00E91426" w:rsidP="00E91426">
          <w:pPr>
            <w:widowControl/>
            <w:spacing w:after="160" w:line="259" w:lineRule="auto"/>
            <w:rPr>
              <w:rFonts w:ascii="Arial" w:eastAsia="Calibri" w:hAnsi="Arial" w:cs="Arial"/>
              <w:b/>
              <w:bCs/>
              <w:noProof/>
              <w:sz w:val="20"/>
              <w:szCs w:val="20"/>
              <w:lang w:val="en-GB"/>
            </w:rPr>
          </w:pPr>
          <w:r w:rsidRPr="00E91426">
            <w:rPr>
              <w:rFonts w:ascii="Arial" w:eastAsia="Calibri" w:hAnsi="Arial" w:cs="Arial"/>
              <w:b/>
              <w:bCs/>
              <w:noProof/>
              <w:sz w:val="20"/>
              <w:szCs w:val="20"/>
              <w:lang w:val="en-GB"/>
            </w:rPr>
            <w:fldChar w:fldCharType="end"/>
          </w:r>
        </w:p>
      </w:sdtContent>
    </w:sdt>
    <w:p w14:paraId="6ED27300" w14:textId="77777777" w:rsidR="00E91426" w:rsidRPr="00E91426" w:rsidRDefault="00E91426" w:rsidP="00E91426">
      <w:pPr>
        <w:keepNext/>
        <w:keepLines/>
        <w:widowControl/>
        <w:spacing w:before="240" w:line="259" w:lineRule="auto"/>
        <w:outlineLvl w:val="0"/>
        <w:rPr>
          <w:rFonts w:ascii="Arial" w:eastAsia="Times New Roman" w:hAnsi="Arial" w:cs="Arial"/>
          <w:b/>
          <w:color w:val="000000"/>
          <w:sz w:val="20"/>
          <w:szCs w:val="20"/>
          <w:lang w:val="en-GB"/>
        </w:rPr>
      </w:pPr>
      <w:bookmarkStart w:id="54" w:name="_Toc195698692"/>
    </w:p>
    <w:p w14:paraId="1A92CC13" w14:textId="77777777" w:rsidR="00E91426" w:rsidRPr="00E91426" w:rsidRDefault="00E91426" w:rsidP="00E91426">
      <w:pPr>
        <w:widowControl/>
        <w:spacing w:after="160" w:line="259" w:lineRule="auto"/>
        <w:rPr>
          <w:rFonts w:ascii="Calibri" w:eastAsia="Calibri" w:hAnsi="Calibri" w:cs="Times New Roman"/>
          <w:lang w:val="en-GB"/>
        </w:rPr>
      </w:pPr>
    </w:p>
    <w:p w14:paraId="0CABBF29" w14:textId="77777777" w:rsidR="00E91426" w:rsidRPr="00E91426" w:rsidRDefault="00E91426" w:rsidP="00E91426">
      <w:pPr>
        <w:keepNext/>
        <w:keepLines/>
        <w:widowControl/>
        <w:spacing w:before="240" w:line="259" w:lineRule="auto"/>
        <w:outlineLvl w:val="0"/>
        <w:rPr>
          <w:rFonts w:ascii="Arial" w:eastAsia="Times New Roman" w:hAnsi="Arial" w:cs="Arial"/>
          <w:b/>
          <w:color w:val="000000"/>
          <w:sz w:val="20"/>
          <w:szCs w:val="20"/>
          <w:lang w:val="en-GB"/>
        </w:rPr>
      </w:pPr>
      <w:r w:rsidRPr="00E91426">
        <w:rPr>
          <w:rFonts w:ascii="Arial" w:eastAsia="Times New Roman" w:hAnsi="Arial" w:cs="Arial"/>
          <w:b/>
          <w:color w:val="000000"/>
          <w:sz w:val="20"/>
          <w:szCs w:val="20"/>
          <w:lang w:val="en-GB"/>
        </w:rPr>
        <w:lastRenderedPageBreak/>
        <w:t>Foreword to the accounts</w:t>
      </w:r>
      <w:bookmarkEnd w:id="54"/>
    </w:p>
    <w:p w14:paraId="33D13B99" w14:textId="77777777" w:rsidR="00E91426" w:rsidRPr="00E91426" w:rsidRDefault="00E91426" w:rsidP="00E91426">
      <w:pPr>
        <w:widowControl/>
        <w:spacing w:after="160" w:line="259" w:lineRule="auto"/>
        <w:rPr>
          <w:rFonts w:ascii="Arial" w:eastAsia="Calibri" w:hAnsi="Arial" w:cs="Arial"/>
          <w:sz w:val="20"/>
          <w:szCs w:val="20"/>
          <w:lang w:val="en-GB"/>
        </w:rPr>
      </w:pPr>
    </w:p>
    <w:p w14:paraId="7CE81CCB" w14:textId="77777777" w:rsidR="00E91426" w:rsidRPr="00E91426" w:rsidRDefault="00E91426" w:rsidP="00E91426">
      <w:pPr>
        <w:widowControl/>
        <w:rPr>
          <w:rFonts w:ascii="Arial" w:eastAsia="Times New Roman" w:hAnsi="Arial" w:cs="Arial"/>
          <w:b/>
          <w:bCs/>
          <w:color w:val="000000"/>
          <w:sz w:val="20"/>
          <w:szCs w:val="20"/>
          <w:lang w:val="en-GB" w:eastAsia="en-GB"/>
        </w:rPr>
      </w:pPr>
    </w:p>
    <w:p w14:paraId="6FA58B22" w14:textId="77777777" w:rsidR="00E91426" w:rsidRPr="00E91426" w:rsidRDefault="00E91426" w:rsidP="00E91426">
      <w:pPr>
        <w:widowControl/>
        <w:spacing w:after="160" w:line="259" w:lineRule="auto"/>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Medway NHS Foundation Trust</w:t>
      </w:r>
    </w:p>
    <w:p w14:paraId="3CD78D10" w14:textId="77777777" w:rsidR="00E91426" w:rsidRPr="00E91426" w:rsidRDefault="00E91426" w:rsidP="00E91426">
      <w:pPr>
        <w:widowControl/>
        <w:rPr>
          <w:rFonts w:ascii="Arial" w:eastAsia="Times New Roman" w:hAnsi="Arial" w:cs="Arial"/>
          <w:b/>
          <w:bCs/>
          <w:color w:val="000000"/>
          <w:sz w:val="20"/>
          <w:szCs w:val="20"/>
          <w:lang w:val="en-GB" w:eastAsia="en-GB"/>
        </w:rPr>
      </w:pPr>
    </w:p>
    <w:p w14:paraId="344B8670"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These accounts, for the year ended 31 March 2025, have been prepared by Medway NHS Foundation Trust in accordance with paragraphs 24 &amp; 25 of Schedule 7 within the National Health Service Act 2006.</w:t>
      </w:r>
    </w:p>
    <w:p w14:paraId="5071588B" w14:textId="77777777" w:rsidR="00E91426" w:rsidRPr="00E91426" w:rsidRDefault="00E91426" w:rsidP="00E91426">
      <w:pPr>
        <w:widowControl/>
        <w:spacing w:after="160" w:line="259" w:lineRule="auto"/>
        <w:rPr>
          <w:rFonts w:ascii="Arial" w:eastAsia="Calibri" w:hAnsi="Arial" w:cs="Arial"/>
          <w:sz w:val="20"/>
          <w:szCs w:val="20"/>
          <w:lang w:val="en-GB"/>
        </w:rPr>
      </w:pPr>
    </w:p>
    <w:tbl>
      <w:tblPr>
        <w:tblW w:w="8620" w:type="dxa"/>
        <w:tblLook w:val="04A0" w:firstRow="1" w:lastRow="0" w:firstColumn="1" w:lastColumn="0" w:noHBand="0" w:noVBand="1"/>
      </w:tblPr>
      <w:tblGrid>
        <w:gridCol w:w="1153"/>
        <w:gridCol w:w="15"/>
        <w:gridCol w:w="32"/>
        <w:gridCol w:w="7274"/>
        <w:gridCol w:w="41"/>
        <w:gridCol w:w="105"/>
      </w:tblGrid>
      <w:tr w:rsidR="00E91426" w:rsidRPr="00E91426" w14:paraId="62674FD8" w14:textId="77777777" w:rsidTr="00E91426">
        <w:trPr>
          <w:gridAfter w:val="1"/>
          <w:wAfter w:w="105" w:type="dxa"/>
          <w:trHeight w:val="215"/>
        </w:trPr>
        <w:tc>
          <w:tcPr>
            <w:tcW w:w="1168" w:type="dxa"/>
            <w:gridSpan w:val="2"/>
            <w:tcBorders>
              <w:top w:val="nil"/>
              <w:left w:val="nil"/>
              <w:bottom w:val="nil"/>
              <w:right w:val="nil"/>
            </w:tcBorders>
            <w:noWrap/>
            <w:vAlign w:val="bottom"/>
            <w:hideMark/>
          </w:tcPr>
          <w:p w14:paraId="275EAEE1" w14:textId="77777777" w:rsidR="00E91426" w:rsidRPr="00E91426" w:rsidRDefault="00E91426" w:rsidP="00E91426">
            <w:pPr>
              <w:widowControl/>
              <w:rPr>
                <w:rFonts w:ascii="Times New Roman" w:eastAsia="Times New Roman" w:hAnsi="Times New Roman" w:cs="Times New Roman"/>
                <w:sz w:val="24"/>
                <w:szCs w:val="24"/>
                <w:lang w:val="en-GB" w:eastAsia="en-GB"/>
              </w:rPr>
            </w:pPr>
          </w:p>
        </w:tc>
        <w:tc>
          <w:tcPr>
            <w:tcW w:w="7347" w:type="dxa"/>
            <w:gridSpan w:val="3"/>
            <w:tcBorders>
              <w:top w:val="nil"/>
              <w:left w:val="nil"/>
              <w:bottom w:val="nil"/>
              <w:right w:val="nil"/>
            </w:tcBorders>
            <w:noWrap/>
            <w:vAlign w:val="bottom"/>
            <w:hideMark/>
          </w:tcPr>
          <w:p w14:paraId="7667B42B" w14:textId="77777777" w:rsidR="00E91426" w:rsidRPr="00E91426" w:rsidRDefault="00E91426" w:rsidP="00E91426">
            <w:pPr>
              <w:widowControl/>
              <w:rPr>
                <w:rFonts w:ascii="Calibri" w:eastAsia="Times New Roman" w:hAnsi="Calibri" w:cs="Calibri"/>
                <w:color w:val="000000"/>
                <w:lang w:val="en-GB" w:eastAsia="en-GB"/>
              </w:rPr>
            </w:pPr>
            <w:r w:rsidRPr="00E91426">
              <w:rPr>
                <w:rFonts w:ascii="Calibri" w:eastAsia="Times New Roman" w:hAnsi="Calibri" w:cs="Calibri"/>
                <w:noProof/>
                <w:color w:val="000000"/>
                <w:lang w:val="en-GB" w:eastAsia="en-GB"/>
              </w:rPr>
              <w:drawing>
                <wp:anchor distT="0" distB="0" distL="114300" distR="114300" simplePos="0" relativeHeight="251828224" behindDoc="0" locked="0" layoutInCell="1" allowOverlap="1" wp14:anchorId="0FC573A8" wp14:editId="6B2B576A">
                  <wp:simplePos x="0" y="0"/>
                  <wp:positionH relativeFrom="column">
                    <wp:posOffset>666750</wp:posOffset>
                  </wp:positionH>
                  <wp:positionV relativeFrom="paragraph">
                    <wp:posOffset>44450</wp:posOffset>
                  </wp:positionV>
                  <wp:extent cx="463550" cy="304800"/>
                  <wp:effectExtent l="0" t="0" r="0" b="0"/>
                  <wp:wrapNone/>
                  <wp:docPr id="26" name="Picture 26" descr="Signature of Interim Chief Executive, Jonathan Wade">
                    <a:extLst xmlns:a="http://schemas.openxmlformats.org/drawingml/2006/main">
                      <a:ext uri="{FF2B5EF4-FFF2-40B4-BE49-F238E27FC236}">
                        <a16:creationId xmlns:a16="http://schemas.microsoft.com/office/drawing/2014/main" id="{49098183-B537-4D30-B87B-1268F8DEF7BF}"/>
                      </a:ext>
                    </a:extLst>
                  </wp:docPr>
                  <wp:cNvGraphicFramePr/>
                  <a:graphic xmlns:a="http://schemas.openxmlformats.org/drawingml/2006/main">
                    <a:graphicData uri="http://schemas.openxmlformats.org/drawingml/2006/picture">
                      <pic:pic xmlns:pic="http://schemas.openxmlformats.org/drawingml/2006/picture">
                        <pic:nvPicPr>
                          <pic:cNvPr id="26" name="Picture 26" descr="Signature of Interim Chief Executive, Jonathan Wade">
                            <a:extLst>
                              <a:ext uri="{FF2B5EF4-FFF2-40B4-BE49-F238E27FC236}">
                                <a16:creationId xmlns:a16="http://schemas.microsoft.com/office/drawing/2014/main" id="{49098183-B537-4D30-B87B-1268F8DEF7BF}"/>
                              </a:ext>
                            </a:extLst>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65666" cy="30535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7131" w:type="dxa"/>
              <w:tblCellSpacing w:w="0" w:type="dxa"/>
              <w:tblCellMar>
                <w:left w:w="0" w:type="dxa"/>
                <w:right w:w="0" w:type="dxa"/>
              </w:tblCellMar>
              <w:tblLook w:val="04A0" w:firstRow="1" w:lastRow="0" w:firstColumn="1" w:lastColumn="0" w:noHBand="0" w:noVBand="1"/>
            </w:tblPr>
            <w:tblGrid>
              <w:gridCol w:w="7131"/>
            </w:tblGrid>
            <w:tr w:rsidR="00E91426" w:rsidRPr="00E91426" w14:paraId="25D76279" w14:textId="77777777" w:rsidTr="00E91426">
              <w:trPr>
                <w:trHeight w:val="215"/>
                <w:tblCellSpacing w:w="0" w:type="dxa"/>
              </w:trPr>
              <w:tc>
                <w:tcPr>
                  <w:tcW w:w="7131" w:type="dxa"/>
                  <w:tcBorders>
                    <w:top w:val="nil"/>
                    <w:left w:val="nil"/>
                    <w:bottom w:val="nil"/>
                    <w:right w:val="nil"/>
                  </w:tcBorders>
                  <w:noWrap/>
                  <w:vAlign w:val="bottom"/>
                  <w:hideMark/>
                </w:tcPr>
                <w:p w14:paraId="0377CBF0" w14:textId="77777777" w:rsidR="00E91426" w:rsidRPr="00E91426" w:rsidRDefault="00E91426" w:rsidP="00E91426">
                  <w:pPr>
                    <w:widowControl/>
                    <w:rPr>
                      <w:rFonts w:ascii="Calibri" w:eastAsia="Times New Roman" w:hAnsi="Calibri" w:cs="Calibri"/>
                      <w:color w:val="000000"/>
                      <w:lang w:val="en-GB" w:eastAsia="en-GB"/>
                    </w:rPr>
                  </w:pPr>
                </w:p>
              </w:tc>
            </w:tr>
          </w:tbl>
          <w:p w14:paraId="52E97CD8" w14:textId="77777777" w:rsidR="00E91426" w:rsidRPr="00E91426" w:rsidRDefault="00E91426" w:rsidP="00E91426">
            <w:pPr>
              <w:widowControl/>
              <w:rPr>
                <w:rFonts w:ascii="Calibri" w:eastAsia="Times New Roman" w:hAnsi="Calibri" w:cs="Calibri"/>
                <w:color w:val="000000"/>
                <w:lang w:val="en-GB" w:eastAsia="en-GB"/>
              </w:rPr>
            </w:pPr>
          </w:p>
        </w:tc>
      </w:tr>
      <w:tr w:rsidR="00E91426" w:rsidRPr="00E91426" w14:paraId="6C94885E" w14:textId="77777777" w:rsidTr="00E91426">
        <w:trPr>
          <w:gridAfter w:val="1"/>
          <w:wAfter w:w="105" w:type="dxa"/>
          <w:trHeight w:val="223"/>
        </w:trPr>
        <w:tc>
          <w:tcPr>
            <w:tcW w:w="1168" w:type="dxa"/>
            <w:gridSpan w:val="2"/>
            <w:tcBorders>
              <w:top w:val="nil"/>
              <w:left w:val="nil"/>
              <w:bottom w:val="nil"/>
              <w:right w:val="nil"/>
            </w:tcBorders>
            <w:noWrap/>
            <w:vAlign w:val="bottom"/>
            <w:hideMark/>
          </w:tcPr>
          <w:p w14:paraId="306F0875"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Signed</w:t>
            </w:r>
          </w:p>
        </w:tc>
        <w:tc>
          <w:tcPr>
            <w:tcW w:w="7347" w:type="dxa"/>
            <w:gridSpan w:val="3"/>
            <w:tcBorders>
              <w:top w:val="nil"/>
              <w:left w:val="nil"/>
              <w:bottom w:val="nil"/>
              <w:right w:val="nil"/>
            </w:tcBorders>
            <w:noWrap/>
            <w:vAlign w:val="bottom"/>
            <w:hideMark/>
          </w:tcPr>
          <w:p w14:paraId="2EA43511"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w:t>
            </w:r>
          </w:p>
        </w:tc>
      </w:tr>
      <w:tr w:rsidR="00E91426" w:rsidRPr="00E91426" w14:paraId="2AF25B9E" w14:textId="77777777" w:rsidTr="00E91426">
        <w:trPr>
          <w:gridAfter w:val="2"/>
          <w:wAfter w:w="146" w:type="dxa"/>
          <w:trHeight w:val="223"/>
        </w:trPr>
        <w:tc>
          <w:tcPr>
            <w:tcW w:w="1153" w:type="dxa"/>
            <w:tcBorders>
              <w:top w:val="nil"/>
              <w:left w:val="nil"/>
              <w:bottom w:val="nil"/>
              <w:right w:val="nil"/>
            </w:tcBorders>
            <w:noWrap/>
            <w:vAlign w:val="bottom"/>
          </w:tcPr>
          <w:p w14:paraId="19406B06"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7321" w:type="dxa"/>
            <w:gridSpan w:val="3"/>
            <w:tcBorders>
              <w:top w:val="nil"/>
              <w:left w:val="nil"/>
              <w:bottom w:val="nil"/>
              <w:right w:val="nil"/>
            </w:tcBorders>
            <w:noWrap/>
            <w:vAlign w:val="bottom"/>
          </w:tcPr>
          <w:p w14:paraId="575675CF" w14:textId="77777777" w:rsidR="00E91426" w:rsidRPr="00E91426" w:rsidRDefault="00E91426" w:rsidP="00E91426">
            <w:pPr>
              <w:widowControl/>
              <w:rPr>
                <w:rFonts w:ascii="Arial" w:eastAsia="Times New Roman" w:hAnsi="Arial" w:cs="Arial"/>
                <w:color w:val="000000"/>
                <w:sz w:val="20"/>
                <w:szCs w:val="20"/>
                <w:lang w:val="en-GB" w:eastAsia="en-GB"/>
              </w:rPr>
            </w:pPr>
          </w:p>
        </w:tc>
      </w:tr>
      <w:tr w:rsidR="00E91426" w:rsidRPr="00E91426" w14:paraId="65986FD5" w14:textId="77777777" w:rsidTr="00E91426">
        <w:trPr>
          <w:trHeight w:val="260"/>
        </w:trPr>
        <w:tc>
          <w:tcPr>
            <w:tcW w:w="1200" w:type="dxa"/>
            <w:gridSpan w:val="3"/>
            <w:tcBorders>
              <w:top w:val="nil"/>
              <w:left w:val="nil"/>
              <w:bottom w:val="nil"/>
              <w:right w:val="nil"/>
            </w:tcBorders>
            <w:noWrap/>
            <w:vAlign w:val="bottom"/>
            <w:hideMark/>
          </w:tcPr>
          <w:p w14:paraId="2EB198F0"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Name</w:t>
            </w:r>
          </w:p>
        </w:tc>
        <w:tc>
          <w:tcPr>
            <w:tcW w:w="7420" w:type="dxa"/>
            <w:gridSpan w:val="3"/>
            <w:tcBorders>
              <w:top w:val="nil"/>
              <w:left w:val="nil"/>
              <w:bottom w:val="nil"/>
              <w:right w:val="nil"/>
            </w:tcBorders>
            <w:noWrap/>
            <w:vAlign w:val="bottom"/>
            <w:hideMark/>
          </w:tcPr>
          <w:p w14:paraId="6E44EF2C" w14:textId="77777777" w:rsidR="00E91426" w:rsidRPr="00E91426" w:rsidRDefault="00E91426" w:rsidP="00E91426">
            <w:pPr>
              <w:widowControl/>
              <w:rPr>
                <w:rFonts w:ascii="Arial" w:eastAsia="Times New Roman" w:hAnsi="Arial" w:cs="Arial"/>
                <w:bCs/>
                <w:color w:val="000000"/>
                <w:sz w:val="20"/>
                <w:szCs w:val="20"/>
                <w:lang w:val="en-GB" w:eastAsia="en-GB"/>
              </w:rPr>
            </w:pPr>
            <w:r w:rsidRPr="00E91426">
              <w:rPr>
                <w:rFonts w:ascii="Arial" w:eastAsia="Times New Roman" w:hAnsi="Arial" w:cs="Arial"/>
                <w:bCs/>
                <w:color w:val="000000"/>
                <w:sz w:val="20"/>
                <w:szCs w:val="20"/>
                <w:lang w:val="en-GB" w:eastAsia="en-GB"/>
              </w:rPr>
              <w:t>Jon Wade</w:t>
            </w:r>
          </w:p>
        </w:tc>
      </w:tr>
      <w:tr w:rsidR="00E91426" w:rsidRPr="00E91426" w14:paraId="3936AA00" w14:textId="77777777" w:rsidTr="00E91426">
        <w:trPr>
          <w:trHeight w:val="260"/>
        </w:trPr>
        <w:tc>
          <w:tcPr>
            <w:tcW w:w="1200" w:type="dxa"/>
            <w:gridSpan w:val="3"/>
            <w:tcBorders>
              <w:top w:val="nil"/>
              <w:left w:val="nil"/>
              <w:bottom w:val="nil"/>
              <w:right w:val="nil"/>
            </w:tcBorders>
            <w:noWrap/>
            <w:vAlign w:val="bottom"/>
            <w:hideMark/>
          </w:tcPr>
          <w:p w14:paraId="24071A2B"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Job title</w:t>
            </w:r>
          </w:p>
        </w:tc>
        <w:tc>
          <w:tcPr>
            <w:tcW w:w="7420" w:type="dxa"/>
            <w:gridSpan w:val="3"/>
            <w:tcBorders>
              <w:top w:val="nil"/>
              <w:left w:val="nil"/>
              <w:bottom w:val="nil"/>
              <w:right w:val="nil"/>
            </w:tcBorders>
            <w:noWrap/>
            <w:vAlign w:val="bottom"/>
            <w:hideMark/>
          </w:tcPr>
          <w:p w14:paraId="3F83AAA7" w14:textId="77777777" w:rsidR="00E91426" w:rsidRPr="00E91426" w:rsidRDefault="00E91426" w:rsidP="00E91426">
            <w:pPr>
              <w:widowControl/>
              <w:rPr>
                <w:rFonts w:ascii="Arial" w:eastAsia="Times New Roman" w:hAnsi="Arial" w:cs="Arial"/>
                <w:bCs/>
                <w:color w:val="000000"/>
                <w:sz w:val="20"/>
                <w:szCs w:val="20"/>
                <w:lang w:val="en-GB" w:eastAsia="en-GB"/>
              </w:rPr>
            </w:pPr>
            <w:r w:rsidRPr="00E91426">
              <w:rPr>
                <w:rFonts w:ascii="Arial" w:eastAsia="Times New Roman" w:hAnsi="Arial" w:cs="Arial"/>
                <w:bCs/>
                <w:color w:val="000000"/>
                <w:sz w:val="20"/>
                <w:szCs w:val="20"/>
                <w:lang w:val="en-GB" w:eastAsia="en-GB"/>
              </w:rPr>
              <w:t>Chief Executive Officer and Accountable Officer</w:t>
            </w:r>
          </w:p>
        </w:tc>
      </w:tr>
      <w:tr w:rsidR="00E91426" w:rsidRPr="00E91426" w14:paraId="76294C6A" w14:textId="77777777" w:rsidTr="00E91426">
        <w:trPr>
          <w:trHeight w:val="260"/>
        </w:trPr>
        <w:tc>
          <w:tcPr>
            <w:tcW w:w="1200" w:type="dxa"/>
            <w:gridSpan w:val="3"/>
            <w:tcBorders>
              <w:top w:val="nil"/>
              <w:left w:val="nil"/>
              <w:bottom w:val="nil"/>
              <w:right w:val="nil"/>
            </w:tcBorders>
            <w:noWrap/>
            <w:vAlign w:val="bottom"/>
            <w:hideMark/>
          </w:tcPr>
          <w:p w14:paraId="012499F8"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Date</w:t>
            </w:r>
          </w:p>
        </w:tc>
        <w:tc>
          <w:tcPr>
            <w:tcW w:w="7420" w:type="dxa"/>
            <w:gridSpan w:val="3"/>
            <w:tcBorders>
              <w:top w:val="nil"/>
              <w:left w:val="nil"/>
              <w:bottom w:val="nil"/>
              <w:right w:val="nil"/>
            </w:tcBorders>
            <w:noWrap/>
            <w:vAlign w:val="bottom"/>
            <w:hideMark/>
          </w:tcPr>
          <w:p w14:paraId="74337C02" w14:textId="77777777" w:rsidR="00E91426" w:rsidRPr="00E91426" w:rsidRDefault="00E91426" w:rsidP="00E91426">
            <w:pPr>
              <w:widowControl/>
              <w:rPr>
                <w:rFonts w:ascii="Arial" w:eastAsia="Times New Roman" w:hAnsi="Arial" w:cs="Arial"/>
                <w:bCs/>
                <w:color w:val="000000"/>
                <w:sz w:val="20"/>
                <w:szCs w:val="20"/>
                <w:lang w:val="en-GB" w:eastAsia="en-GB"/>
              </w:rPr>
            </w:pPr>
            <w:r w:rsidRPr="00E91426">
              <w:rPr>
                <w:rFonts w:ascii="Arial" w:eastAsia="Times New Roman" w:hAnsi="Arial" w:cs="Arial"/>
                <w:bCs/>
                <w:color w:val="000000"/>
                <w:sz w:val="20"/>
                <w:szCs w:val="20"/>
                <w:lang w:val="en-GB" w:eastAsia="en-GB"/>
              </w:rPr>
              <w:t>25</w:t>
            </w:r>
            <w:r w:rsidRPr="00E91426">
              <w:rPr>
                <w:rFonts w:ascii="Arial" w:eastAsia="Times New Roman" w:hAnsi="Arial" w:cs="Arial"/>
                <w:bCs/>
                <w:color w:val="000000"/>
                <w:sz w:val="20"/>
                <w:szCs w:val="20"/>
                <w:vertAlign w:val="superscript"/>
                <w:lang w:val="en-GB" w:eastAsia="en-GB"/>
              </w:rPr>
              <w:t>th</w:t>
            </w:r>
            <w:r w:rsidRPr="00E91426">
              <w:rPr>
                <w:rFonts w:ascii="Arial" w:eastAsia="Times New Roman" w:hAnsi="Arial" w:cs="Arial"/>
                <w:bCs/>
                <w:color w:val="000000"/>
                <w:sz w:val="20"/>
                <w:szCs w:val="20"/>
                <w:lang w:val="en-GB" w:eastAsia="en-GB"/>
              </w:rPr>
              <w:t xml:space="preserve"> June 2025</w:t>
            </w:r>
          </w:p>
        </w:tc>
      </w:tr>
    </w:tbl>
    <w:p w14:paraId="29657545" w14:textId="77777777" w:rsidR="00E91426" w:rsidRPr="00E91426" w:rsidRDefault="00E91426" w:rsidP="00E91426">
      <w:pPr>
        <w:widowControl/>
        <w:spacing w:after="160" w:line="259" w:lineRule="auto"/>
        <w:rPr>
          <w:rFonts w:ascii="Arial" w:eastAsia="Calibri" w:hAnsi="Arial" w:cs="Arial"/>
          <w:sz w:val="20"/>
          <w:szCs w:val="20"/>
          <w:lang w:val="en-GB"/>
        </w:rPr>
      </w:pPr>
      <w:r w:rsidRPr="00E91426">
        <w:rPr>
          <w:rFonts w:ascii="Arial" w:eastAsia="Calibri" w:hAnsi="Arial" w:cs="Arial"/>
          <w:sz w:val="20"/>
          <w:szCs w:val="20"/>
          <w:lang w:val="en-GB"/>
        </w:rPr>
        <w:br w:type="page"/>
      </w:r>
    </w:p>
    <w:p w14:paraId="3450AE29" w14:textId="77777777" w:rsidR="00E91426" w:rsidRPr="00E91426" w:rsidRDefault="00E91426" w:rsidP="00E91426">
      <w:pPr>
        <w:keepNext/>
        <w:keepLines/>
        <w:widowControl/>
        <w:spacing w:before="240" w:line="259" w:lineRule="auto"/>
        <w:jc w:val="center"/>
        <w:outlineLvl w:val="0"/>
        <w:rPr>
          <w:rFonts w:ascii="Arial" w:eastAsia="Times New Roman" w:hAnsi="Arial" w:cs="Arial"/>
          <w:b/>
          <w:color w:val="000000"/>
          <w:sz w:val="20"/>
          <w:szCs w:val="20"/>
          <w:lang w:val="en-GB"/>
        </w:rPr>
      </w:pPr>
      <w:bookmarkStart w:id="55" w:name="_Toc195698693"/>
      <w:r w:rsidRPr="00E91426">
        <w:rPr>
          <w:rFonts w:ascii="Arial" w:eastAsia="Times New Roman" w:hAnsi="Arial" w:cs="Arial"/>
          <w:b/>
          <w:color w:val="000000"/>
          <w:sz w:val="20"/>
          <w:szCs w:val="20"/>
          <w:lang w:val="en-GB"/>
        </w:rPr>
        <w:lastRenderedPageBreak/>
        <w:t>Statement of Comprehensive Income</w:t>
      </w:r>
      <w:bookmarkEnd w:id="55"/>
    </w:p>
    <w:p w14:paraId="1636296C" w14:textId="77777777" w:rsidR="00E91426" w:rsidRPr="00E91426" w:rsidRDefault="00E91426" w:rsidP="00E91426">
      <w:pPr>
        <w:widowControl/>
        <w:jc w:val="center"/>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for the year ended 31 March 2025</w:t>
      </w:r>
    </w:p>
    <w:p w14:paraId="36DFD57F" w14:textId="77777777" w:rsidR="00E91426" w:rsidRPr="00E91426" w:rsidRDefault="00E91426" w:rsidP="00E91426">
      <w:pPr>
        <w:widowControl/>
        <w:spacing w:after="160" w:line="259" w:lineRule="auto"/>
        <w:jc w:val="center"/>
        <w:rPr>
          <w:rFonts w:ascii="Arial" w:eastAsia="Calibri" w:hAnsi="Arial" w:cs="Arial"/>
          <w:sz w:val="20"/>
          <w:szCs w:val="20"/>
          <w:lang w:val="en-GB"/>
        </w:rPr>
      </w:pPr>
    </w:p>
    <w:p w14:paraId="440E4AFE" w14:textId="77777777" w:rsidR="00E91426" w:rsidRPr="00E91426" w:rsidRDefault="00E91426" w:rsidP="00E91426">
      <w:pPr>
        <w:widowControl/>
        <w:spacing w:after="160" w:line="259" w:lineRule="auto"/>
        <w:rPr>
          <w:rFonts w:ascii="Arial" w:eastAsia="Calibri" w:hAnsi="Arial" w:cs="Arial"/>
          <w:sz w:val="20"/>
          <w:szCs w:val="20"/>
          <w:lang w:val="en-GB"/>
        </w:rPr>
      </w:pPr>
    </w:p>
    <w:tbl>
      <w:tblPr>
        <w:tblW w:w="9120" w:type="dxa"/>
        <w:tblLook w:val="04A0" w:firstRow="1" w:lastRow="0" w:firstColumn="1" w:lastColumn="0" w:noHBand="0" w:noVBand="1"/>
      </w:tblPr>
      <w:tblGrid>
        <w:gridCol w:w="5940"/>
        <w:gridCol w:w="680"/>
        <w:gridCol w:w="1200"/>
        <w:gridCol w:w="222"/>
        <w:gridCol w:w="1200"/>
      </w:tblGrid>
      <w:tr w:rsidR="00E91426" w:rsidRPr="00E91426" w14:paraId="5D310343" w14:textId="77777777" w:rsidTr="00E91426">
        <w:trPr>
          <w:trHeight w:val="360"/>
        </w:trPr>
        <w:tc>
          <w:tcPr>
            <w:tcW w:w="5940" w:type="dxa"/>
            <w:tcBorders>
              <w:top w:val="nil"/>
              <w:left w:val="nil"/>
              <w:bottom w:val="nil"/>
              <w:right w:val="nil"/>
            </w:tcBorders>
            <w:noWrap/>
            <w:vAlign w:val="bottom"/>
            <w:hideMark/>
          </w:tcPr>
          <w:p w14:paraId="735FD4A7" w14:textId="77777777" w:rsidR="00E91426" w:rsidRPr="00E91426" w:rsidRDefault="00E91426" w:rsidP="00E91426">
            <w:pPr>
              <w:widowControl/>
              <w:rPr>
                <w:rFonts w:ascii="Arial" w:eastAsia="Times New Roman" w:hAnsi="Arial" w:cs="Arial"/>
                <w:sz w:val="20"/>
                <w:szCs w:val="20"/>
                <w:lang w:val="en-GB" w:eastAsia="en-GB"/>
              </w:rPr>
            </w:pPr>
          </w:p>
        </w:tc>
        <w:tc>
          <w:tcPr>
            <w:tcW w:w="680" w:type="dxa"/>
            <w:tcBorders>
              <w:top w:val="nil"/>
              <w:left w:val="nil"/>
              <w:bottom w:val="nil"/>
              <w:right w:val="nil"/>
            </w:tcBorders>
            <w:noWrap/>
            <w:vAlign w:val="bottom"/>
            <w:hideMark/>
          </w:tcPr>
          <w:p w14:paraId="3E6DF777" w14:textId="77777777" w:rsidR="00E91426" w:rsidRPr="00E91426" w:rsidRDefault="00E91426" w:rsidP="00E91426">
            <w:pPr>
              <w:widowControl/>
              <w:rPr>
                <w:rFonts w:ascii="Arial" w:eastAsia="Times New Roman" w:hAnsi="Arial" w:cs="Arial"/>
                <w:sz w:val="20"/>
                <w:szCs w:val="20"/>
                <w:lang w:val="en-GB" w:eastAsia="en-GB"/>
              </w:rPr>
            </w:pPr>
          </w:p>
        </w:tc>
        <w:tc>
          <w:tcPr>
            <w:tcW w:w="1200" w:type="dxa"/>
            <w:tcBorders>
              <w:top w:val="nil"/>
              <w:left w:val="nil"/>
              <w:bottom w:val="nil"/>
              <w:right w:val="nil"/>
            </w:tcBorders>
            <w:noWrap/>
            <w:vAlign w:val="bottom"/>
            <w:hideMark/>
          </w:tcPr>
          <w:p w14:paraId="1BBB602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2024/25</w:t>
            </w:r>
          </w:p>
        </w:tc>
        <w:tc>
          <w:tcPr>
            <w:tcW w:w="100" w:type="dxa"/>
            <w:tcBorders>
              <w:top w:val="nil"/>
              <w:left w:val="nil"/>
              <w:bottom w:val="nil"/>
              <w:right w:val="nil"/>
            </w:tcBorders>
            <w:noWrap/>
            <w:vAlign w:val="bottom"/>
            <w:hideMark/>
          </w:tcPr>
          <w:p w14:paraId="7E65974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200" w:type="dxa"/>
            <w:tcBorders>
              <w:top w:val="nil"/>
              <w:left w:val="nil"/>
              <w:bottom w:val="nil"/>
              <w:right w:val="nil"/>
            </w:tcBorders>
            <w:vAlign w:val="bottom"/>
            <w:hideMark/>
          </w:tcPr>
          <w:p w14:paraId="1A698571"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2023/24</w:t>
            </w:r>
          </w:p>
        </w:tc>
      </w:tr>
      <w:tr w:rsidR="00E91426" w:rsidRPr="00E91426" w14:paraId="782DF4A5" w14:textId="77777777" w:rsidTr="00E91426">
        <w:trPr>
          <w:trHeight w:val="360"/>
        </w:trPr>
        <w:tc>
          <w:tcPr>
            <w:tcW w:w="5940" w:type="dxa"/>
            <w:tcBorders>
              <w:top w:val="nil"/>
              <w:left w:val="nil"/>
              <w:bottom w:val="nil"/>
              <w:right w:val="nil"/>
            </w:tcBorders>
            <w:noWrap/>
            <w:vAlign w:val="bottom"/>
            <w:hideMark/>
          </w:tcPr>
          <w:p w14:paraId="3C56F88F"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680" w:type="dxa"/>
            <w:tcBorders>
              <w:top w:val="nil"/>
              <w:left w:val="nil"/>
              <w:bottom w:val="nil"/>
              <w:right w:val="nil"/>
            </w:tcBorders>
            <w:vAlign w:val="bottom"/>
            <w:hideMark/>
          </w:tcPr>
          <w:p w14:paraId="6F8A49E8" w14:textId="77777777" w:rsidR="00E91426" w:rsidRPr="00E91426" w:rsidRDefault="00E91426" w:rsidP="00E91426">
            <w:pPr>
              <w:widowControl/>
              <w:jc w:val="center"/>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Note</w:t>
            </w:r>
          </w:p>
        </w:tc>
        <w:tc>
          <w:tcPr>
            <w:tcW w:w="1200" w:type="dxa"/>
            <w:tcBorders>
              <w:top w:val="nil"/>
              <w:left w:val="nil"/>
              <w:bottom w:val="nil"/>
              <w:right w:val="nil"/>
            </w:tcBorders>
            <w:noWrap/>
            <w:vAlign w:val="bottom"/>
            <w:hideMark/>
          </w:tcPr>
          <w:p w14:paraId="27423FD2"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£000</w:t>
            </w:r>
          </w:p>
        </w:tc>
        <w:tc>
          <w:tcPr>
            <w:tcW w:w="100" w:type="dxa"/>
            <w:tcBorders>
              <w:top w:val="nil"/>
              <w:left w:val="nil"/>
              <w:bottom w:val="nil"/>
              <w:right w:val="nil"/>
            </w:tcBorders>
            <w:noWrap/>
            <w:vAlign w:val="bottom"/>
            <w:hideMark/>
          </w:tcPr>
          <w:p w14:paraId="33971C8D"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200" w:type="dxa"/>
            <w:tcBorders>
              <w:top w:val="nil"/>
              <w:left w:val="nil"/>
              <w:bottom w:val="nil"/>
              <w:right w:val="nil"/>
            </w:tcBorders>
            <w:noWrap/>
            <w:vAlign w:val="bottom"/>
            <w:hideMark/>
          </w:tcPr>
          <w:p w14:paraId="472F2F1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£000</w:t>
            </w:r>
          </w:p>
        </w:tc>
      </w:tr>
      <w:tr w:rsidR="00E91426" w:rsidRPr="00E91426" w14:paraId="3569987E" w14:textId="77777777" w:rsidTr="00E91426">
        <w:trPr>
          <w:trHeight w:val="282"/>
        </w:trPr>
        <w:tc>
          <w:tcPr>
            <w:tcW w:w="5940" w:type="dxa"/>
            <w:tcBorders>
              <w:top w:val="nil"/>
              <w:left w:val="nil"/>
              <w:bottom w:val="nil"/>
              <w:right w:val="nil"/>
            </w:tcBorders>
            <w:vAlign w:val="bottom"/>
            <w:hideMark/>
          </w:tcPr>
          <w:p w14:paraId="160F4ABD"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Operating income from patient care activities</w:t>
            </w:r>
          </w:p>
        </w:tc>
        <w:tc>
          <w:tcPr>
            <w:tcW w:w="680" w:type="dxa"/>
            <w:tcBorders>
              <w:top w:val="nil"/>
              <w:left w:val="nil"/>
              <w:bottom w:val="nil"/>
              <w:right w:val="nil"/>
            </w:tcBorders>
            <w:vAlign w:val="bottom"/>
            <w:hideMark/>
          </w:tcPr>
          <w:p w14:paraId="63B3049B" w14:textId="77777777" w:rsidR="00E91426" w:rsidRPr="00E91426" w:rsidRDefault="00E91426" w:rsidP="00E91426">
            <w:pPr>
              <w:widowControl/>
              <w:jc w:val="center"/>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w:t>
            </w:r>
          </w:p>
        </w:tc>
        <w:tc>
          <w:tcPr>
            <w:tcW w:w="1200" w:type="dxa"/>
            <w:tcBorders>
              <w:top w:val="nil"/>
              <w:left w:val="nil"/>
              <w:bottom w:val="nil"/>
              <w:right w:val="nil"/>
            </w:tcBorders>
            <w:noWrap/>
            <w:vAlign w:val="bottom"/>
            <w:hideMark/>
          </w:tcPr>
          <w:p w14:paraId="65C4A73E"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472,375</w:t>
            </w:r>
          </w:p>
        </w:tc>
        <w:tc>
          <w:tcPr>
            <w:tcW w:w="100" w:type="dxa"/>
            <w:tcBorders>
              <w:top w:val="nil"/>
              <w:left w:val="nil"/>
              <w:bottom w:val="nil"/>
              <w:right w:val="nil"/>
            </w:tcBorders>
            <w:noWrap/>
            <w:vAlign w:val="bottom"/>
            <w:hideMark/>
          </w:tcPr>
          <w:p w14:paraId="4450D5CE"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00" w:type="dxa"/>
            <w:tcBorders>
              <w:top w:val="nil"/>
              <w:left w:val="nil"/>
              <w:bottom w:val="nil"/>
              <w:right w:val="nil"/>
            </w:tcBorders>
            <w:noWrap/>
            <w:vAlign w:val="bottom"/>
            <w:hideMark/>
          </w:tcPr>
          <w:p w14:paraId="6C272955"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433,955</w:t>
            </w:r>
          </w:p>
        </w:tc>
      </w:tr>
      <w:tr w:rsidR="00E91426" w:rsidRPr="00E91426" w14:paraId="540A8552" w14:textId="77777777" w:rsidTr="00E91426">
        <w:trPr>
          <w:trHeight w:val="282"/>
        </w:trPr>
        <w:tc>
          <w:tcPr>
            <w:tcW w:w="5940" w:type="dxa"/>
            <w:tcBorders>
              <w:top w:val="nil"/>
              <w:left w:val="nil"/>
              <w:bottom w:val="nil"/>
              <w:right w:val="nil"/>
            </w:tcBorders>
            <w:vAlign w:val="bottom"/>
            <w:hideMark/>
          </w:tcPr>
          <w:p w14:paraId="2F0BE1EE"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 xml:space="preserve">Other operating income </w:t>
            </w:r>
          </w:p>
        </w:tc>
        <w:tc>
          <w:tcPr>
            <w:tcW w:w="680" w:type="dxa"/>
            <w:tcBorders>
              <w:top w:val="nil"/>
              <w:left w:val="nil"/>
              <w:bottom w:val="nil"/>
              <w:right w:val="nil"/>
            </w:tcBorders>
            <w:vAlign w:val="bottom"/>
            <w:hideMark/>
          </w:tcPr>
          <w:p w14:paraId="75E73E3A" w14:textId="77777777" w:rsidR="00E91426" w:rsidRPr="00E91426" w:rsidRDefault="00E91426" w:rsidP="00E91426">
            <w:pPr>
              <w:widowControl/>
              <w:jc w:val="center"/>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4</w:t>
            </w:r>
          </w:p>
        </w:tc>
        <w:tc>
          <w:tcPr>
            <w:tcW w:w="1200" w:type="dxa"/>
            <w:tcBorders>
              <w:top w:val="nil"/>
              <w:left w:val="nil"/>
              <w:bottom w:val="nil"/>
              <w:right w:val="nil"/>
            </w:tcBorders>
            <w:noWrap/>
            <w:vAlign w:val="bottom"/>
            <w:hideMark/>
          </w:tcPr>
          <w:p w14:paraId="434B1DF2"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46,868</w:t>
            </w:r>
          </w:p>
        </w:tc>
        <w:tc>
          <w:tcPr>
            <w:tcW w:w="100" w:type="dxa"/>
            <w:tcBorders>
              <w:top w:val="nil"/>
              <w:left w:val="nil"/>
              <w:bottom w:val="nil"/>
              <w:right w:val="nil"/>
            </w:tcBorders>
            <w:noWrap/>
            <w:vAlign w:val="bottom"/>
            <w:hideMark/>
          </w:tcPr>
          <w:p w14:paraId="33C8B5E4"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00" w:type="dxa"/>
            <w:tcBorders>
              <w:top w:val="nil"/>
              <w:left w:val="nil"/>
              <w:bottom w:val="nil"/>
              <w:right w:val="nil"/>
            </w:tcBorders>
            <w:noWrap/>
            <w:vAlign w:val="bottom"/>
            <w:hideMark/>
          </w:tcPr>
          <w:p w14:paraId="35F6B1AA"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36,717</w:t>
            </w:r>
          </w:p>
        </w:tc>
      </w:tr>
      <w:tr w:rsidR="00E91426" w:rsidRPr="00E91426" w14:paraId="5D54CEF7" w14:textId="77777777" w:rsidTr="00E91426">
        <w:trPr>
          <w:trHeight w:val="282"/>
        </w:trPr>
        <w:tc>
          <w:tcPr>
            <w:tcW w:w="5940" w:type="dxa"/>
            <w:tcBorders>
              <w:top w:val="nil"/>
              <w:left w:val="nil"/>
              <w:bottom w:val="nil"/>
              <w:right w:val="nil"/>
            </w:tcBorders>
            <w:vAlign w:val="bottom"/>
            <w:hideMark/>
          </w:tcPr>
          <w:p w14:paraId="32A98E54"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 xml:space="preserve">Operating expenses </w:t>
            </w:r>
          </w:p>
        </w:tc>
        <w:tc>
          <w:tcPr>
            <w:tcW w:w="680" w:type="dxa"/>
            <w:tcBorders>
              <w:top w:val="nil"/>
              <w:left w:val="nil"/>
              <w:bottom w:val="nil"/>
              <w:right w:val="nil"/>
            </w:tcBorders>
            <w:vAlign w:val="bottom"/>
            <w:hideMark/>
          </w:tcPr>
          <w:p w14:paraId="2DC609CE" w14:textId="77777777" w:rsidR="00E91426" w:rsidRPr="00E91426" w:rsidRDefault="00E91426" w:rsidP="00E91426">
            <w:pPr>
              <w:widowControl/>
              <w:jc w:val="center"/>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5</w:t>
            </w:r>
          </w:p>
        </w:tc>
        <w:tc>
          <w:tcPr>
            <w:tcW w:w="1200" w:type="dxa"/>
            <w:tcBorders>
              <w:top w:val="nil"/>
              <w:left w:val="nil"/>
              <w:bottom w:val="nil"/>
              <w:right w:val="nil"/>
            </w:tcBorders>
            <w:noWrap/>
            <w:vAlign w:val="bottom"/>
            <w:hideMark/>
          </w:tcPr>
          <w:p w14:paraId="2172DCC9"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(527,980)</w:t>
            </w:r>
          </w:p>
        </w:tc>
        <w:tc>
          <w:tcPr>
            <w:tcW w:w="100" w:type="dxa"/>
            <w:tcBorders>
              <w:top w:val="nil"/>
              <w:left w:val="nil"/>
              <w:bottom w:val="nil"/>
              <w:right w:val="nil"/>
            </w:tcBorders>
            <w:noWrap/>
            <w:vAlign w:val="bottom"/>
            <w:hideMark/>
          </w:tcPr>
          <w:p w14:paraId="4E8CC04B"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00" w:type="dxa"/>
            <w:tcBorders>
              <w:top w:val="nil"/>
              <w:left w:val="nil"/>
              <w:bottom w:val="nil"/>
              <w:right w:val="nil"/>
            </w:tcBorders>
            <w:noWrap/>
            <w:vAlign w:val="bottom"/>
            <w:hideMark/>
          </w:tcPr>
          <w:p w14:paraId="08B9DCB5"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(487,131)</w:t>
            </w:r>
          </w:p>
        </w:tc>
      </w:tr>
      <w:tr w:rsidR="00E91426" w:rsidRPr="00E91426" w14:paraId="55B5F918" w14:textId="77777777" w:rsidTr="00E91426">
        <w:trPr>
          <w:trHeight w:val="282"/>
        </w:trPr>
        <w:tc>
          <w:tcPr>
            <w:tcW w:w="5940" w:type="dxa"/>
            <w:tcBorders>
              <w:top w:val="nil"/>
              <w:left w:val="nil"/>
              <w:bottom w:val="nil"/>
              <w:right w:val="nil"/>
            </w:tcBorders>
            <w:noWrap/>
            <w:vAlign w:val="bottom"/>
            <w:hideMark/>
          </w:tcPr>
          <w:p w14:paraId="1994B0F3"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Operating Deficit from continuing operations</w:t>
            </w:r>
          </w:p>
        </w:tc>
        <w:tc>
          <w:tcPr>
            <w:tcW w:w="680" w:type="dxa"/>
            <w:tcBorders>
              <w:top w:val="nil"/>
              <w:left w:val="nil"/>
              <w:bottom w:val="nil"/>
              <w:right w:val="nil"/>
            </w:tcBorders>
            <w:vAlign w:val="bottom"/>
            <w:hideMark/>
          </w:tcPr>
          <w:p w14:paraId="78551E3C"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1200" w:type="dxa"/>
            <w:tcBorders>
              <w:top w:val="single" w:sz="4" w:space="0" w:color="auto"/>
              <w:left w:val="nil"/>
              <w:bottom w:val="single" w:sz="4" w:space="0" w:color="auto"/>
              <w:right w:val="nil"/>
            </w:tcBorders>
            <w:noWrap/>
            <w:vAlign w:val="bottom"/>
            <w:hideMark/>
          </w:tcPr>
          <w:p w14:paraId="7475DA55"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(8,737)</w:t>
            </w:r>
          </w:p>
        </w:tc>
        <w:tc>
          <w:tcPr>
            <w:tcW w:w="100" w:type="dxa"/>
            <w:tcBorders>
              <w:top w:val="nil"/>
              <w:left w:val="nil"/>
              <w:bottom w:val="nil"/>
              <w:right w:val="nil"/>
            </w:tcBorders>
            <w:noWrap/>
            <w:vAlign w:val="bottom"/>
            <w:hideMark/>
          </w:tcPr>
          <w:p w14:paraId="6845D681"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200" w:type="dxa"/>
            <w:tcBorders>
              <w:top w:val="single" w:sz="4" w:space="0" w:color="auto"/>
              <w:left w:val="nil"/>
              <w:bottom w:val="single" w:sz="4" w:space="0" w:color="auto"/>
              <w:right w:val="nil"/>
            </w:tcBorders>
            <w:noWrap/>
            <w:vAlign w:val="bottom"/>
            <w:hideMark/>
          </w:tcPr>
          <w:p w14:paraId="5A42F4CB"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(16,459)</w:t>
            </w:r>
          </w:p>
        </w:tc>
      </w:tr>
      <w:tr w:rsidR="00E91426" w:rsidRPr="00E91426" w14:paraId="411617DE" w14:textId="77777777" w:rsidTr="00E91426">
        <w:trPr>
          <w:trHeight w:val="244"/>
        </w:trPr>
        <w:tc>
          <w:tcPr>
            <w:tcW w:w="5940" w:type="dxa"/>
            <w:tcBorders>
              <w:top w:val="nil"/>
              <w:left w:val="nil"/>
              <w:bottom w:val="nil"/>
              <w:right w:val="nil"/>
            </w:tcBorders>
            <w:noWrap/>
            <w:vAlign w:val="bottom"/>
            <w:hideMark/>
          </w:tcPr>
          <w:p w14:paraId="4121F665"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680" w:type="dxa"/>
            <w:tcBorders>
              <w:top w:val="nil"/>
              <w:left w:val="nil"/>
              <w:bottom w:val="nil"/>
              <w:right w:val="nil"/>
            </w:tcBorders>
            <w:vAlign w:val="bottom"/>
            <w:hideMark/>
          </w:tcPr>
          <w:p w14:paraId="4EF65104" w14:textId="77777777" w:rsidR="00E91426" w:rsidRPr="00E91426" w:rsidRDefault="00E91426" w:rsidP="00E91426">
            <w:pPr>
              <w:widowControl/>
              <w:rPr>
                <w:rFonts w:ascii="Arial" w:eastAsia="Times New Roman" w:hAnsi="Arial" w:cs="Arial"/>
                <w:sz w:val="20"/>
                <w:szCs w:val="20"/>
                <w:lang w:val="en-GB" w:eastAsia="en-GB"/>
              </w:rPr>
            </w:pPr>
          </w:p>
        </w:tc>
        <w:tc>
          <w:tcPr>
            <w:tcW w:w="1200" w:type="dxa"/>
            <w:tcBorders>
              <w:top w:val="nil"/>
              <w:left w:val="nil"/>
              <w:bottom w:val="nil"/>
              <w:right w:val="nil"/>
            </w:tcBorders>
            <w:noWrap/>
            <w:vAlign w:val="bottom"/>
            <w:hideMark/>
          </w:tcPr>
          <w:p w14:paraId="5A8ED580" w14:textId="77777777" w:rsidR="00E91426" w:rsidRPr="00E91426" w:rsidRDefault="00E91426" w:rsidP="00E91426">
            <w:pPr>
              <w:widowControl/>
              <w:jc w:val="center"/>
              <w:rPr>
                <w:rFonts w:ascii="Arial" w:eastAsia="Times New Roman" w:hAnsi="Arial" w:cs="Arial"/>
                <w:sz w:val="20"/>
                <w:szCs w:val="20"/>
                <w:lang w:val="en-GB" w:eastAsia="en-GB"/>
              </w:rPr>
            </w:pPr>
          </w:p>
        </w:tc>
        <w:tc>
          <w:tcPr>
            <w:tcW w:w="100" w:type="dxa"/>
            <w:tcBorders>
              <w:top w:val="nil"/>
              <w:left w:val="nil"/>
              <w:bottom w:val="nil"/>
              <w:right w:val="nil"/>
            </w:tcBorders>
            <w:noWrap/>
            <w:vAlign w:val="bottom"/>
            <w:hideMark/>
          </w:tcPr>
          <w:p w14:paraId="34A1818B"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200" w:type="dxa"/>
            <w:tcBorders>
              <w:top w:val="nil"/>
              <w:left w:val="nil"/>
              <w:bottom w:val="nil"/>
              <w:right w:val="nil"/>
            </w:tcBorders>
            <w:noWrap/>
            <w:vAlign w:val="bottom"/>
            <w:hideMark/>
          </w:tcPr>
          <w:p w14:paraId="32F37682" w14:textId="77777777" w:rsidR="00E91426" w:rsidRPr="00E91426" w:rsidRDefault="00E91426" w:rsidP="00E91426">
            <w:pPr>
              <w:widowControl/>
              <w:jc w:val="right"/>
              <w:rPr>
                <w:rFonts w:ascii="Arial" w:eastAsia="Times New Roman" w:hAnsi="Arial" w:cs="Arial"/>
                <w:sz w:val="20"/>
                <w:szCs w:val="20"/>
                <w:lang w:val="en-GB" w:eastAsia="en-GB"/>
              </w:rPr>
            </w:pPr>
          </w:p>
        </w:tc>
      </w:tr>
      <w:tr w:rsidR="00E91426" w:rsidRPr="00E91426" w14:paraId="1DE45CD7" w14:textId="77777777" w:rsidTr="00E91426">
        <w:trPr>
          <w:trHeight w:val="282"/>
        </w:trPr>
        <w:tc>
          <w:tcPr>
            <w:tcW w:w="5940" w:type="dxa"/>
            <w:tcBorders>
              <w:top w:val="nil"/>
              <w:left w:val="nil"/>
              <w:bottom w:val="nil"/>
              <w:right w:val="nil"/>
            </w:tcBorders>
            <w:vAlign w:val="bottom"/>
            <w:hideMark/>
          </w:tcPr>
          <w:p w14:paraId="079E73CC"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Finance income</w:t>
            </w:r>
          </w:p>
        </w:tc>
        <w:tc>
          <w:tcPr>
            <w:tcW w:w="680" w:type="dxa"/>
            <w:tcBorders>
              <w:top w:val="nil"/>
              <w:left w:val="nil"/>
              <w:bottom w:val="nil"/>
              <w:right w:val="nil"/>
            </w:tcBorders>
            <w:vAlign w:val="bottom"/>
            <w:hideMark/>
          </w:tcPr>
          <w:p w14:paraId="64CD0BE9" w14:textId="77777777" w:rsidR="00E91426" w:rsidRPr="00E91426" w:rsidRDefault="00E91426" w:rsidP="00E91426">
            <w:pPr>
              <w:widowControl/>
              <w:jc w:val="center"/>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8</w:t>
            </w:r>
          </w:p>
        </w:tc>
        <w:tc>
          <w:tcPr>
            <w:tcW w:w="1200" w:type="dxa"/>
            <w:tcBorders>
              <w:top w:val="nil"/>
              <w:left w:val="nil"/>
              <w:bottom w:val="nil"/>
              <w:right w:val="nil"/>
            </w:tcBorders>
            <w:noWrap/>
            <w:vAlign w:val="bottom"/>
            <w:hideMark/>
          </w:tcPr>
          <w:p w14:paraId="294EC954"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936</w:t>
            </w:r>
          </w:p>
        </w:tc>
        <w:tc>
          <w:tcPr>
            <w:tcW w:w="100" w:type="dxa"/>
            <w:tcBorders>
              <w:top w:val="nil"/>
              <w:left w:val="nil"/>
              <w:bottom w:val="nil"/>
              <w:right w:val="nil"/>
            </w:tcBorders>
            <w:noWrap/>
            <w:vAlign w:val="bottom"/>
            <w:hideMark/>
          </w:tcPr>
          <w:p w14:paraId="4E8E73A1"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00" w:type="dxa"/>
            <w:tcBorders>
              <w:top w:val="nil"/>
              <w:left w:val="nil"/>
              <w:bottom w:val="nil"/>
              <w:right w:val="nil"/>
            </w:tcBorders>
            <w:noWrap/>
            <w:vAlign w:val="bottom"/>
            <w:hideMark/>
          </w:tcPr>
          <w:p w14:paraId="49F6D8B4"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1,370</w:t>
            </w:r>
          </w:p>
        </w:tc>
      </w:tr>
      <w:tr w:rsidR="00E91426" w:rsidRPr="00E91426" w14:paraId="29F1B54E" w14:textId="77777777" w:rsidTr="00E91426">
        <w:trPr>
          <w:trHeight w:val="282"/>
        </w:trPr>
        <w:tc>
          <w:tcPr>
            <w:tcW w:w="5940" w:type="dxa"/>
            <w:tcBorders>
              <w:top w:val="nil"/>
              <w:left w:val="nil"/>
              <w:bottom w:val="nil"/>
              <w:right w:val="nil"/>
            </w:tcBorders>
            <w:vAlign w:val="bottom"/>
            <w:hideMark/>
          </w:tcPr>
          <w:p w14:paraId="5CCA69B6"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Finance expenses</w:t>
            </w:r>
          </w:p>
        </w:tc>
        <w:tc>
          <w:tcPr>
            <w:tcW w:w="680" w:type="dxa"/>
            <w:tcBorders>
              <w:top w:val="nil"/>
              <w:left w:val="nil"/>
              <w:bottom w:val="nil"/>
              <w:right w:val="nil"/>
            </w:tcBorders>
            <w:vAlign w:val="bottom"/>
            <w:hideMark/>
          </w:tcPr>
          <w:p w14:paraId="5C466181" w14:textId="77777777" w:rsidR="00E91426" w:rsidRPr="00E91426" w:rsidRDefault="00E91426" w:rsidP="00E91426">
            <w:pPr>
              <w:widowControl/>
              <w:jc w:val="center"/>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9</w:t>
            </w:r>
          </w:p>
        </w:tc>
        <w:tc>
          <w:tcPr>
            <w:tcW w:w="1200" w:type="dxa"/>
            <w:tcBorders>
              <w:top w:val="nil"/>
              <w:left w:val="nil"/>
              <w:bottom w:val="nil"/>
              <w:right w:val="nil"/>
            </w:tcBorders>
            <w:noWrap/>
            <w:vAlign w:val="bottom"/>
            <w:hideMark/>
          </w:tcPr>
          <w:p w14:paraId="13176B68"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(84)</w:t>
            </w:r>
          </w:p>
        </w:tc>
        <w:tc>
          <w:tcPr>
            <w:tcW w:w="100" w:type="dxa"/>
            <w:tcBorders>
              <w:top w:val="nil"/>
              <w:left w:val="nil"/>
              <w:bottom w:val="nil"/>
              <w:right w:val="nil"/>
            </w:tcBorders>
            <w:noWrap/>
            <w:vAlign w:val="bottom"/>
            <w:hideMark/>
          </w:tcPr>
          <w:p w14:paraId="04802A95"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00" w:type="dxa"/>
            <w:tcBorders>
              <w:top w:val="nil"/>
              <w:left w:val="nil"/>
              <w:bottom w:val="nil"/>
              <w:right w:val="nil"/>
            </w:tcBorders>
            <w:noWrap/>
            <w:vAlign w:val="bottom"/>
            <w:hideMark/>
          </w:tcPr>
          <w:p w14:paraId="43EE59A4"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(72)</w:t>
            </w:r>
          </w:p>
        </w:tc>
      </w:tr>
      <w:tr w:rsidR="00E91426" w:rsidRPr="00E91426" w14:paraId="54CD99AA" w14:textId="77777777" w:rsidTr="00E91426">
        <w:trPr>
          <w:trHeight w:val="282"/>
        </w:trPr>
        <w:tc>
          <w:tcPr>
            <w:tcW w:w="5940" w:type="dxa"/>
            <w:tcBorders>
              <w:top w:val="nil"/>
              <w:left w:val="nil"/>
              <w:bottom w:val="nil"/>
              <w:right w:val="nil"/>
            </w:tcBorders>
            <w:vAlign w:val="bottom"/>
            <w:hideMark/>
          </w:tcPr>
          <w:p w14:paraId="38C54B2D"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PDC dividends payable</w:t>
            </w:r>
          </w:p>
        </w:tc>
        <w:tc>
          <w:tcPr>
            <w:tcW w:w="680" w:type="dxa"/>
            <w:tcBorders>
              <w:top w:val="nil"/>
              <w:left w:val="nil"/>
              <w:bottom w:val="nil"/>
              <w:right w:val="nil"/>
            </w:tcBorders>
            <w:vAlign w:val="bottom"/>
            <w:hideMark/>
          </w:tcPr>
          <w:p w14:paraId="03E1CF06" w14:textId="77777777" w:rsidR="00E91426" w:rsidRPr="00E91426" w:rsidRDefault="00E91426" w:rsidP="00E91426">
            <w:pPr>
              <w:widowControl/>
              <w:jc w:val="center"/>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27</w:t>
            </w:r>
          </w:p>
        </w:tc>
        <w:tc>
          <w:tcPr>
            <w:tcW w:w="1200" w:type="dxa"/>
            <w:tcBorders>
              <w:top w:val="nil"/>
              <w:left w:val="nil"/>
              <w:bottom w:val="nil"/>
              <w:right w:val="nil"/>
            </w:tcBorders>
            <w:noWrap/>
            <w:vAlign w:val="bottom"/>
            <w:hideMark/>
          </w:tcPr>
          <w:p w14:paraId="08CFCC36"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(9,233)</w:t>
            </w:r>
          </w:p>
        </w:tc>
        <w:tc>
          <w:tcPr>
            <w:tcW w:w="100" w:type="dxa"/>
            <w:tcBorders>
              <w:top w:val="nil"/>
              <w:left w:val="nil"/>
              <w:bottom w:val="nil"/>
              <w:right w:val="nil"/>
            </w:tcBorders>
            <w:noWrap/>
            <w:vAlign w:val="bottom"/>
            <w:hideMark/>
          </w:tcPr>
          <w:p w14:paraId="26D9DB7B"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00" w:type="dxa"/>
            <w:tcBorders>
              <w:top w:val="nil"/>
              <w:left w:val="nil"/>
              <w:bottom w:val="nil"/>
              <w:right w:val="nil"/>
            </w:tcBorders>
            <w:noWrap/>
            <w:vAlign w:val="bottom"/>
            <w:hideMark/>
          </w:tcPr>
          <w:p w14:paraId="0EC5C970"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(8,835)</w:t>
            </w:r>
          </w:p>
        </w:tc>
      </w:tr>
      <w:tr w:rsidR="00E91426" w:rsidRPr="00E91426" w14:paraId="372A37DB" w14:textId="77777777" w:rsidTr="00E91426">
        <w:trPr>
          <w:trHeight w:val="282"/>
        </w:trPr>
        <w:tc>
          <w:tcPr>
            <w:tcW w:w="5940" w:type="dxa"/>
            <w:tcBorders>
              <w:top w:val="nil"/>
              <w:left w:val="nil"/>
              <w:bottom w:val="nil"/>
              <w:right w:val="nil"/>
            </w:tcBorders>
            <w:noWrap/>
            <w:vAlign w:val="bottom"/>
            <w:hideMark/>
          </w:tcPr>
          <w:p w14:paraId="6E8CEFA3"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Net finance costs</w:t>
            </w:r>
          </w:p>
        </w:tc>
        <w:tc>
          <w:tcPr>
            <w:tcW w:w="680" w:type="dxa"/>
            <w:tcBorders>
              <w:top w:val="nil"/>
              <w:left w:val="nil"/>
              <w:bottom w:val="nil"/>
              <w:right w:val="nil"/>
            </w:tcBorders>
            <w:vAlign w:val="bottom"/>
            <w:hideMark/>
          </w:tcPr>
          <w:p w14:paraId="2FD23B19"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1200" w:type="dxa"/>
            <w:tcBorders>
              <w:top w:val="single" w:sz="4" w:space="0" w:color="auto"/>
              <w:left w:val="nil"/>
              <w:bottom w:val="single" w:sz="4" w:space="0" w:color="auto"/>
              <w:right w:val="nil"/>
            </w:tcBorders>
            <w:noWrap/>
            <w:vAlign w:val="bottom"/>
            <w:hideMark/>
          </w:tcPr>
          <w:p w14:paraId="2F3203BA"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(8,381)</w:t>
            </w:r>
          </w:p>
        </w:tc>
        <w:tc>
          <w:tcPr>
            <w:tcW w:w="100" w:type="dxa"/>
            <w:tcBorders>
              <w:top w:val="nil"/>
              <w:left w:val="nil"/>
              <w:bottom w:val="nil"/>
              <w:right w:val="nil"/>
            </w:tcBorders>
            <w:noWrap/>
            <w:vAlign w:val="bottom"/>
            <w:hideMark/>
          </w:tcPr>
          <w:p w14:paraId="2CC5C1A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200" w:type="dxa"/>
            <w:tcBorders>
              <w:top w:val="single" w:sz="4" w:space="0" w:color="auto"/>
              <w:left w:val="nil"/>
              <w:bottom w:val="single" w:sz="4" w:space="0" w:color="auto"/>
              <w:right w:val="nil"/>
            </w:tcBorders>
            <w:noWrap/>
            <w:vAlign w:val="bottom"/>
            <w:hideMark/>
          </w:tcPr>
          <w:p w14:paraId="39A2D74B"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(7,537)</w:t>
            </w:r>
          </w:p>
        </w:tc>
      </w:tr>
      <w:tr w:rsidR="00E91426" w:rsidRPr="00E91426" w14:paraId="6A4F9849" w14:textId="77777777" w:rsidTr="00E91426">
        <w:trPr>
          <w:trHeight w:val="282"/>
        </w:trPr>
        <w:tc>
          <w:tcPr>
            <w:tcW w:w="5940" w:type="dxa"/>
            <w:tcBorders>
              <w:top w:val="nil"/>
              <w:left w:val="nil"/>
              <w:bottom w:val="nil"/>
              <w:right w:val="nil"/>
            </w:tcBorders>
            <w:vAlign w:val="bottom"/>
            <w:hideMark/>
          </w:tcPr>
          <w:p w14:paraId="69AD9DB4"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Other gains/(losses)</w:t>
            </w:r>
          </w:p>
        </w:tc>
        <w:tc>
          <w:tcPr>
            <w:tcW w:w="680" w:type="dxa"/>
            <w:tcBorders>
              <w:top w:val="nil"/>
              <w:left w:val="nil"/>
              <w:bottom w:val="nil"/>
              <w:right w:val="nil"/>
            </w:tcBorders>
            <w:vAlign w:val="bottom"/>
            <w:hideMark/>
          </w:tcPr>
          <w:p w14:paraId="4487F7BA"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1200" w:type="dxa"/>
            <w:tcBorders>
              <w:top w:val="nil"/>
              <w:left w:val="nil"/>
              <w:bottom w:val="nil"/>
              <w:right w:val="nil"/>
            </w:tcBorders>
            <w:noWrap/>
            <w:vAlign w:val="bottom"/>
            <w:hideMark/>
          </w:tcPr>
          <w:p w14:paraId="2F3785A5"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00" w:type="dxa"/>
            <w:tcBorders>
              <w:top w:val="nil"/>
              <w:left w:val="nil"/>
              <w:bottom w:val="nil"/>
              <w:right w:val="nil"/>
            </w:tcBorders>
            <w:noWrap/>
            <w:vAlign w:val="bottom"/>
            <w:hideMark/>
          </w:tcPr>
          <w:p w14:paraId="000ED413"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00" w:type="dxa"/>
            <w:tcBorders>
              <w:top w:val="nil"/>
              <w:left w:val="nil"/>
              <w:bottom w:val="nil"/>
              <w:right w:val="nil"/>
            </w:tcBorders>
            <w:noWrap/>
            <w:vAlign w:val="bottom"/>
            <w:hideMark/>
          </w:tcPr>
          <w:p w14:paraId="53EA9B2B"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19</w:t>
            </w:r>
          </w:p>
        </w:tc>
      </w:tr>
      <w:tr w:rsidR="00E91426" w:rsidRPr="00E91426" w14:paraId="09C0CA44" w14:textId="77777777" w:rsidTr="00E91426">
        <w:trPr>
          <w:trHeight w:val="300"/>
        </w:trPr>
        <w:tc>
          <w:tcPr>
            <w:tcW w:w="5940" w:type="dxa"/>
            <w:tcBorders>
              <w:top w:val="nil"/>
              <w:left w:val="nil"/>
              <w:bottom w:val="nil"/>
              <w:right w:val="nil"/>
            </w:tcBorders>
            <w:noWrap/>
            <w:vAlign w:val="bottom"/>
            <w:hideMark/>
          </w:tcPr>
          <w:p w14:paraId="0A9223EE"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Deficit for the year</w:t>
            </w:r>
          </w:p>
        </w:tc>
        <w:tc>
          <w:tcPr>
            <w:tcW w:w="680" w:type="dxa"/>
            <w:tcBorders>
              <w:top w:val="nil"/>
              <w:left w:val="nil"/>
              <w:bottom w:val="nil"/>
              <w:right w:val="nil"/>
            </w:tcBorders>
            <w:vAlign w:val="bottom"/>
            <w:hideMark/>
          </w:tcPr>
          <w:p w14:paraId="23791B28"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1200" w:type="dxa"/>
            <w:tcBorders>
              <w:top w:val="single" w:sz="4" w:space="0" w:color="auto"/>
              <w:left w:val="nil"/>
              <w:bottom w:val="double" w:sz="6" w:space="0" w:color="auto"/>
              <w:right w:val="nil"/>
            </w:tcBorders>
            <w:noWrap/>
            <w:vAlign w:val="bottom"/>
            <w:hideMark/>
          </w:tcPr>
          <w:p w14:paraId="7813A21F"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(17,118)</w:t>
            </w:r>
          </w:p>
        </w:tc>
        <w:tc>
          <w:tcPr>
            <w:tcW w:w="100" w:type="dxa"/>
            <w:tcBorders>
              <w:top w:val="nil"/>
              <w:left w:val="nil"/>
              <w:bottom w:val="nil"/>
              <w:right w:val="nil"/>
            </w:tcBorders>
            <w:noWrap/>
            <w:vAlign w:val="bottom"/>
            <w:hideMark/>
          </w:tcPr>
          <w:p w14:paraId="243F823D"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200" w:type="dxa"/>
            <w:tcBorders>
              <w:top w:val="single" w:sz="4" w:space="0" w:color="auto"/>
              <w:left w:val="nil"/>
              <w:bottom w:val="double" w:sz="6" w:space="0" w:color="auto"/>
              <w:right w:val="nil"/>
            </w:tcBorders>
            <w:noWrap/>
            <w:vAlign w:val="bottom"/>
            <w:hideMark/>
          </w:tcPr>
          <w:p w14:paraId="3374251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(23,977)</w:t>
            </w:r>
          </w:p>
        </w:tc>
      </w:tr>
      <w:tr w:rsidR="00E91426" w:rsidRPr="00E91426" w14:paraId="0C528CCA" w14:textId="77777777" w:rsidTr="00E91426">
        <w:trPr>
          <w:trHeight w:val="282"/>
        </w:trPr>
        <w:tc>
          <w:tcPr>
            <w:tcW w:w="5940" w:type="dxa"/>
            <w:tcBorders>
              <w:top w:val="nil"/>
              <w:left w:val="nil"/>
              <w:bottom w:val="nil"/>
              <w:right w:val="nil"/>
            </w:tcBorders>
            <w:vAlign w:val="center"/>
            <w:hideMark/>
          </w:tcPr>
          <w:p w14:paraId="441C486D"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680" w:type="dxa"/>
            <w:tcBorders>
              <w:top w:val="nil"/>
              <w:left w:val="nil"/>
              <w:bottom w:val="nil"/>
              <w:right w:val="nil"/>
            </w:tcBorders>
            <w:vAlign w:val="bottom"/>
            <w:hideMark/>
          </w:tcPr>
          <w:p w14:paraId="0C136082" w14:textId="77777777" w:rsidR="00E91426" w:rsidRPr="00E91426" w:rsidRDefault="00E91426" w:rsidP="00E91426">
            <w:pPr>
              <w:widowControl/>
              <w:rPr>
                <w:rFonts w:ascii="Arial" w:eastAsia="Times New Roman" w:hAnsi="Arial" w:cs="Arial"/>
                <w:sz w:val="20"/>
                <w:szCs w:val="20"/>
                <w:lang w:val="en-GB" w:eastAsia="en-GB"/>
              </w:rPr>
            </w:pPr>
          </w:p>
        </w:tc>
        <w:tc>
          <w:tcPr>
            <w:tcW w:w="1200" w:type="dxa"/>
            <w:tcBorders>
              <w:top w:val="nil"/>
              <w:left w:val="nil"/>
              <w:bottom w:val="nil"/>
              <w:right w:val="nil"/>
            </w:tcBorders>
            <w:noWrap/>
            <w:vAlign w:val="bottom"/>
            <w:hideMark/>
          </w:tcPr>
          <w:p w14:paraId="5E6A05B6" w14:textId="77777777" w:rsidR="00E91426" w:rsidRPr="00E91426" w:rsidRDefault="00E91426" w:rsidP="00E91426">
            <w:pPr>
              <w:widowControl/>
              <w:jc w:val="center"/>
              <w:rPr>
                <w:rFonts w:ascii="Arial" w:eastAsia="Times New Roman" w:hAnsi="Arial" w:cs="Arial"/>
                <w:sz w:val="20"/>
                <w:szCs w:val="20"/>
                <w:lang w:val="en-GB" w:eastAsia="en-GB"/>
              </w:rPr>
            </w:pPr>
          </w:p>
        </w:tc>
        <w:tc>
          <w:tcPr>
            <w:tcW w:w="100" w:type="dxa"/>
            <w:tcBorders>
              <w:top w:val="nil"/>
              <w:left w:val="nil"/>
              <w:bottom w:val="nil"/>
              <w:right w:val="nil"/>
            </w:tcBorders>
            <w:noWrap/>
            <w:vAlign w:val="bottom"/>
            <w:hideMark/>
          </w:tcPr>
          <w:p w14:paraId="2469F095"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200" w:type="dxa"/>
            <w:tcBorders>
              <w:top w:val="nil"/>
              <w:left w:val="nil"/>
              <w:bottom w:val="nil"/>
              <w:right w:val="nil"/>
            </w:tcBorders>
            <w:noWrap/>
            <w:vAlign w:val="bottom"/>
            <w:hideMark/>
          </w:tcPr>
          <w:p w14:paraId="0F3F5953" w14:textId="77777777" w:rsidR="00E91426" w:rsidRPr="00E91426" w:rsidRDefault="00E91426" w:rsidP="00E91426">
            <w:pPr>
              <w:widowControl/>
              <w:jc w:val="right"/>
              <w:rPr>
                <w:rFonts w:ascii="Arial" w:eastAsia="Times New Roman" w:hAnsi="Arial" w:cs="Arial"/>
                <w:sz w:val="20"/>
                <w:szCs w:val="20"/>
                <w:lang w:val="en-GB" w:eastAsia="en-GB"/>
              </w:rPr>
            </w:pPr>
          </w:p>
        </w:tc>
      </w:tr>
      <w:tr w:rsidR="00E91426" w:rsidRPr="00E91426" w14:paraId="2E568985" w14:textId="77777777" w:rsidTr="00E91426">
        <w:trPr>
          <w:trHeight w:val="274"/>
        </w:trPr>
        <w:tc>
          <w:tcPr>
            <w:tcW w:w="5940" w:type="dxa"/>
            <w:tcBorders>
              <w:top w:val="nil"/>
              <w:left w:val="nil"/>
              <w:bottom w:val="nil"/>
              <w:right w:val="nil"/>
            </w:tcBorders>
            <w:noWrap/>
            <w:vAlign w:val="bottom"/>
            <w:hideMark/>
          </w:tcPr>
          <w:p w14:paraId="55EFC75F"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Other comprehensive income/(expense)</w:t>
            </w:r>
          </w:p>
        </w:tc>
        <w:tc>
          <w:tcPr>
            <w:tcW w:w="680" w:type="dxa"/>
            <w:tcBorders>
              <w:top w:val="nil"/>
              <w:left w:val="nil"/>
              <w:bottom w:val="nil"/>
              <w:right w:val="nil"/>
            </w:tcBorders>
            <w:vAlign w:val="bottom"/>
            <w:hideMark/>
          </w:tcPr>
          <w:p w14:paraId="6AC064DF"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1200" w:type="dxa"/>
            <w:tcBorders>
              <w:top w:val="nil"/>
              <w:left w:val="nil"/>
              <w:bottom w:val="nil"/>
              <w:right w:val="nil"/>
            </w:tcBorders>
            <w:noWrap/>
            <w:vAlign w:val="bottom"/>
            <w:hideMark/>
          </w:tcPr>
          <w:p w14:paraId="71EAA549" w14:textId="77777777" w:rsidR="00E91426" w:rsidRPr="00E91426" w:rsidRDefault="00E91426" w:rsidP="00E91426">
            <w:pPr>
              <w:widowControl/>
              <w:jc w:val="center"/>
              <w:rPr>
                <w:rFonts w:ascii="Arial" w:eastAsia="Times New Roman" w:hAnsi="Arial" w:cs="Arial"/>
                <w:sz w:val="20"/>
                <w:szCs w:val="20"/>
                <w:lang w:val="en-GB" w:eastAsia="en-GB"/>
              </w:rPr>
            </w:pPr>
          </w:p>
        </w:tc>
        <w:tc>
          <w:tcPr>
            <w:tcW w:w="100" w:type="dxa"/>
            <w:tcBorders>
              <w:top w:val="nil"/>
              <w:left w:val="nil"/>
              <w:bottom w:val="nil"/>
              <w:right w:val="nil"/>
            </w:tcBorders>
            <w:noWrap/>
            <w:vAlign w:val="bottom"/>
            <w:hideMark/>
          </w:tcPr>
          <w:p w14:paraId="51D3DF66"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200" w:type="dxa"/>
            <w:tcBorders>
              <w:top w:val="nil"/>
              <w:left w:val="nil"/>
              <w:bottom w:val="nil"/>
              <w:right w:val="nil"/>
            </w:tcBorders>
            <w:noWrap/>
            <w:vAlign w:val="bottom"/>
            <w:hideMark/>
          </w:tcPr>
          <w:p w14:paraId="482E2BE3" w14:textId="77777777" w:rsidR="00E91426" w:rsidRPr="00E91426" w:rsidRDefault="00E91426" w:rsidP="00E91426">
            <w:pPr>
              <w:widowControl/>
              <w:jc w:val="right"/>
              <w:rPr>
                <w:rFonts w:ascii="Arial" w:eastAsia="Times New Roman" w:hAnsi="Arial" w:cs="Arial"/>
                <w:sz w:val="20"/>
                <w:szCs w:val="20"/>
                <w:lang w:val="en-GB" w:eastAsia="en-GB"/>
              </w:rPr>
            </w:pPr>
          </w:p>
        </w:tc>
      </w:tr>
      <w:tr w:rsidR="00E91426" w:rsidRPr="00E91426" w14:paraId="17D0FE0B" w14:textId="77777777" w:rsidTr="00E91426">
        <w:trPr>
          <w:trHeight w:val="274"/>
        </w:trPr>
        <w:tc>
          <w:tcPr>
            <w:tcW w:w="5940" w:type="dxa"/>
            <w:tcBorders>
              <w:top w:val="nil"/>
              <w:left w:val="nil"/>
              <w:bottom w:val="nil"/>
              <w:right w:val="nil"/>
            </w:tcBorders>
            <w:noWrap/>
            <w:vAlign w:val="bottom"/>
            <w:hideMark/>
          </w:tcPr>
          <w:p w14:paraId="48E675ED"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Will not be reclassified to income and expenditure:</w:t>
            </w:r>
          </w:p>
        </w:tc>
        <w:tc>
          <w:tcPr>
            <w:tcW w:w="680" w:type="dxa"/>
            <w:tcBorders>
              <w:top w:val="nil"/>
              <w:left w:val="nil"/>
              <w:bottom w:val="nil"/>
              <w:right w:val="nil"/>
            </w:tcBorders>
            <w:vAlign w:val="bottom"/>
            <w:hideMark/>
          </w:tcPr>
          <w:p w14:paraId="4C46F14B"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1200" w:type="dxa"/>
            <w:tcBorders>
              <w:top w:val="nil"/>
              <w:left w:val="nil"/>
              <w:bottom w:val="nil"/>
              <w:right w:val="nil"/>
            </w:tcBorders>
            <w:noWrap/>
            <w:vAlign w:val="bottom"/>
            <w:hideMark/>
          </w:tcPr>
          <w:p w14:paraId="58A3AF2C" w14:textId="77777777" w:rsidR="00E91426" w:rsidRPr="00E91426" w:rsidRDefault="00E91426" w:rsidP="00E91426">
            <w:pPr>
              <w:widowControl/>
              <w:jc w:val="center"/>
              <w:rPr>
                <w:rFonts w:ascii="Arial" w:eastAsia="Times New Roman" w:hAnsi="Arial" w:cs="Arial"/>
                <w:sz w:val="20"/>
                <w:szCs w:val="20"/>
                <w:lang w:val="en-GB" w:eastAsia="en-GB"/>
              </w:rPr>
            </w:pPr>
          </w:p>
        </w:tc>
        <w:tc>
          <w:tcPr>
            <w:tcW w:w="100" w:type="dxa"/>
            <w:tcBorders>
              <w:top w:val="nil"/>
              <w:left w:val="nil"/>
              <w:bottom w:val="nil"/>
              <w:right w:val="nil"/>
            </w:tcBorders>
            <w:noWrap/>
            <w:vAlign w:val="bottom"/>
            <w:hideMark/>
          </w:tcPr>
          <w:p w14:paraId="1A841E87"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200" w:type="dxa"/>
            <w:tcBorders>
              <w:top w:val="nil"/>
              <w:left w:val="nil"/>
              <w:bottom w:val="nil"/>
              <w:right w:val="nil"/>
            </w:tcBorders>
            <w:noWrap/>
            <w:vAlign w:val="bottom"/>
            <w:hideMark/>
          </w:tcPr>
          <w:p w14:paraId="5993D7F7" w14:textId="77777777" w:rsidR="00E91426" w:rsidRPr="00E91426" w:rsidRDefault="00E91426" w:rsidP="00E91426">
            <w:pPr>
              <w:widowControl/>
              <w:jc w:val="right"/>
              <w:rPr>
                <w:rFonts w:ascii="Arial" w:eastAsia="Times New Roman" w:hAnsi="Arial" w:cs="Arial"/>
                <w:sz w:val="20"/>
                <w:szCs w:val="20"/>
                <w:lang w:val="en-GB" w:eastAsia="en-GB"/>
              </w:rPr>
            </w:pPr>
          </w:p>
        </w:tc>
      </w:tr>
      <w:tr w:rsidR="00E91426" w:rsidRPr="00E91426" w14:paraId="5DF6B9C7" w14:textId="77777777" w:rsidTr="00E91426">
        <w:trPr>
          <w:trHeight w:val="282"/>
        </w:trPr>
        <w:tc>
          <w:tcPr>
            <w:tcW w:w="5940" w:type="dxa"/>
            <w:tcBorders>
              <w:top w:val="nil"/>
              <w:left w:val="nil"/>
              <w:bottom w:val="nil"/>
              <w:right w:val="nil"/>
            </w:tcBorders>
            <w:vAlign w:val="bottom"/>
            <w:hideMark/>
          </w:tcPr>
          <w:p w14:paraId="47AEA145"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 xml:space="preserve">Impairments </w:t>
            </w:r>
          </w:p>
        </w:tc>
        <w:tc>
          <w:tcPr>
            <w:tcW w:w="680" w:type="dxa"/>
            <w:tcBorders>
              <w:top w:val="nil"/>
              <w:left w:val="nil"/>
              <w:bottom w:val="nil"/>
              <w:right w:val="nil"/>
            </w:tcBorders>
            <w:vAlign w:val="bottom"/>
            <w:hideMark/>
          </w:tcPr>
          <w:p w14:paraId="116DB387" w14:textId="77777777" w:rsidR="00E91426" w:rsidRPr="00E91426" w:rsidRDefault="00E91426" w:rsidP="00E91426">
            <w:pPr>
              <w:widowControl/>
              <w:jc w:val="center"/>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12</w:t>
            </w:r>
          </w:p>
        </w:tc>
        <w:tc>
          <w:tcPr>
            <w:tcW w:w="1200" w:type="dxa"/>
            <w:tcBorders>
              <w:top w:val="nil"/>
              <w:left w:val="nil"/>
              <w:bottom w:val="nil"/>
              <w:right w:val="nil"/>
            </w:tcBorders>
            <w:noWrap/>
            <w:vAlign w:val="bottom"/>
            <w:hideMark/>
          </w:tcPr>
          <w:p w14:paraId="388D0541"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(4,513)</w:t>
            </w:r>
          </w:p>
        </w:tc>
        <w:tc>
          <w:tcPr>
            <w:tcW w:w="100" w:type="dxa"/>
            <w:tcBorders>
              <w:top w:val="nil"/>
              <w:left w:val="nil"/>
              <w:bottom w:val="nil"/>
              <w:right w:val="nil"/>
            </w:tcBorders>
            <w:noWrap/>
            <w:vAlign w:val="bottom"/>
            <w:hideMark/>
          </w:tcPr>
          <w:p w14:paraId="150F65D5"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00" w:type="dxa"/>
            <w:tcBorders>
              <w:top w:val="nil"/>
              <w:left w:val="nil"/>
              <w:bottom w:val="nil"/>
              <w:right w:val="nil"/>
            </w:tcBorders>
            <w:noWrap/>
            <w:vAlign w:val="bottom"/>
            <w:hideMark/>
          </w:tcPr>
          <w:p w14:paraId="0AC26058"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(8,623)</w:t>
            </w:r>
          </w:p>
        </w:tc>
      </w:tr>
      <w:tr w:rsidR="00E91426" w:rsidRPr="00E91426" w14:paraId="347DEA74" w14:textId="77777777" w:rsidTr="00E91426">
        <w:trPr>
          <w:trHeight w:val="282"/>
        </w:trPr>
        <w:tc>
          <w:tcPr>
            <w:tcW w:w="5940" w:type="dxa"/>
            <w:tcBorders>
              <w:top w:val="nil"/>
              <w:left w:val="nil"/>
              <w:bottom w:val="nil"/>
              <w:right w:val="nil"/>
            </w:tcBorders>
            <w:vAlign w:val="bottom"/>
            <w:hideMark/>
          </w:tcPr>
          <w:p w14:paraId="5D41EEC4"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 xml:space="preserve">Revaluations </w:t>
            </w:r>
          </w:p>
        </w:tc>
        <w:tc>
          <w:tcPr>
            <w:tcW w:w="680" w:type="dxa"/>
            <w:tcBorders>
              <w:top w:val="nil"/>
              <w:left w:val="nil"/>
              <w:bottom w:val="nil"/>
              <w:right w:val="nil"/>
            </w:tcBorders>
            <w:vAlign w:val="bottom"/>
            <w:hideMark/>
          </w:tcPr>
          <w:p w14:paraId="4571CF7C" w14:textId="77777777" w:rsidR="00E91426" w:rsidRPr="00E91426" w:rsidRDefault="00E91426" w:rsidP="00E91426">
            <w:pPr>
              <w:widowControl/>
              <w:jc w:val="center"/>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12</w:t>
            </w:r>
          </w:p>
        </w:tc>
        <w:tc>
          <w:tcPr>
            <w:tcW w:w="1200" w:type="dxa"/>
            <w:tcBorders>
              <w:top w:val="nil"/>
              <w:left w:val="nil"/>
              <w:bottom w:val="nil"/>
              <w:right w:val="nil"/>
            </w:tcBorders>
            <w:noWrap/>
            <w:vAlign w:val="bottom"/>
            <w:hideMark/>
          </w:tcPr>
          <w:p w14:paraId="3A31B2AC"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6,929</w:t>
            </w:r>
          </w:p>
        </w:tc>
        <w:tc>
          <w:tcPr>
            <w:tcW w:w="100" w:type="dxa"/>
            <w:tcBorders>
              <w:top w:val="nil"/>
              <w:left w:val="nil"/>
              <w:bottom w:val="nil"/>
              <w:right w:val="nil"/>
            </w:tcBorders>
            <w:noWrap/>
            <w:vAlign w:val="bottom"/>
            <w:hideMark/>
          </w:tcPr>
          <w:p w14:paraId="1FA0362C"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00" w:type="dxa"/>
            <w:tcBorders>
              <w:top w:val="nil"/>
              <w:left w:val="nil"/>
              <w:bottom w:val="nil"/>
              <w:right w:val="nil"/>
            </w:tcBorders>
            <w:noWrap/>
            <w:vAlign w:val="bottom"/>
            <w:hideMark/>
          </w:tcPr>
          <w:p w14:paraId="604AE69C"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5,398</w:t>
            </w:r>
          </w:p>
        </w:tc>
      </w:tr>
      <w:tr w:rsidR="00E91426" w:rsidRPr="00E91426" w14:paraId="5ACD1315" w14:textId="77777777" w:rsidTr="00E91426">
        <w:trPr>
          <w:trHeight w:val="315"/>
        </w:trPr>
        <w:tc>
          <w:tcPr>
            <w:tcW w:w="5940" w:type="dxa"/>
            <w:tcBorders>
              <w:top w:val="nil"/>
              <w:left w:val="nil"/>
              <w:bottom w:val="nil"/>
              <w:right w:val="nil"/>
            </w:tcBorders>
            <w:noWrap/>
            <w:vAlign w:val="bottom"/>
            <w:hideMark/>
          </w:tcPr>
          <w:p w14:paraId="5D9840AD"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Total comprehensive income/(expense) for the period</w:t>
            </w:r>
          </w:p>
        </w:tc>
        <w:tc>
          <w:tcPr>
            <w:tcW w:w="680" w:type="dxa"/>
            <w:tcBorders>
              <w:top w:val="nil"/>
              <w:left w:val="nil"/>
              <w:bottom w:val="nil"/>
              <w:right w:val="nil"/>
            </w:tcBorders>
            <w:vAlign w:val="bottom"/>
            <w:hideMark/>
          </w:tcPr>
          <w:p w14:paraId="34F61333"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1200" w:type="dxa"/>
            <w:tcBorders>
              <w:top w:val="single" w:sz="4" w:space="0" w:color="auto"/>
              <w:left w:val="nil"/>
              <w:bottom w:val="double" w:sz="6" w:space="0" w:color="auto"/>
              <w:right w:val="nil"/>
            </w:tcBorders>
            <w:noWrap/>
            <w:vAlign w:val="bottom"/>
            <w:hideMark/>
          </w:tcPr>
          <w:p w14:paraId="5F4B6A03"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(14,702)</w:t>
            </w:r>
          </w:p>
        </w:tc>
        <w:tc>
          <w:tcPr>
            <w:tcW w:w="100" w:type="dxa"/>
            <w:tcBorders>
              <w:top w:val="nil"/>
              <w:left w:val="nil"/>
              <w:bottom w:val="nil"/>
              <w:right w:val="nil"/>
            </w:tcBorders>
            <w:noWrap/>
            <w:vAlign w:val="bottom"/>
            <w:hideMark/>
          </w:tcPr>
          <w:p w14:paraId="6B2ED0CD"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200" w:type="dxa"/>
            <w:tcBorders>
              <w:top w:val="single" w:sz="4" w:space="0" w:color="auto"/>
              <w:left w:val="nil"/>
              <w:bottom w:val="double" w:sz="6" w:space="0" w:color="auto"/>
              <w:right w:val="nil"/>
            </w:tcBorders>
            <w:noWrap/>
            <w:vAlign w:val="bottom"/>
            <w:hideMark/>
          </w:tcPr>
          <w:p w14:paraId="7E0D2EE5"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(27,202)</w:t>
            </w:r>
          </w:p>
        </w:tc>
      </w:tr>
    </w:tbl>
    <w:p w14:paraId="0861EB44" w14:textId="77777777" w:rsidR="00E91426" w:rsidRPr="00E91426" w:rsidRDefault="00E91426" w:rsidP="00E91426">
      <w:pPr>
        <w:widowControl/>
        <w:spacing w:after="160" w:line="259" w:lineRule="auto"/>
        <w:rPr>
          <w:rFonts w:ascii="Arial" w:eastAsia="Calibri" w:hAnsi="Arial" w:cs="Arial"/>
          <w:sz w:val="20"/>
          <w:szCs w:val="20"/>
          <w:lang w:val="en-GB"/>
        </w:rPr>
      </w:pPr>
    </w:p>
    <w:p w14:paraId="2F8B52FD" w14:textId="77777777" w:rsidR="00E91426" w:rsidRPr="00E91426" w:rsidRDefault="00E91426" w:rsidP="00E91426">
      <w:pPr>
        <w:widowControl/>
        <w:spacing w:after="160" w:line="259" w:lineRule="auto"/>
        <w:rPr>
          <w:rFonts w:ascii="Arial" w:eastAsia="Calibri" w:hAnsi="Arial" w:cs="Arial"/>
          <w:sz w:val="20"/>
          <w:szCs w:val="20"/>
          <w:lang w:val="en-GB"/>
        </w:rPr>
        <w:sectPr w:rsidR="00E91426" w:rsidRPr="00E91426" w:rsidSect="00E91426">
          <w:footerReference w:type="default" r:id="rId48"/>
          <w:footerReference w:type="first" r:id="rId49"/>
          <w:pgSz w:w="11906" w:h="16838"/>
          <w:pgMar w:top="1134" w:right="1440" w:bottom="709" w:left="1440" w:header="708" w:footer="708" w:gutter="0"/>
          <w:cols w:space="708"/>
          <w:titlePg/>
          <w:docGrid w:linePitch="360"/>
        </w:sectPr>
      </w:pPr>
    </w:p>
    <w:p w14:paraId="0EFB9219" w14:textId="77777777" w:rsidR="00E91426" w:rsidRPr="00E91426" w:rsidRDefault="00E91426" w:rsidP="00E91426">
      <w:pPr>
        <w:keepNext/>
        <w:keepLines/>
        <w:widowControl/>
        <w:spacing w:before="240" w:line="259" w:lineRule="auto"/>
        <w:jc w:val="center"/>
        <w:outlineLvl w:val="0"/>
        <w:rPr>
          <w:rFonts w:ascii="Arial" w:eastAsia="Times New Roman" w:hAnsi="Arial" w:cs="Arial"/>
          <w:b/>
          <w:color w:val="000000"/>
          <w:sz w:val="20"/>
          <w:szCs w:val="20"/>
          <w:lang w:val="en-GB"/>
        </w:rPr>
      </w:pPr>
      <w:bookmarkStart w:id="56" w:name="_Toc195698694"/>
      <w:r w:rsidRPr="00E91426">
        <w:rPr>
          <w:rFonts w:ascii="Arial" w:eastAsia="Times New Roman" w:hAnsi="Arial" w:cs="Arial"/>
          <w:b/>
          <w:color w:val="000000"/>
          <w:sz w:val="20"/>
          <w:szCs w:val="20"/>
          <w:lang w:val="en-GB"/>
        </w:rPr>
        <w:lastRenderedPageBreak/>
        <w:t>Statement of Financial Position</w:t>
      </w:r>
      <w:bookmarkEnd w:id="56"/>
    </w:p>
    <w:p w14:paraId="642088EB" w14:textId="77777777" w:rsidR="00E91426" w:rsidRPr="00E91426" w:rsidRDefault="00E91426" w:rsidP="00E91426">
      <w:pPr>
        <w:widowControl/>
        <w:jc w:val="center"/>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as at 31 March 2025</w:t>
      </w:r>
    </w:p>
    <w:p w14:paraId="4F319648" w14:textId="77777777" w:rsidR="00E91426" w:rsidRPr="00E91426" w:rsidRDefault="00E91426" w:rsidP="00E91426">
      <w:pPr>
        <w:widowControl/>
        <w:spacing w:after="160" w:line="259" w:lineRule="auto"/>
        <w:jc w:val="center"/>
        <w:rPr>
          <w:rFonts w:ascii="Arial" w:eastAsia="Calibri" w:hAnsi="Arial" w:cs="Arial"/>
          <w:sz w:val="20"/>
          <w:szCs w:val="20"/>
          <w:lang w:val="en-GB"/>
        </w:rPr>
      </w:pPr>
    </w:p>
    <w:p w14:paraId="3C5F2C1C" w14:textId="77777777" w:rsidR="00E91426" w:rsidRPr="00E91426" w:rsidRDefault="00E91426" w:rsidP="00E91426">
      <w:pPr>
        <w:widowControl/>
        <w:spacing w:after="160" w:line="259" w:lineRule="auto"/>
        <w:rPr>
          <w:rFonts w:ascii="Arial" w:eastAsia="Calibri" w:hAnsi="Arial" w:cs="Arial"/>
          <w:sz w:val="20"/>
          <w:szCs w:val="20"/>
          <w:lang w:val="en-GB"/>
        </w:rPr>
      </w:pPr>
    </w:p>
    <w:tbl>
      <w:tblPr>
        <w:tblW w:w="8340" w:type="dxa"/>
        <w:tblLook w:val="04A0" w:firstRow="1" w:lastRow="0" w:firstColumn="1" w:lastColumn="0" w:noHBand="0" w:noVBand="1"/>
      </w:tblPr>
      <w:tblGrid>
        <w:gridCol w:w="3547"/>
        <w:gridCol w:w="1356"/>
        <w:gridCol w:w="1036"/>
        <w:gridCol w:w="1476"/>
        <w:gridCol w:w="222"/>
        <w:gridCol w:w="1241"/>
      </w:tblGrid>
      <w:tr w:rsidR="00E91426" w:rsidRPr="00E91426" w14:paraId="184C2926" w14:textId="77777777" w:rsidTr="00E91426">
        <w:trPr>
          <w:trHeight w:val="520"/>
        </w:trPr>
        <w:tc>
          <w:tcPr>
            <w:tcW w:w="3547" w:type="dxa"/>
            <w:tcBorders>
              <w:top w:val="nil"/>
              <w:left w:val="nil"/>
              <w:bottom w:val="nil"/>
              <w:right w:val="nil"/>
            </w:tcBorders>
            <w:vAlign w:val="bottom"/>
            <w:hideMark/>
          </w:tcPr>
          <w:p w14:paraId="2A2C13DA" w14:textId="77777777" w:rsidR="00E91426" w:rsidRPr="00E91426" w:rsidRDefault="00E91426" w:rsidP="00E91426">
            <w:pPr>
              <w:widowControl/>
              <w:rPr>
                <w:rFonts w:ascii="Times New Roman" w:eastAsia="Times New Roman" w:hAnsi="Times New Roman" w:cs="Times New Roman"/>
                <w:sz w:val="24"/>
                <w:szCs w:val="24"/>
                <w:lang w:val="en-GB" w:eastAsia="en-GB"/>
              </w:rPr>
            </w:pPr>
          </w:p>
        </w:tc>
        <w:tc>
          <w:tcPr>
            <w:tcW w:w="1140" w:type="dxa"/>
            <w:tcBorders>
              <w:top w:val="nil"/>
              <w:left w:val="nil"/>
              <w:bottom w:val="nil"/>
              <w:right w:val="nil"/>
            </w:tcBorders>
            <w:vAlign w:val="bottom"/>
            <w:hideMark/>
          </w:tcPr>
          <w:p w14:paraId="78025853" w14:textId="77777777" w:rsidR="00E91426" w:rsidRPr="00E91426" w:rsidRDefault="00E91426" w:rsidP="00E91426">
            <w:pPr>
              <w:widowControl/>
              <w:rPr>
                <w:rFonts w:ascii="Times New Roman" w:eastAsia="Times New Roman" w:hAnsi="Times New Roman" w:cs="Times New Roman"/>
                <w:sz w:val="20"/>
                <w:szCs w:val="20"/>
                <w:lang w:val="en-GB" w:eastAsia="en-GB"/>
              </w:rPr>
            </w:pPr>
          </w:p>
        </w:tc>
        <w:tc>
          <w:tcPr>
            <w:tcW w:w="1036" w:type="dxa"/>
            <w:tcBorders>
              <w:top w:val="nil"/>
              <w:left w:val="nil"/>
              <w:bottom w:val="nil"/>
              <w:right w:val="nil"/>
            </w:tcBorders>
            <w:noWrap/>
            <w:vAlign w:val="bottom"/>
            <w:hideMark/>
          </w:tcPr>
          <w:p w14:paraId="0D0368F5" w14:textId="77777777" w:rsidR="00E91426" w:rsidRPr="00E91426" w:rsidRDefault="00E91426" w:rsidP="00E91426">
            <w:pPr>
              <w:widowControl/>
              <w:rPr>
                <w:rFonts w:ascii="Times New Roman" w:eastAsia="Times New Roman" w:hAnsi="Times New Roman" w:cs="Times New Roman"/>
                <w:sz w:val="20"/>
                <w:szCs w:val="20"/>
                <w:lang w:val="en-GB" w:eastAsia="en-GB"/>
              </w:rPr>
            </w:pPr>
          </w:p>
        </w:tc>
        <w:tc>
          <w:tcPr>
            <w:tcW w:w="1260" w:type="dxa"/>
            <w:tcBorders>
              <w:top w:val="nil"/>
              <w:left w:val="nil"/>
              <w:bottom w:val="nil"/>
              <w:right w:val="nil"/>
            </w:tcBorders>
            <w:vAlign w:val="bottom"/>
            <w:hideMark/>
          </w:tcPr>
          <w:p w14:paraId="56DE3BC5"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31 March 2025</w:t>
            </w:r>
          </w:p>
        </w:tc>
        <w:tc>
          <w:tcPr>
            <w:tcW w:w="116" w:type="dxa"/>
            <w:tcBorders>
              <w:top w:val="nil"/>
              <w:left w:val="nil"/>
              <w:bottom w:val="nil"/>
              <w:right w:val="nil"/>
            </w:tcBorders>
            <w:noWrap/>
            <w:vAlign w:val="bottom"/>
            <w:hideMark/>
          </w:tcPr>
          <w:p w14:paraId="26A7DA52"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241" w:type="dxa"/>
            <w:tcBorders>
              <w:top w:val="nil"/>
              <w:left w:val="nil"/>
              <w:bottom w:val="nil"/>
              <w:right w:val="nil"/>
            </w:tcBorders>
            <w:vAlign w:val="bottom"/>
            <w:hideMark/>
          </w:tcPr>
          <w:p w14:paraId="106F48E5"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31 March 2024</w:t>
            </w:r>
          </w:p>
        </w:tc>
      </w:tr>
      <w:tr w:rsidR="00E91426" w:rsidRPr="00E91426" w14:paraId="4A97DD0C" w14:textId="77777777" w:rsidTr="00E91426">
        <w:trPr>
          <w:trHeight w:val="283"/>
        </w:trPr>
        <w:tc>
          <w:tcPr>
            <w:tcW w:w="3547" w:type="dxa"/>
            <w:tcBorders>
              <w:top w:val="nil"/>
              <w:left w:val="nil"/>
              <w:bottom w:val="nil"/>
              <w:right w:val="nil"/>
            </w:tcBorders>
            <w:vAlign w:val="bottom"/>
            <w:hideMark/>
          </w:tcPr>
          <w:p w14:paraId="3CD353DF"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140" w:type="dxa"/>
            <w:tcBorders>
              <w:top w:val="nil"/>
              <w:left w:val="nil"/>
              <w:bottom w:val="nil"/>
              <w:right w:val="nil"/>
            </w:tcBorders>
            <w:vAlign w:val="bottom"/>
            <w:hideMark/>
          </w:tcPr>
          <w:p w14:paraId="12456D47" w14:textId="77777777" w:rsidR="00E91426" w:rsidRPr="00E91426" w:rsidRDefault="00E91426" w:rsidP="00E91426">
            <w:pPr>
              <w:widowControl/>
              <w:rPr>
                <w:rFonts w:ascii="Times New Roman" w:eastAsia="Times New Roman" w:hAnsi="Times New Roman" w:cs="Times New Roman"/>
                <w:sz w:val="20"/>
                <w:szCs w:val="20"/>
                <w:lang w:val="en-GB" w:eastAsia="en-GB"/>
              </w:rPr>
            </w:pPr>
          </w:p>
        </w:tc>
        <w:tc>
          <w:tcPr>
            <w:tcW w:w="1036" w:type="dxa"/>
            <w:tcBorders>
              <w:top w:val="nil"/>
              <w:left w:val="nil"/>
              <w:bottom w:val="nil"/>
              <w:right w:val="nil"/>
            </w:tcBorders>
            <w:vAlign w:val="bottom"/>
            <w:hideMark/>
          </w:tcPr>
          <w:p w14:paraId="0C7DF96A" w14:textId="77777777" w:rsidR="00E91426" w:rsidRPr="00E91426" w:rsidRDefault="00E91426" w:rsidP="00E91426">
            <w:pPr>
              <w:widowControl/>
              <w:jc w:val="center"/>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Note</w:t>
            </w:r>
          </w:p>
        </w:tc>
        <w:tc>
          <w:tcPr>
            <w:tcW w:w="1260" w:type="dxa"/>
            <w:tcBorders>
              <w:top w:val="nil"/>
              <w:left w:val="nil"/>
              <w:bottom w:val="nil"/>
              <w:right w:val="nil"/>
            </w:tcBorders>
            <w:vAlign w:val="bottom"/>
            <w:hideMark/>
          </w:tcPr>
          <w:p w14:paraId="57D608F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£000</w:t>
            </w:r>
          </w:p>
        </w:tc>
        <w:tc>
          <w:tcPr>
            <w:tcW w:w="116" w:type="dxa"/>
            <w:tcBorders>
              <w:top w:val="nil"/>
              <w:left w:val="nil"/>
              <w:bottom w:val="nil"/>
              <w:right w:val="nil"/>
            </w:tcBorders>
            <w:noWrap/>
            <w:vAlign w:val="bottom"/>
            <w:hideMark/>
          </w:tcPr>
          <w:p w14:paraId="49229AB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241" w:type="dxa"/>
            <w:tcBorders>
              <w:top w:val="nil"/>
              <w:left w:val="nil"/>
              <w:bottom w:val="nil"/>
              <w:right w:val="nil"/>
            </w:tcBorders>
            <w:vAlign w:val="bottom"/>
            <w:hideMark/>
          </w:tcPr>
          <w:p w14:paraId="4F960DAF"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£000</w:t>
            </w:r>
          </w:p>
        </w:tc>
      </w:tr>
      <w:tr w:rsidR="00E91426" w:rsidRPr="00E91426" w14:paraId="17109D08" w14:textId="77777777" w:rsidTr="00E91426">
        <w:trPr>
          <w:trHeight w:val="283"/>
        </w:trPr>
        <w:tc>
          <w:tcPr>
            <w:tcW w:w="3547" w:type="dxa"/>
            <w:tcBorders>
              <w:top w:val="nil"/>
              <w:left w:val="nil"/>
              <w:bottom w:val="nil"/>
              <w:right w:val="nil"/>
            </w:tcBorders>
            <w:noWrap/>
            <w:vAlign w:val="bottom"/>
            <w:hideMark/>
          </w:tcPr>
          <w:p w14:paraId="3F07F378"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Non-current assets</w:t>
            </w:r>
          </w:p>
        </w:tc>
        <w:tc>
          <w:tcPr>
            <w:tcW w:w="1140" w:type="dxa"/>
            <w:tcBorders>
              <w:top w:val="nil"/>
              <w:left w:val="nil"/>
              <w:bottom w:val="nil"/>
              <w:right w:val="nil"/>
            </w:tcBorders>
            <w:noWrap/>
            <w:vAlign w:val="bottom"/>
            <w:hideMark/>
          </w:tcPr>
          <w:p w14:paraId="2F1421D4"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1036" w:type="dxa"/>
            <w:tcBorders>
              <w:top w:val="nil"/>
              <w:left w:val="nil"/>
              <w:bottom w:val="nil"/>
              <w:right w:val="nil"/>
            </w:tcBorders>
            <w:noWrap/>
            <w:vAlign w:val="bottom"/>
            <w:hideMark/>
          </w:tcPr>
          <w:p w14:paraId="326296B0" w14:textId="77777777" w:rsidR="00E91426" w:rsidRPr="00E91426" w:rsidRDefault="00E91426" w:rsidP="00E91426">
            <w:pPr>
              <w:widowControl/>
              <w:rPr>
                <w:rFonts w:ascii="Times New Roman" w:eastAsia="Times New Roman" w:hAnsi="Times New Roman" w:cs="Times New Roman"/>
                <w:sz w:val="20"/>
                <w:szCs w:val="20"/>
                <w:lang w:val="en-GB" w:eastAsia="en-GB"/>
              </w:rPr>
            </w:pPr>
          </w:p>
        </w:tc>
        <w:tc>
          <w:tcPr>
            <w:tcW w:w="1260" w:type="dxa"/>
            <w:tcBorders>
              <w:top w:val="nil"/>
              <w:left w:val="nil"/>
              <w:bottom w:val="nil"/>
              <w:right w:val="nil"/>
            </w:tcBorders>
            <w:noWrap/>
            <w:vAlign w:val="bottom"/>
            <w:hideMark/>
          </w:tcPr>
          <w:p w14:paraId="0B3B9B28" w14:textId="77777777" w:rsidR="00E91426" w:rsidRPr="00E91426" w:rsidRDefault="00E91426" w:rsidP="00E91426">
            <w:pPr>
              <w:widowControl/>
              <w:jc w:val="center"/>
              <w:rPr>
                <w:rFonts w:ascii="Times New Roman" w:eastAsia="Times New Roman" w:hAnsi="Times New Roman" w:cs="Times New Roman"/>
                <w:sz w:val="20"/>
                <w:szCs w:val="20"/>
                <w:lang w:val="en-GB" w:eastAsia="en-GB"/>
              </w:rPr>
            </w:pPr>
          </w:p>
        </w:tc>
        <w:tc>
          <w:tcPr>
            <w:tcW w:w="116" w:type="dxa"/>
            <w:tcBorders>
              <w:top w:val="nil"/>
              <w:left w:val="nil"/>
              <w:bottom w:val="nil"/>
              <w:right w:val="nil"/>
            </w:tcBorders>
            <w:noWrap/>
            <w:vAlign w:val="bottom"/>
            <w:hideMark/>
          </w:tcPr>
          <w:p w14:paraId="08BC105F" w14:textId="77777777" w:rsidR="00E91426" w:rsidRPr="00E91426" w:rsidRDefault="00E91426" w:rsidP="00E91426">
            <w:pPr>
              <w:widowControl/>
              <w:rPr>
                <w:rFonts w:ascii="Times New Roman" w:eastAsia="Times New Roman" w:hAnsi="Times New Roman" w:cs="Times New Roman"/>
                <w:sz w:val="20"/>
                <w:szCs w:val="20"/>
                <w:lang w:val="en-GB" w:eastAsia="en-GB"/>
              </w:rPr>
            </w:pPr>
          </w:p>
        </w:tc>
        <w:tc>
          <w:tcPr>
            <w:tcW w:w="1241" w:type="dxa"/>
            <w:tcBorders>
              <w:top w:val="nil"/>
              <w:left w:val="nil"/>
              <w:bottom w:val="nil"/>
              <w:right w:val="nil"/>
            </w:tcBorders>
            <w:noWrap/>
            <w:vAlign w:val="bottom"/>
            <w:hideMark/>
          </w:tcPr>
          <w:p w14:paraId="31CCC0E3" w14:textId="77777777" w:rsidR="00E91426" w:rsidRPr="00E91426" w:rsidRDefault="00E91426" w:rsidP="00E91426">
            <w:pPr>
              <w:widowControl/>
              <w:jc w:val="right"/>
              <w:rPr>
                <w:rFonts w:ascii="Times New Roman" w:eastAsia="Times New Roman" w:hAnsi="Times New Roman" w:cs="Times New Roman"/>
                <w:sz w:val="20"/>
                <w:szCs w:val="20"/>
                <w:lang w:val="en-GB" w:eastAsia="en-GB"/>
              </w:rPr>
            </w:pPr>
          </w:p>
        </w:tc>
      </w:tr>
      <w:tr w:rsidR="00E91426" w:rsidRPr="00E91426" w14:paraId="081F9FFC" w14:textId="77777777" w:rsidTr="00E91426">
        <w:trPr>
          <w:trHeight w:val="283"/>
        </w:trPr>
        <w:tc>
          <w:tcPr>
            <w:tcW w:w="3547" w:type="dxa"/>
            <w:tcBorders>
              <w:top w:val="nil"/>
              <w:left w:val="nil"/>
              <w:bottom w:val="nil"/>
              <w:right w:val="nil"/>
            </w:tcBorders>
            <w:noWrap/>
            <w:vAlign w:val="bottom"/>
            <w:hideMark/>
          </w:tcPr>
          <w:p w14:paraId="73650A34"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Property, plant and equipment</w:t>
            </w:r>
          </w:p>
        </w:tc>
        <w:tc>
          <w:tcPr>
            <w:tcW w:w="1140" w:type="dxa"/>
            <w:tcBorders>
              <w:top w:val="nil"/>
              <w:left w:val="nil"/>
              <w:bottom w:val="nil"/>
              <w:right w:val="nil"/>
            </w:tcBorders>
            <w:vAlign w:val="bottom"/>
            <w:hideMark/>
          </w:tcPr>
          <w:p w14:paraId="064565FB"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1036" w:type="dxa"/>
            <w:tcBorders>
              <w:top w:val="nil"/>
              <w:left w:val="nil"/>
              <w:bottom w:val="nil"/>
              <w:right w:val="nil"/>
            </w:tcBorders>
            <w:vAlign w:val="bottom"/>
            <w:hideMark/>
          </w:tcPr>
          <w:p w14:paraId="2F65EFAE" w14:textId="77777777" w:rsidR="00E91426" w:rsidRPr="00E91426" w:rsidRDefault="00E91426" w:rsidP="00E91426">
            <w:pPr>
              <w:widowControl/>
              <w:jc w:val="center"/>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10</w:t>
            </w:r>
          </w:p>
        </w:tc>
        <w:tc>
          <w:tcPr>
            <w:tcW w:w="1260" w:type="dxa"/>
            <w:tcBorders>
              <w:top w:val="nil"/>
              <w:left w:val="nil"/>
              <w:bottom w:val="nil"/>
              <w:right w:val="nil"/>
            </w:tcBorders>
            <w:noWrap/>
            <w:vAlign w:val="bottom"/>
            <w:hideMark/>
          </w:tcPr>
          <w:p w14:paraId="74A8A11A"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287,330</w:t>
            </w:r>
          </w:p>
        </w:tc>
        <w:tc>
          <w:tcPr>
            <w:tcW w:w="116" w:type="dxa"/>
            <w:tcBorders>
              <w:top w:val="nil"/>
              <w:left w:val="nil"/>
              <w:bottom w:val="nil"/>
              <w:right w:val="nil"/>
            </w:tcBorders>
            <w:noWrap/>
            <w:vAlign w:val="bottom"/>
            <w:hideMark/>
          </w:tcPr>
          <w:p w14:paraId="043959CF"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41" w:type="dxa"/>
            <w:tcBorders>
              <w:top w:val="nil"/>
              <w:left w:val="nil"/>
              <w:bottom w:val="nil"/>
              <w:right w:val="nil"/>
            </w:tcBorders>
            <w:noWrap/>
            <w:vAlign w:val="bottom"/>
            <w:hideMark/>
          </w:tcPr>
          <w:p w14:paraId="27371B50"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279,165</w:t>
            </w:r>
          </w:p>
        </w:tc>
      </w:tr>
      <w:tr w:rsidR="00E91426" w:rsidRPr="00E91426" w14:paraId="1164B56F" w14:textId="77777777" w:rsidTr="00E91426">
        <w:trPr>
          <w:trHeight w:val="283"/>
        </w:trPr>
        <w:tc>
          <w:tcPr>
            <w:tcW w:w="3547" w:type="dxa"/>
            <w:tcBorders>
              <w:top w:val="nil"/>
              <w:left w:val="nil"/>
              <w:bottom w:val="nil"/>
              <w:right w:val="nil"/>
            </w:tcBorders>
            <w:noWrap/>
            <w:vAlign w:val="bottom"/>
            <w:hideMark/>
          </w:tcPr>
          <w:p w14:paraId="40494ACF"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Right of use assets</w:t>
            </w:r>
          </w:p>
        </w:tc>
        <w:tc>
          <w:tcPr>
            <w:tcW w:w="1140" w:type="dxa"/>
            <w:tcBorders>
              <w:top w:val="nil"/>
              <w:left w:val="nil"/>
              <w:bottom w:val="nil"/>
              <w:right w:val="nil"/>
            </w:tcBorders>
            <w:vAlign w:val="bottom"/>
            <w:hideMark/>
          </w:tcPr>
          <w:p w14:paraId="56C7ACE2"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1036" w:type="dxa"/>
            <w:tcBorders>
              <w:top w:val="nil"/>
              <w:left w:val="nil"/>
              <w:bottom w:val="nil"/>
              <w:right w:val="nil"/>
            </w:tcBorders>
            <w:vAlign w:val="bottom"/>
            <w:hideMark/>
          </w:tcPr>
          <w:p w14:paraId="45403118" w14:textId="77777777" w:rsidR="00E91426" w:rsidRPr="00E91426" w:rsidRDefault="00E91426" w:rsidP="00E91426">
            <w:pPr>
              <w:widowControl/>
              <w:jc w:val="center"/>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13</w:t>
            </w:r>
          </w:p>
        </w:tc>
        <w:tc>
          <w:tcPr>
            <w:tcW w:w="1260" w:type="dxa"/>
            <w:tcBorders>
              <w:top w:val="nil"/>
              <w:left w:val="nil"/>
              <w:bottom w:val="nil"/>
              <w:right w:val="nil"/>
            </w:tcBorders>
            <w:noWrap/>
            <w:vAlign w:val="bottom"/>
            <w:hideMark/>
          </w:tcPr>
          <w:p w14:paraId="4AA83B23"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1,592</w:t>
            </w:r>
          </w:p>
        </w:tc>
        <w:tc>
          <w:tcPr>
            <w:tcW w:w="116" w:type="dxa"/>
            <w:tcBorders>
              <w:top w:val="nil"/>
              <w:left w:val="nil"/>
              <w:bottom w:val="nil"/>
              <w:right w:val="nil"/>
            </w:tcBorders>
            <w:noWrap/>
            <w:vAlign w:val="bottom"/>
            <w:hideMark/>
          </w:tcPr>
          <w:p w14:paraId="32F18A41"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41" w:type="dxa"/>
            <w:tcBorders>
              <w:top w:val="nil"/>
              <w:left w:val="nil"/>
              <w:bottom w:val="nil"/>
              <w:right w:val="nil"/>
            </w:tcBorders>
            <w:noWrap/>
            <w:vAlign w:val="bottom"/>
            <w:hideMark/>
          </w:tcPr>
          <w:p w14:paraId="77519F99"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1,966</w:t>
            </w:r>
          </w:p>
        </w:tc>
      </w:tr>
      <w:tr w:rsidR="00E91426" w:rsidRPr="00E91426" w14:paraId="18215649" w14:textId="77777777" w:rsidTr="00E91426">
        <w:trPr>
          <w:trHeight w:val="283"/>
        </w:trPr>
        <w:tc>
          <w:tcPr>
            <w:tcW w:w="3547" w:type="dxa"/>
            <w:tcBorders>
              <w:top w:val="nil"/>
              <w:left w:val="nil"/>
              <w:bottom w:val="nil"/>
              <w:right w:val="nil"/>
            </w:tcBorders>
            <w:noWrap/>
            <w:vAlign w:val="bottom"/>
            <w:hideMark/>
          </w:tcPr>
          <w:p w14:paraId="5F9118BF"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Receivables</w:t>
            </w:r>
          </w:p>
        </w:tc>
        <w:tc>
          <w:tcPr>
            <w:tcW w:w="1140" w:type="dxa"/>
            <w:tcBorders>
              <w:top w:val="nil"/>
              <w:left w:val="nil"/>
              <w:bottom w:val="nil"/>
              <w:right w:val="nil"/>
            </w:tcBorders>
            <w:vAlign w:val="bottom"/>
            <w:hideMark/>
          </w:tcPr>
          <w:p w14:paraId="5C6F44C8"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1036" w:type="dxa"/>
            <w:tcBorders>
              <w:top w:val="nil"/>
              <w:left w:val="nil"/>
              <w:bottom w:val="nil"/>
              <w:right w:val="nil"/>
            </w:tcBorders>
            <w:vAlign w:val="bottom"/>
            <w:hideMark/>
          </w:tcPr>
          <w:p w14:paraId="33AE8DFD" w14:textId="77777777" w:rsidR="00E91426" w:rsidRPr="00E91426" w:rsidRDefault="00E91426" w:rsidP="00E91426">
            <w:pPr>
              <w:widowControl/>
              <w:jc w:val="center"/>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15</w:t>
            </w:r>
          </w:p>
        </w:tc>
        <w:tc>
          <w:tcPr>
            <w:tcW w:w="1260" w:type="dxa"/>
            <w:tcBorders>
              <w:top w:val="nil"/>
              <w:left w:val="nil"/>
              <w:bottom w:val="nil"/>
              <w:right w:val="nil"/>
            </w:tcBorders>
            <w:noWrap/>
            <w:vAlign w:val="bottom"/>
            <w:hideMark/>
          </w:tcPr>
          <w:p w14:paraId="4A89FAE0"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791</w:t>
            </w:r>
          </w:p>
        </w:tc>
        <w:tc>
          <w:tcPr>
            <w:tcW w:w="116" w:type="dxa"/>
            <w:tcBorders>
              <w:top w:val="nil"/>
              <w:left w:val="nil"/>
              <w:bottom w:val="nil"/>
              <w:right w:val="nil"/>
            </w:tcBorders>
            <w:noWrap/>
            <w:vAlign w:val="bottom"/>
            <w:hideMark/>
          </w:tcPr>
          <w:p w14:paraId="2A6A46A8"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41" w:type="dxa"/>
            <w:tcBorders>
              <w:top w:val="nil"/>
              <w:left w:val="nil"/>
              <w:bottom w:val="nil"/>
              <w:right w:val="nil"/>
            </w:tcBorders>
            <w:noWrap/>
            <w:vAlign w:val="bottom"/>
            <w:hideMark/>
          </w:tcPr>
          <w:p w14:paraId="4A25685B"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757</w:t>
            </w:r>
          </w:p>
        </w:tc>
      </w:tr>
      <w:tr w:rsidR="00E91426" w:rsidRPr="00E91426" w14:paraId="68228481" w14:textId="77777777" w:rsidTr="00E91426">
        <w:trPr>
          <w:trHeight w:val="283"/>
        </w:trPr>
        <w:tc>
          <w:tcPr>
            <w:tcW w:w="3547" w:type="dxa"/>
            <w:tcBorders>
              <w:top w:val="nil"/>
              <w:left w:val="nil"/>
              <w:bottom w:val="nil"/>
              <w:right w:val="nil"/>
            </w:tcBorders>
            <w:noWrap/>
            <w:vAlign w:val="bottom"/>
            <w:hideMark/>
          </w:tcPr>
          <w:p w14:paraId="51F7DF39"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Total non-current assets</w:t>
            </w:r>
          </w:p>
        </w:tc>
        <w:tc>
          <w:tcPr>
            <w:tcW w:w="1140" w:type="dxa"/>
            <w:tcBorders>
              <w:top w:val="nil"/>
              <w:left w:val="nil"/>
              <w:bottom w:val="nil"/>
              <w:right w:val="nil"/>
            </w:tcBorders>
            <w:noWrap/>
            <w:vAlign w:val="bottom"/>
            <w:hideMark/>
          </w:tcPr>
          <w:p w14:paraId="2D3B6A18"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1036" w:type="dxa"/>
            <w:tcBorders>
              <w:top w:val="nil"/>
              <w:left w:val="nil"/>
              <w:bottom w:val="nil"/>
              <w:right w:val="nil"/>
            </w:tcBorders>
            <w:vAlign w:val="bottom"/>
            <w:hideMark/>
          </w:tcPr>
          <w:p w14:paraId="5B61F322" w14:textId="77777777" w:rsidR="00E91426" w:rsidRPr="00E91426" w:rsidRDefault="00E91426" w:rsidP="00E91426">
            <w:pPr>
              <w:widowControl/>
              <w:rPr>
                <w:rFonts w:ascii="Times New Roman" w:eastAsia="Times New Roman" w:hAnsi="Times New Roman" w:cs="Times New Roman"/>
                <w:sz w:val="20"/>
                <w:szCs w:val="20"/>
                <w:lang w:val="en-GB" w:eastAsia="en-GB"/>
              </w:rPr>
            </w:pPr>
          </w:p>
        </w:tc>
        <w:tc>
          <w:tcPr>
            <w:tcW w:w="1260" w:type="dxa"/>
            <w:tcBorders>
              <w:top w:val="single" w:sz="4" w:space="0" w:color="auto"/>
              <w:left w:val="nil"/>
              <w:bottom w:val="single" w:sz="4" w:space="0" w:color="auto"/>
              <w:right w:val="nil"/>
            </w:tcBorders>
            <w:noWrap/>
            <w:vAlign w:val="bottom"/>
            <w:hideMark/>
          </w:tcPr>
          <w:p w14:paraId="57B9461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289,713</w:t>
            </w:r>
          </w:p>
        </w:tc>
        <w:tc>
          <w:tcPr>
            <w:tcW w:w="116" w:type="dxa"/>
            <w:tcBorders>
              <w:top w:val="nil"/>
              <w:left w:val="nil"/>
              <w:bottom w:val="nil"/>
              <w:right w:val="nil"/>
            </w:tcBorders>
            <w:noWrap/>
            <w:vAlign w:val="bottom"/>
            <w:hideMark/>
          </w:tcPr>
          <w:p w14:paraId="79C2483A"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241" w:type="dxa"/>
            <w:tcBorders>
              <w:top w:val="single" w:sz="4" w:space="0" w:color="auto"/>
              <w:left w:val="nil"/>
              <w:bottom w:val="single" w:sz="4" w:space="0" w:color="auto"/>
              <w:right w:val="nil"/>
            </w:tcBorders>
            <w:noWrap/>
            <w:vAlign w:val="bottom"/>
            <w:hideMark/>
          </w:tcPr>
          <w:p w14:paraId="2D59C68B"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281,888</w:t>
            </w:r>
          </w:p>
        </w:tc>
      </w:tr>
      <w:tr w:rsidR="00E91426" w:rsidRPr="00E91426" w14:paraId="4D255D52" w14:textId="77777777" w:rsidTr="00E91426">
        <w:trPr>
          <w:trHeight w:val="283"/>
        </w:trPr>
        <w:tc>
          <w:tcPr>
            <w:tcW w:w="3547" w:type="dxa"/>
            <w:tcBorders>
              <w:top w:val="nil"/>
              <w:left w:val="nil"/>
              <w:bottom w:val="nil"/>
              <w:right w:val="nil"/>
            </w:tcBorders>
            <w:noWrap/>
            <w:vAlign w:val="bottom"/>
            <w:hideMark/>
          </w:tcPr>
          <w:p w14:paraId="0F424A0B"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Current assets</w:t>
            </w:r>
          </w:p>
        </w:tc>
        <w:tc>
          <w:tcPr>
            <w:tcW w:w="1140" w:type="dxa"/>
            <w:tcBorders>
              <w:top w:val="nil"/>
              <w:left w:val="nil"/>
              <w:bottom w:val="nil"/>
              <w:right w:val="nil"/>
            </w:tcBorders>
            <w:noWrap/>
            <w:vAlign w:val="bottom"/>
            <w:hideMark/>
          </w:tcPr>
          <w:p w14:paraId="7D1F412A"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1036" w:type="dxa"/>
            <w:tcBorders>
              <w:top w:val="nil"/>
              <w:left w:val="nil"/>
              <w:bottom w:val="nil"/>
              <w:right w:val="nil"/>
            </w:tcBorders>
            <w:vAlign w:val="bottom"/>
            <w:hideMark/>
          </w:tcPr>
          <w:p w14:paraId="3313D8CD" w14:textId="77777777" w:rsidR="00E91426" w:rsidRPr="00E91426" w:rsidRDefault="00E91426" w:rsidP="00E91426">
            <w:pPr>
              <w:widowControl/>
              <w:rPr>
                <w:rFonts w:ascii="Times New Roman" w:eastAsia="Times New Roman" w:hAnsi="Times New Roman" w:cs="Times New Roman"/>
                <w:sz w:val="20"/>
                <w:szCs w:val="20"/>
                <w:lang w:val="en-GB" w:eastAsia="en-GB"/>
              </w:rPr>
            </w:pPr>
          </w:p>
        </w:tc>
        <w:tc>
          <w:tcPr>
            <w:tcW w:w="1260" w:type="dxa"/>
            <w:tcBorders>
              <w:top w:val="nil"/>
              <w:left w:val="nil"/>
              <w:bottom w:val="nil"/>
              <w:right w:val="nil"/>
            </w:tcBorders>
            <w:noWrap/>
            <w:vAlign w:val="bottom"/>
            <w:hideMark/>
          </w:tcPr>
          <w:p w14:paraId="1B7103B8" w14:textId="77777777" w:rsidR="00E91426" w:rsidRPr="00E91426" w:rsidRDefault="00E91426" w:rsidP="00E91426">
            <w:pPr>
              <w:widowControl/>
              <w:jc w:val="center"/>
              <w:rPr>
                <w:rFonts w:ascii="Times New Roman" w:eastAsia="Times New Roman" w:hAnsi="Times New Roman" w:cs="Times New Roman"/>
                <w:sz w:val="20"/>
                <w:szCs w:val="20"/>
                <w:lang w:val="en-GB" w:eastAsia="en-GB"/>
              </w:rPr>
            </w:pPr>
          </w:p>
        </w:tc>
        <w:tc>
          <w:tcPr>
            <w:tcW w:w="116" w:type="dxa"/>
            <w:tcBorders>
              <w:top w:val="nil"/>
              <w:left w:val="nil"/>
              <w:bottom w:val="nil"/>
              <w:right w:val="nil"/>
            </w:tcBorders>
            <w:noWrap/>
            <w:vAlign w:val="bottom"/>
            <w:hideMark/>
          </w:tcPr>
          <w:p w14:paraId="59A87C1D" w14:textId="77777777" w:rsidR="00E91426" w:rsidRPr="00E91426" w:rsidRDefault="00E91426" w:rsidP="00E91426">
            <w:pPr>
              <w:widowControl/>
              <w:rPr>
                <w:rFonts w:ascii="Times New Roman" w:eastAsia="Times New Roman" w:hAnsi="Times New Roman" w:cs="Times New Roman"/>
                <w:sz w:val="20"/>
                <w:szCs w:val="20"/>
                <w:lang w:val="en-GB" w:eastAsia="en-GB"/>
              </w:rPr>
            </w:pPr>
          </w:p>
        </w:tc>
        <w:tc>
          <w:tcPr>
            <w:tcW w:w="1241" w:type="dxa"/>
            <w:tcBorders>
              <w:top w:val="nil"/>
              <w:left w:val="nil"/>
              <w:bottom w:val="nil"/>
              <w:right w:val="nil"/>
            </w:tcBorders>
            <w:noWrap/>
            <w:vAlign w:val="bottom"/>
            <w:hideMark/>
          </w:tcPr>
          <w:p w14:paraId="2FAE4F4F" w14:textId="77777777" w:rsidR="00E91426" w:rsidRPr="00E91426" w:rsidRDefault="00E91426" w:rsidP="00E91426">
            <w:pPr>
              <w:widowControl/>
              <w:jc w:val="right"/>
              <w:rPr>
                <w:rFonts w:ascii="Times New Roman" w:eastAsia="Times New Roman" w:hAnsi="Times New Roman" w:cs="Times New Roman"/>
                <w:sz w:val="20"/>
                <w:szCs w:val="20"/>
                <w:lang w:val="en-GB" w:eastAsia="en-GB"/>
              </w:rPr>
            </w:pPr>
          </w:p>
        </w:tc>
      </w:tr>
      <w:tr w:rsidR="00E91426" w:rsidRPr="00E91426" w14:paraId="40A3DD42" w14:textId="77777777" w:rsidTr="00E91426">
        <w:trPr>
          <w:trHeight w:val="283"/>
        </w:trPr>
        <w:tc>
          <w:tcPr>
            <w:tcW w:w="3547" w:type="dxa"/>
            <w:tcBorders>
              <w:top w:val="nil"/>
              <w:left w:val="nil"/>
              <w:bottom w:val="nil"/>
              <w:right w:val="nil"/>
            </w:tcBorders>
            <w:noWrap/>
            <w:vAlign w:val="bottom"/>
            <w:hideMark/>
          </w:tcPr>
          <w:p w14:paraId="2D79E18A"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Inventories</w:t>
            </w:r>
          </w:p>
        </w:tc>
        <w:tc>
          <w:tcPr>
            <w:tcW w:w="1140" w:type="dxa"/>
            <w:tcBorders>
              <w:top w:val="nil"/>
              <w:left w:val="nil"/>
              <w:bottom w:val="nil"/>
              <w:right w:val="nil"/>
            </w:tcBorders>
            <w:vAlign w:val="bottom"/>
            <w:hideMark/>
          </w:tcPr>
          <w:p w14:paraId="37CE414D"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1036" w:type="dxa"/>
            <w:tcBorders>
              <w:top w:val="nil"/>
              <w:left w:val="nil"/>
              <w:bottom w:val="nil"/>
              <w:right w:val="nil"/>
            </w:tcBorders>
            <w:vAlign w:val="bottom"/>
            <w:hideMark/>
          </w:tcPr>
          <w:p w14:paraId="7EABFC76" w14:textId="77777777" w:rsidR="00E91426" w:rsidRPr="00E91426" w:rsidRDefault="00E91426" w:rsidP="00E91426">
            <w:pPr>
              <w:widowControl/>
              <w:jc w:val="center"/>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16</w:t>
            </w:r>
          </w:p>
        </w:tc>
        <w:tc>
          <w:tcPr>
            <w:tcW w:w="1260" w:type="dxa"/>
            <w:tcBorders>
              <w:top w:val="nil"/>
              <w:left w:val="nil"/>
              <w:bottom w:val="nil"/>
              <w:right w:val="nil"/>
            </w:tcBorders>
            <w:noWrap/>
            <w:vAlign w:val="bottom"/>
            <w:hideMark/>
          </w:tcPr>
          <w:p w14:paraId="270144BD"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6,730</w:t>
            </w:r>
          </w:p>
        </w:tc>
        <w:tc>
          <w:tcPr>
            <w:tcW w:w="116" w:type="dxa"/>
            <w:tcBorders>
              <w:top w:val="nil"/>
              <w:left w:val="nil"/>
              <w:bottom w:val="nil"/>
              <w:right w:val="nil"/>
            </w:tcBorders>
            <w:noWrap/>
            <w:vAlign w:val="bottom"/>
            <w:hideMark/>
          </w:tcPr>
          <w:p w14:paraId="76B6C286"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41" w:type="dxa"/>
            <w:tcBorders>
              <w:top w:val="nil"/>
              <w:left w:val="nil"/>
              <w:bottom w:val="nil"/>
              <w:right w:val="nil"/>
            </w:tcBorders>
            <w:noWrap/>
            <w:vAlign w:val="bottom"/>
            <w:hideMark/>
          </w:tcPr>
          <w:p w14:paraId="5C5193E7"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6,554</w:t>
            </w:r>
          </w:p>
        </w:tc>
      </w:tr>
      <w:tr w:rsidR="00E91426" w:rsidRPr="00E91426" w14:paraId="4EE5CEDB" w14:textId="77777777" w:rsidTr="00E91426">
        <w:trPr>
          <w:trHeight w:val="283"/>
        </w:trPr>
        <w:tc>
          <w:tcPr>
            <w:tcW w:w="3547" w:type="dxa"/>
            <w:tcBorders>
              <w:top w:val="nil"/>
              <w:left w:val="nil"/>
              <w:bottom w:val="nil"/>
              <w:right w:val="nil"/>
            </w:tcBorders>
            <w:noWrap/>
            <w:vAlign w:val="bottom"/>
            <w:hideMark/>
          </w:tcPr>
          <w:p w14:paraId="696C0CBC"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Receivables</w:t>
            </w:r>
          </w:p>
        </w:tc>
        <w:tc>
          <w:tcPr>
            <w:tcW w:w="1140" w:type="dxa"/>
            <w:tcBorders>
              <w:top w:val="nil"/>
              <w:left w:val="nil"/>
              <w:bottom w:val="nil"/>
              <w:right w:val="nil"/>
            </w:tcBorders>
            <w:vAlign w:val="bottom"/>
            <w:hideMark/>
          </w:tcPr>
          <w:p w14:paraId="71316761"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1036" w:type="dxa"/>
            <w:tcBorders>
              <w:top w:val="nil"/>
              <w:left w:val="nil"/>
              <w:bottom w:val="nil"/>
              <w:right w:val="nil"/>
            </w:tcBorders>
            <w:vAlign w:val="bottom"/>
            <w:hideMark/>
          </w:tcPr>
          <w:p w14:paraId="0F57E156" w14:textId="77777777" w:rsidR="00E91426" w:rsidRPr="00E91426" w:rsidRDefault="00E91426" w:rsidP="00E91426">
            <w:pPr>
              <w:widowControl/>
              <w:jc w:val="center"/>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15</w:t>
            </w:r>
          </w:p>
        </w:tc>
        <w:tc>
          <w:tcPr>
            <w:tcW w:w="1260" w:type="dxa"/>
            <w:tcBorders>
              <w:top w:val="nil"/>
              <w:left w:val="nil"/>
              <w:bottom w:val="nil"/>
              <w:right w:val="nil"/>
            </w:tcBorders>
            <w:noWrap/>
            <w:vAlign w:val="bottom"/>
            <w:hideMark/>
          </w:tcPr>
          <w:p w14:paraId="396C65B4"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38,658</w:t>
            </w:r>
          </w:p>
        </w:tc>
        <w:tc>
          <w:tcPr>
            <w:tcW w:w="116" w:type="dxa"/>
            <w:tcBorders>
              <w:top w:val="nil"/>
              <w:left w:val="nil"/>
              <w:bottom w:val="nil"/>
              <w:right w:val="nil"/>
            </w:tcBorders>
            <w:noWrap/>
            <w:vAlign w:val="bottom"/>
            <w:hideMark/>
          </w:tcPr>
          <w:p w14:paraId="0E866C7B"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41" w:type="dxa"/>
            <w:tcBorders>
              <w:top w:val="nil"/>
              <w:left w:val="nil"/>
              <w:bottom w:val="nil"/>
              <w:right w:val="nil"/>
            </w:tcBorders>
            <w:noWrap/>
            <w:vAlign w:val="bottom"/>
            <w:hideMark/>
          </w:tcPr>
          <w:p w14:paraId="55FC661A"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29,574</w:t>
            </w:r>
          </w:p>
        </w:tc>
      </w:tr>
      <w:tr w:rsidR="00E91426" w:rsidRPr="00E91426" w14:paraId="3AECBAC8" w14:textId="77777777" w:rsidTr="00E91426">
        <w:trPr>
          <w:trHeight w:val="250"/>
        </w:trPr>
        <w:tc>
          <w:tcPr>
            <w:tcW w:w="3547" w:type="dxa"/>
            <w:tcBorders>
              <w:top w:val="nil"/>
              <w:left w:val="nil"/>
              <w:bottom w:val="nil"/>
              <w:right w:val="nil"/>
            </w:tcBorders>
            <w:noWrap/>
            <w:vAlign w:val="bottom"/>
            <w:hideMark/>
          </w:tcPr>
          <w:p w14:paraId="613D9879"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Non-current assets held for sale</w:t>
            </w:r>
          </w:p>
        </w:tc>
        <w:tc>
          <w:tcPr>
            <w:tcW w:w="1140" w:type="dxa"/>
            <w:tcBorders>
              <w:top w:val="nil"/>
              <w:left w:val="nil"/>
              <w:bottom w:val="nil"/>
              <w:right w:val="nil"/>
            </w:tcBorders>
            <w:vAlign w:val="bottom"/>
            <w:hideMark/>
          </w:tcPr>
          <w:p w14:paraId="130F4FE6"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1036" w:type="dxa"/>
            <w:tcBorders>
              <w:top w:val="nil"/>
              <w:left w:val="nil"/>
              <w:bottom w:val="nil"/>
              <w:right w:val="nil"/>
            </w:tcBorders>
            <w:vAlign w:val="bottom"/>
            <w:hideMark/>
          </w:tcPr>
          <w:p w14:paraId="4D78DA49" w14:textId="77777777" w:rsidR="00E91426" w:rsidRPr="00E91426" w:rsidRDefault="00E91426" w:rsidP="00E91426">
            <w:pPr>
              <w:widowControl/>
              <w:jc w:val="center"/>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14</w:t>
            </w:r>
          </w:p>
        </w:tc>
        <w:tc>
          <w:tcPr>
            <w:tcW w:w="1260" w:type="dxa"/>
            <w:tcBorders>
              <w:top w:val="nil"/>
              <w:left w:val="nil"/>
              <w:bottom w:val="nil"/>
              <w:right w:val="nil"/>
            </w:tcBorders>
            <w:noWrap/>
            <w:vAlign w:val="bottom"/>
            <w:hideMark/>
          </w:tcPr>
          <w:p w14:paraId="305AF10C"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425</w:t>
            </w:r>
          </w:p>
        </w:tc>
        <w:tc>
          <w:tcPr>
            <w:tcW w:w="116" w:type="dxa"/>
            <w:tcBorders>
              <w:top w:val="nil"/>
              <w:left w:val="nil"/>
              <w:bottom w:val="nil"/>
              <w:right w:val="nil"/>
            </w:tcBorders>
            <w:noWrap/>
            <w:vAlign w:val="bottom"/>
            <w:hideMark/>
          </w:tcPr>
          <w:p w14:paraId="2BDE1AA0"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41" w:type="dxa"/>
            <w:tcBorders>
              <w:top w:val="nil"/>
              <w:left w:val="nil"/>
              <w:bottom w:val="nil"/>
              <w:right w:val="nil"/>
            </w:tcBorders>
            <w:noWrap/>
            <w:vAlign w:val="bottom"/>
            <w:hideMark/>
          </w:tcPr>
          <w:p w14:paraId="02B0279F"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r>
      <w:tr w:rsidR="00E91426" w:rsidRPr="00E91426" w14:paraId="5D78DCEB" w14:textId="77777777" w:rsidTr="00E91426">
        <w:trPr>
          <w:trHeight w:val="283"/>
        </w:trPr>
        <w:tc>
          <w:tcPr>
            <w:tcW w:w="3547" w:type="dxa"/>
            <w:tcBorders>
              <w:top w:val="nil"/>
              <w:left w:val="nil"/>
              <w:bottom w:val="nil"/>
              <w:right w:val="nil"/>
            </w:tcBorders>
            <w:noWrap/>
            <w:vAlign w:val="bottom"/>
            <w:hideMark/>
          </w:tcPr>
          <w:p w14:paraId="26C65118"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Cash and cash equivalents</w:t>
            </w:r>
          </w:p>
        </w:tc>
        <w:tc>
          <w:tcPr>
            <w:tcW w:w="1140" w:type="dxa"/>
            <w:tcBorders>
              <w:top w:val="nil"/>
              <w:left w:val="nil"/>
              <w:bottom w:val="nil"/>
              <w:right w:val="nil"/>
            </w:tcBorders>
            <w:vAlign w:val="bottom"/>
            <w:hideMark/>
          </w:tcPr>
          <w:p w14:paraId="2121C64F"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1036" w:type="dxa"/>
            <w:tcBorders>
              <w:top w:val="nil"/>
              <w:left w:val="nil"/>
              <w:bottom w:val="nil"/>
              <w:right w:val="nil"/>
            </w:tcBorders>
            <w:vAlign w:val="bottom"/>
            <w:hideMark/>
          </w:tcPr>
          <w:p w14:paraId="27C18E35" w14:textId="77777777" w:rsidR="00E91426" w:rsidRPr="00E91426" w:rsidRDefault="00E91426" w:rsidP="00E91426">
            <w:pPr>
              <w:widowControl/>
              <w:jc w:val="center"/>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17</w:t>
            </w:r>
          </w:p>
        </w:tc>
        <w:tc>
          <w:tcPr>
            <w:tcW w:w="1260" w:type="dxa"/>
            <w:tcBorders>
              <w:top w:val="nil"/>
              <w:left w:val="nil"/>
              <w:bottom w:val="nil"/>
              <w:right w:val="nil"/>
            </w:tcBorders>
            <w:noWrap/>
            <w:vAlign w:val="bottom"/>
            <w:hideMark/>
          </w:tcPr>
          <w:p w14:paraId="477941FF"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13,280</w:t>
            </w:r>
          </w:p>
        </w:tc>
        <w:tc>
          <w:tcPr>
            <w:tcW w:w="116" w:type="dxa"/>
            <w:tcBorders>
              <w:top w:val="nil"/>
              <w:left w:val="nil"/>
              <w:bottom w:val="nil"/>
              <w:right w:val="nil"/>
            </w:tcBorders>
            <w:noWrap/>
            <w:vAlign w:val="bottom"/>
            <w:hideMark/>
          </w:tcPr>
          <w:p w14:paraId="11E5BD10"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41" w:type="dxa"/>
            <w:tcBorders>
              <w:top w:val="nil"/>
              <w:left w:val="nil"/>
              <w:bottom w:val="nil"/>
              <w:right w:val="nil"/>
            </w:tcBorders>
            <w:noWrap/>
            <w:vAlign w:val="bottom"/>
            <w:hideMark/>
          </w:tcPr>
          <w:p w14:paraId="3592D818"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21,042</w:t>
            </w:r>
          </w:p>
        </w:tc>
      </w:tr>
      <w:tr w:rsidR="00E91426" w:rsidRPr="00E91426" w14:paraId="1F348B28" w14:textId="77777777" w:rsidTr="00E91426">
        <w:trPr>
          <w:trHeight w:val="283"/>
        </w:trPr>
        <w:tc>
          <w:tcPr>
            <w:tcW w:w="3547" w:type="dxa"/>
            <w:tcBorders>
              <w:top w:val="nil"/>
              <w:left w:val="nil"/>
              <w:bottom w:val="nil"/>
              <w:right w:val="nil"/>
            </w:tcBorders>
            <w:noWrap/>
            <w:vAlign w:val="bottom"/>
            <w:hideMark/>
          </w:tcPr>
          <w:p w14:paraId="00C0192A"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Total current assets</w:t>
            </w:r>
          </w:p>
        </w:tc>
        <w:tc>
          <w:tcPr>
            <w:tcW w:w="1140" w:type="dxa"/>
            <w:tcBorders>
              <w:top w:val="nil"/>
              <w:left w:val="nil"/>
              <w:bottom w:val="nil"/>
              <w:right w:val="nil"/>
            </w:tcBorders>
            <w:noWrap/>
            <w:vAlign w:val="bottom"/>
            <w:hideMark/>
          </w:tcPr>
          <w:p w14:paraId="6492020C"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1036" w:type="dxa"/>
            <w:tcBorders>
              <w:top w:val="nil"/>
              <w:left w:val="nil"/>
              <w:bottom w:val="nil"/>
              <w:right w:val="nil"/>
            </w:tcBorders>
            <w:vAlign w:val="bottom"/>
            <w:hideMark/>
          </w:tcPr>
          <w:p w14:paraId="5065837D" w14:textId="77777777" w:rsidR="00E91426" w:rsidRPr="00E91426" w:rsidRDefault="00E91426" w:rsidP="00E91426">
            <w:pPr>
              <w:widowControl/>
              <w:rPr>
                <w:rFonts w:ascii="Times New Roman" w:eastAsia="Times New Roman" w:hAnsi="Times New Roman" w:cs="Times New Roman"/>
                <w:sz w:val="20"/>
                <w:szCs w:val="20"/>
                <w:lang w:val="en-GB" w:eastAsia="en-GB"/>
              </w:rPr>
            </w:pPr>
          </w:p>
        </w:tc>
        <w:tc>
          <w:tcPr>
            <w:tcW w:w="1260" w:type="dxa"/>
            <w:tcBorders>
              <w:top w:val="single" w:sz="4" w:space="0" w:color="auto"/>
              <w:left w:val="nil"/>
              <w:bottom w:val="single" w:sz="4" w:space="0" w:color="auto"/>
              <w:right w:val="nil"/>
            </w:tcBorders>
            <w:noWrap/>
            <w:vAlign w:val="bottom"/>
            <w:hideMark/>
          </w:tcPr>
          <w:p w14:paraId="617244C0"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59,093</w:t>
            </w:r>
          </w:p>
        </w:tc>
        <w:tc>
          <w:tcPr>
            <w:tcW w:w="116" w:type="dxa"/>
            <w:tcBorders>
              <w:top w:val="nil"/>
              <w:left w:val="nil"/>
              <w:bottom w:val="nil"/>
              <w:right w:val="nil"/>
            </w:tcBorders>
            <w:noWrap/>
            <w:vAlign w:val="bottom"/>
            <w:hideMark/>
          </w:tcPr>
          <w:p w14:paraId="77C45AA1"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241" w:type="dxa"/>
            <w:tcBorders>
              <w:top w:val="single" w:sz="4" w:space="0" w:color="auto"/>
              <w:left w:val="nil"/>
              <w:bottom w:val="single" w:sz="4" w:space="0" w:color="auto"/>
              <w:right w:val="nil"/>
            </w:tcBorders>
            <w:noWrap/>
            <w:vAlign w:val="bottom"/>
            <w:hideMark/>
          </w:tcPr>
          <w:p w14:paraId="42D5CD5F"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57,170</w:t>
            </w:r>
          </w:p>
        </w:tc>
      </w:tr>
      <w:tr w:rsidR="00E91426" w:rsidRPr="00E91426" w14:paraId="4D0EE218" w14:textId="77777777" w:rsidTr="00E91426">
        <w:trPr>
          <w:trHeight w:val="283"/>
        </w:trPr>
        <w:tc>
          <w:tcPr>
            <w:tcW w:w="3547" w:type="dxa"/>
            <w:tcBorders>
              <w:top w:val="nil"/>
              <w:left w:val="nil"/>
              <w:bottom w:val="nil"/>
              <w:right w:val="nil"/>
            </w:tcBorders>
            <w:noWrap/>
            <w:vAlign w:val="bottom"/>
            <w:hideMark/>
          </w:tcPr>
          <w:p w14:paraId="3DCB489C"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Current liabilities</w:t>
            </w:r>
          </w:p>
        </w:tc>
        <w:tc>
          <w:tcPr>
            <w:tcW w:w="1140" w:type="dxa"/>
            <w:tcBorders>
              <w:top w:val="nil"/>
              <w:left w:val="nil"/>
              <w:bottom w:val="nil"/>
              <w:right w:val="nil"/>
            </w:tcBorders>
            <w:noWrap/>
            <w:vAlign w:val="bottom"/>
            <w:hideMark/>
          </w:tcPr>
          <w:p w14:paraId="3AAD62A9"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1036" w:type="dxa"/>
            <w:tcBorders>
              <w:top w:val="nil"/>
              <w:left w:val="nil"/>
              <w:bottom w:val="nil"/>
              <w:right w:val="nil"/>
            </w:tcBorders>
            <w:vAlign w:val="bottom"/>
            <w:hideMark/>
          </w:tcPr>
          <w:p w14:paraId="28AECD01" w14:textId="77777777" w:rsidR="00E91426" w:rsidRPr="00E91426" w:rsidRDefault="00E91426" w:rsidP="00E91426">
            <w:pPr>
              <w:widowControl/>
              <w:rPr>
                <w:rFonts w:ascii="Times New Roman" w:eastAsia="Times New Roman" w:hAnsi="Times New Roman" w:cs="Times New Roman"/>
                <w:sz w:val="20"/>
                <w:szCs w:val="20"/>
                <w:lang w:val="en-GB" w:eastAsia="en-GB"/>
              </w:rPr>
            </w:pPr>
          </w:p>
        </w:tc>
        <w:tc>
          <w:tcPr>
            <w:tcW w:w="1260" w:type="dxa"/>
            <w:tcBorders>
              <w:top w:val="nil"/>
              <w:left w:val="nil"/>
              <w:bottom w:val="nil"/>
              <w:right w:val="nil"/>
            </w:tcBorders>
            <w:noWrap/>
            <w:vAlign w:val="bottom"/>
            <w:hideMark/>
          </w:tcPr>
          <w:p w14:paraId="54FB7082" w14:textId="77777777" w:rsidR="00E91426" w:rsidRPr="00E91426" w:rsidRDefault="00E91426" w:rsidP="00E91426">
            <w:pPr>
              <w:widowControl/>
              <w:jc w:val="center"/>
              <w:rPr>
                <w:rFonts w:ascii="Times New Roman" w:eastAsia="Times New Roman" w:hAnsi="Times New Roman" w:cs="Times New Roman"/>
                <w:sz w:val="20"/>
                <w:szCs w:val="20"/>
                <w:lang w:val="en-GB" w:eastAsia="en-GB"/>
              </w:rPr>
            </w:pPr>
          </w:p>
        </w:tc>
        <w:tc>
          <w:tcPr>
            <w:tcW w:w="116" w:type="dxa"/>
            <w:tcBorders>
              <w:top w:val="nil"/>
              <w:left w:val="nil"/>
              <w:bottom w:val="nil"/>
              <w:right w:val="nil"/>
            </w:tcBorders>
            <w:noWrap/>
            <w:vAlign w:val="bottom"/>
            <w:hideMark/>
          </w:tcPr>
          <w:p w14:paraId="4D182090" w14:textId="77777777" w:rsidR="00E91426" w:rsidRPr="00E91426" w:rsidRDefault="00E91426" w:rsidP="00E91426">
            <w:pPr>
              <w:widowControl/>
              <w:rPr>
                <w:rFonts w:ascii="Times New Roman" w:eastAsia="Times New Roman" w:hAnsi="Times New Roman" w:cs="Times New Roman"/>
                <w:sz w:val="20"/>
                <w:szCs w:val="20"/>
                <w:lang w:val="en-GB" w:eastAsia="en-GB"/>
              </w:rPr>
            </w:pPr>
          </w:p>
        </w:tc>
        <w:tc>
          <w:tcPr>
            <w:tcW w:w="1241" w:type="dxa"/>
            <w:tcBorders>
              <w:top w:val="nil"/>
              <w:left w:val="nil"/>
              <w:bottom w:val="nil"/>
              <w:right w:val="nil"/>
            </w:tcBorders>
            <w:noWrap/>
            <w:vAlign w:val="bottom"/>
            <w:hideMark/>
          </w:tcPr>
          <w:p w14:paraId="31A61F63" w14:textId="77777777" w:rsidR="00E91426" w:rsidRPr="00E91426" w:rsidRDefault="00E91426" w:rsidP="00E91426">
            <w:pPr>
              <w:widowControl/>
              <w:jc w:val="right"/>
              <w:rPr>
                <w:rFonts w:ascii="Times New Roman" w:eastAsia="Times New Roman" w:hAnsi="Times New Roman" w:cs="Times New Roman"/>
                <w:sz w:val="20"/>
                <w:szCs w:val="20"/>
                <w:lang w:val="en-GB" w:eastAsia="en-GB"/>
              </w:rPr>
            </w:pPr>
          </w:p>
        </w:tc>
      </w:tr>
      <w:tr w:rsidR="00E91426" w:rsidRPr="00E91426" w14:paraId="3D02C28C" w14:textId="77777777" w:rsidTr="00E91426">
        <w:trPr>
          <w:trHeight w:val="283"/>
        </w:trPr>
        <w:tc>
          <w:tcPr>
            <w:tcW w:w="3547" w:type="dxa"/>
            <w:tcBorders>
              <w:top w:val="nil"/>
              <w:left w:val="nil"/>
              <w:bottom w:val="nil"/>
              <w:right w:val="nil"/>
            </w:tcBorders>
            <w:noWrap/>
            <w:vAlign w:val="bottom"/>
            <w:hideMark/>
          </w:tcPr>
          <w:p w14:paraId="4F049759"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Trade and other payables</w:t>
            </w:r>
          </w:p>
        </w:tc>
        <w:tc>
          <w:tcPr>
            <w:tcW w:w="1140" w:type="dxa"/>
            <w:tcBorders>
              <w:top w:val="nil"/>
              <w:left w:val="nil"/>
              <w:bottom w:val="nil"/>
              <w:right w:val="nil"/>
            </w:tcBorders>
            <w:vAlign w:val="bottom"/>
            <w:hideMark/>
          </w:tcPr>
          <w:p w14:paraId="7E2F08FF"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1036" w:type="dxa"/>
            <w:tcBorders>
              <w:top w:val="nil"/>
              <w:left w:val="nil"/>
              <w:bottom w:val="nil"/>
              <w:right w:val="nil"/>
            </w:tcBorders>
            <w:vAlign w:val="bottom"/>
            <w:hideMark/>
          </w:tcPr>
          <w:p w14:paraId="6D790C67" w14:textId="77777777" w:rsidR="00E91426" w:rsidRPr="00E91426" w:rsidRDefault="00E91426" w:rsidP="00E91426">
            <w:pPr>
              <w:widowControl/>
              <w:jc w:val="center"/>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18</w:t>
            </w:r>
          </w:p>
        </w:tc>
        <w:tc>
          <w:tcPr>
            <w:tcW w:w="1260" w:type="dxa"/>
            <w:tcBorders>
              <w:top w:val="nil"/>
              <w:left w:val="nil"/>
              <w:bottom w:val="nil"/>
              <w:right w:val="nil"/>
            </w:tcBorders>
            <w:noWrap/>
            <w:vAlign w:val="bottom"/>
            <w:hideMark/>
          </w:tcPr>
          <w:p w14:paraId="57DDCFAA"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(61,019)</w:t>
            </w:r>
          </w:p>
        </w:tc>
        <w:tc>
          <w:tcPr>
            <w:tcW w:w="116" w:type="dxa"/>
            <w:tcBorders>
              <w:top w:val="nil"/>
              <w:left w:val="nil"/>
              <w:bottom w:val="nil"/>
              <w:right w:val="nil"/>
            </w:tcBorders>
            <w:noWrap/>
            <w:vAlign w:val="bottom"/>
            <w:hideMark/>
          </w:tcPr>
          <w:p w14:paraId="73749D86"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41" w:type="dxa"/>
            <w:tcBorders>
              <w:top w:val="nil"/>
              <w:left w:val="nil"/>
              <w:bottom w:val="nil"/>
              <w:right w:val="nil"/>
            </w:tcBorders>
            <w:noWrap/>
            <w:vAlign w:val="bottom"/>
            <w:hideMark/>
          </w:tcPr>
          <w:p w14:paraId="5BCC05AE"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(57,537)</w:t>
            </w:r>
          </w:p>
        </w:tc>
      </w:tr>
      <w:tr w:rsidR="00E91426" w:rsidRPr="00E91426" w14:paraId="66FC4EDB" w14:textId="77777777" w:rsidTr="00E91426">
        <w:trPr>
          <w:trHeight w:val="283"/>
        </w:trPr>
        <w:tc>
          <w:tcPr>
            <w:tcW w:w="3547" w:type="dxa"/>
            <w:tcBorders>
              <w:top w:val="nil"/>
              <w:left w:val="nil"/>
              <w:bottom w:val="nil"/>
              <w:right w:val="nil"/>
            </w:tcBorders>
            <w:noWrap/>
            <w:vAlign w:val="bottom"/>
            <w:hideMark/>
          </w:tcPr>
          <w:p w14:paraId="2DEE42A3"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Borrowings</w:t>
            </w:r>
          </w:p>
        </w:tc>
        <w:tc>
          <w:tcPr>
            <w:tcW w:w="1140" w:type="dxa"/>
            <w:tcBorders>
              <w:top w:val="nil"/>
              <w:left w:val="nil"/>
              <w:bottom w:val="nil"/>
              <w:right w:val="nil"/>
            </w:tcBorders>
            <w:vAlign w:val="bottom"/>
            <w:hideMark/>
          </w:tcPr>
          <w:p w14:paraId="287F2F86"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1036" w:type="dxa"/>
            <w:tcBorders>
              <w:top w:val="nil"/>
              <w:left w:val="nil"/>
              <w:bottom w:val="nil"/>
              <w:right w:val="nil"/>
            </w:tcBorders>
            <w:vAlign w:val="bottom"/>
            <w:hideMark/>
          </w:tcPr>
          <w:p w14:paraId="324EE605" w14:textId="77777777" w:rsidR="00E91426" w:rsidRPr="00E91426" w:rsidRDefault="00E91426" w:rsidP="00E91426">
            <w:pPr>
              <w:widowControl/>
              <w:jc w:val="center"/>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20</w:t>
            </w:r>
          </w:p>
        </w:tc>
        <w:tc>
          <w:tcPr>
            <w:tcW w:w="1260" w:type="dxa"/>
            <w:tcBorders>
              <w:top w:val="nil"/>
              <w:left w:val="nil"/>
              <w:bottom w:val="nil"/>
              <w:right w:val="nil"/>
            </w:tcBorders>
            <w:noWrap/>
            <w:vAlign w:val="bottom"/>
            <w:hideMark/>
          </w:tcPr>
          <w:p w14:paraId="17DB2C74"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(329)</w:t>
            </w:r>
          </w:p>
        </w:tc>
        <w:tc>
          <w:tcPr>
            <w:tcW w:w="116" w:type="dxa"/>
            <w:tcBorders>
              <w:top w:val="nil"/>
              <w:left w:val="nil"/>
              <w:bottom w:val="nil"/>
              <w:right w:val="nil"/>
            </w:tcBorders>
            <w:noWrap/>
            <w:vAlign w:val="bottom"/>
            <w:hideMark/>
          </w:tcPr>
          <w:p w14:paraId="4E45216D"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41" w:type="dxa"/>
            <w:tcBorders>
              <w:top w:val="nil"/>
              <w:left w:val="nil"/>
              <w:bottom w:val="nil"/>
              <w:right w:val="nil"/>
            </w:tcBorders>
            <w:noWrap/>
            <w:vAlign w:val="bottom"/>
            <w:hideMark/>
          </w:tcPr>
          <w:p w14:paraId="4D2030C8"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(358)</w:t>
            </w:r>
          </w:p>
        </w:tc>
      </w:tr>
      <w:tr w:rsidR="00E91426" w:rsidRPr="00E91426" w14:paraId="2A05D5D2" w14:textId="77777777" w:rsidTr="00E91426">
        <w:trPr>
          <w:trHeight w:val="275"/>
        </w:trPr>
        <w:tc>
          <w:tcPr>
            <w:tcW w:w="3547" w:type="dxa"/>
            <w:tcBorders>
              <w:top w:val="nil"/>
              <w:left w:val="nil"/>
              <w:bottom w:val="nil"/>
              <w:right w:val="nil"/>
            </w:tcBorders>
            <w:noWrap/>
            <w:vAlign w:val="bottom"/>
            <w:hideMark/>
          </w:tcPr>
          <w:p w14:paraId="786A1E77"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Provisions</w:t>
            </w:r>
          </w:p>
        </w:tc>
        <w:tc>
          <w:tcPr>
            <w:tcW w:w="1140" w:type="dxa"/>
            <w:tcBorders>
              <w:top w:val="nil"/>
              <w:left w:val="nil"/>
              <w:bottom w:val="nil"/>
              <w:right w:val="nil"/>
            </w:tcBorders>
            <w:noWrap/>
            <w:vAlign w:val="bottom"/>
            <w:hideMark/>
          </w:tcPr>
          <w:p w14:paraId="1A1FC58D"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1036" w:type="dxa"/>
            <w:tcBorders>
              <w:top w:val="nil"/>
              <w:left w:val="nil"/>
              <w:bottom w:val="nil"/>
              <w:right w:val="nil"/>
            </w:tcBorders>
            <w:vAlign w:val="bottom"/>
            <w:hideMark/>
          </w:tcPr>
          <w:p w14:paraId="4FEA71B0" w14:textId="77777777" w:rsidR="00E91426" w:rsidRPr="00E91426" w:rsidRDefault="00E91426" w:rsidP="00E91426">
            <w:pPr>
              <w:widowControl/>
              <w:jc w:val="center"/>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21</w:t>
            </w:r>
          </w:p>
        </w:tc>
        <w:tc>
          <w:tcPr>
            <w:tcW w:w="1260" w:type="dxa"/>
            <w:tcBorders>
              <w:top w:val="nil"/>
              <w:left w:val="nil"/>
              <w:bottom w:val="nil"/>
              <w:right w:val="nil"/>
            </w:tcBorders>
            <w:noWrap/>
            <w:vAlign w:val="bottom"/>
            <w:hideMark/>
          </w:tcPr>
          <w:p w14:paraId="70184101"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(249)</w:t>
            </w:r>
          </w:p>
        </w:tc>
        <w:tc>
          <w:tcPr>
            <w:tcW w:w="116" w:type="dxa"/>
            <w:tcBorders>
              <w:top w:val="nil"/>
              <w:left w:val="nil"/>
              <w:bottom w:val="nil"/>
              <w:right w:val="nil"/>
            </w:tcBorders>
            <w:noWrap/>
            <w:vAlign w:val="bottom"/>
            <w:hideMark/>
          </w:tcPr>
          <w:p w14:paraId="6D82BBEC"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41" w:type="dxa"/>
            <w:tcBorders>
              <w:top w:val="nil"/>
              <w:left w:val="nil"/>
              <w:bottom w:val="nil"/>
              <w:right w:val="nil"/>
            </w:tcBorders>
            <w:noWrap/>
            <w:vAlign w:val="bottom"/>
            <w:hideMark/>
          </w:tcPr>
          <w:p w14:paraId="4B70309D"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(285)</w:t>
            </w:r>
          </w:p>
        </w:tc>
      </w:tr>
      <w:tr w:rsidR="00E91426" w:rsidRPr="00E91426" w14:paraId="41EA04B5" w14:textId="77777777" w:rsidTr="00E91426">
        <w:trPr>
          <w:trHeight w:val="283"/>
        </w:trPr>
        <w:tc>
          <w:tcPr>
            <w:tcW w:w="3547" w:type="dxa"/>
            <w:tcBorders>
              <w:top w:val="nil"/>
              <w:left w:val="nil"/>
              <w:bottom w:val="nil"/>
              <w:right w:val="nil"/>
            </w:tcBorders>
            <w:noWrap/>
            <w:vAlign w:val="bottom"/>
            <w:hideMark/>
          </w:tcPr>
          <w:p w14:paraId="3CE8AA83"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Other liabilities</w:t>
            </w:r>
          </w:p>
        </w:tc>
        <w:tc>
          <w:tcPr>
            <w:tcW w:w="1140" w:type="dxa"/>
            <w:tcBorders>
              <w:top w:val="nil"/>
              <w:left w:val="nil"/>
              <w:bottom w:val="nil"/>
              <w:right w:val="nil"/>
            </w:tcBorders>
            <w:vAlign w:val="bottom"/>
            <w:hideMark/>
          </w:tcPr>
          <w:p w14:paraId="44E23988"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1036" w:type="dxa"/>
            <w:tcBorders>
              <w:top w:val="nil"/>
              <w:left w:val="nil"/>
              <w:bottom w:val="nil"/>
              <w:right w:val="nil"/>
            </w:tcBorders>
            <w:vAlign w:val="bottom"/>
            <w:hideMark/>
          </w:tcPr>
          <w:p w14:paraId="35C5FD5C" w14:textId="77777777" w:rsidR="00E91426" w:rsidRPr="00E91426" w:rsidRDefault="00E91426" w:rsidP="00E91426">
            <w:pPr>
              <w:widowControl/>
              <w:jc w:val="center"/>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19</w:t>
            </w:r>
          </w:p>
        </w:tc>
        <w:tc>
          <w:tcPr>
            <w:tcW w:w="1260" w:type="dxa"/>
            <w:tcBorders>
              <w:top w:val="nil"/>
              <w:left w:val="nil"/>
              <w:bottom w:val="nil"/>
              <w:right w:val="nil"/>
            </w:tcBorders>
            <w:noWrap/>
            <w:vAlign w:val="bottom"/>
            <w:hideMark/>
          </w:tcPr>
          <w:p w14:paraId="07957BEE"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(852)</w:t>
            </w:r>
          </w:p>
        </w:tc>
        <w:tc>
          <w:tcPr>
            <w:tcW w:w="116" w:type="dxa"/>
            <w:tcBorders>
              <w:top w:val="nil"/>
              <w:left w:val="nil"/>
              <w:bottom w:val="nil"/>
              <w:right w:val="nil"/>
            </w:tcBorders>
            <w:noWrap/>
            <w:vAlign w:val="bottom"/>
            <w:hideMark/>
          </w:tcPr>
          <w:p w14:paraId="0CC01435"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41" w:type="dxa"/>
            <w:tcBorders>
              <w:top w:val="nil"/>
              <w:left w:val="nil"/>
              <w:bottom w:val="nil"/>
              <w:right w:val="nil"/>
            </w:tcBorders>
            <w:noWrap/>
            <w:vAlign w:val="bottom"/>
            <w:hideMark/>
          </w:tcPr>
          <w:p w14:paraId="3FD3F851"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(881)</w:t>
            </w:r>
          </w:p>
        </w:tc>
      </w:tr>
      <w:tr w:rsidR="00E91426" w:rsidRPr="00E91426" w14:paraId="382B9FFB" w14:textId="77777777" w:rsidTr="00E91426">
        <w:trPr>
          <w:trHeight w:val="283"/>
        </w:trPr>
        <w:tc>
          <w:tcPr>
            <w:tcW w:w="3547" w:type="dxa"/>
            <w:tcBorders>
              <w:top w:val="nil"/>
              <w:left w:val="nil"/>
              <w:bottom w:val="nil"/>
              <w:right w:val="nil"/>
            </w:tcBorders>
            <w:noWrap/>
            <w:vAlign w:val="bottom"/>
            <w:hideMark/>
          </w:tcPr>
          <w:p w14:paraId="49C35FF5"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Total current liabilities</w:t>
            </w:r>
          </w:p>
        </w:tc>
        <w:tc>
          <w:tcPr>
            <w:tcW w:w="1140" w:type="dxa"/>
            <w:tcBorders>
              <w:top w:val="nil"/>
              <w:left w:val="nil"/>
              <w:bottom w:val="nil"/>
              <w:right w:val="nil"/>
            </w:tcBorders>
            <w:noWrap/>
            <w:vAlign w:val="bottom"/>
            <w:hideMark/>
          </w:tcPr>
          <w:p w14:paraId="6745096D"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1036" w:type="dxa"/>
            <w:tcBorders>
              <w:top w:val="nil"/>
              <w:left w:val="nil"/>
              <w:bottom w:val="nil"/>
              <w:right w:val="nil"/>
            </w:tcBorders>
            <w:vAlign w:val="bottom"/>
            <w:hideMark/>
          </w:tcPr>
          <w:p w14:paraId="5E87891E" w14:textId="77777777" w:rsidR="00E91426" w:rsidRPr="00E91426" w:rsidRDefault="00E91426" w:rsidP="00E91426">
            <w:pPr>
              <w:widowControl/>
              <w:rPr>
                <w:rFonts w:ascii="Times New Roman" w:eastAsia="Times New Roman" w:hAnsi="Times New Roman" w:cs="Times New Roman"/>
                <w:sz w:val="20"/>
                <w:szCs w:val="20"/>
                <w:lang w:val="en-GB" w:eastAsia="en-GB"/>
              </w:rPr>
            </w:pPr>
          </w:p>
        </w:tc>
        <w:tc>
          <w:tcPr>
            <w:tcW w:w="1260" w:type="dxa"/>
            <w:tcBorders>
              <w:top w:val="single" w:sz="4" w:space="0" w:color="auto"/>
              <w:left w:val="nil"/>
              <w:bottom w:val="single" w:sz="4" w:space="0" w:color="auto"/>
              <w:right w:val="nil"/>
            </w:tcBorders>
            <w:noWrap/>
            <w:vAlign w:val="bottom"/>
            <w:hideMark/>
          </w:tcPr>
          <w:p w14:paraId="10A41AAB"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(62,449)</w:t>
            </w:r>
          </w:p>
        </w:tc>
        <w:tc>
          <w:tcPr>
            <w:tcW w:w="116" w:type="dxa"/>
            <w:tcBorders>
              <w:top w:val="nil"/>
              <w:left w:val="nil"/>
              <w:bottom w:val="nil"/>
              <w:right w:val="nil"/>
            </w:tcBorders>
            <w:noWrap/>
            <w:vAlign w:val="bottom"/>
            <w:hideMark/>
          </w:tcPr>
          <w:p w14:paraId="029FD2A3"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241" w:type="dxa"/>
            <w:tcBorders>
              <w:top w:val="single" w:sz="4" w:space="0" w:color="auto"/>
              <w:left w:val="nil"/>
              <w:bottom w:val="single" w:sz="4" w:space="0" w:color="auto"/>
              <w:right w:val="nil"/>
            </w:tcBorders>
            <w:noWrap/>
            <w:vAlign w:val="bottom"/>
            <w:hideMark/>
          </w:tcPr>
          <w:p w14:paraId="486079C0"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(59,061)</w:t>
            </w:r>
          </w:p>
        </w:tc>
      </w:tr>
      <w:tr w:rsidR="00E91426" w:rsidRPr="00E91426" w14:paraId="0E11F266" w14:textId="77777777" w:rsidTr="00E91426">
        <w:trPr>
          <w:trHeight w:val="283"/>
        </w:trPr>
        <w:tc>
          <w:tcPr>
            <w:tcW w:w="3547" w:type="dxa"/>
            <w:tcBorders>
              <w:top w:val="nil"/>
              <w:left w:val="nil"/>
              <w:bottom w:val="nil"/>
              <w:right w:val="nil"/>
            </w:tcBorders>
            <w:noWrap/>
            <w:vAlign w:val="bottom"/>
            <w:hideMark/>
          </w:tcPr>
          <w:p w14:paraId="7CA539DF"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Total assets </w:t>
            </w:r>
            <w:proofErr w:type="gramStart"/>
            <w:r w:rsidRPr="00E91426">
              <w:rPr>
                <w:rFonts w:ascii="Arial" w:eastAsia="Times New Roman" w:hAnsi="Arial" w:cs="Arial"/>
                <w:b/>
                <w:bCs/>
                <w:color w:val="000000"/>
                <w:sz w:val="20"/>
                <w:szCs w:val="20"/>
                <w:lang w:val="en-GB" w:eastAsia="en-GB"/>
              </w:rPr>
              <w:t>less</w:t>
            </w:r>
            <w:proofErr w:type="gramEnd"/>
            <w:r w:rsidRPr="00E91426">
              <w:rPr>
                <w:rFonts w:ascii="Arial" w:eastAsia="Times New Roman" w:hAnsi="Arial" w:cs="Arial"/>
                <w:b/>
                <w:bCs/>
                <w:color w:val="000000"/>
                <w:sz w:val="20"/>
                <w:szCs w:val="20"/>
                <w:lang w:val="en-GB" w:eastAsia="en-GB"/>
              </w:rPr>
              <w:t xml:space="preserve"> current liabilities</w:t>
            </w:r>
          </w:p>
        </w:tc>
        <w:tc>
          <w:tcPr>
            <w:tcW w:w="1140" w:type="dxa"/>
            <w:tcBorders>
              <w:top w:val="nil"/>
              <w:left w:val="nil"/>
              <w:bottom w:val="nil"/>
              <w:right w:val="nil"/>
            </w:tcBorders>
            <w:noWrap/>
            <w:vAlign w:val="bottom"/>
            <w:hideMark/>
          </w:tcPr>
          <w:p w14:paraId="69AA0A1C"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1036" w:type="dxa"/>
            <w:tcBorders>
              <w:top w:val="nil"/>
              <w:left w:val="nil"/>
              <w:bottom w:val="nil"/>
              <w:right w:val="nil"/>
            </w:tcBorders>
            <w:vAlign w:val="bottom"/>
            <w:hideMark/>
          </w:tcPr>
          <w:p w14:paraId="3B52B5CE" w14:textId="77777777" w:rsidR="00E91426" w:rsidRPr="00E91426" w:rsidRDefault="00E91426" w:rsidP="00E91426">
            <w:pPr>
              <w:widowControl/>
              <w:rPr>
                <w:rFonts w:ascii="Times New Roman" w:eastAsia="Times New Roman" w:hAnsi="Times New Roman" w:cs="Times New Roman"/>
                <w:sz w:val="20"/>
                <w:szCs w:val="20"/>
                <w:lang w:val="en-GB" w:eastAsia="en-GB"/>
              </w:rPr>
            </w:pPr>
          </w:p>
        </w:tc>
        <w:tc>
          <w:tcPr>
            <w:tcW w:w="1260" w:type="dxa"/>
            <w:tcBorders>
              <w:top w:val="nil"/>
              <w:left w:val="nil"/>
              <w:bottom w:val="single" w:sz="4" w:space="0" w:color="auto"/>
              <w:right w:val="nil"/>
            </w:tcBorders>
            <w:noWrap/>
            <w:vAlign w:val="bottom"/>
            <w:hideMark/>
          </w:tcPr>
          <w:p w14:paraId="6F156D4F"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286,357</w:t>
            </w:r>
          </w:p>
        </w:tc>
        <w:tc>
          <w:tcPr>
            <w:tcW w:w="116" w:type="dxa"/>
            <w:tcBorders>
              <w:top w:val="nil"/>
              <w:left w:val="nil"/>
              <w:bottom w:val="nil"/>
              <w:right w:val="nil"/>
            </w:tcBorders>
            <w:noWrap/>
            <w:vAlign w:val="bottom"/>
            <w:hideMark/>
          </w:tcPr>
          <w:p w14:paraId="240F68DC"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241" w:type="dxa"/>
            <w:tcBorders>
              <w:top w:val="nil"/>
              <w:left w:val="nil"/>
              <w:bottom w:val="single" w:sz="4" w:space="0" w:color="auto"/>
              <w:right w:val="nil"/>
            </w:tcBorders>
            <w:noWrap/>
            <w:vAlign w:val="bottom"/>
            <w:hideMark/>
          </w:tcPr>
          <w:p w14:paraId="7E368ED1"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279,997</w:t>
            </w:r>
          </w:p>
        </w:tc>
      </w:tr>
      <w:tr w:rsidR="00E91426" w:rsidRPr="00E91426" w14:paraId="103A41DC" w14:textId="77777777" w:rsidTr="00E91426">
        <w:trPr>
          <w:trHeight w:val="283"/>
        </w:trPr>
        <w:tc>
          <w:tcPr>
            <w:tcW w:w="3547" w:type="dxa"/>
            <w:tcBorders>
              <w:top w:val="nil"/>
              <w:left w:val="nil"/>
              <w:bottom w:val="nil"/>
              <w:right w:val="nil"/>
            </w:tcBorders>
            <w:noWrap/>
            <w:vAlign w:val="bottom"/>
            <w:hideMark/>
          </w:tcPr>
          <w:p w14:paraId="618CD9F1"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Non-current liabilities</w:t>
            </w:r>
          </w:p>
        </w:tc>
        <w:tc>
          <w:tcPr>
            <w:tcW w:w="1140" w:type="dxa"/>
            <w:tcBorders>
              <w:top w:val="nil"/>
              <w:left w:val="nil"/>
              <w:bottom w:val="nil"/>
              <w:right w:val="nil"/>
            </w:tcBorders>
            <w:noWrap/>
            <w:vAlign w:val="bottom"/>
            <w:hideMark/>
          </w:tcPr>
          <w:p w14:paraId="7391D6CD"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1036" w:type="dxa"/>
            <w:tcBorders>
              <w:top w:val="nil"/>
              <w:left w:val="nil"/>
              <w:bottom w:val="nil"/>
              <w:right w:val="nil"/>
            </w:tcBorders>
            <w:vAlign w:val="bottom"/>
            <w:hideMark/>
          </w:tcPr>
          <w:p w14:paraId="3CEA7806" w14:textId="77777777" w:rsidR="00E91426" w:rsidRPr="00E91426" w:rsidRDefault="00E91426" w:rsidP="00E91426">
            <w:pPr>
              <w:widowControl/>
              <w:rPr>
                <w:rFonts w:ascii="Times New Roman" w:eastAsia="Times New Roman" w:hAnsi="Times New Roman" w:cs="Times New Roman"/>
                <w:sz w:val="20"/>
                <w:szCs w:val="20"/>
                <w:lang w:val="en-GB" w:eastAsia="en-GB"/>
              </w:rPr>
            </w:pPr>
          </w:p>
        </w:tc>
        <w:tc>
          <w:tcPr>
            <w:tcW w:w="1260" w:type="dxa"/>
            <w:tcBorders>
              <w:top w:val="nil"/>
              <w:left w:val="nil"/>
              <w:bottom w:val="nil"/>
              <w:right w:val="nil"/>
            </w:tcBorders>
            <w:noWrap/>
            <w:vAlign w:val="bottom"/>
            <w:hideMark/>
          </w:tcPr>
          <w:p w14:paraId="0A0B5A45" w14:textId="77777777" w:rsidR="00E91426" w:rsidRPr="00E91426" w:rsidRDefault="00E91426" w:rsidP="00E91426">
            <w:pPr>
              <w:widowControl/>
              <w:jc w:val="center"/>
              <w:rPr>
                <w:rFonts w:ascii="Times New Roman" w:eastAsia="Times New Roman" w:hAnsi="Times New Roman" w:cs="Times New Roman"/>
                <w:sz w:val="20"/>
                <w:szCs w:val="20"/>
                <w:lang w:val="en-GB" w:eastAsia="en-GB"/>
              </w:rPr>
            </w:pPr>
          </w:p>
        </w:tc>
        <w:tc>
          <w:tcPr>
            <w:tcW w:w="116" w:type="dxa"/>
            <w:tcBorders>
              <w:top w:val="nil"/>
              <w:left w:val="nil"/>
              <w:bottom w:val="nil"/>
              <w:right w:val="nil"/>
            </w:tcBorders>
            <w:noWrap/>
            <w:vAlign w:val="bottom"/>
            <w:hideMark/>
          </w:tcPr>
          <w:p w14:paraId="7092C59B" w14:textId="77777777" w:rsidR="00E91426" w:rsidRPr="00E91426" w:rsidRDefault="00E91426" w:rsidP="00E91426">
            <w:pPr>
              <w:widowControl/>
              <w:rPr>
                <w:rFonts w:ascii="Times New Roman" w:eastAsia="Times New Roman" w:hAnsi="Times New Roman" w:cs="Times New Roman"/>
                <w:sz w:val="20"/>
                <w:szCs w:val="20"/>
                <w:lang w:val="en-GB" w:eastAsia="en-GB"/>
              </w:rPr>
            </w:pPr>
          </w:p>
        </w:tc>
        <w:tc>
          <w:tcPr>
            <w:tcW w:w="1241" w:type="dxa"/>
            <w:tcBorders>
              <w:top w:val="nil"/>
              <w:left w:val="nil"/>
              <w:bottom w:val="nil"/>
              <w:right w:val="nil"/>
            </w:tcBorders>
            <w:noWrap/>
            <w:vAlign w:val="bottom"/>
            <w:hideMark/>
          </w:tcPr>
          <w:p w14:paraId="49B3C285" w14:textId="77777777" w:rsidR="00E91426" w:rsidRPr="00E91426" w:rsidRDefault="00E91426" w:rsidP="00E91426">
            <w:pPr>
              <w:widowControl/>
              <w:jc w:val="right"/>
              <w:rPr>
                <w:rFonts w:ascii="Times New Roman" w:eastAsia="Times New Roman" w:hAnsi="Times New Roman" w:cs="Times New Roman"/>
                <w:sz w:val="20"/>
                <w:szCs w:val="20"/>
                <w:lang w:val="en-GB" w:eastAsia="en-GB"/>
              </w:rPr>
            </w:pPr>
          </w:p>
        </w:tc>
      </w:tr>
      <w:tr w:rsidR="00E91426" w:rsidRPr="00E91426" w14:paraId="11383C8E" w14:textId="77777777" w:rsidTr="00E91426">
        <w:trPr>
          <w:trHeight w:val="283"/>
        </w:trPr>
        <w:tc>
          <w:tcPr>
            <w:tcW w:w="3547" w:type="dxa"/>
            <w:tcBorders>
              <w:top w:val="nil"/>
              <w:left w:val="nil"/>
              <w:bottom w:val="nil"/>
              <w:right w:val="nil"/>
            </w:tcBorders>
            <w:noWrap/>
            <w:vAlign w:val="bottom"/>
            <w:hideMark/>
          </w:tcPr>
          <w:p w14:paraId="25FD4AB9"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Borrowings</w:t>
            </w:r>
          </w:p>
        </w:tc>
        <w:tc>
          <w:tcPr>
            <w:tcW w:w="1140" w:type="dxa"/>
            <w:tcBorders>
              <w:top w:val="nil"/>
              <w:left w:val="nil"/>
              <w:bottom w:val="nil"/>
              <w:right w:val="nil"/>
            </w:tcBorders>
            <w:noWrap/>
            <w:vAlign w:val="bottom"/>
            <w:hideMark/>
          </w:tcPr>
          <w:p w14:paraId="01285EB9"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1036" w:type="dxa"/>
            <w:tcBorders>
              <w:top w:val="nil"/>
              <w:left w:val="nil"/>
              <w:bottom w:val="nil"/>
              <w:right w:val="nil"/>
            </w:tcBorders>
            <w:vAlign w:val="bottom"/>
            <w:hideMark/>
          </w:tcPr>
          <w:p w14:paraId="04C68593" w14:textId="77777777" w:rsidR="00E91426" w:rsidRPr="00E91426" w:rsidRDefault="00E91426" w:rsidP="00E91426">
            <w:pPr>
              <w:widowControl/>
              <w:jc w:val="center"/>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20</w:t>
            </w:r>
          </w:p>
        </w:tc>
        <w:tc>
          <w:tcPr>
            <w:tcW w:w="1260" w:type="dxa"/>
            <w:tcBorders>
              <w:top w:val="nil"/>
              <w:left w:val="nil"/>
              <w:bottom w:val="nil"/>
              <w:right w:val="nil"/>
            </w:tcBorders>
            <w:noWrap/>
            <w:vAlign w:val="bottom"/>
            <w:hideMark/>
          </w:tcPr>
          <w:p w14:paraId="4EFF0BE1"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(2,717)</w:t>
            </w:r>
          </w:p>
        </w:tc>
        <w:tc>
          <w:tcPr>
            <w:tcW w:w="116" w:type="dxa"/>
            <w:tcBorders>
              <w:top w:val="nil"/>
              <w:left w:val="nil"/>
              <w:bottom w:val="nil"/>
              <w:right w:val="nil"/>
            </w:tcBorders>
            <w:noWrap/>
            <w:vAlign w:val="bottom"/>
            <w:hideMark/>
          </w:tcPr>
          <w:p w14:paraId="297793E9"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41" w:type="dxa"/>
            <w:tcBorders>
              <w:top w:val="nil"/>
              <w:left w:val="nil"/>
              <w:bottom w:val="nil"/>
              <w:right w:val="nil"/>
            </w:tcBorders>
            <w:noWrap/>
            <w:vAlign w:val="bottom"/>
            <w:hideMark/>
          </w:tcPr>
          <w:p w14:paraId="6B720BB6"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(3,072)</w:t>
            </w:r>
          </w:p>
        </w:tc>
      </w:tr>
      <w:tr w:rsidR="00E91426" w:rsidRPr="00E91426" w14:paraId="13F1A371" w14:textId="77777777" w:rsidTr="00E91426">
        <w:trPr>
          <w:trHeight w:val="283"/>
        </w:trPr>
        <w:tc>
          <w:tcPr>
            <w:tcW w:w="3547" w:type="dxa"/>
            <w:tcBorders>
              <w:top w:val="nil"/>
              <w:left w:val="nil"/>
              <w:bottom w:val="nil"/>
              <w:right w:val="nil"/>
            </w:tcBorders>
            <w:noWrap/>
            <w:vAlign w:val="bottom"/>
            <w:hideMark/>
          </w:tcPr>
          <w:p w14:paraId="3577DBBE"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Provisions</w:t>
            </w:r>
          </w:p>
        </w:tc>
        <w:tc>
          <w:tcPr>
            <w:tcW w:w="1140" w:type="dxa"/>
            <w:tcBorders>
              <w:top w:val="nil"/>
              <w:left w:val="nil"/>
              <w:bottom w:val="nil"/>
              <w:right w:val="nil"/>
            </w:tcBorders>
            <w:noWrap/>
            <w:vAlign w:val="bottom"/>
            <w:hideMark/>
          </w:tcPr>
          <w:p w14:paraId="5235DECA"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1036" w:type="dxa"/>
            <w:tcBorders>
              <w:top w:val="nil"/>
              <w:left w:val="nil"/>
              <w:bottom w:val="nil"/>
              <w:right w:val="nil"/>
            </w:tcBorders>
            <w:vAlign w:val="bottom"/>
            <w:hideMark/>
          </w:tcPr>
          <w:p w14:paraId="77B0D242" w14:textId="77777777" w:rsidR="00E91426" w:rsidRPr="00E91426" w:rsidRDefault="00E91426" w:rsidP="00E91426">
            <w:pPr>
              <w:widowControl/>
              <w:jc w:val="center"/>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21</w:t>
            </w:r>
          </w:p>
        </w:tc>
        <w:tc>
          <w:tcPr>
            <w:tcW w:w="1260" w:type="dxa"/>
            <w:tcBorders>
              <w:top w:val="nil"/>
              <w:left w:val="nil"/>
              <w:bottom w:val="nil"/>
              <w:right w:val="nil"/>
            </w:tcBorders>
            <w:noWrap/>
            <w:vAlign w:val="bottom"/>
            <w:hideMark/>
          </w:tcPr>
          <w:p w14:paraId="557F16E0"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(1,318)</w:t>
            </w:r>
          </w:p>
        </w:tc>
        <w:tc>
          <w:tcPr>
            <w:tcW w:w="116" w:type="dxa"/>
            <w:tcBorders>
              <w:top w:val="nil"/>
              <w:left w:val="nil"/>
              <w:bottom w:val="nil"/>
              <w:right w:val="nil"/>
            </w:tcBorders>
            <w:noWrap/>
            <w:vAlign w:val="bottom"/>
            <w:hideMark/>
          </w:tcPr>
          <w:p w14:paraId="079D749B"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41" w:type="dxa"/>
            <w:tcBorders>
              <w:top w:val="nil"/>
              <w:left w:val="nil"/>
              <w:bottom w:val="nil"/>
              <w:right w:val="nil"/>
            </w:tcBorders>
            <w:noWrap/>
            <w:vAlign w:val="bottom"/>
            <w:hideMark/>
          </w:tcPr>
          <w:p w14:paraId="3E8F20FF"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(1,307)</w:t>
            </w:r>
          </w:p>
        </w:tc>
      </w:tr>
      <w:tr w:rsidR="00E91426" w:rsidRPr="00E91426" w14:paraId="42D82EAF" w14:textId="77777777" w:rsidTr="00E91426">
        <w:trPr>
          <w:trHeight w:val="283"/>
        </w:trPr>
        <w:tc>
          <w:tcPr>
            <w:tcW w:w="3547" w:type="dxa"/>
            <w:tcBorders>
              <w:top w:val="nil"/>
              <w:left w:val="nil"/>
              <w:bottom w:val="nil"/>
              <w:right w:val="nil"/>
            </w:tcBorders>
            <w:noWrap/>
            <w:vAlign w:val="bottom"/>
            <w:hideMark/>
          </w:tcPr>
          <w:p w14:paraId="3817E07F"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Total non-current liabilities</w:t>
            </w:r>
          </w:p>
        </w:tc>
        <w:tc>
          <w:tcPr>
            <w:tcW w:w="1140" w:type="dxa"/>
            <w:tcBorders>
              <w:top w:val="nil"/>
              <w:left w:val="nil"/>
              <w:bottom w:val="nil"/>
              <w:right w:val="nil"/>
            </w:tcBorders>
            <w:noWrap/>
            <w:vAlign w:val="bottom"/>
            <w:hideMark/>
          </w:tcPr>
          <w:p w14:paraId="070C35B1"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1036" w:type="dxa"/>
            <w:tcBorders>
              <w:top w:val="nil"/>
              <w:left w:val="nil"/>
              <w:bottom w:val="nil"/>
              <w:right w:val="nil"/>
            </w:tcBorders>
            <w:vAlign w:val="bottom"/>
            <w:hideMark/>
          </w:tcPr>
          <w:p w14:paraId="7A747AB3" w14:textId="77777777" w:rsidR="00E91426" w:rsidRPr="00E91426" w:rsidRDefault="00E91426" w:rsidP="00E91426">
            <w:pPr>
              <w:widowControl/>
              <w:rPr>
                <w:rFonts w:ascii="Times New Roman" w:eastAsia="Times New Roman" w:hAnsi="Times New Roman" w:cs="Times New Roman"/>
                <w:sz w:val="20"/>
                <w:szCs w:val="20"/>
                <w:lang w:val="en-GB" w:eastAsia="en-GB"/>
              </w:rPr>
            </w:pPr>
          </w:p>
        </w:tc>
        <w:tc>
          <w:tcPr>
            <w:tcW w:w="1260" w:type="dxa"/>
            <w:tcBorders>
              <w:top w:val="single" w:sz="4" w:space="0" w:color="auto"/>
              <w:left w:val="nil"/>
              <w:bottom w:val="single" w:sz="4" w:space="0" w:color="auto"/>
              <w:right w:val="nil"/>
            </w:tcBorders>
            <w:noWrap/>
            <w:vAlign w:val="bottom"/>
            <w:hideMark/>
          </w:tcPr>
          <w:p w14:paraId="61941618"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(4,035)</w:t>
            </w:r>
          </w:p>
        </w:tc>
        <w:tc>
          <w:tcPr>
            <w:tcW w:w="116" w:type="dxa"/>
            <w:tcBorders>
              <w:top w:val="nil"/>
              <w:left w:val="nil"/>
              <w:bottom w:val="nil"/>
              <w:right w:val="nil"/>
            </w:tcBorders>
            <w:noWrap/>
            <w:vAlign w:val="bottom"/>
            <w:hideMark/>
          </w:tcPr>
          <w:p w14:paraId="0920744F"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241" w:type="dxa"/>
            <w:tcBorders>
              <w:top w:val="single" w:sz="4" w:space="0" w:color="auto"/>
              <w:left w:val="nil"/>
              <w:bottom w:val="single" w:sz="4" w:space="0" w:color="auto"/>
              <w:right w:val="nil"/>
            </w:tcBorders>
            <w:noWrap/>
            <w:vAlign w:val="bottom"/>
            <w:hideMark/>
          </w:tcPr>
          <w:p w14:paraId="3D1AA928"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(4,379)</w:t>
            </w:r>
          </w:p>
        </w:tc>
      </w:tr>
      <w:tr w:rsidR="00E91426" w:rsidRPr="00E91426" w14:paraId="05BDF9A5" w14:textId="77777777" w:rsidTr="00E91426">
        <w:trPr>
          <w:trHeight w:val="283"/>
        </w:trPr>
        <w:tc>
          <w:tcPr>
            <w:tcW w:w="3547" w:type="dxa"/>
            <w:tcBorders>
              <w:top w:val="nil"/>
              <w:left w:val="nil"/>
              <w:bottom w:val="nil"/>
              <w:right w:val="nil"/>
            </w:tcBorders>
            <w:noWrap/>
            <w:vAlign w:val="bottom"/>
            <w:hideMark/>
          </w:tcPr>
          <w:p w14:paraId="7A83D087"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Total assets employed</w:t>
            </w:r>
          </w:p>
        </w:tc>
        <w:tc>
          <w:tcPr>
            <w:tcW w:w="1140" w:type="dxa"/>
            <w:tcBorders>
              <w:top w:val="nil"/>
              <w:left w:val="nil"/>
              <w:bottom w:val="nil"/>
              <w:right w:val="nil"/>
            </w:tcBorders>
            <w:noWrap/>
            <w:vAlign w:val="bottom"/>
            <w:hideMark/>
          </w:tcPr>
          <w:p w14:paraId="2DE3CCE5"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1036" w:type="dxa"/>
            <w:tcBorders>
              <w:top w:val="nil"/>
              <w:left w:val="nil"/>
              <w:bottom w:val="nil"/>
              <w:right w:val="nil"/>
            </w:tcBorders>
            <w:vAlign w:val="bottom"/>
            <w:hideMark/>
          </w:tcPr>
          <w:p w14:paraId="17383ECB" w14:textId="77777777" w:rsidR="00E91426" w:rsidRPr="00E91426" w:rsidRDefault="00E91426" w:rsidP="00E91426">
            <w:pPr>
              <w:widowControl/>
              <w:rPr>
                <w:rFonts w:ascii="Times New Roman" w:eastAsia="Times New Roman" w:hAnsi="Times New Roman" w:cs="Times New Roman"/>
                <w:sz w:val="20"/>
                <w:szCs w:val="20"/>
                <w:lang w:val="en-GB" w:eastAsia="en-GB"/>
              </w:rPr>
            </w:pPr>
          </w:p>
        </w:tc>
        <w:tc>
          <w:tcPr>
            <w:tcW w:w="1260" w:type="dxa"/>
            <w:tcBorders>
              <w:top w:val="nil"/>
              <w:left w:val="nil"/>
              <w:bottom w:val="double" w:sz="6" w:space="0" w:color="auto"/>
              <w:right w:val="nil"/>
            </w:tcBorders>
            <w:noWrap/>
            <w:vAlign w:val="bottom"/>
            <w:hideMark/>
          </w:tcPr>
          <w:p w14:paraId="63CD9DCD"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282,322</w:t>
            </w:r>
          </w:p>
        </w:tc>
        <w:tc>
          <w:tcPr>
            <w:tcW w:w="116" w:type="dxa"/>
            <w:tcBorders>
              <w:top w:val="nil"/>
              <w:left w:val="nil"/>
              <w:bottom w:val="nil"/>
              <w:right w:val="nil"/>
            </w:tcBorders>
            <w:noWrap/>
            <w:vAlign w:val="bottom"/>
            <w:hideMark/>
          </w:tcPr>
          <w:p w14:paraId="622BBA2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241" w:type="dxa"/>
            <w:tcBorders>
              <w:top w:val="nil"/>
              <w:left w:val="nil"/>
              <w:bottom w:val="double" w:sz="6" w:space="0" w:color="auto"/>
              <w:right w:val="nil"/>
            </w:tcBorders>
            <w:noWrap/>
            <w:vAlign w:val="bottom"/>
            <w:hideMark/>
          </w:tcPr>
          <w:p w14:paraId="4292687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275,618</w:t>
            </w:r>
          </w:p>
        </w:tc>
      </w:tr>
      <w:tr w:rsidR="00E91426" w:rsidRPr="00E91426" w14:paraId="2FCDBE9C" w14:textId="77777777" w:rsidTr="00E91426">
        <w:trPr>
          <w:trHeight w:val="170"/>
        </w:trPr>
        <w:tc>
          <w:tcPr>
            <w:tcW w:w="3547" w:type="dxa"/>
            <w:tcBorders>
              <w:top w:val="nil"/>
              <w:left w:val="nil"/>
              <w:bottom w:val="nil"/>
              <w:right w:val="nil"/>
            </w:tcBorders>
            <w:noWrap/>
            <w:vAlign w:val="bottom"/>
            <w:hideMark/>
          </w:tcPr>
          <w:p w14:paraId="641ED7B3"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140" w:type="dxa"/>
            <w:tcBorders>
              <w:top w:val="nil"/>
              <w:left w:val="nil"/>
              <w:bottom w:val="nil"/>
              <w:right w:val="nil"/>
            </w:tcBorders>
            <w:vAlign w:val="bottom"/>
            <w:hideMark/>
          </w:tcPr>
          <w:p w14:paraId="0E45E70A" w14:textId="77777777" w:rsidR="00E91426" w:rsidRPr="00E91426" w:rsidRDefault="00E91426" w:rsidP="00E91426">
            <w:pPr>
              <w:widowControl/>
              <w:rPr>
                <w:rFonts w:ascii="Times New Roman" w:eastAsia="Times New Roman" w:hAnsi="Times New Roman" w:cs="Times New Roman"/>
                <w:sz w:val="20"/>
                <w:szCs w:val="20"/>
                <w:lang w:val="en-GB" w:eastAsia="en-GB"/>
              </w:rPr>
            </w:pPr>
          </w:p>
        </w:tc>
        <w:tc>
          <w:tcPr>
            <w:tcW w:w="1036" w:type="dxa"/>
            <w:tcBorders>
              <w:top w:val="nil"/>
              <w:left w:val="nil"/>
              <w:bottom w:val="nil"/>
              <w:right w:val="nil"/>
            </w:tcBorders>
            <w:vAlign w:val="bottom"/>
            <w:hideMark/>
          </w:tcPr>
          <w:p w14:paraId="2ABD2B86" w14:textId="77777777" w:rsidR="00E91426" w:rsidRPr="00E91426" w:rsidRDefault="00E91426" w:rsidP="00E91426">
            <w:pPr>
              <w:widowControl/>
              <w:rPr>
                <w:rFonts w:ascii="Times New Roman" w:eastAsia="Times New Roman" w:hAnsi="Times New Roman" w:cs="Times New Roman"/>
                <w:sz w:val="20"/>
                <w:szCs w:val="20"/>
                <w:lang w:val="en-GB" w:eastAsia="en-GB"/>
              </w:rPr>
            </w:pPr>
          </w:p>
        </w:tc>
        <w:tc>
          <w:tcPr>
            <w:tcW w:w="1260" w:type="dxa"/>
            <w:tcBorders>
              <w:top w:val="nil"/>
              <w:left w:val="nil"/>
              <w:bottom w:val="nil"/>
              <w:right w:val="nil"/>
            </w:tcBorders>
            <w:noWrap/>
            <w:vAlign w:val="bottom"/>
            <w:hideMark/>
          </w:tcPr>
          <w:p w14:paraId="363B72B2" w14:textId="77777777" w:rsidR="00E91426" w:rsidRPr="00E91426" w:rsidRDefault="00E91426" w:rsidP="00E91426">
            <w:pPr>
              <w:widowControl/>
              <w:jc w:val="center"/>
              <w:rPr>
                <w:rFonts w:ascii="Times New Roman" w:eastAsia="Times New Roman" w:hAnsi="Times New Roman" w:cs="Times New Roman"/>
                <w:sz w:val="20"/>
                <w:szCs w:val="20"/>
                <w:lang w:val="en-GB" w:eastAsia="en-GB"/>
              </w:rPr>
            </w:pPr>
          </w:p>
        </w:tc>
        <w:tc>
          <w:tcPr>
            <w:tcW w:w="116" w:type="dxa"/>
            <w:tcBorders>
              <w:top w:val="nil"/>
              <w:left w:val="nil"/>
              <w:bottom w:val="nil"/>
              <w:right w:val="nil"/>
            </w:tcBorders>
            <w:noWrap/>
            <w:vAlign w:val="bottom"/>
            <w:hideMark/>
          </w:tcPr>
          <w:p w14:paraId="21ABE74A" w14:textId="77777777" w:rsidR="00E91426" w:rsidRPr="00E91426" w:rsidRDefault="00E91426" w:rsidP="00E91426">
            <w:pPr>
              <w:widowControl/>
              <w:rPr>
                <w:rFonts w:ascii="Times New Roman" w:eastAsia="Times New Roman" w:hAnsi="Times New Roman" w:cs="Times New Roman"/>
                <w:sz w:val="20"/>
                <w:szCs w:val="20"/>
                <w:lang w:val="en-GB" w:eastAsia="en-GB"/>
              </w:rPr>
            </w:pPr>
          </w:p>
        </w:tc>
        <w:tc>
          <w:tcPr>
            <w:tcW w:w="1241" w:type="dxa"/>
            <w:tcBorders>
              <w:top w:val="nil"/>
              <w:left w:val="nil"/>
              <w:bottom w:val="nil"/>
              <w:right w:val="nil"/>
            </w:tcBorders>
            <w:noWrap/>
            <w:vAlign w:val="bottom"/>
            <w:hideMark/>
          </w:tcPr>
          <w:p w14:paraId="5AD4C671" w14:textId="77777777" w:rsidR="00E91426" w:rsidRPr="00E91426" w:rsidRDefault="00E91426" w:rsidP="00E91426">
            <w:pPr>
              <w:widowControl/>
              <w:jc w:val="right"/>
              <w:rPr>
                <w:rFonts w:ascii="Times New Roman" w:eastAsia="Times New Roman" w:hAnsi="Times New Roman" w:cs="Times New Roman"/>
                <w:sz w:val="20"/>
                <w:szCs w:val="20"/>
                <w:lang w:val="en-GB" w:eastAsia="en-GB"/>
              </w:rPr>
            </w:pPr>
          </w:p>
        </w:tc>
      </w:tr>
      <w:tr w:rsidR="00E91426" w:rsidRPr="00E91426" w14:paraId="654F59B4" w14:textId="77777777" w:rsidTr="00E91426">
        <w:trPr>
          <w:trHeight w:val="283"/>
        </w:trPr>
        <w:tc>
          <w:tcPr>
            <w:tcW w:w="3547" w:type="dxa"/>
            <w:tcBorders>
              <w:top w:val="nil"/>
              <w:left w:val="nil"/>
              <w:bottom w:val="nil"/>
              <w:right w:val="nil"/>
            </w:tcBorders>
            <w:noWrap/>
            <w:vAlign w:val="bottom"/>
            <w:hideMark/>
          </w:tcPr>
          <w:p w14:paraId="03162D2F"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Financed by </w:t>
            </w:r>
          </w:p>
        </w:tc>
        <w:tc>
          <w:tcPr>
            <w:tcW w:w="1140" w:type="dxa"/>
            <w:tcBorders>
              <w:top w:val="nil"/>
              <w:left w:val="nil"/>
              <w:bottom w:val="nil"/>
              <w:right w:val="nil"/>
            </w:tcBorders>
            <w:noWrap/>
            <w:vAlign w:val="bottom"/>
            <w:hideMark/>
          </w:tcPr>
          <w:p w14:paraId="04D014A2"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1036" w:type="dxa"/>
            <w:tcBorders>
              <w:top w:val="nil"/>
              <w:left w:val="nil"/>
              <w:bottom w:val="nil"/>
              <w:right w:val="nil"/>
            </w:tcBorders>
            <w:noWrap/>
            <w:vAlign w:val="bottom"/>
            <w:hideMark/>
          </w:tcPr>
          <w:p w14:paraId="3DB432F1" w14:textId="77777777" w:rsidR="00E91426" w:rsidRPr="00E91426" w:rsidRDefault="00E91426" w:rsidP="00E91426">
            <w:pPr>
              <w:widowControl/>
              <w:rPr>
                <w:rFonts w:ascii="Times New Roman" w:eastAsia="Times New Roman" w:hAnsi="Times New Roman" w:cs="Times New Roman"/>
                <w:sz w:val="20"/>
                <w:szCs w:val="20"/>
                <w:lang w:val="en-GB" w:eastAsia="en-GB"/>
              </w:rPr>
            </w:pPr>
          </w:p>
        </w:tc>
        <w:tc>
          <w:tcPr>
            <w:tcW w:w="1260" w:type="dxa"/>
            <w:tcBorders>
              <w:top w:val="nil"/>
              <w:left w:val="nil"/>
              <w:bottom w:val="nil"/>
              <w:right w:val="nil"/>
            </w:tcBorders>
            <w:noWrap/>
            <w:vAlign w:val="bottom"/>
            <w:hideMark/>
          </w:tcPr>
          <w:p w14:paraId="451318D7" w14:textId="77777777" w:rsidR="00E91426" w:rsidRPr="00E91426" w:rsidRDefault="00E91426" w:rsidP="00E91426">
            <w:pPr>
              <w:widowControl/>
              <w:jc w:val="center"/>
              <w:rPr>
                <w:rFonts w:ascii="Times New Roman" w:eastAsia="Times New Roman" w:hAnsi="Times New Roman" w:cs="Times New Roman"/>
                <w:sz w:val="20"/>
                <w:szCs w:val="20"/>
                <w:lang w:val="en-GB" w:eastAsia="en-GB"/>
              </w:rPr>
            </w:pPr>
          </w:p>
        </w:tc>
        <w:tc>
          <w:tcPr>
            <w:tcW w:w="116" w:type="dxa"/>
            <w:tcBorders>
              <w:top w:val="nil"/>
              <w:left w:val="nil"/>
              <w:bottom w:val="nil"/>
              <w:right w:val="nil"/>
            </w:tcBorders>
            <w:noWrap/>
            <w:vAlign w:val="bottom"/>
            <w:hideMark/>
          </w:tcPr>
          <w:p w14:paraId="08ACBDBC" w14:textId="77777777" w:rsidR="00E91426" w:rsidRPr="00E91426" w:rsidRDefault="00E91426" w:rsidP="00E91426">
            <w:pPr>
              <w:widowControl/>
              <w:rPr>
                <w:rFonts w:ascii="Times New Roman" w:eastAsia="Times New Roman" w:hAnsi="Times New Roman" w:cs="Times New Roman"/>
                <w:sz w:val="20"/>
                <w:szCs w:val="20"/>
                <w:lang w:val="en-GB" w:eastAsia="en-GB"/>
              </w:rPr>
            </w:pPr>
          </w:p>
        </w:tc>
        <w:tc>
          <w:tcPr>
            <w:tcW w:w="1241" w:type="dxa"/>
            <w:tcBorders>
              <w:top w:val="nil"/>
              <w:left w:val="nil"/>
              <w:bottom w:val="nil"/>
              <w:right w:val="nil"/>
            </w:tcBorders>
            <w:noWrap/>
            <w:vAlign w:val="bottom"/>
            <w:hideMark/>
          </w:tcPr>
          <w:p w14:paraId="65F78FAA" w14:textId="77777777" w:rsidR="00E91426" w:rsidRPr="00E91426" w:rsidRDefault="00E91426" w:rsidP="00E91426">
            <w:pPr>
              <w:widowControl/>
              <w:jc w:val="right"/>
              <w:rPr>
                <w:rFonts w:ascii="Times New Roman" w:eastAsia="Times New Roman" w:hAnsi="Times New Roman" w:cs="Times New Roman"/>
                <w:sz w:val="20"/>
                <w:szCs w:val="20"/>
                <w:lang w:val="en-GB" w:eastAsia="en-GB"/>
              </w:rPr>
            </w:pPr>
          </w:p>
        </w:tc>
      </w:tr>
      <w:tr w:rsidR="00E91426" w:rsidRPr="00E91426" w14:paraId="32576E59" w14:textId="77777777" w:rsidTr="00E91426">
        <w:trPr>
          <w:trHeight w:val="283"/>
        </w:trPr>
        <w:tc>
          <w:tcPr>
            <w:tcW w:w="3547" w:type="dxa"/>
            <w:tcBorders>
              <w:top w:val="nil"/>
              <w:left w:val="nil"/>
              <w:bottom w:val="nil"/>
              <w:right w:val="nil"/>
            </w:tcBorders>
            <w:noWrap/>
            <w:vAlign w:val="bottom"/>
            <w:hideMark/>
          </w:tcPr>
          <w:p w14:paraId="30312C47"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Public dividend capital</w:t>
            </w:r>
          </w:p>
        </w:tc>
        <w:tc>
          <w:tcPr>
            <w:tcW w:w="1140" w:type="dxa"/>
            <w:tcBorders>
              <w:top w:val="nil"/>
              <w:left w:val="nil"/>
              <w:bottom w:val="nil"/>
              <w:right w:val="nil"/>
            </w:tcBorders>
            <w:vAlign w:val="bottom"/>
            <w:hideMark/>
          </w:tcPr>
          <w:p w14:paraId="697C6A1F"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1036" w:type="dxa"/>
            <w:tcBorders>
              <w:top w:val="nil"/>
              <w:left w:val="nil"/>
              <w:bottom w:val="nil"/>
              <w:right w:val="nil"/>
            </w:tcBorders>
            <w:noWrap/>
            <w:vAlign w:val="bottom"/>
            <w:hideMark/>
          </w:tcPr>
          <w:p w14:paraId="6500084B" w14:textId="77777777" w:rsidR="00E91426" w:rsidRPr="00E91426" w:rsidRDefault="00E91426" w:rsidP="00E91426">
            <w:pPr>
              <w:widowControl/>
              <w:rPr>
                <w:rFonts w:ascii="Times New Roman" w:eastAsia="Times New Roman" w:hAnsi="Times New Roman" w:cs="Times New Roman"/>
                <w:sz w:val="20"/>
                <w:szCs w:val="20"/>
                <w:lang w:val="en-GB" w:eastAsia="en-GB"/>
              </w:rPr>
            </w:pPr>
          </w:p>
        </w:tc>
        <w:tc>
          <w:tcPr>
            <w:tcW w:w="1260" w:type="dxa"/>
            <w:tcBorders>
              <w:top w:val="nil"/>
              <w:left w:val="nil"/>
              <w:bottom w:val="nil"/>
              <w:right w:val="nil"/>
            </w:tcBorders>
            <w:noWrap/>
            <w:vAlign w:val="bottom"/>
            <w:hideMark/>
          </w:tcPr>
          <w:p w14:paraId="4D4B07B4"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511,242</w:t>
            </w:r>
          </w:p>
        </w:tc>
        <w:tc>
          <w:tcPr>
            <w:tcW w:w="116" w:type="dxa"/>
            <w:tcBorders>
              <w:top w:val="nil"/>
              <w:left w:val="nil"/>
              <w:bottom w:val="nil"/>
              <w:right w:val="nil"/>
            </w:tcBorders>
            <w:noWrap/>
            <w:vAlign w:val="bottom"/>
            <w:hideMark/>
          </w:tcPr>
          <w:p w14:paraId="527351CA"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41" w:type="dxa"/>
            <w:tcBorders>
              <w:top w:val="nil"/>
              <w:left w:val="nil"/>
              <w:bottom w:val="nil"/>
              <w:right w:val="nil"/>
            </w:tcBorders>
            <w:noWrap/>
            <w:vAlign w:val="bottom"/>
            <w:hideMark/>
          </w:tcPr>
          <w:p w14:paraId="2D15A493"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489,836</w:t>
            </w:r>
          </w:p>
        </w:tc>
      </w:tr>
      <w:tr w:rsidR="00E91426" w:rsidRPr="00E91426" w14:paraId="0DD0AFBD" w14:textId="77777777" w:rsidTr="00E91426">
        <w:trPr>
          <w:trHeight w:val="283"/>
        </w:trPr>
        <w:tc>
          <w:tcPr>
            <w:tcW w:w="3547" w:type="dxa"/>
            <w:tcBorders>
              <w:top w:val="nil"/>
              <w:left w:val="nil"/>
              <w:bottom w:val="nil"/>
              <w:right w:val="nil"/>
            </w:tcBorders>
            <w:noWrap/>
            <w:vAlign w:val="bottom"/>
            <w:hideMark/>
          </w:tcPr>
          <w:p w14:paraId="5F312917"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Revaluation reserve</w:t>
            </w:r>
          </w:p>
        </w:tc>
        <w:tc>
          <w:tcPr>
            <w:tcW w:w="1140" w:type="dxa"/>
            <w:tcBorders>
              <w:top w:val="nil"/>
              <w:left w:val="nil"/>
              <w:bottom w:val="nil"/>
              <w:right w:val="nil"/>
            </w:tcBorders>
            <w:vAlign w:val="bottom"/>
            <w:hideMark/>
          </w:tcPr>
          <w:p w14:paraId="7C02529C"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1036" w:type="dxa"/>
            <w:tcBorders>
              <w:top w:val="nil"/>
              <w:left w:val="nil"/>
              <w:bottom w:val="nil"/>
              <w:right w:val="nil"/>
            </w:tcBorders>
            <w:noWrap/>
            <w:vAlign w:val="bottom"/>
            <w:hideMark/>
          </w:tcPr>
          <w:p w14:paraId="00282329" w14:textId="77777777" w:rsidR="00E91426" w:rsidRPr="00E91426" w:rsidRDefault="00E91426" w:rsidP="00E91426">
            <w:pPr>
              <w:widowControl/>
              <w:rPr>
                <w:rFonts w:ascii="Times New Roman" w:eastAsia="Times New Roman" w:hAnsi="Times New Roman" w:cs="Times New Roman"/>
                <w:sz w:val="20"/>
                <w:szCs w:val="20"/>
                <w:lang w:val="en-GB" w:eastAsia="en-GB"/>
              </w:rPr>
            </w:pPr>
          </w:p>
        </w:tc>
        <w:tc>
          <w:tcPr>
            <w:tcW w:w="1260" w:type="dxa"/>
            <w:tcBorders>
              <w:top w:val="nil"/>
              <w:left w:val="nil"/>
              <w:bottom w:val="nil"/>
              <w:right w:val="nil"/>
            </w:tcBorders>
            <w:noWrap/>
            <w:vAlign w:val="bottom"/>
            <w:hideMark/>
          </w:tcPr>
          <w:p w14:paraId="1ED9925F"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63,585</w:t>
            </w:r>
          </w:p>
        </w:tc>
        <w:tc>
          <w:tcPr>
            <w:tcW w:w="116" w:type="dxa"/>
            <w:tcBorders>
              <w:top w:val="nil"/>
              <w:left w:val="nil"/>
              <w:bottom w:val="nil"/>
              <w:right w:val="nil"/>
            </w:tcBorders>
            <w:noWrap/>
            <w:vAlign w:val="bottom"/>
            <w:hideMark/>
          </w:tcPr>
          <w:p w14:paraId="1BD0FC04"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41" w:type="dxa"/>
            <w:tcBorders>
              <w:top w:val="nil"/>
              <w:left w:val="nil"/>
              <w:bottom w:val="nil"/>
              <w:right w:val="nil"/>
            </w:tcBorders>
            <w:noWrap/>
            <w:vAlign w:val="bottom"/>
            <w:hideMark/>
          </w:tcPr>
          <w:p w14:paraId="3B60DB7A"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61,181</w:t>
            </w:r>
          </w:p>
        </w:tc>
      </w:tr>
      <w:tr w:rsidR="00E91426" w:rsidRPr="00E91426" w14:paraId="76136719" w14:textId="77777777" w:rsidTr="00E91426">
        <w:trPr>
          <w:trHeight w:val="283"/>
        </w:trPr>
        <w:tc>
          <w:tcPr>
            <w:tcW w:w="3547" w:type="dxa"/>
            <w:tcBorders>
              <w:top w:val="nil"/>
              <w:left w:val="nil"/>
              <w:bottom w:val="nil"/>
              <w:right w:val="nil"/>
            </w:tcBorders>
            <w:noWrap/>
            <w:vAlign w:val="bottom"/>
            <w:hideMark/>
          </w:tcPr>
          <w:p w14:paraId="19F2A607"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Income and expenditure reserve</w:t>
            </w:r>
          </w:p>
        </w:tc>
        <w:tc>
          <w:tcPr>
            <w:tcW w:w="1140" w:type="dxa"/>
            <w:tcBorders>
              <w:top w:val="nil"/>
              <w:left w:val="nil"/>
              <w:bottom w:val="nil"/>
              <w:right w:val="nil"/>
            </w:tcBorders>
            <w:vAlign w:val="bottom"/>
            <w:hideMark/>
          </w:tcPr>
          <w:p w14:paraId="0CD80F25"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1036" w:type="dxa"/>
            <w:tcBorders>
              <w:top w:val="nil"/>
              <w:left w:val="nil"/>
              <w:bottom w:val="nil"/>
              <w:right w:val="nil"/>
            </w:tcBorders>
            <w:noWrap/>
            <w:vAlign w:val="bottom"/>
            <w:hideMark/>
          </w:tcPr>
          <w:p w14:paraId="57C9C58C" w14:textId="77777777" w:rsidR="00E91426" w:rsidRPr="00E91426" w:rsidRDefault="00E91426" w:rsidP="00E91426">
            <w:pPr>
              <w:widowControl/>
              <w:rPr>
                <w:rFonts w:ascii="Times New Roman" w:eastAsia="Times New Roman" w:hAnsi="Times New Roman" w:cs="Times New Roman"/>
                <w:sz w:val="20"/>
                <w:szCs w:val="20"/>
                <w:lang w:val="en-GB" w:eastAsia="en-GB"/>
              </w:rPr>
            </w:pPr>
          </w:p>
        </w:tc>
        <w:tc>
          <w:tcPr>
            <w:tcW w:w="1260" w:type="dxa"/>
            <w:tcBorders>
              <w:top w:val="nil"/>
              <w:left w:val="nil"/>
              <w:bottom w:val="nil"/>
              <w:right w:val="nil"/>
            </w:tcBorders>
            <w:noWrap/>
            <w:vAlign w:val="bottom"/>
            <w:hideMark/>
          </w:tcPr>
          <w:p w14:paraId="72AC7428"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(292,505)</w:t>
            </w:r>
          </w:p>
        </w:tc>
        <w:tc>
          <w:tcPr>
            <w:tcW w:w="116" w:type="dxa"/>
            <w:tcBorders>
              <w:top w:val="nil"/>
              <w:left w:val="nil"/>
              <w:bottom w:val="nil"/>
              <w:right w:val="nil"/>
            </w:tcBorders>
            <w:noWrap/>
            <w:vAlign w:val="bottom"/>
            <w:hideMark/>
          </w:tcPr>
          <w:p w14:paraId="5CF11CBD"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41" w:type="dxa"/>
            <w:tcBorders>
              <w:top w:val="nil"/>
              <w:left w:val="nil"/>
              <w:bottom w:val="nil"/>
              <w:right w:val="nil"/>
            </w:tcBorders>
            <w:noWrap/>
            <w:vAlign w:val="bottom"/>
            <w:hideMark/>
          </w:tcPr>
          <w:p w14:paraId="28E86264"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(275,399)</w:t>
            </w:r>
          </w:p>
        </w:tc>
      </w:tr>
      <w:tr w:rsidR="00E91426" w:rsidRPr="00E91426" w14:paraId="4FA32D25" w14:textId="77777777" w:rsidTr="00E91426">
        <w:trPr>
          <w:trHeight w:val="283"/>
        </w:trPr>
        <w:tc>
          <w:tcPr>
            <w:tcW w:w="3547" w:type="dxa"/>
            <w:tcBorders>
              <w:top w:val="nil"/>
              <w:left w:val="nil"/>
              <w:bottom w:val="nil"/>
              <w:right w:val="nil"/>
            </w:tcBorders>
            <w:noWrap/>
            <w:vAlign w:val="bottom"/>
            <w:hideMark/>
          </w:tcPr>
          <w:p w14:paraId="616722F1"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Total taxpayers' equity</w:t>
            </w:r>
          </w:p>
        </w:tc>
        <w:tc>
          <w:tcPr>
            <w:tcW w:w="1140" w:type="dxa"/>
            <w:tcBorders>
              <w:top w:val="nil"/>
              <w:left w:val="nil"/>
              <w:bottom w:val="nil"/>
              <w:right w:val="nil"/>
            </w:tcBorders>
            <w:noWrap/>
            <w:vAlign w:val="bottom"/>
            <w:hideMark/>
          </w:tcPr>
          <w:p w14:paraId="4CB450F1"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1036" w:type="dxa"/>
            <w:tcBorders>
              <w:top w:val="nil"/>
              <w:left w:val="nil"/>
              <w:bottom w:val="nil"/>
              <w:right w:val="nil"/>
            </w:tcBorders>
            <w:vAlign w:val="bottom"/>
            <w:hideMark/>
          </w:tcPr>
          <w:p w14:paraId="3C91FBC7" w14:textId="77777777" w:rsidR="00E91426" w:rsidRPr="00E91426" w:rsidRDefault="00E91426" w:rsidP="00E91426">
            <w:pPr>
              <w:widowControl/>
              <w:rPr>
                <w:rFonts w:ascii="Times New Roman" w:eastAsia="Times New Roman" w:hAnsi="Times New Roman" w:cs="Times New Roman"/>
                <w:sz w:val="20"/>
                <w:szCs w:val="20"/>
                <w:lang w:val="en-GB" w:eastAsia="en-GB"/>
              </w:rPr>
            </w:pPr>
          </w:p>
        </w:tc>
        <w:tc>
          <w:tcPr>
            <w:tcW w:w="1260" w:type="dxa"/>
            <w:tcBorders>
              <w:top w:val="single" w:sz="4" w:space="0" w:color="auto"/>
              <w:left w:val="nil"/>
              <w:bottom w:val="double" w:sz="6" w:space="0" w:color="auto"/>
              <w:right w:val="nil"/>
            </w:tcBorders>
            <w:noWrap/>
            <w:vAlign w:val="bottom"/>
            <w:hideMark/>
          </w:tcPr>
          <w:p w14:paraId="4774CD0C"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282,322</w:t>
            </w:r>
          </w:p>
        </w:tc>
        <w:tc>
          <w:tcPr>
            <w:tcW w:w="116" w:type="dxa"/>
            <w:tcBorders>
              <w:top w:val="nil"/>
              <w:left w:val="nil"/>
              <w:bottom w:val="nil"/>
              <w:right w:val="nil"/>
            </w:tcBorders>
            <w:noWrap/>
            <w:vAlign w:val="bottom"/>
            <w:hideMark/>
          </w:tcPr>
          <w:p w14:paraId="66EB115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241" w:type="dxa"/>
            <w:tcBorders>
              <w:top w:val="single" w:sz="4" w:space="0" w:color="auto"/>
              <w:left w:val="nil"/>
              <w:bottom w:val="double" w:sz="6" w:space="0" w:color="auto"/>
              <w:right w:val="nil"/>
            </w:tcBorders>
            <w:noWrap/>
            <w:vAlign w:val="bottom"/>
            <w:hideMark/>
          </w:tcPr>
          <w:p w14:paraId="6304F11F"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275,618</w:t>
            </w:r>
          </w:p>
        </w:tc>
      </w:tr>
      <w:tr w:rsidR="00E91426" w:rsidRPr="00E91426" w14:paraId="380D14A1" w14:textId="77777777" w:rsidTr="00E91426">
        <w:trPr>
          <w:trHeight w:val="260"/>
        </w:trPr>
        <w:tc>
          <w:tcPr>
            <w:tcW w:w="3547" w:type="dxa"/>
            <w:tcBorders>
              <w:top w:val="nil"/>
              <w:left w:val="nil"/>
              <w:bottom w:val="nil"/>
              <w:right w:val="nil"/>
            </w:tcBorders>
            <w:noWrap/>
            <w:vAlign w:val="center"/>
            <w:hideMark/>
          </w:tcPr>
          <w:p w14:paraId="4207BA1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140" w:type="dxa"/>
            <w:tcBorders>
              <w:top w:val="nil"/>
              <w:left w:val="nil"/>
              <w:bottom w:val="nil"/>
              <w:right w:val="nil"/>
            </w:tcBorders>
            <w:noWrap/>
            <w:vAlign w:val="center"/>
            <w:hideMark/>
          </w:tcPr>
          <w:p w14:paraId="3D7AA912" w14:textId="77777777" w:rsidR="00E91426" w:rsidRPr="00E91426" w:rsidRDefault="00E91426" w:rsidP="00E91426">
            <w:pPr>
              <w:widowControl/>
              <w:rPr>
                <w:rFonts w:ascii="Times New Roman" w:eastAsia="Times New Roman" w:hAnsi="Times New Roman" w:cs="Times New Roman"/>
                <w:sz w:val="20"/>
                <w:szCs w:val="20"/>
                <w:lang w:val="en-GB" w:eastAsia="en-GB"/>
              </w:rPr>
            </w:pPr>
          </w:p>
        </w:tc>
        <w:tc>
          <w:tcPr>
            <w:tcW w:w="1036" w:type="dxa"/>
            <w:tcBorders>
              <w:top w:val="nil"/>
              <w:left w:val="nil"/>
              <w:bottom w:val="nil"/>
              <w:right w:val="nil"/>
            </w:tcBorders>
            <w:noWrap/>
            <w:vAlign w:val="bottom"/>
            <w:hideMark/>
          </w:tcPr>
          <w:p w14:paraId="25B4F188" w14:textId="77777777" w:rsidR="00E91426" w:rsidRPr="00E91426" w:rsidRDefault="00E91426" w:rsidP="00E91426">
            <w:pPr>
              <w:widowControl/>
              <w:rPr>
                <w:rFonts w:ascii="Times New Roman" w:eastAsia="Times New Roman" w:hAnsi="Times New Roman" w:cs="Times New Roman"/>
                <w:sz w:val="20"/>
                <w:szCs w:val="20"/>
                <w:lang w:val="en-GB" w:eastAsia="en-GB"/>
              </w:rPr>
            </w:pPr>
          </w:p>
        </w:tc>
        <w:tc>
          <w:tcPr>
            <w:tcW w:w="1260" w:type="dxa"/>
            <w:tcBorders>
              <w:top w:val="nil"/>
              <w:left w:val="nil"/>
              <w:bottom w:val="nil"/>
              <w:right w:val="nil"/>
            </w:tcBorders>
            <w:noWrap/>
            <w:vAlign w:val="bottom"/>
            <w:hideMark/>
          </w:tcPr>
          <w:p w14:paraId="29A2A7A7" w14:textId="77777777" w:rsidR="00E91426" w:rsidRPr="00E91426" w:rsidRDefault="00E91426" w:rsidP="00E91426">
            <w:pPr>
              <w:widowControl/>
              <w:jc w:val="center"/>
              <w:rPr>
                <w:rFonts w:ascii="Times New Roman" w:eastAsia="Times New Roman" w:hAnsi="Times New Roman" w:cs="Times New Roman"/>
                <w:sz w:val="20"/>
                <w:szCs w:val="20"/>
                <w:lang w:val="en-GB" w:eastAsia="en-GB"/>
              </w:rPr>
            </w:pPr>
          </w:p>
        </w:tc>
        <w:tc>
          <w:tcPr>
            <w:tcW w:w="116" w:type="dxa"/>
            <w:tcBorders>
              <w:top w:val="nil"/>
              <w:left w:val="nil"/>
              <w:bottom w:val="nil"/>
              <w:right w:val="nil"/>
            </w:tcBorders>
            <w:noWrap/>
            <w:vAlign w:val="bottom"/>
            <w:hideMark/>
          </w:tcPr>
          <w:p w14:paraId="600682D0" w14:textId="77777777" w:rsidR="00E91426" w:rsidRPr="00E91426" w:rsidRDefault="00E91426" w:rsidP="00E91426">
            <w:pPr>
              <w:widowControl/>
              <w:rPr>
                <w:rFonts w:ascii="Times New Roman" w:eastAsia="Times New Roman" w:hAnsi="Times New Roman" w:cs="Times New Roman"/>
                <w:sz w:val="20"/>
                <w:szCs w:val="20"/>
                <w:lang w:val="en-GB" w:eastAsia="en-GB"/>
              </w:rPr>
            </w:pPr>
          </w:p>
        </w:tc>
        <w:tc>
          <w:tcPr>
            <w:tcW w:w="1241" w:type="dxa"/>
            <w:tcBorders>
              <w:top w:val="nil"/>
              <w:left w:val="nil"/>
              <w:bottom w:val="nil"/>
              <w:right w:val="nil"/>
            </w:tcBorders>
            <w:noWrap/>
            <w:vAlign w:val="bottom"/>
            <w:hideMark/>
          </w:tcPr>
          <w:p w14:paraId="74D55AE6" w14:textId="77777777" w:rsidR="00E91426" w:rsidRPr="00E91426" w:rsidRDefault="00E91426" w:rsidP="00E91426">
            <w:pPr>
              <w:widowControl/>
              <w:jc w:val="right"/>
              <w:rPr>
                <w:rFonts w:ascii="Times New Roman" w:eastAsia="Times New Roman" w:hAnsi="Times New Roman" w:cs="Times New Roman"/>
                <w:sz w:val="20"/>
                <w:szCs w:val="20"/>
                <w:lang w:val="en-GB" w:eastAsia="en-GB"/>
              </w:rPr>
            </w:pPr>
          </w:p>
        </w:tc>
      </w:tr>
      <w:tr w:rsidR="00E91426" w:rsidRPr="00E91426" w14:paraId="560D395C" w14:textId="77777777" w:rsidTr="00E91426">
        <w:trPr>
          <w:trHeight w:val="250"/>
        </w:trPr>
        <w:tc>
          <w:tcPr>
            <w:tcW w:w="5723" w:type="dxa"/>
            <w:gridSpan w:val="3"/>
            <w:tcBorders>
              <w:top w:val="nil"/>
              <w:left w:val="nil"/>
              <w:bottom w:val="nil"/>
              <w:right w:val="nil"/>
            </w:tcBorders>
            <w:noWrap/>
            <w:vAlign w:val="bottom"/>
            <w:hideMark/>
          </w:tcPr>
          <w:p w14:paraId="68DD2DB1" w14:textId="3844C8CD"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 xml:space="preserve">The notes on pages </w:t>
            </w:r>
            <w:r w:rsidR="00326F74">
              <w:rPr>
                <w:rFonts w:ascii="Arial" w:eastAsia="Times New Roman" w:hAnsi="Arial" w:cs="Arial"/>
                <w:color w:val="000000"/>
                <w:sz w:val="20"/>
                <w:szCs w:val="20"/>
                <w:lang w:val="en-GB" w:eastAsia="en-GB"/>
              </w:rPr>
              <w:t>104</w:t>
            </w:r>
            <w:r w:rsidRPr="00E91426">
              <w:rPr>
                <w:rFonts w:ascii="Arial" w:eastAsia="Times New Roman" w:hAnsi="Arial" w:cs="Arial"/>
                <w:color w:val="000000"/>
                <w:sz w:val="20"/>
                <w:szCs w:val="20"/>
                <w:lang w:val="en-GB" w:eastAsia="en-GB"/>
              </w:rPr>
              <w:t xml:space="preserve"> to </w:t>
            </w:r>
            <w:r w:rsidR="00E00F90">
              <w:rPr>
                <w:rFonts w:ascii="Arial" w:eastAsia="Times New Roman" w:hAnsi="Arial" w:cs="Arial"/>
                <w:color w:val="000000"/>
                <w:sz w:val="20"/>
                <w:szCs w:val="20"/>
                <w:lang w:val="en-GB" w:eastAsia="en-GB"/>
              </w:rPr>
              <w:t>1</w:t>
            </w:r>
            <w:r w:rsidR="00326F74">
              <w:rPr>
                <w:rFonts w:ascii="Arial" w:eastAsia="Times New Roman" w:hAnsi="Arial" w:cs="Arial"/>
                <w:color w:val="000000"/>
                <w:sz w:val="20"/>
                <w:szCs w:val="20"/>
                <w:lang w:val="en-GB" w:eastAsia="en-GB"/>
              </w:rPr>
              <w:t>39</w:t>
            </w:r>
            <w:r w:rsidRPr="00E91426">
              <w:rPr>
                <w:rFonts w:ascii="Arial" w:eastAsia="Times New Roman" w:hAnsi="Arial" w:cs="Arial"/>
                <w:color w:val="000000"/>
                <w:sz w:val="20"/>
                <w:szCs w:val="20"/>
                <w:lang w:val="en-GB" w:eastAsia="en-GB"/>
              </w:rPr>
              <w:t xml:space="preserve"> form part of these accounts.</w:t>
            </w:r>
          </w:p>
        </w:tc>
        <w:tc>
          <w:tcPr>
            <w:tcW w:w="1260" w:type="dxa"/>
            <w:tcBorders>
              <w:top w:val="nil"/>
              <w:left w:val="nil"/>
              <w:bottom w:val="nil"/>
              <w:right w:val="nil"/>
            </w:tcBorders>
            <w:noWrap/>
            <w:vAlign w:val="bottom"/>
            <w:hideMark/>
          </w:tcPr>
          <w:p w14:paraId="082ECAE7"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116" w:type="dxa"/>
            <w:tcBorders>
              <w:top w:val="nil"/>
              <w:left w:val="nil"/>
              <w:bottom w:val="nil"/>
              <w:right w:val="nil"/>
            </w:tcBorders>
            <w:noWrap/>
            <w:vAlign w:val="bottom"/>
            <w:hideMark/>
          </w:tcPr>
          <w:p w14:paraId="062AAD1B" w14:textId="77777777" w:rsidR="00E91426" w:rsidRPr="00E91426" w:rsidRDefault="00E91426" w:rsidP="00E91426">
            <w:pPr>
              <w:widowControl/>
              <w:rPr>
                <w:rFonts w:ascii="Times New Roman" w:eastAsia="Times New Roman" w:hAnsi="Times New Roman" w:cs="Times New Roman"/>
                <w:sz w:val="20"/>
                <w:szCs w:val="20"/>
                <w:lang w:val="en-GB" w:eastAsia="en-GB"/>
              </w:rPr>
            </w:pPr>
          </w:p>
        </w:tc>
        <w:tc>
          <w:tcPr>
            <w:tcW w:w="1241" w:type="dxa"/>
            <w:tcBorders>
              <w:top w:val="nil"/>
              <w:left w:val="nil"/>
              <w:bottom w:val="nil"/>
              <w:right w:val="nil"/>
            </w:tcBorders>
            <w:noWrap/>
            <w:vAlign w:val="bottom"/>
            <w:hideMark/>
          </w:tcPr>
          <w:p w14:paraId="2E3F863A" w14:textId="77777777" w:rsidR="00E91426" w:rsidRPr="00E91426" w:rsidRDefault="00E91426" w:rsidP="00E91426">
            <w:pPr>
              <w:widowControl/>
              <w:jc w:val="right"/>
              <w:rPr>
                <w:rFonts w:ascii="Times New Roman" w:eastAsia="Times New Roman" w:hAnsi="Times New Roman" w:cs="Times New Roman"/>
                <w:sz w:val="20"/>
                <w:szCs w:val="20"/>
                <w:lang w:val="en-GB" w:eastAsia="en-GB"/>
              </w:rPr>
            </w:pPr>
          </w:p>
        </w:tc>
      </w:tr>
      <w:tr w:rsidR="00E91426" w:rsidRPr="00E91426" w14:paraId="6E5675FD" w14:textId="77777777" w:rsidTr="00E91426">
        <w:trPr>
          <w:trHeight w:val="250"/>
        </w:trPr>
        <w:tc>
          <w:tcPr>
            <w:tcW w:w="3547" w:type="dxa"/>
            <w:tcBorders>
              <w:top w:val="nil"/>
              <w:left w:val="nil"/>
              <w:bottom w:val="nil"/>
              <w:right w:val="nil"/>
            </w:tcBorders>
            <w:noWrap/>
            <w:vAlign w:val="bottom"/>
            <w:hideMark/>
          </w:tcPr>
          <w:p w14:paraId="545E538A" w14:textId="77777777" w:rsidR="00E91426" w:rsidRPr="00E91426" w:rsidRDefault="00E91426" w:rsidP="00E91426">
            <w:pPr>
              <w:widowControl/>
              <w:rPr>
                <w:rFonts w:ascii="Times New Roman" w:eastAsia="Times New Roman" w:hAnsi="Times New Roman" w:cs="Times New Roman"/>
                <w:sz w:val="20"/>
                <w:szCs w:val="20"/>
                <w:lang w:val="en-GB" w:eastAsia="en-GB"/>
              </w:rPr>
            </w:pPr>
          </w:p>
        </w:tc>
        <w:tc>
          <w:tcPr>
            <w:tcW w:w="1140" w:type="dxa"/>
            <w:tcBorders>
              <w:top w:val="nil"/>
              <w:left w:val="nil"/>
              <w:bottom w:val="nil"/>
              <w:right w:val="nil"/>
            </w:tcBorders>
            <w:noWrap/>
            <w:vAlign w:val="bottom"/>
            <w:hideMark/>
          </w:tcPr>
          <w:p w14:paraId="41B7BC29" w14:textId="77777777" w:rsidR="00E91426" w:rsidRPr="00E91426" w:rsidRDefault="00E91426" w:rsidP="00E91426">
            <w:pPr>
              <w:widowControl/>
              <w:rPr>
                <w:rFonts w:ascii="Calibri" w:eastAsia="Times New Roman" w:hAnsi="Calibri" w:cs="Calibri"/>
                <w:color w:val="000000"/>
                <w:lang w:val="en-GB" w:eastAsia="en-GB"/>
              </w:rPr>
            </w:pPr>
            <w:r w:rsidRPr="00E91426">
              <w:rPr>
                <w:rFonts w:ascii="Calibri" w:eastAsia="Times New Roman" w:hAnsi="Calibri" w:cs="Calibri"/>
                <w:noProof/>
                <w:color w:val="000000"/>
                <w:lang w:val="en-GB" w:eastAsia="en-GB"/>
              </w:rPr>
              <w:drawing>
                <wp:anchor distT="0" distB="0" distL="114300" distR="114300" simplePos="0" relativeHeight="251829248" behindDoc="0" locked="0" layoutInCell="1" allowOverlap="1" wp14:anchorId="0A7E8A02" wp14:editId="3D754599">
                  <wp:simplePos x="0" y="0"/>
                  <wp:positionH relativeFrom="column">
                    <wp:posOffset>108585</wp:posOffset>
                  </wp:positionH>
                  <wp:positionV relativeFrom="paragraph">
                    <wp:posOffset>106045</wp:posOffset>
                  </wp:positionV>
                  <wp:extent cx="545465" cy="440055"/>
                  <wp:effectExtent l="0" t="0" r="6985" b="0"/>
                  <wp:wrapNone/>
                  <wp:docPr id="27" name="Picture 27" descr="Signature of Interim Chief Executive, Jonathan Wade">
                    <a:extLst xmlns:a="http://schemas.openxmlformats.org/drawingml/2006/main">
                      <a:ext uri="{FF2B5EF4-FFF2-40B4-BE49-F238E27FC236}">
                        <a16:creationId xmlns:a16="http://schemas.microsoft.com/office/drawing/2014/main" id="{9B8278F3-039D-41B8-97FC-7E9F4376DDF7}"/>
                      </a:ext>
                    </a:extLst>
                  </wp:docPr>
                  <wp:cNvGraphicFramePr/>
                  <a:graphic xmlns:a="http://schemas.openxmlformats.org/drawingml/2006/main">
                    <a:graphicData uri="http://schemas.openxmlformats.org/drawingml/2006/picture">
                      <pic:pic xmlns:pic="http://schemas.openxmlformats.org/drawingml/2006/picture">
                        <pic:nvPicPr>
                          <pic:cNvPr id="27" name="Picture 27" descr="Signature of Interim Chief Executive, Jonathan Wade">
                            <a:extLst>
                              <a:ext uri="{FF2B5EF4-FFF2-40B4-BE49-F238E27FC236}">
                                <a16:creationId xmlns:a16="http://schemas.microsoft.com/office/drawing/2014/main" id="{9B8278F3-039D-41B8-97FC-7E9F4376DDF7}"/>
                              </a:ext>
                            </a:extLst>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5465" cy="44005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140"/>
            </w:tblGrid>
            <w:tr w:rsidR="00E91426" w:rsidRPr="00E91426" w14:paraId="446A9022" w14:textId="77777777" w:rsidTr="00E91426">
              <w:trPr>
                <w:trHeight w:val="250"/>
                <w:tblCellSpacing w:w="0" w:type="dxa"/>
              </w:trPr>
              <w:tc>
                <w:tcPr>
                  <w:tcW w:w="1140" w:type="dxa"/>
                  <w:tcBorders>
                    <w:top w:val="nil"/>
                    <w:left w:val="nil"/>
                    <w:bottom w:val="nil"/>
                    <w:right w:val="nil"/>
                  </w:tcBorders>
                  <w:noWrap/>
                  <w:vAlign w:val="bottom"/>
                  <w:hideMark/>
                </w:tcPr>
                <w:p w14:paraId="40BA415E" w14:textId="77777777" w:rsidR="00E91426" w:rsidRPr="00E91426" w:rsidRDefault="00E91426" w:rsidP="00E91426">
                  <w:pPr>
                    <w:widowControl/>
                    <w:rPr>
                      <w:rFonts w:ascii="Calibri" w:eastAsia="Times New Roman" w:hAnsi="Calibri" w:cs="Calibri"/>
                      <w:color w:val="000000"/>
                      <w:lang w:val="en-GB" w:eastAsia="en-GB"/>
                    </w:rPr>
                  </w:pPr>
                </w:p>
              </w:tc>
            </w:tr>
          </w:tbl>
          <w:p w14:paraId="47285226" w14:textId="77777777" w:rsidR="00E91426" w:rsidRPr="00E91426" w:rsidRDefault="00E91426" w:rsidP="00E91426">
            <w:pPr>
              <w:widowControl/>
              <w:rPr>
                <w:rFonts w:ascii="Calibri" w:eastAsia="Times New Roman" w:hAnsi="Calibri" w:cs="Calibri"/>
                <w:color w:val="000000"/>
                <w:lang w:val="en-GB" w:eastAsia="en-GB"/>
              </w:rPr>
            </w:pPr>
          </w:p>
        </w:tc>
        <w:tc>
          <w:tcPr>
            <w:tcW w:w="1036" w:type="dxa"/>
            <w:tcBorders>
              <w:top w:val="nil"/>
              <w:left w:val="nil"/>
              <w:bottom w:val="nil"/>
              <w:right w:val="nil"/>
            </w:tcBorders>
            <w:noWrap/>
            <w:vAlign w:val="bottom"/>
            <w:hideMark/>
          </w:tcPr>
          <w:p w14:paraId="70E467EC" w14:textId="77777777" w:rsidR="00E91426" w:rsidRPr="00E91426" w:rsidRDefault="00E91426" w:rsidP="00E91426">
            <w:pPr>
              <w:widowControl/>
              <w:rPr>
                <w:rFonts w:ascii="Times New Roman" w:eastAsia="Times New Roman" w:hAnsi="Times New Roman" w:cs="Times New Roman"/>
                <w:sz w:val="20"/>
                <w:szCs w:val="20"/>
                <w:lang w:val="en-GB" w:eastAsia="en-GB"/>
              </w:rPr>
            </w:pPr>
          </w:p>
        </w:tc>
        <w:tc>
          <w:tcPr>
            <w:tcW w:w="1260" w:type="dxa"/>
            <w:tcBorders>
              <w:top w:val="nil"/>
              <w:left w:val="nil"/>
              <w:bottom w:val="nil"/>
              <w:right w:val="nil"/>
            </w:tcBorders>
            <w:noWrap/>
            <w:vAlign w:val="bottom"/>
            <w:hideMark/>
          </w:tcPr>
          <w:p w14:paraId="0573CD10" w14:textId="77777777" w:rsidR="00E91426" w:rsidRPr="00E91426" w:rsidRDefault="00E91426" w:rsidP="00E91426">
            <w:pPr>
              <w:widowControl/>
              <w:rPr>
                <w:rFonts w:ascii="Calibri" w:eastAsia="Times New Roman" w:hAnsi="Calibri" w:cs="Calibri"/>
                <w:color w:val="000000"/>
                <w:lang w:val="en-GB" w:eastAsia="en-GB"/>
              </w:rPr>
            </w:pPr>
          </w:p>
          <w:tbl>
            <w:tblPr>
              <w:tblW w:w="0" w:type="auto"/>
              <w:tblCellSpacing w:w="0" w:type="dxa"/>
              <w:tblCellMar>
                <w:left w:w="0" w:type="dxa"/>
                <w:right w:w="0" w:type="dxa"/>
              </w:tblCellMar>
              <w:tblLook w:val="04A0" w:firstRow="1" w:lastRow="0" w:firstColumn="1" w:lastColumn="0" w:noHBand="0" w:noVBand="1"/>
            </w:tblPr>
            <w:tblGrid>
              <w:gridCol w:w="1260"/>
            </w:tblGrid>
            <w:tr w:rsidR="00E91426" w:rsidRPr="00E91426" w14:paraId="654D010A" w14:textId="77777777" w:rsidTr="00E91426">
              <w:trPr>
                <w:trHeight w:val="250"/>
                <w:tblCellSpacing w:w="0" w:type="dxa"/>
              </w:trPr>
              <w:tc>
                <w:tcPr>
                  <w:tcW w:w="1260" w:type="dxa"/>
                  <w:tcBorders>
                    <w:top w:val="nil"/>
                    <w:left w:val="nil"/>
                    <w:bottom w:val="nil"/>
                    <w:right w:val="nil"/>
                  </w:tcBorders>
                  <w:noWrap/>
                  <w:vAlign w:val="bottom"/>
                  <w:hideMark/>
                </w:tcPr>
                <w:p w14:paraId="468E89E5" w14:textId="77777777" w:rsidR="00E91426" w:rsidRPr="00E91426" w:rsidRDefault="00E91426" w:rsidP="00E91426">
                  <w:pPr>
                    <w:widowControl/>
                    <w:rPr>
                      <w:rFonts w:ascii="Calibri" w:eastAsia="Times New Roman" w:hAnsi="Calibri" w:cs="Calibri"/>
                      <w:color w:val="000000"/>
                      <w:lang w:val="en-GB" w:eastAsia="en-GB"/>
                    </w:rPr>
                  </w:pPr>
                </w:p>
              </w:tc>
            </w:tr>
          </w:tbl>
          <w:p w14:paraId="562DB738" w14:textId="77777777" w:rsidR="00E91426" w:rsidRPr="00E91426" w:rsidRDefault="00E91426" w:rsidP="00E91426">
            <w:pPr>
              <w:widowControl/>
              <w:rPr>
                <w:rFonts w:ascii="Calibri" w:eastAsia="Times New Roman" w:hAnsi="Calibri" w:cs="Calibri"/>
                <w:color w:val="000000"/>
                <w:lang w:val="en-GB" w:eastAsia="en-GB"/>
              </w:rPr>
            </w:pPr>
          </w:p>
        </w:tc>
        <w:tc>
          <w:tcPr>
            <w:tcW w:w="116" w:type="dxa"/>
            <w:tcBorders>
              <w:top w:val="nil"/>
              <w:left w:val="nil"/>
              <w:bottom w:val="nil"/>
              <w:right w:val="nil"/>
            </w:tcBorders>
            <w:noWrap/>
            <w:vAlign w:val="bottom"/>
            <w:hideMark/>
          </w:tcPr>
          <w:p w14:paraId="32DAD056" w14:textId="77777777" w:rsidR="00E91426" w:rsidRPr="00E91426" w:rsidRDefault="00E91426" w:rsidP="00E91426">
            <w:pPr>
              <w:widowControl/>
              <w:rPr>
                <w:rFonts w:ascii="Times New Roman" w:eastAsia="Times New Roman" w:hAnsi="Times New Roman" w:cs="Times New Roman"/>
                <w:sz w:val="20"/>
                <w:szCs w:val="20"/>
                <w:lang w:val="en-GB" w:eastAsia="en-GB"/>
              </w:rPr>
            </w:pPr>
          </w:p>
        </w:tc>
        <w:tc>
          <w:tcPr>
            <w:tcW w:w="1241" w:type="dxa"/>
            <w:tcBorders>
              <w:top w:val="nil"/>
              <w:left w:val="nil"/>
              <w:bottom w:val="nil"/>
              <w:right w:val="nil"/>
            </w:tcBorders>
            <w:noWrap/>
            <w:vAlign w:val="bottom"/>
            <w:hideMark/>
          </w:tcPr>
          <w:p w14:paraId="0F7749CA" w14:textId="77777777" w:rsidR="00E91426" w:rsidRPr="00E91426" w:rsidRDefault="00E91426" w:rsidP="00E91426">
            <w:pPr>
              <w:widowControl/>
              <w:jc w:val="right"/>
              <w:rPr>
                <w:rFonts w:ascii="Times New Roman" w:eastAsia="Times New Roman" w:hAnsi="Times New Roman" w:cs="Times New Roman"/>
                <w:sz w:val="20"/>
                <w:szCs w:val="20"/>
                <w:lang w:val="en-GB" w:eastAsia="en-GB"/>
              </w:rPr>
            </w:pPr>
          </w:p>
        </w:tc>
      </w:tr>
      <w:tr w:rsidR="00E91426" w:rsidRPr="00E91426" w14:paraId="40D7C5E6" w14:textId="77777777" w:rsidTr="00E91426">
        <w:trPr>
          <w:trHeight w:val="250"/>
        </w:trPr>
        <w:tc>
          <w:tcPr>
            <w:tcW w:w="3547" w:type="dxa"/>
            <w:tcBorders>
              <w:top w:val="nil"/>
              <w:left w:val="nil"/>
              <w:bottom w:val="nil"/>
              <w:right w:val="nil"/>
            </w:tcBorders>
            <w:vAlign w:val="bottom"/>
            <w:hideMark/>
          </w:tcPr>
          <w:p w14:paraId="05F9602D" w14:textId="77777777" w:rsidR="00E91426" w:rsidRPr="00E91426" w:rsidRDefault="00E91426" w:rsidP="00E91426">
            <w:pPr>
              <w:widowControl/>
              <w:rPr>
                <w:rFonts w:ascii="Times New Roman" w:eastAsia="Times New Roman" w:hAnsi="Times New Roman" w:cs="Times New Roman"/>
                <w:sz w:val="20"/>
                <w:szCs w:val="20"/>
                <w:lang w:val="en-GB" w:eastAsia="en-GB"/>
              </w:rPr>
            </w:pPr>
          </w:p>
        </w:tc>
        <w:tc>
          <w:tcPr>
            <w:tcW w:w="1140" w:type="dxa"/>
            <w:tcBorders>
              <w:top w:val="nil"/>
              <w:left w:val="nil"/>
              <w:bottom w:val="nil"/>
              <w:right w:val="nil"/>
            </w:tcBorders>
            <w:vAlign w:val="bottom"/>
            <w:hideMark/>
          </w:tcPr>
          <w:p w14:paraId="4AEB5C2A" w14:textId="77777777" w:rsidR="00E91426" w:rsidRPr="00E91426" w:rsidRDefault="00E91426" w:rsidP="00E91426">
            <w:pPr>
              <w:widowControl/>
              <w:rPr>
                <w:rFonts w:ascii="Times New Roman" w:eastAsia="Times New Roman" w:hAnsi="Times New Roman" w:cs="Times New Roman"/>
                <w:sz w:val="20"/>
                <w:szCs w:val="20"/>
                <w:lang w:val="en-GB" w:eastAsia="en-GB"/>
              </w:rPr>
            </w:pPr>
          </w:p>
        </w:tc>
        <w:tc>
          <w:tcPr>
            <w:tcW w:w="1036" w:type="dxa"/>
            <w:tcBorders>
              <w:top w:val="nil"/>
              <w:left w:val="nil"/>
              <w:bottom w:val="nil"/>
              <w:right w:val="nil"/>
            </w:tcBorders>
            <w:noWrap/>
            <w:vAlign w:val="bottom"/>
            <w:hideMark/>
          </w:tcPr>
          <w:p w14:paraId="423B8B7A" w14:textId="77777777" w:rsidR="00E91426" w:rsidRPr="00E91426" w:rsidRDefault="00E91426" w:rsidP="00E91426">
            <w:pPr>
              <w:widowControl/>
              <w:rPr>
                <w:rFonts w:ascii="Times New Roman" w:eastAsia="Times New Roman" w:hAnsi="Times New Roman" w:cs="Times New Roman"/>
                <w:sz w:val="20"/>
                <w:szCs w:val="20"/>
                <w:lang w:val="en-GB" w:eastAsia="en-GB"/>
              </w:rPr>
            </w:pPr>
          </w:p>
        </w:tc>
        <w:tc>
          <w:tcPr>
            <w:tcW w:w="1260" w:type="dxa"/>
            <w:tcBorders>
              <w:top w:val="nil"/>
              <w:left w:val="nil"/>
              <w:bottom w:val="nil"/>
              <w:right w:val="nil"/>
            </w:tcBorders>
            <w:noWrap/>
            <w:vAlign w:val="bottom"/>
            <w:hideMark/>
          </w:tcPr>
          <w:p w14:paraId="0162A775" w14:textId="77777777" w:rsidR="00E91426" w:rsidRPr="00E91426" w:rsidRDefault="00E91426" w:rsidP="00E91426">
            <w:pPr>
              <w:widowControl/>
              <w:jc w:val="center"/>
              <w:rPr>
                <w:rFonts w:ascii="Times New Roman" w:eastAsia="Times New Roman" w:hAnsi="Times New Roman" w:cs="Times New Roman"/>
                <w:sz w:val="20"/>
                <w:szCs w:val="20"/>
                <w:lang w:val="en-GB" w:eastAsia="en-GB"/>
              </w:rPr>
            </w:pPr>
          </w:p>
        </w:tc>
        <w:tc>
          <w:tcPr>
            <w:tcW w:w="116" w:type="dxa"/>
            <w:tcBorders>
              <w:top w:val="nil"/>
              <w:left w:val="nil"/>
              <w:bottom w:val="nil"/>
              <w:right w:val="nil"/>
            </w:tcBorders>
            <w:noWrap/>
            <w:vAlign w:val="bottom"/>
            <w:hideMark/>
          </w:tcPr>
          <w:p w14:paraId="40BEE8B4" w14:textId="77777777" w:rsidR="00E91426" w:rsidRPr="00E91426" w:rsidRDefault="00E91426" w:rsidP="00E91426">
            <w:pPr>
              <w:widowControl/>
              <w:rPr>
                <w:rFonts w:ascii="Times New Roman" w:eastAsia="Times New Roman" w:hAnsi="Times New Roman" w:cs="Times New Roman"/>
                <w:sz w:val="20"/>
                <w:szCs w:val="20"/>
                <w:lang w:val="en-GB" w:eastAsia="en-GB"/>
              </w:rPr>
            </w:pPr>
          </w:p>
        </w:tc>
        <w:tc>
          <w:tcPr>
            <w:tcW w:w="1241" w:type="dxa"/>
            <w:tcBorders>
              <w:top w:val="nil"/>
              <w:left w:val="nil"/>
              <w:bottom w:val="nil"/>
              <w:right w:val="nil"/>
            </w:tcBorders>
            <w:noWrap/>
            <w:vAlign w:val="bottom"/>
            <w:hideMark/>
          </w:tcPr>
          <w:p w14:paraId="76F219E1" w14:textId="77777777" w:rsidR="00E91426" w:rsidRPr="00E91426" w:rsidRDefault="00E91426" w:rsidP="00E91426">
            <w:pPr>
              <w:widowControl/>
              <w:jc w:val="right"/>
              <w:rPr>
                <w:rFonts w:ascii="Times New Roman" w:eastAsia="Times New Roman" w:hAnsi="Times New Roman" w:cs="Times New Roman"/>
                <w:sz w:val="20"/>
                <w:szCs w:val="20"/>
                <w:lang w:val="en-GB" w:eastAsia="en-GB"/>
              </w:rPr>
            </w:pPr>
          </w:p>
        </w:tc>
      </w:tr>
      <w:tr w:rsidR="00E91426" w:rsidRPr="00E91426" w14:paraId="26D4D1F9" w14:textId="77777777" w:rsidTr="00E91426">
        <w:trPr>
          <w:trHeight w:val="260"/>
        </w:trPr>
        <w:tc>
          <w:tcPr>
            <w:tcW w:w="3547" w:type="dxa"/>
            <w:tcBorders>
              <w:top w:val="nil"/>
              <w:left w:val="nil"/>
              <w:bottom w:val="nil"/>
              <w:right w:val="nil"/>
            </w:tcBorders>
            <w:noWrap/>
            <w:vAlign w:val="bottom"/>
            <w:hideMark/>
          </w:tcPr>
          <w:p w14:paraId="30CFD775"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Signed</w:t>
            </w:r>
          </w:p>
        </w:tc>
        <w:tc>
          <w:tcPr>
            <w:tcW w:w="2176" w:type="dxa"/>
            <w:gridSpan w:val="2"/>
            <w:tcBorders>
              <w:top w:val="nil"/>
              <w:left w:val="nil"/>
              <w:bottom w:val="nil"/>
              <w:right w:val="nil"/>
            </w:tcBorders>
            <w:noWrap/>
            <w:vAlign w:val="bottom"/>
            <w:hideMark/>
          </w:tcPr>
          <w:p w14:paraId="3089613F" w14:textId="77777777" w:rsidR="00E91426" w:rsidRPr="00E91426" w:rsidRDefault="00E91426" w:rsidP="00E91426">
            <w:pPr>
              <w:widowControl/>
              <w:jc w:val="center"/>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w:t>
            </w:r>
          </w:p>
        </w:tc>
        <w:tc>
          <w:tcPr>
            <w:tcW w:w="2617" w:type="dxa"/>
            <w:gridSpan w:val="3"/>
            <w:tcBorders>
              <w:top w:val="nil"/>
              <w:left w:val="nil"/>
              <w:bottom w:val="nil"/>
              <w:right w:val="nil"/>
            </w:tcBorders>
            <w:noWrap/>
            <w:vAlign w:val="bottom"/>
            <w:hideMark/>
          </w:tcPr>
          <w:p w14:paraId="21647B24" w14:textId="77777777" w:rsidR="00E91426" w:rsidRPr="00E91426" w:rsidRDefault="00E91426" w:rsidP="00E91426">
            <w:pPr>
              <w:widowControl/>
              <w:rPr>
                <w:rFonts w:ascii="Arial" w:eastAsia="Times New Roman" w:hAnsi="Arial" w:cs="Arial"/>
                <w:sz w:val="20"/>
                <w:szCs w:val="20"/>
                <w:lang w:val="en-GB" w:eastAsia="en-GB"/>
              </w:rPr>
            </w:pPr>
            <w:r w:rsidRPr="00E91426">
              <w:rPr>
                <w:rFonts w:ascii="Calibri" w:eastAsia="Times New Roman" w:hAnsi="Calibri" w:cs="Calibri"/>
                <w:noProof/>
                <w:color w:val="000000"/>
                <w:lang w:val="en-GB" w:eastAsia="en-GB"/>
              </w:rPr>
              <w:drawing>
                <wp:anchor distT="0" distB="0" distL="114300" distR="114300" simplePos="0" relativeHeight="251830272" behindDoc="0" locked="0" layoutInCell="1" allowOverlap="1" wp14:anchorId="7C3234C0" wp14:editId="14F70C2F">
                  <wp:simplePos x="0" y="0"/>
                  <wp:positionH relativeFrom="column">
                    <wp:posOffset>53975</wp:posOffset>
                  </wp:positionH>
                  <wp:positionV relativeFrom="paragraph">
                    <wp:posOffset>-255270</wp:posOffset>
                  </wp:positionV>
                  <wp:extent cx="1214120" cy="317500"/>
                  <wp:effectExtent l="0" t="0" r="5080" b="6350"/>
                  <wp:wrapNone/>
                  <wp:docPr id="28" name="Picture 28" descr="Signature of Interim Chief Financial Officer, Simon Womwbell">
                    <a:extLst xmlns:a="http://schemas.openxmlformats.org/drawingml/2006/main">
                      <a:ext uri="{FF2B5EF4-FFF2-40B4-BE49-F238E27FC236}">
                        <a16:creationId xmlns:a16="http://schemas.microsoft.com/office/drawing/2014/main" id="{CEDBAB8A-FEF3-4AD5-874C-0406108BAD41}"/>
                      </a:ext>
                    </a:extLst>
                  </wp:docPr>
                  <wp:cNvGraphicFramePr/>
                  <a:graphic xmlns:a="http://schemas.openxmlformats.org/drawingml/2006/main">
                    <a:graphicData uri="http://schemas.openxmlformats.org/drawingml/2006/picture">
                      <pic:pic xmlns:pic="http://schemas.openxmlformats.org/drawingml/2006/picture">
                        <pic:nvPicPr>
                          <pic:cNvPr id="28" name="Picture 28" descr="Signature of Interim Chief Financial Officer, Simon Womwbell">
                            <a:extLst>
                              <a:ext uri="{FF2B5EF4-FFF2-40B4-BE49-F238E27FC236}">
                                <a16:creationId xmlns:a16="http://schemas.microsoft.com/office/drawing/2014/main" id="{CEDBAB8A-FEF3-4AD5-874C-0406108BAD41}"/>
                              </a:ext>
                            </a:extLs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14120" cy="317500"/>
                          </a:xfrm>
                          <a:prstGeom prst="rect">
                            <a:avLst/>
                          </a:prstGeom>
                          <a:noFill/>
                        </pic:spPr>
                      </pic:pic>
                    </a:graphicData>
                  </a:graphic>
                  <wp14:sizeRelH relativeFrom="page">
                    <wp14:pctWidth>0</wp14:pctWidth>
                  </wp14:sizeRelH>
                  <wp14:sizeRelV relativeFrom="page">
                    <wp14:pctHeight>0</wp14:pctHeight>
                  </wp14:sizeRelV>
                </wp:anchor>
              </w:drawing>
            </w:r>
            <w:r w:rsidRPr="00E91426">
              <w:rPr>
                <w:rFonts w:ascii="Arial" w:eastAsia="Times New Roman" w:hAnsi="Arial" w:cs="Arial"/>
                <w:sz w:val="20"/>
                <w:szCs w:val="20"/>
                <w:lang w:val="en-GB" w:eastAsia="en-GB"/>
              </w:rPr>
              <w:t>…………………………</w:t>
            </w:r>
          </w:p>
        </w:tc>
      </w:tr>
      <w:tr w:rsidR="00E91426" w:rsidRPr="00E91426" w14:paraId="7CC89291" w14:textId="77777777" w:rsidTr="00E91426">
        <w:trPr>
          <w:trHeight w:val="260"/>
        </w:trPr>
        <w:tc>
          <w:tcPr>
            <w:tcW w:w="3547" w:type="dxa"/>
            <w:tcBorders>
              <w:top w:val="nil"/>
              <w:left w:val="nil"/>
              <w:bottom w:val="nil"/>
              <w:right w:val="nil"/>
            </w:tcBorders>
            <w:noWrap/>
            <w:vAlign w:val="bottom"/>
            <w:hideMark/>
          </w:tcPr>
          <w:p w14:paraId="4D87F248" w14:textId="77777777" w:rsidR="00E91426" w:rsidRPr="00E91426" w:rsidRDefault="00E91426" w:rsidP="00E91426">
            <w:pPr>
              <w:widowControl/>
              <w:rPr>
                <w:rFonts w:ascii="Arial" w:eastAsia="Times New Roman" w:hAnsi="Arial" w:cs="Arial"/>
                <w:sz w:val="20"/>
                <w:szCs w:val="20"/>
                <w:lang w:val="en-GB" w:eastAsia="en-GB"/>
              </w:rPr>
            </w:pPr>
          </w:p>
        </w:tc>
        <w:tc>
          <w:tcPr>
            <w:tcW w:w="1140" w:type="dxa"/>
            <w:tcBorders>
              <w:top w:val="nil"/>
              <w:left w:val="nil"/>
              <w:bottom w:val="nil"/>
              <w:right w:val="nil"/>
            </w:tcBorders>
            <w:noWrap/>
            <w:vAlign w:val="bottom"/>
            <w:hideMark/>
          </w:tcPr>
          <w:p w14:paraId="7366902A" w14:textId="77777777" w:rsidR="00E91426" w:rsidRPr="00E91426" w:rsidRDefault="00E91426" w:rsidP="00E91426">
            <w:pPr>
              <w:widowControl/>
              <w:rPr>
                <w:rFonts w:ascii="Times New Roman" w:eastAsia="Times New Roman" w:hAnsi="Times New Roman" w:cs="Times New Roman"/>
                <w:sz w:val="20"/>
                <w:szCs w:val="20"/>
                <w:lang w:val="en-GB" w:eastAsia="en-GB"/>
              </w:rPr>
            </w:pPr>
          </w:p>
        </w:tc>
        <w:tc>
          <w:tcPr>
            <w:tcW w:w="1036" w:type="dxa"/>
            <w:tcBorders>
              <w:top w:val="nil"/>
              <w:left w:val="nil"/>
              <w:bottom w:val="nil"/>
              <w:right w:val="nil"/>
            </w:tcBorders>
            <w:noWrap/>
            <w:vAlign w:val="bottom"/>
            <w:hideMark/>
          </w:tcPr>
          <w:p w14:paraId="40B59D8F" w14:textId="77777777" w:rsidR="00E91426" w:rsidRPr="00E91426" w:rsidRDefault="00E91426" w:rsidP="00E91426">
            <w:pPr>
              <w:widowControl/>
              <w:rPr>
                <w:rFonts w:ascii="Times New Roman" w:eastAsia="Times New Roman" w:hAnsi="Times New Roman" w:cs="Times New Roman"/>
                <w:sz w:val="20"/>
                <w:szCs w:val="20"/>
                <w:lang w:val="en-GB" w:eastAsia="en-GB"/>
              </w:rPr>
            </w:pPr>
          </w:p>
        </w:tc>
        <w:tc>
          <w:tcPr>
            <w:tcW w:w="1260" w:type="dxa"/>
            <w:tcBorders>
              <w:top w:val="nil"/>
              <w:left w:val="nil"/>
              <w:bottom w:val="nil"/>
              <w:right w:val="nil"/>
            </w:tcBorders>
            <w:noWrap/>
            <w:vAlign w:val="bottom"/>
            <w:hideMark/>
          </w:tcPr>
          <w:p w14:paraId="126A4BFF" w14:textId="77777777" w:rsidR="00E91426" w:rsidRPr="00E91426" w:rsidRDefault="00E91426" w:rsidP="00E91426">
            <w:pPr>
              <w:widowControl/>
              <w:jc w:val="center"/>
              <w:rPr>
                <w:rFonts w:ascii="Times New Roman" w:eastAsia="Times New Roman" w:hAnsi="Times New Roman" w:cs="Times New Roman"/>
                <w:sz w:val="20"/>
                <w:szCs w:val="20"/>
                <w:lang w:val="en-GB" w:eastAsia="en-GB"/>
              </w:rPr>
            </w:pPr>
          </w:p>
        </w:tc>
        <w:tc>
          <w:tcPr>
            <w:tcW w:w="116" w:type="dxa"/>
            <w:tcBorders>
              <w:top w:val="nil"/>
              <w:left w:val="nil"/>
              <w:bottom w:val="nil"/>
              <w:right w:val="nil"/>
            </w:tcBorders>
            <w:noWrap/>
            <w:vAlign w:val="bottom"/>
            <w:hideMark/>
          </w:tcPr>
          <w:p w14:paraId="12F22F56" w14:textId="77777777" w:rsidR="00E91426" w:rsidRPr="00E91426" w:rsidRDefault="00E91426" w:rsidP="00E91426">
            <w:pPr>
              <w:widowControl/>
              <w:jc w:val="center"/>
              <w:rPr>
                <w:rFonts w:ascii="Times New Roman" w:eastAsia="Times New Roman" w:hAnsi="Times New Roman" w:cs="Times New Roman"/>
                <w:sz w:val="20"/>
                <w:szCs w:val="20"/>
                <w:lang w:val="en-GB" w:eastAsia="en-GB"/>
              </w:rPr>
            </w:pPr>
          </w:p>
        </w:tc>
        <w:tc>
          <w:tcPr>
            <w:tcW w:w="1241" w:type="dxa"/>
            <w:tcBorders>
              <w:top w:val="nil"/>
              <w:left w:val="nil"/>
              <w:bottom w:val="nil"/>
              <w:right w:val="nil"/>
            </w:tcBorders>
            <w:noWrap/>
            <w:vAlign w:val="bottom"/>
            <w:hideMark/>
          </w:tcPr>
          <w:p w14:paraId="700EA478" w14:textId="77777777" w:rsidR="00E91426" w:rsidRPr="00E91426" w:rsidRDefault="00E91426" w:rsidP="00E91426">
            <w:pPr>
              <w:widowControl/>
              <w:jc w:val="right"/>
              <w:rPr>
                <w:rFonts w:ascii="Times New Roman" w:eastAsia="Times New Roman" w:hAnsi="Times New Roman" w:cs="Times New Roman"/>
                <w:sz w:val="20"/>
                <w:szCs w:val="20"/>
                <w:lang w:val="en-GB" w:eastAsia="en-GB"/>
              </w:rPr>
            </w:pPr>
          </w:p>
        </w:tc>
      </w:tr>
      <w:tr w:rsidR="00E91426" w:rsidRPr="00E91426" w14:paraId="14F252CB" w14:textId="77777777" w:rsidTr="00E91426">
        <w:trPr>
          <w:trHeight w:val="250"/>
        </w:trPr>
        <w:tc>
          <w:tcPr>
            <w:tcW w:w="3547" w:type="dxa"/>
            <w:tcBorders>
              <w:top w:val="nil"/>
              <w:left w:val="nil"/>
              <w:bottom w:val="nil"/>
              <w:right w:val="nil"/>
            </w:tcBorders>
            <w:vAlign w:val="bottom"/>
            <w:hideMark/>
          </w:tcPr>
          <w:p w14:paraId="35ABB1FF"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 xml:space="preserve">Name </w:t>
            </w:r>
          </w:p>
        </w:tc>
        <w:tc>
          <w:tcPr>
            <w:tcW w:w="2176" w:type="dxa"/>
            <w:gridSpan w:val="2"/>
            <w:tcBorders>
              <w:top w:val="nil"/>
              <w:left w:val="nil"/>
              <w:bottom w:val="nil"/>
              <w:right w:val="nil"/>
            </w:tcBorders>
            <w:vAlign w:val="bottom"/>
            <w:hideMark/>
          </w:tcPr>
          <w:p w14:paraId="16D85E14"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Jon Wade</w:t>
            </w:r>
          </w:p>
        </w:tc>
        <w:tc>
          <w:tcPr>
            <w:tcW w:w="2617" w:type="dxa"/>
            <w:gridSpan w:val="3"/>
            <w:tcBorders>
              <w:top w:val="nil"/>
              <w:left w:val="nil"/>
              <w:bottom w:val="nil"/>
              <w:right w:val="nil"/>
            </w:tcBorders>
            <w:noWrap/>
            <w:vAlign w:val="bottom"/>
            <w:hideMark/>
          </w:tcPr>
          <w:p w14:paraId="059DE1F6"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Simon Wombwell</w:t>
            </w:r>
          </w:p>
        </w:tc>
      </w:tr>
      <w:tr w:rsidR="00E91426" w:rsidRPr="00E91426" w14:paraId="53EF4A65" w14:textId="77777777" w:rsidTr="00E91426">
        <w:trPr>
          <w:trHeight w:val="250"/>
        </w:trPr>
        <w:tc>
          <w:tcPr>
            <w:tcW w:w="3547" w:type="dxa"/>
            <w:tcBorders>
              <w:top w:val="nil"/>
              <w:left w:val="nil"/>
              <w:bottom w:val="nil"/>
              <w:right w:val="nil"/>
            </w:tcBorders>
            <w:vAlign w:val="center"/>
            <w:hideMark/>
          </w:tcPr>
          <w:p w14:paraId="2F5EE09B"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Position</w:t>
            </w:r>
          </w:p>
        </w:tc>
        <w:tc>
          <w:tcPr>
            <w:tcW w:w="2176" w:type="dxa"/>
            <w:gridSpan w:val="2"/>
            <w:tcBorders>
              <w:top w:val="nil"/>
              <w:left w:val="nil"/>
              <w:bottom w:val="nil"/>
              <w:right w:val="nil"/>
            </w:tcBorders>
            <w:vAlign w:val="center"/>
            <w:hideMark/>
          </w:tcPr>
          <w:p w14:paraId="65DB7040"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Chief Executive Officer</w:t>
            </w:r>
          </w:p>
        </w:tc>
        <w:tc>
          <w:tcPr>
            <w:tcW w:w="2617" w:type="dxa"/>
            <w:gridSpan w:val="3"/>
            <w:tcBorders>
              <w:top w:val="nil"/>
              <w:left w:val="nil"/>
              <w:bottom w:val="nil"/>
              <w:right w:val="nil"/>
            </w:tcBorders>
            <w:vAlign w:val="center"/>
            <w:hideMark/>
          </w:tcPr>
          <w:p w14:paraId="2E6E2E34"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Chief Financial Officer</w:t>
            </w:r>
          </w:p>
        </w:tc>
      </w:tr>
      <w:tr w:rsidR="00E91426" w:rsidRPr="00E91426" w14:paraId="0C2737EE" w14:textId="77777777" w:rsidTr="00E91426">
        <w:trPr>
          <w:trHeight w:val="250"/>
        </w:trPr>
        <w:tc>
          <w:tcPr>
            <w:tcW w:w="3547" w:type="dxa"/>
            <w:tcBorders>
              <w:top w:val="nil"/>
              <w:left w:val="nil"/>
              <w:bottom w:val="nil"/>
              <w:right w:val="nil"/>
            </w:tcBorders>
            <w:vAlign w:val="bottom"/>
            <w:hideMark/>
          </w:tcPr>
          <w:p w14:paraId="1E05E5CD"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Date</w:t>
            </w:r>
          </w:p>
        </w:tc>
        <w:tc>
          <w:tcPr>
            <w:tcW w:w="2176" w:type="dxa"/>
            <w:gridSpan w:val="2"/>
            <w:tcBorders>
              <w:top w:val="nil"/>
              <w:left w:val="nil"/>
              <w:bottom w:val="nil"/>
              <w:right w:val="nil"/>
            </w:tcBorders>
            <w:noWrap/>
            <w:vAlign w:val="bottom"/>
            <w:hideMark/>
          </w:tcPr>
          <w:p w14:paraId="634DAC88"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25th June 2025</w:t>
            </w:r>
          </w:p>
        </w:tc>
        <w:tc>
          <w:tcPr>
            <w:tcW w:w="2617" w:type="dxa"/>
            <w:gridSpan w:val="3"/>
            <w:tcBorders>
              <w:top w:val="nil"/>
              <w:left w:val="nil"/>
              <w:bottom w:val="nil"/>
              <w:right w:val="nil"/>
            </w:tcBorders>
            <w:noWrap/>
            <w:vAlign w:val="bottom"/>
            <w:hideMark/>
          </w:tcPr>
          <w:p w14:paraId="35E0CD0D"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25th June 2025</w:t>
            </w:r>
          </w:p>
        </w:tc>
      </w:tr>
    </w:tbl>
    <w:p w14:paraId="57994E85" w14:textId="77777777" w:rsidR="00E91426" w:rsidRPr="00E91426" w:rsidRDefault="00E91426" w:rsidP="00E91426">
      <w:pPr>
        <w:widowControl/>
        <w:spacing w:after="160" w:line="259" w:lineRule="auto"/>
        <w:rPr>
          <w:rFonts w:ascii="Arial" w:eastAsia="Calibri" w:hAnsi="Arial" w:cs="Arial"/>
          <w:sz w:val="20"/>
          <w:szCs w:val="20"/>
          <w:lang w:val="en-GB"/>
        </w:rPr>
        <w:sectPr w:rsidR="00E91426" w:rsidRPr="00E91426" w:rsidSect="00E91426">
          <w:pgSz w:w="11906" w:h="16838"/>
          <w:pgMar w:top="1134" w:right="1440" w:bottom="709" w:left="1440" w:header="708" w:footer="708" w:gutter="0"/>
          <w:cols w:space="708"/>
          <w:titlePg/>
          <w:docGrid w:linePitch="360"/>
        </w:sectPr>
      </w:pPr>
    </w:p>
    <w:p w14:paraId="2F6632D6" w14:textId="77777777" w:rsidR="00E91426" w:rsidRPr="00E91426" w:rsidRDefault="00E91426" w:rsidP="00E91426">
      <w:pPr>
        <w:keepNext/>
        <w:keepLines/>
        <w:widowControl/>
        <w:spacing w:before="240" w:line="259" w:lineRule="auto"/>
        <w:jc w:val="center"/>
        <w:outlineLvl w:val="0"/>
        <w:rPr>
          <w:rFonts w:ascii="Arial" w:eastAsia="Times New Roman" w:hAnsi="Arial" w:cs="Arial"/>
          <w:b/>
          <w:color w:val="000000"/>
          <w:sz w:val="20"/>
          <w:szCs w:val="20"/>
          <w:lang w:val="en-GB"/>
        </w:rPr>
      </w:pPr>
      <w:bookmarkStart w:id="57" w:name="_Toc195698695"/>
      <w:r w:rsidRPr="00E91426">
        <w:rPr>
          <w:rFonts w:ascii="Arial" w:eastAsia="Times New Roman" w:hAnsi="Arial" w:cs="Arial"/>
          <w:b/>
          <w:color w:val="000000"/>
          <w:sz w:val="20"/>
          <w:szCs w:val="20"/>
          <w:lang w:val="en-GB"/>
        </w:rPr>
        <w:lastRenderedPageBreak/>
        <w:t>Statement of Changes in Equity for the year ended 31 March 2025</w:t>
      </w:r>
      <w:bookmarkEnd w:id="57"/>
    </w:p>
    <w:p w14:paraId="7EB91281" w14:textId="77777777" w:rsidR="00E91426" w:rsidRPr="00E91426" w:rsidRDefault="00E91426" w:rsidP="00E91426">
      <w:pPr>
        <w:keepNext/>
        <w:keepLines/>
        <w:widowControl/>
        <w:spacing w:before="240" w:line="259" w:lineRule="auto"/>
        <w:outlineLvl w:val="0"/>
        <w:rPr>
          <w:rFonts w:ascii="Arial" w:eastAsia="Calibri" w:hAnsi="Arial" w:cs="Arial"/>
          <w:sz w:val="20"/>
          <w:szCs w:val="20"/>
          <w:lang w:val="en-GB"/>
        </w:rPr>
      </w:pPr>
    </w:p>
    <w:tbl>
      <w:tblPr>
        <w:tblW w:w="12740" w:type="dxa"/>
        <w:tblLook w:val="04A0" w:firstRow="1" w:lastRow="0" w:firstColumn="1" w:lastColumn="0" w:noHBand="0" w:noVBand="1"/>
      </w:tblPr>
      <w:tblGrid>
        <w:gridCol w:w="5040"/>
        <w:gridCol w:w="1120"/>
        <w:gridCol w:w="1350"/>
        <w:gridCol w:w="1350"/>
        <w:gridCol w:w="1000"/>
        <w:gridCol w:w="960"/>
        <w:gridCol w:w="960"/>
        <w:gridCol w:w="960"/>
      </w:tblGrid>
      <w:tr w:rsidR="00E91426" w:rsidRPr="00E91426" w14:paraId="4A5143DC" w14:textId="77777777" w:rsidTr="00E91426">
        <w:trPr>
          <w:trHeight w:val="765"/>
        </w:trPr>
        <w:tc>
          <w:tcPr>
            <w:tcW w:w="5040" w:type="dxa"/>
            <w:tcBorders>
              <w:top w:val="nil"/>
              <w:left w:val="nil"/>
              <w:bottom w:val="nil"/>
              <w:right w:val="nil"/>
            </w:tcBorders>
            <w:vAlign w:val="bottom"/>
            <w:hideMark/>
          </w:tcPr>
          <w:p w14:paraId="1D07EC1B" w14:textId="77777777" w:rsidR="00E91426" w:rsidRPr="00E91426" w:rsidRDefault="00E91426" w:rsidP="00E91426">
            <w:pPr>
              <w:widowControl/>
              <w:rPr>
                <w:rFonts w:ascii="Arial" w:eastAsia="Times New Roman" w:hAnsi="Arial" w:cs="Arial"/>
                <w:sz w:val="20"/>
                <w:szCs w:val="20"/>
                <w:lang w:val="en-GB" w:eastAsia="en-GB"/>
              </w:rPr>
            </w:pPr>
          </w:p>
        </w:tc>
        <w:tc>
          <w:tcPr>
            <w:tcW w:w="1120" w:type="dxa"/>
            <w:tcBorders>
              <w:top w:val="nil"/>
              <w:left w:val="nil"/>
              <w:bottom w:val="nil"/>
              <w:right w:val="nil"/>
            </w:tcBorders>
            <w:hideMark/>
          </w:tcPr>
          <w:p w14:paraId="53F98A6B"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Public dividend capital</w:t>
            </w:r>
          </w:p>
        </w:tc>
        <w:tc>
          <w:tcPr>
            <w:tcW w:w="1350" w:type="dxa"/>
            <w:tcBorders>
              <w:top w:val="nil"/>
              <w:left w:val="nil"/>
              <w:bottom w:val="nil"/>
              <w:right w:val="nil"/>
            </w:tcBorders>
            <w:hideMark/>
          </w:tcPr>
          <w:p w14:paraId="27401712"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Revaluation reserve</w:t>
            </w:r>
          </w:p>
        </w:tc>
        <w:tc>
          <w:tcPr>
            <w:tcW w:w="1350" w:type="dxa"/>
            <w:tcBorders>
              <w:top w:val="nil"/>
              <w:left w:val="nil"/>
              <w:bottom w:val="nil"/>
              <w:right w:val="nil"/>
            </w:tcBorders>
            <w:hideMark/>
          </w:tcPr>
          <w:p w14:paraId="60C1CC1A"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Income and expenditure reserve</w:t>
            </w:r>
          </w:p>
        </w:tc>
        <w:tc>
          <w:tcPr>
            <w:tcW w:w="1000" w:type="dxa"/>
            <w:tcBorders>
              <w:top w:val="nil"/>
              <w:left w:val="nil"/>
              <w:bottom w:val="nil"/>
              <w:right w:val="nil"/>
            </w:tcBorders>
            <w:hideMark/>
          </w:tcPr>
          <w:p w14:paraId="05BFF4FD"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Total</w:t>
            </w:r>
          </w:p>
        </w:tc>
        <w:tc>
          <w:tcPr>
            <w:tcW w:w="960" w:type="dxa"/>
            <w:tcBorders>
              <w:top w:val="nil"/>
              <w:left w:val="nil"/>
              <w:bottom w:val="nil"/>
              <w:right w:val="nil"/>
            </w:tcBorders>
            <w:vAlign w:val="bottom"/>
            <w:hideMark/>
          </w:tcPr>
          <w:p w14:paraId="302644D5"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60" w:type="dxa"/>
            <w:tcBorders>
              <w:top w:val="nil"/>
              <w:left w:val="nil"/>
              <w:bottom w:val="nil"/>
              <w:right w:val="nil"/>
            </w:tcBorders>
            <w:vAlign w:val="bottom"/>
            <w:hideMark/>
          </w:tcPr>
          <w:p w14:paraId="472B7EB0"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vAlign w:val="bottom"/>
            <w:hideMark/>
          </w:tcPr>
          <w:p w14:paraId="6AA80193"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6C8F1F57" w14:textId="77777777" w:rsidTr="00E91426">
        <w:trPr>
          <w:trHeight w:val="255"/>
        </w:trPr>
        <w:tc>
          <w:tcPr>
            <w:tcW w:w="5040" w:type="dxa"/>
            <w:tcBorders>
              <w:top w:val="nil"/>
              <w:left w:val="nil"/>
              <w:bottom w:val="nil"/>
              <w:right w:val="nil"/>
            </w:tcBorders>
            <w:vAlign w:val="bottom"/>
            <w:hideMark/>
          </w:tcPr>
          <w:p w14:paraId="2AA5387F" w14:textId="77777777" w:rsidR="00E91426" w:rsidRPr="00E91426" w:rsidRDefault="00E91426" w:rsidP="00E91426">
            <w:pPr>
              <w:widowControl/>
              <w:rPr>
                <w:rFonts w:ascii="Arial" w:eastAsia="Times New Roman" w:hAnsi="Arial" w:cs="Arial"/>
                <w:sz w:val="20"/>
                <w:szCs w:val="20"/>
                <w:lang w:val="en-GB" w:eastAsia="en-GB"/>
              </w:rPr>
            </w:pPr>
          </w:p>
        </w:tc>
        <w:tc>
          <w:tcPr>
            <w:tcW w:w="1120" w:type="dxa"/>
            <w:tcBorders>
              <w:top w:val="nil"/>
              <w:left w:val="nil"/>
              <w:bottom w:val="nil"/>
              <w:right w:val="nil"/>
            </w:tcBorders>
            <w:vAlign w:val="bottom"/>
            <w:hideMark/>
          </w:tcPr>
          <w:p w14:paraId="1F75375B"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1350" w:type="dxa"/>
            <w:tcBorders>
              <w:top w:val="nil"/>
              <w:left w:val="nil"/>
              <w:bottom w:val="nil"/>
              <w:right w:val="nil"/>
            </w:tcBorders>
            <w:vAlign w:val="bottom"/>
            <w:hideMark/>
          </w:tcPr>
          <w:p w14:paraId="6ED9620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1350" w:type="dxa"/>
            <w:tcBorders>
              <w:top w:val="nil"/>
              <w:left w:val="nil"/>
              <w:bottom w:val="nil"/>
              <w:right w:val="nil"/>
            </w:tcBorders>
            <w:vAlign w:val="bottom"/>
            <w:hideMark/>
          </w:tcPr>
          <w:p w14:paraId="249229F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1000" w:type="dxa"/>
            <w:tcBorders>
              <w:top w:val="nil"/>
              <w:left w:val="nil"/>
              <w:bottom w:val="nil"/>
              <w:right w:val="nil"/>
            </w:tcBorders>
            <w:vAlign w:val="bottom"/>
            <w:hideMark/>
          </w:tcPr>
          <w:p w14:paraId="1661B68A"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960" w:type="dxa"/>
            <w:tcBorders>
              <w:top w:val="nil"/>
              <w:left w:val="nil"/>
              <w:bottom w:val="nil"/>
              <w:right w:val="nil"/>
            </w:tcBorders>
            <w:noWrap/>
            <w:vAlign w:val="bottom"/>
            <w:hideMark/>
          </w:tcPr>
          <w:p w14:paraId="3DA487A0"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60" w:type="dxa"/>
            <w:tcBorders>
              <w:top w:val="nil"/>
              <w:left w:val="nil"/>
              <w:bottom w:val="nil"/>
              <w:right w:val="nil"/>
            </w:tcBorders>
            <w:noWrap/>
            <w:vAlign w:val="bottom"/>
            <w:hideMark/>
          </w:tcPr>
          <w:p w14:paraId="6BF3E781"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noWrap/>
            <w:vAlign w:val="bottom"/>
            <w:hideMark/>
          </w:tcPr>
          <w:p w14:paraId="07052CAA"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46256BF5" w14:textId="77777777" w:rsidTr="00E91426">
        <w:trPr>
          <w:trHeight w:val="255"/>
        </w:trPr>
        <w:tc>
          <w:tcPr>
            <w:tcW w:w="5040" w:type="dxa"/>
            <w:tcBorders>
              <w:top w:val="nil"/>
              <w:left w:val="nil"/>
              <w:bottom w:val="nil"/>
              <w:right w:val="nil"/>
            </w:tcBorders>
            <w:vAlign w:val="bottom"/>
            <w:hideMark/>
          </w:tcPr>
          <w:p w14:paraId="49B2458A"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Taxpayers' equity at 1 April 2024 - brought forward</w:t>
            </w:r>
          </w:p>
        </w:tc>
        <w:tc>
          <w:tcPr>
            <w:tcW w:w="1120" w:type="dxa"/>
            <w:tcBorders>
              <w:top w:val="nil"/>
              <w:left w:val="nil"/>
              <w:bottom w:val="nil"/>
              <w:right w:val="nil"/>
            </w:tcBorders>
            <w:noWrap/>
            <w:vAlign w:val="bottom"/>
            <w:hideMark/>
          </w:tcPr>
          <w:p w14:paraId="57229F90"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489,836</w:t>
            </w:r>
          </w:p>
        </w:tc>
        <w:tc>
          <w:tcPr>
            <w:tcW w:w="1350" w:type="dxa"/>
            <w:tcBorders>
              <w:top w:val="nil"/>
              <w:left w:val="nil"/>
              <w:bottom w:val="nil"/>
              <w:right w:val="nil"/>
            </w:tcBorders>
            <w:noWrap/>
            <w:vAlign w:val="bottom"/>
            <w:hideMark/>
          </w:tcPr>
          <w:p w14:paraId="66504EBF"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61,181</w:t>
            </w:r>
          </w:p>
        </w:tc>
        <w:tc>
          <w:tcPr>
            <w:tcW w:w="1350" w:type="dxa"/>
            <w:tcBorders>
              <w:top w:val="nil"/>
              <w:left w:val="nil"/>
              <w:bottom w:val="nil"/>
              <w:right w:val="nil"/>
            </w:tcBorders>
            <w:noWrap/>
            <w:vAlign w:val="bottom"/>
            <w:hideMark/>
          </w:tcPr>
          <w:p w14:paraId="31E9E3C2"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(275,399)</w:t>
            </w:r>
          </w:p>
        </w:tc>
        <w:tc>
          <w:tcPr>
            <w:tcW w:w="1000" w:type="dxa"/>
            <w:tcBorders>
              <w:top w:val="nil"/>
              <w:left w:val="nil"/>
              <w:bottom w:val="nil"/>
              <w:right w:val="nil"/>
            </w:tcBorders>
            <w:noWrap/>
            <w:vAlign w:val="bottom"/>
            <w:hideMark/>
          </w:tcPr>
          <w:p w14:paraId="74D3524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275,618</w:t>
            </w:r>
          </w:p>
        </w:tc>
        <w:tc>
          <w:tcPr>
            <w:tcW w:w="960" w:type="dxa"/>
            <w:tcBorders>
              <w:top w:val="nil"/>
              <w:left w:val="nil"/>
              <w:bottom w:val="nil"/>
              <w:right w:val="nil"/>
            </w:tcBorders>
            <w:noWrap/>
            <w:vAlign w:val="bottom"/>
            <w:hideMark/>
          </w:tcPr>
          <w:p w14:paraId="6A09697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60" w:type="dxa"/>
            <w:tcBorders>
              <w:top w:val="nil"/>
              <w:left w:val="nil"/>
              <w:bottom w:val="nil"/>
              <w:right w:val="nil"/>
            </w:tcBorders>
            <w:noWrap/>
            <w:vAlign w:val="bottom"/>
            <w:hideMark/>
          </w:tcPr>
          <w:p w14:paraId="061F6F5F"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noWrap/>
            <w:vAlign w:val="bottom"/>
            <w:hideMark/>
          </w:tcPr>
          <w:p w14:paraId="7F003605"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7FCA6A05" w14:textId="77777777" w:rsidTr="00E91426">
        <w:trPr>
          <w:trHeight w:val="255"/>
        </w:trPr>
        <w:tc>
          <w:tcPr>
            <w:tcW w:w="5040" w:type="dxa"/>
            <w:tcBorders>
              <w:top w:val="nil"/>
              <w:left w:val="nil"/>
              <w:bottom w:val="nil"/>
              <w:right w:val="nil"/>
            </w:tcBorders>
            <w:vAlign w:val="bottom"/>
            <w:hideMark/>
          </w:tcPr>
          <w:p w14:paraId="24AB5F83"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Deficit for the year</w:t>
            </w:r>
          </w:p>
        </w:tc>
        <w:tc>
          <w:tcPr>
            <w:tcW w:w="1120" w:type="dxa"/>
            <w:tcBorders>
              <w:top w:val="nil"/>
              <w:left w:val="nil"/>
              <w:bottom w:val="nil"/>
              <w:right w:val="nil"/>
            </w:tcBorders>
            <w:noWrap/>
            <w:vAlign w:val="bottom"/>
            <w:hideMark/>
          </w:tcPr>
          <w:p w14:paraId="5D7BDF55"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350" w:type="dxa"/>
            <w:tcBorders>
              <w:top w:val="nil"/>
              <w:left w:val="nil"/>
              <w:bottom w:val="nil"/>
              <w:right w:val="nil"/>
            </w:tcBorders>
            <w:noWrap/>
            <w:vAlign w:val="bottom"/>
            <w:hideMark/>
          </w:tcPr>
          <w:p w14:paraId="7433A94D"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350" w:type="dxa"/>
            <w:tcBorders>
              <w:top w:val="nil"/>
              <w:left w:val="nil"/>
              <w:bottom w:val="nil"/>
              <w:right w:val="nil"/>
            </w:tcBorders>
            <w:noWrap/>
            <w:vAlign w:val="bottom"/>
            <w:hideMark/>
          </w:tcPr>
          <w:p w14:paraId="7CF2DE9D"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(17,118)</w:t>
            </w:r>
          </w:p>
        </w:tc>
        <w:tc>
          <w:tcPr>
            <w:tcW w:w="1000" w:type="dxa"/>
            <w:tcBorders>
              <w:top w:val="nil"/>
              <w:left w:val="nil"/>
              <w:bottom w:val="nil"/>
              <w:right w:val="nil"/>
            </w:tcBorders>
            <w:noWrap/>
            <w:vAlign w:val="bottom"/>
            <w:hideMark/>
          </w:tcPr>
          <w:p w14:paraId="0C531FC1"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(17,118)</w:t>
            </w:r>
          </w:p>
        </w:tc>
        <w:tc>
          <w:tcPr>
            <w:tcW w:w="960" w:type="dxa"/>
            <w:tcBorders>
              <w:top w:val="nil"/>
              <w:left w:val="nil"/>
              <w:bottom w:val="nil"/>
              <w:right w:val="nil"/>
            </w:tcBorders>
            <w:noWrap/>
            <w:vAlign w:val="bottom"/>
            <w:hideMark/>
          </w:tcPr>
          <w:p w14:paraId="6BF5E62F"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60" w:type="dxa"/>
            <w:tcBorders>
              <w:top w:val="nil"/>
              <w:left w:val="nil"/>
              <w:bottom w:val="nil"/>
              <w:right w:val="nil"/>
            </w:tcBorders>
            <w:noWrap/>
            <w:vAlign w:val="bottom"/>
            <w:hideMark/>
          </w:tcPr>
          <w:p w14:paraId="538C8652"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noWrap/>
            <w:vAlign w:val="bottom"/>
            <w:hideMark/>
          </w:tcPr>
          <w:p w14:paraId="5109CB55"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68749147" w14:textId="77777777" w:rsidTr="00E91426">
        <w:trPr>
          <w:trHeight w:val="255"/>
        </w:trPr>
        <w:tc>
          <w:tcPr>
            <w:tcW w:w="5040" w:type="dxa"/>
            <w:tcBorders>
              <w:top w:val="nil"/>
              <w:left w:val="nil"/>
              <w:bottom w:val="nil"/>
              <w:right w:val="nil"/>
            </w:tcBorders>
            <w:vAlign w:val="bottom"/>
            <w:hideMark/>
          </w:tcPr>
          <w:p w14:paraId="13524279"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Net impairments</w:t>
            </w:r>
          </w:p>
        </w:tc>
        <w:tc>
          <w:tcPr>
            <w:tcW w:w="1120" w:type="dxa"/>
            <w:tcBorders>
              <w:top w:val="nil"/>
              <w:left w:val="nil"/>
              <w:bottom w:val="nil"/>
              <w:right w:val="nil"/>
            </w:tcBorders>
            <w:noWrap/>
            <w:vAlign w:val="bottom"/>
            <w:hideMark/>
          </w:tcPr>
          <w:p w14:paraId="55CCCAC9"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350" w:type="dxa"/>
            <w:tcBorders>
              <w:top w:val="nil"/>
              <w:left w:val="nil"/>
              <w:bottom w:val="nil"/>
              <w:right w:val="nil"/>
            </w:tcBorders>
            <w:noWrap/>
            <w:vAlign w:val="bottom"/>
            <w:hideMark/>
          </w:tcPr>
          <w:p w14:paraId="2C8C6F04"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(4,513)</w:t>
            </w:r>
          </w:p>
        </w:tc>
        <w:tc>
          <w:tcPr>
            <w:tcW w:w="1350" w:type="dxa"/>
            <w:tcBorders>
              <w:top w:val="nil"/>
              <w:left w:val="nil"/>
              <w:bottom w:val="nil"/>
              <w:right w:val="nil"/>
            </w:tcBorders>
            <w:noWrap/>
            <w:vAlign w:val="bottom"/>
            <w:hideMark/>
          </w:tcPr>
          <w:p w14:paraId="228BB8CF"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000" w:type="dxa"/>
            <w:tcBorders>
              <w:top w:val="nil"/>
              <w:left w:val="nil"/>
              <w:bottom w:val="nil"/>
              <w:right w:val="nil"/>
            </w:tcBorders>
            <w:noWrap/>
            <w:vAlign w:val="bottom"/>
            <w:hideMark/>
          </w:tcPr>
          <w:p w14:paraId="653D9432"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(4,513)</w:t>
            </w:r>
          </w:p>
        </w:tc>
        <w:tc>
          <w:tcPr>
            <w:tcW w:w="960" w:type="dxa"/>
            <w:tcBorders>
              <w:top w:val="nil"/>
              <w:left w:val="nil"/>
              <w:bottom w:val="nil"/>
              <w:right w:val="nil"/>
            </w:tcBorders>
            <w:noWrap/>
            <w:vAlign w:val="bottom"/>
            <w:hideMark/>
          </w:tcPr>
          <w:p w14:paraId="066B2872"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60" w:type="dxa"/>
            <w:tcBorders>
              <w:top w:val="nil"/>
              <w:left w:val="nil"/>
              <w:bottom w:val="nil"/>
              <w:right w:val="nil"/>
            </w:tcBorders>
            <w:noWrap/>
            <w:vAlign w:val="bottom"/>
            <w:hideMark/>
          </w:tcPr>
          <w:p w14:paraId="57FB4E91"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noWrap/>
            <w:vAlign w:val="bottom"/>
            <w:hideMark/>
          </w:tcPr>
          <w:p w14:paraId="5F01F082"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6A4219FC" w14:textId="77777777" w:rsidTr="00E91426">
        <w:trPr>
          <w:trHeight w:val="255"/>
        </w:trPr>
        <w:tc>
          <w:tcPr>
            <w:tcW w:w="5040" w:type="dxa"/>
            <w:tcBorders>
              <w:top w:val="nil"/>
              <w:left w:val="nil"/>
              <w:bottom w:val="nil"/>
              <w:right w:val="nil"/>
            </w:tcBorders>
            <w:vAlign w:val="bottom"/>
            <w:hideMark/>
          </w:tcPr>
          <w:p w14:paraId="5AF639C4"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Revaluations - property, plant and equipment</w:t>
            </w:r>
          </w:p>
        </w:tc>
        <w:tc>
          <w:tcPr>
            <w:tcW w:w="1120" w:type="dxa"/>
            <w:tcBorders>
              <w:top w:val="nil"/>
              <w:left w:val="nil"/>
              <w:bottom w:val="nil"/>
              <w:right w:val="nil"/>
            </w:tcBorders>
            <w:noWrap/>
            <w:vAlign w:val="bottom"/>
            <w:hideMark/>
          </w:tcPr>
          <w:p w14:paraId="33130067"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350" w:type="dxa"/>
            <w:tcBorders>
              <w:top w:val="nil"/>
              <w:left w:val="nil"/>
              <w:bottom w:val="nil"/>
              <w:right w:val="nil"/>
            </w:tcBorders>
            <w:noWrap/>
            <w:vAlign w:val="bottom"/>
            <w:hideMark/>
          </w:tcPr>
          <w:p w14:paraId="7B032DFB"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6,929</w:t>
            </w:r>
          </w:p>
        </w:tc>
        <w:tc>
          <w:tcPr>
            <w:tcW w:w="1350" w:type="dxa"/>
            <w:tcBorders>
              <w:top w:val="nil"/>
              <w:left w:val="nil"/>
              <w:bottom w:val="nil"/>
              <w:right w:val="nil"/>
            </w:tcBorders>
            <w:noWrap/>
            <w:vAlign w:val="bottom"/>
            <w:hideMark/>
          </w:tcPr>
          <w:p w14:paraId="4407E9B9"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000" w:type="dxa"/>
            <w:tcBorders>
              <w:top w:val="nil"/>
              <w:left w:val="nil"/>
              <w:bottom w:val="nil"/>
              <w:right w:val="nil"/>
            </w:tcBorders>
            <w:noWrap/>
            <w:vAlign w:val="bottom"/>
            <w:hideMark/>
          </w:tcPr>
          <w:p w14:paraId="7E9E3BA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6,929</w:t>
            </w:r>
          </w:p>
        </w:tc>
        <w:tc>
          <w:tcPr>
            <w:tcW w:w="960" w:type="dxa"/>
            <w:tcBorders>
              <w:top w:val="nil"/>
              <w:left w:val="nil"/>
              <w:bottom w:val="nil"/>
              <w:right w:val="nil"/>
            </w:tcBorders>
            <w:noWrap/>
            <w:vAlign w:val="bottom"/>
            <w:hideMark/>
          </w:tcPr>
          <w:p w14:paraId="1762EFD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60" w:type="dxa"/>
            <w:tcBorders>
              <w:top w:val="nil"/>
              <w:left w:val="nil"/>
              <w:bottom w:val="nil"/>
              <w:right w:val="nil"/>
            </w:tcBorders>
            <w:noWrap/>
            <w:vAlign w:val="bottom"/>
            <w:hideMark/>
          </w:tcPr>
          <w:p w14:paraId="49974532"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noWrap/>
            <w:vAlign w:val="bottom"/>
            <w:hideMark/>
          </w:tcPr>
          <w:p w14:paraId="4B467D4F"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212387EA" w14:textId="77777777" w:rsidTr="00E91426">
        <w:trPr>
          <w:trHeight w:val="255"/>
        </w:trPr>
        <w:tc>
          <w:tcPr>
            <w:tcW w:w="5040" w:type="dxa"/>
            <w:tcBorders>
              <w:top w:val="nil"/>
              <w:left w:val="nil"/>
              <w:bottom w:val="nil"/>
              <w:right w:val="nil"/>
            </w:tcBorders>
            <w:vAlign w:val="bottom"/>
            <w:hideMark/>
          </w:tcPr>
          <w:p w14:paraId="04EBD408"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Transfer to retained earnings on disposal of assets</w:t>
            </w:r>
          </w:p>
        </w:tc>
        <w:tc>
          <w:tcPr>
            <w:tcW w:w="1120" w:type="dxa"/>
            <w:tcBorders>
              <w:top w:val="nil"/>
              <w:left w:val="nil"/>
              <w:bottom w:val="nil"/>
              <w:right w:val="nil"/>
            </w:tcBorders>
            <w:noWrap/>
            <w:vAlign w:val="bottom"/>
            <w:hideMark/>
          </w:tcPr>
          <w:p w14:paraId="6631F791"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350" w:type="dxa"/>
            <w:tcBorders>
              <w:top w:val="nil"/>
              <w:left w:val="nil"/>
              <w:bottom w:val="nil"/>
              <w:right w:val="nil"/>
            </w:tcBorders>
            <w:noWrap/>
            <w:vAlign w:val="bottom"/>
            <w:hideMark/>
          </w:tcPr>
          <w:p w14:paraId="25F36C84"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(12)</w:t>
            </w:r>
          </w:p>
        </w:tc>
        <w:tc>
          <w:tcPr>
            <w:tcW w:w="1350" w:type="dxa"/>
            <w:tcBorders>
              <w:top w:val="nil"/>
              <w:left w:val="nil"/>
              <w:bottom w:val="nil"/>
              <w:right w:val="nil"/>
            </w:tcBorders>
            <w:noWrap/>
            <w:vAlign w:val="bottom"/>
            <w:hideMark/>
          </w:tcPr>
          <w:p w14:paraId="0696BA94"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12</w:t>
            </w:r>
          </w:p>
        </w:tc>
        <w:tc>
          <w:tcPr>
            <w:tcW w:w="1000" w:type="dxa"/>
            <w:tcBorders>
              <w:top w:val="nil"/>
              <w:left w:val="nil"/>
              <w:bottom w:val="nil"/>
              <w:right w:val="nil"/>
            </w:tcBorders>
            <w:noWrap/>
            <w:vAlign w:val="bottom"/>
            <w:hideMark/>
          </w:tcPr>
          <w:p w14:paraId="5F808333"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0</w:t>
            </w:r>
          </w:p>
        </w:tc>
        <w:tc>
          <w:tcPr>
            <w:tcW w:w="960" w:type="dxa"/>
            <w:tcBorders>
              <w:top w:val="nil"/>
              <w:left w:val="nil"/>
              <w:bottom w:val="nil"/>
              <w:right w:val="nil"/>
            </w:tcBorders>
            <w:noWrap/>
            <w:vAlign w:val="bottom"/>
            <w:hideMark/>
          </w:tcPr>
          <w:p w14:paraId="603627A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60" w:type="dxa"/>
            <w:tcBorders>
              <w:top w:val="nil"/>
              <w:left w:val="nil"/>
              <w:bottom w:val="nil"/>
              <w:right w:val="nil"/>
            </w:tcBorders>
            <w:noWrap/>
            <w:vAlign w:val="bottom"/>
            <w:hideMark/>
          </w:tcPr>
          <w:p w14:paraId="189BE944"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noWrap/>
            <w:vAlign w:val="bottom"/>
            <w:hideMark/>
          </w:tcPr>
          <w:p w14:paraId="3050A700"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5D30199B" w14:textId="77777777" w:rsidTr="00E91426">
        <w:trPr>
          <w:trHeight w:val="255"/>
        </w:trPr>
        <w:tc>
          <w:tcPr>
            <w:tcW w:w="5040" w:type="dxa"/>
            <w:tcBorders>
              <w:top w:val="nil"/>
              <w:left w:val="nil"/>
              <w:bottom w:val="nil"/>
              <w:right w:val="nil"/>
            </w:tcBorders>
            <w:vAlign w:val="bottom"/>
            <w:hideMark/>
          </w:tcPr>
          <w:p w14:paraId="6B21D879"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Public dividend capital received</w:t>
            </w:r>
          </w:p>
        </w:tc>
        <w:tc>
          <w:tcPr>
            <w:tcW w:w="1120" w:type="dxa"/>
            <w:tcBorders>
              <w:top w:val="nil"/>
              <w:left w:val="nil"/>
              <w:bottom w:val="nil"/>
              <w:right w:val="nil"/>
            </w:tcBorders>
            <w:noWrap/>
            <w:vAlign w:val="bottom"/>
            <w:hideMark/>
          </w:tcPr>
          <w:p w14:paraId="0C7A8A34"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21,406</w:t>
            </w:r>
          </w:p>
        </w:tc>
        <w:tc>
          <w:tcPr>
            <w:tcW w:w="1350" w:type="dxa"/>
            <w:tcBorders>
              <w:top w:val="nil"/>
              <w:left w:val="nil"/>
              <w:bottom w:val="nil"/>
              <w:right w:val="nil"/>
            </w:tcBorders>
            <w:noWrap/>
            <w:vAlign w:val="bottom"/>
            <w:hideMark/>
          </w:tcPr>
          <w:p w14:paraId="5414A443"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350" w:type="dxa"/>
            <w:tcBorders>
              <w:top w:val="nil"/>
              <w:left w:val="nil"/>
              <w:bottom w:val="nil"/>
              <w:right w:val="nil"/>
            </w:tcBorders>
            <w:noWrap/>
            <w:vAlign w:val="bottom"/>
            <w:hideMark/>
          </w:tcPr>
          <w:p w14:paraId="36EE8119"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000" w:type="dxa"/>
            <w:tcBorders>
              <w:top w:val="nil"/>
              <w:left w:val="nil"/>
              <w:bottom w:val="nil"/>
              <w:right w:val="nil"/>
            </w:tcBorders>
            <w:noWrap/>
            <w:vAlign w:val="bottom"/>
            <w:hideMark/>
          </w:tcPr>
          <w:p w14:paraId="76DB5EFD"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21,406</w:t>
            </w:r>
          </w:p>
        </w:tc>
        <w:tc>
          <w:tcPr>
            <w:tcW w:w="960" w:type="dxa"/>
            <w:tcBorders>
              <w:top w:val="nil"/>
              <w:left w:val="nil"/>
              <w:bottom w:val="nil"/>
              <w:right w:val="nil"/>
            </w:tcBorders>
            <w:noWrap/>
            <w:vAlign w:val="bottom"/>
            <w:hideMark/>
          </w:tcPr>
          <w:p w14:paraId="58D817FB"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60" w:type="dxa"/>
            <w:tcBorders>
              <w:top w:val="nil"/>
              <w:left w:val="nil"/>
              <w:bottom w:val="nil"/>
              <w:right w:val="nil"/>
            </w:tcBorders>
            <w:noWrap/>
            <w:vAlign w:val="bottom"/>
            <w:hideMark/>
          </w:tcPr>
          <w:p w14:paraId="751CCCA0"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noWrap/>
            <w:vAlign w:val="bottom"/>
            <w:hideMark/>
          </w:tcPr>
          <w:p w14:paraId="6CE30B29"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710AE01F" w14:textId="77777777" w:rsidTr="00E91426">
        <w:trPr>
          <w:trHeight w:val="270"/>
        </w:trPr>
        <w:tc>
          <w:tcPr>
            <w:tcW w:w="5040" w:type="dxa"/>
            <w:tcBorders>
              <w:top w:val="nil"/>
              <w:left w:val="nil"/>
              <w:bottom w:val="nil"/>
              <w:right w:val="nil"/>
            </w:tcBorders>
            <w:noWrap/>
            <w:vAlign w:val="bottom"/>
            <w:hideMark/>
          </w:tcPr>
          <w:p w14:paraId="195336F0"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Taxpayers' equity at 31 March 2025</w:t>
            </w:r>
          </w:p>
        </w:tc>
        <w:tc>
          <w:tcPr>
            <w:tcW w:w="1120" w:type="dxa"/>
            <w:tcBorders>
              <w:top w:val="single" w:sz="4" w:space="0" w:color="auto"/>
              <w:left w:val="nil"/>
              <w:bottom w:val="double" w:sz="6" w:space="0" w:color="auto"/>
              <w:right w:val="nil"/>
            </w:tcBorders>
            <w:noWrap/>
            <w:vAlign w:val="bottom"/>
            <w:hideMark/>
          </w:tcPr>
          <w:p w14:paraId="286F50AF"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511,242</w:t>
            </w:r>
          </w:p>
        </w:tc>
        <w:tc>
          <w:tcPr>
            <w:tcW w:w="1350" w:type="dxa"/>
            <w:tcBorders>
              <w:top w:val="single" w:sz="4" w:space="0" w:color="auto"/>
              <w:left w:val="nil"/>
              <w:bottom w:val="double" w:sz="6" w:space="0" w:color="auto"/>
              <w:right w:val="nil"/>
            </w:tcBorders>
            <w:noWrap/>
            <w:vAlign w:val="bottom"/>
            <w:hideMark/>
          </w:tcPr>
          <w:p w14:paraId="5177059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63,585</w:t>
            </w:r>
          </w:p>
        </w:tc>
        <w:tc>
          <w:tcPr>
            <w:tcW w:w="1350" w:type="dxa"/>
            <w:tcBorders>
              <w:top w:val="single" w:sz="4" w:space="0" w:color="auto"/>
              <w:left w:val="nil"/>
              <w:bottom w:val="double" w:sz="6" w:space="0" w:color="auto"/>
              <w:right w:val="nil"/>
            </w:tcBorders>
            <w:noWrap/>
            <w:vAlign w:val="bottom"/>
            <w:hideMark/>
          </w:tcPr>
          <w:p w14:paraId="5E1E5EA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(292,505)</w:t>
            </w:r>
          </w:p>
        </w:tc>
        <w:tc>
          <w:tcPr>
            <w:tcW w:w="1000" w:type="dxa"/>
            <w:tcBorders>
              <w:top w:val="single" w:sz="4" w:space="0" w:color="auto"/>
              <w:left w:val="nil"/>
              <w:bottom w:val="double" w:sz="6" w:space="0" w:color="auto"/>
              <w:right w:val="nil"/>
            </w:tcBorders>
            <w:noWrap/>
            <w:vAlign w:val="bottom"/>
            <w:hideMark/>
          </w:tcPr>
          <w:p w14:paraId="4E21FC9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282,322</w:t>
            </w:r>
          </w:p>
        </w:tc>
        <w:tc>
          <w:tcPr>
            <w:tcW w:w="960" w:type="dxa"/>
            <w:tcBorders>
              <w:top w:val="nil"/>
              <w:left w:val="nil"/>
              <w:bottom w:val="nil"/>
              <w:right w:val="nil"/>
            </w:tcBorders>
            <w:noWrap/>
            <w:vAlign w:val="bottom"/>
            <w:hideMark/>
          </w:tcPr>
          <w:p w14:paraId="08E50BF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60" w:type="dxa"/>
            <w:tcBorders>
              <w:top w:val="nil"/>
              <w:left w:val="nil"/>
              <w:bottom w:val="nil"/>
              <w:right w:val="nil"/>
            </w:tcBorders>
            <w:noWrap/>
            <w:vAlign w:val="bottom"/>
            <w:hideMark/>
          </w:tcPr>
          <w:p w14:paraId="56090960"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noWrap/>
            <w:vAlign w:val="bottom"/>
            <w:hideMark/>
          </w:tcPr>
          <w:p w14:paraId="33B99160"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2759BDD7" w14:textId="77777777" w:rsidTr="00E91426">
        <w:trPr>
          <w:trHeight w:val="270"/>
        </w:trPr>
        <w:tc>
          <w:tcPr>
            <w:tcW w:w="5040" w:type="dxa"/>
            <w:tcBorders>
              <w:top w:val="nil"/>
              <w:left w:val="nil"/>
              <w:bottom w:val="nil"/>
              <w:right w:val="nil"/>
            </w:tcBorders>
            <w:vAlign w:val="bottom"/>
            <w:hideMark/>
          </w:tcPr>
          <w:p w14:paraId="4944F3B5" w14:textId="77777777" w:rsidR="00E91426" w:rsidRPr="00E91426" w:rsidRDefault="00E91426" w:rsidP="00E91426">
            <w:pPr>
              <w:widowControl/>
              <w:rPr>
                <w:rFonts w:ascii="Arial" w:eastAsia="Times New Roman" w:hAnsi="Arial" w:cs="Arial"/>
                <w:sz w:val="20"/>
                <w:szCs w:val="20"/>
                <w:lang w:val="en-GB" w:eastAsia="en-GB"/>
              </w:rPr>
            </w:pPr>
          </w:p>
        </w:tc>
        <w:tc>
          <w:tcPr>
            <w:tcW w:w="1120" w:type="dxa"/>
            <w:tcBorders>
              <w:top w:val="nil"/>
              <w:left w:val="nil"/>
              <w:bottom w:val="nil"/>
              <w:right w:val="nil"/>
            </w:tcBorders>
            <w:noWrap/>
            <w:vAlign w:val="bottom"/>
            <w:hideMark/>
          </w:tcPr>
          <w:p w14:paraId="754636B3" w14:textId="77777777" w:rsidR="00E91426" w:rsidRPr="00E91426" w:rsidRDefault="00E91426" w:rsidP="00E91426">
            <w:pPr>
              <w:widowControl/>
              <w:rPr>
                <w:rFonts w:ascii="Arial" w:eastAsia="Times New Roman" w:hAnsi="Arial" w:cs="Arial"/>
                <w:sz w:val="20"/>
                <w:szCs w:val="20"/>
                <w:lang w:val="en-GB" w:eastAsia="en-GB"/>
              </w:rPr>
            </w:pPr>
          </w:p>
        </w:tc>
        <w:tc>
          <w:tcPr>
            <w:tcW w:w="1350" w:type="dxa"/>
            <w:tcBorders>
              <w:top w:val="nil"/>
              <w:left w:val="nil"/>
              <w:bottom w:val="nil"/>
              <w:right w:val="nil"/>
            </w:tcBorders>
            <w:noWrap/>
            <w:vAlign w:val="bottom"/>
            <w:hideMark/>
          </w:tcPr>
          <w:p w14:paraId="21AD69F7"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350" w:type="dxa"/>
            <w:tcBorders>
              <w:top w:val="nil"/>
              <w:left w:val="nil"/>
              <w:bottom w:val="nil"/>
              <w:right w:val="nil"/>
            </w:tcBorders>
            <w:noWrap/>
            <w:vAlign w:val="bottom"/>
            <w:hideMark/>
          </w:tcPr>
          <w:p w14:paraId="14C6E2CE"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000" w:type="dxa"/>
            <w:tcBorders>
              <w:top w:val="nil"/>
              <w:left w:val="nil"/>
              <w:bottom w:val="nil"/>
              <w:right w:val="nil"/>
            </w:tcBorders>
            <w:noWrap/>
            <w:vAlign w:val="bottom"/>
            <w:hideMark/>
          </w:tcPr>
          <w:p w14:paraId="2CF7A38C" w14:textId="77777777" w:rsidR="00E91426" w:rsidRPr="00E91426" w:rsidRDefault="00E91426" w:rsidP="00E91426">
            <w:pPr>
              <w:widowControl/>
              <w:jc w:val="right"/>
              <w:rPr>
                <w:rFonts w:ascii="Arial" w:eastAsia="Times New Roman" w:hAnsi="Arial" w:cs="Arial"/>
                <w:sz w:val="20"/>
                <w:szCs w:val="20"/>
                <w:lang w:val="en-GB" w:eastAsia="en-GB"/>
              </w:rPr>
            </w:pPr>
          </w:p>
        </w:tc>
        <w:tc>
          <w:tcPr>
            <w:tcW w:w="960" w:type="dxa"/>
            <w:tcBorders>
              <w:top w:val="nil"/>
              <w:left w:val="nil"/>
              <w:bottom w:val="nil"/>
              <w:right w:val="nil"/>
            </w:tcBorders>
            <w:noWrap/>
            <w:vAlign w:val="bottom"/>
            <w:hideMark/>
          </w:tcPr>
          <w:p w14:paraId="3349F9DE" w14:textId="77777777" w:rsidR="00E91426" w:rsidRPr="00E91426" w:rsidRDefault="00E91426" w:rsidP="00E91426">
            <w:pPr>
              <w:widowControl/>
              <w:jc w:val="right"/>
              <w:rPr>
                <w:rFonts w:ascii="Arial" w:eastAsia="Times New Roman" w:hAnsi="Arial" w:cs="Arial"/>
                <w:sz w:val="20"/>
                <w:szCs w:val="20"/>
                <w:lang w:val="en-GB" w:eastAsia="en-GB"/>
              </w:rPr>
            </w:pPr>
          </w:p>
        </w:tc>
        <w:tc>
          <w:tcPr>
            <w:tcW w:w="960" w:type="dxa"/>
            <w:tcBorders>
              <w:top w:val="nil"/>
              <w:left w:val="nil"/>
              <w:bottom w:val="nil"/>
              <w:right w:val="nil"/>
            </w:tcBorders>
            <w:noWrap/>
            <w:vAlign w:val="bottom"/>
            <w:hideMark/>
          </w:tcPr>
          <w:p w14:paraId="3803827B"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noWrap/>
            <w:vAlign w:val="bottom"/>
            <w:hideMark/>
          </w:tcPr>
          <w:p w14:paraId="79B17170"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55E58BFE" w14:textId="77777777" w:rsidTr="00E91426">
        <w:trPr>
          <w:trHeight w:val="255"/>
        </w:trPr>
        <w:tc>
          <w:tcPr>
            <w:tcW w:w="5040" w:type="dxa"/>
            <w:tcBorders>
              <w:top w:val="nil"/>
              <w:left w:val="nil"/>
              <w:bottom w:val="nil"/>
              <w:right w:val="nil"/>
            </w:tcBorders>
            <w:vAlign w:val="bottom"/>
            <w:hideMark/>
          </w:tcPr>
          <w:p w14:paraId="38D4A72A" w14:textId="77777777" w:rsidR="00E91426" w:rsidRPr="00E91426" w:rsidRDefault="00E91426" w:rsidP="00E91426">
            <w:pPr>
              <w:widowControl/>
              <w:rPr>
                <w:rFonts w:ascii="Arial" w:eastAsia="Times New Roman" w:hAnsi="Arial" w:cs="Arial"/>
                <w:sz w:val="20"/>
                <w:szCs w:val="20"/>
                <w:lang w:val="en-GB" w:eastAsia="en-GB"/>
              </w:rPr>
            </w:pPr>
          </w:p>
        </w:tc>
        <w:tc>
          <w:tcPr>
            <w:tcW w:w="1120" w:type="dxa"/>
            <w:tcBorders>
              <w:top w:val="nil"/>
              <w:left w:val="nil"/>
              <w:bottom w:val="nil"/>
              <w:right w:val="nil"/>
            </w:tcBorders>
            <w:noWrap/>
            <w:vAlign w:val="bottom"/>
            <w:hideMark/>
          </w:tcPr>
          <w:p w14:paraId="511DC9BA" w14:textId="77777777" w:rsidR="00E91426" w:rsidRPr="00E91426" w:rsidRDefault="00E91426" w:rsidP="00E91426">
            <w:pPr>
              <w:widowControl/>
              <w:rPr>
                <w:rFonts w:ascii="Arial" w:eastAsia="Times New Roman" w:hAnsi="Arial" w:cs="Arial"/>
                <w:sz w:val="20"/>
                <w:szCs w:val="20"/>
                <w:lang w:val="en-GB" w:eastAsia="en-GB"/>
              </w:rPr>
            </w:pPr>
          </w:p>
        </w:tc>
        <w:tc>
          <w:tcPr>
            <w:tcW w:w="1350" w:type="dxa"/>
            <w:tcBorders>
              <w:top w:val="nil"/>
              <w:left w:val="nil"/>
              <w:bottom w:val="nil"/>
              <w:right w:val="nil"/>
            </w:tcBorders>
            <w:noWrap/>
            <w:vAlign w:val="bottom"/>
            <w:hideMark/>
          </w:tcPr>
          <w:p w14:paraId="7ED0CBBE"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350" w:type="dxa"/>
            <w:tcBorders>
              <w:top w:val="nil"/>
              <w:left w:val="nil"/>
              <w:bottom w:val="nil"/>
              <w:right w:val="nil"/>
            </w:tcBorders>
            <w:noWrap/>
            <w:vAlign w:val="bottom"/>
            <w:hideMark/>
          </w:tcPr>
          <w:p w14:paraId="2B253CCC"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000" w:type="dxa"/>
            <w:tcBorders>
              <w:top w:val="nil"/>
              <w:left w:val="nil"/>
              <w:bottom w:val="nil"/>
              <w:right w:val="nil"/>
            </w:tcBorders>
            <w:noWrap/>
            <w:vAlign w:val="bottom"/>
            <w:hideMark/>
          </w:tcPr>
          <w:p w14:paraId="4E9A32DA" w14:textId="77777777" w:rsidR="00E91426" w:rsidRPr="00E91426" w:rsidRDefault="00E91426" w:rsidP="00E91426">
            <w:pPr>
              <w:widowControl/>
              <w:jc w:val="right"/>
              <w:rPr>
                <w:rFonts w:ascii="Arial" w:eastAsia="Times New Roman" w:hAnsi="Arial" w:cs="Arial"/>
                <w:sz w:val="20"/>
                <w:szCs w:val="20"/>
                <w:lang w:val="en-GB" w:eastAsia="en-GB"/>
              </w:rPr>
            </w:pPr>
          </w:p>
        </w:tc>
        <w:tc>
          <w:tcPr>
            <w:tcW w:w="960" w:type="dxa"/>
            <w:tcBorders>
              <w:top w:val="nil"/>
              <w:left w:val="nil"/>
              <w:bottom w:val="nil"/>
              <w:right w:val="nil"/>
            </w:tcBorders>
            <w:noWrap/>
            <w:vAlign w:val="bottom"/>
            <w:hideMark/>
          </w:tcPr>
          <w:p w14:paraId="0C9DBFBF" w14:textId="77777777" w:rsidR="00E91426" w:rsidRPr="00E91426" w:rsidRDefault="00E91426" w:rsidP="00E91426">
            <w:pPr>
              <w:widowControl/>
              <w:jc w:val="right"/>
              <w:rPr>
                <w:rFonts w:ascii="Arial" w:eastAsia="Times New Roman" w:hAnsi="Arial" w:cs="Arial"/>
                <w:sz w:val="20"/>
                <w:szCs w:val="20"/>
                <w:lang w:val="en-GB" w:eastAsia="en-GB"/>
              </w:rPr>
            </w:pPr>
          </w:p>
        </w:tc>
        <w:tc>
          <w:tcPr>
            <w:tcW w:w="960" w:type="dxa"/>
            <w:tcBorders>
              <w:top w:val="nil"/>
              <w:left w:val="nil"/>
              <w:bottom w:val="nil"/>
              <w:right w:val="nil"/>
            </w:tcBorders>
            <w:noWrap/>
            <w:vAlign w:val="bottom"/>
            <w:hideMark/>
          </w:tcPr>
          <w:p w14:paraId="1AD1C11B"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noWrap/>
            <w:vAlign w:val="bottom"/>
            <w:hideMark/>
          </w:tcPr>
          <w:p w14:paraId="7BE9DD8E"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1993755F" w14:textId="77777777" w:rsidTr="00E91426">
        <w:trPr>
          <w:trHeight w:val="255"/>
        </w:trPr>
        <w:tc>
          <w:tcPr>
            <w:tcW w:w="9860" w:type="dxa"/>
            <w:gridSpan w:val="5"/>
            <w:tcBorders>
              <w:top w:val="nil"/>
              <w:left w:val="nil"/>
              <w:bottom w:val="nil"/>
              <w:right w:val="nil"/>
            </w:tcBorders>
            <w:noWrap/>
            <w:vAlign w:val="bottom"/>
            <w:hideMark/>
          </w:tcPr>
          <w:p w14:paraId="62386F68" w14:textId="77777777" w:rsidR="00E91426" w:rsidRPr="00E91426" w:rsidRDefault="00E91426" w:rsidP="00E91426">
            <w:pPr>
              <w:widowControl/>
              <w:jc w:val="center"/>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Statement of Changes in Equity for the year ended 31 March 2024</w:t>
            </w:r>
          </w:p>
        </w:tc>
        <w:tc>
          <w:tcPr>
            <w:tcW w:w="960" w:type="dxa"/>
            <w:tcBorders>
              <w:top w:val="nil"/>
              <w:left w:val="nil"/>
              <w:bottom w:val="nil"/>
              <w:right w:val="nil"/>
            </w:tcBorders>
            <w:noWrap/>
            <w:vAlign w:val="bottom"/>
            <w:hideMark/>
          </w:tcPr>
          <w:p w14:paraId="2A16C458" w14:textId="77777777" w:rsidR="00E91426" w:rsidRPr="00E91426" w:rsidRDefault="00E91426" w:rsidP="00E91426">
            <w:pPr>
              <w:widowControl/>
              <w:jc w:val="center"/>
              <w:rPr>
                <w:rFonts w:ascii="Arial" w:eastAsia="Times New Roman" w:hAnsi="Arial" w:cs="Arial"/>
                <w:b/>
                <w:bCs/>
                <w:color w:val="000000"/>
                <w:sz w:val="20"/>
                <w:szCs w:val="20"/>
                <w:lang w:val="en-GB" w:eastAsia="en-GB"/>
              </w:rPr>
            </w:pPr>
          </w:p>
        </w:tc>
        <w:tc>
          <w:tcPr>
            <w:tcW w:w="960" w:type="dxa"/>
            <w:tcBorders>
              <w:top w:val="nil"/>
              <w:left w:val="nil"/>
              <w:bottom w:val="nil"/>
              <w:right w:val="nil"/>
            </w:tcBorders>
            <w:noWrap/>
            <w:vAlign w:val="bottom"/>
            <w:hideMark/>
          </w:tcPr>
          <w:p w14:paraId="46773C76"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noWrap/>
            <w:vAlign w:val="bottom"/>
            <w:hideMark/>
          </w:tcPr>
          <w:p w14:paraId="67574232"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00C9F7A3" w14:textId="77777777" w:rsidTr="00E91426">
        <w:trPr>
          <w:trHeight w:val="255"/>
        </w:trPr>
        <w:tc>
          <w:tcPr>
            <w:tcW w:w="5040" w:type="dxa"/>
            <w:tcBorders>
              <w:top w:val="nil"/>
              <w:left w:val="nil"/>
              <w:bottom w:val="nil"/>
              <w:right w:val="nil"/>
            </w:tcBorders>
            <w:noWrap/>
            <w:vAlign w:val="bottom"/>
            <w:hideMark/>
          </w:tcPr>
          <w:p w14:paraId="490A84FE" w14:textId="77777777" w:rsidR="00E91426" w:rsidRPr="00E91426" w:rsidRDefault="00E91426" w:rsidP="00E91426">
            <w:pPr>
              <w:widowControl/>
              <w:rPr>
                <w:rFonts w:ascii="Arial" w:eastAsia="Times New Roman" w:hAnsi="Arial" w:cs="Arial"/>
                <w:sz w:val="20"/>
                <w:szCs w:val="20"/>
                <w:lang w:val="en-GB" w:eastAsia="en-GB"/>
              </w:rPr>
            </w:pPr>
          </w:p>
        </w:tc>
        <w:tc>
          <w:tcPr>
            <w:tcW w:w="1120" w:type="dxa"/>
            <w:tcBorders>
              <w:top w:val="nil"/>
              <w:left w:val="nil"/>
              <w:bottom w:val="nil"/>
              <w:right w:val="nil"/>
            </w:tcBorders>
            <w:noWrap/>
            <w:vAlign w:val="bottom"/>
            <w:hideMark/>
          </w:tcPr>
          <w:p w14:paraId="339CE90E" w14:textId="77777777" w:rsidR="00E91426" w:rsidRPr="00E91426" w:rsidRDefault="00E91426" w:rsidP="00E91426">
            <w:pPr>
              <w:widowControl/>
              <w:rPr>
                <w:rFonts w:ascii="Arial" w:eastAsia="Times New Roman" w:hAnsi="Arial" w:cs="Arial"/>
                <w:sz w:val="20"/>
                <w:szCs w:val="20"/>
                <w:lang w:val="en-GB" w:eastAsia="en-GB"/>
              </w:rPr>
            </w:pPr>
          </w:p>
        </w:tc>
        <w:tc>
          <w:tcPr>
            <w:tcW w:w="1350" w:type="dxa"/>
            <w:tcBorders>
              <w:top w:val="nil"/>
              <w:left w:val="nil"/>
              <w:bottom w:val="nil"/>
              <w:right w:val="nil"/>
            </w:tcBorders>
            <w:noWrap/>
            <w:vAlign w:val="bottom"/>
            <w:hideMark/>
          </w:tcPr>
          <w:p w14:paraId="25A57D54" w14:textId="77777777" w:rsidR="00E91426" w:rsidRPr="00E91426" w:rsidRDefault="00E91426" w:rsidP="00E91426">
            <w:pPr>
              <w:widowControl/>
              <w:rPr>
                <w:rFonts w:ascii="Arial" w:eastAsia="Times New Roman" w:hAnsi="Arial" w:cs="Arial"/>
                <w:sz w:val="20"/>
                <w:szCs w:val="20"/>
                <w:lang w:val="en-GB" w:eastAsia="en-GB"/>
              </w:rPr>
            </w:pPr>
          </w:p>
        </w:tc>
        <w:tc>
          <w:tcPr>
            <w:tcW w:w="1350" w:type="dxa"/>
            <w:tcBorders>
              <w:top w:val="nil"/>
              <w:left w:val="nil"/>
              <w:bottom w:val="nil"/>
              <w:right w:val="nil"/>
            </w:tcBorders>
            <w:noWrap/>
            <w:vAlign w:val="bottom"/>
            <w:hideMark/>
          </w:tcPr>
          <w:p w14:paraId="58C5BEAE" w14:textId="77777777" w:rsidR="00E91426" w:rsidRPr="00E91426" w:rsidRDefault="00E91426" w:rsidP="00E91426">
            <w:pPr>
              <w:widowControl/>
              <w:rPr>
                <w:rFonts w:ascii="Arial" w:eastAsia="Times New Roman" w:hAnsi="Arial" w:cs="Arial"/>
                <w:sz w:val="20"/>
                <w:szCs w:val="20"/>
                <w:lang w:val="en-GB" w:eastAsia="en-GB"/>
              </w:rPr>
            </w:pPr>
          </w:p>
        </w:tc>
        <w:tc>
          <w:tcPr>
            <w:tcW w:w="1000" w:type="dxa"/>
            <w:tcBorders>
              <w:top w:val="nil"/>
              <w:left w:val="nil"/>
              <w:bottom w:val="nil"/>
              <w:right w:val="nil"/>
            </w:tcBorders>
            <w:noWrap/>
            <w:vAlign w:val="bottom"/>
            <w:hideMark/>
          </w:tcPr>
          <w:p w14:paraId="3530F7C5"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noWrap/>
            <w:vAlign w:val="bottom"/>
            <w:hideMark/>
          </w:tcPr>
          <w:p w14:paraId="329E2340"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noWrap/>
            <w:vAlign w:val="bottom"/>
            <w:hideMark/>
          </w:tcPr>
          <w:p w14:paraId="77BB0A31"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noWrap/>
            <w:vAlign w:val="bottom"/>
            <w:hideMark/>
          </w:tcPr>
          <w:p w14:paraId="5D82DFA0"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47514D19" w14:textId="77777777" w:rsidTr="00E91426">
        <w:trPr>
          <w:trHeight w:val="765"/>
        </w:trPr>
        <w:tc>
          <w:tcPr>
            <w:tcW w:w="5040" w:type="dxa"/>
            <w:tcBorders>
              <w:top w:val="nil"/>
              <w:left w:val="nil"/>
              <w:bottom w:val="nil"/>
              <w:right w:val="nil"/>
            </w:tcBorders>
            <w:vAlign w:val="bottom"/>
            <w:hideMark/>
          </w:tcPr>
          <w:p w14:paraId="5F2DDB04" w14:textId="77777777" w:rsidR="00E91426" w:rsidRPr="00E91426" w:rsidRDefault="00E91426" w:rsidP="00E91426">
            <w:pPr>
              <w:widowControl/>
              <w:rPr>
                <w:rFonts w:ascii="Arial" w:eastAsia="Times New Roman" w:hAnsi="Arial" w:cs="Arial"/>
                <w:sz w:val="20"/>
                <w:szCs w:val="20"/>
                <w:lang w:val="en-GB" w:eastAsia="en-GB"/>
              </w:rPr>
            </w:pPr>
          </w:p>
        </w:tc>
        <w:tc>
          <w:tcPr>
            <w:tcW w:w="1120" w:type="dxa"/>
            <w:tcBorders>
              <w:top w:val="nil"/>
              <w:left w:val="nil"/>
              <w:bottom w:val="nil"/>
              <w:right w:val="nil"/>
            </w:tcBorders>
            <w:hideMark/>
          </w:tcPr>
          <w:p w14:paraId="7D380822"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Public dividend capital</w:t>
            </w:r>
          </w:p>
        </w:tc>
        <w:tc>
          <w:tcPr>
            <w:tcW w:w="1350" w:type="dxa"/>
            <w:tcBorders>
              <w:top w:val="nil"/>
              <w:left w:val="nil"/>
              <w:bottom w:val="nil"/>
              <w:right w:val="nil"/>
            </w:tcBorders>
            <w:hideMark/>
          </w:tcPr>
          <w:p w14:paraId="699D0A4B"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Revaluation reserve</w:t>
            </w:r>
          </w:p>
        </w:tc>
        <w:tc>
          <w:tcPr>
            <w:tcW w:w="1350" w:type="dxa"/>
            <w:tcBorders>
              <w:top w:val="nil"/>
              <w:left w:val="nil"/>
              <w:bottom w:val="nil"/>
              <w:right w:val="nil"/>
            </w:tcBorders>
            <w:hideMark/>
          </w:tcPr>
          <w:p w14:paraId="48A0C885"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Income and expenditure reserve</w:t>
            </w:r>
          </w:p>
        </w:tc>
        <w:tc>
          <w:tcPr>
            <w:tcW w:w="1000" w:type="dxa"/>
            <w:tcBorders>
              <w:top w:val="nil"/>
              <w:left w:val="nil"/>
              <w:bottom w:val="nil"/>
              <w:right w:val="nil"/>
            </w:tcBorders>
            <w:hideMark/>
          </w:tcPr>
          <w:p w14:paraId="5B39780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Total</w:t>
            </w:r>
          </w:p>
        </w:tc>
        <w:tc>
          <w:tcPr>
            <w:tcW w:w="960" w:type="dxa"/>
            <w:tcBorders>
              <w:top w:val="nil"/>
              <w:left w:val="nil"/>
              <w:bottom w:val="nil"/>
              <w:right w:val="nil"/>
            </w:tcBorders>
            <w:noWrap/>
            <w:vAlign w:val="bottom"/>
            <w:hideMark/>
          </w:tcPr>
          <w:p w14:paraId="46BE52A0"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60" w:type="dxa"/>
            <w:tcBorders>
              <w:top w:val="nil"/>
              <w:left w:val="nil"/>
              <w:bottom w:val="nil"/>
              <w:right w:val="nil"/>
            </w:tcBorders>
            <w:noWrap/>
            <w:vAlign w:val="bottom"/>
            <w:hideMark/>
          </w:tcPr>
          <w:p w14:paraId="0E7492CE"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noWrap/>
            <w:vAlign w:val="bottom"/>
            <w:hideMark/>
          </w:tcPr>
          <w:p w14:paraId="293091AC"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26F7F8C7" w14:textId="77777777" w:rsidTr="00E91426">
        <w:trPr>
          <w:trHeight w:val="255"/>
        </w:trPr>
        <w:tc>
          <w:tcPr>
            <w:tcW w:w="5040" w:type="dxa"/>
            <w:tcBorders>
              <w:top w:val="nil"/>
              <w:left w:val="nil"/>
              <w:bottom w:val="nil"/>
              <w:right w:val="nil"/>
            </w:tcBorders>
            <w:vAlign w:val="bottom"/>
            <w:hideMark/>
          </w:tcPr>
          <w:p w14:paraId="15079B37" w14:textId="77777777" w:rsidR="00E91426" w:rsidRPr="00E91426" w:rsidRDefault="00E91426" w:rsidP="00E91426">
            <w:pPr>
              <w:widowControl/>
              <w:rPr>
                <w:rFonts w:ascii="Arial" w:eastAsia="Times New Roman" w:hAnsi="Arial" w:cs="Arial"/>
                <w:sz w:val="20"/>
                <w:szCs w:val="20"/>
                <w:lang w:val="en-GB" w:eastAsia="en-GB"/>
              </w:rPr>
            </w:pPr>
          </w:p>
        </w:tc>
        <w:tc>
          <w:tcPr>
            <w:tcW w:w="1120" w:type="dxa"/>
            <w:tcBorders>
              <w:top w:val="nil"/>
              <w:left w:val="nil"/>
              <w:bottom w:val="nil"/>
              <w:right w:val="nil"/>
            </w:tcBorders>
            <w:vAlign w:val="bottom"/>
            <w:hideMark/>
          </w:tcPr>
          <w:p w14:paraId="5FDA4C5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1350" w:type="dxa"/>
            <w:tcBorders>
              <w:top w:val="nil"/>
              <w:left w:val="nil"/>
              <w:bottom w:val="nil"/>
              <w:right w:val="nil"/>
            </w:tcBorders>
            <w:vAlign w:val="bottom"/>
            <w:hideMark/>
          </w:tcPr>
          <w:p w14:paraId="54B0A59D"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1350" w:type="dxa"/>
            <w:tcBorders>
              <w:top w:val="nil"/>
              <w:left w:val="nil"/>
              <w:bottom w:val="nil"/>
              <w:right w:val="nil"/>
            </w:tcBorders>
            <w:vAlign w:val="bottom"/>
            <w:hideMark/>
          </w:tcPr>
          <w:p w14:paraId="17CE4E5B"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1000" w:type="dxa"/>
            <w:tcBorders>
              <w:top w:val="nil"/>
              <w:left w:val="nil"/>
              <w:bottom w:val="nil"/>
              <w:right w:val="nil"/>
            </w:tcBorders>
            <w:vAlign w:val="bottom"/>
            <w:hideMark/>
          </w:tcPr>
          <w:p w14:paraId="60A0B620"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960" w:type="dxa"/>
            <w:tcBorders>
              <w:top w:val="nil"/>
              <w:left w:val="nil"/>
              <w:bottom w:val="nil"/>
              <w:right w:val="nil"/>
            </w:tcBorders>
            <w:noWrap/>
            <w:vAlign w:val="bottom"/>
            <w:hideMark/>
          </w:tcPr>
          <w:p w14:paraId="1077C4E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60" w:type="dxa"/>
            <w:tcBorders>
              <w:top w:val="nil"/>
              <w:left w:val="nil"/>
              <w:bottom w:val="nil"/>
              <w:right w:val="nil"/>
            </w:tcBorders>
            <w:noWrap/>
            <w:vAlign w:val="bottom"/>
            <w:hideMark/>
          </w:tcPr>
          <w:p w14:paraId="5DC91B72"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noWrap/>
            <w:vAlign w:val="bottom"/>
            <w:hideMark/>
          </w:tcPr>
          <w:p w14:paraId="072EBC3C"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757C8EA6" w14:textId="77777777" w:rsidTr="00E91426">
        <w:trPr>
          <w:trHeight w:val="255"/>
        </w:trPr>
        <w:tc>
          <w:tcPr>
            <w:tcW w:w="5040" w:type="dxa"/>
            <w:tcBorders>
              <w:top w:val="nil"/>
              <w:left w:val="nil"/>
              <w:bottom w:val="nil"/>
              <w:right w:val="nil"/>
            </w:tcBorders>
            <w:vAlign w:val="bottom"/>
            <w:hideMark/>
          </w:tcPr>
          <w:p w14:paraId="120FBFDD"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Taxpayers' equity at 1 April 2023 - brought forward</w:t>
            </w:r>
          </w:p>
        </w:tc>
        <w:tc>
          <w:tcPr>
            <w:tcW w:w="1120" w:type="dxa"/>
            <w:tcBorders>
              <w:top w:val="nil"/>
              <w:left w:val="nil"/>
              <w:bottom w:val="nil"/>
              <w:right w:val="nil"/>
            </w:tcBorders>
            <w:noWrap/>
            <w:vAlign w:val="bottom"/>
            <w:hideMark/>
          </w:tcPr>
          <w:p w14:paraId="0140456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475,198</w:t>
            </w:r>
          </w:p>
        </w:tc>
        <w:tc>
          <w:tcPr>
            <w:tcW w:w="1350" w:type="dxa"/>
            <w:tcBorders>
              <w:top w:val="nil"/>
              <w:left w:val="nil"/>
              <w:bottom w:val="nil"/>
              <w:right w:val="nil"/>
            </w:tcBorders>
            <w:noWrap/>
            <w:vAlign w:val="bottom"/>
            <w:hideMark/>
          </w:tcPr>
          <w:p w14:paraId="19B311C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64,406</w:t>
            </w:r>
          </w:p>
        </w:tc>
        <w:tc>
          <w:tcPr>
            <w:tcW w:w="1350" w:type="dxa"/>
            <w:tcBorders>
              <w:top w:val="nil"/>
              <w:left w:val="nil"/>
              <w:bottom w:val="nil"/>
              <w:right w:val="nil"/>
            </w:tcBorders>
            <w:noWrap/>
            <w:vAlign w:val="bottom"/>
            <w:hideMark/>
          </w:tcPr>
          <w:p w14:paraId="05BEC4B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(251,422)</w:t>
            </w:r>
          </w:p>
        </w:tc>
        <w:tc>
          <w:tcPr>
            <w:tcW w:w="1000" w:type="dxa"/>
            <w:tcBorders>
              <w:top w:val="nil"/>
              <w:left w:val="nil"/>
              <w:bottom w:val="nil"/>
              <w:right w:val="nil"/>
            </w:tcBorders>
            <w:noWrap/>
            <w:vAlign w:val="bottom"/>
            <w:hideMark/>
          </w:tcPr>
          <w:p w14:paraId="028D33E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288,182</w:t>
            </w:r>
          </w:p>
        </w:tc>
        <w:tc>
          <w:tcPr>
            <w:tcW w:w="960" w:type="dxa"/>
            <w:tcBorders>
              <w:top w:val="nil"/>
              <w:left w:val="nil"/>
              <w:bottom w:val="nil"/>
              <w:right w:val="nil"/>
            </w:tcBorders>
            <w:noWrap/>
            <w:vAlign w:val="bottom"/>
            <w:hideMark/>
          </w:tcPr>
          <w:p w14:paraId="7E0DD6F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60" w:type="dxa"/>
            <w:tcBorders>
              <w:top w:val="nil"/>
              <w:left w:val="nil"/>
              <w:bottom w:val="nil"/>
              <w:right w:val="nil"/>
            </w:tcBorders>
            <w:noWrap/>
            <w:vAlign w:val="bottom"/>
            <w:hideMark/>
          </w:tcPr>
          <w:p w14:paraId="73FC84FA"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noWrap/>
            <w:vAlign w:val="bottom"/>
            <w:hideMark/>
          </w:tcPr>
          <w:p w14:paraId="39866FD2"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5703B2E7" w14:textId="77777777" w:rsidTr="00E91426">
        <w:trPr>
          <w:trHeight w:val="255"/>
        </w:trPr>
        <w:tc>
          <w:tcPr>
            <w:tcW w:w="5040" w:type="dxa"/>
            <w:tcBorders>
              <w:top w:val="nil"/>
              <w:left w:val="nil"/>
              <w:bottom w:val="nil"/>
              <w:right w:val="nil"/>
            </w:tcBorders>
            <w:vAlign w:val="bottom"/>
            <w:hideMark/>
          </w:tcPr>
          <w:p w14:paraId="46795B75"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Deficit for the year</w:t>
            </w:r>
          </w:p>
        </w:tc>
        <w:tc>
          <w:tcPr>
            <w:tcW w:w="1120" w:type="dxa"/>
            <w:tcBorders>
              <w:top w:val="nil"/>
              <w:left w:val="nil"/>
              <w:bottom w:val="nil"/>
              <w:right w:val="nil"/>
            </w:tcBorders>
            <w:noWrap/>
            <w:vAlign w:val="bottom"/>
            <w:hideMark/>
          </w:tcPr>
          <w:p w14:paraId="38B679BC"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350" w:type="dxa"/>
            <w:tcBorders>
              <w:top w:val="nil"/>
              <w:left w:val="nil"/>
              <w:bottom w:val="nil"/>
              <w:right w:val="nil"/>
            </w:tcBorders>
            <w:noWrap/>
            <w:vAlign w:val="bottom"/>
            <w:hideMark/>
          </w:tcPr>
          <w:p w14:paraId="4B690028"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350" w:type="dxa"/>
            <w:tcBorders>
              <w:top w:val="nil"/>
              <w:left w:val="nil"/>
              <w:bottom w:val="nil"/>
              <w:right w:val="nil"/>
            </w:tcBorders>
            <w:noWrap/>
            <w:vAlign w:val="bottom"/>
            <w:hideMark/>
          </w:tcPr>
          <w:p w14:paraId="1637D6BA"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(23,977)</w:t>
            </w:r>
          </w:p>
        </w:tc>
        <w:tc>
          <w:tcPr>
            <w:tcW w:w="1000" w:type="dxa"/>
            <w:tcBorders>
              <w:top w:val="nil"/>
              <w:left w:val="nil"/>
              <w:bottom w:val="nil"/>
              <w:right w:val="nil"/>
            </w:tcBorders>
            <w:noWrap/>
            <w:vAlign w:val="bottom"/>
            <w:hideMark/>
          </w:tcPr>
          <w:p w14:paraId="7735490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(23,977)</w:t>
            </w:r>
          </w:p>
        </w:tc>
        <w:tc>
          <w:tcPr>
            <w:tcW w:w="960" w:type="dxa"/>
            <w:tcBorders>
              <w:top w:val="nil"/>
              <w:left w:val="nil"/>
              <w:bottom w:val="nil"/>
              <w:right w:val="nil"/>
            </w:tcBorders>
            <w:noWrap/>
            <w:vAlign w:val="bottom"/>
            <w:hideMark/>
          </w:tcPr>
          <w:p w14:paraId="523F78D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60" w:type="dxa"/>
            <w:tcBorders>
              <w:top w:val="nil"/>
              <w:left w:val="nil"/>
              <w:bottom w:val="nil"/>
              <w:right w:val="nil"/>
            </w:tcBorders>
            <w:noWrap/>
            <w:vAlign w:val="bottom"/>
            <w:hideMark/>
          </w:tcPr>
          <w:p w14:paraId="680CC911"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noWrap/>
            <w:vAlign w:val="bottom"/>
            <w:hideMark/>
          </w:tcPr>
          <w:p w14:paraId="4D8A8B02"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5DA44878" w14:textId="77777777" w:rsidTr="00E91426">
        <w:trPr>
          <w:trHeight w:val="255"/>
        </w:trPr>
        <w:tc>
          <w:tcPr>
            <w:tcW w:w="5040" w:type="dxa"/>
            <w:tcBorders>
              <w:top w:val="nil"/>
              <w:left w:val="nil"/>
              <w:bottom w:val="nil"/>
              <w:right w:val="nil"/>
            </w:tcBorders>
            <w:vAlign w:val="bottom"/>
            <w:hideMark/>
          </w:tcPr>
          <w:p w14:paraId="43F32654"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Net impairments</w:t>
            </w:r>
          </w:p>
        </w:tc>
        <w:tc>
          <w:tcPr>
            <w:tcW w:w="1120" w:type="dxa"/>
            <w:tcBorders>
              <w:top w:val="nil"/>
              <w:left w:val="nil"/>
              <w:bottom w:val="nil"/>
              <w:right w:val="nil"/>
            </w:tcBorders>
            <w:noWrap/>
            <w:vAlign w:val="bottom"/>
            <w:hideMark/>
          </w:tcPr>
          <w:p w14:paraId="62123942"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350" w:type="dxa"/>
            <w:tcBorders>
              <w:top w:val="nil"/>
              <w:left w:val="nil"/>
              <w:bottom w:val="nil"/>
              <w:right w:val="nil"/>
            </w:tcBorders>
            <w:noWrap/>
            <w:vAlign w:val="bottom"/>
            <w:hideMark/>
          </w:tcPr>
          <w:p w14:paraId="702B8386"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(8,623)</w:t>
            </w:r>
          </w:p>
        </w:tc>
        <w:tc>
          <w:tcPr>
            <w:tcW w:w="1350" w:type="dxa"/>
            <w:tcBorders>
              <w:top w:val="nil"/>
              <w:left w:val="nil"/>
              <w:bottom w:val="nil"/>
              <w:right w:val="nil"/>
            </w:tcBorders>
            <w:noWrap/>
            <w:vAlign w:val="bottom"/>
            <w:hideMark/>
          </w:tcPr>
          <w:p w14:paraId="506190C2"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000" w:type="dxa"/>
            <w:tcBorders>
              <w:top w:val="nil"/>
              <w:left w:val="nil"/>
              <w:bottom w:val="nil"/>
              <w:right w:val="nil"/>
            </w:tcBorders>
            <w:noWrap/>
            <w:vAlign w:val="bottom"/>
            <w:hideMark/>
          </w:tcPr>
          <w:p w14:paraId="49FB3DAA"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(8,623)</w:t>
            </w:r>
          </w:p>
        </w:tc>
        <w:tc>
          <w:tcPr>
            <w:tcW w:w="960" w:type="dxa"/>
            <w:tcBorders>
              <w:top w:val="nil"/>
              <w:left w:val="nil"/>
              <w:bottom w:val="nil"/>
              <w:right w:val="nil"/>
            </w:tcBorders>
            <w:noWrap/>
            <w:vAlign w:val="bottom"/>
            <w:hideMark/>
          </w:tcPr>
          <w:p w14:paraId="46797EC5"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60" w:type="dxa"/>
            <w:tcBorders>
              <w:top w:val="nil"/>
              <w:left w:val="nil"/>
              <w:bottom w:val="nil"/>
              <w:right w:val="nil"/>
            </w:tcBorders>
            <w:noWrap/>
            <w:vAlign w:val="bottom"/>
            <w:hideMark/>
          </w:tcPr>
          <w:p w14:paraId="3E012781"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noWrap/>
            <w:vAlign w:val="bottom"/>
            <w:hideMark/>
          </w:tcPr>
          <w:p w14:paraId="4D5554D5"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698FE4BE" w14:textId="77777777" w:rsidTr="00E91426">
        <w:trPr>
          <w:trHeight w:val="255"/>
        </w:trPr>
        <w:tc>
          <w:tcPr>
            <w:tcW w:w="5040" w:type="dxa"/>
            <w:tcBorders>
              <w:top w:val="nil"/>
              <w:left w:val="nil"/>
              <w:bottom w:val="nil"/>
              <w:right w:val="nil"/>
            </w:tcBorders>
            <w:vAlign w:val="bottom"/>
            <w:hideMark/>
          </w:tcPr>
          <w:p w14:paraId="027CFC50"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Revaluations - property, plant and equipment</w:t>
            </w:r>
          </w:p>
        </w:tc>
        <w:tc>
          <w:tcPr>
            <w:tcW w:w="1120" w:type="dxa"/>
            <w:tcBorders>
              <w:top w:val="nil"/>
              <w:left w:val="nil"/>
              <w:bottom w:val="nil"/>
              <w:right w:val="nil"/>
            </w:tcBorders>
            <w:noWrap/>
            <w:vAlign w:val="bottom"/>
            <w:hideMark/>
          </w:tcPr>
          <w:p w14:paraId="0FE83EF0"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350" w:type="dxa"/>
            <w:tcBorders>
              <w:top w:val="nil"/>
              <w:left w:val="nil"/>
              <w:bottom w:val="nil"/>
              <w:right w:val="nil"/>
            </w:tcBorders>
            <w:noWrap/>
            <w:vAlign w:val="bottom"/>
            <w:hideMark/>
          </w:tcPr>
          <w:p w14:paraId="5BC347AB"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5,398</w:t>
            </w:r>
          </w:p>
        </w:tc>
        <w:tc>
          <w:tcPr>
            <w:tcW w:w="1350" w:type="dxa"/>
            <w:tcBorders>
              <w:top w:val="nil"/>
              <w:left w:val="nil"/>
              <w:bottom w:val="nil"/>
              <w:right w:val="nil"/>
            </w:tcBorders>
            <w:noWrap/>
            <w:vAlign w:val="bottom"/>
            <w:hideMark/>
          </w:tcPr>
          <w:p w14:paraId="6DA14ABA"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000" w:type="dxa"/>
            <w:tcBorders>
              <w:top w:val="nil"/>
              <w:left w:val="nil"/>
              <w:bottom w:val="nil"/>
              <w:right w:val="nil"/>
            </w:tcBorders>
            <w:noWrap/>
            <w:vAlign w:val="bottom"/>
            <w:hideMark/>
          </w:tcPr>
          <w:p w14:paraId="5FBCB91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5,398</w:t>
            </w:r>
          </w:p>
        </w:tc>
        <w:tc>
          <w:tcPr>
            <w:tcW w:w="960" w:type="dxa"/>
            <w:tcBorders>
              <w:top w:val="nil"/>
              <w:left w:val="nil"/>
              <w:bottom w:val="nil"/>
              <w:right w:val="nil"/>
            </w:tcBorders>
            <w:noWrap/>
            <w:vAlign w:val="bottom"/>
            <w:hideMark/>
          </w:tcPr>
          <w:p w14:paraId="661529AD"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60" w:type="dxa"/>
            <w:tcBorders>
              <w:top w:val="nil"/>
              <w:left w:val="nil"/>
              <w:bottom w:val="nil"/>
              <w:right w:val="nil"/>
            </w:tcBorders>
            <w:noWrap/>
            <w:vAlign w:val="bottom"/>
            <w:hideMark/>
          </w:tcPr>
          <w:p w14:paraId="54ECC3E3"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noWrap/>
            <w:vAlign w:val="bottom"/>
            <w:hideMark/>
          </w:tcPr>
          <w:p w14:paraId="1A23C6D7"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394137DF" w14:textId="77777777" w:rsidTr="00E91426">
        <w:trPr>
          <w:trHeight w:val="255"/>
        </w:trPr>
        <w:tc>
          <w:tcPr>
            <w:tcW w:w="5040" w:type="dxa"/>
            <w:tcBorders>
              <w:top w:val="nil"/>
              <w:left w:val="nil"/>
              <w:bottom w:val="nil"/>
              <w:right w:val="nil"/>
            </w:tcBorders>
            <w:vAlign w:val="bottom"/>
            <w:hideMark/>
          </w:tcPr>
          <w:p w14:paraId="50474788"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Public dividend capital received</w:t>
            </w:r>
          </w:p>
        </w:tc>
        <w:tc>
          <w:tcPr>
            <w:tcW w:w="1120" w:type="dxa"/>
            <w:tcBorders>
              <w:top w:val="nil"/>
              <w:left w:val="nil"/>
              <w:bottom w:val="nil"/>
              <w:right w:val="nil"/>
            </w:tcBorders>
            <w:noWrap/>
            <w:vAlign w:val="bottom"/>
            <w:hideMark/>
          </w:tcPr>
          <w:p w14:paraId="59900592"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14,716</w:t>
            </w:r>
          </w:p>
        </w:tc>
        <w:tc>
          <w:tcPr>
            <w:tcW w:w="1350" w:type="dxa"/>
            <w:tcBorders>
              <w:top w:val="nil"/>
              <w:left w:val="nil"/>
              <w:bottom w:val="nil"/>
              <w:right w:val="nil"/>
            </w:tcBorders>
            <w:noWrap/>
            <w:vAlign w:val="bottom"/>
            <w:hideMark/>
          </w:tcPr>
          <w:p w14:paraId="053291BA"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350" w:type="dxa"/>
            <w:tcBorders>
              <w:top w:val="nil"/>
              <w:left w:val="nil"/>
              <w:bottom w:val="nil"/>
              <w:right w:val="nil"/>
            </w:tcBorders>
            <w:noWrap/>
            <w:vAlign w:val="bottom"/>
            <w:hideMark/>
          </w:tcPr>
          <w:p w14:paraId="000D3E54"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000" w:type="dxa"/>
            <w:tcBorders>
              <w:top w:val="nil"/>
              <w:left w:val="nil"/>
              <w:bottom w:val="nil"/>
              <w:right w:val="nil"/>
            </w:tcBorders>
            <w:noWrap/>
            <w:vAlign w:val="bottom"/>
            <w:hideMark/>
          </w:tcPr>
          <w:p w14:paraId="171CC102"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14,716</w:t>
            </w:r>
          </w:p>
        </w:tc>
        <w:tc>
          <w:tcPr>
            <w:tcW w:w="960" w:type="dxa"/>
            <w:tcBorders>
              <w:top w:val="nil"/>
              <w:left w:val="nil"/>
              <w:bottom w:val="nil"/>
              <w:right w:val="nil"/>
            </w:tcBorders>
            <w:noWrap/>
            <w:vAlign w:val="bottom"/>
            <w:hideMark/>
          </w:tcPr>
          <w:p w14:paraId="45252ED0"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60" w:type="dxa"/>
            <w:tcBorders>
              <w:top w:val="nil"/>
              <w:left w:val="nil"/>
              <w:bottom w:val="nil"/>
              <w:right w:val="nil"/>
            </w:tcBorders>
            <w:noWrap/>
            <w:vAlign w:val="bottom"/>
            <w:hideMark/>
          </w:tcPr>
          <w:p w14:paraId="3E81B4D4"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noWrap/>
            <w:vAlign w:val="bottom"/>
            <w:hideMark/>
          </w:tcPr>
          <w:p w14:paraId="1102F36C"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2EB1FB4E" w14:textId="77777777" w:rsidTr="00E91426">
        <w:trPr>
          <w:trHeight w:val="255"/>
        </w:trPr>
        <w:tc>
          <w:tcPr>
            <w:tcW w:w="5040" w:type="dxa"/>
            <w:tcBorders>
              <w:top w:val="nil"/>
              <w:left w:val="nil"/>
              <w:bottom w:val="nil"/>
              <w:right w:val="nil"/>
            </w:tcBorders>
            <w:vAlign w:val="bottom"/>
            <w:hideMark/>
          </w:tcPr>
          <w:p w14:paraId="16094459"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Public dividend capital repaid</w:t>
            </w:r>
          </w:p>
        </w:tc>
        <w:tc>
          <w:tcPr>
            <w:tcW w:w="1120" w:type="dxa"/>
            <w:tcBorders>
              <w:top w:val="nil"/>
              <w:left w:val="nil"/>
              <w:bottom w:val="nil"/>
              <w:right w:val="nil"/>
            </w:tcBorders>
            <w:noWrap/>
            <w:vAlign w:val="bottom"/>
            <w:hideMark/>
          </w:tcPr>
          <w:p w14:paraId="7C8FD81B"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(78)</w:t>
            </w:r>
          </w:p>
        </w:tc>
        <w:tc>
          <w:tcPr>
            <w:tcW w:w="1350" w:type="dxa"/>
            <w:tcBorders>
              <w:top w:val="nil"/>
              <w:left w:val="nil"/>
              <w:bottom w:val="nil"/>
              <w:right w:val="nil"/>
            </w:tcBorders>
            <w:noWrap/>
            <w:vAlign w:val="bottom"/>
            <w:hideMark/>
          </w:tcPr>
          <w:p w14:paraId="3562727B"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350" w:type="dxa"/>
            <w:tcBorders>
              <w:top w:val="nil"/>
              <w:left w:val="nil"/>
              <w:bottom w:val="nil"/>
              <w:right w:val="nil"/>
            </w:tcBorders>
            <w:noWrap/>
            <w:vAlign w:val="bottom"/>
            <w:hideMark/>
          </w:tcPr>
          <w:p w14:paraId="1CCE971A"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000" w:type="dxa"/>
            <w:tcBorders>
              <w:top w:val="nil"/>
              <w:left w:val="nil"/>
              <w:bottom w:val="nil"/>
              <w:right w:val="nil"/>
            </w:tcBorders>
            <w:noWrap/>
            <w:vAlign w:val="bottom"/>
            <w:hideMark/>
          </w:tcPr>
          <w:p w14:paraId="3C877FAF"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(78)</w:t>
            </w:r>
          </w:p>
        </w:tc>
        <w:tc>
          <w:tcPr>
            <w:tcW w:w="960" w:type="dxa"/>
            <w:tcBorders>
              <w:top w:val="nil"/>
              <w:left w:val="nil"/>
              <w:bottom w:val="nil"/>
              <w:right w:val="nil"/>
            </w:tcBorders>
            <w:noWrap/>
            <w:vAlign w:val="bottom"/>
            <w:hideMark/>
          </w:tcPr>
          <w:p w14:paraId="353A421A"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60" w:type="dxa"/>
            <w:tcBorders>
              <w:top w:val="nil"/>
              <w:left w:val="nil"/>
              <w:bottom w:val="nil"/>
              <w:right w:val="nil"/>
            </w:tcBorders>
            <w:noWrap/>
            <w:vAlign w:val="bottom"/>
            <w:hideMark/>
          </w:tcPr>
          <w:p w14:paraId="1706BE02"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noWrap/>
            <w:vAlign w:val="bottom"/>
            <w:hideMark/>
          </w:tcPr>
          <w:p w14:paraId="78B40F0A"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2311B95A" w14:textId="77777777" w:rsidTr="00E91426">
        <w:trPr>
          <w:trHeight w:val="270"/>
        </w:trPr>
        <w:tc>
          <w:tcPr>
            <w:tcW w:w="5040" w:type="dxa"/>
            <w:tcBorders>
              <w:top w:val="nil"/>
              <w:left w:val="nil"/>
              <w:bottom w:val="nil"/>
              <w:right w:val="nil"/>
            </w:tcBorders>
            <w:noWrap/>
            <w:vAlign w:val="bottom"/>
            <w:hideMark/>
          </w:tcPr>
          <w:p w14:paraId="7D029ECC"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Taxpayers' equity at 31 March 2024</w:t>
            </w:r>
          </w:p>
        </w:tc>
        <w:tc>
          <w:tcPr>
            <w:tcW w:w="1120" w:type="dxa"/>
            <w:tcBorders>
              <w:top w:val="single" w:sz="4" w:space="0" w:color="auto"/>
              <w:left w:val="nil"/>
              <w:bottom w:val="double" w:sz="6" w:space="0" w:color="auto"/>
              <w:right w:val="nil"/>
            </w:tcBorders>
            <w:noWrap/>
            <w:vAlign w:val="bottom"/>
            <w:hideMark/>
          </w:tcPr>
          <w:p w14:paraId="6892F28A"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489,836</w:t>
            </w:r>
          </w:p>
        </w:tc>
        <w:tc>
          <w:tcPr>
            <w:tcW w:w="1350" w:type="dxa"/>
            <w:tcBorders>
              <w:top w:val="single" w:sz="4" w:space="0" w:color="auto"/>
              <w:left w:val="nil"/>
              <w:bottom w:val="double" w:sz="6" w:space="0" w:color="auto"/>
              <w:right w:val="nil"/>
            </w:tcBorders>
            <w:noWrap/>
            <w:vAlign w:val="bottom"/>
            <w:hideMark/>
          </w:tcPr>
          <w:p w14:paraId="686F90D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61,181</w:t>
            </w:r>
          </w:p>
        </w:tc>
        <w:tc>
          <w:tcPr>
            <w:tcW w:w="1350" w:type="dxa"/>
            <w:tcBorders>
              <w:top w:val="single" w:sz="4" w:space="0" w:color="auto"/>
              <w:left w:val="nil"/>
              <w:bottom w:val="double" w:sz="6" w:space="0" w:color="auto"/>
              <w:right w:val="nil"/>
            </w:tcBorders>
            <w:noWrap/>
            <w:vAlign w:val="bottom"/>
            <w:hideMark/>
          </w:tcPr>
          <w:p w14:paraId="1B1479D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(275,399)</w:t>
            </w:r>
          </w:p>
        </w:tc>
        <w:tc>
          <w:tcPr>
            <w:tcW w:w="1000" w:type="dxa"/>
            <w:tcBorders>
              <w:top w:val="single" w:sz="4" w:space="0" w:color="auto"/>
              <w:left w:val="nil"/>
              <w:bottom w:val="double" w:sz="6" w:space="0" w:color="auto"/>
              <w:right w:val="nil"/>
            </w:tcBorders>
            <w:noWrap/>
            <w:vAlign w:val="bottom"/>
            <w:hideMark/>
          </w:tcPr>
          <w:p w14:paraId="7B93495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275,618</w:t>
            </w:r>
          </w:p>
        </w:tc>
        <w:tc>
          <w:tcPr>
            <w:tcW w:w="960" w:type="dxa"/>
            <w:tcBorders>
              <w:top w:val="nil"/>
              <w:left w:val="nil"/>
              <w:bottom w:val="nil"/>
              <w:right w:val="nil"/>
            </w:tcBorders>
            <w:noWrap/>
            <w:vAlign w:val="bottom"/>
            <w:hideMark/>
          </w:tcPr>
          <w:p w14:paraId="5C711100"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60" w:type="dxa"/>
            <w:tcBorders>
              <w:top w:val="nil"/>
              <w:left w:val="nil"/>
              <w:bottom w:val="nil"/>
              <w:right w:val="nil"/>
            </w:tcBorders>
            <w:noWrap/>
            <w:vAlign w:val="bottom"/>
            <w:hideMark/>
          </w:tcPr>
          <w:p w14:paraId="78A62602"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noWrap/>
            <w:vAlign w:val="bottom"/>
            <w:hideMark/>
          </w:tcPr>
          <w:p w14:paraId="190D01FB"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404B156C" w14:textId="77777777" w:rsidTr="00E91426">
        <w:trPr>
          <w:trHeight w:val="270"/>
        </w:trPr>
        <w:tc>
          <w:tcPr>
            <w:tcW w:w="5040" w:type="dxa"/>
            <w:tcBorders>
              <w:top w:val="nil"/>
              <w:left w:val="nil"/>
              <w:bottom w:val="nil"/>
              <w:right w:val="nil"/>
            </w:tcBorders>
            <w:noWrap/>
            <w:vAlign w:val="center"/>
            <w:hideMark/>
          </w:tcPr>
          <w:p w14:paraId="7A0069E3" w14:textId="77777777" w:rsidR="00E91426" w:rsidRPr="00E91426" w:rsidRDefault="00E91426" w:rsidP="00E91426">
            <w:pPr>
              <w:widowControl/>
              <w:rPr>
                <w:rFonts w:ascii="Arial" w:eastAsia="Times New Roman" w:hAnsi="Arial" w:cs="Arial"/>
                <w:sz w:val="20"/>
                <w:szCs w:val="20"/>
                <w:lang w:val="en-GB" w:eastAsia="en-GB"/>
              </w:rPr>
            </w:pPr>
          </w:p>
        </w:tc>
        <w:tc>
          <w:tcPr>
            <w:tcW w:w="1120" w:type="dxa"/>
            <w:tcBorders>
              <w:top w:val="nil"/>
              <w:left w:val="nil"/>
              <w:bottom w:val="nil"/>
              <w:right w:val="nil"/>
            </w:tcBorders>
            <w:noWrap/>
            <w:vAlign w:val="bottom"/>
            <w:hideMark/>
          </w:tcPr>
          <w:p w14:paraId="7CEB3281" w14:textId="77777777" w:rsidR="00E91426" w:rsidRPr="00E91426" w:rsidRDefault="00E91426" w:rsidP="00E91426">
            <w:pPr>
              <w:widowControl/>
              <w:rPr>
                <w:rFonts w:ascii="Arial" w:eastAsia="Times New Roman" w:hAnsi="Arial" w:cs="Arial"/>
                <w:sz w:val="20"/>
                <w:szCs w:val="20"/>
                <w:lang w:val="en-GB" w:eastAsia="en-GB"/>
              </w:rPr>
            </w:pPr>
          </w:p>
        </w:tc>
        <w:tc>
          <w:tcPr>
            <w:tcW w:w="1350" w:type="dxa"/>
            <w:tcBorders>
              <w:top w:val="nil"/>
              <w:left w:val="nil"/>
              <w:bottom w:val="nil"/>
              <w:right w:val="nil"/>
            </w:tcBorders>
            <w:noWrap/>
            <w:vAlign w:val="bottom"/>
            <w:hideMark/>
          </w:tcPr>
          <w:p w14:paraId="65FD879B" w14:textId="77777777" w:rsidR="00E91426" w:rsidRPr="00E91426" w:rsidRDefault="00E91426" w:rsidP="00E91426">
            <w:pPr>
              <w:widowControl/>
              <w:rPr>
                <w:rFonts w:ascii="Arial" w:eastAsia="Times New Roman" w:hAnsi="Arial" w:cs="Arial"/>
                <w:sz w:val="20"/>
                <w:szCs w:val="20"/>
                <w:lang w:val="en-GB" w:eastAsia="en-GB"/>
              </w:rPr>
            </w:pPr>
          </w:p>
        </w:tc>
        <w:tc>
          <w:tcPr>
            <w:tcW w:w="1350" w:type="dxa"/>
            <w:tcBorders>
              <w:top w:val="nil"/>
              <w:left w:val="nil"/>
              <w:bottom w:val="nil"/>
              <w:right w:val="nil"/>
            </w:tcBorders>
            <w:noWrap/>
            <w:vAlign w:val="bottom"/>
            <w:hideMark/>
          </w:tcPr>
          <w:p w14:paraId="4A48322E" w14:textId="77777777" w:rsidR="00E91426" w:rsidRPr="00E91426" w:rsidRDefault="00E91426" w:rsidP="00E91426">
            <w:pPr>
              <w:widowControl/>
              <w:rPr>
                <w:rFonts w:ascii="Arial" w:eastAsia="Times New Roman" w:hAnsi="Arial" w:cs="Arial"/>
                <w:sz w:val="20"/>
                <w:szCs w:val="20"/>
                <w:lang w:val="en-GB" w:eastAsia="en-GB"/>
              </w:rPr>
            </w:pPr>
          </w:p>
        </w:tc>
        <w:tc>
          <w:tcPr>
            <w:tcW w:w="1000" w:type="dxa"/>
            <w:tcBorders>
              <w:top w:val="nil"/>
              <w:left w:val="nil"/>
              <w:bottom w:val="nil"/>
              <w:right w:val="nil"/>
            </w:tcBorders>
            <w:noWrap/>
            <w:vAlign w:val="bottom"/>
            <w:hideMark/>
          </w:tcPr>
          <w:p w14:paraId="4EB9E5A1"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noWrap/>
            <w:vAlign w:val="bottom"/>
            <w:hideMark/>
          </w:tcPr>
          <w:p w14:paraId="4CAB1FF0"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noWrap/>
            <w:vAlign w:val="bottom"/>
            <w:hideMark/>
          </w:tcPr>
          <w:p w14:paraId="5BF51AD8"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noWrap/>
            <w:vAlign w:val="bottom"/>
            <w:hideMark/>
          </w:tcPr>
          <w:p w14:paraId="6513B672"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213471AB" w14:textId="77777777" w:rsidTr="00E91426">
        <w:trPr>
          <w:trHeight w:val="255"/>
        </w:trPr>
        <w:tc>
          <w:tcPr>
            <w:tcW w:w="5040" w:type="dxa"/>
            <w:tcBorders>
              <w:top w:val="nil"/>
              <w:left w:val="nil"/>
              <w:bottom w:val="nil"/>
              <w:right w:val="nil"/>
            </w:tcBorders>
            <w:noWrap/>
            <w:vAlign w:val="center"/>
            <w:hideMark/>
          </w:tcPr>
          <w:p w14:paraId="1B819A31" w14:textId="77777777" w:rsidR="00E91426" w:rsidRPr="00E91426" w:rsidRDefault="00E91426" w:rsidP="00E91426">
            <w:pPr>
              <w:widowControl/>
              <w:jc w:val="both"/>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Public dividend capital</w:t>
            </w:r>
          </w:p>
        </w:tc>
        <w:tc>
          <w:tcPr>
            <w:tcW w:w="1120" w:type="dxa"/>
            <w:tcBorders>
              <w:top w:val="nil"/>
              <w:left w:val="nil"/>
              <w:bottom w:val="nil"/>
              <w:right w:val="nil"/>
            </w:tcBorders>
            <w:noWrap/>
            <w:vAlign w:val="bottom"/>
            <w:hideMark/>
          </w:tcPr>
          <w:p w14:paraId="560507FE" w14:textId="77777777" w:rsidR="00E91426" w:rsidRPr="00E91426" w:rsidRDefault="00E91426" w:rsidP="00E91426">
            <w:pPr>
              <w:widowControl/>
              <w:jc w:val="both"/>
              <w:rPr>
                <w:rFonts w:ascii="Arial" w:eastAsia="Times New Roman" w:hAnsi="Arial" w:cs="Arial"/>
                <w:b/>
                <w:bCs/>
                <w:color w:val="000000"/>
                <w:sz w:val="20"/>
                <w:szCs w:val="20"/>
                <w:lang w:val="en-GB" w:eastAsia="en-GB"/>
              </w:rPr>
            </w:pPr>
          </w:p>
        </w:tc>
        <w:tc>
          <w:tcPr>
            <w:tcW w:w="1350" w:type="dxa"/>
            <w:tcBorders>
              <w:top w:val="nil"/>
              <w:left w:val="nil"/>
              <w:bottom w:val="nil"/>
              <w:right w:val="nil"/>
            </w:tcBorders>
            <w:noWrap/>
            <w:vAlign w:val="bottom"/>
            <w:hideMark/>
          </w:tcPr>
          <w:p w14:paraId="1A106BF9" w14:textId="77777777" w:rsidR="00E91426" w:rsidRPr="00E91426" w:rsidRDefault="00E91426" w:rsidP="00E91426">
            <w:pPr>
              <w:widowControl/>
              <w:jc w:val="both"/>
              <w:rPr>
                <w:rFonts w:ascii="Arial" w:eastAsia="Times New Roman" w:hAnsi="Arial" w:cs="Arial"/>
                <w:sz w:val="20"/>
                <w:szCs w:val="20"/>
                <w:lang w:val="en-GB" w:eastAsia="en-GB"/>
              </w:rPr>
            </w:pPr>
          </w:p>
        </w:tc>
        <w:tc>
          <w:tcPr>
            <w:tcW w:w="1350" w:type="dxa"/>
            <w:tcBorders>
              <w:top w:val="nil"/>
              <w:left w:val="nil"/>
              <w:bottom w:val="nil"/>
              <w:right w:val="nil"/>
            </w:tcBorders>
            <w:noWrap/>
            <w:vAlign w:val="bottom"/>
            <w:hideMark/>
          </w:tcPr>
          <w:p w14:paraId="030AFAFD" w14:textId="77777777" w:rsidR="00E91426" w:rsidRPr="00E91426" w:rsidRDefault="00E91426" w:rsidP="00E91426">
            <w:pPr>
              <w:widowControl/>
              <w:jc w:val="both"/>
              <w:rPr>
                <w:rFonts w:ascii="Arial" w:eastAsia="Times New Roman" w:hAnsi="Arial" w:cs="Arial"/>
                <w:sz w:val="20"/>
                <w:szCs w:val="20"/>
                <w:lang w:val="en-GB" w:eastAsia="en-GB"/>
              </w:rPr>
            </w:pPr>
          </w:p>
        </w:tc>
        <w:tc>
          <w:tcPr>
            <w:tcW w:w="1000" w:type="dxa"/>
            <w:tcBorders>
              <w:top w:val="nil"/>
              <w:left w:val="nil"/>
              <w:bottom w:val="nil"/>
              <w:right w:val="nil"/>
            </w:tcBorders>
            <w:noWrap/>
            <w:vAlign w:val="bottom"/>
            <w:hideMark/>
          </w:tcPr>
          <w:p w14:paraId="574B72FB" w14:textId="77777777" w:rsidR="00E91426" w:rsidRPr="00E91426" w:rsidRDefault="00E91426" w:rsidP="00E91426">
            <w:pPr>
              <w:widowControl/>
              <w:jc w:val="both"/>
              <w:rPr>
                <w:rFonts w:ascii="Arial" w:eastAsia="Times New Roman" w:hAnsi="Arial" w:cs="Arial"/>
                <w:sz w:val="20"/>
                <w:szCs w:val="20"/>
                <w:lang w:val="en-GB" w:eastAsia="en-GB"/>
              </w:rPr>
            </w:pPr>
          </w:p>
        </w:tc>
        <w:tc>
          <w:tcPr>
            <w:tcW w:w="960" w:type="dxa"/>
            <w:tcBorders>
              <w:top w:val="nil"/>
              <w:left w:val="nil"/>
              <w:bottom w:val="nil"/>
              <w:right w:val="nil"/>
            </w:tcBorders>
            <w:noWrap/>
            <w:vAlign w:val="bottom"/>
            <w:hideMark/>
          </w:tcPr>
          <w:p w14:paraId="0486F46F"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noWrap/>
            <w:vAlign w:val="bottom"/>
            <w:hideMark/>
          </w:tcPr>
          <w:p w14:paraId="485C0A5C"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noWrap/>
            <w:vAlign w:val="bottom"/>
            <w:hideMark/>
          </w:tcPr>
          <w:p w14:paraId="0E064291"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339A363B" w14:textId="77777777" w:rsidTr="00E91426">
        <w:trPr>
          <w:trHeight w:val="1020"/>
        </w:trPr>
        <w:tc>
          <w:tcPr>
            <w:tcW w:w="9860" w:type="dxa"/>
            <w:gridSpan w:val="5"/>
            <w:tcBorders>
              <w:top w:val="nil"/>
              <w:left w:val="nil"/>
              <w:bottom w:val="nil"/>
              <w:right w:val="nil"/>
            </w:tcBorders>
            <w:vAlign w:val="bottom"/>
            <w:hideMark/>
          </w:tcPr>
          <w:p w14:paraId="73F9816A" w14:textId="77777777" w:rsidR="00E91426" w:rsidRPr="00E91426" w:rsidRDefault="00E91426" w:rsidP="00E91426">
            <w:pPr>
              <w:widowControl/>
              <w:jc w:val="both"/>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Public dividend capital (PDC) is a type of public sector equity finance based on the excess of assets over liabilities at the time of establishment of the predecessor NHS organisation. Additional PDC may also be issued to trusts by the Department of Health and Social Care. A charge, reflecting the cost of capital utilised by the trust, is payable to the Department of Health as the public dividend capital dividend.</w:t>
            </w:r>
          </w:p>
        </w:tc>
        <w:tc>
          <w:tcPr>
            <w:tcW w:w="960" w:type="dxa"/>
            <w:tcBorders>
              <w:top w:val="nil"/>
              <w:left w:val="nil"/>
              <w:bottom w:val="nil"/>
              <w:right w:val="nil"/>
            </w:tcBorders>
            <w:noWrap/>
            <w:vAlign w:val="bottom"/>
            <w:hideMark/>
          </w:tcPr>
          <w:p w14:paraId="45E6A69C"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960" w:type="dxa"/>
            <w:tcBorders>
              <w:top w:val="nil"/>
              <w:left w:val="nil"/>
              <w:bottom w:val="nil"/>
              <w:right w:val="nil"/>
            </w:tcBorders>
            <w:noWrap/>
            <w:vAlign w:val="bottom"/>
            <w:hideMark/>
          </w:tcPr>
          <w:p w14:paraId="3C92861D"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noWrap/>
            <w:vAlign w:val="bottom"/>
            <w:hideMark/>
          </w:tcPr>
          <w:p w14:paraId="5C2FDF66"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79ABACDF" w14:textId="77777777" w:rsidTr="00E91426">
        <w:trPr>
          <w:trHeight w:val="255"/>
        </w:trPr>
        <w:tc>
          <w:tcPr>
            <w:tcW w:w="5040" w:type="dxa"/>
            <w:tcBorders>
              <w:top w:val="nil"/>
              <w:left w:val="nil"/>
              <w:bottom w:val="nil"/>
              <w:right w:val="nil"/>
            </w:tcBorders>
            <w:noWrap/>
            <w:vAlign w:val="bottom"/>
            <w:hideMark/>
          </w:tcPr>
          <w:p w14:paraId="3E1F37AC" w14:textId="77777777" w:rsidR="00E91426" w:rsidRPr="00E91426" w:rsidRDefault="00E91426" w:rsidP="00E91426">
            <w:pPr>
              <w:widowControl/>
              <w:jc w:val="both"/>
              <w:rPr>
                <w:rFonts w:ascii="Arial" w:eastAsia="Times New Roman" w:hAnsi="Arial" w:cs="Arial"/>
                <w:sz w:val="20"/>
                <w:szCs w:val="20"/>
                <w:lang w:val="en-GB" w:eastAsia="en-GB"/>
              </w:rPr>
            </w:pPr>
          </w:p>
        </w:tc>
        <w:tc>
          <w:tcPr>
            <w:tcW w:w="1120" w:type="dxa"/>
            <w:tcBorders>
              <w:top w:val="nil"/>
              <w:left w:val="nil"/>
              <w:bottom w:val="nil"/>
              <w:right w:val="nil"/>
            </w:tcBorders>
            <w:noWrap/>
            <w:vAlign w:val="bottom"/>
            <w:hideMark/>
          </w:tcPr>
          <w:p w14:paraId="4EA78AD7" w14:textId="77777777" w:rsidR="00E91426" w:rsidRPr="00E91426" w:rsidRDefault="00E91426" w:rsidP="00E91426">
            <w:pPr>
              <w:widowControl/>
              <w:jc w:val="both"/>
              <w:rPr>
                <w:rFonts w:ascii="Arial" w:eastAsia="Times New Roman" w:hAnsi="Arial" w:cs="Arial"/>
                <w:sz w:val="20"/>
                <w:szCs w:val="20"/>
                <w:lang w:val="en-GB" w:eastAsia="en-GB"/>
              </w:rPr>
            </w:pPr>
          </w:p>
        </w:tc>
        <w:tc>
          <w:tcPr>
            <w:tcW w:w="1350" w:type="dxa"/>
            <w:tcBorders>
              <w:top w:val="nil"/>
              <w:left w:val="nil"/>
              <w:bottom w:val="nil"/>
              <w:right w:val="nil"/>
            </w:tcBorders>
            <w:noWrap/>
            <w:vAlign w:val="bottom"/>
            <w:hideMark/>
          </w:tcPr>
          <w:p w14:paraId="0C862D48" w14:textId="77777777" w:rsidR="00E91426" w:rsidRPr="00E91426" w:rsidRDefault="00E91426" w:rsidP="00E91426">
            <w:pPr>
              <w:widowControl/>
              <w:jc w:val="both"/>
              <w:rPr>
                <w:rFonts w:ascii="Arial" w:eastAsia="Times New Roman" w:hAnsi="Arial" w:cs="Arial"/>
                <w:sz w:val="20"/>
                <w:szCs w:val="20"/>
                <w:lang w:val="en-GB" w:eastAsia="en-GB"/>
              </w:rPr>
            </w:pPr>
          </w:p>
        </w:tc>
        <w:tc>
          <w:tcPr>
            <w:tcW w:w="1350" w:type="dxa"/>
            <w:tcBorders>
              <w:top w:val="nil"/>
              <w:left w:val="nil"/>
              <w:bottom w:val="nil"/>
              <w:right w:val="nil"/>
            </w:tcBorders>
            <w:noWrap/>
            <w:vAlign w:val="bottom"/>
            <w:hideMark/>
          </w:tcPr>
          <w:p w14:paraId="1283C819" w14:textId="77777777" w:rsidR="00E91426" w:rsidRPr="00E91426" w:rsidRDefault="00E91426" w:rsidP="00E91426">
            <w:pPr>
              <w:widowControl/>
              <w:jc w:val="both"/>
              <w:rPr>
                <w:rFonts w:ascii="Arial" w:eastAsia="Times New Roman" w:hAnsi="Arial" w:cs="Arial"/>
                <w:sz w:val="20"/>
                <w:szCs w:val="20"/>
                <w:lang w:val="en-GB" w:eastAsia="en-GB"/>
              </w:rPr>
            </w:pPr>
          </w:p>
        </w:tc>
        <w:tc>
          <w:tcPr>
            <w:tcW w:w="1000" w:type="dxa"/>
            <w:tcBorders>
              <w:top w:val="nil"/>
              <w:left w:val="nil"/>
              <w:bottom w:val="nil"/>
              <w:right w:val="nil"/>
            </w:tcBorders>
            <w:noWrap/>
            <w:vAlign w:val="bottom"/>
            <w:hideMark/>
          </w:tcPr>
          <w:p w14:paraId="64A02F9C" w14:textId="77777777" w:rsidR="00E91426" w:rsidRPr="00E91426" w:rsidRDefault="00E91426" w:rsidP="00E91426">
            <w:pPr>
              <w:widowControl/>
              <w:jc w:val="both"/>
              <w:rPr>
                <w:rFonts w:ascii="Arial" w:eastAsia="Times New Roman" w:hAnsi="Arial" w:cs="Arial"/>
                <w:sz w:val="20"/>
                <w:szCs w:val="20"/>
                <w:lang w:val="en-GB" w:eastAsia="en-GB"/>
              </w:rPr>
            </w:pPr>
          </w:p>
        </w:tc>
        <w:tc>
          <w:tcPr>
            <w:tcW w:w="960" w:type="dxa"/>
            <w:tcBorders>
              <w:top w:val="nil"/>
              <w:left w:val="nil"/>
              <w:bottom w:val="nil"/>
              <w:right w:val="nil"/>
            </w:tcBorders>
            <w:noWrap/>
            <w:vAlign w:val="bottom"/>
            <w:hideMark/>
          </w:tcPr>
          <w:p w14:paraId="704F6D47"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noWrap/>
            <w:vAlign w:val="bottom"/>
            <w:hideMark/>
          </w:tcPr>
          <w:p w14:paraId="3220356E"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noWrap/>
            <w:vAlign w:val="bottom"/>
            <w:hideMark/>
          </w:tcPr>
          <w:p w14:paraId="18AE8186"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1834AB1A" w14:textId="77777777" w:rsidTr="00E91426">
        <w:trPr>
          <w:trHeight w:val="255"/>
        </w:trPr>
        <w:tc>
          <w:tcPr>
            <w:tcW w:w="5040" w:type="dxa"/>
            <w:tcBorders>
              <w:top w:val="nil"/>
              <w:left w:val="nil"/>
              <w:bottom w:val="nil"/>
              <w:right w:val="nil"/>
            </w:tcBorders>
            <w:noWrap/>
            <w:vAlign w:val="bottom"/>
            <w:hideMark/>
          </w:tcPr>
          <w:p w14:paraId="4A13D3E2" w14:textId="77777777" w:rsidR="00E91426" w:rsidRPr="00E91426" w:rsidRDefault="00E91426" w:rsidP="00E91426">
            <w:pPr>
              <w:widowControl/>
              <w:jc w:val="both"/>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Revaluation reserve</w:t>
            </w:r>
          </w:p>
        </w:tc>
        <w:tc>
          <w:tcPr>
            <w:tcW w:w="1120" w:type="dxa"/>
            <w:tcBorders>
              <w:top w:val="nil"/>
              <w:left w:val="nil"/>
              <w:bottom w:val="nil"/>
              <w:right w:val="nil"/>
            </w:tcBorders>
            <w:noWrap/>
            <w:vAlign w:val="bottom"/>
            <w:hideMark/>
          </w:tcPr>
          <w:p w14:paraId="75B45C17" w14:textId="77777777" w:rsidR="00E91426" w:rsidRPr="00E91426" w:rsidRDefault="00E91426" w:rsidP="00E91426">
            <w:pPr>
              <w:widowControl/>
              <w:jc w:val="both"/>
              <w:rPr>
                <w:rFonts w:ascii="Arial" w:eastAsia="Times New Roman" w:hAnsi="Arial" w:cs="Arial"/>
                <w:b/>
                <w:bCs/>
                <w:color w:val="000000"/>
                <w:sz w:val="20"/>
                <w:szCs w:val="20"/>
                <w:lang w:val="en-GB" w:eastAsia="en-GB"/>
              </w:rPr>
            </w:pPr>
          </w:p>
        </w:tc>
        <w:tc>
          <w:tcPr>
            <w:tcW w:w="1350" w:type="dxa"/>
            <w:tcBorders>
              <w:top w:val="nil"/>
              <w:left w:val="nil"/>
              <w:bottom w:val="nil"/>
              <w:right w:val="nil"/>
            </w:tcBorders>
            <w:noWrap/>
            <w:vAlign w:val="bottom"/>
            <w:hideMark/>
          </w:tcPr>
          <w:p w14:paraId="233DDA24" w14:textId="77777777" w:rsidR="00E91426" w:rsidRPr="00E91426" w:rsidRDefault="00E91426" w:rsidP="00E91426">
            <w:pPr>
              <w:widowControl/>
              <w:jc w:val="both"/>
              <w:rPr>
                <w:rFonts w:ascii="Arial" w:eastAsia="Times New Roman" w:hAnsi="Arial" w:cs="Arial"/>
                <w:sz w:val="20"/>
                <w:szCs w:val="20"/>
                <w:lang w:val="en-GB" w:eastAsia="en-GB"/>
              </w:rPr>
            </w:pPr>
          </w:p>
        </w:tc>
        <w:tc>
          <w:tcPr>
            <w:tcW w:w="1350" w:type="dxa"/>
            <w:tcBorders>
              <w:top w:val="nil"/>
              <w:left w:val="nil"/>
              <w:bottom w:val="nil"/>
              <w:right w:val="nil"/>
            </w:tcBorders>
            <w:noWrap/>
            <w:vAlign w:val="bottom"/>
            <w:hideMark/>
          </w:tcPr>
          <w:p w14:paraId="16E64D41" w14:textId="77777777" w:rsidR="00E91426" w:rsidRPr="00E91426" w:rsidRDefault="00E91426" w:rsidP="00E91426">
            <w:pPr>
              <w:widowControl/>
              <w:jc w:val="both"/>
              <w:rPr>
                <w:rFonts w:ascii="Arial" w:eastAsia="Times New Roman" w:hAnsi="Arial" w:cs="Arial"/>
                <w:sz w:val="20"/>
                <w:szCs w:val="20"/>
                <w:lang w:val="en-GB" w:eastAsia="en-GB"/>
              </w:rPr>
            </w:pPr>
          </w:p>
        </w:tc>
        <w:tc>
          <w:tcPr>
            <w:tcW w:w="1000" w:type="dxa"/>
            <w:tcBorders>
              <w:top w:val="nil"/>
              <w:left w:val="nil"/>
              <w:bottom w:val="nil"/>
              <w:right w:val="nil"/>
            </w:tcBorders>
            <w:noWrap/>
            <w:vAlign w:val="bottom"/>
            <w:hideMark/>
          </w:tcPr>
          <w:p w14:paraId="1C2E769B" w14:textId="77777777" w:rsidR="00E91426" w:rsidRPr="00E91426" w:rsidRDefault="00E91426" w:rsidP="00E91426">
            <w:pPr>
              <w:widowControl/>
              <w:jc w:val="both"/>
              <w:rPr>
                <w:rFonts w:ascii="Arial" w:eastAsia="Times New Roman" w:hAnsi="Arial" w:cs="Arial"/>
                <w:sz w:val="20"/>
                <w:szCs w:val="20"/>
                <w:lang w:val="en-GB" w:eastAsia="en-GB"/>
              </w:rPr>
            </w:pPr>
          </w:p>
        </w:tc>
        <w:tc>
          <w:tcPr>
            <w:tcW w:w="960" w:type="dxa"/>
            <w:tcBorders>
              <w:top w:val="nil"/>
              <w:left w:val="nil"/>
              <w:bottom w:val="nil"/>
              <w:right w:val="nil"/>
            </w:tcBorders>
            <w:noWrap/>
            <w:vAlign w:val="bottom"/>
            <w:hideMark/>
          </w:tcPr>
          <w:p w14:paraId="3D88D06E"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noWrap/>
            <w:vAlign w:val="bottom"/>
            <w:hideMark/>
          </w:tcPr>
          <w:p w14:paraId="44B0E7AC"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noWrap/>
            <w:vAlign w:val="bottom"/>
            <w:hideMark/>
          </w:tcPr>
          <w:p w14:paraId="51B497E9"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23652D4D" w14:textId="77777777" w:rsidTr="00E91426">
        <w:trPr>
          <w:trHeight w:val="975"/>
        </w:trPr>
        <w:tc>
          <w:tcPr>
            <w:tcW w:w="9860" w:type="dxa"/>
            <w:gridSpan w:val="5"/>
            <w:tcBorders>
              <w:top w:val="nil"/>
              <w:left w:val="nil"/>
              <w:bottom w:val="nil"/>
              <w:right w:val="nil"/>
            </w:tcBorders>
            <w:vAlign w:val="bottom"/>
            <w:hideMark/>
          </w:tcPr>
          <w:p w14:paraId="3794B5AD" w14:textId="77777777" w:rsidR="00E91426" w:rsidRPr="00E91426" w:rsidRDefault="00E91426" w:rsidP="00E91426">
            <w:pPr>
              <w:widowControl/>
              <w:jc w:val="both"/>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Increases in asset values arising from revaluations are recognised in the revaluation reserve, except where, and to the extent that, they reverse impairments previously recognised in operating expenses, in which case they are recognised in operating income. Subsequent downward movements in asset valuations are charged to the revaluation reserve to the extent that a previous gain was recognised unless the downward movement represents a clear consumption of economic benefit or a reduction in service potential.</w:t>
            </w:r>
          </w:p>
        </w:tc>
        <w:tc>
          <w:tcPr>
            <w:tcW w:w="960" w:type="dxa"/>
            <w:tcBorders>
              <w:top w:val="nil"/>
              <w:left w:val="nil"/>
              <w:bottom w:val="nil"/>
              <w:right w:val="nil"/>
            </w:tcBorders>
            <w:noWrap/>
            <w:vAlign w:val="bottom"/>
            <w:hideMark/>
          </w:tcPr>
          <w:p w14:paraId="5F0A6E49"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960" w:type="dxa"/>
            <w:tcBorders>
              <w:top w:val="nil"/>
              <w:left w:val="nil"/>
              <w:bottom w:val="nil"/>
              <w:right w:val="nil"/>
            </w:tcBorders>
            <w:noWrap/>
            <w:vAlign w:val="bottom"/>
            <w:hideMark/>
          </w:tcPr>
          <w:p w14:paraId="2E35C874"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noWrap/>
            <w:vAlign w:val="bottom"/>
            <w:hideMark/>
          </w:tcPr>
          <w:p w14:paraId="6057CD20"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5F06C311" w14:textId="77777777" w:rsidTr="00E91426">
        <w:trPr>
          <w:trHeight w:val="255"/>
        </w:trPr>
        <w:tc>
          <w:tcPr>
            <w:tcW w:w="5040" w:type="dxa"/>
            <w:tcBorders>
              <w:top w:val="nil"/>
              <w:left w:val="nil"/>
              <w:bottom w:val="nil"/>
              <w:right w:val="nil"/>
            </w:tcBorders>
            <w:noWrap/>
            <w:vAlign w:val="bottom"/>
            <w:hideMark/>
          </w:tcPr>
          <w:p w14:paraId="7B87B34B" w14:textId="77777777" w:rsidR="00E91426" w:rsidRPr="00E91426" w:rsidRDefault="00E91426" w:rsidP="00E91426">
            <w:pPr>
              <w:widowControl/>
              <w:jc w:val="both"/>
              <w:rPr>
                <w:rFonts w:ascii="Arial" w:eastAsia="Times New Roman" w:hAnsi="Arial" w:cs="Arial"/>
                <w:sz w:val="20"/>
                <w:szCs w:val="20"/>
                <w:lang w:val="en-GB" w:eastAsia="en-GB"/>
              </w:rPr>
            </w:pPr>
          </w:p>
        </w:tc>
        <w:tc>
          <w:tcPr>
            <w:tcW w:w="1120" w:type="dxa"/>
            <w:tcBorders>
              <w:top w:val="nil"/>
              <w:left w:val="nil"/>
              <w:bottom w:val="nil"/>
              <w:right w:val="nil"/>
            </w:tcBorders>
            <w:noWrap/>
            <w:vAlign w:val="bottom"/>
            <w:hideMark/>
          </w:tcPr>
          <w:p w14:paraId="1FF639A9" w14:textId="77777777" w:rsidR="00E91426" w:rsidRPr="00E91426" w:rsidRDefault="00E91426" w:rsidP="00E91426">
            <w:pPr>
              <w:widowControl/>
              <w:jc w:val="both"/>
              <w:rPr>
                <w:rFonts w:ascii="Arial" w:eastAsia="Times New Roman" w:hAnsi="Arial" w:cs="Arial"/>
                <w:sz w:val="20"/>
                <w:szCs w:val="20"/>
                <w:lang w:val="en-GB" w:eastAsia="en-GB"/>
              </w:rPr>
            </w:pPr>
          </w:p>
        </w:tc>
        <w:tc>
          <w:tcPr>
            <w:tcW w:w="1350" w:type="dxa"/>
            <w:tcBorders>
              <w:top w:val="nil"/>
              <w:left w:val="nil"/>
              <w:bottom w:val="nil"/>
              <w:right w:val="nil"/>
            </w:tcBorders>
            <w:noWrap/>
            <w:vAlign w:val="bottom"/>
            <w:hideMark/>
          </w:tcPr>
          <w:p w14:paraId="440ED426" w14:textId="77777777" w:rsidR="00E91426" w:rsidRPr="00E91426" w:rsidRDefault="00E91426" w:rsidP="00E91426">
            <w:pPr>
              <w:widowControl/>
              <w:jc w:val="both"/>
              <w:rPr>
                <w:rFonts w:ascii="Arial" w:eastAsia="Times New Roman" w:hAnsi="Arial" w:cs="Arial"/>
                <w:sz w:val="20"/>
                <w:szCs w:val="20"/>
                <w:lang w:val="en-GB" w:eastAsia="en-GB"/>
              </w:rPr>
            </w:pPr>
          </w:p>
        </w:tc>
        <w:tc>
          <w:tcPr>
            <w:tcW w:w="1350" w:type="dxa"/>
            <w:tcBorders>
              <w:top w:val="nil"/>
              <w:left w:val="nil"/>
              <w:bottom w:val="nil"/>
              <w:right w:val="nil"/>
            </w:tcBorders>
            <w:noWrap/>
            <w:vAlign w:val="bottom"/>
            <w:hideMark/>
          </w:tcPr>
          <w:p w14:paraId="07ED81C9" w14:textId="77777777" w:rsidR="00E91426" w:rsidRPr="00E91426" w:rsidRDefault="00E91426" w:rsidP="00E91426">
            <w:pPr>
              <w:widowControl/>
              <w:jc w:val="both"/>
              <w:rPr>
                <w:rFonts w:ascii="Arial" w:eastAsia="Times New Roman" w:hAnsi="Arial" w:cs="Arial"/>
                <w:sz w:val="20"/>
                <w:szCs w:val="20"/>
                <w:lang w:val="en-GB" w:eastAsia="en-GB"/>
              </w:rPr>
            </w:pPr>
          </w:p>
        </w:tc>
        <w:tc>
          <w:tcPr>
            <w:tcW w:w="1000" w:type="dxa"/>
            <w:tcBorders>
              <w:top w:val="nil"/>
              <w:left w:val="nil"/>
              <w:bottom w:val="nil"/>
              <w:right w:val="nil"/>
            </w:tcBorders>
            <w:noWrap/>
            <w:vAlign w:val="bottom"/>
            <w:hideMark/>
          </w:tcPr>
          <w:p w14:paraId="3D98B68A" w14:textId="77777777" w:rsidR="00E91426" w:rsidRPr="00E91426" w:rsidRDefault="00E91426" w:rsidP="00E91426">
            <w:pPr>
              <w:widowControl/>
              <w:jc w:val="both"/>
              <w:rPr>
                <w:rFonts w:ascii="Arial" w:eastAsia="Times New Roman" w:hAnsi="Arial" w:cs="Arial"/>
                <w:sz w:val="20"/>
                <w:szCs w:val="20"/>
                <w:lang w:val="en-GB" w:eastAsia="en-GB"/>
              </w:rPr>
            </w:pPr>
          </w:p>
        </w:tc>
        <w:tc>
          <w:tcPr>
            <w:tcW w:w="960" w:type="dxa"/>
            <w:tcBorders>
              <w:top w:val="nil"/>
              <w:left w:val="nil"/>
              <w:bottom w:val="nil"/>
              <w:right w:val="nil"/>
            </w:tcBorders>
            <w:noWrap/>
            <w:vAlign w:val="bottom"/>
            <w:hideMark/>
          </w:tcPr>
          <w:p w14:paraId="269FA0A7"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noWrap/>
            <w:vAlign w:val="bottom"/>
            <w:hideMark/>
          </w:tcPr>
          <w:p w14:paraId="54E2FC4F"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noWrap/>
            <w:vAlign w:val="bottom"/>
            <w:hideMark/>
          </w:tcPr>
          <w:p w14:paraId="22F65425"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433D621D" w14:textId="77777777" w:rsidTr="00E91426">
        <w:trPr>
          <w:trHeight w:val="255"/>
        </w:trPr>
        <w:tc>
          <w:tcPr>
            <w:tcW w:w="5040" w:type="dxa"/>
            <w:tcBorders>
              <w:top w:val="nil"/>
              <w:left w:val="nil"/>
              <w:bottom w:val="nil"/>
              <w:right w:val="nil"/>
            </w:tcBorders>
            <w:noWrap/>
            <w:vAlign w:val="bottom"/>
            <w:hideMark/>
          </w:tcPr>
          <w:p w14:paraId="217642C9" w14:textId="77777777" w:rsidR="00E91426" w:rsidRPr="00E91426" w:rsidRDefault="00E91426" w:rsidP="00E91426">
            <w:pPr>
              <w:widowControl/>
              <w:jc w:val="both"/>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Income and expenditure reserve</w:t>
            </w:r>
          </w:p>
        </w:tc>
        <w:tc>
          <w:tcPr>
            <w:tcW w:w="1120" w:type="dxa"/>
            <w:tcBorders>
              <w:top w:val="nil"/>
              <w:left w:val="nil"/>
              <w:bottom w:val="nil"/>
              <w:right w:val="nil"/>
            </w:tcBorders>
            <w:noWrap/>
            <w:vAlign w:val="bottom"/>
            <w:hideMark/>
          </w:tcPr>
          <w:p w14:paraId="50ECEA2B" w14:textId="77777777" w:rsidR="00E91426" w:rsidRPr="00E91426" w:rsidRDefault="00E91426" w:rsidP="00E91426">
            <w:pPr>
              <w:widowControl/>
              <w:jc w:val="both"/>
              <w:rPr>
                <w:rFonts w:ascii="Arial" w:eastAsia="Times New Roman" w:hAnsi="Arial" w:cs="Arial"/>
                <w:b/>
                <w:bCs/>
                <w:color w:val="000000"/>
                <w:sz w:val="20"/>
                <w:szCs w:val="20"/>
                <w:lang w:val="en-GB" w:eastAsia="en-GB"/>
              </w:rPr>
            </w:pPr>
          </w:p>
        </w:tc>
        <w:tc>
          <w:tcPr>
            <w:tcW w:w="1350" w:type="dxa"/>
            <w:tcBorders>
              <w:top w:val="nil"/>
              <w:left w:val="nil"/>
              <w:bottom w:val="nil"/>
              <w:right w:val="nil"/>
            </w:tcBorders>
            <w:noWrap/>
            <w:vAlign w:val="bottom"/>
            <w:hideMark/>
          </w:tcPr>
          <w:p w14:paraId="2BE04299" w14:textId="77777777" w:rsidR="00E91426" w:rsidRPr="00E91426" w:rsidRDefault="00E91426" w:rsidP="00E91426">
            <w:pPr>
              <w:widowControl/>
              <w:jc w:val="both"/>
              <w:rPr>
                <w:rFonts w:ascii="Arial" w:eastAsia="Times New Roman" w:hAnsi="Arial" w:cs="Arial"/>
                <w:sz w:val="20"/>
                <w:szCs w:val="20"/>
                <w:lang w:val="en-GB" w:eastAsia="en-GB"/>
              </w:rPr>
            </w:pPr>
          </w:p>
        </w:tc>
        <w:tc>
          <w:tcPr>
            <w:tcW w:w="1350" w:type="dxa"/>
            <w:tcBorders>
              <w:top w:val="nil"/>
              <w:left w:val="nil"/>
              <w:bottom w:val="nil"/>
              <w:right w:val="nil"/>
            </w:tcBorders>
            <w:noWrap/>
            <w:vAlign w:val="bottom"/>
            <w:hideMark/>
          </w:tcPr>
          <w:p w14:paraId="5567AC4A" w14:textId="77777777" w:rsidR="00E91426" w:rsidRPr="00E91426" w:rsidRDefault="00E91426" w:rsidP="00E91426">
            <w:pPr>
              <w:widowControl/>
              <w:jc w:val="both"/>
              <w:rPr>
                <w:rFonts w:ascii="Arial" w:eastAsia="Times New Roman" w:hAnsi="Arial" w:cs="Arial"/>
                <w:sz w:val="20"/>
                <w:szCs w:val="20"/>
                <w:lang w:val="en-GB" w:eastAsia="en-GB"/>
              </w:rPr>
            </w:pPr>
          </w:p>
        </w:tc>
        <w:tc>
          <w:tcPr>
            <w:tcW w:w="1000" w:type="dxa"/>
            <w:tcBorders>
              <w:top w:val="nil"/>
              <w:left w:val="nil"/>
              <w:bottom w:val="nil"/>
              <w:right w:val="nil"/>
            </w:tcBorders>
            <w:noWrap/>
            <w:vAlign w:val="bottom"/>
            <w:hideMark/>
          </w:tcPr>
          <w:p w14:paraId="05498261" w14:textId="77777777" w:rsidR="00E91426" w:rsidRPr="00E91426" w:rsidRDefault="00E91426" w:rsidP="00E91426">
            <w:pPr>
              <w:widowControl/>
              <w:jc w:val="both"/>
              <w:rPr>
                <w:rFonts w:ascii="Arial" w:eastAsia="Times New Roman" w:hAnsi="Arial" w:cs="Arial"/>
                <w:sz w:val="20"/>
                <w:szCs w:val="20"/>
                <w:lang w:val="en-GB" w:eastAsia="en-GB"/>
              </w:rPr>
            </w:pPr>
          </w:p>
        </w:tc>
        <w:tc>
          <w:tcPr>
            <w:tcW w:w="960" w:type="dxa"/>
            <w:tcBorders>
              <w:top w:val="nil"/>
              <w:left w:val="nil"/>
              <w:bottom w:val="nil"/>
              <w:right w:val="nil"/>
            </w:tcBorders>
            <w:noWrap/>
            <w:vAlign w:val="bottom"/>
            <w:hideMark/>
          </w:tcPr>
          <w:p w14:paraId="701B8180"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noWrap/>
            <w:vAlign w:val="bottom"/>
            <w:hideMark/>
          </w:tcPr>
          <w:p w14:paraId="6A440987"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noWrap/>
            <w:vAlign w:val="bottom"/>
            <w:hideMark/>
          </w:tcPr>
          <w:p w14:paraId="4F2E6DF6"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348498B6" w14:textId="77777777" w:rsidTr="00E91426">
        <w:trPr>
          <w:trHeight w:val="255"/>
        </w:trPr>
        <w:tc>
          <w:tcPr>
            <w:tcW w:w="9860" w:type="dxa"/>
            <w:gridSpan w:val="5"/>
            <w:tcBorders>
              <w:top w:val="nil"/>
              <w:left w:val="nil"/>
              <w:bottom w:val="nil"/>
              <w:right w:val="nil"/>
            </w:tcBorders>
            <w:vAlign w:val="bottom"/>
            <w:hideMark/>
          </w:tcPr>
          <w:p w14:paraId="24E9D405" w14:textId="77777777" w:rsidR="00E91426" w:rsidRPr="00E91426" w:rsidRDefault="00E91426" w:rsidP="00E91426">
            <w:pPr>
              <w:widowControl/>
              <w:jc w:val="both"/>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The balance of this reserve is the accumulated surpluses and deficits of the Trust.</w:t>
            </w:r>
          </w:p>
        </w:tc>
        <w:tc>
          <w:tcPr>
            <w:tcW w:w="960" w:type="dxa"/>
            <w:tcBorders>
              <w:top w:val="nil"/>
              <w:left w:val="nil"/>
              <w:bottom w:val="nil"/>
              <w:right w:val="nil"/>
            </w:tcBorders>
            <w:noWrap/>
            <w:vAlign w:val="bottom"/>
            <w:hideMark/>
          </w:tcPr>
          <w:p w14:paraId="3977835B"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960" w:type="dxa"/>
            <w:tcBorders>
              <w:top w:val="nil"/>
              <w:left w:val="nil"/>
              <w:bottom w:val="nil"/>
              <w:right w:val="nil"/>
            </w:tcBorders>
            <w:noWrap/>
            <w:vAlign w:val="bottom"/>
            <w:hideMark/>
          </w:tcPr>
          <w:p w14:paraId="38F71519"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noWrap/>
            <w:vAlign w:val="bottom"/>
            <w:hideMark/>
          </w:tcPr>
          <w:p w14:paraId="79F12E27"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4F957ABE" w14:textId="77777777" w:rsidTr="00E91426">
        <w:trPr>
          <w:trHeight w:val="255"/>
        </w:trPr>
        <w:tc>
          <w:tcPr>
            <w:tcW w:w="5040" w:type="dxa"/>
            <w:tcBorders>
              <w:top w:val="nil"/>
              <w:left w:val="nil"/>
              <w:bottom w:val="nil"/>
              <w:right w:val="nil"/>
            </w:tcBorders>
            <w:noWrap/>
            <w:vAlign w:val="bottom"/>
            <w:hideMark/>
          </w:tcPr>
          <w:p w14:paraId="5DE35269" w14:textId="77777777" w:rsidR="00E91426" w:rsidRPr="00E91426" w:rsidRDefault="00E91426" w:rsidP="00E91426">
            <w:pPr>
              <w:widowControl/>
              <w:rPr>
                <w:rFonts w:ascii="Arial" w:eastAsia="Times New Roman" w:hAnsi="Arial" w:cs="Arial"/>
                <w:sz w:val="20"/>
                <w:szCs w:val="20"/>
                <w:lang w:val="en-GB" w:eastAsia="en-GB"/>
              </w:rPr>
            </w:pPr>
          </w:p>
        </w:tc>
        <w:tc>
          <w:tcPr>
            <w:tcW w:w="1120" w:type="dxa"/>
            <w:tcBorders>
              <w:top w:val="nil"/>
              <w:left w:val="nil"/>
              <w:bottom w:val="nil"/>
              <w:right w:val="nil"/>
            </w:tcBorders>
            <w:noWrap/>
            <w:vAlign w:val="bottom"/>
            <w:hideMark/>
          </w:tcPr>
          <w:p w14:paraId="74DD6D3E" w14:textId="77777777" w:rsidR="00E91426" w:rsidRPr="00E91426" w:rsidRDefault="00E91426" w:rsidP="00E91426">
            <w:pPr>
              <w:widowControl/>
              <w:rPr>
                <w:rFonts w:ascii="Arial" w:eastAsia="Times New Roman" w:hAnsi="Arial" w:cs="Arial"/>
                <w:sz w:val="20"/>
                <w:szCs w:val="20"/>
                <w:lang w:val="en-GB" w:eastAsia="en-GB"/>
              </w:rPr>
            </w:pPr>
          </w:p>
        </w:tc>
        <w:tc>
          <w:tcPr>
            <w:tcW w:w="1350" w:type="dxa"/>
            <w:tcBorders>
              <w:top w:val="nil"/>
              <w:left w:val="nil"/>
              <w:bottom w:val="nil"/>
              <w:right w:val="nil"/>
            </w:tcBorders>
            <w:noWrap/>
            <w:vAlign w:val="bottom"/>
            <w:hideMark/>
          </w:tcPr>
          <w:p w14:paraId="6DB4E153" w14:textId="77777777" w:rsidR="00E91426" w:rsidRPr="00E91426" w:rsidRDefault="00E91426" w:rsidP="00E91426">
            <w:pPr>
              <w:widowControl/>
              <w:rPr>
                <w:rFonts w:ascii="Arial" w:eastAsia="Times New Roman" w:hAnsi="Arial" w:cs="Arial"/>
                <w:sz w:val="20"/>
                <w:szCs w:val="20"/>
                <w:lang w:val="en-GB" w:eastAsia="en-GB"/>
              </w:rPr>
            </w:pPr>
          </w:p>
        </w:tc>
        <w:tc>
          <w:tcPr>
            <w:tcW w:w="1350" w:type="dxa"/>
            <w:tcBorders>
              <w:top w:val="nil"/>
              <w:left w:val="nil"/>
              <w:bottom w:val="nil"/>
              <w:right w:val="nil"/>
            </w:tcBorders>
            <w:noWrap/>
            <w:vAlign w:val="bottom"/>
            <w:hideMark/>
          </w:tcPr>
          <w:p w14:paraId="4F352C74" w14:textId="77777777" w:rsidR="00E91426" w:rsidRPr="00E91426" w:rsidRDefault="00E91426" w:rsidP="00E91426">
            <w:pPr>
              <w:widowControl/>
              <w:rPr>
                <w:rFonts w:ascii="Arial" w:eastAsia="Times New Roman" w:hAnsi="Arial" w:cs="Arial"/>
                <w:sz w:val="20"/>
                <w:szCs w:val="20"/>
                <w:lang w:val="en-GB" w:eastAsia="en-GB"/>
              </w:rPr>
            </w:pPr>
          </w:p>
        </w:tc>
        <w:tc>
          <w:tcPr>
            <w:tcW w:w="1000" w:type="dxa"/>
            <w:tcBorders>
              <w:top w:val="nil"/>
              <w:left w:val="nil"/>
              <w:bottom w:val="nil"/>
              <w:right w:val="nil"/>
            </w:tcBorders>
            <w:noWrap/>
            <w:vAlign w:val="bottom"/>
            <w:hideMark/>
          </w:tcPr>
          <w:p w14:paraId="45F74F5B"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noWrap/>
            <w:vAlign w:val="bottom"/>
            <w:hideMark/>
          </w:tcPr>
          <w:p w14:paraId="3BAC4182"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noWrap/>
            <w:vAlign w:val="bottom"/>
            <w:hideMark/>
          </w:tcPr>
          <w:p w14:paraId="5A59DDD5"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noWrap/>
            <w:vAlign w:val="bottom"/>
            <w:hideMark/>
          </w:tcPr>
          <w:p w14:paraId="44A02AC4"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4073BF25" w14:textId="77777777" w:rsidTr="00E91426">
        <w:trPr>
          <w:trHeight w:val="255"/>
        </w:trPr>
        <w:tc>
          <w:tcPr>
            <w:tcW w:w="5040" w:type="dxa"/>
            <w:tcBorders>
              <w:top w:val="nil"/>
              <w:left w:val="nil"/>
              <w:bottom w:val="nil"/>
              <w:right w:val="nil"/>
            </w:tcBorders>
            <w:noWrap/>
            <w:vAlign w:val="bottom"/>
            <w:hideMark/>
          </w:tcPr>
          <w:p w14:paraId="3492A730" w14:textId="77777777" w:rsidR="00E91426" w:rsidRPr="00E91426" w:rsidRDefault="00E91426" w:rsidP="00E91426">
            <w:pPr>
              <w:widowControl/>
              <w:rPr>
                <w:rFonts w:ascii="Arial" w:eastAsia="Times New Roman" w:hAnsi="Arial" w:cs="Arial"/>
                <w:sz w:val="20"/>
                <w:szCs w:val="20"/>
                <w:lang w:val="en-GB" w:eastAsia="en-GB"/>
              </w:rPr>
            </w:pPr>
          </w:p>
        </w:tc>
        <w:tc>
          <w:tcPr>
            <w:tcW w:w="1120" w:type="dxa"/>
            <w:tcBorders>
              <w:top w:val="nil"/>
              <w:left w:val="nil"/>
              <w:bottom w:val="nil"/>
              <w:right w:val="nil"/>
            </w:tcBorders>
            <w:noWrap/>
            <w:vAlign w:val="bottom"/>
            <w:hideMark/>
          </w:tcPr>
          <w:p w14:paraId="79249FF2" w14:textId="77777777" w:rsidR="00E91426" w:rsidRPr="00E91426" w:rsidRDefault="00E91426" w:rsidP="00E91426">
            <w:pPr>
              <w:widowControl/>
              <w:rPr>
                <w:rFonts w:ascii="Arial" w:eastAsia="Times New Roman" w:hAnsi="Arial" w:cs="Arial"/>
                <w:sz w:val="20"/>
                <w:szCs w:val="20"/>
                <w:lang w:val="en-GB" w:eastAsia="en-GB"/>
              </w:rPr>
            </w:pPr>
          </w:p>
        </w:tc>
        <w:tc>
          <w:tcPr>
            <w:tcW w:w="1350" w:type="dxa"/>
            <w:tcBorders>
              <w:top w:val="nil"/>
              <w:left w:val="nil"/>
              <w:bottom w:val="nil"/>
              <w:right w:val="nil"/>
            </w:tcBorders>
            <w:noWrap/>
            <w:vAlign w:val="bottom"/>
            <w:hideMark/>
          </w:tcPr>
          <w:p w14:paraId="0D18FA02" w14:textId="77777777" w:rsidR="00E91426" w:rsidRPr="00E91426" w:rsidRDefault="00E91426" w:rsidP="00E91426">
            <w:pPr>
              <w:widowControl/>
              <w:rPr>
                <w:rFonts w:ascii="Arial" w:eastAsia="Times New Roman" w:hAnsi="Arial" w:cs="Arial"/>
                <w:sz w:val="20"/>
                <w:szCs w:val="20"/>
                <w:lang w:val="en-GB" w:eastAsia="en-GB"/>
              </w:rPr>
            </w:pPr>
          </w:p>
        </w:tc>
        <w:tc>
          <w:tcPr>
            <w:tcW w:w="1350" w:type="dxa"/>
            <w:tcBorders>
              <w:top w:val="nil"/>
              <w:left w:val="nil"/>
              <w:bottom w:val="nil"/>
              <w:right w:val="nil"/>
            </w:tcBorders>
            <w:noWrap/>
            <w:vAlign w:val="bottom"/>
            <w:hideMark/>
          </w:tcPr>
          <w:p w14:paraId="123BD235" w14:textId="77777777" w:rsidR="00E91426" w:rsidRPr="00E91426" w:rsidRDefault="00E91426" w:rsidP="00E91426">
            <w:pPr>
              <w:widowControl/>
              <w:rPr>
                <w:rFonts w:ascii="Arial" w:eastAsia="Times New Roman" w:hAnsi="Arial" w:cs="Arial"/>
                <w:sz w:val="20"/>
                <w:szCs w:val="20"/>
                <w:lang w:val="en-GB" w:eastAsia="en-GB"/>
              </w:rPr>
            </w:pPr>
          </w:p>
        </w:tc>
        <w:tc>
          <w:tcPr>
            <w:tcW w:w="1000" w:type="dxa"/>
            <w:tcBorders>
              <w:top w:val="nil"/>
              <w:left w:val="nil"/>
              <w:bottom w:val="nil"/>
              <w:right w:val="nil"/>
            </w:tcBorders>
            <w:noWrap/>
            <w:vAlign w:val="bottom"/>
            <w:hideMark/>
          </w:tcPr>
          <w:p w14:paraId="1BFBE691"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noWrap/>
            <w:vAlign w:val="bottom"/>
            <w:hideMark/>
          </w:tcPr>
          <w:p w14:paraId="29C8FBB4"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noWrap/>
            <w:vAlign w:val="bottom"/>
            <w:hideMark/>
          </w:tcPr>
          <w:p w14:paraId="1E6CF69E"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noWrap/>
            <w:vAlign w:val="bottom"/>
            <w:hideMark/>
          </w:tcPr>
          <w:p w14:paraId="553DD726"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0121DADB" w14:textId="77777777" w:rsidTr="00E91426">
        <w:trPr>
          <w:trHeight w:val="255"/>
        </w:trPr>
        <w:tc>
          <w:tcPr>
            <w:tcW w:w="5040" w:type="dxa"/>
            <w:tcBorders>
              <w:top w:val="nil"/>
              <w:left w:val="nil"/>
              <w:bottom w:val="nil"/>
              <w:right w:val="nil"/>
            </w:tcBorders>
            <w:noWrap/>
            <w:vAlign w:val="bottom"/>
            <w:hideMark/>
          </w:tcPr>
          <w:p w14:paraId="3378CF53" w14:textId="77777777" w:rsidR="00E91426" w:rsidRPr="00E91426" w:rsidRDefault="00E91426" w:rsidP="00E91426">
            <w:pPr>
              <w:widowControl/>
              <w:rPr>
                <w:rFonts w:ascii="Arial" w:eastAsia="Times New Roman" w:hAnsi="Arial" w:cs="Arial"/>
                <w:sz w:val="20"/>
                <w:szCs w:val="20"/>
                <w:lang w:val="en-GB" w:eastAsia="en-GB"/>
              </w:rPr>
            </w:pPr>
          </w:p>
        </w:tc>
        <w:tc>
          <w:tcPr>
            <w:tcW w:w="1120" w:type="dxa"/>
            <w:tcBorders>
              <w:top w:val="nil"/>
              <w:left w:val="nil"/>
              <w:bottom w:val="nil"/>
              <w:right w:val="nil"/>
            </w:tcBorders>
            <w:noWrap/>
            <w:vAlign w:val="bottom"/>
            <w:hideMark/>
          </w:tcPr>
          <w:p w14:paraId="3CB677AC" w14:textId="77777777" w:rsidR="00E91426" w:rsidRPr="00E91426" w:rsidRDefault="00E91426" w:rsidP="00E91426">
            <w:pPr>
              <w:widowControl/>
              <w:rPr>
                <w:rFonts w:ascii="Arial" w:eastAsia="Times New Roman" w:hAnsi="Arial" w:cs="Arial"/>
                <w:sz w:val="20"/>
                <w:szCs w:val="20"/>
                <w:lang w:val="en-GB" w:eastAsia="en-GB"/>
              </w:rPr>
            </w:pPr>
          </w:p>
        </w:tc>
        <w:tc>
          <w:tcPr>
            <w:tcW w:w="1350" w:type="dxa"/>
            <w:tcBorders>
              <w:top w:val="nil"/>
              <w:left w:val="nil"/>
              <w:bottom w:val="nil"/>
              <w:right w:val="nil"/>
            </w:tcBorders>
            <w:noWrap/>
            <w:vAlign w:val="bottom"/>
            <w:hideMark/>
          </w:tcPr>
          <w:p w14:paraId="3F19D721" w14:textId="77777777" w:rsidR="00E91426" w:rsidRPr="00E91426" w:rsidRDefault="00E91426" w:rsidP="00E91426">
            <w:pPr>
              <w:widowControl/>
              <w:rPr>
                <w:rFonts w:ascii="Arial" w:eastAsia="Times New Roman" w:hAnsi="Arial" w:cs="Arial"/>
                <w:sz w:val="20"/>
                <w:szCs w:val="20"/>
                <w:lang w:val="en-GB" w:eastAsia="en-GB"/>
              </w:rPr>
            </w:pPr>
          </w:p>
        </w:tc>
        <w:tc>
          <w:tcPr>
            <w:tcW w:w="1350" w:type="dxa"/>
            <w:tcBorders>
              <w:top w:val="nil"/>
              <w:left w:val="nil"/>
              <w:bottom w:val="nil"/>
              <w:right w:val="nil"/>
            </w:tcBorders>
            <w:noWrap/>
            <w:vAlign w:val="bottom"/>
            <w:hideMark/>
          </w:tcPr>
          <w:p w14:paraId="5D5ED811" w14:textId="77777777" w:rsidR="00E91426" w:rsidRPr="00E91426" w:rsidRDefault="00E91426" w:rsidP="00E91426">
            <w:pPr>
              <w:widowControl/>
              <w:rPr>
                <w:rFonts w:ascii="Arial" w:eastAsia="Times New Roman" w:hAnsi="Arial" w:cs="Arial"/>
                <w:sz w:val="20"/>
                <w:szCs w:val="20"/>
                <w:lang w:val="en-GB" w:eastAsia="en-GB"/>
              </w:rPr>
            </w:pPr>
          </w:p>
        </w:tc>
        <w:tc>
          <w:tcPr>
            <w:tcW w:w="1000" w:type="dxa"/>
            <w:tcBorders>
              <w:top w:val="nil"/>
              <w:left w:val="nil"/>
              <w:bottom w:val="nil"/>
              <w:right w:val="nil"/>
            </w:tcBorders>
            <w:noWrap/>
            <w:vAlign w:val="bottom"/>
            <w:hideMark/>
          </w:tcPr>
          <w:p w14:paraId="1A93DE2B"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noWrap/>
            <w:vAlign w:val="bottom"/>
            <w:hideMark/>
          </w:tcPr>
          <w:p w14:paraId="35BED0DE"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noWrap/>
            <w:vAlign w:val="bottom"/>
            <w:hideMark/>
          </w:tcPr>
          <w:p w14:paraId="745FA5CB"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noWrap/>
            <w:vAlign w:val="bottom"/>
            <w:hideMark/>
          </w:tcPr>
          <w:p w14:paraId="14685216"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7A96078E" w14:textId="77777777" w:rsidTr="00E91426">
        <w:trPr>
          <w:trHeight w:val="255"/>
        </w:trPr>
        <w:tc>
          <w:tcPr>
            <w:tcW w:w="5040" w:type="dxa"/>
            <w:tcBorders>
              <w:top w:val="nil"/>
              <w:left w:val="nil"/>
              <w:bottom w:val="nil"/>
              <w:right w:val="nil"/>
            </w:tcBorders>
            <w:noWrap/>
            <w:vAlign w:val="bottom"/>
            <w:hideMark/>
          </w:tcPr>
          <w:p w14:paraId="0AD5B444" w14:textId="77777777" w:rsidR="00E91426" w:rsidRPr="00E91426" w:rsidRDefault="00E91426" w:rsidP="00E91426">
            <w:pPr>
              <w:widowControl/>
              <w:rPr>
                <w:rFonts w:ascii="Arial" w:eastAsia="Times New Roman" w:hAnsi="Arial" w:cs="Arial"/>
                <w:sz w:val="20"/>
                <w:szCs w:val="20"/>
                <w:lang w:val="en-GB" w:eastAsia="en-GB"/>
              </w:rPr>
            </w:pPr>
          </w:p>
        </w:tc>
        <w:tc>
          <w:tcPr>
            <w:tcW w:w="1120" w:type="dxa"/>
            <w:tcBorders>
              <w:top w:val="nil"/>
              <w:left w:val="nil"/>
              <w:bottom w:val="nil"/>
              <w:right w:val="nil"/>
            </w:tcBorders>
            <w:noWrap/>
            <w:vAlign w:val="bottom"/>
            <w:hideMark/>
          </w:tcPr>
          <w:p w14:paraId="43714ABA" w14:textId="77777777" w:rsidR="00E91426" w:rsidRPr="00E91426" w:rsidRDefault="00E91426" w:rsidP="00E91426">
            <w:pPr>
              <w:widowControl/>
              <w:rPr>
                <w:rFonts w:ascii="Arial" w:eastAsia="Times New Roman" w:hAnsi="Arial" w:cs="Arial"/>
                <w:sz w:val="20"/>
                <w:szCs w:val="20"/>
                <w:lang w:val="en-GB" w:eastAsia="en-GB"/>
              </w:rPr>
            </w:pPr>
          </w:p>
        </w:tc>
        <w:tc>
          <w:tcPr>
            <w:tcW w:w="1350" w:type="dxa"/>
            <w:tcBorders>
              <w:top w:val="nil"/>
              <w:left w:val="nil"/>
              <w:bottom w:val="nil"/>
              <w:right w:val="nil"/>
            </w:tcBorders>
            <w:noWrap/>
            <w:vAlign w:val="bottom"/>
            <w:hideMark/>
          </w:tcPr>
          <w:p w14:paraId="6C4CA57C" w14:textId="77777777" w:rsidR="00E91426" w:rsidRPr="00E91426" w:rsidRDefault="00E91426" w:rsidP="00E91426">
            <w:pPr>
              <w:widowControl/>
              <w:rPr>
                <w:rFonts w:ascii="Arial" w:eastAsia="Times New Roman" w:hAnsi="Arial" w:cs="Arial"/>
                <w:sz w:val="20"/>
                <w:szCs w:val="20"/>
                <w:lang w:val="en-GB" w:eastAsia="en-GB"/>
              </w:rPr>
            </w:pPr>
          </w:p>
        </w:tc>
        <w:tc>
          <w:tcPr>
            <w:tcW w:w="1350" w:type="dxa"/>
            <w:tcBorders>
              <w:top w:val="nil"/>
              <w:left w:val="nil"/>
              <w:bottom w:val="nil"/>
              <w:right w:val="nil"/>
            </w:tcBorders>
            <w:noWrap/>
            <w:vAlign w:val="bottom"/>
            <w:hideMark/>
          </w:tcPr>
          <w:p w14:paraId="53757B62" w14:textId="77777777" w:rsidR="00E91426" w:rsidRPr="00E91426" w:rsidRDefault="00E91426" w:rsidP="00E91426">
            <w:pPr>
              <w:widowControl/>
              <w:rPr>
                <w:rFonts w:ascii="Arial" w:eastAsia="Times New Roman" w:hAnsi="Arial" w:cs="Arial"/>
                <w:sz w:val="20"/>
                <w:szCs w:val="20"/>
                <w:lang w:val="en-GB" w:eastAsia="en-GB"/>
              </w:rPr>
            </w:pPr>
          </w:p>
        </w:tc>
        <w:tc>
          <w:tcPr>
            <w:tcW w:w="1000" w:type="dxa"/>
            <w:tcBorders>
              <w:top w:val="nil"/>
              <w:left w:val="nil"/>
              <w:bottom w:val="nil"/>
              <w:right w:val="nil"/>
            </w:tcBorders>
            <w:noWrap/>
            <w:vAlign w:val="bottom"/>
            <w:hideMark/>
          </w:tcPr>
          <w:p w14:paraId="5D0B49D3"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noWrap/>
            <w:vAlign w:val="bottom"/>
            <w:hideMark/>
          </w:tcPr>
          <w:p w14:paraId="151BFAB9"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noWrap/>
            <w:vAlign w:val="bottom"/>
            <w:hideMark/>
          </w:tcPr>
          <w:p w14:paraId="6D6E413A"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noWrap/>
            <w:vAlign w:val="bottom"/>
            <w:hideMark/>
          </w:tcPr>
          <w:p w14:paraId="39C94CDA"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56609647" w14:textId="77777777" w:rsidTr="00E91426">
        <w:trPr>
          <w:trHeight w:val="255"/>
        </w:trPr>
        <w:tc>
          <w:tcPr>
            <w:tcW w:w="5040" w:type="dxa"/>
            <w:tcBorders>
              <w:top w:val="nil"/>
              <w:left w:val="nil"/>
              <w:bottom w:val="nil"/>
              <w:right w:val="nil"/>
            </w:tcBorders>
            <w:noWrap/>
            <w:vAlign w:val="bottom"/>
            <w:hideMark/>
          </w:tcPr>
          <w:p w14:paraId="68ACD3E9" w14:textId="77777777" w:rsidR="00E91426" w:rsidRPr="00E91426" w:rsidRDefault="00E91426" w:rsidP="00E91426">
            <w:pPr>
              <w:widowControl/>
              <w:rPr>
                <w:rFonts w:ascii="Arial" w:eastAsia="Times New Roman" w:hAnsi="Arial" w:cs="Arial"/>
                <w:sz w:val="20"/>
                <w:szCs w:val="20"/>
                <w:lang w:val="en-GB" w:eastAsia="en-GB"/>
              </w:rPr>
            </w:pPr>
          </w:p>
        </w:tc>
        <w:tc>
          <w:tcPr>
            <w:tcW w:w="1120" w:type="dxa"/>
            <w:tcBorders>
              <w:top w:val="nil"/>
              <w:left w:val="nil"/>
              <w:bottom w:val="nil"/>
              <w:right w:val="nil"/>
            </w:tcBorders>
            <w:noWrap/>
            <w:vAlign w:val="bottom"/>
            <w:hideMark/>
          </w:tcPr>
          <w:p w14:paraId="494A7F44" w14:textId="77777777" w:rsidR="00E91426" w:rsidRPr="00E91426" w:rsidRDefault="00E91426" w:rsidP="00E91426">
            <w:pPr>
              <w:widowControl/>
              <w:rPr>
                <w:rFonts w:ascii="Arial" w:eastAsia="Times New Roman" w:hAnsi="Arial" w:cs="Arial"/>
                <w:sz w:val="20"/>
                <w:szCs w:val="20"/>
                <w:lang w:val="en-GB" w:eastAsia="en-GB"/>
              </w:rPr>
            </w:pPr>
          </w:p>
        </w:tc>
        <w:tc>
          <w:tcPr>
            <w:tcW w:w="1350" w:type="dxa"/>
            <w:tcBorders>
              <w:top w:val="nil"/>
              <w:left w:val="nil"/>
              <w:bottom w:val="nil"/>
              <w:right w:val="nil"/>
            </w:tcBorders>
            <w:noWrap/>
            <w:vAlign w:val="bottom"/>
            <w:hideMark/>
          </w:tcPr>
          <w:p w14:paraId="4A012394" w14:textId="77777777" w:rsidR="00E91426" w:rsidRPr="00E91426" w:rsidRDefault="00E91426" w:rsidP="00E91426">
            <w:pPr>
              <w:widowControl/>
              <w:rPr>
                <w:rFonts w:ascii="Arial" w:eastAsia="Times New Roman" w:hAnsi="Arial" w:cs="Arial"/>
                <w:sz w:val="20"/>
                <w:szCs w:val="20"/>
                <w:lang w:val="en-GB" w:eastAsia="en-GB"/>
              </w:rPr>
            </w:pPr>
          </w:p>
        </w:tc>
        <w:tc>
          <w:tcPr>
            <w:tcW w:w="1350" w:type="dxa"/>
            <w:tcBorders>
              <w:top w:val="nil"/>
              <w:left w:val="nil"/>
              <w:bottom w:val="nil"/>
              <w:right w:val="nil"/>
            </w:tcBorders>
            <w:noWrap/>
            <w:vAlign w:val="bottom"/>
            <w:hideMark/>
          </w:tcPr>
          <w:p w14:paraId="28BEB05F" w14:textId="77777777" w:rsidR="00E91426" w:rsidRPr="00E91426" w:rsidRDefault="00E91426" w:rsidP="00E91426">
            <w:pPr>
              <w:widowControl/>
              <w:rPr>
                <w:rFonts w:ascii="Arial" w:eastAsia="Times New Roman" w:hAnsi="Arial" w:cs="Arial"/>
                <w:sz w:val="20"/>
                <w:szCs w:val="20"/>
                <w:lang w:val="en-GB" w:eastAsia="en-GB"/>
              </w:rPr>
            </w:pPr>
          </w:p>
        </w:tc>
        <w:tc>
          <w:tcPr>
            <w:tcW w:w="1000" w:type="dxa"/>
            <w:tcBorders>
              <w:top w:val="nil"/>
              <w:left w:val="nil"/>
              <w:bottom w:val="nil"/>
              <w:right w:val="nil"/>
            </w:tcBorders>
            <w:noWrap/>
            <w:vAlign w:val="bottom"/>
            <w:hideMark/>
          </w:tcPr>
          <w:p w14:paraId="3680EA8E"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noWrap/>
            <w:vAlign w:val="bottom"/>
            <w:hideMark/>
          </w:tcPr>
          <w:p w14:paraId="0AB30C5A"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noWrap/>
            <w:vAlign w:val="bottom"/>
            <w:hideMark/>
          </w:tcPr>
          <w:p w14:paraId="11ED861B"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noWrap/>
            <w:vAlign w:val="bottom"/>
            <w:hideMark/>
          </w:tcPr>
          <w:p w14:paraId="603E7021"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4E6B3195" w14:textId="77777777" w:rsidTr="00E91426">
        <w:trPr>
          <w:trHeight w:val="255"/>
        </w:trPr>
        <w:tc>
          <w:tcPr>
            <w:tcW w:w="5040" w:type="dxa"/>
            <w:tcBorders>
              <w:top w:val="nil"/>
              <w:left w:val="nil"/>
              <w:bottom w:val="nil"/>
              <w:right w:val="nil"/>
            </w:tcBorders>
            <w:noWrap/>
            <w:vAlign w:val="bottom"/>
            <w:hideMark/>
          </w:tcPr>
          <w:p w14:paraId="5271F809" w14:textId="77777777" w:rsidR="00E91426" w:rsidRPr="00E91426" w:rsidRDefault="00E91426" w:rsidP="00E91426">
            <w:pPr>
              <w:widowControl/>
              <w:rPr>
                <w:rFonts w:ascii="Arial" w:eastAsia="Times New Roman" w:hAnsi="Arial" w:cs="Arial"/>
                <w:sz w:val="20"/>
                <w:szCs w:val="20"/>
                <w:lang w:val="en-GB" w:eastAsia="en-GB"/>
              </w:rPr>
            </w:pPr>
          </w:p>
        </w:tc>
        <w:tc>
          <w:tcPr>
            <w:tcW w:w="1120" w:type="dxa"/>
            <w:tcBorders>
              <w:top w:val="nil"/>
              <w:left w:val="nil"/>
              <w:bottom w:val="nil"/>
              <w:right w:val="nil"/>
            </w:tcBorders>
            <w:noWrap/>
            <w:vAlign w:val="bottom"/>
            <w:hideMark/>
          </w:tcPr>
          <w:p w14:paraId="79454DBA" w14:textId="77777777" w:rsidR="00E91426" w:rsidRPr="00E91426" w:rsidRDefault="00E91426" w:rsidP="00E91426">
            <w:pPr>
              <w:widowControl/>
              <w:rPr>
                <w:rFonts w:ascii="Arial" w:eastAsia="Times New Roman" w:hAnsi="Arial" w:cs="Arial"/>
                <w:sz w:val="20"/>
                <w:szCs w:val="20"/>
                <w:lang w:val="en-GB" w:eastAsia="en-GB"/>
              </w:rPr>
            </w:pPr>
          </w:p>
        </w:tc>
        <w:tc>
          <w:tcPr>
            <w:tcW w:w="1350" w:type="dxa"/>
            <w:tcBorders>
              <w:top w:val="nil"/>
              <w:left w:val="nil"/>
              <w:bottom w:val="nil"/>
              <w:right w:val="nil"/>
            </w:tcBorders>
            <w:noWrap/>
            <w:vAlign w:val="bottom"/>
            <w:hideMark/>
          </w:tcPr>
          <w:p w14:paraId="72C3DE51" w14:textId="77777777" w:rsidR="00E91426" w:rsidRPr="00E91426" w:rsidRDefault="00E91426" w:rsidP="00E91426">
            <w:pPr>
              <w:widowControl/>
              <w:rPr>
                <w:rFonts w:ascii="Arial" w:eastAsia="Times New Roman" w:hAnsi="Arial" w:cs="Arial"/>
                <w:sz w:val="20"/>
                <w:szCs w:val="20"/>
                <w:lang w:val="en-GB" w:eastAsia="en-GB"/>
              </w:rPr>
            </w:pPr>
          </w:p>
        </w:tc>
        <w:tc>
          <w:tcPr>
            <w:tcW w:w="1350" w:type="dxa"/>
            <w:tcBorders>
              <w:top w:val="nil"/>
              <w:left w:val="nil"/>
              <w:bottom w:val="nil"/>
              <w:right w:val="nil"/>
            </w:tcBorders>
            <w:noWrap/>
            <w:vAlign w:val="bottom"/>
            <w:hideMark/>
          </w:tcPr>
          <w:p w14:paraId="5F34AC1B" w14:textId="77777777" w:rsidR="00E91426" w:rsidRPr="00E91426" w:rsidRDefault="00E91426" w:rsidP="00E91426">
            <w:pPr>
              <w:widowControl/>
              <w:rPr>
                <w:rFonts w:ascii="Arial" w:eastAsia="Times New Roman" w:hAnsi="Arial" w:cs="Arial"/>
                <w:sz w:val="20"/>
                <w:szCs w:val="20"/>
                <w:lang w:val="en-GB" w:eastAsia="en-GB"/>
              </w:rPr>
            </w:pPr>
          </w:p>
        </w:tc>
        <w:tc>
          <w:tcPr>
            <w:tcW w:w="1000" w:type="dxa"/>
            <w:tcBorders>
              <w:top w:val="nil"/>
              <w:left w:val="nil"/>
              <w:bottom w:val="nil"/>
              <w:right w:val="nil"/>
            </w:tcBorders>
            <w:noWrap/>
            <w:vAlign w:val="bottom"/>
            <w:hideMark/>
          </w:tcPr>
          <w:p w14:paraId="02BB6A32"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noWrap/>
            <w:vAlign w:val="bottom"/>
            <w:hideMark/>
          </w:tcPr>
          <w:p w14:paraId="6AE5A03B"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noWrap/>
            <w:vAlign w:val="bottom"/>
            <w:hideMark/>
          </w:tcPr>
          <w:p w14:paraId="0640EDC0"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noWrap/>
            <w:vAlign w:val="bottom"/>
            <w:hideMark/>
          </w:tcPr>
          <w:p w14:paraId="03EDA1F7"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47F378D2" w14:textId="77777777" w:rsidTr="00E91426">
        <w:trPr>
          <w:trHeight w:val="255"/>
        </w:trPr>
        <w:tc>
          <w:tcPr>
            <w:tcW w:w="5040" w:type="dxa"/>
            <w:tcBorders>
              <w:top w:val="nil"/>
              <w:left w:val="nil"/>
              <w:bottom w:val="nil"/>
              <w:right w:val="nil"/>
            </w:tcBorders>
            <w:noWrap/>
            <w:vAlign w:val="bottom"/>
            <w:hideMark/>
          </w:tcPr>
          <w:p w14:paraId="015A0B75" w14:textId="77777777" w:rsidR="00E91426" w:rsidRPr="00E91426" w:rsidRDefault="00E91426" w:rsidP="00E91426">
            <w:pPr>
              <w:widowControl/>
              <w:rPr>
                <w:rFonts w:ascii="Arial" w:eastAsia="Times New Roman" w:hAnsi="Arial" w:cs="Arial"/>
                <w:sz w:val="20"/>
                <w:szCs w:val="20"/>
                <w:lang w:val="en-GB" w:eastAsia="en-GB"/>
              </w:rPr>
            </w:pPr>
          </w:p>
        </w:tc>
        <w:tc>
          <w:tcPr>
            <w:tcW w:w="1120" w:type="dxa"/>
            <w:tcBorders>
              <w:top w:val="nil"/>
              <w:left w:val="nil"/>
              <w:bottom w:val="nil"/>
              <w:right w:val="nil"/>
            </w:tcBorders>
            <w:noWrap/>
            <w:vAlign w:val="bottom"/>
            <w:hideMark/>
          </w:tcPr>
          <w:p w14:paraId="76763150" w14:textId="77777777" w:rsidR="00E91426" w:rsidRPr="00E91426" w:rsidRDefault="00E91426" w:rsidP="00E91426">
            <w:pPr>
              <w:widowControl/>
              <w:rPr>
                <w:rFonts w:ascii="Arial" w:eastAsia="Times New Roman" w:hAnsi="Arial" w:cs="Arial"/>
                <w:sz w:val="20"/>
                <w:szCs w:val="20"/>
                <w:lang w:val="en-GB" w:eastAsia="en-GB"/>
              </w:rPr>
            </w:pPr>
          </w:p>
        </w:tc>
        <w:tc>
          <w:tcPr>
            <w:tcW w:w="1350" w:type="dxa"/>
            <w:tcBorders>
              <w:top w:val="nil"/>
              <w:left w:val="nil"/>
              <w:bottom w:val="nil"/>
              <w:right w:val="nil"/>
            </w:tcBorders>
            <w:noWrap/>
            <w:vAlign w:val="bottom"/>
            <w:hideMark/>
          </w:tcPr>
          <w:p w14:paraId="2F4EB18A" w14:textId="77777777" w:rsidR="00E91426" w:rsidRPr="00E91426" w:rsidRDefault="00E91426" w:rsidP="00E91426">
            <w:pPr>
              <w:widowControl/>
              <w:rPr>
                <w:rFonts w:ascii="Arial" w:eastAsia="Times New Roman" w:hAnsi="Arial" w:cs="Arial"/>
                <w:sz w:val="20"/>
                <w:szCs w:val="20"/>
                <w:lang w:val="en-GB" w:eastAsia="en-GB"/>
              </w:rPr>
            </w:pPr>
          </w:p>
        </w:tc>
        <w:tc>
          <w:tcPr>
            <w:tcW w:w="1350" w:type="dxa"/>
            <w:tcBorders>
              <w:top w:val="nil"/>
              <w:left w:val="nil"/>
              <w:bottom w:val="nil"/>
              <w:right w:val="nil"/>
            </w:tcBorders>
            <w:noWrap/>
            <w:vAlign w:val="bottom"/>
            <w:hideMark/>
          </w:tcPr>
          <w:p w14:paraId="78FDDAAA" w14:textId="77777777" w:rsidR="00E91426" w:rsidRPr="00E91426" w:rsidRDefault="00E91426" w:rsidP="00E91426">
            <w:pPr>
              <w:widowControl/>
              <w:rPr>
                <w:rFonts w:ascii="Arial" w:eastAsia="Times New Roman" w:hAnsi="Arial" w:cs="Arial"/>
                <w:sz w:val="20"/>
                <w:szCs w:val="20"/>
                <w:lang w:val="en-GB" w:eastAsia="en-GB"/>
              </w:rPr>
            </w:pPr>
          </w:p>
        </w:tc>
        <w:tc>
          <w:tcPr>
            <w:tcW w:w="1000" w:type="dxa"/>
            <w:tcBorders>
              <w:top w:val="nil"/>
              <w:left w:val="nil"/>
              <w:bottom w:val="nil"/>
              <w:right w:val="nil"/>
            </w:tcBorders>
            <w:noWrap/>
            <w:vAlign w:val="bottom"/>
            <w:hideMark/>
          </w:tcPr>
          <w:p w14:paraId="3DBA9C4D"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noWrap/>
            <w:vAlign w:val="bottom"/>
            <w:hideMark/>
          </w:tcPr>
          <w:p w14:paraId="3B0B0938"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noWrap/>
            <w:vAlign w:val="bottom"/>
            <w:hideMark/>
          </w:tcPr>
          <w:p w14:paraId="316D7B9E"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noWrap/>
            <w:vAlign w:val="bottom"/>
            <w:hideMark/>
          </w:tcPr>
          <w:p w14:paraId="502C20CF"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3A1C011A" w14:textId="77777777" w:rsidTr="00E91426">
        <w:trPr>
          <w:trHeight w:val="255"/>
        </w:trPr>
        <w:tc>
          <w:tcPr>
            <w:tcW w:w="5040" w:type="dxa"/>
            <w:tcBorders>
              <w:top w:val="nil"/>
              <w:left w:val="nil"/>
              <w:bottom w:val="nil"/>
              <w:right w:val="nil"/>
            </w:tcBorders>
            <w:noWrap/>
            <w:vAlign w:val="bottom"/>
            <w:hideMark/>
          </w:tcPr>
          <w:p w14:paraId="626EDF09" w14:textId="77777777" w:rsidR="00E91426" w:rsidRPr="00E91426" w:rsidRDefault="00E91426" w:rsidP="00E91426">
            <w:pPr>
              <w:widowControl/>
              <w:rPr>
                <w:rFonts w:ascii="Arial" w:eastAsia="Times New Roman" w:hAnsi="Arial" w:cs="Arial"/>
                <w:sz w:val="20"/>
                <w:szCs w:val="20"/>
                <w:lang w:val="en-GB" w:eastAsia="en-GB"/>
              </w:rPr>
            </w:pPr>
          </w:p>
        </w:tc>
        <w:tc>
          <w:tcPr>
            <w:tcW w:w="1120" w:type="dxa"/>
            <w:tcBorders>
              <w:top w:val="nil"/>
              <w:left w:val="nil"/>
              <w:bottom w:val="nil"/>
              <w:right w:val="nil"/>
            </w:tcBorders>
            <w:noWrap/>
            <w:vAlign w:val="bottom"/>
            <w:hideMark/>
          </w:tcPr>
          <w:p w14:paraId="526F58CD" w14:textId="77777777" w:rsidR="00E91426" w:rsidRPr="00E91426" w:rsidRDefault="00E91426" w:rsidP="00E91426">
            <w:pPr>
              <w:widowControl/>
              <w:rPr>
                <w:rFonts w:ascii="Arial" w:eastAsia="Times New Roman" w:hAnsi="Arial" w:cs="Arial"/>
                <w:sz w:val="20"/>
                <w:szCs w:val="20"/>
                <w:lang w:val="en-GB" w:eastAsia="en-GB"/>
              </w:rPr>
            </w:pPr>
          </w:p>
        </w:tc>
        <w:tc>
          <w:tcPr>
            <w:tcW w:w="1350" w:type="dxa"/>
            <w:tcBorders>
              <w:top w:val="nil"/>
              <w:left w:val="nil"/>
              <w:bottom w:val="nil"/>
              <w:right w:val="nil"/>
            </w:tcBorders>
            <w:noWrap/>
            <w:vAlign w:val="bottom"/>
            <w:hideMark/>
          </w:tcPr>
          <w:p w14:paraId="14AE85F8" w14:textId="77777777" w:rsidR="00E91426" w:rsidRPr="00E91426" w:rsidRDefault="00E91426" w:rsidP="00E91426">
            <w:pPr>
              <w:widowControl/>
              <w:rPr>
                <w:rFonts w:ascii="Arial" w:eastAsia="Times New Roman" w:hAnsi="Arial" w:cs="Arial"/>
                <w:sz w:val="20"/>
                <w:szCs w:val="20"/>
                <w:lang w:val="en-GB" w:eastAsia="en-GB"/>
              </w:rPr>
            </w:pPr>
          </w:p>
        </w:tc>
        <w:tc>
          <w:tcPr>
            <w:tcW w:w="1350" w:type="dxa"/>
            <w:tcBorders>
              <w:top w:val="nil"/>
              <w:left w:val="nil"/>
              <w:bottom w:val="nil"/>
              <w:right w:val="nil"/>
            </w:tcBorders>
            <w:noWrap/>
            <w:vAlign w:val="bottom"/>
            <w:hideMark/>
          </w:tcPr>
          <w:p w14:paraId="0656383D" w14:textId="77777777" w:rsidR="00E91426" w:rsidRPr="00E91426" w:rsidRDefault="00E91426" w:rsidP="00E91426">
            <w:pPr>
              <w:widowControl/>
              <w:rPr>
                <w:rFonts w:ascii="Arial" w:eastAsia="Times New Roman" w:hAnsi="Arial" w:cs="Arial"/>
                <w:sz w:val="20"/>
                <w:szCs w:val="20"/>
                <w:lang w:val="en-GB" w:eastAsia="en-GB"/>
              </w:rPr>
            </w:pPr>
          </w:p>
        </w:tc>
        <w:tc>
          <w:tcPr>
            <w:tcW w:w="1000" w:type="dxa"/>
            <w:tcBorders>
              <w:top w:val="nil"/>
              <w:left w:val="nil"/>
              <w:bottom w:val="nil"/>
              <w:right w:val="nil"/>
            </w:tcBorders>
            <w:noWrap/>
            <w:vAlign w:val="bottom"/>
            <w:hideMark/>
          </w:tcPr>
          <w:p w14:paraId="34B83807"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noWrap/>
            <w:vAlign w:val="bottom"/>
            <w:hideMark/>
          </w:tcPr>
          <w:p w14:paraId="1A4A4368"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noWrap/>
            <w:vAlign w:val="bottom"/>
            <w:hideMark/>
          </w:tcPr>
          <w:p w14:paraId="2E089E9C"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noWrap/>
            <w:vAlign w:val="bottom"/>
            <w:hideMark/>
          </w:tcPr>
          <w:p w14:paraId="1BB9987F"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060CE665" w14:textId="77777777" w:rsidTr="00E91426">
        <w:trPr>
          <w:trHeight w:val="255"/>
        </w:trPr>
        <w:tc>
          <w:tcPr>
            <w:tcW w:w="5040" w:type="dxa"/>
            <w:tcBorders>
              <w:top w:val="nil"/>
              <w:left w:val="nil"/>
              <w:bottom w:val="nil"/>
              <w:right w:val="nil"/>
            </w:tcBorders>
            <w:noWrap/>
            <w:vAlign w:val="bottom"/>
            <w:hideMark/>
          </w:tcPr>
          <w:p w14:paraId="5F63086D" w14:textId="77777777" w:rsidR="00E91426" w:rsidRPr="00E91426" w:rsidRDefault="00E91426" w:rsidP="00E91426">
            <w:pPr>
              <w:widowControl/>
              <w:rPr>
                <w:rFonts w:ascii="Arial" w:eastAsia="Times New Roman" w:hAnsi="Arial" w:cs="Arial"/>
                <w:sz w:val="20"/>
                <w:szCs w:val="20"/>
                <w:lang w:val="en-GB" w:eastAsia="en-GB"/>
              </w:rPr>
            </w:pPr>
          </w:p>
        </w:tc>
        <w:tc>
          <w:tcPr>
            <w:tcW w:w="1120" w:type="dxa"/>
            <w:tcBorders>
              <w:top w:val="nil"/>
              <w:left w:val="nil"/>
              <w:bottom w:val="nil"/>
              <w:right w:val="nil"/>
            </w:tcBorders>
            <w:noWrap/>
            <w:vAlign w:val="bottom"/>
            <w:hideMark/>
          </w:tcPr>
          <w:p w14:paraId="75473076" w14:textId="77777777" w:rsidR="00E91426" w:rsidRPr="00E91426" w:rsidRDefault="00E91426" w:rsidP="00E91426">
            <w:pPr>
              <w:widowControl/>
              <w:rPr>
                <w:rFonts w:ascii="Arial" w:eastAsia="Times New Roman" w:hAnsi="Arial" w:cs="Arial"/>
                <w:sz w:val="20"/>
                <w:szCs w:val="20"/>
                <w:lang w:val="en-GB" w:eastAsia="en-GB"/>
              </w:rPr>
            </w:pPr>
          </w:p>
        </w:tc>
        <w:tc>
          <w:tcPr>
            <w:tcW w:w="1350" w:type="dxa"/>
            <w:tcBorders>
              <w:top w:val="nil"/>
              <w:left w:val="nil"/>
              <w:bottom w:val="nil"/>
              <w:right w:val="nil"/>
            </w:tcBorders>
            <w:noWrap/>
            <w:vAlign w:val="bottom"/>
            <w:hideMark/>
          </w:tcPr>
          <w:p w14:paraId="471B0A2A" w14:textId="77777777" w:rsidR="00E91426" w:rsidRPr="00E91426" w:rsidRDefault="00E91426" w:rsidP="00E91426">
            <w:pPr>
              <w:widowControl/>
              <w:rPr>
                <w:rFonts w:ascii="Arial" w:eastAsia="Times New Roman" w:hAnsi="Arial" w:cs="Arial"/>
                <w:sz w:val="20"/>
                <w:szCs w:val="20"/>
                <w:lang w:val="en-GB" w:eastAsia="en-GB"/>
              </w:rPr>
            </w:pPr>
          </w:p>
        </w:tc>
        <w:tc>
          <w:tcPr>
            <w:tcW w:w="1350" w:type="dxa"/>
            <w:tcBorders>
              <w:top w:val="nil"/>
              <w:left w:val="nil"/>
              <w:bottom w:val="nil"/>
              <w:right w:val="nil"/>
            </w:tcBorders>
            <w:noWrap/>
            <w:vAlign w:val="bottom"/>
            <w:hideMark/>
          </w:tcPr>
          <w:p w14:paraId="7361CB4A" w14:textId="77777777" w:rsidR="00E91426" w:rsidRPr="00E91426" w:rsidRDefault="00E91426" w:rsidP="00E91426">
            <w:pPr>
              <w:widowControl/>
              <w:rPr>
                <w:rFonts w:ascii="Arial" w:eastAsia="Times New Roman" w:hAnsi="Arial" w:cs="Arial"/>
                <w:sz w:val="20"/>
                <w:szCs w:val="20"/>
                <w:lang w:val="en-GB" w:eastAsia="en-GB"/>
              </w:rPr>
            </w:pPr>
          </w:p>
        </w:tc>
        <w:tc>
          <w:tcPr>
            <w:tcW w:w="1000" w:type="dxa"/>
            <w:tcBorders>
              <w:top w:val="nil"/>
              <w:left w:val="nil"/>
              <w:bottom w:val="nil"/>
              <w:right w:val="nil"/>
            </w:tcBorders>
            <w:noWrap/>
            <w:vAlign w:val="bottom"/>
            <w:hideMark/>
          </w:tcPr>
          <w:p w14:paraId="09C0D484"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noWrap/>
            <w:vAlign w:val="bottom"/>
            <w:hideMark/>
          </w:tcPr>
          <w:p w14:paraId="45A57E88"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noWrap/>
            <w:vAlign w:val="bottom"/>
            <w:hideMark/>
          </w:tcPr>
          <w:p w14:paraId="78F3F22E"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noWrap/>
            <w:vAlign w:val="bottom"/>
            <w:hideMark/>
          </w:tcPr>
          <w:p w14:paraId="419ED98E"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1FDA9862" w14:textId="77777777" w:rsidTr="00E91426">
        <w:trPr>
          <w:trHeight w:val="255"/>
        </w:trPr>
        <w:tc>
          <w:tcPr>
            <w:tcW w:w="5040" w:type="dxa"/>
            <w:tcBorders>
              <w:top w:val="nil"/>
              <w:left w:val="nil"/>
              <w:bottom w:val="nil"/>
              <w:right w:val="nil"/>
            </w:tcBorders>
            <w:noWrap/>
            <w:vAlign w:val="bottom"/>
            <w:hideMark/>
          </w:tcPr>
          <w:p w14:paraId="37EF60F2" w14:textId="77777777" w:rsidR="00E91426" w:rsidRPr="00E91426" w:rsidRDefault="00E91426" w:rsidP="00E91426">
            <w:pPr>
              <w:widowControl/>
              <w:rPr>
                <w:rFonts w:ascii="Arial" w:eastAsia="Times New Roman" w:hAnsi="Arial" w:cs="Arial"/>
                <w:sz w:val="20"/>
                <w:szCs w:val="20"/>
                <w:lang w:val="en-GB" w:eastAsia="en-GB"/>
              </w:rPr>
            </w:pPr>
          </w:p>
        </w:tc>
        <w:tc>
          <w:tcPr>
            <w:tcW w:w="1120" w:type="dxa"/>
            <w:tcBorders>
              <w:top w:val="nil"/>
              <w:left w:val="nil"/>
              <w:bottom w:val="nil"/>
              <w:right w:val="nil"/>
            </w:tcBorders>
            <w:noWrap/>
            <w:vAlign w:val="bottom"/>
            <w:hideMark/>
          </w:tcPr>
          <w:p w14:paraId="7566FCDA" w14:textId="77777777" w:rsidR="00E91426" w:rsidRPr="00E91426" w:rsidRDefault="00E91426" w:rsidP="00E91426">
            <w:pPr>
              <w:widowControl/>
              <w:rPr>
                <w:rFonts w:ascii="Arial" w:eastAsia="Times New Roman" w:hAnsi="Arial" w:cs="Arial"/>
                <w:sz w:val="20"/>
                <w:szCs w:val="20"/>
                <w:lang w:val="en-GB" w:eastAsia="en-GB"/>
              </w:rPr>
            </w:pPr>
          </w:p>
        </w:tc>
        <w:tc>
          <w:tcPr>
            <w:tcW w:w="1350" w:type="dxa"/>
            <w:tcBorders>
              <w:top w:val="nil"/>
              <w:left w:val="nil"/>
              <w:bottom w:val="nil"/>
              <w:right w:val="nil"/>
            </w:tcBorders>
            <w:noWrap/>
            <w:vAlign w:val="bottom"/>
            <w:hideMark/>
          </w:tcPr>
          <w:p w14:paraId="0AFF2857" w14:textId="77777777" w:rsidR="00E91426" w:rsidRPr="00E91426" w:rsidRDefault="00E91426" w:rsidP="00E91426">
            <w:pPr>
              <w:widowControl/>
              <w:rPr>
                <w:rFonts w:ascii="Arial" w:eastAsia="Times New Roman" w:hAnsi="Arial" w:cs="Arial"/>
                <w:sz w:val="20"/>
                <w:szCs w:val="20"/>
                <w:lang w:val="en-GB" w:eastAsia="en-GB"/>
              </w:rPr>
            </w:pPr>
          </w:p>
        </w:tc>
        <w:tc>
          <w:tcPr>
            <w:tcW w:w="1350" w:type="dxa"/>
            <w:tcBorders>
              <w:top w:val="nil"/>
              <w:left w:val="nil"/>
              <w:bottom w:val="nil"/>
              <w:right w:val="nil"/>
            </w:tcBorders>
            <w:noWrap/>
            <w:vAlign w:val="bottom"/>
            <w:hideMark/>
          </w:tcPr>
          <w:p w14:paraId="79BB4FDE" w14:textId="77777777" w:rsidR="00E91426" w:rsidRPr="00E91426" w:rsidRDefault="00E91426" w:rsidP="00E91426">
            <w:pPr>
              <w:widowControl/>
              <w:rPr>
                <w:rFonts w:ascii="Arial" w:eastAsia="Times New Roman" w:hAnsi="Arial" w:cs="Arial"/>
                <w:sz w:val="20"/>
                <w:szCs w:val="20"/>
                <w:lang w:val="en-GB" w:eastAsia="en-GB"/>
              </w:rPr>
            </w:pPr>
          </w:p>
        </w:tc>
        <w:tc>
          <w:tcPr>
            <w:tcW w:w="1000" w:type="dxa"/>
            <w:tcBorders>
              <w:top w:val="nil"/>
              <w:left w:val="nil"/>
              <w:bottom w:val="nil"/>
              <w:right w:val="nil"/>
            </w:tcBorders>
            <w:noWrap/>
            <w:vAlign w:val="bottom"/>
            <w:hideMark/>
          </w:tcPr>
          <w:p w14:paraId="21F3F5AE"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noWrap/>
            <w:vAlign w:val="bottom"/>
            <w:hideMark/>
          </w:tcPr>
          <w:p w14:paraId="2724DBC5"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noWrap/>
            <w:vAlign w:val="bottom"/>
            <w:hideMark/>
          </w:tcPr>
          <w:p w14:paraId="4C0FD9F3"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noWrap/>
            <w:vAlign w:val="bottom"/>
            <w:hideMark/>
          </w:tcPr>
          <w:p w14:paraId="172920C3"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599B88C4" w14:textId="77777777" w:rsidTr="00E91426">
        <w:trPr>
          <w:trHeight w:val="255"/>
        </w:trPr>
        <w:tc>
          <w:tcPr>
            <w:tcW w:w="5040" w:type="dxa"/>
            <w:tcBorders>
              <w:top w:val="nil"/>
              <w:left w:val="nil"/>
              <w:bottom w:val="nil"/>
              <w:right w:val="nil"/>
            </w:tcBorders>
            <w:noWrap/>
            <w:vAlign w:val="bottom"/>
            <w:hideMark/>
          </w:tcPr>
          <w:p w14:paraId="20149C47" w14:textId="77777777" w:rsidR="00E91426" w:rsidRPr="00E91426" w:rsidRDefault="00E91426" w:rsidP="00E91426">
            <w:pPr>
              <w:widowControl/>
              <w:rPr>
                <w:rFonts w:ascii="Arial" w:eastAsia="Times New Roman" w:hAnsi="Arial" w:cs="Arial"/>
                <w:sz w:val="20"/>
                <w:szCs w:val="20"/>
                <w:lang w:val="en-GB" w:eastAsia="en-GB"/>
              </w:rPr>
            </w:pPr>
          </w:p>
        </w:tc>
        <w:tc>
          <w:tcPr>
            <w:tcW w:w="1120" w:type="dxa"/>
            <w:tcBorders>
              <w:top w:val="nil"/>
              <w:left w:val="nil"/>
              <w:bottom w:val="nil"/>
              <w:right w:val="nil"/>
            </w:tcBorders>
            <w:noWrap/>
            <w:vAlign w:val="bottom"/>
            <w:hideMark/>
          </w:tcPr>
          <w:p w14:paraId="51BC1DDE" w14:textId="77777777" w:rsidR="00E91426" w:rsidRPr="00E91426" w:rsidRDefault="00E91426" w:rsidP="00E91426">
            <w:pPr>
              <w:widowControl/>
              <w:rPr>
                <w:rFonts w:ascii="Arial" w:eastAsia="Times New Roman" w:hAnsi="Arial" w:cs="Arial"/>
                <w:sz w:val="20"/>
                <w:szCs w:val="20"/>
                <w:lang w:val="en-GB" w:eastAsia="en-GB"/>
              </w:rPr>
            </w:pPr>
          </w:p>
        </w:tc>
        <w:tc>
          <w:tcPr>
            <w:tcW w:w="1350" w:type="dxa"/>
            <w:tcBorders>
              <w:top w:val="nil"/>
              <w:left w:val="nil"/>
              <w:bottom w:val="nil"/>
              <w:right w:val="nil"/>
            </w:tcBorders>
            <w:noWrap/>
            <w:vAlign w:val="bottom"/>
            <w:hideMark/>
          </w:tcPr>
          <w:p w14:paraId="38D2B1D4" w14:textId="77777777" w:rsidR="00E91426" w:rsidRPr="00E91426" w:rsidRDefault="00E91426" w:rsidP="00E91426">
            <w:pPr>
              <w:widowControl/>
              <w:rPr>
                <w:rFonts w:ascii="Arial" w:eastAsia="Times New Roman" w:hAnsi="Arial" w:cs="Arial"/>
                <w:sz w:val="20"/>
                <w:szCs w:val="20"/>
                <w:lang w:val="en-GB" w:eastAsia="en-GB"/>
              </w:rPr>
            </w:pPr>
          </w:p>
        </w:tc>
        <w:tc>
          <w:tcPr>
            <w:tcW w:w="1350" w:type="dxa"/>
            <w:tcBorders>
              <w:top w:val="nil"/>
              <w:left w:val="nil"/>
              <w:bottom w:val="nil"/>
              <w:right w:val="nil"/>
            </w:tcBorders>
            <w:noWrap/>
            <w:vAlign w:val="bottom"/>
            <w:hideMark/>
          </w:tcPr>
          <w:p w14:paraId="05FCE63D" w14:textId="77777777" w:rsidR="00E91426" w:rsidRPr="00E91426" w:rsidRDefault="00E91426" w:rsidP="00E91426">
            <w:pPr>
              <w:widowControl/>
              <w:rPr>
                <w:rFonts w:ascii="Arial" w:eastAsia="Times New Roman" w:hAnsi="Arial" w:cs="Arial"/>
                <w:sz w:val="20"/>
                <w:szCs w:val="20"/>
                <w:lang w:val="en-GB" w:eastAsia="en-GB"/>
              </w:rPr>
            </w:pPr>
          </w:p>
        </w:tc>
        <w:tc>
          <w:tcPr>
            <w:tcW w:w="1000" w:type="dxa"/>
            <w:tcBorders>
              <w:top w:val="nil"/>
              <w:left w:val="nil"/>
              <w:bottom w:val="nil"/>
              <w:right w:val="nil"/>
            </w:tcBorders>
            <w:noWrap/>
            <w:vAlign w:val="bottom"/>
            <w:hideMark/>
          </w:tcPr>
          <w:p w14:paraId="52196BEE"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noWrap/>
            <w:vAlign w:val="bottom"/>
            <w:hideMark/>
          </w:tcPr>
          <w:p w14:paraId="344E6506"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noWrap/>
            <w:vAlign w:val="bottom"/>
            <w:hideMark/>
          </w:tcPr>
          <w:p w14:paraId="3E866FAC"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noWrap/>
            <w:vAlign w:val="bottom"/>
            <w:hideMark/>
          </w:tcPr>
          <w:p w14:paraId="4676E0D1" w14:textId="77777777" w:rsidR="00E91426" w:rsidRPr="00E91426" w:rsidRDefault="00E91426" w:rsidP="00E91426">
            <w:pPr>
              <w:widowControl/>
              <w:rPr>
                <w:rFonts w:ascii="Arial" w:eastAsia="Times New Roman" w:hAnsi="Arial" w:cs="Arial"/>
                <w:sz w:val="20"/>
                <w:szCs w:val="20"/>
                <w:lang w:val="en-GB" w:eastAsia="en-GB"/>
              </w:rPr>
            </w:pPr>
          </w:p>
        </w:tc>
      </w:tr>
    </w:tbl>
    <w:p w14:paraId="3EDAB50C" w14:textId="77777777" w:rsidR="00E91426" w:rsidRPr="00E91426" w:rsidRDefault="00E91426" w:rsidP="00E91426">
      <w:pPr>
        <w:keepNext/>
        <w:keepLines/>
        <w:widowControl/>
        <w:spacing w:before="240" w:line="259" w:lineRule="auto"/>
        <w:outlineLvl w:val="0"/>
        <w:rPr>
          <w:rFonts w:ascii="Arial" w:eastAsia="Times New Roman" w:hAnsi="Arial" w:cs="Arial"/>
          <w:b/>
          <w:color w:val="000000"/>
          <w:sz w:val="20"/>
          <w:szCs w:val="20"/>
          <w:lang w:val="en-GB"/>
        </w:rPr>
      </w:pPr>
    </w:p>
    <w:p w14:paraId="67607223" w14:textId="77777777" w:rsidR="00E91426" w:rsidRPr="00E91426" w:rsidRDefault="00E91426" w:rsidP="00E91426">
      <w:pPr>
        <w:keepNext/>
        <w:keepLines/>
        <w:widowControl/>
        <w:spacing w:before="240" w:line="259" w:lineRule="auto"/>
        <w:jc w:val="center"/>
        <w:outlineLvl w:val="0"/>
        <w:rPr>
          <w:rFonts w:ascii="Arial" w:eastAsia="Calibri" w:hAnsi="Arial" w:cs="Arial"/>
          <w:sz w:val="20"/>
          <w:szCs w:val="20"/>
          <w:lang w:val="en-GB"/>
        </w:rPr>
      </w:pPr>
      <w:bookmarkStart w:id="58" w:name="_Toc195698696"/>
      <w:r w:rsidRPr="00E91426">
        <w:rPr>
          <w:rFonts w:ascii="Arial" w:eastAsia="Times New Roman" w:hAnsi="Arial" w:cs="Arial"/>
          <w:b/>
          <w:color w:val="000000"/>
          <w:sz w:val="20"/>
          <w:szCs w:val="20"/>
          <w:lang w:val="en-GB"/>
        </w:rPr>
        <w:t>Statement of Cash Flows</w:t>
      </w:r>
      <w:bookmarkEnd w:id="58"/>
      <w:r w:rsidRPr="00E91426">
        <w:rPr>
          <w:rFonts w:ascii="Arial" w:eastAsia="Times New Roman" w:hAnsi="Arial" w:cs="Arial"/>
          <w:b/>
          <w:color w:val="000000"/>
          <w:sz w:val="20"/>
          <w:szCs w:val="20"/>
          <w:lang w:val="en-GB"/>
        </w:rPr>
        <w:t xml:space="preserve"> </w:t>
      </w:r>
    </w:p>
    <w:p w14:paraId="7A078E50" w14:textId="77777777" w:rsidR="00E91426" w:rsidRPr="00E91426" w:rsidRDefault="00E91426" w:rsidP="00E91426">
      <w:pPr>
        <w:widowControl/>
        <w:spacing w:after="160" w:line="259" w:lineRule="auto"/>
        <w:jc w:val="center"/>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for the year ended 31 March 2025</w:t>
      </w:r>
    </w:p>
    <w:p w14:paraId="0EEB9EF5" w14:textId="77777777" w:rsidR="00E91426" w:rsidRPr="00E91426" w:rsidRDefault="00E91426" w:rsidP="00E91426">
      <w:pPr>
        <w:widowControl/>
        <w:spacing w:after="160" w:line="259" w:lineRule="auto"/>
        <w:rPr>
          <w:rFonts w:ascii="Arial" w:eastAsia="Calibri" w:hAnsi="Arial" w:cs="Arial"/>
          <w:sz w:val="20"/>
          <w:szCs w:val="20"/>
          <w:lang w:val="en-GB"/>
        </w:rPr>
      </w:pPr>
    </w:p>
    <w:tbl>
      <w:tblPr>
        <w:tblW w:w="9540" w:type="dxa"/>
        <w:tblLook w:val="04A0" w:firstRow="1" w:lastRow="0" w:firstColumn="1" w:lastColumn="0" w:noHBand="0" w:noVBand="1"/>
      </w:tblPr>
      <w:tblGrid>
        <w:gridCol w:w="6560"/>
        <w:gridCol w:w="680"/>
        <w:gridCol w:w="1000"/>
        <w:gridCol w:w="222"/>
        <w:gridCol w:w="1200"/>
      </w:tblGrid>
      <w:tr w:rsidR="00E91426" w:rsidRPr="00E91426" w14:paraId="38AA6FE5" w14:textId="77777777" w:rsidTr="00E91426">
        <w:trPr>
          <w:trHeight w:val="282"/>
        </w:trPr>
        <w:tc>
          <w:tcPr>
            <w:tcW w:w="6560" w:type="dxa"/>
            <w:tcBorders>
              <w:top w:val="nil"/>
              <w:left w:val="nil"/>
              <w:bottom w:val="nil"/>
              <w:right w:val="nil"/>
            </w:tcBorders>
            <w:vAlign w:val="bottom"/>
            <w:hideMark/>
          </w:tcPr>
          <w:p w14:paraId="003DD547" w14:textId="77777777" w:rsidR="00E91426" w:rsidRPr="00E91426" w:rsidRDefault="00E91426" w:rsidP="00E91426">
            <w:pPr>
              <w:widowControl/>
              <w:spacing w:after="160" w:line="259" w:lineRule="auto"/>
              <w:rPr>
                <w:rFonts w:ascii="Arial" w:eastAsia="Times New Roman" w:hAnsi="Arial" w:cs="Arial"/>
                <w:sz w:val="20"/>
                <w:szCs w:val="20"/>
                <w:lang w:val="en-GB" w:eastAsia="en-GB"/>
              </w:rPr>
            </w:pPr>
          </w:p>
        </w:tc>
        <w:tc>
          <w:tcPr>
            <w:tcW w:w="680" w:type="dxa"/>
            <w:tcBorders>
              <w:top w:val="nil"/>
              <w:left w:val="nil"/>
              <w:bottom w:val="nil"/>
              <w:right w:val="nil"/>
            </w:tcBorders>
            <w:vAlign w:val="bottom"/>
            <w:hideMark/>
          </w:tcPr>
          <w:p w14:paraId="5F2BC814" w14:textId="77777777" w:rsidR="00E91426" w:rsidRPr="00E91426" w:rsidRDefault="00E91426" w:rsidP="00E91426">
            <w:pPr>
              <w:widowControl/>
              <w:rPr>
                <w:rFonts w:ascii="Arial" w:eastAsia="Times New Roman" w:hAnsi="Arial" w:cs="Arial"/>
                <w:sz w:val="20"/>
                <w:szCs w:val="20"/>
                <w:lang w:val="en-GB" w:eastAsia="en-GB"/>
              </w:rPr>
            </w:pPr>
          </w:p>
        </w:tc>
        <w:tc>
          <w:tcPr>
            <w:tcW w:w="1000" w:type="dxa"/>
            <w:tcBorders>
              <w:top w:val="nil"/>
              <w:left w:val="nil"/>
              <w:bottom w:val="nil"/>
              <w:right w:val="nil"/>
            </w:tcBorders>
            <w:vAlign w:val="bottom"/>
            <w:hideMark/>
          </w:tcPr>
          <w:p w14:paraId="2DA7857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2024/25</w:t>
            </w:r>
          </w:p>
        </w:tc>
        <w:tc>
          <w:tcPr>
            <w:tcW w:w="100" w:type="dxa"/>
            <w:tcBorders>
              <w:top w:val="nil"/>
              <w:left w:val="nil"/>
              <w:bottom w:val="nil"/>
              <w:right w:val="nil"/>
            </w:tcBorders>
            <w:noWrap/>
            <w:vAlign w:val="bottom"/>
            <w:hideMark/>
          </w:tcPr>
          <w:p w14:paraId="0EB7815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200" w:type="dxa"/>
            <w:tcBorders>
              <w:top w:val="nil"/>
              <w:left w:val="nil"/>
              <w:bottom w:val="nil"/>
              <w:right w:val="nil"/>
            </w:tcBorders>
            <w:vAlign w:val="bottom"/>
            <w:hideMark/>
          </w:tcPr>
          <w:p w14:paraId="30EABEE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2023/24</w:t>
            </w:r>
          </w:p>
        </w:tc>
      </w:tr>
      <w:tr w:rsidR="00E91426" w:rsidRPr="00E91426" w14:paraId="36721F3B" w14:textId="77777777" w:rsidTr="00E91426">
        <w:trPr>
          <w:trHeight w:val="282"/>
        </w:trPr>
        <w:tc>
          <w:tcPr>
            <w:tcW w:w="6560" w:type="dxa"/>
            <w:tcBorders>
              <w:top w:val="nil"/>
              <w:left w:val="nil"/>
              <w:bottom w:val="nil"/>
              <w:right w:val="nil"/>
            </w:tcBorders>
            <w:vAlign w:val="bottom"/>
            <w:hideMark/>
          </w:tcPr>
          <w:p w14:paraId="7D938512"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680" w:type="dxa"/>
            <w:tcBorders>
              <w:top w:val="nil"/>
              <w:left w:val="nil"/>
              <w:bottom w:val="nil"/>
              <w:right w:val="nil"/>
            </w:tcBorders>
            <w:noWrap/>
            <w:vAlign w:val="bottom"/>
            <w:hideMark/>
          </w:tcPr>
          <w:p w14:paraId="1F64FE6C" w14:textId="77777777" w:rsidR="00E91426" w:rsidRPr="00E91426" w:rsidRDefault="00E91426" w:rsidP="00E91426">
            <w:pPr>
              <w:widowControl/>
              <w:jc w:val="center"/>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Note</w:t>
            </w:r>
          </w:p>
        </w:tc>
        <w:tc>
          <w:tcPr>
            <w:tcW w:w="1000" w:type="dxa"/>
            <w:tcBorders>
              <w:top w:val="nil"/>
              <w:left w:val="nil"/>
              <w:bottom w:val="nil"/>
              <w:right w:val="nil"/>
            </w:tcBorders>
            <w:vAlign w:val="bottom"/>
            <w:hideMark/>
          </w:tcPr>
          <w:p w14:paraId="00814AE2"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100" w:type="dxa"/>
            <w:tcBorders>
              <w:top w:val="nil"/>
              <w:left w:val="nil"/>
              <w:bottom w:val="nil"/>
              <w:right w:val="nil"/>
            </w:tcBorders>
            <w:noWrap/>
            <w:vAlign w:val="bottom"/>
            <w:hideMark/>
          </w:tcPr>
          <w:p w14:paraId="7B2264D0"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200" w:type="dxa"/>
            <w:tcBorders>
              <w:top w:val="nil"/>
              <w:left w:val="nil"/>
              <w:bottom w:val="nil"/>
              <w:right w:val="nil"/>
            </w:tcBorders>
            <w:vAlign w:val="bottom"/>
            <w:hideMark/>
          </w:tcPr>
          <w:p w14:paraId="71827FEA"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r>
      <w:tr w:rsidR="00E91426" w:rsidRPr="00E91426" w14:paraId="1928302F" w14:textId="77777777" w:rsidTr="00E91426">
        <w:trPr>
          <w:trHeight w:val="282"/>
        </w:trPr>
        <w:tc>
          <w:tcPr>
            <w:tcW w:w="6560" w:type="dxa"/>
            <w:tcBorders>
              <w:top w:val="nil"/>
              <w:left w:val="nil"/>
              <w:bottom w:val="nil"/>
              <w:right w:val="nil"/>
            </w:tcBorders>
            <w:noWrap/>
            <w:vAlign w:val="bottom"/>
            <w:hideMark/>
          </w:tcPr>
          <w:p w14:paraId="5324F193"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Cash flows from operating activities</w:t>
            </w:r>
          </w:p>
        </w:tc>
        <w:tc>
          <w:tcPr>
            <w:tcW w:w="680" w:type="dxa"/>
            <w:tcBorders>
              <w:top w:val="nil"/>
              <w:left w:val="nil"/>
              <w:bottom w:val="nil"/>
              <w:right w:val="nil"/>
            </w:tcBorders>
            <w:vAlign w:val="bottom"/>
            <w:hideMark/>
          </w:tcPr>
          <w:p w14:paraId="4B5477C2"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1000" w:type="dxa"/>
            <w:tcBorders>
              <w:top w:val="nil"/>
              <w:left w:val="nil"/>
              <w:bottom w:val="nil"/>
              <w:right w:val="nil"/>
            </w:tcBorders>
            <w:vAlign w:val="bottom"/>
            <w:hideMark/>
          </w:tcPr>
          <w:p w14:paraId="028321C6" w14:textId="77777777" w:rsidR="00E91426" w:rsidRPr="00E91426" w:rsidRDefault="00E91426" w:rsidP="00E91426">
            <w:pPr>
              <w:widowControl/>
              <w:jc w:val="center"/>
              <w:rPr>
                <w:rFonts w:ascii="Arial" w:eastAsia="Times New Roman" w:hAnsi="Arial" w:cs="Arial"/>
                <w:sz w:val="20"/>
                <w:szCs w:val="20"/>
                <w:lang w:val="en-GB" w:eastAsia="en-GB"/>
              </w:rPr>
            </w:pPr>
          </w:p>
        </w:tc>
        <w:tc>
          <w:tcPr>
            <w:tcW w:w="100" w:type="dxa"/>
            <w:tcBorders>
              <w:top w:val="nil"/>
              <w:left w:val="nil"/>
              <w:bottom w:val="nil"/>
              <w:right w:val="nil"/>
            </w:tcBorders>
            <w:noWrap/>
            <w:vAlign w:val="bottom"/>
            <w:hideMark/>
          </w:tcPr>
          <w:p w14:paraId="7BB369AA" w14:textId="77777777" w:rsidR="00E91426" w:rsidRPr="00E91426" w:rsidRDefault="00E91426" w:rsidP="00E91426">
            <w:pPr>
              <w:widowControl/>
              <w:rPr>
                <w:rFonts w:ascii="Arial" w:eastAsia="Times New Roman" w:hAnsi="Arial" w:cs="Arial"/>
                <w:sz w:val="20"/>
                <w:szCs w:val="20"/>
                <w:lang w:val="en-GB" w:eastAsia="en-GB"/>
              </w:rPr>
            </w:pPr>
          </w:p>
        </w:tc>
        <w:tc>
          <w:tcPr>
            <w:tcW w:w="1200" w:type="dxa"/>
            <w:tcBorders>
              <w:top w:val="nil"/>
              <w:left w:val="nil"/>
              <w:bottom w:val="nil"/>
              <w:right w:val="nil"/>
            </w:tcBorders>
            <w:vAlign w:val="bottom"/>
            <w:hideMark/>
          </w:tcPr>
          <w:p w14:paraId="2CE99C91" w14:textId="77777777" w:rsidR="00E91426" w:rsidRPr="00E91426" w:rsidRDefault="00E91426" w:rsidP="00E91426">
            <w:pPr>
              <w:widowControl/>
              <w:jc w:val="right"/>
              <w:rPr>
                <w:rFonts w:ascii="Arial" w:eastAsia="Times New Roman" w:hAnsi="Arial" w:cs="Arial"/>
                <w:sz w:val="20"/>
                <w:szCs w:val="20"/>
                <w:lang w:val="en-GB" w:eastAsia="en-GB"/>
              </w:rPr>
            </w:pPr>
          </w:p>
        </w:tc>
      </w:tr>
      <w:tr w:rsidR="00E91426" w:rsidRPr="00E91426" w14:paraId="3A14F377" w14:textId="77777777" w:rsidTr="00E91426">
        <w:trPr>
          <w:trHeight w:val="282"/>
        </w:trPr>
        <w:tc>
          <w:tcPr>
            <w:tcW w:w="6560" w:type="dxa"/>
            <w:tcBorders>
              <w:top w:val="nil"/>
              <w:left w:val="nil"/>
              <w:bottom w:val="nil"/>
              <w:right w:val="nil"/>
            </w:tcBorders>
            <w:vAlign w:val="bottom"/>
            <w:hideMark/>
          </w:tcPr>
          <w:p w14:paraId="35CD35D2"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Operating surplus / (deficit)</w:t>
            </w:r>
          </w:p>
        </w:tc>
        <w:tc>
          <w:tcPr>
            <w:tcW w:w="680" w:type="dxa"/>
            <w:tcBorders>
              <w:top w:val="nil"/>
              <w:left w:val="nil"/>
              <w:bottom w:val="nil"/>
              <w:right w:val="nil"/>
            </w:tcBorders>
            <w:vAlign w:val="bottom"/>
            <w:hideMark/>
          </w:tcPr>
          <w:p w14:paraId="1C967C5A"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1000" w:type="dxa"/>
            <w:tcBorders>
              <w:top w:val="nil"/>
              <w:left w:val="nil"/>
              <w:bottom w:val="nil"/>
              <w:right w:val="nil"/>
            </w:tcBorders>
            <w:noWrap/>
            <w:vAlign w:val="bottom"/>
            <w:hideMark/>
          </w:tcPr>
          <w:p w14:paraId="542D51F9"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(8,737)</w:t>
            </w:r>
          </w:p>
        </w:tc>
        <w:tc>
          <w:tcPr>
            <w:tcW w:w="100" w:type="dxa"/>
            <w:tcBorders>
              <w:top w:val="nil"/>
              <w:left w:val="nil"/>
              <w:bottom w:val="nil"/>
              <w:right w:val="nil"/>
            </w:tcBorders>
            <w:noWrap/>
            <w:vAlign w:val="bottom"/>
            <w:hideMark/>
          </w:tcPr>
          <w:p w14:paraId="69AEB005"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00" w:type="dxa"/>
            <w:tcBorders>
              <w:top w:val="nil"/>
              <w:left w:val="nil"/>
              <w:bottom w:val="nil"/>
              <w:right w:val="nil"/>
            </w:tcBorders>
            <w:noWrap/>
            <w:vAlign w:val="bottom"/>
            <w:hideMark/>
          </w:tcPr>
          <w:p w14:paraId="6DA3A59A"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(16,459)</w:t>
            </w:r>
          </w:p>
        </w:tc>
      </w:tr>
      <w:tr w:rsidR="00E91426" w:rsidRPr="00E91426" w14:paraId="3212876A" w14:textId="77777777" w:rsidTr="00E91426">
        <w:trPr>
          <w:trHeight w:val="282"/>
        </w:trPr>
        <w:tc>
          <w:tcPr>
            <w:tcW w:w="6560" w:type="dxa"/>
            <w:tcBorders>
              <w:top w:val="nil"/>
              <w:left w:val="nil"/>
              <w:bottom w:val="nil"/>
              <w:right w:val="nil"/>
            </w:tcBorders>
            <w:noWrap/>
            <w:vAlign w:val="bottom"/>
            <w:hideMark/>
          </w:tcPr>
          <w:p w14:paraId="50CCF312"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Non-cash income and expense:</w:t>
            </w:r>
          </w:p>
        </w:tc>
        <w:tc>
          <w:tcPr>
            <w:tcW w:w="680" w:type="dxa"/>
            <w:tcBorders>
              <w:top w:val="nil"/>
              <w:left w:val="nil"/>
              <w:bottom w:val="nil"/>
              <w:right w:val="nil"/>
            </w:tcBorders>
            <w:vAlign w:val="bottom"/>
            <w:hideMark/>
          </w:tcPr>
          <w:p w14:paraId="6195E762"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1000" w:type="dxa"/>
            <w:tcBorders>
              <w:top w:val="nil"/>
              <w:left w:val="nil"/>
              <w:bottom w:val="nil"/>
              <w:right w:val="nil"/>
            </w:tcBorders>
            <w:noWrap/>
            <w:vAlign w:val="bottom"/>
            <w:hideMark/>
          </w:tcPr>
          <w:p w14:paraId="4EDA7F61" w14:textId="77777777" w:rsidR="00E91426" w:rsidRPr="00E91426" w:rsidRDefault="00E91426" w:rsidP="00E91426">
            <w:pPr>
              <w:widowControl/>
              <w:jc w:val="center"/>
              <w:rPr>
                <w:rFonts w:ascii="Arial" w:eastAsia="Times New Roman" w:hAnsi="Arial" w:cs="Arial"/>
                <w:sz w:val="20"/>
                <w:szCs w:val="20"/>
                <w:lang w:val="en-GB" w:eastAsia="en-GB"/>
              </w:rPr>
            </w:pPr>
          </w:p>
        </w:tc>
        <w:tc>
          <w:tcPr>
            <w:tcW w:w="100" w:type="dxa"/>
            <w:tcBorders>
              <w:top w:val="nil"/>
              <w:left w:val="nil"/>
              <w:bottom w:val="nil"/>
              <w:right w:val="nil"/>
            </w:tcBorders>
            <w:noWrap/>
            <w:vAlign w:val="bottom"/>
            <w:hideMark/>
          </w:tcPr>
          <w:p w14:paraId="2F5591D8"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200" w:type="dxa"/>
            <w:tcBorders>
              <w:top w:val="nil"/>
              <w:left w:val="nil"/>
              <w:bottom w:val="nil"/>
              <w:right w:val="nil"/>
            </w:tcBorders>
            <w:noWrap/>
            <w:vAlign w:val="bottom"/>
            <w:hideMark/>
          </w:tcPr>
          <w:p w14:paraId="00C8CAA3" w14:textId="77777777" w:rsidR="00E91426" w:rsidRPr="00E91426" w:rsidRDefault="00E91426" w:rsidP="00E91426">
            <w:pPr>
              <w:widowControl/>
              <w:jc w:val="right"/>
              <w:rPr>
                <w:rFonts w:ascii="Arial" w:eastAsia="Times New Roman" w:hAnsi="Arial" w:cs="Arial"/>
                <w:sz w:val="20"/>
                <w:szCs w:val="20"/>
                <w:lang w:val="en-GB" w:eastAsia="en-GB"/>
              </w:rPr>
            </w:pPr>
          </w:p>
        </w:tc>
      </w:tr>
      <w:tr w:rsidR="00E91426" w:rsidRPr="00E91426" w14:paraId="74BCA73C" w14:textId="77777777" w:rsidTr="00E91426">
        <w:trPr>
          <w:trHeight w:val="282"/>
        </w:trPr>
        <w:tc>
          <w:tcPr>
            <w:tcW w:w="6560" w:type="dxa"/>
            <w:tcBorders>
              <w:top w:val="nil"/>
              <w:left w:val="nil"/>
              <w:bottom w:val="nil"/>
              <w:right w:val="nil"/>
            </w:tcBorders>
            <w:vAlign w:val="bottom"/>
            <w:hideMark/>
          </w:tcPr>
          <w:p w14:paraId="0BE1A9D4"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Depreciation and amortisation</w:t>
            </w:r>
          </w:p>
        </w:tc>
        <w:tc>
          <w:tcPr>
            <w:tcW w:w="680" w:type="dxa"/>
            <w:tcBorders>
              <w:top w:val="nil"/>
              <w:left w:val="nil"/>
              <w:bottom w:val="nil"/>
              <w:right w:val="nil"/>
            </w:tcBorders>
            <w:vAlign w:val="bottom"/>
            <w:hideMark/>
          </w:tcPr>
          <w:p w14:paraId="6B3CF175" w14:textId="77777777" w:rsidR="00E91426" w:rsidRPr="00E91426" w:rsidRDefault="00E91426" w:rsidP="00E91426">
            <w:pPr>
              <w:widowControl/>
              <w:jc w:val="center"/>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5</w:t>
            </w:r>
          </w:p>
        </w:tc>
        <w:tc>
          <w:tcPr>
            <w:tcW w:w="1000" w:type="dxa"/>
            <w:tcBorders>
              <w:top w:val="nil"/>
              <w:left w:val="nil"/>
              <w:bottom w:val="nil"/>
              <w:right w:val="nil"/>
            </w:tcBorders>
            <w:noWrap/>
            <w:vAlign w:val="bottom"/>
            <w:hideMark/>
          </w:tcPr>
          <w:p w14:paraId="1C0809FC"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19,889</w:t>
            </w:r>
          </w:p>
        </w:tc>
        <w:tc>
          <w:tcPr>
            <w:tcW w:w="100" w:type="dxa"/>
            <w:tcBorders>
              <w:top w:val="nil"/>
              <w:left w:val="nil"/>
              <w:bottom w:val="nil"/>
              <w:right w:val="nil"/>
            </w:tcBorders>
            <w:noWrap/>
            <w:vAlign w:val="bottom"/>
            <w:hideMark/>
          </w:tcPr>
          <w:p w14:paraId="7B73B6C6"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00" w:type="dxa"/>
            <w:tcBorders>
              <w:top w:val="nil"/>
              <w:left w:val="nil"/>
              <w:bottom w:val="nil"/>
              <w:right w:val="nil"/>
            </w:tcBorders>
            <w:noWrap/>
            <w:vAlign w:val="bottom"/>
            <w:hideMark/>
          </w:tcPr>
          <w:p w14:paraId="2137CCE8"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18,560</w:t>
            </w:r>
          </w:p>
        </w:tc>
      </w:tr>
      <w:tr w:rsidR="00E91426" w:rsidRPr="00E91426" w14:paraId="3469ED17" w14:textId="77777777" w:rsidTr="00E91426">
        <w:trPr>
          <w:trHeight w:val="282"/>
        </w:trPr>
        <w:tc>
          <w:tcPr>
            <w:tcW w:w="6560" w:type="dxa"/>
            <w:tcBorders>
              <w:top w:val="nil"/>
              <w:left w:val="nil"/>
              <w:bottom w:val="nil"/>
              <w:right w:val="nil"/>
            </w:tcBorders>
            <w:vAlign w:val="bottom"/>
            <w:hideMark/>
          </w:tcPr>
          <w:p w14:paraId="0468A987"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Impairments and reversals</w:t>
            </w:r>
          </w:p>
        </w:tc>
        <w:tc>
          <w:tcPr>
            <w:tcW w:w="680" w:type="dxa"/>
            <w:tcBorders>
              <w:top w:val="nil"/>
              <w:left w:val="nil"/>
              <w:bottom w:val="nil"/>
              <w:right w:val="nil"/>
            </w:tcBorders>
            <w:vAlign w:val="bottom"/>
            <w:hideMark/>
          </w:tcPr>
          <w:p w14:paraId="3E3C55EB" w14:textId="77777777" w:rsidR="00E91426" w:rsidRPr="00E91426" w:rsidRDefault="00E91426" w:rsidP="00E91426">
            <w:pPr>
              <w:widowControl/>
              <w:jc w:val="center"/>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12</w:t>
            </w:r>
          </w:p>
        </w:tc>
        <w:tc>
          <w:tcPr>
            <w:tcW w:w="1000" w:type="dxa"/>
            <w:tcBorders>
              <w:top w:val="nil"/>
              <w:left w:val="nil"/>
              <w:bottom w:val="nil"/>
              <w:right w:val="nil"/>
            </w:tcBorders>
            <w:noWrap/>
            <w:vAlign w:val="bottom"/>
            <w:hideMark/>
          </w:tcPr>
          <w:p w14:paraId="2BB8E2DA"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178</w:t>
            </w:r>
          </w:p>
        </w:tc>
        <w:tc>
          <w:tcPr>
            <w:tcW w:w="100" w:type="dxa"/>
            <w:tcBorders>
              <w:top w:val="nil"/>
              <w:left w:val="nil"/>
              <w:bottom w:val="nil"/>
              <w:right w:val="nil"/>
            </w:tcBorders>
            <w:noWrap/>
            <w:vAlign w:val="bottom"/>
            <w:hideMark/>
          </w:tcPr>
          <w:p w14:paraId="6EE38DCC"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00" w:type="dxa"/>
            <w:tcBorders>
              <w:top w:val="nil"/>
              <w:left w:val="nil"/>
              <w:bottom w:val="nil"/>
              <w:right w:val="nil"/>
            </w:tcBorders>
            <w:noWrap/>
            <w:vAlign w:val="bottom"/>
            <w:hideMark/>
          </w:tcPr>
          <w:p w14:paraId="2AC3CBB0"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171</w:t>
            </w:r>
          </w:p>
        </w:tc>
      </w:tr>
      <w:tr w:rsidR="00E91426" w:rsidRPr="00E91426" w14:paraId="370BEB96" w14:textId="77777777" w:rsidTr="00E91426">
        <w:trPr>
          <w:trHeight w:val="255"/>
        </w:trPr>
        <w:tc>
          <w:tcPr>
            <w:tcW w:w="6560" w:type="dxa"/>
            <w:tcBorders>
              <w:top w:val="nil"/>
              <w:left w:val="nil"/>
              <w:bottom w:val="nil"/>
              <w:right w:val="nil"/>
            </w:tcBorders>
            <w:vAlign w:val="bottom"/>
            <w:hideMark/>
          </w:tcPr>
          <w:p w14:paraId="5EB95023"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Income recognised in respect of capital donations (cash and non-cash)</w:t>
            </w:r>
          </w:p>
        </w:tc>
        <w:tc>
          <w:tcPr>
            <w:tcW w:w="680" w:type="dxa"/>
            <w:tcBorders>
              <w:top w:val="nil"/>
              <w:left w:val="nil"/>
              <w:bottom w:val="nil"/>
              <w:right w:val="nil"/>
            </w:tcBorders>
            <w:vAlign w:val="center"/>
            <w:hideMark/>
          </w:tcPr>
          <w:p w14:paraId="0644452E" w14:textId="77777777" w:rsidR="00E91426" w:rsidRPr="00E91426" w:rsidRDefault="00E91426" w:rsidP="00E91426">
            <w:pPr>
              <w:widowControl/>
              <w:jc w:val="center"/>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4</w:t>
            </w:r>
          </w:p>
        </w:tc>
        <w:tc>
          <w:tcPr>
            <w:tcW w:w="1000" w:type="dxa"/>
            <w:tcBorders>
              <w:top w:val="nil"/>
              <w:left w:val="nil"/>
              <w:bottom w:val="nil"/>
              <w:right w:val="nil"/>
            </w:tcBorders>
            <w:noWrap/>
            <w:vAlign w:val="center"/>
            <w:hideMark/>
          </w:tcPr>
          <w:p w14:paraId="041EAFDC"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(5,813)</w:t>
            </w:r>
          </w:p>
        </w:tc>
        <w:tc>
          <w:tcPr>
            <w:tcW w:w="100" w:type="dxa"/>
            <w:tcBorders>
              <w:top w:val="nil"/>
              <w:left w:val="nil"/>
              <w:bottom w:val="nil"/>
              <w:right w:val="nil"/>
            </w:tcBorders>
            <w:noWrap/>
            <w:vAlign w:val="center"/>
            <w:hideMark/>
          </w:tcPr>
          <w:p w14:paraId="284D3C9A"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00" w:type="dxa"/>
            <w:tcBorders>
              <w:top w:val="nil"/>
              <w:left w:val="nil"/>
              <w:bottom w:val="nil"/>
              <w:right w:val="nil"/>
            </w:tcBorders>
            <w:noWrap/>
            <w:vAlign w:val="center"/>
            <w:hideMark/>
          </w:tcPr>
          <w:p w14:paraId="361AA3D5"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(228)</w:t>
            </w:r>
          </w:p>
        </w:tc>
      </w:tr>
      <w:tr w:rsidR="00E91426" w:rsidRPr="00E91426" w14:paraId="3608674C" w14:textId="77777777" w:rsidTr="00E91426">
        <w:trPr>
          <w:trHeight w:val="282"/>
        </w:trPr>
        <w:tc>
          <w:tcPr>
            <w:tcW w:w="6560" w:type="dxa"/>
            <w:tcBorders>
              <w:top w:val="nil"/>
              <w:left w:val="nil"/>
              <w:bottom w:val="nil"/>
              <w:right w:val="nil"/>
            </w:tcBorders>
            <w:vAlign w:val="bottom"/>
            <w:hideMark/>
          </w:tcPr>
          <w:p w14:paraId="5F599EB9"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(Increase)/decrease in receivables</w:t>
            </w:r>
          </w:p>
        </w:tc>
        <w:tc>
          <w:tcPr>
            <w:tcW w:w="680" w:type="dxa"/>
            <w:tcBorders>
              <w:top w:val="nil"/>
              <w:left w:val="nil"/>
              <w:bottom w:val="nil"/>
              <w:right w:val="nil"/>
            </w:tcBorders>
            <w:vAlign w:val="bottom"/>
            <w:hideMark/>
          </w:tcPr>
          <w:p w14:paraId="0C2B191E"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1000" w:type="dxa"/>
            <w:tcBorders>
              <w:top w:val="nil"/>
              <w:left w:val="nil"/>
              <w:bottom w:val="nil"/>
              <w:right w:val="nil"/>
            </w:tcBorders>
            <w:noWrap/>
            <w:vAlign w:val="bottom"/>
            <w:hideMark/>
          </w:tcPr>
          <w:p w14:paraId="6C6F5BAD"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(5,336)</w:t>
            </w:r>
          </w:p>
        </w:tc>
        <w:tc>
          <w:tcPr>
            <w:tcW w:w="100" w:type="dxa"/>
            <w:tcBorders>
              <w:top w:val="nil"/>
              <w:left w:val="nil"/>
              <w:bottom w:val="nil"/>
              <w:right w:val="nil"/>
            </w:tcBorders>
            <w:noWrap/>
            <w:vAlign w:val="bottom"/>
            <w:hideMark/>
          </w:tcPr>
          <w:p w14:paraId="071CFC81"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00" w:type="dxa"/>
            <w:tcBorders>
              <w:top w:val="nil"/>
              <w:left w:val="nil"/>
              <w:bottom w:val="nil"/>
              <w:right w:val="nil"/>
            </w:tcBorders>
            <w:noWrap/>
            <w:vAlign w:val="bottom"/>
            <w:hideMark/>
          </w:tcPr>
          <w:p w14:paraId="7E0F8FB1"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(486)</w:t>
            </w:r>
          </w:p>
        </w:tc>
      </w:tr>
      <w:tr w:rsidR="00E91426" w:rsidRPr="00E91426" w14:paraId="734AF0B6" w14:textId="77777777" w:rsidTr="00E91426">
        <w:trPr>
          <w:trHeight w:val="282"/>
        </w:trPr>
        <w:tc>
          <w:tcPr>
            <w:tcW w:w="6560" w:type="dxa"/>
            <w:tcBorders>
              <w:top w:val="nil"/>
              <w:left w:val="nil"/>
              <w:bottom w:val="nil"/>
              <w:right w:val="nil"/>
            </w:tcBorders>
            <w:vAlign w:val="bottom"/>
            <w:hideMark/>
          </w:tcPr>
          <w:p w14:paraId="7B6F9AF5"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(Increase)/decrease in inventories</w:t>
            </w:r>
          </w:p>
        </w:tc>
        <w:tc>
          <w:tcPr>
            <w:tcW w:w="680" w:type="dxa"/>
            <w:tcBorders>
              <w:top w:val="nil"/>
              <w:left w:val="nil"/>
              <w:bottom w:val="nil"/>
              <w:right w:val="nil"/>
            </w:tcBorders>
            <w:vAlign w:val="bottom"/>
            <w:hideMark/>
          </w:tcPr>
          <w:p w14:paraId="0398ACBB"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1000" w:type="dxa"/>
            <w:tcBorders>
              <w:top w:val="nil"/>
              <w:left w:val="nil"/>
              <w:bottom w:val="nil"/>
              <w:right w:val="nil"/>
            </w:tcBorders>
            <w:noWrap/>
            <w:vAlign w:val="bottom"/>
            <w:hideMark/>
          </w:tcPr>
          <w:p w14:paraId="13274200"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(176)</w:t>
            </w:r>
          </w:p>
        </w:tc>
        <w:tc>
          <w:tcPr>
            <w:tcW w:w="100" w:type="dxa"/>
            <w:tcBorders>
              <w:top w:val="nil"/>
              <w:left w:val="nil"/>
              <w:bottom w:val="nil"/>
              <w:right w:val="nil"/>
            </w:tcBorders>
            <w:noWrap/>
            <w:vAlign w:val="bottom"/>
            <w:hideMark/>
          </w:tcPr>
          <w:p w14:paraId="641BB916"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00" w:type="dxa"/>
            <w:tcBorders>
              <w:top w:val="nil"/>
              <w:left w:val="nil"/>
              <w:bottom w:val="nil"/>
              <w:right w:val="nil"/>
            </w:tcBorders>
            <w:noWrap/>
            <w:vAlign w:val="bottom"/>
            <w:hideMark/>
          </w:tcPr>
          <w:p w14:paraId="16987EF3"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(180)</w:t>
            </w:r>
          </w:p>
        </w:tc>
      </w:tr>
      <w:tr w:rsidR="00E91426" w:rsidRPr="00E91426" w14:paraId="1A1BC830" w14:textId="77777777" w:rsidTr="00E91426">
        <w:trPr>
          <w:trHeight w:val="282"/>
        </w:trPr>
        <w:tc>
          <w:tcPr>
            <w:tcW w:w="6560" w:type="dxa"/>
            <w:tcBorders>
              <w:top w:val="nil"/>
              <w:left w:val="nil"/>
              <w:bottom w:val="nil"/>
              <w:right w:val="nil"/>
            </w:tcBorders>
            <w:vAlign w:val="bottom"/>
            <w:hideMark/>
          </w:tcPr>
          <w:p w14:paraId="1D017E6A"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Increase/(decrease) in trade and other payables</w:t>
            </w:r>
          </w:p>
        </w:tc>
        <w:tc>
          <w:tcPr>
            <w:tcW w:w="680" w:type="dxa"/>
            <w:tcBorders>
              <w:top w:val="nil"/>
              <w:left w:val="nil"/>
              <w:bottom w:val="nil"/>
              <w:right w:val="nil"/>
            </w:tcBorders>
            <w:vAlign w:val="bottom"/>
            <w:hideMark/>
          </w:tcPr>
          <w:p w14:paraId="5D5B6B91"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1000" w:type="dxa"/>
            <w:tcBorders>
              <w:top w:val="nil"/>
              <w:left w:val="nil"/>
              <w:bottom w:val="nil"/>
              <w:right w:val="nil"/>
            </w:tcBorders>
            <w:noWrap/>
            <w:vAlign w:val="bottom"/>
            <w:hideMark/>
          </w:tcPr>
          <w:p w14:paraId="173A8952"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4,235</w:t>
            </w:r>
          </w:p>
        </w:tc>
        <w:tc>
          <w:tcPr>
            <w:tcW w:w="100" w:type="dxa"/>
            <w:tcBorders>
              <w:top w:val="nil"/>
              <w:left w:val="nil"/>
              <w:bottom w:val="nil"/>
              <w:right w:val="nil"/>
            </w:tcBorders>
            <w:noWrap/>
            <w:vAlign w:val="bottom"/>
            <w:hideMark/>
          </w:tcPr>
          <w:p w14:paraId="3BB2DAFE"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00" w:type="dxa"/>
            <w:tcBorders>
              <w:top w:val="nil"/>
              <w:left w:val="nil"/>
              <w:bottom w:val="nil"/>
              <w:right w:val="nil"/>
            </w:tcBorders>
            <w:noWrap/>
            <w:vAlign w:val="bottom"/>
            <w:hideMark/>
          </w:tcPr>
          <w:p w14:paraId="578811B2"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6,671</w:t>
            </w:r>
          </w:p>
        </w:tc>
      </w:tr>
      <w:tr w:rsidR="00E91426" w:rsidRPr="00E91426" w14:paraId="7AC48A78" w14:textId="77777777" w:rsidTr="00E91426">
        <w:trPr>
          <w:trHeight w:val="282"/>
        </w:trPr>
        <w:tc>
          <w:tcPr>
            <w:tcW w:w="6560" w:type="dxa"/>
            <w:tcBorders>
              <w:top w:val="nil"/>
              <w:left w:val="nil"/>
              <w:bottom w:val="nil"/>
              <w:right w:val="nil"/>
            </w:tcBorders>
            <w:vAlign w:val="bottom"/>
            <w:hideMark/>
          </w:tcPr>
          <w:p w14:paraId="36DB89D8"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Increase/(decrease) in other liabilities</w:t>
            </w:r>
          </w:p>
        </w:tc>
        <w:tc>
          <w:tcPr>
            <w:tcW w:w="680" w:type="dxa"/>
            <w:tcBorders>
              <w:top w:val="nil"/>
              <w:left w:val="nil"/>
              <w:bottom w:val="nil"/>
              <w:right w:val="nil"/>
            </w:tcBorders>
            <w:vAlign w:val="bottom"/>
            <w:hideMark/>
          </w:tcPr>
          <w:p w14:paraId="1F43E3FC"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1000" w:type="dxa"/>
            <w:tcBorders>
              <w:top w:val="nil"/>
              <w:left w:val="nil"/>
              <w:bottom w:val="nil"/>
              <w:right w:val="nil"/>
            </w:tcBorders>
            <w:noWrap/>
            <w:vAlign w:val="bottom"/>
            <w:hideMark/>
          </w:tcPr>
          <w:p w14:paraId="0A8DFD16"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(29)</w:t>
            </w:r>
          </w:p>
        </w:tc>
        <w:tc>
          <w:tcPr>
            <w:tcW w:w="100" w:type="dxa"/>
            <w:tcBorders>
              <w:top w:val="nil"/>
              <w:left w:val="nil"/>
              <w:bottom w:val="nil"/>
              <w:right w:val="nil"/>
            </w:tcBorders>
            <w:noWrap/>
            <w:vAlign w:val="bottom"/>
            <w:hideMark/>
          </w:tcPr>
          <w:p w14:paraId="0432F3DC"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00" w:type="dxa"/>
            <w:tcBorders>
              <w:top w:val="nil"/>
              <w:left w:val="nil"/>
              <w:bottom w:val="nil"/>
              <w:right w:val="nil"/>
            </w:tcBorders>
            <w:noWrap/>
            <w:vAlign w:val="bottom"/>
            <w:hideMark/>
          </w:tcPr>
          <w:p w14:paraId="31C2019C"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81</w:t>
            </w:r>
          </w:p>
        </w:tc>
      </w:tr>
      <w:tr w:rsidR="00E91426" w:rsidRPr="00E91426" w14:paraId="5714A929" w14:textId="77777777" w:rsidTr="00E91426">
        <w:trPr>
          <w:trHeight w:val="282"/>
        </w:trPr>
        <w:tc>
          <w:tcPr>
            <w:tcW w:w="6560" w:type="dxa"/>
            <w:tcBorders>
              <w:top w:val="nil"/>
              <w:left w:val="nil"/>
              <w:bottom w:val="nil"/>
              <w:right w:val="nil"/>
            </w:tcBorders>
            <w:vAlign w:val="bottom"/>
            <w:hideMark/>
          </w:tcPr>
          <w:p w14:paraId="610124C3"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Increase/(decrease) in provisions</w:t>
            </w:r>
          </w:p>
        </w:tc>
        <w:tc>
          <w:tcPr>
            <w:tcW w:w="680" w:type="dxa"/>
            <w:tcBorders>
              <w:top w:val="nil"/>
              <w:left w:val="nil"/>
              <w:bottom w:val="nil"/>
              <w:right w:val="nil"/>
            </w:tcBorders>
            <w:vAlign w:val="bottom"/>
            <w:hideMark/>
          </w:tcPr>
          <w:p w14:paraId="03EC40C2"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1000" w:type="dxa"/>
            <w:tcBorders>
              <w:top w:val="nil"/>
              <w:left w:val="nil"/>
              <w:bottom w:val="nil"/>
              <w:right w:val="nil"/>
            </w:tcBorders>
            <w:noWrap/>
            <w:vAlign w:val="bottom"/>
            <w:hideMark/>
          </w:tcPr>
          <w:p w14:paraId="197D05E1"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(36)</w:t>
            </w:r>
          </w:p>
        </w:tc>
        <w:tc>
          <w:tcPr>
            <w:tcW w:w="100" w:type="dxa"/>
            <w:tcBorders>
              <w:top w:val="nil"/>
              <w:left w:val="nil"/>
              <w:bottom w:val="nil"/>
              <w:right w:val="nil"/>
            </w:tcBorders>
            <w:noWrap/>
            <w:vAlign w:val="bottom"/>
            <w:hideMark/>
          </w:tcPr>
          <w:p w14:paraId="6C575370"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00" w:type="dxa"/>
            <w:tcBorders>
              <w:top w:val="nil"/>
              <w:left w:val="nil"/>
              <w:bottom w:val="nil"/>
              <w:right w:val="nil"/>
            </w:tcBorders>
            <w:noWrap/>
            <w:vAlign w:val="bottom"/>
            <w:hideMark/>
          </w:tcPr>
          <w:p w14:paraId="6D28F38F"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(392)</w:t>
            </w:r>
          </w:p>
        </w:tc>
      </w:tr>
      <w:tr w:rsidR="00E91426" w:rsidRPr="00E91426" w14:paraId="7AFFFD23" w14:textId="77777777" w:rsidTr="00E91426">
        <w:trPr>
          <w:trHeight w:val="282"/>
        </w:trPr>
        <w:tc>
          <w:tcPr>
            <w:tcW w:w="6560" w:type="dxa"/>
            <w:tcBorders>
              <w:top w:val="nil"/>
              <w:left w:val="nil"/>
              <w:bottom w:val="nil"/>
              <w:right w:val="nil"/>
            </w:tcBorders>
            <w:noWrap/>
            <w:vAlign w:val="bottom"/>
            <w:hideMark/>
          </w:tcPr>
          <w:p w14:paraId="4EAA7F9B"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Net cash flows from / (used in) operating activities</w:t>
            </w:r>
          </w:p>
        </w:tc>
        <w:tc>
          <w:tcPr>
            <w:tcW w:w="680" w:type="dxa"/>
            <w:tcBorders>
              <w:top w:val="nil"/>
              <w:left w:val="nil"/>
              <w:bottom w:val="nil"/>
              <w:right w:val="nil"/>
            </w:tcBorders>
            <w:vAlign w:val="bottom"/>
            <w:hideMark/>
          </w:tcPr>
          <w:p w14:paraId="7DEE44DB"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1000" w:type="dxa"/>
            <w:tcBorders>
              <w:top w:val="single" w:sz="4" w:space="0" w:color="auto"/>
              <w:left w:val="nil"/>
              <w:bottom w:val="single" w:sz="4" w:space="0" w:color="auto"/>
              <w:right w:val="nil"/>
            </w:tcBorders>
            <w:noWrap/>
            <w:vAlign w:val="bottom"/>
            <w:hideMark/>
          </w:tcPr>
          <w:p w14:paraId="38D486D0"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4,175</w:t>
            </w:r>
          </w:p>
        </w:tc>
        <w:tc>
          <w:tcPr>
            <w:tcW w:w="100" w:type="dxa"/>
            <w:tcBorders>
              <w:top w:val="nil"/>
              <w:left w:val="nil"/>
              <w:bottom w:val="nil"/>
              <w:right w:val="nil"/>
            </w:tcBorders>
            <w:noWrap/>
            <w:vAlign w:val="bottom"/>
            <w:hideMark/>
          </w:tcPr>
          <w:p w14:paraId="4C4499C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200" w:type="dxa"/>
            <w:tcBorders>
              <w:top w:val="single" w:sz="4" w:space="0" w:color="auto"/>
              <w:left w:val="nil"/>
              <w:bottom w:val="single" w:sz="4" w:space="0" w:color="auto"/>
              <w:right w:val="nil"/>
            </w:tcBorders>
            <w:noWrap/>
            <w:vAlign w:val="bottom"/>
            <w:hideMark/>
          </w:tcPr>
          <w:p w14:paraId="7ECC3451"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7,738</w:t>
            </w:r>
          </w:p>
        </w:tc>
      </w:tr>
      <w:tr w:rsidR="00E91426" w:rsidRPr="00E91426" w14:paraId="53E66F66" w14:textId="77777777" w:rsidTr="00E91426">
        <w:trPr>
          <w:trHeight w:val="270"/>
        </w:trPr>
        <w:tc>
          <w:tcPr>
            <w:tcW w:w="6560" w:type="dxa"/>
            <w:tcBorders>
              <w:top w:val="nil"/>
              <w:left w:val="nil"/>
              <w:bottom w:val="nil"/>
              <w:right w:val="nil"/>
            </w:tcBorders>
            <w:noWrap/>
            <w:vAlign w:val="bottom"/>
            <w:hideMark/>
          </w:tcPr>
          <w:p w14:paraId="499F0F57"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Cash flows from investing activities</w:t>
            </w:r>
          </w:p>
        </w:tc>
        <w:tc>
          <w:tcPr>
            <w:tcW w:w="680" w:type="dxa"/>
            <w:tcBorders>
              <w:top w:val="nil"/>
              <w:left w:val="nil"/>
              <w:bottom w:val="nil"/>
              <w:right w:val="nil"/>
            </w:tcBorders>
            <w:vAlign w:val="bottom"/>
            <w:hideMark/>
          </w:tcPr>
          <w:p w14:paraId="761C5E89"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1000" w:type="dxa"/>
            <w:tcBorders>
              <w:top w:val="nil"/>
              <w:left w:val="nil"/>
              <w:bottom w:val="nil"/>
              <w:right w:val="nil"/>
            </w:tcBorders>
            <w:noWrap/>
            <w:vAlign w:val="bottom"/>
            <w:hideMark/>
          </w:tcPr>
          <w:p w14:paraId="3963971F" w14:textId="77777777" w:rsidR="00E91426" w:rsidRPr="00E91426" w:rsidRDefault="00E91426" w:rsidP="00E91426">
            <w:pPr>
              <w:widowControl/>
              <w:jc w:val="center"/>
              <w:rPr>
                <w:rFonts w:ascii="Arial" w:eastAsia="Times New Roman" w:hAnsi="Arial" w:cs="Arial"/>
                <w:sz w:val="20"/>
                <w:szCs w:val="20"/>
                <w:lang w:val="en-GB" w:eastAsia="en-GB"/>
              </w:rPr>
            </w:pPr>
          </w:p>
        </w:tc>
        <w:tc>
          <w:tcPr>
            <w:tcW w:w="100" w:type="dxa"/>
            <w:tcBorders>
              <w:top w:val="nil"/>
              <w:left w:val="nil"/>
              <w:bottom w:val="nil"/>
              <w:right w:val="nil"/>
            </w:tcBorders>
            <w:noWrap/>
            <w:vAlign w:val="bottom"/>
            <w:hideMark/>
          </w:tcPr>
          <w:p w14:paraId="3CA942B9"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200" w:type="dxa"/>
            <w:tcBorders>
              <w:top w:val="nil"/>
              <w:left w:val="nil"/>
              <w:bottom w:val="nil"/>
              <w:right w:val="nil"/>
            </w:tcBorders>
            <w:noWrap/>
            <w:vAlign w:val="bottom"/>
            <w:hideMark/>
          </w:tcPr>
          <w:p w14:paraId="44719178" w14:textId="77777777" w:rsidR="00E91426" w:rsidRPr="00E91426" w:rsidRDefault="00E91426" w:rsidP="00E91426">
            <w:pPr>
              <w:widowControl/>
              <w:jc w:val="right"/>
              <w:rPr>
                <w:rFonts w:ascii="Arial" w:eastAsia="Times New Roman" w:hAnsi="Arial" w:cs="Arial"/>
                <w:sz w:val="20"/>
                <w:szCs w:val="20"/>
                <w:lang w:val="en-GB" w:eastAsia="en-GB"/>
              </w:rPr>
            </w:pPr>
          </w:p>
        </w:tc>
      </w:tr>
      <w:tr w:rsidR="00E91426" w:rsidRPr="00E91426" w14:paraId="1CF40182" w14:textId="77777777" w:rsidTr="00E91426">
        <w:trPr>
          <w:trHeight w:val="282"/>
        </w:trPr>
        <w:tc>
          <w:tcPr>
            <w:tcW w:w="6560" w:type="dxa"/>
            <w:tcBorders>
              <w:top w:val="nil"/>
              <w:left w:val="nil"/>
              <w:bottom w:val="nil"/>
              <w:right w:val="nil"/>
            </w:tcBorders>
            <w:vAlign w:val="bottom"/>
            <w:hideMark/>
          </w:tcPr>
          <w:p w14:paraId="4A4C8ED8"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Interest received</w:t>
            </w:r>
          </w:p>
        </w:tc>
        <w:tc>
          <w:tcPr>
            <w:tcW w:w="680" w:type="dxa"/>
            <w:tcBorders>
              <w:top w:val="nil"/>
              <w:left w:val="nil"/>
              <w:bottom w:val="nil"/>
              <w:right w:val="nil"/>
            </w:tcBorders>
            <w:vAlign w:val="bottom"/>
            <w:hideMark/>
          </w:tcPr>
          <w:p w14:paraId="7610D8CB"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1000" w:type="dxa"/>
            <w:tcBorders>
              <w:top w:val="nil"/>
              <w:left w:val="nil"/>
              <w:bottom w:val="nil"/>
              <w:right w:val="nil"/>
            </w:tcBorders>
            <w:noWrap/>
            <w:vAlign w:val="bottom"/>
            <w:hideMark/>
          </w:tcPr>
          <w:p w14:paraId="7F59EC43"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959</w:t>
            </w:r>
          </w:p>
        </w:tc>
        <w:tc>
          <w:tcPr>
            <w:tcW w:w="100" w:type="dxa"/>
            <w:tcBorders>
              <w:top w:val="nil"/>
              <w:left w:val="nil"/>
              <w:bottom w:val="nil"/>
              <w:right w:val="nil"/>
            </w:tcBorders>
            <w:noWrap/>
            <w:vAlign w:val="bottom"/>
            <w:hideMark/>
          </w:tcPr>
          <w:p w14:paraId="37C9C4BF"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00" w:type="dxa"/>
            <w:tcBorders>
              <w:top w:val="nil"/>
              <w:left w:val="nil"/>
              <w:bottom w:val="nil"/>
              <w:right w:val="nil"/>
            </w:tcBorders>
            <w:noWrap/>
            <w:vAlign w:val="bottom"/>
            <w:hideMark/>
          </w:tcPr>
          <w:p w14:paraId="528D9759"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1,407</w:t>
            </w:r>
          </w:p>
        </w:tc>
      </w:tr>
      <w:tr w:rsidR="00E91426" w:rsidRPr="00E91426" w14:paraId="21230B9F" w14:textId="77777777" w:rsidTr="00E91426">
        <w:trPr>
          <w:trHeight w:val="255"/>
        </w:trPr>
        <w:tc>
          <w:tcPr>
            <w:tcW w:w="6560" w:type="dxa"/>
            <w:tcBorders>
              <w:top w:val="nil"/>
              <w:left w:val="nil"/>
              <w:bottom w:val="nil"/>
              <w:right w:val="nil"/>
            </w:tcBorders>
            <w:vAlign w:val="bottom"/>
            <w:hideMark/>
          </w:tcPr>
          <w:p w14:paraId="57EA9957"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Purchase of property, plant and equipment</w:t>
            </w:r>
          </w:p>
        </w:tc>
        <w:tc>
          <w:tcPr>
            <w:tcW w:w="680" w:type="dxa"/>
            <w:tcBorders>
              <w:top w:val="nil"/>
              <w:left w:val="nil"/>
              <w:bottom w:val="nil"/>
              <w:right w:val="nil"/>
            </w:tcBorders>
            <w:vAlign w:val="bottom"/>
            <w:hideMark/>
          </w:tcPr>
          <w:p w14:paraId="5E097286"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1000" w:type="dxa"/>
            <w:tcBorders>
              <w:top w:val="nil"/>
              <w:left w:val="nil"/>
              <w:bottom w:val="nil"/>
              <w:right w:val="nil"/>
            </w:tcBorders>
            <w:noWrap/>
            <w:vAlign w:val="center"/>
            <w:hideMark/>
          </w:tcPr>
          <w:p w14:paraId="2B7B694E"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(26,620)</w:t>
            </w:r>
          </w:p>
        </w:tc>
        <w:tc>
          <w:tcPr>
            <w:tcW w:w="100" w:type="dxa"/>
            <w:tcBorders>
              <w:top w:val="nil"/>
              <w:left w:val="nil"/>
              <w:bottom w:val="nil"/>
              <w:right w:val="nil"/>
            </w:tcBorders>
            <w:noWrap/>
            <w:vAlign w:val="center"/>
            <w:hideMark/>
          </w:tcPr>
          <w:p w14:paraId="38839B05"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00" w:type="dxa"/>
            <w:tcBorders>
              <w:top w:val="nil"/>
              <w:left w:val="nil"/>
              <w:bottom w:val="nil"/>
              <w:right w:val="nil"/>
            </w:tcBorders>
            <w:noWrap/>
            <w:vAlign w:val="center"/>
            <w:hideMark/>
          </w:tcPr>
          <w:p w14:paraId="2BDEE5CF"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(27,288)</w:t>
            </w:r>
          </w:p>
        </w:tc>
      </w:tr>
      <w:tr w:rsidR="00E91426" w:rsidRPr="00E91426" w14:paraId="42F7DA00" w14:textId="77777777" w:rsidTr="00E91426">
        <w:trPr>
          <w:trHeight w:val="255"/>
        </w:trPr>
        <w:tc>
          <w:tcPr>
            <w:tcW w:w="6560" w:type="dxa"/>
            <w:tcBorders>
              <w:top w:val="nil"/>
              <w:left w:val="nil"/>
              <w:bottom w:val="nil"/>
              <w:right w:val="nil"/>
            </w:tcBorders>
            <w:vAlign w:val="bottom"/>
            <w:hideMark/>
          </w:tcPr>
          <w:p w14:paraId="588188EF"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Proceeds from sales of property, plant and equipment</w:t>
            </w:r>
          </w:p>
        </w:tc>
        <w:tc>
          <w:tcPr>
            <w:tcW w:w="680" w:type="dxa"/>
            <w:tcBorders>
              <w:top w:val="nil"/>
              <w:left w:val="nil"/>
              <w:bottom w:val="nil"/>
              <w:right w:val="nil"/>
            </w:tcBorders>
            <w:vAlign w:val="bottom"/>
            <w:hideMark/>
          </w:tcPr>
          <w:p w14:paraId="7C6F1F2C"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1000" w:type="dxa"/>
            <w:tcBorders>
              <w:top w:val="nil"/>
              <w:left w:val="nil"/>
              <w:bottom w:val="nil"/>
              <w:right w:val="nil"/>
            </w:tcBorders>
            <w:noWrap/>
            <w:vAlign w:val="bottom"/>
            <w:hideMark/>
          </w:tcPr>
          <w:p w14:paraId="4E0BDFD5"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00" w:type="dxa"/>
            <w:tcBorders>
              <w:top w:val="nil"/>
              <w:left w:val="nil"/>
              <w:bottom w:val="nil"/>
              <w:right w:val="nil"/>
            </w:tcBorders>
            <w:noWrap/>
            <w:vAlign w:val="bottom"/>
            <w:hideMark/>
          </w:tcPr>
          <w:p w14:paraId="3896CA2B"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00" w:type="dxa"/>
            <w:tcBorders>
              <w:top w:val="nil"/>
              <w:left w:val="nil"/>
              <w:bottom w:val="nil"/>
              <w:right w:val="nil"/>
            </w:tcBorders>
            <w:noWrap/>
            <w:vAlign w:val="bottom"/>
            <w:hideMark/>
          </w:tcPr>
          <w:p w14:paraId="0BD69AA8"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19</w:t>
            </w:r>
          </w:p>
        </w:tc>
      </w:tr>
      <w:tr w:rsidR="00E91426" w:rsidRPr="00E91426" w14:paraId="1AB54664" w14:textId="77777777" w:rsidTr="00E91426">
        <w:trPr>
          <w:trHeight w:val="274"/>
        </w:trPr>
        <w:tc>
          <w:tcPr>
            <w:tcW w:w="6560" w:type="dxa"/>
            <w:tcBorders>
              <w:top w:val="nil"/>
              <w:left w:val="nil"/>
              <w:bottom w:val="nil"/>
              <w:right w:val="nil"/>
            </w:tcBorders>
            <w:vAlign w:val="bottom"/>
            <w:hideMark/>
          </w:tcPr>
          <w:p w14:paraId="397309F7"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Receipt of cash donations to purchase capital assets</w:t>
            </w:r>
          </w:p>
        </w:tc>
        <w:tc>
          <w:tcPr>
            <w:tcW w:w="680" w:type="dxa"/>
            <w:tcBorders>
              <w:top w:val="nil"/>
              <w:left w:val="nil"/>
              <w:bottom w:val="nil"/>
              <w:right w:val="nil"/>
            </w:tcBorders>
            <w:vAlign w:val="bottom"/>
            <w:hideMark/>
          </w:tcPr>
          <w:p w14:paraId="0D522C04"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1000" w:type="dxa"/>
            <w:tcBorders>
              <w:top w:val="nil"/>
              <w:left w:val="nil"/>
              <w:bottom w:val="nil"/>
              <w:right w:val="nil"/>
            </w:tcBorders>
            <w:noWrap/>
            <w:vAlign w:val="bottom"/>
            <w:hideMark/>
          </w:tcPr>
          <w:p w14:paraId="246F3C6B"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2,350</w:t>
            </w:r>
          </w:p>
        </w:tc>
        <w:tc>
          <w:tcPr>
            <w:tcW w:w="100" w:type="dxa"/>
            <w:tcBorders>
              <w:top w:val="nil"/>
              <w:left w:val="nil"/>
              <w:bottom w:val="nil"/>
              <w:right w:val="nil"/>
            </w:tcBorders>
            <w:noWrap/>
            <w:vAlign w:val="bottom"/>
            <w:hideMark/>
          </w:tcPr>
          <w:p w14:paraId="5A6D99BB"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00" w:type="dxa"/>
            <w:tcBorders>
              <w:top w:val="nil"/>
              <w:left w:val="nil"/>
              <w:bottom w:val="nil"/>
              <w:right w:val="nil"/>
            </w:tcBorders>
            <w:noWrap/>
            <w:vAlign w:val="bottom"/>
            <w:hideMark/>
          </w:tcPr>
          <w:p w14:paraId="39AF7200"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228</w:t>
            </w:r>
          </w:p>
        </w:tc>
      </w:tr>
      <w:tr w:rsidR="00E91426" w:rsidRPr="00E91426" w14:paraId="7A19DD7D" w14:textId="77777777" w:rsidTr="00E91426">
        <w:trPr>
          <w:trHeight w:val="282"/>
        </w:trPr>
        <w:tc>
          <w:tcPr>
            <w:tcW w:w="6560" w:type="dxa"/>
            <w:tcBorders>
              <w:top w:val="nil"/>
              <w:left w:val="nil"/>
              <w:bottom w:val="nil"/>
              <w:right w:val="nil"/>
            </w:tcBorders>
            <w:noWrap/>
            <w:vAlign w:val="bottom"/>
            <w:hideMark/>
          </w:tcPr>
          <w:p w14:paraId="375A1C62"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Net cash used in investing activities</w:t>
            </w:r>
          </w:p>
        </w:tc>
        <w:tc>
          <w:tcPr>
            <w:tcW w:w="680" w:type="dxa"/>
            <w:tcBorders>
              <w:top w:val="nil"/>
              <w:left w:val="nil"/>
              <w:bottom w:val="nil"/>
              <w:right w:val="nil"/>
            </w:tcBorders>
            <w:vAlign w:val="bottom"/>
            <w:hideMark/>
          </w:tcPr>
          <w:p w14:paraId="16FF9BF8"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1000" w:type="dxa"/>
            <w:tcBorders>
              <w:top w:val="single" w:sz="4" w:space="0" w:color="auto"/>
              <w:left w:val="nil"/>
              <w:bottom w:val="single" w:sz="4" w:space="0" w:color="auto"/>
              <w:right w:val="nil"/>
            </w:tcBorders>
            <w:noWrap/>
            <w:vAlign w:val="bottom"/>
            <w:hideMark/>
          </w:tcPr>
          <w:p w14:paraId="670F2DB1"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(23,311)</w:t>
            </w:r>
          </w:p>
        </w:tc>
        <w:tc>
          <w:tcPr>
            <w:tcW w:w="100" w:type="dxa"/>
            <w:tcBorders>
              <w:top w:val="nil"/>
              <w:left w:val="nil"/>
              <w:bottom w:val="nil"/>
              <w:right w:val="nil"/>
            </w:tcBorders>
            <w:noWrap/>
            <w:vAlign w:val="bottom"/>
            <w:hideMark/>
          </w:tcPr>
          <w:p w14:paraId="4C58CCC5"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200" w:type="dxa"/>
            <w:tcBorders>
              <w:top w:val="single" w:sz="4" w:space="0" w:color="auto"/>
              <w:left w:val="nil"/>
              <w:bottom w:val="single" w:sz="4" w:space="0" w:color="auto"/>
              <w:right w:val="nil"/>
            </w:tcBorders>
            <w:noWrap/>
            <w:vAlign w:val="bottom"/>
            <w:hideMark/>
          </w:tcPr>
          <w:p w14:paraId="05B489DF"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(25,634)</w:t>
            </w:r>
          </w:p>
        </w:tc>
      </w:tr>
      <w:tr w:rsidR="00E91426" w:rsidRPr="00E91426" w14:paraId="03E671D7" w14:textId="77777777" w:rsidTr="00E91426">
        <w:trPr>
          <w:trHeight w:val="282"/>
        </w:trPr>
        <w:tc>
          <w:tcPr>
            <w:tcW w:w="6560" w:type="dxa"/>
            <w:tcBorders>
              <w:top w:val="nil"/>
              <w:left w:val="nil"/>
              <w:bottom w:val="nil"/>
              <w:right w:val="nil"/>
            </w:tcBorders>
            <w:noWrap/>
            <w:vAlign w:val="bottom"/>
            <w:hideMark/>
          </w:tcPr>
          <w:p w14:paraId="4D530E6D"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Cash flows from financing activities</w:t>
            </w:r>
          </w:p>
        </w:tc>
        <w:tc>
          <w:tcPr>
            <w:tcW w:w="680" w:type="dxa"/>
            <w:tcBorders>
              <w:top w:val="nil"/>
              <w:left w:val="nil"/>
              <w:bottom w:val="nil"/>
              <w:right w:val="nil"/>
            </w:tcBorders>
            <w:vAlign w:val="bottom"/>
            <w:hideMark/>
          </w:tcPr>
          <w:p w14:paraId="065D5BEB"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1000" w:type="dxa"/>
            <w:tcBorders>
              <w:top w:val="nil"/>
              <w:left w:val="nil"/>
              <w:bottom w:val="nil"/>
              <w:right w:val="nil"/>
            </w:tcBorders>
            <w:noWrap/>
            <w:vAlign w:val="bottom"/>
            <w:hideMark/>
          </w:tcPr>
          <w:p w14:paraId="469C0490" w14:textId="77777777" w:rsidR="00E91426" w:rsidRPr="00E91426" w:rsidRDefault="00E91426" w:rsidP="00E91426">
            <w:pPr>
              <w:widowControl/>
              <w:jc w:val="center"/>
              <w:rPr>
                <w:rFonts w:ascii="Arial" w:eastAsia="Times New Roman" w:hAnsi="Arial" w:cs="Arial"/>
                <w:sz w:val="20"/>
                <w:szCs w:val="20"/>
                <w:lang w:val="en-GB" w:eastAsia="en-GB"/>
              </w:rPr>
            </w:pPr>
          </w:p>
        </w:tc>
        <w:tc>
          <w:tcPr>
            <w:tcW w:w="100" w:type="dxa"/>
            <w:tcBorders>
              <w:top w:val="nil"/>
              <w:left w:val="nil"/>
              <w:bottom w:val="nil"/>
              <w:right w:val="nil"/>
            </w:tcBorders>
            <w:noWrap/>
            <w:vAlign w:val="bottom"/>
            <w:hideMark/>
          </w:tcPr>
          <w:p w14:paraId="6A67D902"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200" w:type="dxa"/>
            <w:tcBorders>
              <w:top w:val="nil"/>
              <w:left w:val="nil"/>
              <w:bottom w:val="nil"/>
              <w:right w:val="nil"/>
            </w:tcBorders>
            <w:noWrap/>
            <w:vAlign w:val="bottom"/>
            <w:hideMark/>
          </w:tcPr>
          <w:p w14:paraId="2CFD139E" w14:textId="77777777" w:rsidR="00E91426" w:rsidRPr="00E91426" w:rsidRDefault="00E91426" w:rsidP="00E91426">
            <w:pPr>
              <w:widowControl/>
              <w:jc w:val="right"/>
              <w:rPr>
                <w:rFonts w:ascii="Arial" w:eastAsia="Times New Roman" w:hAnsi="Arial" w:cs="Arial"/>
                <w:sz w:val="20"/>
                <w:szCs w:val="20"/>
                <w:lang w:val="en-GB" w:eastAsia="en-GB"/>
              </w:rPr>
            </w:pPr>
          </w:p>
        </w:tc>
      </w:tr>
      <w:tr w:rsidR="00E91426" w:rsidRPr="00E91426" w14:paraId="3C7A639E" w14:textId="77777777" w:rsidTr="00E91426">
        <w:trPr>
          <w:trHeight w:val="282"/>
        </w:trPr>
        <w:tc>
          <w:tcPr>
            <w:tcW w:w="6560" w:type="dxa"/>
            <w:tcBorders>
              <w:top w:val="nil"/>
              <w:left w:val="nil"/>
              <w:bottom w:val="nil"/>
              <w:right w:val="nil"/>
            </w:tcBorders>
            <w:vAlign w:val="bottom"/>
            <w:hideMark/>
          </w:tcPr>
          <w:p w14:paraId="3AA9E5A0"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Public dividend capital received</w:t>
            </w:r>
          </w:p>
        </w:tc>
        <w:tc>
          <w:tcPr>
            <w:tcW w:w="680" w:type="dxa"/>
            <w:tcBorders>
              <w:top w:val="nil"/>
              <w:left w:val="nil"/>
              <w:bottom w:val="nil"/>
              <w:right w:val="nil"/>
            </w:tcBorders>
            <w:vAlign w:val="bottom"/>
            <w:hideMark/>
          </w:tcPr>
          <w:p w14:paraId="22DAFE86"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1000" w:type="dxa"/>
            <w:tcBorders>
              <w:top w:val="nil"/>
              <w:left w:val="nil"/>
              <w:bottom w:val="nil"/>
              <w:right w:val="nil"/>
            </w:tcBorders>
            <w:noWrap/>
            <w:vAlign w:val="bottom"/>
            <w:hideMark/>
          </w:tcPr>
          <w:p w14:paraId="46631486"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21,406</w:t>
            </w:r>
          </w:p>
        </w:tc>
        <w:tc>
          <w:tcPr>
            <w:tcW w:w="100" w:type="dxa"/>
            <w:tcBorders>
              <w:top w:val="nil"/>
              <w:left w:val="nil"/>
              <w:bottom w:val="nil"/>
              <w:right w:val="nil"/>
            </w:tcBorders>
            <w:noWrap/>
            <w:vAlign w:val="bottom"/>
            <w:hideMark/>
          </w:tcPr>
          <w:p w14:paraId="62173B35"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00" w:type="dxa"/>
            <w:tcBorders>
              <w:top w:val="nil"/>
              <w:left w:val="nil"/>
              <w:bottom w:val="nil"/>
              <w:right w:val="nil"/>
            </w:tcBorders>
            <w:noWrap/>
            <w:vAlign w:val="bottom"/>
            <w:hideMark/>
          </w:tcPr>
          <w:p w14:paraId="30475AFD"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14,716</w:t>
            </w:r>
          </w:p>
        </w:tc>
      </w:tr>
      <w:tr w:rsidR="00E91426" w:rsidRPr="00E91426" w14:paraId="6696E29D" w14:textId="77777777" w:rsidTr="00E91426">
        <w:trPr>
          <w:trHeight w:val="282"/>
        </w:trPr>
        <w:tc>
          <w:tcPr>
            <w:tcW w:w="6560" w:type="dxa"/>
            <w:tcBorders>
              <w:top w:val="nil"/>
              <w:left w:val="nil"/>
              <w:bottom w:val="nil"/>
              <w:right w:val="nil"/>
            </w:tcBorders>
            <w:vAlign w:val="bottom"/>
            <w:hideMark/>
          </w:tcPr>
          <w:p w14:paraId="3E4C77B8"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Public dividend capital repaid</w:t>
            </w:r>
          </w:p>
        </w:tc>
        <w:tc>
          <w:tcPr>
            <w:tcW w:w="680" w:type="dxa"/>
            <w:tcBorders>
              <w:top w:val="nil"/>
              <w:left w:val="nil"/>
              <w:bottom w:val="nil"/>
              <w:right w:val="nil"/>
            </w:tcBorders>
            <w:vAlign w:val="bottom"/>
            <w:hideMark/>
          </w:tcPr>
          <w:p w14:paraId="1699A716"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1000" w:type="dxa"/>
            <w:tcBorders>
              <w:top w:val="nil"/>
              <w:left w:val="nil"/>
              <w:bottom w:val="nil"/>
              <w:right w:val="nil"/>
            </w:tcBorders>
            <w:noWrap/>
            <w:vAlign w:val="bottom"/>
            <w:hideMark/>
          </w:tcPr>
          <w:p w14:paraId="1FABB748"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00" w:type="dxa"/>
            <w:tcBorders>
              <w:top w:val="nil"/>
              <w:left w:val="nil"/>
              <w:bottom w:val="nil"/>
              <w:right w:val="nil"/>
            </w:tcBorders>
            <w:noWrap/>
            <w:vAlign w:val="bottom"/>
            <w:hideMark/>
          </w:tcPr>
          <w:p w14:paraId="19A31927"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00" w:type="dxa"/>
            <w:tcBorders>
              <w:top w:val="nil"/>
              <w:left w:val="nil"/>
              <w:bottom w:val="nil"/>
              <w:right w:val="nil"/>
            </w:tcBorders>
            <w:noWrap/>
            <w:vAlign w:val="bottom"/>
            <w:hideMark/>
          </w:tcPr>
          <w:p w14:paraId="2108B866"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(78)</w:t>
            </w:r>
          </w:p>
        </w:tc>
      </w:tr>
      <w:tr w:rsidR="00E91426" w:rsidRPr="00E91426" w14:paraId="6B216690" w14:textId="77777777" w:rsidTr="00E91426">
        <w:trPr>
          <w:trHeight w:val="270"/>
        </w:trPr>
        <w:tc>
          <w:tcPr>
            <w:tcW w:w="6560" w:type="dxa"/>
            <w:tcBorders>
              <w:top w:val="nil"/>
              <w:left w:val="nil"/>
              <w:bottom w:val="nil"/>
              <w:right w:val="nil"/>
            </w:tcBorders>
            <w:vAlign w:val="bottom"/>
            <w:hideMark/>
          </w:tcPr>
          <w:p w14:paraId="45809EC4"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Movement in loans from the Department of Health and Social Care</w:t>
            </w:r>
          </w:p>
        </w:tc>
        <w:tc>
          <w:tcPr>
            <w:tcW w:w="680" w:type="dxa"/>
            <w:tcBorders>
              <w:top w:val="nil"/>
              <w:left w:val="nil"/>
              <w:bottom w:val="nil"/>
              <w:right w:val="nil"/>
            </w:tcBorders>
            <w:vAlign w:val="bottom"/>
            <w:hideMark/>
          </w:tcPr>
          <w:p w14:paraId="72579719"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1000" w:type="dxa"/>
            <w:tcBorders>
              <w:top w:val="nil"/>
              <w:left w:val="nil"/>
              <w:bottom w:val="nil"/>
              <w:right w:val="nil"/>
            </w:tcBorders>
            <w:noWrap/>
            <w:vAlign w:val="bottom"/>
            <w:hideMark/>
          </w:tcPr>
          <w:p w14:paraId="254C8861"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(126)</w:t>
            </w:r>
          </w:p>
        </w:tc>
        <w:tc>
          <w:tcPr>
            <w:tcW w:w="100" w:type="dxa"/>
            <w:tcBorders>
              <w:top w:val="nil"/>
              <w:left w:val="nil"/>
              <w:bottom w:val="nil"/>
              <w:right w:val="nil"/>
            </w:tcBorders>
            <w:noWrap/>
            <w:vAlign w:val="bottom"/>
            <w:hideMark/>
          </w:tcPr>
          <w:p w14:paraId="0418B31B"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00" w:type="dxa"/>
            <w:tcBorders>
              <w:top w:val="nil"/>
              <w:left w:val="nil"/>
              <w:bottom w:val="nil"/>
              <w:right w:val="nil"/>
            </w:tcBorders>
            <w:noWrap/>
            <w:vAlign w:val="bottom"/>
            <w:hideMark/>
          </w:tcPr>
          <w:p w14:paraId="429BB952"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(126)</w:t>
            </w:r>
          </w:p>
        </w:tc>
      </w:tr>
      <w:tr w:rsidR="00E91426" w:rsidRPr="00E91426" w14:paraId="7065B6A9" w14:textId="77777777" w:rsidTr="00E91426">
        <w:trPr>
          <w:trHeight w:val="282"/>
        </w:trPr>
        <w:tc>
          <w:tcPr>
            <w:tcW w:w="6560" w:type="dxa"/>
            <w:tcBorders>
              <w:top w:val="nil"/>
              <w:left w:val="nil"/>
              <w:bottom w:val="nil"/>
              <w:right w:val="nil"/>
            </w:tcBorders>
            <w:vAlign w:val="bottom"/>
            <w:hideMark/>
          </w:tcPr>
          <w:p w14:paraId="7B68921A"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Capital element of lease liability repayments</w:t>
            </w:r>
          </w:p>
        </w:tc>
        <w:tc>
          <w:tcPr>
            <w:tcW w:w="680" w:type="dxa"/>
            <w:tcBorders>
              <w:top w:val="nil"/>
              <w:left w:val="nil"/>
              <w:bottom w:val="nil"/>
              <w:right w:val="nil"/>
            </w:tcBorders>
            <w:vAlign w:val="bottom"/>
            <w:hideMark/>
          </w:tcPr>
          <w:p w14:paraId="75B9EFF2"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1000" w:type="dxa"/>
            <w:tcBorders>
              <w:top w:val="nil"/>
              <w:left w:val="nil"/>
              <w:bottom w:val="nil"/>
              <w:right w:val="nil"/>
            </w:tcBorders>
            <w:noWrap/>
            <w:vAlign w:val="bottom"/>
            <w:hideMark/>
          </w:tcPr>
          <w:p w14:paraId="79370488"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(256)</w:t>
            </w:r>
          </w:p>
        </w:tc>
        <w:tc>
          <w:tcPr>
            <w:tcW w:w="100" w:type="dxa"/>
            <w:tcBorders>
              <w:top w:val="nil"/>
              <w:left w:val="nil"/>
              <w:bottom w:val="nil"/>
              <w:right w:val="nil"/>
            </w:tcBorders>
            <w:noWrap/>
            <w:vAlign w:val="bottom"/>
            <w:hideMark/>
          </w:tcPr>
          <w:p w14:paraId="4EB5CBB8"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00" w:type="dxa"/>
            <w:tcBorders>
              <w:top w:val="nil"/>
              <w:left w:val="nil"/>
              <w:bottom w:val="nil"/>
              <w:right w:val="nil"/>
            </w:tcBorders>
            <w:noWrap/>
            <w:vAlign w:val="bottom"/>
            <w:hideMark/>
          </w:tcPr>
          <w:p w14:paraId="2F55247E"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(984)</w:t>
            </w:r>
          </w:p>
        </w:tc>
      </w:tr>
      <w:tr w:rsidR="00E91426" w:rsidRPr="00E91426" w14:paraId="43A7C283" w14:textId="77777777" w:rsidTr="00E91426">
        <w:trPr>
          <w:trHeight w:val="274"/>
        </w:trPr>
        <w:tc>
          <w:tcPr>
            <w:tcW w:w="6560" w:type="dxa"/>
            <w:tcBorders>
              <w:top w:val="nil"/>
              <w:left w:val="nil"/>
              <w:bottom w:val="nil"/>
              <w:right w:val="nil"/>
            </w:tcBorders>
            <w:vAlign w:val="bottom"/>
            <w:hideMark/>
          </w:tcPr>
          <w:p w14:paraId="091D56C7"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Interest on DHSC loans</w:t>
            </w:r>
          </w:p>
        </w:tc>
        <w:tc>
          <w:tcPr>
            <w:tcW w:w="680" w:type="dxa"/>
            <w:tcBorders>
              <w:top w:val="nil"/>
              <w:left w:val="nil"/>
              <w:bottom w:val="nil"/>
              <w:right w:val="nil"/>
            </w:tcBorders>
            <w:vAlign w:val="bottom"/>
            <w:hideMark/>
          </w:tcPr>
          <w:p w14:paraId="4596BAA1"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1000" w:type="dxa"/>
            <w:tcBorders>
              <w:top w:val="nil"/>
              <w:left w:val="nil"/>
              <w:bottom w:val="nil"/>
              <w:right w:val="nil"/>
            </w:tcBorders>
            <w:noWrap/>
            <w:vAlign w:val="bottom"/>
            <w:hideMark/>
          </w:tcPr>
          <w:p w14:paraId="42827E04"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(24)</w:t>
            </w:r>
          </w:p>
        </w:tc>
        <w:tc>
          <w:tcPr>
            <w:tcW w:w="100" w:type="dxa"/>
            <w:tcBorders>
              <w:top w:val="nil"/>
              <w:left w:val="nil"/>
              <w:bottom w:val="nil"/>
              <w:right w:val="nil"/>
            </w:tcBorders>
            <w:noWrap/>
            <w:vAlign w:val="bottom"/>
            <w:hideMark/>
          </w:tcPr>
          <w:p w14:paraId="23293CE4"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00" w:type="dxa"/>
            <w:tcBorders>
              <w:top w:val="nil"/>
              <w:left w:val="nil"/>
              <w:bottom w:val="nil"/>
              <w:right w:val="nil"/>
            </w:tcBorders>
            <w:noWrap/>
            <w:vAlign w:val="bottom"/>
            <w:hideMark/>
          </w:tcPr>
          <w:p w14:paraId="0011BDB7"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(26)</w:t>
            </w:r>
          </w:p>
        </w:tc>
      </w:tr>
      <w:tr w:rsidR="00E91426" w:rsidRPr="00E91426" w14:paraId="1D317083" w14:textId="77777777" w:rsidTr="00E91426">
        <w:trPr>
          <w:trHeight w:val="274"/>
        </w:trPr>
        <w:tc>
          <w:tcPr>
            <w:tcW w:w="6560" w:type="dxa"/>
            <w:tcBorders>
              <w:top w:val="nil"/>
              <w:left w:val="nil"/>
              <w:bottom w:val="nil"/>
              <w:right w:val="nil"/>
            </w:tcBorders>
            <w:vAlign w:val="bottom"/>
            <w:hideMark/>
          </w:tcPr>
          <w:p w14:paraId="15DDFBCD"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Other interest (e.g. overdrafts)</w:t>
            </w:r>
          </w:p>
        </w:tc>
        <w:tc>
          <w:tcPr>
            <w:tcW w:w="680" w:type="dxa"/>
            <w:tcBorders>
              <w:top w:val="nil"/>
              <w:left w:val="nil"/>
              <w:bottom w:val="nil"/>
              <w:right w:val="nil"/>
            </w:tcBorders>
            <w:vAlign w:val="bottom"/>
            <w:hideMark/>
          </w:tcPr>
          <w:p w14:paraId="0011B148"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1000" w:type="dxa"/>
            <w:tcBorders>
              <w:top w:val="nil"/>
              <w:left w:val="nil"/>
              <w:bottom w:val="nil"/>
              <w:right w:val="nil"/>
            </w:tcBorders>
            <w:noWrap/>
            <w:vAlign w:val="bottom"/>
            <w:hideMark/>
          </w:tcPr>
          <w:p w14:paraId="41CAC769"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w:t>
            </w:r>
          </w:p>
        </w:tc>
        <w:tc>
          <w:tcPr>
            <w:tcW w:w="100" w:type="dxa"/>
            <w:tcBorders>
              <w:top w:val="nil"/>
              <w:left w:val="nil"/>
              <w:bottom w:val="nil"/>
              <w:right w:val="nil"/>
            </w:tcBorders>
            <w:noWrap/>
            <w:vAlign w:val="bottom"/>
            <w:hideMark/>
          </w:tcPr>
          <w:p w14:paraId="1B50E017"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00" w:type="dxa"/>
            <w:tcBorders>
              <w:top w:val="nil"/>
              <w:left w:val="nil"/>
              <w:bottom w:val="nil"/>
              <w:right w:val="nil"/>
            </w:tcBorders>
            <w:noWrap/>
            <w:vAlign w:val="bottom"/>
            <w:hideMark/>
          </w:tcPr>
          <w:p w14:paraId="08B18469"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r>
      <w:tr w:rsidR="00E91426" w:rsidRPr="00E91426" w14:paraId="4E230D7D" w14:textId="77777777" w:rsidTr="00E91426">
        <w:trPr>
          <w:trHeight w:val="282"/>
        </w:trPr>
        <w:tc>
          <w:tcPr>
            <w:tcW w:w="6560" w:type="dxa"/>
            <w:tcBorders>
              <w:top w:val="nil"/>
              <w:left w:val="nil"/>
              <w:bottom w:val="nil"/>
              <w:right w:val="nil"/>
            </w:tcBorders>
            <w:vAlign w:val="bottom"/>
            <w:hideMark/>
          </w:tcPr>
          <w:p w14:paraId="0CB60631"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Interest element of lease liability repayments</w:t>
            </w:r>
          </w:p>
        </w:tc>
        <w:tc>
          <w:tcPr>
            <w:tcW w:w="680" w:type="dxa"/>
            <w:tcBorders>
              <w:top w:val="nil"/>
              <w:left w:val="nil"/>
              <w:bottom w:val="nil"/>
              <w:right w:val="nil"/>
            </w:tcBorders>
            <w:vAlign w:val="bottom"/>
            <w:hideMark/>
          </w:tcPr>
          <w:p w14:paraId="3E184CE8"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1000" w:type="dxa"/>
            <w:tcBorders>
              <w:top w:val="nil"/>
              <w:left w:val="nil"/>
              <w:bottom w:val="nil"/>
              <w:right w:val="nil"/>
            </w:tcBorders>
            <w:noWrap/>
            <w:vAlign w:val="bottom"/>
            <w:hideMark/>
          </w:tcPr>
          <w:p w14:paraId="454B4895"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(49)</w:t>
            </w:r>
          </w:p>
        </w:tc>
        <w:tc>
          <w:tcPr>
            <w:tcW w:w="100" w:type="dxa"/>
            <w:tcBorders>
              <w:top w:val="nil"/>
              <w:left w:val="nil"/>
              <w:bottom w:val="nil"/>
              <w:right w:val="nil"/>
            </w:tcBorders>
            <w:noWrap/>
            <w:vAlign w:val="bottom"/>
            <w:hideMark/>
          </w:tcPr>
          <w:p w14:paraId="742C4FF9"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00" w:type="dxa"/>
            <w:tcBorders>
              <w:top w:val="nil"/>
              <w:left w:val="nil"/>
              <w:bottom w:val="nil"/>
              <w:right w:val="nil"/>
            </w:tcBorders>
            <w:noWrap/>
            <w:vAlign w:val="bottom"/>
            <w:hideMark/>
          </w:tcPr>
          <w:p w14:paraId="6304E71C"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(38)</w:t>
            </w:r>
          </w:p>
        </w:tc>
      </w:tr>
      <w:tr w:rsidR="00E91426" w:rsidRPr="00E91426" w14:paraId="2ACFC5E1" w14:textId="77777777" w:rsidTr="00E91426">
        <w:trPr>
          <w:trHeight w:val="282"/>
        </w:trPr>
        <w:tc>
          <w:tcPr>
            <w:tcW w:w="6560" w:type="dxa"/>
            <w:tcBorders>
              <w:top w:val="nil"/>
              <w:left w:val="nil"/>
              <w:bottom w:val="nil"/>
              <w:right w:val="nil"/>
            </w:tcBorders>
            <w:vAlign w:val="bottom"/>
            <w:hideMark/>
          </w:tcPr>
          <w:p w14:paraId="31C958F7"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PDC dividend (paid)/refunded</w:t>
            </w:r>
          </w:p>
        </w:tc>
        <w:tc>
          <w:tcPr>
            <w:tcW w:w="680" w:type="dxa"/>
            <w:tcBorders>
              <w:top w:val="nil"/>
              <w:left w:val="nil"/>
              <w:bottom w:val="nil"/>
              <w:right w:val="nil"/>
            </w:tcBorders>
            <w:vAlign w:val="bottom"/>
            <w:hideMark/>
          </w:tcPr>
          <w:p w14:paraId="1466CC6E"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1000" w:type="dxa"/>
            <w:tcBorders>
              <w:top w:val="nil"/>
              <w:left w:val="nil"/>
              <w:bottom w:val="nil"/>
              <w:right w:val="nil"/>
            </w:tcBorders>
            <w:noWrap/>
            <w:vAlign w:val="bottom"/>
            <w:hideMark/>
          </w:tcPr>
          <w:p w14:paraId="46BD637D"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(9,575)</w:t>
            </w:r>
          </w:p>
        </w:tc>
        <w:tc>
          <w:tcPr>
            <w:tcW w:w="100" w:type="dxa"/>
            <w:tcBorders>
              <w:top w:val="nil"/>
              <w:left w:val="nil"/>
              <w:bottom w:val="nil"/>
              <w:right w:val="nil"/>
            </w:tcBorders>
            <w:noWrap/>
            <w:vAlign w:val="bottom"/>
            <w:hideMark/>
          </w:tcPr>
          <w:p w14:paraId="6A9E8FD8"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00" w:type="dxa"/>
            <w:tcBorders>
              <w:top w:val="nil"/>
              <w:left w:val="nil"/>
              <w:bottom w:val="nil"/>
              <w:right w:val="nil"/>
            </w:tcBorders>
            <w:noWrap/>
            <w:vAlign w:val="bottom"/>
            <w:hideMark/>
          </w:tcPr>
          <w:p w14:paraId="60013EB6"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(9,268)</w:t>
            </w:r>
          </w:p>
        </w:tc>
      </w:tr>
      <w:tr w:rsidR="00E91426" w:rsidRPr="00E91426" w14:paraId="590E5F2C" w14:textId="77777777" w:rsidTr="00E91426">
        <w:trPr>
          <w:trHeight w:val="282"/>
        </w:trPr>
        <w:tc>
          <w:tcPr>
            <w:tcW w:w="6560" w:type="dxa"/>
            <w:tcBorders>
              <w:top w:val="nil"/>
              <w:left w:val="nil"/>
              <w:bottom w:val="nil"/>
              <w:right w:val="nil"/>
            </w:tcBorders>
            <w:noWrap/>
            <w:vAlign w:val="bottom"/>
            <w:hideMark/>
          </w:tcPr>
          <w:p w14:paraId="7FE70294"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Net cash generated from financing activities</w:t>
            </w:r>
          </w:p>
        </w:tc>
        <w:tc>
          <w:tcPr>
            <w:tcW w:w="680" w:type="dxa"/>
            <w:tcBorders>
              <w:top w:val="nil"/>
              <w:left w:val="nil"/>
              <w:bottom w:val="nil"/>
              <w:right w:val="nil"/>
            </w:tcBorders>
            <w:vAlign w:val="bottom"/>
            <w:hideMark/>
          </w:tcPr>
          <w:p w14:paraId="5C5AF0A9"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1000" w:type="dxa"/>
            <w:tcBorders>
              <w:top w:val="single" w:sz="4" w:space="0" w:color="auto"/>
              <w:left w:val="nil"/>
              <w:bottom w:val="single" w:sz="4" w:space="0" w:color="auto"/>
              <w:right w:val="nil"/>
            </w:tcBorders>
            <w:noWrap/>
            <w:vAlign w:val="bottom"/>
            <w:hideMark/>
          </w:tcPr>
          <w:p w14:paraId="27CF57D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11,374</w:t>
            </w:r>
          </w:p>
        </w:tc>
        <w:tc>
          <w:tcPr>
            <w:tcW w:w="100" w:type="dxa"/>
            <w:tcBorders>
              <w:top w:val="nil"/>
              <w:left w:val="nil"/>
              <w:bottom w:val="nil"/>
              <w:right w:val="nil"/>
            </w:tcBorders>
            <w:noWrap/>
            <w:vAlign w:val="bottom"/>
            <w:hideMark/>
          </w:tcPr>
          <w:p w14:paraId="5869A1C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200" w:type="dxa"/>
            <w:tcBorders>
              <w:top w:val="single" w:sz="4" w:space="0" w:color="auto"/>
              <w:left w:val="nil"/>
              <w:bottom w:val="single" w:sz="4" w:space="0" w:color="auto"/>
              <w:right w:val="nil"/>
            </w:tcBorders>
            <w:noWrap/>
            <w:vAlign w:val="bottom"/>
            <w:hideMark/>
          </w:tcPr>
          <w:p w14:paraId="677044DA"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4,196</w:t>
            </w:r>
          </w:p>
        </w:tc>
      </w:tr>
      <w:tr w:rsidR="00E91426" w:rsidRPr="00E91426" w14:paraId="727CF8BE" w14:textId="77777777" w:rsidTr="00E91426">
        <w:trPr>
          <w:trHeight w:val="282"/>
        </w:trPr>
        <w:tc>
          <w:tcPr>
            <w:tcW w:w="6560" w:type="dxa"/>
            <w:tcBorders>
              <w:top w:val="nil"/>
              <w:left w:val="nil"/>
              <w:bottom w:val="nil"/>
              <w:right w:val="nil"/>
            </w:tcBorders>
            <w:noWrap/>
            <w:vAlign w:val="bottom"/>
            <w:hideMark/>
          </w:tcPr>
          <w:p w14:paraId="1765FE1E"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Increase/(decrease) in cash and cash equivalents</w:t>
            </w:r>
          </w:p>
        </w:tc>
        <w:tc>
          <w:tcPr>
            <w:tcW w:w="680" w:type="dxa"/>
            <w:tcBorders>
              <w:top w:val="nil"/>
              <w:left w:val="nil"/>
              <w:bottom w:val="nil"/>
              <w:right w:val="nil"/>
            </w:tcBorders>
            <w:vAlign w:val="bottom"/>
            <w:hideMark/>
          </w:tcPr>
          <w:p w14:paraId="3ED2844A"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1000" w:type="dxa"/>
            <w:tcBorders>
              <w:top w:val="nil"/>
              <w:left w:val="nil"/>
              <w:bottom w:val="single" w:sz="4" w:space="0" w:color="auto"/>
              <w:right w:val="nil"/>
            </w:tcBorders>
            <w:noWrap/>
            <w:vAlign w:val="bottom"/>
            <w:hideMark/>
          </w:tcPr>
          <w:p w14:paraId="2D29D7FC"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(7,762)</w:t>
            </w:r>
          </w:p>
        </w:tc>
        <w:tc>
          <w:tcPr>
            <w:tcW w:w="100" w:type="dxa"/>
            <w:tcBorders>
              <w:top w:val="nil"/>
              <w:left w:val="nil"/>
              <w:bottom w:val="nil"/>
              <w:right w:val="nil"/>
            </w:tcBorders>
            <w:noWrap/>
            <w:vAlign w:val="bottom"/>
            <w:hideMark/>
          </w:tcPr>
          <w:p w14:paraId="394FB4DD"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200" w:type="dxa"/>
            <w:tcBorders>
              <w:top w:val="nil"/>
              <w:left w:val="nil"/>
              <w:bottom w:val="single" w:sz="4" w:space="0" w:color="auto"/>
              <w:right w:val="nil"/>
            </w:tcBorders>
            <w:noWrap/>
            <w:vAlign w:val="bottom"/>
            <w:hideMark/>
          </w:tcPr>
          <w:p w14:paraId="41DA65B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(13,700)</w:t>
            </w:r>
          </w:p>
        </w:tc>
      </w:tr>
      <w:tr w:rsidR="00E91426" w:rsidRPr="00E91426" w14:paraId="61BEE98E" w14:textId="77777777" w:rsidTr="00E91426">
        <w:trPr>
          <w:trHeight w:val="282"/>
        </w:trPr>
        <w:tc>
          <w:tcPr>
            <w:tcW w:w="6560" w:type="dxa"/>
            <w:tcBorders>
              <w:top w:val="nil"/>
              <w:left w:val="nil"/>
              <w:bottom w:val="nil"/>
              <w:right w:val="nil"/>
            </w:tcBorders>
            <w:noWrap/>
            <w:vAlign w:val="bottom"/>
            <w:hideMark/>
          </w:tcPr>
          <w:p w14:paraId="3F5F7401"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Cash and cash equivalents at 1 April - brought forward</w:t>
            </w:r>
          </w:p>
        </w:tc>
        <w:tc>
          <w:tcPr>
            <w:tcW w:w="680" w:type="dxa"/>
            <w:tcBorders>
              <w:top w:val="nil"/>
              <w:left w:val="nil"/>
              <w:bottom w:val="nil"/>
              <w:right w:val="nil"/>
            </w:tcBorders>
            <w:vAlign w:val="bottom"/>
            <w:hideMark/>
          </w:tcPr>
          <w:p w14:paraId="4BF22241"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1000" w:type="dxa"/>
            <w:tcBorders>
              <w:top w:val="nil"/>
              <w:left w:val="nil"/>
              <w:bottom w:val="nil"/>
              <w:right w:val="nil"/>
            </w:tcBorders>
            <w:noWrap/>
            <w:vAlign w:val="bottom"/>
            <w:hideMark/>
          </w:tcPr>
          <w:p w14:paraId="2318F3ED"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21,042</w:t>
            </w:r>
          </w:p>
        </w:tc>
        <w:tc>
          <w:tcPr>
            <w:tcW w:w="100" w:type="dxa"/>
            <w:tcBorders>
              <w:top w:val="nil"/>
              <w:left w:val="nil"/>
              <w:bottom w:val="nil"/>
              <w:right w:val="nil"/>
            </w:tcBorders>
            <w:noWrap/>
            <w:vAlign w:val="bottom"/>
            <w:hideMark/>
          </w:tcPr>
          <w:p w14:paraId="0F529C8C"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200" w:type="dxa"/>
            <w:tcBorders>
              <w:top w:val="nil"/>
              <w:left w:val="nil"/>
              <w:bottom w:val="nil"/>
              <w:right w:val="nil"/>
            </w:tcBorders>
            <w:noWrap/>
            <w:vAlign w:val="bottom"/>
            <w:hideMark/>
          </w:tcPr>
          <w:p w14:paraId="6F4C6B5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34,742</w:t>
            </w:r>
          </w:p>
        </w:tc>
      </w:tr>
      <w:tr w:rsidR="00E91426" w:rsidRPr="00E91426" w14:paraId="5360B8FC" w14:textId="77777777" w:rsidTr="00E91426">
        <w:trPr>
          <w:trHeight w:val="282"/>
        </w:trPr>
        <w:tc>
          <w:tcPr>
            <w:tcW w:w="6560" w:type="dxa"/>
            <w:tcBorders>
              <w:top w:val="nil"/>
              <w:left w:val="nil"/>
              <w:bottom w:val="nil"/>
              <w:right w:val="nil"/>
            </w:tcBorders>
            <w:noWrap/>
            <w:vAlign w:val="bottom"/>
            <w:hideMark/>
          </w:tcPr>
          <w:p w14:paraId="7412DDA6"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Cash and cash equivalents at 31 March</w:t>
            </w:r>
          </w:p>
        </w:tc>
        <w:tc>
          <w:tcPr>
            <w:tcW w:w="680" w:type="dxa"/>
            <w:tcBorders>
              <w:top w:val="nil"/>
              <w:left w:val="nil"/>
              <w:bottom w:val="nil"/>
              <w:right w:val="nil"/>
            </w:tcBorders>
            <w:vAlign w:val="bottom"/>
            <w:hideMark/>
          </w:tcPr>
          <w:p w14:paraId="12CE2D2E" w14:textId="77777777" w:rsidR="00E91426" w:rsidRPr="00E91426" w:rsidRDefault="00E91426" w:rsidP="00E91426">
            <w:pPr>
              <w:widowControl/>
              <w:jc w:val="center"/>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17</w:t>
            </w:r>
          </w:p>
        </w:tc>
        <w:tc>
          <w:tcPr>
            <w:tcW w:w="1000" w:type="dxa"/>
            <w:tcBorders>
              <w:top w:val="single" w:sz="4" w:space="0" w:color="auto"/>
              <w:left w:val="nil"/>
              <w:bottom w:val="double" w:sz="6" w:space="0" w:color="auto"/>
              <w:right w:val="nil"/>
            </w:tcBorders>
            <w:noWrap/>
            <w:vAlign w:val="bottom"/>
            <w:hideMark/>
          </w:tcPr>
          <w:p w14:paraId="0AA80B91"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13,280</w:t>
            </w:r>
          </w:p>
        </w:tc>
        <w:tc>
          <w:tcPr>
            <w:tcW w:w="100" w:type="dxa"/>
            <w:tcBorders>
              <w:top w:val="nil"/>
              <w:left w:val="nil"/>
              <w:bottom w:val="nil"/>
              <w:right w:val="nil"/>
            </w:tcBorders>
            <w:noWrap/>
            <w:vAlign w:val="bottom"/>
            <w:hideMark/>
          </w:tcPr>
          <w:p w14:paraId="6BD0629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200" w:type="dxa"/>
            <w:tcBorders>
              <w:top w:val="single" w:sz="4" w:space="0" w:color="auto"/>
              <w:left w:val="nil"/>
              <w:bottom w:val="double" w:sz="6" w:space="0" w:color="auto"/>
              <w:right w:val="nil"/>
            </w:tcBorders>
            <w:noWrap/>
            <w:vAlign w:val="bottom"/>
            <w:hideMark/>
          </w:tcPr>
          <w:p w14:paraId="3462F513"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21,042</w:t>
            </w:r>
          </w:p>
        </w:tc>
      </w:tr>
    </w:tbl>
    <w:p w14:paraId="40A588A5" w14:textId="77777777" w:rsidR="00E91426" w:rsidRPr="00E91426" w:rsidRDefault="00E91426" w:rsidP="00E91426">
      <w:pPr>
        <w:widowControl/>
        <w:spacing w:after="160" w:line="259" w:lineRule="auto"/>
        <w:rPr>
          <w:rFonts w:ascii="Arial" w:eastAsia="Calibri" w:hAnsi="Arial" w:cs="Arial"/>
          <w:sz w:val="20"/>
          <w:szCs w:val="20"/>
          <w:lang w:val="en-GB"/>
        </w:rPr>
      </w:pPr>
    </w:p>
    <w:p w14:paraId="2977E767" w14:textId="77777777" w:rsidR="00E91426" w:rsidRPr="00E91426" w:rsidRDefault="00E91426" w:rsidP="00E91426">
      <w:pPr>
        <w:widowControl/>
        <w:spacing w:after="160" w:line="259" w:lineRule="auto"/>
        <w:rPr>
          <w:rFonts w:ascii="Arial" w:eastAsia="Calibri" w:hAnsi="Arial" w:cs="Arial"/>
          <w:sz w:val="20"/>
          <w:szCs w:val="20"/>
          <w:lang w:val="en-GB"/>
        </w:rPr>
      </w:pPr>
      <w:r w:rsidRPr="00E91426">
        <w:rPr>
          <w:rFonts w:ascii="Arial" w:eastAsia="Calibri" w:hAnsi="Arial" w:cs="Arial"/>
          <w:sz w:val="20"/>
          <w:szCs w:val="20"/>
          <w:lang w:val="en-GB"/>
        </w:rPr>
        <w:br w:type="page"/>
      </w:r>
    </w:p>
    <w:p w14:paraId="77F51C80" w14:textId="77777777" w:rsidR="00E91426" w:rsidRPr="00E91426" w:rsidRDefault="00E91426" w:rsidP="00E91426">
      <w:pPr>
        <w:keepNext/>
        <w:keepLines/>
        <w:widowControl/>
        <w:spacing w:before="40" w:line="259" w:lineRule="auto"/>
        <w:outlineLvl w:val="1"/>
        <w:rPr>
          <w:rFonts w:ascii="Arial" w:eastAsia="Calibri" w:hAnsi="Arial" w:cs="Arial"/>
          <w:sz w:val="20"/>
          <w:szCs w:val="20"/>
          <w:lang w:val="en-GB"/>
        </w:rPr>
      </w:pPr>
    </w:p>
    <w:p w14:paraId="115362A6" w14:textId="77777777" w:rsidR="00E91426" w:rsidRPr="00E91426" w:rsidRDefault="00E91426" w:rsidP="00E91426">
      <w:pPr>
        <w:keepNext/>
        <w:keepLines/>
        <w:widowControl/>
        <w:spacing w:before="240" w:line="259" w:lineRule="auto"/>
        <w:outlineLvl w:val="0"/>
        <w:rPr>
          <w:rFonts w:ascii="Arial" w:eastAsia="Times New Roman" w:hAnsi="Arial" w:cs="Arial"/>
          <w:b/>
          <w:color w:val="000000"/>
          <w:sz w:val="20"/>
          <w:szCs w:val="20"/>
          <w:lang w:val="en-GB" w:eastAsia="en-GB"/>
        </w:rPr>
      </w:pPr>
      <w:bookmarkStart w:id="59" w:name="_Toc195698697"/>
      <w:r w:rsidRPr="00E91426">
        <w:rPr>
          <w:rFonts w:ascii="Arial" w:eastAsia="Times New Roman" w:hAnsi="Arial" w:cs="Arial"/>
          <w:b/>
          <w:color w:val="000000"/>
          <w:sz w:val="20"/>
          <w:szCs w:val="20"/>
          <w:lang w:val="en-GB" w:eastAsia="en-GB"/>
        </w:rPr>
        <w:t>Notes to the accounts</w:t>
      </w:r>
      <w:bookmarkEnd w:id="59"/>
    </w:p>
    <w:p w14:paraId="46FC2F6E" w14:textId="77777777" w:rsidR="00E91426" w:rsidRPr="00E91426" w:rsidRDefault="00E91426" w:rsidP="00E91426">
      <w:pPr>
        <w:keepNext/>
        <w:keepLines/>
        <w:widowControl/>
        <w:spacing w:before="40" w:line="259" w:lineRule="auto"/>
        <w:jc w:val="both"/>
        <w:outlineLvl w:val="1"/>
        <w:rPr>
          <w:rFonts w:ascii="Arial" w:eastAsia="Times New Roman" w:hAnsi="Arial" w:cs="Arial"/>
          <w:b/>
          <w:color w:val="000000"/>
          <w:sz w:val="20"/>
          <w:szCs w:val="20"/>
          <w:lang w:val="en-GB"/>
        </w:rPr>
      </w:pPr>
    </w:p>
    <w:p w14:paraId="53B4607B" w14:textId="77777777" w:rsidR="00E91426" w:rsidRPr="00E91426" w:rsidRDefault="00E91426" w:rsidP="00E91426">
      <w:pPr>
        <w:keepNext/>
        <w:keepLines/>
        <w:widowControl/>
        <w:spacing w:before="40" w:line="259" w:lineRule="auto"/>
        <w:jc w:val="both"/>
        <w:outlineLvl w:val="1"/>
        <w:rPr>
          <w:rFonts w:ascii="Arial" w:eastAsia="Times New Roman" w:hAnsi="Arial" w:cs="Arial"/>
          <w:b/>
          <w:color w:val="000000"/>
          <w:sz w:val="20"/>
          <w:szCs w:val="20"/>
          <w:lang w:val="en-GB"/>
        </w:rPr>
      </w:pPr>
      <w:bookmarkStart w:id="60" w:name="_Toc195698698"/>
      <w:r w:rsidRPr="00E91426">
        <w:rPr>
          <w:rFonts w:ascii="Arial" w:eastAsia="Times New Roman" w:hAnsi="Arial" w:cs="Arial"/>
          <w:b/>
          <w:color w:val="000000"/>
          <w:sz w:val="20"/>
          <w:szCs w:val="20"/>
          <w:lang w:val="en-GB"/>
        </w:rPr>
        <w:t>Note 1 Accounting policies and other information</w:t>
      </w:r>
      <w:bookmarkEnd w:id="60"/>
    </w:p>
    <w:p w14:paraId="49E64080" w14:textId="77777777" w:rsidR="00E91426" w:rsidRPr="00E91426" w:rsidRDefault="00E91426" w:rsidP="00E91426">
      <w:pPr>
        <w:widowControl/>
        <w:spacing w:after="160" w:line="259" w:lineRule="auto"/>
        <w:jc w:val="both"/>
        <w:rPr>
          <w:rFonts w:ascii="Arial" w:eastAsia="Calibri" w:hAnsi="Arial" w:cs="Arial"/>
          <w:sz w:val="20"/>
          <w:szCs w:val="20"/>
          <w:lang w:val="en-GB"/>
        </w:rPr>
      </w:pPr>
    </w:p>
    <w:p w14:paraId="214544F8" w14:textId="77777777" w:rsidR="00E91426" w:rsidRPr="00E91426" w:rsidRDefault="00E91426" w:rsidP="00E91426">
      <w:pPr>
        <w:widowControl/>
        <w:spacing w:after="160" w:line="259" w:lineRule="auto"/>
        <w:jc w:val="both"/>
        <w:rPr>
          <w:rFonts w:ascii="Arial" w:eastAsia="Calibri" w:hAnsi="Arial" w:cs="Arial"/>
          <w:b/>
          <w:sz w:val="20"/>
          <w:szCs w:val="20"/>
          <w:lang w:val="en-GB"/>
        </w:rPr>
      </w:pPr>
      <w:r w:rsidRPr="00E91426">
        <w:rPr>
          <w:rFonts w:ascii="Arial" w:eastAsia="Calibri" w:hAnsi="Arial" w:cs="Arial"/>
          <w:b/>
          <w:sz w:val="20"/>
          <w:szCs w:val="20"/>
          <w:lang w:val="en-GB"/>
        </w:rPr>
        <w:t>Note 1.1 Basis of preparation</w:t>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p>
    <w:p w14:paraId="7973A918"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NHS England has directed that the financial statements of the Trust shall meet the accounting requirements of the Department of Health and Social Care Group Accounting Manual (GAM), which shall be agreed with HM Treasury. Consequently, the following financial statements have been prepared in accordance with the GAM 2024/25 issued by the Department of Health and Social Care. The accounting policies contained in the GAM follow International Financial Reporting Standards to the extent that they are meaningful and appropriate to the NHS, as determined by HM Treasury, which is advised by the Financial Reporting Advisory Board. Where the GAM permits a choice of accounting policy, the accounting policy that is judged to be most appropriate to the particular circumstances of the Trust for the purpose of giving a true and fair view has been selected. The particular policies adopted are described below. These have been applied consistently in dealing with items considered material in relation to the accounts.</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652AF71A" w14:textId="77777777" w:rsidR="00E91426" w:rsidRPr="00E91426" w:rsidRDefault="00E91426" w:rsidP="00E91426">
      <w:pPr>
        <w:widowControl/>
        <w:spacing w:after="160" w:line="259" w:lineRule="auto"/>
        <w:jc w:val="both"/>
        <w:rPr>
          <w:rFonts w:ascii="Arial" w:eastAsia="Calibri" w:hAnsi="Arial" w:cs="Arial"/>
          <w:b/>
          <w:sz w:val="20"/>
          <w:szCs w:val="20"/>
          <w:lang w:val="en-GB"/>
        </w:rPr>
      </w:pPr>
      <w:r w:rsidRPr="00E91426">
        <w:rPr>
          <w:rFonts w:ascii="Arial" w:eastAsia="Calibri" w:hAnsi="Arial" w:cs="Arial"/>
          <w:b/>
          <w:sz w:val="20"/>
          <w:szCs w:val="20"/>
          <w:lang w:val="en-GB"/>
        </w:rPr>
        <w:t>Accounting convention</w:t>
      </w:r>
    </w:p>
    <w:p w14:paraId="3C56842D"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These accounts have been prepared under the historical cost convention modified to account for the revaluation of property, plant and equipment, intangible assets, inventories and certain financial assets and financial liabilities.</w:t>
      </w:r>
    </w:p>
    <w:p w14:paraId="5E19831E" w14:textId="77777777" w:rsidR="00E91426" w:rsidRPr="00E91426" w:rsidRDefault="00E91426" w:rsidP="00E91426">
      <w:pPr>
        <w:widowControl/>
        <w:spacing w:after="160" w:line="259" w:lineRule="auto"/>
        <w:jc w:val="both"/>
        <w:rPr>
          <w:rFonts w:ascii="Arial" w:eastAsia="Calibri" w:hAnsi="Arial" w:cs="Arial"/>
          <w:b/>
          <w:sz w:val="20"/>
          <w:szCs w:val="20"/>
          <w:lang w:val="en-GB"/>
        </w:rPr>
      </w:pPr>
      <w:r w:rsidRPr="00E91426">
        <w:rPr>
          <w:rFonts w:ascii="Arial" w:eastAsia="Calibri" w:hAnsi="Arial" w:cs="Arial"/>
          <w:b/>
          <w:sz w:val="20"/>
          <w:szCs w:val="20"/>
          <w:lang w:val="en-GB"/>
        </w:rPr>
        <w:t>Note 1.2 Going concern</w:t>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p>
    <w:p w14:paraId="13C80EC3"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These accounts have been prepared on a going concern basis. The financial reporting framework applicable to NHS bodies, derived from the HM Treasury Financial Reporting Manual, defines that the anticipated continued provision of the entity’s services in the public sector is normally sufficient evidence of going concern. The directors have a reasonable expectation that this will continue to be the case.</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7CEB01CA" w14:textId="77777777" w:rsidR="00E91426" w:rsidRPr="00E91426" w:rsidRDefault="00E91426" w:rsidP="00E91426">
      <w:pPr>
        <w:widowControl/>
        <w:spacing w:after="160" w:line="259" w:lineRule="auto"/>
        <w:jc w:val="both"/>
        <w:rPr>
          <w:rFonts w:ascii="Arial" w:eastAsia="Calibri" w:hAnsi="Arial" w:cs="Arial"/>
          <w:b/>
          <w:sz w:val="20"/>
          <w:szCs w:val="20"/>
          <w:lang w:val="en-GB"/>
        </w:rPr>
      </w:pPr>
      <w:r w:rsidRPr="00E91426">
        <w:rPr>
          <w:rFonts w:ascii="Arial" w:eastAsia="Calibri" w:hAnsi="Arial" w:cs="Arial"/>
          <w:b/>
          <w:sz w:val="20"/>
          <w:szCs w:val="20"/>
          <w:lang w:val="en-GB"/>
        </w:rPr>
        <w:t>Note 1.3 Revenue from contracts with customers</w:t>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p>
    <w:p w14:paraId="5EB09000"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 xml:space="preserve">Where income is derived from contracts with customers, it is accounted for under IFRS 15. The GAM expands the definition of a contract to include legislation and regulations which enables an entity to receive cash or another financial asset that is not classified as a tax by the Office for National Statistics (ONS). </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36914650"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 xml:space="preserve">Revenue in respect of goods/services provided is recognised when (or as) performance obligations are satisfied by transferring promised goods/services to the customer and is measured at the amount of the transaction price allocated to those performance obligations. At the year end, the Trust accrues income relating to performance obligations satisfied in that year. Where the Trust’s entitlement to consideration for those goods or services is unconditional a contract receivable will be recognised. Where entitlement to consideration is conditional on a further factor other than the passage of time, a contract asset will be recognised. Where consideration received or receivable relates to a performance obligation that is to be satisfied in a future period, the income is deferred and recognised as a contract liability. </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7E433DA1" w14:textId="77777777" w:rsidR="00E91426" w:rsidRPr="00E91426" w:rsidRDefault="00E91426" w:rsidP="00E91426">
      <w:pPr>
        <w:widowControl/>
        <w:spacing w:after="160" w:line="259" w:lineRule="auto"/>
        <w:jc w:val="both"/>
        <w:rPr>
          <w:rFonts w:ascii="Arial" w:eastAsia="Calibri" w:hAnsi="Arial" w:cs="Arial"/>
          <w:b/>
          <w:sz w:val="20"/>
          <w:szCs w:val="20"/>
          <w:lang w:val="en-GB"/>
        </w:rPr>
      </w:pPr>
      <w:r w:rsidRPr="00E91426">
        <w:rPr>
          <w:rFonts w:ascii="Arial" w:eastAsia="Calibri" w:hAnsi="Arial" w:cs="Arial"/>
          <w:b/>
          <w:sz w:val="20"/>
          <w:szCs w:val="20"/>
          <w:lang w:val="en-GB"/>
        </w:rPr>
        <w:t>Note 1.3.1 Revenue from NHS Contracts</w:t>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p>
    <w:p w14:paraId="74A05022"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 xml:space="preserve">The main source of income for the Trust is contracts with commissioners for health care services. Funding envelopes are set at an Integrated Care System (ICS) level. The majority of the Trust’s NHS income is earned from NHS commissioners under the NHS Payment Scheme (NHSPS). The NHSPS sets out rules to establish the amount payable to trusts for NHS-funded secondary healthcare. </w:t>
      </w:r>
      <w:r w:rsidRPr="00E91426">
        <w:rPr>
          <w:rFonts w:ascii="Arial" w:eastAsia="Calibri" w:hAnsi="Arial" w:cs="Arial"/>
          <w:sz w:val="20"/>
          <w:szCs w:val="20"/>
          <w:lang w:val="en-GB"/>
        </w:rPr>
        <w:tab/>
      </w:r>
    </w:p>
    <w:p w14:paraId="452F11ED"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 xml:space="preserve">Aligned payment and incentive contracts form the main payment mechanism under the NHSPS. API contracts contain both a fixed and variable element. Under the variable element, providers earn income for elective activity (both ordinary and day case), out-patient procedures, out-patient first attendances, diagnostic imaging and nuclear medicine, and chemotherapy delivery activity. The precise definition of </w:t>
      </w:r>
      <w:r w:rsidRPr="00E91426">
        <w:rPr>
          <w:rFonts w:ascii="Arial" w:eastAsia="Calibri" w:hAnsi="Arial" w:cs="Arial"/>
          <w:sz w:val="20"/>
          <w:szCs w:val="20"/>
          <w:lang w:val="en-GB"/>
        </w:rPr>
        <w:lastRenderedPageBreak/>
        <w:t xml:space="preserve">these activities is given in the NHSPS. Income is earned at NHSPS prices based on actual activity. The fixed element includes income for all other services covered by the NHSPS assuming an agreed level of activity with ‘fixed’ in this context meaning not varying based on units of activity. Elements within this are accounted for as variable consideration under IFRS 15 as explained below.  </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39CF8864"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In 2024/25 fixed payments were set at a level assuming the achievement of elective activity targets within aligned payment and incentive contracts.  These payments are accompanied by a variable-element to adjust income for actual activity delivered on elective services and advice and guidance services. Where actual elective activity delivered differed from the agreed level set in the fixed payments, the variable element either increased or reduced the income earned by the Trust at a rate of 100% of the tariff price. High costs drugs and devices excluded from the calculation of national prices are reimbursed by NHS England based on actual usage or at a fixed baseline in addition to the price of the related service.</w:t>
      </w:r>
      <w:r w:rsidRPr="00E91426">
        <w:rPr>
          <w:rFonts w:ascii="Arial" w:eastAsia="Calibri" w:hAnsi="Arial" w:cs="Arial"/>
          <w:sz w:val="20"/>
          <w:szCs w:val="20"/>
          <w:lang w:val="en-GB"/>
        </w:rPr>
        <w:tab/>
      </w:r>
    </w:p>
    <w:p w14:paraId="69B02F41"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The Trust also receives income from commissioners under Commissioning for Quality Innovation (CQUIN) and Best Practice Tariff (BPT) schemes. Delivery under these schemes is part of how care is provided to patients. As such CQUIN and BPT payments are not considered distinct performance obligations in their own right; instead they form part of the transaction price for performance obligations under the overall contract with the commissioner and are accounted for as variable consideration under IFRS 15.  Payment for CQUIN and BPT on non-elective services is included in the fixed element of API contracts with adjustments for actual achievement being made at the end of the year. BPT earned on elective activity is included in the variable element of API contracts and paid in line with actual activity performed.</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2711C308"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Where the relationship with a particular integrated care board is expected to be a low volume of activity (annual value below £0.5m), an annual fixed payment is received by the provider as determined in the NHSPS documentation. Such income is classified as ‘other clinical income’ in these accounts.</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6F73CB64"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Elective recovery funding provides additional funding to integrated care boards to fund the commissioning of elective services within their systems. Trusts do not directly earn elective recovery funding, instead earning income for actual activity performed under API contract arrangements as explained above. The level of activity delivered by the trust contributes to system performance and therefore the availability of funding to the trust’s commissioners.</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484EB217" w14:textId="77777777" w:rsidR="00E91426" w:rsidRPr="00E91426" w:rsidRDefault="00E91426" w:rsidP="00E91426">
      <w:pPr>
        <w:widowControl/>
        <w:spacing w:after="160" w:line="259" w:lineRule="auto"/>
        <w:jc w:val="both"/>
        <w:rPr>
          <w:rFonts w:ascii="Arial" w:eastAsia="Calibri" w:hAnsi="Arial" w:cs="Arial"/>
          <w:b/>
          <w:sz w:val="20"/>
          <w:szCs w:val="20"/>
          <w:lang w:val="en-GB"/>
        </w:rPr>
      </w:pPr>
      <w:r w:rsidRPr="00E91426">
        <w:rPr>
          <w:rFonts w:ascii="Arial" w:eastAsia="Calibri" w:hAnsi="Arial" w:cs="Arial"/>
          <w:b/>
          <w:sz w:val="20"/>
          <w:szCs w:val="20"/>
          <w:lang w:val="en-GB"/>
        </w:rPr>
        <w:t>Note 1.3.2 Revenue from Research Contracts</w:t>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p>
    <w:p w14:paraId="0E12F274"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Where research contracts fall under IFRS 15, revenue is recognised as and when performance obligations are satisfied. For some contracts, it is assessed that the revenue project constitutes one performance obligation over the course of the multi-year contract. In these cases, it is assessed that the Trust’s interim performance does not create an asset with alternative use for the Trust, and the Trust has an enforceable right to payment for the performance completed to date. It is therefore considered that the performance obligation is satisfied over time, and the Trust recognises revenue each year over the course of the contract. Some research income alternatively falls within the provisions of IAS 20 for government grants.</w:t>
      </w:r>
      <w:r w:rsidRPr="00E91426">
        <w:rPr>
          <w:rFonts w:ascii="Arial" w:eastAsia="Calibri" w:hAnsi="Arial" w:cs="Arial"/>
          <w:sz w:val="20"/>
          <w:szCs w:val="20"/>
          <w:lang w:val="en-GB"/>
        </w:rPr>
        <w:tab/>
      </w:r>
    </w:p>
    <w:p w14:paraId="07EBF44E" w14:textId="77777777" w:rsidR="00E91426" w:rsidRPr="00E91426" w:rsidRDefault="00E91426" w:rsidP="00E91426">
      <w:pPr>
        <w:widowControl/>
        <w:spacing w:after="160" w:line="259" w:lineRule="auto"/>
        <w:jc w:val="both"/>
        <w:rPr>
          <w:rFonts w:ascii="Arial" w:eastAsia="Calibri" w:hAnsi="Arial" w:cs="Arial"/>
          <w:b/>
          <w:sz w:val="20"/>
          <w:szCs w:val="20"/>
          <w:lang w:val="en-GB"/>
        </w:rPr>
      </w:pPr>
      <w:r w:rsidRPr="00E91426">
        <w:rPr>
          <w:rFonts w:ascii="Arial" w:eastAsia="Calibri" w:hAnsi="Arial" w:cs="Arial"/>
          <w:b/>
          <w:sz w:val="20"/>
          <w:szCs w:val="20"/>
          <w:lang w:val="en-GB"/>
        </w:rPr>
        <w:t>Note 1.3.3 NHS Injury cost recovery scheme</w:t>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p>
    <w:p w14:paraId="0208159A"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The Trust receives income under the NHS injury cost recovery scheme, designed to reclaim the cost of treating injured individuals to whom personal injury compensation has subsequently been paid, for instance by an insurer. The Trust recognises the income when performance obligations are satisfied. In practical terms this means that treatment has been given, it receives notification from the Department of Work and Pension's Compensation Recovery Unit, has completed the NHS2 form and confirmed there are no discrepancies with the treatment. The income is measured at the agreed tariff for the treatments provided to the injured individual, less an allowance for unsuccessful compensation claims and doubtful debts in line with IFRS 9 requirements of measuring expected credit losses over the lifetime of the asset.</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0B317071" w14:textId="77777777" w:rsidR="00E91426" w:rsidRPr="00E91426" w:rsidRDefault="00E91426" w:rsidP="00E91426">
      <w:pPr>
        <w:widowControl/>
        <w:spacing w:after="160" w:line="259" w:lineRule="auto"/>
        <w:jc w:val="both"/>
        <w:rPr>
          <w:rFonts w:ascii="Arial" w:eastAsia="Calibri" w:hAnsi="Arial" w:cs="Arial"/>
          <w:b/>
          <w:sz w:val="20"/>
          <w:szCs w:val="20"/>
          <w:lang w:val="en-GB"/>
        </w:rPr>
      </w:pPr>
    </w:p>
    <w:p w14:paraId="02B35B13" w14:textId="77777777" w:rsidR="00E91426" w:rsidRPr="00E91426" w:rsidRDefault="00E91426" w:rsidP="00E91426">
      <w:pPr>
        <w:widowControl/>
        <w:spacing w:after="160" w:line="259" w:lineRule="auto"/>
        <w:jc w:val="both"/>
        <w:rPr>
          <w:rFonts w:ascii="Arial" w:eastAsia="Calibri" w:hAnsi="Arial" w:cs="Arial"/>
          <w:b/>
          <w:sz w:val="20"/>
          <w:szCs w:val="20"/>
          <w:lang w:val="en-GB"/>
        </w:rPr>
      </w:pPr>
      <w:r w:rsidRPr="00E91426">
        <w:rPr>
          <w:rFonts w:ascii="Arial" w:eastAsia="Calibri" w:hAnsi="Arial" w:cs="Arial"/>
          <w:b/>
          <w:sz w:val="20"/>
          <w:szCs w:val="20"/>
          <w:lang w:val="en-GB"/>
        </w:rPr>
        <w:t>Note 1.3.4 Other income</w:t>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p>
    <w:p w14:paraId="35B99EF7" w14:textId="77777777" w:rsidR="00E91426" w:rsidRPr="00E91426" w:rsidRDefault="00E91426" w:rsidP="00E91426">
      <w:pPr>
        <w:widowControl/>
        <w:spacing w:after="160" w:line="259" w:lineRule="auto"/>
        <w:jc w:val="both"/>
        <w:rPr>
          <w:rFonts w:ascii="Arial" w:eastAsia="Calibri" w:hAnsi="Arial" w:cs="Arial"/>
          <w:b/>
          <w:sz w:val="20"/>
          <w:szCs w:val="20"/>
          <w:lang w:val="en-GB"/>
        </w:rPr>
      </w:pPr>
      <w:r w:rsidRPr="00E91426">
        <w:rPr>
          <w:rFonts w:ascii="Arial" w:eastAsia="Calibri" w:hAnsi="Arial" w:cs="Arial"/>
          <w:b/>
          <w:sz w:val="20"/>
          <w:szCs w:val="20"/>
          <w:lang w:val="en-GB"/>
        </w:rPr>
        <w:t>Education and Training Income</w:t>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p>
    <w:p w14:paraId="2D1447B9"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lastRenderedPageBreak/>
        <w:t>Funding for the national training programme is recognised in the year of award.</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7E104D8F" w14:textId="77777777" w:rsidR="00E91426" w:rsidRPr="00E91426" w:rsidRDefault="00E91426" w:rsidP="00E91426">
      <w:pPr>
        <w:widowControl/>
        <w:spacing w:after="160" w:line="259" w:lineRule="auto"/>
        <w:jc w:val="both"/>
        <w:rPr>
          <w:rFonts w:ascii="Arial" w:eastAsia="Calibri" w:hAnsi="Arial" w:cs="Arial"/>
          <w:b/>
          <w:sz w:val="20"/>
          <w:szCs w:val="20"/>
          <w:lang w:val="en-GB"/>
        </w:rPr>
      </w:pPr>
      <w:r w:rsidRPr="00E91426">
        <w:rPr>
          <w:rFonts w:ascii="Arial" w:eastAsia="Calibri" w:hAnsi="Arial" w:cs="Arial"/>
          <w:b/>
          <w:sz w:val="20"/>
          <w:szCs w:val="20"/>
          <w:lang w:val="en-GB"/>
        </w:rPr>
        <w:t>Grants and donations</w:t>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p>
    <w:p w14:paraId="527C607B"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Government grants are grants from government bodies other than income from commissioners or trusts for the provision of services. Where a grant is used to fund revenue expenditure it is taken to the Statement of Comprehensive Income to match that expenditure. Where the grant is used to fund capital expenditure, it is credited to the statement of comprehensive income once conditions attached to the grant have been met. Donations are treated in the same way as government grants.</w:t>
      </w:r>
      <w:r w:rsidRPr="00E91426">
        <w:rPr>
          <w:rFonts w:ascii="Arial" w:eastAsia="Calibri" w:hAnsi="Arial" w:cs="Arial"/>
          <w:sz w:val="20"/>
          <w:szCs w:val="20"/>
          <w:lang w:val="en-GB"/>
        </w:rPr>
        <w:tab/>
      </w:r>
    </w:p>
    <w:p w14:paraId="088E4081" w14:textId="77777777" w:rsidR="00E91426" w:rsidRPr="00E91426" w:rsidRDefault="00E91426" w:rsidP="00E91426">
      <w:pPr>
        <w:widowControl/>
        <w:spacing w:after="160" w:line="259" w:lineRule="auto"/>
        <w:jc w:val="both"/>
        <w:rPr>
          <w:rFonts w:ascii="Arial" w:eastAsia="Calibri" w:hAnsi="Arial" w:cs="Arial"/>
          <w:b/>
          <w:sz w:val="20"/>
          <w:szCs w:val="20"/>
          <w:lang w:val="en-GB"/>
        </w:rPr>
      </w:pPr>
      <w:r w:rsidRPr="00E91426">
        <w:rPr>
          <w:rFonts w:ascii="Arial" w:eastAsia="Calibri" w:hAnsi="Arial" w:cs="Arial"/>
          <w:b/>
          <w:sz w:val="20"/>
          <w:szCs w:val="20"/>
          <w:lang w:val="en-GB"/>
        </w:rPr>
        <w:t>Apprenticeship service income</w:t>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p>
    <w:p w14:paraId="544D44F7"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The value of the benefit received when accessing funds from the Government's apprenticeship service is recognised as income at the point of receipt of the training service. Where these funds are paid directly to an accredited training provider from the trust's Digital Apprenticeship Service (DAS) account held by the Department for Education, the corresponding notional expense is also recognised at the point of recognition for the benefit.</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335BA919" w14:textId="77777777" w:rsidR="00E91426" w:rsidRPr="00E91426" w:rsidRDefault="00E91426" w:rsidP="00E91426">
      <w:pPr>
        <w:widowControl/>
        <w:spacing w:after="160" w:line="259" w:lineRule="auto"/>
        <w:jc w:val="both"/>
        <w:rPr>
          <w:rFonts w:ascii="Arial" w:eastAsia="Calibri" w:hAnsi="Arial" w:cs="Arial"/>
          <w:b/>
          <w:sz w:val="20"/>
          <w:szCs w:val="20"/>
          <w:lang w:val="en-GB"/>
        </w:rPr>
      </w:pPr>
      <w:r w:rsidRPr="00E91426">
        <w:rPr>
          <w:rFonts w:ascii="Arial" w:eastAsia="Calibri" w:hAnsi="Arial" w:cs="Arial"/>
          <w:b/>
          <w:sz w:val="20"/>
          <w:szCs w:val="20"/>
          <w:lang w:val="en-GB"/>
        </w:rPr>
        <w:t>Note 1.4 Expenditure on employee benefits</w:t>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p>
    <w:p w14:paraId="5E72F71A" w14:textId="77777777" w:rsidR="00E91426" w:rsidRPr="00E91426" w:rsidRDefault="00E91426" w:rsidP="00E91426">
      <w:pPr>
        <w:widowControl/>
        <w:spacing w:after="160" w:line="259" w:lineRule="auto"/>
        <w:jc w:val="both"/>
        <w:rPr>
          <w:rFonts w:ascii="Arial" w:eastAsia="Calibri" w:hAnsi="Arial" w:cs="Arial"/>
          <w:b/>
          <w:sz w:val="20"/>
          <w:szCs w:val="20"/>
          <w:lang w:val="en-GB"/>
        </w:rPr>
      </w:pPr>
      <w:r w:rsidRPr="00E91426">
        <w:rPr>
          <w:rFonts w:ascii="Arial" w:eastAsia="Calibri" w:hAnsi="Arial" w:cs="Arial"/>
          <w:b/>
          <w:sz w:val="20"/>
          <w:szCs w:val="20"/>
          <w:lang w:val="en-GB"/>
        </w:rPr>
        <w:t>Short-term employee benefits</w:t>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p>
    <w:p w14:paraId="7B7E842C"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Salaries, wages and employment-related payments such as social security costs and the apprenticeship levy are recognised in the period in which the service is received from employees. The cost of annual leave entitlement earned but not taken by employees at the end of the period is recognised in the financial statements to the extent that employees are permitted to carry-forward leave into the following period.</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3FA1831F" w14:textId="77777777" w:rsidR="00E91426" w:rsidRPr="00E91426" w:rsidRDefault="00E91426" w:rsidP="00E91426">
      <w:pPr>
        <w:widowControl/>
        <w:spacing w:after="160" w:line="259" w:lineRule="auto"/>
        <w:jc w:val="both"/>
        <w:rPr>
          <w:rFonts w:ascii="Arial" w:eastAsia="Calibri" w:hAnsi="Arial" w:cs="Arial"/>
          <w:b/>
          <w:sz w:val="20"/>
          <w:szCs w:val="20"/>
          <w:lang w:val="en-GB"/>
        </w:rPr>
      </w:pPr>
      <w:r w:rsidRPr="00E91426">
        <w:rPr>
          <w:rFonts w:ascii="Arial" w:eastAsia="Calibri" w:hAnsi="Arial" w:cs="Arial"/>
          <w:b/>
          <w:sz w:val="20"/>
          <w:szCs w:val="20"/>
          <w:lang w:val="en-GB"/>
        </w:rPr>
        <w:t xml:space="preserve">Pension costs </w:t>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p>
    <w:p w14:paraId="32300EE9" w14:textId="77777777" w:rsidR="00E91426" w:rsidRPr="00E91426" w:rsidRDefault="00E91426" w:rsidP="00E91426">
      <w:pPr>
        <w:widowControl/>
        <w:spacing w:after="160" w:line="259" w:lineRule="auto"/>
        <w:jc w:val="both"/>
        <w:rPr>
          <w:rFonts w:ascii="Arial" w:eastAsia="Calibri" w:hAnsi="Arial" w:cs="Arial"/>
          <w:i/>
          <w:sz w:val="20"/>
          <w:szCs w:val="20"/>
          <w:lang w:val="en-GB"/>
        </w:rPr>
      </w:pPr>
      <w:r w:rsidRPr="00E91426">
        <w:rPr>
          <w:rFonts w:ascii="Arial" w:eastAsia="Calibri" w:hAnsi="Arial" w:cs="Arial"/>
          <w:i/>
          <w:sz w:val="20"/>
          <w:szCs w:val="20"/>
          <w:lang w:val="en-GB"/>
        </w:rPr>
        <w:t>NHS Pension Scheme</w:t>
      </w:r>
      <w:r w:rsidRPr="00E91426">
        <w:rPr>
          <w:rFonts w:ascii="Arial" w:eastAsia="Calibri" w:hAnsi="Arial" w:cs="Arial"/>
          <w:i/>
          <w:sz w:val="20"/>
          <w:szCs w:val="20"/>
          <w:lang w:val="en-GB"/>
        </w:rPr>
        <w:tab/>
      </w:r>
      <w:r w:rsidRPr="00E91426">
        <w:rPr>
          <w:rFonts w:ascii="Arial" w:eastAsia="Calibri" w:hAnsi="Arial" w:cs="Arial"/>
          <w:i/>
          <w:sz w:val="20"/>
          <w:szCs w:val="20"/>
          <w:lang w:val="en-GB"/>
        </w:rPr>
        <w:tab/>
      </w:r>
    </w:p>
    <w:p w14:paraId="78B8C188"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 xml:space="preserve">Past and present employees are covered by the provisions of the two NHS Pension Schemes. Both schemes are unfunded, defined benefit schemes that cover NHS employers, general practices and other bodies, allowed under the direction of Secretary of State for Health and Social Care in England and Wales. The scheme is not designed in a way that would enable employers to identify their share of the underlying scheme assets and liabilities. Therefore, the scheme is accounted for as though it is a defined contribution scheme: the cost to the Trust is taken as equal to the employer's pension contributions payable to the scheme for the accounting period. The contributions are charged to operating expenses as and when they become due. </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62E563C8"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Additional pension liabilities arising from early retirements are not funded by the scheme except where the retirement is due to ill-health. The full amount of the liability for the additional costs is charged to the operating expenses at the time the trust commits itself to the retirement, regardless of the method of payment.</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1531E6B8" w14:textId="77777777" w:rsidR="00E91426" w:rsidRPr="00E91426" w:rsidRDefault="00E91426" w:rsidP="00E91426">
      <w:pPr>
        <w:widowControl/>
        <w:spacing w:after="160" w:line="259" w:lineRule="auto"/>
        <w:jc w:val="both"/>
        <w:rPr>
          <w:rFonts w:ascii="Arial" w:eastAsia="Calibri" w:hAnsi="Arial" w:cs="Arial"/>
          <w:b/>
          <w:sz w:val="20"/>
          <w:szCs w:val="20"/>
          <w:lang w:val="en-GB"/>
        </w:rPr>
      </w:pPr>
      <w:r w:rsidRPr="00E91426">
        <w:rPr>
          <w:rFonts w:ascii="Arial" w:eastAsia="Calibri" w:hAnsi="Arial" w:cs="Arial"/>
          <w:b/>
          <w:sz w:val="20"/>
          <w:szCs w:val="20"/>
          <w:lang w:val="en-GB"/>
        </w:rPr>
        <w:t>Note 1.5 Expenditure on other goods and services</w:t>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p>
    <w:p w14:paraId="366CEC5F"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 xml:space="preserve">Expenditure on goods and services is recognised when, and to the extent that they have been received, and is measured at the fair value of those goods and services. Expenditure is recognised in operating expenses except where it results in the creation of a non-current asset such as property, plant and equipment. </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0BB4D5F3" w14:textId="77777777" w:rsidR="00E91426" w:rsidRPr="00E91426" w:rsidRDefault="00E91426" w:rsidP="00E91426">
      <w:pPr>
        <w:widowControl/>
        <w:spacing w:after="160" w:line="259" w:lineRule="auto"/>
        <w:jc w:val="both"/>
        <w:rPr>
          <w:rFonts w:ascii="Arial" w:eastAsia="Calibri" w:hAnsi="Arial" w:cs="Arial"/>
          <w:b/>
          <w:sz w:val="20"/>
          <w:szCs w:val="20"/>
          <w:lang w:val="en-GB"/>
        </w:rPr>
      </w:pPr>
      <w:r w:rsidRPr="00E91426">
        <w:rPr>
          <w:rFonts w:ascii="Arial" w:eastAsia="Calibri" w:hAnsi="Arial" w:cs="Arial"/>
          <w:b/>
          <w:sz w:val="20"/>
          <w:szCs w:val="20"/>
          <w:lang w:val="en-GB"/>
        </w:rPr>
        <w:t>Note 1.6 Property, plant and equipment</w:t>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p>
    <w:p w14:paraId="33809229" w14:textId="77777777" w:rsidR="00E91426" w:rsidRPr="00E91426" w:rsidRDefault="00E91426" w:rsidP="00E91426">
      <w:pPr>
        <w:widowControl/>
        <w:spacing w:after="160" w:line="259" w:lineRule="auto"/>
        <w:jc w:val="both"/>
        <w:rPr>
          <w:rFonts w:ascii="Arial" w:eastAsia="Calibri" w:hAnsi="Arial" w:cs="Arial"/>
          <w:b/>
          <w:sz w:val="20"/>
          <w:szCs w:val="20"/>
          <w:lang w:val="en-GB"/>
        </w:rPr>
      </w:pPr>
      <w:r w:rsidRPr="00E91426">
        <w:rPr>
          <w:rFonts w:ascii="Arial" w:eastAsia="Calibri" w:hAnsi="Arial" w:cs="Arial"/>
          <w:b/>
          <w:sz w:val="20"/>
          <w:szCs w:val="20"/>
          <w:lang w:val="en-GB"/>
        </w:rPr>
        <w:t>Note 1.6.1 Recognition</w:t>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p>
    <w:p w14:paraId="6674024A"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 xml:space="preserve">Property, plant and equipment is capitalised where:    </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0B88B118" w14:textId="77777777" w:rsidR="00E91426" w:rsidRPr="00E91426" w:rsidRDefault="00E91426" w:rsidP="00E00F90">
      <w:pPr>
        <w:widowControl/>
        <w:numPr>
          <w:ilvl w:val="0"/>
          <w:numId w:val="59"/>
        </w:numPr>
        <w:spacing w:after="160" w:line="259" w:lineRule="auto"/>
        <w:ind w:left="360"/>
        <w:contextualSpacing/>
        <w:jc w:val="both"/>
        <w:rPr>
          <w:rFonts w:ascii="Arial" w:eastAsia="Calibri" w:hAnsi="Arial" w:cs="Arial"/>
          <w:sz w:val="20"/>
          <w:szCs w:val="20"/>
          <w:lang w:val="en-GB"/>
        </w:rPr>
      </w:pPr>
      <w:r w:rsidRPr="00E91426">
        <w:rPr>
          <w:rFonts w:ascii="Arial" w:eastAsia="Calibri" w:hAnsi="Arial" w:cs="Arial"/>
          <w:sz w:val="20"/>
          <w:szCs w:val="20"/>
          <w:lang w:val="en-GB"/>
        </w:rPr>
        <w:t>It is held for use in delivering services or for administrative purposes</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15FEA1E4" w14:textId="77777777" w:rsidR="00E91426" w:rsidRPr="00E91426" w:rsidRDefault="00E91426" w:rsidP="00E00F90">
      <w:pPr>
        <w:widowControl/>
        <w:numPr>
          <w:ilvl w:val="0"/>
          <w:numId w:val="60"/>
        </w:numPr>
        <w:spacing w:after="160" w:line="259" w:lineRule="auto"/>
        <w:ind w:left="360"/>
        <w:contextualSpacing/>
        <w:jc w:val="both"/>
        <w:rPr>
          <w:rFonts w:ascii="Arial" w:eastAsia="Calibri" w:hAnsi="Arial" w:cs="Arial"/>
          <w:sz w:val="20"/>
          <w:szCs w:val="20"/>
          <w:lang w:val="en-GB"/>
        </w:rPr>
      </w:pPr>
      <w:r w:rsidRPr="00E91426">
        <w:rPr>
          <w:rFonts w:ascii="Arial" w:eastAsia="Calibri" w:hAnsi="Arial" w:cs="Arial"/>
          <w:sz w:val="20"/>
          <w:szCs w:val="20"/>
          <w:lang w:val="en-GB"/>
        </w:rPr>
        <w:t>It is probable that future economic benefits will flow to, or service potential be provided to, the Trust</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649555D5" w14:textId="77777777" w:rsidR="00E91426" w:rsidRPr="00E91426" w:rsidRDefault="00E91426" w:rsidP="00E00F90">
      <w:pPr>
        <w:widowControl/>
        <w:numPr>
          <w:ilvl w:val="0"/>
          <w:numId w:val="60"/>
        </w:numPr>
        <w:spacing w:after="160" w:line="259" w:lineRule="auto"/>
        <w:ind w:left="360"/>
        <w:contextualSpacing/>
        <w:jc w:val="both"/>
        <w:rPr>
          <w:rFonts w:ascii="Arial" w:eastAsia="Calibri" w:hAnsi="Arial" w:cs="Arial"/>
          <w:sz w:val="20"/>
          <w:szCs w:val="20"/>
          <w:lang w:val="en-GB"/>
        </w:rPr>
      </w:pPr>
      <w:r w:rsidRPr="00E91426">
        <w:rPr>
          <w:rFonts w:ascii="Arial" w:eastAsia="Calibri" w:hAnsi="Arial" w:cs="Arial"/>
          <w:sz w:val="20"/>
          <w:szCs w:val="20"/>
          <w:lang w:val="en-GB"/>
        </w:rPr>
        <w:t>It is expected to be used for more than one financial year</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500ABA73" w14:textId="77777777" w:rsidR="00E91426" w:rsidRPr="00E91426" w:rsidRDefault="00E91426" w:rsidP="00E00F90">
      <w:pPr>
        <w:widowControl/>
        <w:numPr>
          <w:ilvl w:val="0"/>
          <w:numId w:val="60"/>
        </w:numPr>
        <w:spacing w:after="160" w:line="259" w:lineRule="auto"/>
        <w:ind w:left="360"/>
        <w:contextualSpacing/>
        <w:jc w:val="both"/>
        <w:rPr>
          <w:rFonts w:ascii="Arial" w:eastAsia="Calibri" w:hAnsi="Arial" w:cs="Arial"/>
          <w:sz w:val="20"/>
          <w:szCs w:val="20"/>
          <w:lang w:val="en-GB"/>
        </w:rPr>
      </w:pPr>
      <w:r w:rsidRPr="00E91426">
        <w:rPr>
          <w:rFonts w:ascii="Arial" w:eastAsia="Calibri" w:hAnsi="Arial" w:cs="Arial"/>
          <w:sz w:val="20"/>
          <w:szCs w:val="20"/>
          <w:lang w:val="en-GB"/>
        </w:rPr>
        <w:t>The cost of the item can be measured reliably</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469FA119" w14:textId="77777777" w:rsidR="00E91426" w:rsidRPr="00E91426" w:rsidRDefault="00E91426" w:rsidP="00E00F90">
      <w:pPr>
        <w:widowControl/>
        <w:numPr>
          <w:ilvl w:val="0"/>
          <w:numId w:val="60"/>
        </w:numPr>
        <w:spacing w:after="160" w:line="259" w:lineRule="auto"/>
        <w:ind w:left="360"/>
        <w:contextualSpacing/>
        <w:jc w:val="both"/>
        <w:rPr>
          <w:rFonts w:ascii="Arial" w:eastAsia="Calibri" w:hAnsi="Arial" w:cs="Arial"/>
          <w:sz w:val="20"/>
          <w:szCs w:val="20"/>
          <w:lang w:val="en-GB"/>
        </w:rPr>
      </w:pPr>
      <w:r w:rsidRPr="00E91426">
        <w:rPr>
          <w:rFonts w:ascii="Arial" w:eastAsia="Calibri" w:hAnsi="Arial" w:cs="Arial"/>
          <w:sz w:val="20"/>
          <w:szCs w:val="20"/>
          <w:lang w:val="en-GB"/>
        </w:rPr>
        <w:t xml:space="preserve">The item has cost of at least £5,000, </w:t>
      </w:r>
    </w:p>
    <w:p w14:paraId="74F41552" w14:textId="77777777" w:rsidR="00E91426" w:rsidRPr="00E91426" w:rsidRDefault="00E91426" w:rsidP="00E91426">
      <w:pPr>
        <w:widowControl/>
        <w:spacing w:after="160" w:line="259" w:lineRule="auto"/>
        <w:contextualSpacing/>
        <w:jc w:val="both"/>
        <w:rPr>
          <w:rFonts w:ascii="Arial" w:eastAsia="Calibri" w:hAnsi="Arial" w:cs="Arial"/>
          <w:sz w:val="20"/>
          <w:szCs w:val="20"/>
          <w:lang w:val="en-GB"/>
        </w:rPr>
      </w:pPr>
      <w:r w:rsidRPr="00E91426">
        <w:rPr>
          <w:rFonts w:ascii="Arial" w:eastAsia="Calibri" w:hAnsi="Arial" w:cs="Arial"/>
          <w:sz w:val="20"/>
          <w:szCs w:val="20"/>
          <w:lang w:val="en-GB"/>
        </w:rPr>
        <w:lastRenderedPageBreak/>
        <w:t>or</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52E2D171" w14:textId="77777777" w:rsidR="00E91426" w:rsidRPr="00E91426" w:rsidRDefault="00E91426" w:rsidP="00E91426">
      <w:pPr>
        <w:widowControl/>
        <w:spacing w:after="160" w:line="259" w:lineRule="auto"/>
        <w:contextualSpacing/>
        <w:jc w:val="both"/>
        <w:rPr>
          <w:rFonts w:ascii="Arial" w:eastAsia="Calibri" w:hAnsi="Arial" w:cs="Arial"/>
          <w:sz w:val="20"/>
          <w:szCs w:val="20"/>
          <w:lang w:val="en-GB"/>
        </w:rPr>
      </w:pPr>
      <w:r w:rsidRPr="00E91426">
        <w:rPr>
          <w:rFonts w:ascii="Arial" w:eastAsia="Calibri" w:hAnsi="Arial" w:cs="Arial"/>
          <w:sz w:val="20"/>
          <w:szCs w:val="20"/>
          <w:lang w:val="en-GB"/>
        </w:rPr>
        <w:t>collectively, a number of items have a cost of at least £5,000 and individually have cost of more than £250, where the assets are functionally interdependent, had broadly simultaneous purchase dates, are anticipated to have similar disposal dates and are under single managerial control.</w:t>
      </w:r>
      <w:r w:rsidRPr="00E91426">
        <w:rPr>
          <w:rFonts w:ascii="Arial" w:eastAsia="Calibri" w:hAnsi="Arial" w:cs="Arial"/>
          <w:sz w:val="20"/>
          <w:szCs w:val="20"/>
          <w:lang w:val="en-GB"/>
        </w:rPr>
        <w:tab/>
      </w:r>
    </w:p>
    <w:p w14:paraId="6289B032" w14:textId="77777777" w:rsidR="00E91426" w:rsidRPr="00E91426" w:rsidRDefault="00E91426" w:rsidP="00E00F90">
      <w:pPr>
        <w:widowControl/>
        <w:numPr>
          <w:ilvl w:val="0"/>
          <w:numId w:val="60"/>
        </w:numPr>
        <w:spacing w:after="160" w:line="259" w:lineRule="auto"/>
        <w:ind w:left="360"/>
        <w:contextualSpacing/>
        <w:jc w:val="both"/>
        <w:rPr>
          <w:rFonts w:ascii="Arial" w:eastAsia="Calibri" w:hAnsi="Arial" w:cs="Arial"/>
          <w:sz w:val="20"/>
          <w:szCs w:val="20"/>
          <w:lang w:val="en-GB"/>
        </w:rPr>
      </w:pPr>
      <w:r w:rsidRPr="00E91426">
        <w:rPr>
          <w:rFonts w:ascii="Arial" w:eastAsia="Calibri" w:hAnsi="Arial" w:cs="Arial"/>
          <w:sz w:val="20"/>
          <w:szCs w:val="20"/>
          <w:lang w:val="en-GB"/>
        </w:rPr>
        <w:t>costs form part of the initial equipping and setting-up cost of a new building, ward or unit irrespective of their individual or collective cost.</w:t>
      </w:r>
      <w:r w:rsidRPr="00E91426">
        <w:rPr>
          <w:rFonts w:ascii="Arial" w:eastAsia="Calibri" w:hAnsi="Arial" w:cs="Arial"/>
          <w:sz w:val="20"/>
          <w:szCs w:val="20"/>
          <w:lang w:val="en-GB"/>
        </w:rPr>
        <w:tab/>
      </w:r>
    </w:p>
    <w:p w14:paraId="57394754"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 xml:space="preserve">Staff costs have also been capitalised where they arise directly from the construction or acquisition of specific property, plant or equipment.       </w:t>
      </w:r>
      <w:r w:rsidRPr="00E91426">
        <w:rPr>
          <w:rFonts w:ascii="Arial" w:eastAsia="Calibri" w:hAnsi="Arial" w:cs="Arial"/>
          <w:sz w:val="20"/>
          <w:szCs w:val="20"/>
          <w:lang w:val="en-GB"/>
        </w:rPr>
        <w:tab/>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4B724133"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Where a large asset, for example a building, includes a number of components with significantly different asset lives, e.g., plant and equipment, then these components are treated as separate assets and depreciated over their own useful lives.</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793C19A4"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Software which is integral to the operation of hardware e.g. an operating system is capitalised as part of the relevant item of property, plant and equipment. Other software which is not necessarily integral to the operation of hardware is assessed on a case by case basis and is expensed over the life of the licence or capitalised as an intangible asset in accordance with IAS38.</w:t>
      </w:r>
    </w:p>
    <w:p w14:paraId="11B099CC" w14:textId="77777777" w:rsidR="00E91426" w:rsidRPr="00E91426" w:rsidRDefault="00E91426" w:rsidP="00E91426">
      <w:pPr>
        <w:widowControl/>
        <w:spacing w:after="160" w:line="259" w:lineRule="auto"/>
        <w:jc w:val="both"/>
        <w:rPr>
          <w:rFonts w:ascii="Arial" w:eastAsia="Calibri" w:hAnsi="Arial" w:cs="Arial"/>
          <w:b/>
          <w:sz w:val="20"/>
          <w:szCs w:val="20"/>
          <w:lang w:val="en-GB"/>
        </w:rPr>
      </w:pPr>
      <w:r w:rsidRPr="00E91426">
        <w:rPr>
          <w:rFonts w:ascii="Arial" w:eastAsia="Calibri" w:hAnsi="Arial" w:cs="Arial"/>
          <w:b/>
          <w:sz w:val="20"/>
          <w:szCs w:val="20"/>
          <w:lang w:val="en-GB"/>
        </w:rPr>
        <w:t>Subsequent Expenditure</w:t>
      </w:r>
    </w:p>
    <w:p w14:paraId="3F08EC45"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Subsequent expenditure relating to an item of property, plant and equipment is recognised as an increase in the carrying amount of the asset when it is probable that additional future economic benefits or service potential deriving from the cost incurred to replace a component of such item will flow to the enterprise and the cost of the item can be determined reliably. Where a component of an asset is replaced, the cost of the replacement is capitalised if it meets the criteria for recognition above. The carrying amount of the part replaced is de-recognised. Other expenditure that does not generate additional future economic benefits or service potential, such as repairs and maintenance, is charged to the Statement of Comprehensive Income in the period in which it is incurred.</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545CDFA4" w14:textId="77777777" w:rsidR="00E91426" w:rsidRPr="00E91426" w:rsidRDefault="00E91426" w:rsidP="00E91426">
      <w:pPr>
        <w:widowControl/>
        <w:spacing w:after="160" w:line="259" w:lineRule="auto"/>
        <w:jc w:val="both"/>
        <w:rPr>
          <w:rFonts w:ascii="Arial" w:eastAsia="Calibri" w:hAnsi="Arial" w:cs="Arial"/>
          <w:b/>
          <w:sz w:val="20"/>
          <w:szCs w:val="20"/>
          <w:lang w:val="en-GB"/>
        </w:rPr>
      </w:pPr>
      <w:r w:rsidRPr="00E91426">
        <w:rPr>
          <w:rFonts w:ascii="Arial" w:eastAsia="Calibri" w:hAnsi="Arial" w:cs="Arial"/>
          <w:b/>
          <w:sz w:val="20"/>
          <w:szCs w:val="20"/>
          <w:lang w:val="en-GB"/>
        </w:rPr>
        <w:t>Note 1.6.2 Measurement</w:t>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p>
    <w:p w14:paraId="09FC88D9" w14:textId="77777777" w:rsidR="00E91426" w:rsidRPr="00E91426" w:rsidRDefault="00E91426" w:rsidP="00E91426">
      <w:pPr>
        <w:widowControl/>
        <w:spacing w:after="160" w:line="259" w:lineRule="auto"/>
        <w:jc w:val="both"/>
        <w:rPr>
          <w:rFonts w:ascii="Arial" w:eastAsia="Calibri" w:hAnsi="Arial" w:cs="Arial"/>
          <w:b/>
          <w:sz w:val="20"/>
          <w:szCs w:val="20"/>
          <w:lang w:val="en-GB"/>
        </w:rPr>
      </w:pPr>
      <w:r w:rsidRPr="00E91426">
        <w:rPr>
          <w:rFonts w:ascii="Arial" w:eastAsia="Calibri" w:hAnsi="Arial" w:cs="Arial"/>
          <w:b/>
          <w:sz w:val="20"/>
          <w:szCs w:val="20"/>
          <w:lang w:val="en-GB"/>
        </w:rPr>
        <w:t>Valuation</w:t>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p>
    <w:p w14:paraId="381AA062"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All property, plant and equipment assets are measured initially at cost, representing the costs directly attributable to acquiring or constructing the asset and bringing it to the location and condition necessary for it to be capable of operating in the manner intended by management.</w:t>
      </w:r>
    </w:p>
    <w:p w14:paraId="7087A83D"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Assets are measured subsequently at valuation. Assets which are held for their service potential and are in use (i.e. operational assets used to deliver either front line services or back office functions) are measured at their current value in existing use. Assets that were most recently held for their service potential but are surplus with no plan to bring them back into use are measured at fair value where there are no restrictions on sale at the reporting date and where they do not meet the definitions of investment properties or assets held for sale.</w:t>
      </w:r>
    </w:p>
    <w:p w14:paraId="1F4E27CB"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Revaluations of property, plant and equipment are performed with sufficient regularity to ensure that carrying values are not materially different from those that would be determined at the end of the reporting period. Current values in existing use are determined as follows:</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14596580"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 xml:space="preserve">   •  Land and non-specialised buildings – market value for existing use</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44978F4E"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 xml:space="preserve">   •  Specialised buildings – depreciated replacement cost on a modern equivalent asset basis.</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056178D5"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For specialised assets, current value in existing use is interpreted as the present value of the asset's remaining service potential, which is assumed to be at least equal to the cost of replacing that service potential. Specialised assets are therefore valued at their depreciated replacement cost (DRC) on a modern equivalent asset (MEA) basis. An MEA basis assumes that the asset will be replaced with a modern asset of equivalent capacity and meeting the location requirements of the services being provided. Assets held at depreciated replacement cost have been valued on an alternative site basis where this would meet the location requirements.</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07654086"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 xml:space="preserve">All land and buildings are restated to current value using professional valuations in accordance with IAS 16 every five years.  A yearly interim valuation is also carried out.  Valuations are carried out by </w:t>
      </w:r>
      <w:r w:rsidRPr="00E91426">
        <w:rPr>
          <w:rFonts w:ascii="Arial" w:eastAsia="Calibri" w:hAnsi="Arial" w:cs="Arial"/>
          <w:sz w:val="20"/>
          <w:szCs w:val="20"/>
          <w:lang w:val="en-GB"/>
        </w:rPr>
        <w:lastRenderedPageBreak/>
        <w:t>professionally qualified valuers in accordance with the Royal Institute of Chartered Surveyors (RICS) Appraisal and Valuation Manual.  In accordance with this policy the valuation undertaken for 2024/25 was therefore a full revaluation.</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5269108C"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The valuation exercise was carried out in March 2025 with a valuation date of 31st March 2025.</w:t>
      </w:r>
    </w:p>
    <w:p w14:paraId="23ACA9B8"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Properties in the course of construction for service or administration purposes are carried at cost, less any impairment loss.  Assets are revalued and depreciation commences when the assets are brought into use.</w:t>
      </w:r>
    </w:p>
    <w:p w14:paraId="31F7D009"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 xml:space="preserve">IT equipment, transport equipment, furniture and fittings, and plant and machinery that are held for operational use are valued at depreciated historic cost where these assets have short useful lives or low values or both, as this is not considered to be materially different from current value in existing use. </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0AF4BB18" w14:textId="77777777" w:rsidR="00E91426" w:rsidRPr="00E91426" w:rsidRDefault="00E91426" w:rsidP="00E91426">
      <w:pPr>
        <w:widowControl/>
        <w:spacing w:after="160" w:line="259" w:lineRule="auto"/>
        <w:jc w:val="both"/>
        <w:rPr>
          <w:rFonts w:ascii="Arial" w:eastAsia="Calibri" w:hAnsi="Arial" w:cs="Arial"/>
          <w:b/>
          <w:sz w:val="20"/>
          <w:szCs w:val="20"/>
          <w:lang w:val="en-GB"/>
        </w:rPr>
      </w:pPr>
      <w:r w:rsidRPr="00E91426">
        <w:rPr>
          <w:rFonts w:ascii="Arial" w:eastAsia="Calibri" w:hAnsi="Arial" w:cs="Arial"/>
          <w:b/>
          <w:sz w:val="20"/>
          <w:szCs w:val="20"/>
          <w:lang w:val="en-GB"/>
        </w:rPr>
        <w:t>Depreciation</w:t>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p>
    <w:p w14:paraId="69BA48AE"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Items of property, plant and equipment will be depreciated from the first quarter after the asset is deemed ready for use at rates calculated to write them down to estimated residual value on a straight-line basis over their estimated economic lives.  Freehold land is considered to have an infinite life and is not depreciated.</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2A83278F"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Property, plant and equipment reclassified as ‘Held for Sale’ cease to be depreciated upon the reclassification. Assets in the course of construction are not depreciated until the asset is brought into use.</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04916574" w14:textId="77777777" w:rsidR="00E91426" w:rsidRPr="00E91426" w:rsidRDefault="00E91426" w:rsidP="00E91426">
      <w:pPr>
        <w:widowControl/>
        <w:spacing w:after="160" w:line="259" w:lineRule="auto"/>
        <w:jc w:val="both"/>
        <w:rPr>
          <w:rFonts w:ascii="Arial" w:eastAsia="Calibri" w:hAnsi="Arial" w:cs="Arial"/>
          <w:b/>
          <w:sz w:val="20"/>
          <w:szCs w:val="20"/>
          <w:lang w:val="en-GB"/>
        </w:rPr>
      </w:pPr>
      <w:r w:rsidRPr="00E91426">
        <w:rPr>
          <w:rFonts w:ascii="Arial" w:eastAsia="Calibri" w:hAnsi="Arial" w:cs="Arial"/>
          <w:b/>
          <w:sz w:val="20"/>
          <w:szCs w:val="20"/>
          <w:lang w:val="en-GB"/>
        </w:rPr>
        <w:t>Revaluation gains and losses</w:t>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p>
    <w:p w14:paraId="58EDD813"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Revaluation gains are recognised in the revaluation reserve, except where, and to the extent that, they reverse a revaluation decrease that has previously been recognised in operating expenses, in which case they are recognised in operating income.</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37872EF0"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Revaluation losses are charged to the revaluation reserve to the extent that there is an available balance for the asset concerned, and thereafter are charged to operating expenses.</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58208574"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Gains and losses recognised in the revaluation reserve are reported in the Statement of Comprehensive Income as an item of ‘other operating expenses.</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72AC8BEE" w14:textId="77777777" w:rsidR="00E91426" w:rsidRPr="00E91426" w:rsidRDefault="00E91426" w:rsidP="00E91426">
      <w:pPr>
        <w:widowControl/>
        <w:spacing w:after="160" w:line="259" w:lineRule="auto"/>
        <w:jc w:val="both"/>
        <w:rPr>
          <w:rFonts w:ascii="Arial" w:eastAsia="Calibri" w:hAnsi="Arial" w:cs="Arial"/>
          <w:b/>
          <w:sz w:val="20"/>
          <w:szCs w:val="20"/>
          <w:lang w:val="en-GB"/>
        </w:rPr>
      </w:pPr>
      <w:r w:rsidRPr="00E91426">
        <w:rPr>
          <w:rFonts w:ascii="Arial" w:eastAsia="Calibri" w:hAnsi="Arial" w:cs="Arial"/>
          <w:b/>
          <w:sz w:val="20"/>
          <w:szCs w:val="20"/>
          <w:lang w:val="en-GB"/>
        </w:rPr>
        <w:t>Impairments</w:t>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p>
    <w:p w14:paraId="60810CAA"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In accordance with the GAM, impairments that arise from a clear consumption of economic benefits or of service potential in the asset are charged to operating expenses. A compensating transfer is made from the revaluation reserve to the income and expenditure reserve of an amount equal to the lower of (</w:t>
      </w:r>
      <w:proofErr w:type="spellStart"/>
      <w:r w:rsidRPr="00E91426">
        <w:rPr>
          <w:rFonts w:ascii="Arial" w:eastAsia="Calibri" w:hAnsi="Arial" w:cs="Arial"/>
          <w:sz w:val="20"/>
          <w:szCs w:val="20"/>
          <w:lang w:val="en-GB"/>
        </w:rPr>
        <w:t>i</w:t>
      </w:r>
      <w:proofErr w:type="spellEnd"/>
      <w:r w:rsidRPr="00E91426">
        <w:rPr>
          <w:rFonts w:ascii="Arial" w:eastAsia="Calibri" w:hAnsi="Arial" w:cs="Arial"/>
          <w:sz w:val="20"/>
          <w:szCs w:val="20"/>
          <w:lang w:val="en-GB"/>
        </w:rPr>
        <w:t>) the impairment charged to operating expenses; and (ii) the balance in the revaluation reserve attributable to that asset before the impairment.</w:t>
      </w:r>
    </w:p>
    <w:p w14:paraId="51CFC27A"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An impairment that arises from a clear consumption of economic benefit or of service potential is reversed when, and to the extent that, the circumstances that gave rise to the loss is reversed. Reversals are recognised in operating expenditure to the extent that the asset is restored to the carrying amount it would have had if the impairment had never been recognised. Any remaining reversal is recognised in the revaluation reserve. Where, at the time of the original impairment, a transfer was made from the revaluation reserve to the income and expenditure reserve, an amount is transferred back to the revaluation reserve when the impairment reversal is recognised.</w:t>
      </w:r>
    </w:p>
    <w:p w14:paraId="2A64B1AA"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Other impairments are treated as revaluation losses. Reversals of ‘other impairments’ are treated as revaluation gains.</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74009D72" w14:textId="77777777" w:rsidR="00E91426" w:rsidRPr="00E91426" w:rsidRDefault="00E91426" w:rsidP="00E91426">
      <w:pPr>
        <w:widowControl/>
        <w:spacing w:after="160" w:line="259" w:lineRule="auto"/>
        <w:jc w:val="both"/>
        <w:rPr>
          <w:rFonts w:ascii="Arial" w:eastAsia="Calibri" w:hAnsi="Arial" w:cs="Arial"/>
          <w:b/>
          <w:sz w:val="20"/>
          <w:szCs w:val="20"/>
          <w:lang w:val="en-GB"/>
        </w:rPr>
      </w:pPr>
    </w:p>
    <w:p w14:paraId="56A524AF" w14:textId="77777777" w:rsidR="00E91426" w:rsidRPr="00E91426" w:rsidRDefault="00E91426" w:rsidP="00E91426">
      <w:pPr>
        <w:widowControl/>
        <w:spacing w:after="160" w:line="259" w:lineRule="auto"/>
        <w:jc w:val="both"/>
        <w:rPr>
          <w:rFonts w:ascii="Arial" w:eastAsia="Calibri" w:hAnsi="Arial" w:cs="Arial"/>
          <w:b/>
          <w:sz w:val="20"/>
          <w:szCs w:val="20"/>
          <w:lang w:val="en-GB"/>
        </w:rPr>
      </w:pPr>
      <w:r w:rsidRPr="00E91426">
        <w:rPr>
          <w:rFonts w:ascii="Arial" w:eastAsia="Calibri" w:hAnsi="Arial" w:cs="Arial"/>
          <w:b/>
          <w:sz w:val="20"/>
          <w:szCs w:val="20"/>
          <w:lang w:val="en-GB"/>
        </w:rPr>
        <w:t>Note 1.6.3 De-recognition</w:t>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p>
    <w:p w14:paraId="187D3A99"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Assets intended for disposal are reclassified as ‘held for sale’ once the criteria in IFRS 5 are met. The sale must be highly probable and the asset available for immediate sale in its present condition.</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173DBE13"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lastRenderedPageBreak/>
        <w:t>Following reclassification, the assets are measured at the lower of their existing carrying amount and their ‘fair value less costs to sell’.  Depreciation ceases to be charged and the assets are not revalued, except where the 'fair value less costs to sell' falls below the carrying amount. Assets are de-recognised when all material sale contract conditions have been met.</w:t>
      </w:r>
    </w:p>
    <w:p w14:paraId="36B1A51C"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Property, plant and equipment which is to be scrapped or demolished does not qualify for recognition as ‘held for sale’ and instead is retained as an operational asset and the asset’s useful life is adjusted. The asset is de-recognised when scrapping or demolition occurs.</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58180494" w14:textId="77777777" w:rsidR="00E91426" w:rsidRPr="00E91426" w:rsidRDefault="00E91426" w:rsidP="00E91426">
      <w:pPr>
        <w:widowControl/>
        <w:spacing w:after="160" w:line="259" w:lineRule="auto"/>
        <w:jc w:val="both"/>
        <w:rPr>
          <w:rFonts w:ascii="Arial" w:eastAsia="Calibri" w:hAnsi="Arial" w:cs="Arial"/>
          <w:b/>
          <w:sz w:val="20"/>
          <w:szCs w:val="20"/>
          <w:lang w:val="en-GB"/>
        </w:rPr>
      </w:pPr>
      <w:r w:rsidRPr="00E91426">
        <w:rPr>
          <w:rFonts w:ascii="Arial" w:eastAsia="Calibri" w:hAnsi="Arial" w:cs="Arial"/>
          <w:b/>
          <w:sz w:val="20"/>
          <w:szCs w:val="20"/>
          <w:lang w:val="en-GB"/>
        </w:rPr>
        <w:t xml:space="preserve">Note 1.6.4 Donated and grant funded assets </w:t>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p>
    <w:p w14:paraId="2C7480B4"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Donated and grant funded property, plant and equipment assets are capitalised at their fair value on receipt. The donation/grant is credited to income at the same time, unless the donor has imposed a condition that the future economic benefits embodied in the grant are to be consumed in a manner specified by the donor, in which case, the donation/grant is deferred within liabilities and is carried forward to future financial years to the extent that the condition has not yet been met.</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0C7A3231"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The donated and grant funded assets are subsequently accounted for in the same manner as other items of property, plant and equipment.</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46E42923" w14:textId="77777777" w:rsidR="00E91426" w:rsidRPr="00E91426" w:rsidRDefault="00E91426" w:rsidP="00E91426">
      <w:pPr>
        <w:widowControl/>
        <w:spacing w:after="160" w:line="259" w:lineRule="auto"/>
        <w:jc w:val="both"/>
        <w:rPr>
          <w:rFonts w:ascii="Arial" w:eastAsia="Calibri" w:hAnsi="Arial" w:cs="Arial"/>
          <w:b/>
          <w:sz w:val="20"/>
          <w:szCs w:val="20"/>
          <w:lang w:val="en-GB"/>
        </w:rPr>
      </w:pPr>
      <w:r w:rsidRPr="00E91426">
        <w:rPr>
          <w:rFonts w:ascii="Arial" w:eastAsia="Calibri" w:hAnsi="Arial" w:cs="Arial"/>
          <w:b/>
          <w:sz w:val="20"/>
          <w:szCs w:val="20"/>
          <w:lang w:val="en-GB"/>
        </w:rPr>
        <w:t xml:space="preserve">Note 1.6.5 Useful lives of property, plant and equipment </w:t>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p>
    <w:p w14:paraId="3A0B0B6B"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Useful lives reflect the total life of an asset and not the remaining life of an asset. The range of useful lives are shown in the table below:</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2977"/>
        <w:gridCol w:w="1361"/>
      </w:tblGrid>
      <w:tr w:rsidR="00E91426" w:rsidRPr="00E91426" w14:paraId="024D14E5" w14:textId="77777777" w:rsidTr="00E91426">
        <w:tc>
          <w:tcPr>
            <w:tcW w:w="4678" w:type="dxa"/>
          </w:tcPr>
          <w:p w14:paraId="54C1CA55" w14:textId="77777777" w:rsidR="00E91426" w:rsidRPr="00E91426" w:rsidRDefault="00E91426" w:rsidP="00E91426">
            <w:pPr>
              <w:widowControl/>
              <w:jc w:val="both"/>
              <w:rPr>
                <w:rFonts w:ascii="Arial" w:eastAsia="Calibri" w:hAnsi="Arial" w:cs="Arial"/>
                <w:sz w:val="20"/>
                <w:szCs w:val="20"/>
                <w:lang w:val="en-GB"/>
              </w:rPr>
            </w:pPr>
          </w:p>
        </w:tc>
        <w:tc>
          <w:tcPr>
            <w:tcW w:w="2977" w:type="dxa"/>
          </w:tcPr>
          <w:p w14:paraId="297BFD24" w14:textId="77777777" w:rsidR="00E91426" w:rsidRPr="00E91426" w:rsidRDefault="00E91426" w:rsidP="00E91426">
            <w:pPr>
              <w:widowControl/>
              <w:jc w:val="both"/>
              <w:rPr>
                <w:rFonts w:ascii="Arial" w:eastAsia="Calibri" w:hAnsi="Arial" w:cs="Arial"/>
                <w:b/>
                <w:sz w:val="20"/>
                <w:szCs w:val="20"/>
                <w:lang w:val="en-GB"/>
              </w:rPr>
            </w:pPr>
            <w:r w:rsidRPr="00E91426">
              <w:rPr>
                <w:rFonts w:ascii="Arial" w:eastAsia="Calibri" w:hAnsi="Arial" w:cs="Arial"/>
                <w:b/>
                <w:sz w:val="20"/>
                <w:szCs w:val="20"/>
                <w:lang w:val="en-GB"/>
              </w:rPr>
              <w:t>Min Years</w:t>
            </w:r>
          </w:p>
        </w:tc>
        <w:tc>
          <w:tcPr>
            <w:tcW w:w="1361" w:type="dxa"/>
          </w:tcPr>
          <w:p w14:paraId="14AB14E3" w14:textId="77777777" w:rsidR="00E91426" w:rsidRPr="00E91426" w:rsidRDefault="00E91426" w:rsidP="00E91426">
            <w:pPr>
              <w:widowControl/>
              <w:jc w:val="both"/>
              <w:rPr>
                <w:rFonts w:ascii="Arial" w:eastAsia="Calibri" w:hAnsi="Arial" w:cs="Arial"/>
                <w:b/>
                <w:sz w:val="20"/>
                <w:szCs w:val="20"/>
                <w:lang w:val="en-GB"/>
              </w:rPr>
            </w:pPr>
            <w:r w:rsidRPr="00E91426">
              <w:rPr>
                <w:rFonts w:ascii="Arial" w:eastAsia="Calibri" w:hAnsi="Arial" w:cs="Arial"/>
                <w:b/>
                <w:sz w:val="20"/>
                <w:szCs w:val="20"/>
                <w:lang w:val="en-GB"/>
              </w:rPr>
              <w:t>Max Years</w:t>
            </w:r>
          </w:p>
        </w:tc>
      </w:tr>
      <w:tr w:rsidR="00E91426" w:rsidRPr="00E91426" w14:paraId="2BD693A0" w14:textId="77777777" w:rsidTr="00E91426">
        <w:tc>
          <w:tcPr>
            <w:tcW w:w="4678" w:type="dxa"/>
          </w:tcPr>
          <w:p w14:paraId="62275328" w14:textId="77777777" w:rsidR="00E91426" w:rsidRPr="00E91426" w:rsidRDefault="00E91426" w:rsidP="00E91426">
            <w:pPr>
              <w:widowControl/>
              <w:jc w:val="both"/>
              <w:rPr>
                <w:rFonts w:ascii="Arial" w:eastAsia="Calibri" w:hAnsi="Arial" w:cs="Arial"/>
                <w:sz w:val="20"/>
                <w:szCs w:val="20"/>
                <w:lang w:val="en-GB"/>
              </w:rPr>
            </w:pPr>
            <w:r w:rsidRPr="00E91426">
              <w:rPr>
                <w:rFonts w:ascii="Arial" w:eastAsia="Calibri" w:hAnsi="Arial" w:cs="Arial"/>
                <w:sz w:val="20"/>
                <w:szCs w:val="20"/>
                <w:lang w:val="en-GB"/>
              </w:rPr>
              <w:t>Buildings &amp; Dwellings</w:t>
            </w:r>
          </w:p>
        </w:tc>
        <w:tc>
          <w:tcPr>
            <w:tcW w:w="2977" w:type="dxa"/>
          </w:tcPr>
          <w:p w14:paraId="19AE07B1" w14:textId="77777777" w:rsidR="00E91426" w:rsidRPr="00E91426" w:rsidRDefault="00E91426" w:rsidP="00E91426">
            <w:pPr>
              <w:widowControl/>
              <w:jc w:val="both"/>
              <w:rPr>
                <w:rFonts w:ascii="Arial" w:eastAsia="Calibri" w:hAnsi="Arial" w:cs="Arial"/>
                <w:sz w:val="20"/>
                <w:szCs w:val="20"/>
                <w:lang w:val="en-GB"/>
              </w:rPr>
            </w:pPr>
            <w:r w:rsidRPr="00E91426">
              <w:rPr>
                <w:rFonts w:ascii="Arial" w:eastAsia="Calibri" w:hAnsi="Arial" w:cs="Arial"/>
                <w:sz w:val="20"/>
                <w:szCs w:val="20"/>
                <w:lang w:val="en-GB"/>
              </w:rPr>
              <w:t>More than 1</w:t>
            </w:r>
          </w:p>
        </w:tc>
        <w:tc>
          <w:tcPr>
            <w:tcW w:w="1361" w:type="dxa"/>
          </w:tcPr>
          <w:p w14:paraId="4469D9D5" w14:textId="77777777" w:rsidR="00E91426" w:rsidRPr="00E91426" w:rsidRDefault="00E91426" w:rsidP="00E91426">
            <w:pPr>
              <w:widowControl/>
              <w:jc w:val="both"/>
              <w:rPr>
                <w:rFonts w:ascii="Arial" w:eastAsia="Calibri" w:hAnsi="Arial" w:cs="Arial"/>
                <w:sz w:val="20"/>
                <w:szCs w:val="20"/>
                <w:lang w:val="en-GB"/>
              </w:rPr>
            </w:pPr>
            <w:r w:rsidRPr="00E91426">
              <w:rPr>
                <w:rFonts w:ascii="Arial" w:eastAsia="Calibri" w:hAnsi="Arial" w:cs="Arial"/>
                <w:sz w:val="20"/>
                <w:szCs w:val="20"/>
                <w:lang w:val="en-GB"/>
              </w:rPr>
              <w:t>80</w:t>
            </w:r>
          </w:p>
        </w:tc>
      </w:tr>
      <w:tr w:rsidR="00E91426" w:rsidRPr="00E91426" w14:paraId="1E4AB5F3" w14:textId="77777777" w:rsidTr="00E91426">
        <w:tc>
          <w:tcPr>
            <w:tcW w:w="4678" w:type="dxa"/>
          </w:tcPr>
          <w:p w14:paraId="61EA3365" w14:textId="77777777" w:rsidR="00E91426" w:rsidRPr="00E91426" w:rsidRDefault="00E91426" w:rsidP="00E91426">
            <w:pPr>
              <w:widowControl/>
              <w:jc w:val="both"/>
              <w:rPr>
                <w:rFonts w:ascii="Arial" w:eastAsia="Calibri" w:hAnsi="Arial" w:cs="Arial"/>
                <w:sz w:val="20"/>
                <w:szCs w:val="20"/>
                <w:lang w:val="en-GB"/>
              </w:rPr>
            </w:pPr>
            <w:r w:rsidRPr="00E91426">
              <w:rPr>
                <w:rFonts w:ascii="Arial" w:eastAsia="Calibri" w:hAnsi="Arial" w:cs="Arial"/>
                <w:sz w:val="20"/>
                <w:szCs w:val="20"/>
                <w:lang w:val="en-GB"/>
              </w:rPr>
              <w:t>Plant &amp; machinery</w:t>
            </w:r>
          </w:p>
        </w:tc>
        <w:tc>
          <w:tcPr>
            <w:tcW w:w="2977" w:type="dxa"/>
          </w:tcPr>
          <w:p w14:paraId="70C29476" w14:textId="77777777" w:rsidR="00E91426" w:rsidRPr="00E91426" w:rsidRDefault="00E91426" w:rsidP="00E91426">
            <w:pPr>
              <w:widowControl/>
              <w:jc w:val="both"/>
              <w:rPr>
                <w:rFonts w:ascii="Arial" w:eastAsia="Calibri" w:hAnsi="Arial" w:cs="Arial"/>
                <w:sz w:val="20"/>
                <w:szCs w:val="20"/>
                <w:lang w:val="en-GB"/>
              </w:rPr>
            </w:pPr>
            <w:r w:rsidRPr="00E91426">
              <w:rPr>
                <w:rFonts w:ascii="Arial" w:eastAsia="Calibri" w:hAnsi="Arial" w:cs="Arial"/>
                <w:sz w:val="20"/>
                <w:szCs w:val="20"/>
                <w:lang w:val="en-GB"/>
              </w:rPr>
              <w:t>5</w:t>
            </w:r>
          </w:p>
        </w:tc>
        <w:tc>
          <w:tcPr>
            <w:tcW w:w="1361" w:type="dxa"/>
          </w:tcPr>
          <w:p w14:paraId="73C66CD9" w14:textId="77777777" w:rsidR="00E91426" w:rsidRPr="00E91426" w:rsidRDefault="00E91426" w:rsidP="00E91426">
            <w:pPr>
              <w:widowControl/>
              <w:jc w:val="both"/>
              <w:rPr>
                <w:rFonts w:ascii="Arial" w:eastAsia="Calibri" w:hAnsi="Arial" w:cs="Arial"/>
                <w:sz w:val="20"/>
                <w:szCs w:val="20"/>
                <w:lang w:val="en-GB"/>
              </w:rPr>
            </w:pPr>
            <w:r w:rsidRPr="00E91426">
              <w:rPr>
                <w:rFonts w:ascii="Arial" w:eastAsia="Calibri" w:hAnsi="Arial" w:cs="Arial"/>
                <w:sz w:val="20"/>
                <w:szCs w:val="20"/>
                <w:lang w:val="en-GB"/>
              </w:rPr>
              <w:t>25</w:t>
            </w:r>
          </w:p>
        </w:tc>
      </w:tr>
      <w:tr w:rsidR="00E91426" w:rsidRPr="00E91426" w14:paraId="1AF653A4" w14:textId="77777777" w:rsidTr="00E91426">
        <w:tc>
          <w:tcPr>
            <w:tcW w:w="4678" w:type="dxa"/>
          </w:tcPr>
          <w:p w14:paraId="3332DB28" w14:textId="77777777" w:rsidR="00E91426" w:rsidRPr="00E91426" w:rsidRDefault="00E91426" w:rsidP="00E91426">
            <w:pPr>
              <w:widowControl/>
              <w:jc w:val="both"/>
              <w:rPr>
                <w:rFonts w:ascii="Arial" w:eastAsia="Calibri" w:hAnsi="Arial" w:cs="Arial"/>
                <w:sz w:val="20"/>
                <w:szCs w:val="20"/>
                <w:lang w:val="en-GB"/>
              </w:rPr>
            </w:pPr>
            <w:r w:rsidRPr="00E91426">
              <w:rPr>
                <w:rFonts w:ascii="Arial" w:eastAsia="Calibri" w:hAnsi="Arial" w:cs="Arial"/>
                <w:sz w:val="20"/>
                <w:szCs w:val="20"/>
                <w:lang w:val="en-GB"/>
              </w:rPr>
              <w:t>Transport (Vehicles)</w:t>
            </w:r>
          </w:p>
        </w:tc>
        <w:tc>
          <w:tcPr>
            <w:tcW w:w="2977" w:type="dxa"/>
          </w:tcPr>
          <w:p w14:paraId="410E69FE" w14:textId="77777777" w:rsidR="00E91426" w:rsidRPr="00E91426" w:rsidRDefault="00E91426" w:rsidP="00E91426">
            <w:pPr>
              <w:widowControl/>
              <w:jc w:val="both"/>
              <w:rPr>
                <w:rFonts w:ascii="Arial" w:eastAsia="Calibri" w:hAnsi="Arial" w:cs="Arial"/>
                <w:sz w:val="20"/>
                <w:szCs w:val="20"/>
                <w:lang w:val="en-GB"/>
              </w:rPr>
            </w:pPr>
            <w:r w:rsidRPr="00E91426">
              <w:rPr>
                <w:rFonts w:ascii="Arial" w:eastAsia="Calibri" w:hAnsi="Arial" w:cs="Arial"/>
                <w:sz w:val="20"/>
                <w:szCs w:val="20"/>
                <w:lang w:val="en-GB"/>
              </w:rPr>
              <w:t>7</w:t>
            </w:r>
          </w:p>
        </w:tc>
        <w:tc>
          <w:tcPr>
            <w:tcW w:w="1361" w:type="dxa"/>
          </w:tcPr>
          <w:p w14:paraId="610514A8" w14:textId="77777777" w:rsidR="00E91426" w:rsidRPr="00E91426" w:rsidRDefault="00E91426" w:rsidP="00E91426">
            <w:pPr>
              <w:widowControl/>
              <w:jc w:val="both"/>
              <w:rPr>
                <w:rFonts w:ascii="Arial" w:eastAsia="Calibri" w:hAnsi="Arial" w:cs="Arial"/>
                <w:sz w:val="20"/>
                <w:szCs w:val="20"/>
                <w:lang w:val="en-GB"/>
              </w:rPr>
            </w:pPr>
            <w:r w:rsidRPr="00E91426">
              <w:rPr>
                <w:rFonts w:ascii="Arial" w:eastAsia="Calibri" w:hAnsi="Arial" w:cs="Arial"/>
                <w:sz w:val="20"/>
                <w:szCs w:val="20"/>
                <w:lang w:val="en-GB"/>
              </w:rPr>
              <w:t>7</w:t>
            </w:r>
          </w:p>
        </w:tc>
      </w:tr>
      <w:tr w:rsidR="00E91426" w:rsidRPr="00E91426" w14:paraId="766F55BE" w14:textId="77777777" w:rsidTr="00E91426">
        <w:tc>
          <w:tcPr>
            <w:tcW w:w="4678" w:type="dxa"/>
          </w:tcPr>
          <w:p w14:paraId="76F36F8D" w14:textId="77777777" w:rsidR="00E91426" w:rsidRPr="00E91426" w:rsidRDefault="00E91426" w:rsidP="00E91426">
            <w:pPr>
              <w:widowControl/>
              <w:jc w:val="both"/>
              <w:rPr>
                <w:rFonts w:ascii="Arial" w:eastAsia="Calibri" w:hAnsi="Arial" w:cs="Arial"/>
                <w:sz w:val="20"/>
                <w:szCs w:val="20"/>
                <w:lang w:val="en-GB"/>
              </w:rPr>
            </w:pPr>
            <w:r w:rsidRPr="00E91426">
              <w:rPr>
                <w:rFonts w:ascii="Arial" w:eastAsia="Calibri" w:hAnsi="Arial" w:cs="Arial"/>
                <w:sz w:val="20"/>
                <w:szCs w:val="20"/>
                <w:lang w:val="en-GB"/>
              </w:rPr>
              <w:t>Information technology</w:t>
            </w:r>
          </w:p>
        </w:tc>
        <w:tc>
          <w:tcPr>
            <w:tcW w:w="2977" w:type="dxa"/>
          </w:tcPr>
          <w:p w14:paraId="740B5E2B" w14:textId="77777777" w:rsidR="00E91426" w:rsidRPr="00E91426" w:rsidRDefault="00E91426" w:rsidP="00E91426">
            <w:pPr>
              <w:widowControl/>
              <w:jc w:val="both"/>
              <w:rPr>
                <w:rFonts w:ascii="Arial" w:eastAsia="Calibri" w:hAnsi="Arial" w:cs="Arial"/>
                <w:sz w:val="20"/>
                <w:szCs w:val="20"/>
                <w:lang w:val="en-GB"/>
              </w:rPr>
            </w:pPr>
            <w:r w:rsidRPr="00E91426">
              <w:rPr>
                <w:rFonts w:ascii="Arial" w:eastAsia="Calibri" w:hAnsi="Arial" w:cs="Arial"/>
                <w:sz w:val="20"/>
                <w:szCs w:val="20"/>
                <w:lang w:val="en-GB"/>
              </w:rPr>
              <w:t>5</w:t>
            </w:r>
          </w:p>
        </w:tc>
        <w:tc>
          <w:tcPr>
            <w:tcW w:w="1361" w:type="dxa"/>
          </w:tcPr>
          <w:p w14:paraId="732891D4" w14:textId="77777777" w:rsidR="00E91426" w:rsidRPr="00E91426" w:rsidRDefault="00E91426" w:rsidP="00E91426">
            <w:pPr>
              <w:widowControl/>
              <w:jc w:val="both"/>
              <w:rPr>
                <w:rFonts w:ascii="Arial" w:eastAsia="Calibri" w:hAnsi="Arial" w:cs="Arial"/>
                <w:sz w:val="20"/>
                <w:szCs w:val="20"/>
                <w:lang w:val="en-GB"/>
              </w:rPr>
            </w:pPr>
            <w:r w:rsidRPr="00E91426">
              <w:rPr>
                <w:rFonts w:ascii="Arial" w:eastAsia="Calibri" w:hAnsi="Arial" w:cs="Arial"/>
                <w:sz w:val="20"/>
                <w:szCs w:val="20"/>
                <w:lang w:val="en-GB"/>
              </w:rPr>
              <w:t>8</w:t>
            </w:r>
          </w:p>
        </w:tc>
      </w:tr>
      <w:tr w:rsidR="00E91426" w:rsidRPr="00E91426" w14:paraId="6618204A" w14:textId="77777777" w:rsidTr="00E91426">
        <w:tc>
          <w:tcPr>
            <w:tcW w:w="4678" w:type="dxa"/>
          </w:tcPr>
          <w:p w14:paraId="2839513C" w14:textId="77777777" w:rsidR="00E91426" w:rsidRPr="00E91426" w:rsidRDefault="00E91426" w:rsidP="00E91426">
            <w:pPr>
              <w:widowControl/>
              <w:jc w:val="both"/>
              <w:rPr>
                <w:rFonts w:ascii="Arial" w:eastAsia="Calibri" w:hAnsi="Arial" w:cs="Arial"/>
                <w:sz w:val="20"/>
                <w:szCs w:val="20"/>
                <w:lang w:val="en-GB"/>
              </w:rPr>
            </w:pPr>
            <w:r w:rsidRPr="00E91426">
              <w:rPr>
                <w:rFonts w:ascii="Arial" w:eastAsia="Calibri" w:hAnsi="Arial" w:cs="Arial"/>
                <w:sz w:val="20"/>
                <w:szCs w:val="20"/>
                <w:lang w:val="en-GB"/>
              </w:rPr>
              <w:t>Furniture &amp; fittings</w:t>
            </w:r>
          </w:p>
        </w:tc>
        <w:tc>
          <w:tcPr>
            <w:tcW w:w="2977" w:type="dxa"/>
          </w:tcPr>
          <w:p w14:paraId="39EE4456" w14:textId="77777777" w:rsidR="00E91426" w:rsidRPr="00E91426" w:rsidRDefault="00E91426" w:rsidP="00E91426">
            <w:pPr>
              <w:widowControl/>
              <w:jc w:val="both"/>
              <w:rPr>
                <w:rFonts w:ascii="Arial" w:eastAsia="Calibri" w:hAnsi="Arial" w:cs="Arial"/>
                <w:sz w:val="20"/>
                <w:szCs w:val="20"/>
                <w:lang w:val="en-GB"/>
              </w:rPr>
            </w:pPr>
            <w:r w:rsidRPr="00E91426">
              <w:rPr>
                <w:rFonts w:ascii="Arial" w:eastAsia="Calibri" w:hAnsi="Arial" w:cs="Arial"/>
                <w:sz w:val="20"/>
                <w:szCs w:val="20"/>
                <w:lang w:val="en-GB"/>
              </w:rPr>
              <w:t>7</w:t>
            </w:r>
          </w:p>
        </w:tc>
        <w:tc>
          <w:tcPr>
            <w:tcW w:w="1361" w:type="dxa"/>
          </w:tcPr>
          <w:p w14:paraId="04C07368" w14:textId="77777777" w:rsidR="00E91426" w:rsidRPr="00E91426" w:rsidRDefault="00E91426" w:rsidP="00E91426">
            <w:pPr>
              <w:widowControl/>
              <w:jc w:val="both"/>
              <w:rPr>
                <w:rFonts w:ascii="Arial" w:eastAsia="Calibri" w:hAnsi="Arial" w:cs="Arial"/>
                <w:sz w:val="20"/>
                <w:szCs w:val="20"/>
                <w:lang w:val="en-GB"/>
              </w:rPr>
            </w:pPr>
            <w:r w:rsidRPr="00E91426">
              <w:rPr>
                <w:rFonts w:ascii="Arial" w:eastAsia="Calibri" w:hAnsi="Arial" w:cs="Arial"/>
                <w:sz w:val="20"/>
                <w:szCs w:val="20"/>
                <w:lang w:val="en-GB"/>
              </w:rPr>
              <w:t>10</w:t>
            </w:r>
          </w:p>
        </w:tc>
      </w:tr>
    </w:tbl>
    <w:p w14:paraId="469BA9F9"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5CD48F4B"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b/>
          <w:sz w:val="20"/>
          <w:szCs w:val="20"/>
          <w:lang w:val="en-GB"/>
        </w:rPr>
        <w:t xml:space="preserve">Note 1.7 Inventories </w:t>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p>
    <w:p w14:paraId="618A2848"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Inventories are valued at the lower of cost and net realisable value. The cost of inventories is measured using the first in, first out (FIFO) method.</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0C382B8D"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Between 2020/21 and 2023/24 the Trust received inventories including personal protective equipment from the Department of Health and Social Care at nil cost. In line with the GAM and applying the principles of the IFRS Conceptual Framework, the Trust has accounted for the receipt of these inventories at a deemed cost, reflecting the best available approximation of an imputed market value for the transaction based on the cost of acquisition by the Department. Distribution of inventories by the Department ceased in March 2024.</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61EB6815" w14:textId="77777777" w:rsidR="00E91426" w:rsidRPr="00E91426" w:rsidRDefault="00E91426" w:rsidP="00E91426">
      <w:pPr>
        <w:widowControl/>
        <w:spacing w:after="160" w:line="259" w:lineRule="auto"/>
        <w:jc w:val="both"/>
        <w:rPr>
          <w:rFonts w:ascii="Arial" w:eastAsia="Calibri" w:hAnsi="Arial" w:cs="Arial"/>
          <w:b/>
          <w:sz w:val="20"/>
          <w:szCs w:val="20"/>
          <w:lang w:val="en-GB"/>
        </w:rPr>
      </w:pPr>
      <w:r w:rsidRPr="00E91426">
        <w:rPr>
          <w:rFonts w:ascii="Arial" w:eastAsia="Calibri" w:hAnsi="Arial" w:cs="Arial"/>
          <w:b/>
          <w:sz w:val="20"/>
          <w:szCs w:val="20"/>
          <w:lang w:val="en-GB"/>
        </w:rPr>
        <w:t>Note 1.8 Cash and cash equivalents</w:t>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p>
    <w:p w14:paraId="1F04DFBF"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Cash is cash in hand and deposits with any financial institution repayable without penalty on notice of not more than 24 hours. Cash equivalents are investments that mature in 3 months or less from the date of acquisition and that are readily convertible to known amounts of cash with insignificant risk of change in value.</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19086E5E"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In the Statement of Cash Flows, cash and cash equivalents are shown net of bank overdrafts that are repayable on demand and that form an integral part of the Trust’s cash management. Cash, bank and overdraft balances are recorded at current values.</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737EC6AA" w14:textId="77777777" w:rsidR="00E91426" w:rsidRPr="00E91426" w:rsidRDefault="00E91426" w:rsidP="00E91426">
      <w:pPr>
        <w:widowControl/>
        <w:spacing w:after="160" w:line="259" w:lineRule="auto"/>
        <w:jc w:val="both"/>
        <w:rPr>
          <w:rFonts w:ascii="Arial" w:eastAsia="Calibri" w:hAnsi="Arial" w:cs="Arial"/>
          <w:b/>
          <w:sz w:val="20"/>
          <w:szCs w:val="20"/>
          <w:lang w:val="en-GB"/>
        </w:rPr>
      </w:pPr>
    </w:p>
    <w:p w14:paraId="619862A3" w14:textId="77777777" w:rsidR="00E91426" w:rsidRPr="00E91426" w:rsidRDefault="00E91426" w:rsidP="00E91426">
      <w:pPr>
        <w:widowControl/>
        <w:spacing w:after="160" w:line="259" w:lineRule="auto"/>
        <w:jc w:val="both"/>
        <w:rPr>
          <w:rFonts w:ascii="Arial" w:eastAsia="Calibri" w:hAnsi="Arial" w:cs="Arial"/>
          <w:b/>
          <w:sz w:val="20"/>
          <w:szCs w:val="20"/>
          <w:lang w:val="en-GB"/>
        </w:rPr>
      </w:pPr>
    </w:p>
    <w:p w14:paraId="2E0D0339" w14:textId="77777777" w:rsidR="00E91426" w:rsidRPr="00E91426" w:rsidRDefault="00E91426" w:rsidP="00E91426">
      <w:pPr>
        <w:widowControl/>
        <w:spacing w:after="160" w:line="259" w:lineRule="auto"/>
        <w:jc w:val="both"/>
        <w:rPr>
          <w:rFonts w:ascii="Arial" w:eastAsia="Calibri" w:hAnsi="Arial" w:cs="Arial"/>
          <w:b/>
          <w:sz w:val="20"/>
          <w:szCs w:val="20"/>
          <w:lang w:val="en-GB"/>
        </w:rPr>
      </w:pPr>
      <w:r w:rsidRPr="00E91426">
        <w:rPr>
          <w:rFonts w:ascii="Arial" w:eastAsia="Calibri" w:hAnsi="Arial" w:cs="Arial"/>
          <w:b/>
          <w:sz w:val="20"/>
          <w:szCs w:val="20"/>
          <w:lang w:val="en-GB"/>
        </w:rPr>
        <w:t>Note 1.9 Financial assets and financial liabilities</w:t>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p>
    <w:p w14:paraId="44416CC9" w14:textId="77777777" w:rsidR="00E91426" w:rsidRPr="00E91426" w:rsidRDefault="00E91426" w:rsidP="00E91426">
      <w:pPr>
        <w:widowControl/>
        <w:spacing w:after="160" w:line="259" w:lineRule="auto"/>
        <w:jc w:val="both"/>
        <w:rPr>
          <w:rFonts w:ascii="Arial" w:eastAsia="Calibri" w:hAnsi="Arial" w:cs="Arial"/>
          <w:b/>
          <w:sz w:val="20"/>
          <w:szCs w:val="20"/>
          <w:lang w:val="en-GB"/>
        </w:rPr>
      </w:pPr>
      <w:r w:rsidRPr="00E91426">
        <w:rPr>
          <w:rFonts w:ascii="Arial" w:eastAsia="Calibri" w:hAnsi="Arial" w:cs="Arial"/>
          <w:b/>
          <w:sz w:val="20"/>
          <w:szCs w:val="20"/>
          <w:lang w:val="en-GB"/>
        </w:rPr>
        <w:t>Note 1.9.1 Recognition</w:t>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p>
    <w:p w14:paraId="1CF73503"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lastRenderedPageBreak/>
        <w:t>Financial assets and financial liabilities arise where the Trust is party to the contractual provisions of a financial instrument, and as a result has a legal right to receive or a legal obligation to pay cash or another financial instrument. The GAM expands the definition of a contract to include legislation and regulations which give rise to arrangements that in all other respects would be a financial instrument and do not give rise to transactions classified as a tax by ONS.</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52B96D56"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This includes the purchase or sale of non-financial items (such as goods or services), which are entered into in accordance with the Trust’s normal purchase, sale or usage requirements and are recognised when, and to the extent which, performance occurs, i.e., when receipt or delivery of the goods or services is made.</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2EA44D64" w14:textId="77777777" w:rsidR="00E91426" w:rsidRPr="00E91426" w:rsidRDefault="00E91426" w:rsidP="00E91426">
      <w:pPr>
        <w:widowControl/>
        <w:spacing w:after="160" w:line="259" w:lineRule="auto"/>
        <w:jc w:val="both"/>
        <w:rPr>
          <w:rFonts w:ascii="Arial" w:eastAsia="Calibri" w:hAnsi="Arial" w:cs="Arial"/>
          <w:b/>
          <w:sz w:val="20"/>
          <w:szCs w:val="20"/>
          <w:lang w:val="en-GB"/>
        </w:rPr>
      </w:pPr>
      <w:r w:rsidRPr="00E91426">
        <w:rPr>
          <w:rFonts w:ascii="Arial" w:eastAsia="Calibri" w:hAnsi="Arial" w:cs="Arial"/>
          <w:b/>
          <w:sz w:val="20"/>
          <w:szCs w:val="20"/>
          <w:lang w:val="en-GB"/>
        </w:rPr>
        <w:t>Note 1.9.2 Classification and measurement</w:t>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p>
    <w:p w14:paraId="7039C44D"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Financial assets and financial liabilities are initially measured at fair value plus or minus directly attributable transaction costs except where the asset or liability is not measured at fair value through income and expenditure. Fair value is taken as the transaction price, or otherwise determined by reference to quoted market prices or valuation techniques.</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732CA90B"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Financial assets or financial liabilities in respect of assets acquired or disposed of through leasing arrangements are recognised and measured in accordance with the accounting policy for leases described below.</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135DFA91"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Financial assets are classified as subsequently measured at amortised cost.</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176251FD"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Financial liabilities classified as subsequently measured at amortised cost.</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31F00B10" w14:textId="77777777" w:rsidR="00E91426" w:rsidRPr="00E91426" w:rsidRDefault="00E91426" w:rsidP="00E91426">
      <w:pPr>
        <w:widowControl/>
        <w:spacing w:after="160" w:line="259" w:lineRule="auto"/>
        <w:jc w:val="both"/>
        <w:rPr>
          <w:rFonts w:ascii="Arial" w:eastAsia="Calibri" w:hAnsi="Arial" w:cs="Arial"/>
          <w:b/>
          <w:sz w:val="20"/>
          <w:szCs w:val="20"/>
          <w:lang w:val="en-GB"/>
        </w:rPr>
      </w:pPr>
      <w:r w:rsidRPr="00E91426">
        <w:rPr>
          <w:rFonts w:ascii="Arial" w:eastAsia="Calibri" w:hAnsi="Arial" w:cs="Arial"/>
          <w:b/>
          <w:sz w:val="20"/>
          <w:szCs w:val="20"/>
          <w:lang w:val="en-GB"/>
        </w:rPr>
        <w:t>Financial assets and financial liabilities at amortised cost</w:t>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p>
    <w:p w14:paraId="60E52879"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Financial assets and financial liabilities at amortised cost are those held with the objective of collecting contractual cash flows and where cash flows are solely payments of principal and interest. This includes cash equivalents, contract and other receivables, trade and other payables, rights and obligations under lease arrangements and loans receivable and payable.</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524E849F"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After initial recognition, these financial assets and financial liabilities are measured at amortised cost using the effective interest method less any impairment (for financial assets). The effective interest rate is the rate that exactly discounts estimated future cash payments or receipts through the expected life of the financial asset or financial liability to the gross carrying amount of a financial asset or to the amortised cost of a financial liability.</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2942995C"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 xml:space="preserve">Interest revenue or expense is calculated by applying the effective interest rate to the gross carrying amount of a financial asset or amortised cost of a financial liability and recognised in the Statement of Comprehensive Income and a financing income or expense.  In the case of loans held from the Department of Health and Social Care, the effective interest rate is the nominal rate of interest charged on the loan. </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7B0230D7" w14:textId="77777777" w:rsidR="00E91426" w:rsidRPr="00E91426" w:rsidRDefault="00E91426" w:rsidP="00E91426">
      <w:pPr>
        <w:widowControl/>
        <w:spacing w:after="160" w:line="259" w:lineRule="auto"/>
        <w:jc w:val="both"/>
        <w:rPr>
          <w:rFonts w:ascii="Arial" w:eastAsia="Calibri" w:hAnsi="Arial" w:cs="Arial"/>
          <w:b/>
          <w:sz w:val="20"/>
          <w:szCs w:val="20"/>
          <w:lang w:val="en-GB"/>
        </w:rPr>
      </w:pPr>
      <w:r w:rsidRPr="00E91426">
        <w:rPr>
          <w:rFonts w:ascii="Arial" w:eastAsia="Calibri" w:hAnsi="Arial" w:cs="Arial"/>
          <w:b/>
          <w:sz w:val="20"/>
          <w:szCs w:val="20"/>
          <w:lang w:val="en-GB"/>
        </w:rPr>
        <w:t>Impairment of financial assets</w:t>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p>
    <w:p w14:paraId="1E18A0D1"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 xml:space="preserve">For all financial assets measured at amortised cost including lease receivables, contract receivables and contract assets the Trust recognises an allowance for expected credit losses. </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31DE3D61"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The Trust adopts the simplified approach to impairment for contract and other receivables, contract assets and lease receivables, measuring expected losses as at an amount equal to lifetime expected losses. For other financial assets, the loss allowance is initially measured at an amount equal to 12-month expected credit losses (stage 1) and subsequently at an amount equal to lifetime expected credit losses if the credit risk assessed for the financial asset significantly increases (stage 2).</w:t>
      </w:r>
      <w:r w:rsidRPr="00E91426">
        <w:rPr>
          <w:rFonts w:ascii="Arial" w:eastAsia="Calibri" w:hAnsi="Arial" w:cs="Arial"/>
          <w:sz w:val="20"/>
          <w:szCs w:val="20"/>
          <w:lang w:val="en-GB"/>
        </w:rPr>
        <w:tab/>
      </w:r>
    </w:p>
    <w:p w14:paraId="35E588B5"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 xml:space="preserve">The Trust has developed a model for Non DHSC group bodies’ contract and other receivables which assesses the liability by category and debtor type factoring in any known specifics to calculate the value of impairment.   </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41BA52C2"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This DHSC provides a guarantee of last resort against the debts of DHSC group bodies (excluding NHS charities); in accordance with the GAM these liabilities have been deemed risk free so no credit losses are calculated in relation to these liabilities.</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2405AF80"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lastRenderedPageBreak/>
        <w:t xml:space="preserve">For financial assets that have become credit impaired since initial recognition (stage 3), expected credit losses at the reporting date are measured as the difference between the asset’s gross carrying amount and the present value of estimated future cash flows discounted at the financial asset’s original effective interest rate. </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092A7EDF"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Expected losses are charged to operating expenditure within the Statement of Comprehensive Income and reduce the net carrying value of the financial asset in the Statement of Financial Position.</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3E51DB6C" w14:textId="77777777" w:rsidR="00E91426" w:rsidRPr="00E91426" w:rsidRDefault="00E91426" w:rsidP="00E91426">
      <w:pPr>
        <w:widowControl/>
        <w:spacing w:after="160" w:line="259" w:lineRule="auto"/>
        <w:jc w:val="both"/>
        <w:rPr>
          <w:rFonts w:ascii="Arial" w:eastAsia="Calibri" w:hAnsi="Arial" w:cs="Arial"/>
          <w:b/>
          <w:sz w:val="20"/>
          <w:szCs w:val="20"/>
          <w:lang w:val="en-GB"/>
        </w:rPr>
      </w:pPr>
      <w:r w:rsidRPr="00E91426">
        <w:rPr>
          <w:rFonts w:ascii="Arial" w:eastAsia="Calibri" w:hAnsi="Arial" w:cs="Arial"/>
          <w:b/>
          <w:sz w:val="20"/>
          <w:szCs w:val="20"/>
          <w:lang w:val="en-GB"/>
        </w:rPr>
        <w:t>Note 1.9.3 Derecognition</w:t>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p>
    <w:p w14:paraId="655B90BA"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Financial assets are de-recognised when the contractual rights to receive cash flows from the assets have expired or the Trust has transferred substantially all the risks and rewards of ownership.</w:t>
      </w:r>
    </w:p>
    <w:p w14:paraId="04CC2F41"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Financial liabilities are de-recognised when the obligation is discharged, cancelled or expires.</w:t>
      </w:r>
      <w:r w:rsidRPr="00E91426">
        <w:rPr>
          <w:rFonts w:ascii="Arial" w:eastAsia="Calibri" w:hAnsi="Arial" w:cs="Arial"/>
          <w:sz w:val="20"/>
          <w:szCs w:val="20"/>
          <w:lang w:val="en-GB"/>
        </w:rPr>
        <w:tab/>
      </w:r>
    </w:p>
    <w:p w14:paraId="283D7182" w14:textId="77777777" w:rsidR="00E91426" w:rsidRPr="00E91426" w:rsidRDefault="00E91426" w:rsidP="00E91426">
      <w:pPr>
        <w:widowControl/>
        <w:spacing w:after="160" w:line="259" w:lineRule="auto"/>
        <w:jc w:val="both"/>
        <w:rPr>
          <w:rFonts w:ascii="Arial" w:eastAsia="Calibri" w:hAnsi="Arial" w:cs="Arial"/>
          <w:b/>
          <w:sz w:val="20"/>
          <w:szCs w:val="20"/>
          <w:lang w:val="en-GB"/>
        </w:rPr>
      </w:pPr>
      <w:r w:rsidRPr="00E91426">
        <w:rPr>
          <w:rFonts w:ascii="Arial" w:eastAsia="Calibri" w:hAnsi="Arial" w:cs="Arial"/>
          <w:b/>
          <w:sz w:val="20"/>
          <w:szCs w:val="20"/>
          <w:lang w:val="en-GB"/>
        </w:rPr>
        <w:t>Note 1.10 Leases</w:t>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p>
    <w:p w14:paraId="58385819"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A lease is a contract or part of a contract that conveys the right to use an asset for a period of time in exchange for consideration. An adaptation of the relevant accounting standard by HM Treasury for the public sector means that for NHS bodies, this includes lease-like arrangements with other public sector entities that do not take the legal form of a contract. It also includes peppercorn leases where consideration paid is nil or nominal (significantly below market value) but in all other respects meet the definition of a lease. The trust does not apply lease accounting to new contracts for the use of intangible assets.</w:t>
      </w:r>
    </w:p>
    <w:p w14:paraId="0498A90D" w14:textId="77777777" w:rsidR="00E91426" w:rsidRPr="00E91426" w:rsidRDefault="00E91426" w:rsidP="00E91426">
      <w:pPr>
        <w:widowControl/>
        <w:spacing w:after="160" w:line="259" w:lineRule="auto"/>
        <w:jc w:val="both"/>
        <w:rPr>
          <w:rFonts w:ascii="Arial" w:eastAsia="Calibri" w:hAnsi="Arial" w:cs="Arial"/>
          <w:b/>
          <w:sz w:val="20"/>
          <w:szCs w:val="20"/>
          <w:lang w:val="en-GB"/>
        </w:rPr>
      </w:pPr>
      <w:r w:rsidRPr="00E91426">
        <w:rPr>
          <w:rFonts w:ascii="Arial" w:eastAsia="Calibri" w:hAnsi="Arial" w:cs="Arial"/>
          <w:sz w:val="20"/>
          <w:szCs w:val="20"/>
          <w:lang w:val="en-GB"/>
        </w:rPr>
        <w:t>The Trust determines the term of the lease term with reference to the non-cancellable period and any options to extend or terminate the lease which the Trust is reasonably certain to exercise.</w:t>
      </w:r>
    </w:p>
    <w:p w14:paraId="6F9A15C3"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b/>
          <w:sz w:val="20"/>
          <w:szCs w:val="20"/>
          <w:lang w:val="en-GB"/>
        </w:rPr>
        <w:t xml:space="preserve">Note 1.10.1 The Trust as lessee </w:t>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p>
    <w:p w14:paraId="0541C2F8" w14:textId="77777777" w:rsidR="00E91426" w:rsidRPr="00E91426" w:rsidRDefault="00E91426" w:rsidP="00E91426">
      <w:pPr>
        <w:widowControl/>
        <w:spacing w:after="160" w:line="259" w:lineRule="auto"/>
        <w:jc w:val="both"/>
        <w:rPr>
          <w:rFonts w:ascii="Arial" w:eastAsia="Calibri" w:hAnsi="Arial" w:cs="Arial"/>
          <w:b/>
          <w:i/>
          <w:sz w:val="20"/>
          <w:szCs w:val="20"/>
          <w:lang w:val="en-GB"/>
        </w:rPr>
      </w:pPr>
      <w:r w:rsidRPr="00E91426">
        <w:rPr>
          <w:rFonts w:ascii="Arial" w:eastAsia="Calibri" w:hAnsi="Arial" w:cs="Arial"/>
          <w:b/>
          <w:i/>
          <w:sz w:val="20"/>
          <w:szCs w:val="20"/>
          <w:lang w:val="en-GB"/>
        </w:rPr>
        <w:t>Initial recognition and measurement</w:t>
      </w:r>
      <w:r w:rsidRPr="00E91426">
        <w:rPr>
          <w:rFonts w:ascii="Arial" w:eastAsia="Calibri" w:hAnsi="Arial" w:cs="Arial"/>
          <w:b/>
          <w:i/>
          <w:sz w:val="20"/>
          <w:szCs w:val="20"/>
          <w:lang w:val="en-GB"/>
        </w:rPr>
        <w:tab/>
      </w:r>
      <w:r w:rsidRPr="00E91426">
        <w:rPr>
          <w:rFonts w:ascii="Arial" w:eastAsia="Calibri" w:hAnsi="Arial" w:cs="Arial"/>
          <w:b/>
          <w:i/>
          <w:sz w:val="20"/>
          <w:szCs w:val="20"/>
          <w:lang w:val="en-GB"/>
        </w:rPr>
        <w:tab/>
      </w:r>
    </w:p>
    <w:p w14:paraId="46E15193"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At the commencement date of the lease, being when the asset is made available for use, the Trust recognises a right of use asset and a lease liability.</w:t>
      </w:r>
    </w:p>
    <w:p w14:paraId="4D03580E"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The right of use asset is recognised at cost comprising the lease liability, any lease payments made before or at commencement, any direct costs incurred by the lessee, less any cash lease incentives received. It also includes any estimate of costs to be incurred restoring the site or underlying asset on completion of the lease term.</w:t>
      </w:r>
    </w:p>
    <w:p w14:paraId="14560142"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The lease liability is initially measured at the present value of future lease payments discounted at the interest rate implicit in the lease. Lease payments includes fixed lease payments, variable lease payments dependent on an index or rate and amounts payable under residual value guarantees. It also includes amounts payable for purchase options and termination penalties where these options are reasonably certain to be exercised.</w:t>
      </w:r>
    </w:p>
    <w:p w14:paraId="427AF13B"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 xml:space="preserve">Where an implicit rate cannot be readily determined, the Trust’s incremental borrowing rate is applied. This rate is determined by HM Treasury annually for each calendar year. A nominal rate of 4.72% applied to new leases commencing in 2024 and 4.81% to new leases commencing in 2025. </w:t>
      </w:r>
    </w:p>
    <w:p w14:paraId="01853D61"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The trust does not apply the above recognition requirements to leases with a term of 12 months or less or to leases where the value of the underlying asset is below £5,000, excluding any irrecoverable VAT.  Lease payments associated with these leases are expensed on a straight-line basis over the lease term. Irrecoverable VAT on lease payments is expensed as it falls due.</w:t>
      </w:r>
    </w:p>
    <w:p w14:paraId="6F9056A7" w14:textId="77777777" w:rsidR="00E91426" w:rsidRPr="00E91426" w:rsidRDefault="00E91426" w:rsidP="00E91426">
      <w:pPr>
        <w:widowControl/>
        <w:spacing w:after="160" w:line="259" w:lineRule="auto"/>
        <w:jc w:val="both"/>
        <w:rPr>
          <w:rFonts w:ascii="Arial" w:eastAsia="Calibri" w:hAnsi="Arial" w:cs="Arial"/>
          <w:b/>
          <w:i/>
          <w:sz w:val="20"/>
          <w:szCs w:val="20"/>
          <w:lang w:val="en-GB"/>
        </w:rPr>
      </w:pPr>
      <w:r w:rsidRPr="00E91426">
        <w:rPr>
          <w:rFonts w:ascii="Arial" w:eastAsia="Calibri" w:hAnsi="Arial" w:cs="Arial"/>
          <w:b/>
          <w:i/>
          <w:sz w:val="20"/>
          <w:szCs w:val="20"/>
          <w:lang w:val="en-GB"/>
        </w:rPr>
        <w:t>Subsequent measurement</w:t>
      </w:r>
      <w:r w:rsidRPr="00E91426">
        <w:rPr>
          <w:rFonts w:ascii="Arial" w:eastAsia="Calibri" w:hAnsi="Arial" w:cs="Arial"/>
          <w:b/>
          <w:i/>
          <w:sz w:val="20"/>
          <w:szCs w:val="20"/>
          <w:lang w:val="en-GB"/>
        </w:rPr>
        <w:tab/>
      </w:r>
      <w:r w:rsidRPr="00E91426">
        <w:rPr>
          <w:rFonts w:ascii="Arial" w:eastAsia="Calibri" w:hAnsi="Arial" w:cs="Arial"/>
          <w:b/>
          <w:i/>
          <w:sz w:val="20"/>
          <w:szCs w:val="20"/>
          <w:lang w:val="en-GB"/>
        </w:rPr>
        <w:tab/>
      </w:r>
    </w:p>
    <w:p w14:paraId="0F592927"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As required by a HM Treasury interpretation of the accounting standard for the public sector, the Trust employs a revaluation model for subsequent measurement of right of use assets, unless the cost model is considered to be an appropriate proxy for current value in existing use or fair value, in line with the accounting policy for owned assets. Where consideration exchanged is identified as significantly below market value, the cost model is not considered to be an appropriate proxy for the value of the right of use asset.</w:t>
      </w:r>
    </w:p>
    <w:p w14:paraId="6A8C6C25"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lastRenderedPageBreak/>
        <w:t>The Trust subsequently measures the lease liability by increasing the carrying amount for interest arising which is also charged to expenditure as a finance cost and reducing the carrying amount for lease payments made. The liability is also remeasured for changes in assessments impacting the lease term, lease modifications or to reflect actual changes in lease payments. Such remeasurements are also reflected in the cost of the right of use asset. Where there is a change in the lease term or option to purchase the underlying asset, an updated discount rate is applied to the remaining lease payments.</w:t>
      </w:r>
    </w:p>
    <w:p w14:paraId="281DC360" w14:textId="77777777" w:rsidR="00E91426" w:rsidRPr="00E91426" w:rsidRDefault="00E91426" w:rsidP="00E91426">
      <w:pPr>
        <w:widowControl/>
        <w:spacing w:after="160" w:line="259" w:lineRule="auto"/>
        <w:jc w:val="both"/>
        <w:rPr>
          <w:rFonts w:ascii="Arial" w:eastAsia="Calibri" w:hAnsi="Arial" w:cs="Arial"/>
          <w:b/>
          <w:sz w:val="20"/>
          <w:szCs w:val="20"/>
          <w:lang w:val="en-GB"/>
        </w:rPr>
      </w:pPr>
      <w:r w:rsidRPr="00E91426">
        <w:rPr>
          <w:rFonts w:ascii="Arial" w:eastAsia="Calibri" w:hAnsi="Arial" w:cs="Arial"/>
          <w:b/>
          <w:sz w:val="20"/>
          <w:szCs w:val="20"/>
          <w:lang w:val="en-GB"/>
        </w:rPr>
        <w:t xml:space="preserve">Note 1.11 Provisions </w:t>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p>
    <w:p w14:paraId="18DCFDFD"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The Trust recognises a provision where it has a present legal or constructive obligation of uncertain timing or amount; for which it is probable that there will be a future outflow of cash or other resources; and a reliable estimate can be made of the amount. The amount recognised in the Statement of Financial Position is the best estimate of the resources required to settle the obligation. Where the effect of the time value of money is significant, the estimated risk-adjusted cash flows are discounted using the discount rates published and mandated by HM Treasury.</w:t>
      </w:r>
    </w:p>
    <w:p w14:paraId="71088AA7"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Early retirement provisions and injury benefit provisions both use the HM Treasury's pension discount rate of 2.40% in real terms (prior year: 2.45%).</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6FBC2E43" w14:textId="77777777" w:rsidR="00E91426" w:rsidRPr="00E91426" w:rsidRDefault="00E91426" w:rsidP="00E91426">
      <w:pPr>
        <w:widowControl/>
        <w:spacing w:after="160" w:line="259" w:lineRule="auto"/>
        <w:jc w:val="both"/>
        <w:rPr>
          <w:rFonts w:ascii="Arial" w:eastAsia="Calibri" w:hAnsi="Arial" w:cs="Arial"/>
          <w:b/>
          <w:sz w:val="20"/>
          <w:szCs w:val="20"/>
          <w:lang w:val="en-GB"/>
        </w:rPr>
      </w:pPr>
      <w:r w:rsidRPr="00E91426">
        <w:rPr>
          <w:rFonts w:ascii="Arial" w:eastAsia="Calibri" w:hAnsi="Arial" w:cs="Arial"/>
          <w:b/>
          <w:sz w:val="20"/>
          <w:szCs w:val="20"/>
          <w:lang w:val="en-GB"/>
        </w:rPr>
        <w:t>Clinical negligence costs</w:t>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p>
    <w:p w14:paraId="2147BB73"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 xml:space="preserve">NHS Resolution operates a risk pooling scheme under which the trust pays an annual contribution to NHS Resolution, which, in return, settles all clinical negligence claims. Although NHS Resolution is administratively responsible for all clinical negligence cases, the legal liability remains with the Trust. The total value of clinical negligence provisions carried by NHS Resolution on behalf of the trust is disclosed at note 21 but is not recognised in the Trust’s accounts. </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57EEEF09" w14:textId="77777777" w:rsidR="00E91426" w:rsidRPr="00E91426" w:rsidRDefault="00E91426" w:rsidP="00E91426">
      <w:pPr>
        <w:widowControl/>
        <w:spacing w:after="160" w:line="259" w:lineRule="auto"/>
        <w:jc w:val="both"/>
        <w:rPr>
          <w:rFonts w:ascii="Arial" w:eastAsia="Calibri" w:hAnsi="Arial" w:cs="Arial"/>
          <w:b/>
          <w:sz w:val="20"/>
          <w:szCs w:val="20"/>
          <w:lang w:val="en-GB"/>
        </w:rPr>
      </w:pPr>
      <w:r w:rsidRPr="00E91426">
        <w:rPr>
          <w:rFonts w:ascii="Arial" w:eastAsia="Calibri" w:hAnsi="Arial" w:cs="Arial"/>
          <w:b/>
          <w:sz w:val="20"/>
          <w:szCs w:val="20"/>
          <w:lang w:val="en-GB"/>
        </w:rPr>
        <w:t xml:space="preserve">Non-clinical risk pooling </w:t>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p>
    <w:p w14:paraId="04551852"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The Trust participates in the Property Expenses Scheme and the Liabilities to Third Parties Scheme. Both are risk pooling schemes under which the trust pays an annual contribution to NHS Resolution and in return receives assistance with the costs of claims arising. The annual membership contributions, and any “excesses” payable in respect of particular claims are charged to operating expenses when the liability arises.</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4F92B26B" w14:textId="77777777" w:rsidR="00E91426" w:rsidRPr="00E91426" w:rsidRDefault="00E91426" w:rsidP="00E91426">
      <w:pPr>
        <w:widowControl/>
        <w:spacing w:after="160" w:line="259" w:lineRule="auto"/>
        <w:jc w:val="both"/>
        <w:rPr>
          <w:rFonts w:ascii="Arial" w:eastAsia="Calibri" w:hAnsi="Arial" w:cs="Arial"/>
          <w:b/>
          <w:sz w:val="20"/>
          <w:szCs w:val="20"/>
          <w:lang w:val="en-GB"/>
        </w:rPr>
      </w:pPr>
      <w:r w:rsidRPr="00E91426">
        <w:rPr>
          <w:rFonts w:ascii="Arial" w:eastAsia="Calibri" w:hAnsi="Arial" w:cs="Arial"/>
          <w:b/>
          <w:sz w:val="20"/>
          <w:szCs w:val="20"/>
          <w:lang w:val="en-GB"/>
        </w:rPr>
        <w:t>Note 1.12 Contingencies</w:t>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p>
    <w:p w14:paraId="49D3884A"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Contingent assets (that is, assets arising from past events whose existence will only be confirmed by one or more future events not wholly within the entity’s control) are not recognised as assets, but are disclosed in note 22 where an inflow of economic benefits is probable.</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53205B6B"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Contingent liabilities are not recognised, but are disclosed in note 22, unless the probability of a transfer of economic benefits is remote.</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1B5FFE3A"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Contingent liabilities are defined as:</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4CA8AF31"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 xml:space="preserve">• Possible obligations arising from past events whose existence will be confirmed only by the occurrence of one or more uncertain future events not wholly within the entity’s control; </w:t>
      </w:r>
    </w:p>
    <w:p w14:paraId="7E55C682"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or</w:t>
      </w:r>
      <w:r w:rsidRPr="00E91426">
        <w:rPr>
          <w:rFonts w:ascii="Arial" w:eastAsia="Calibri" w:hAnsi="Arial" w:cs="Arial"/>
          <w:sz w:val="20"/>
          <w:szCs w:val="20"/>
          <w:lang w:val="en-GB"/>
        </w:rPr>
        <w:tab/>
      </w:r>
    </w:p>
    <w:p w14:paraId="651CE7BE" w14:textId="186F4731" w:rsidR="00E91426" w:rsidRPr="00E00F90"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 Present obligations arising from past events but for which it is not probable that a transfer of economic benefits will arise or for which the amount of the obligation cannot be measured with sufficient reliability</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3A5B1882" w14:textId="77777777" w:rsidR="00E00F90" w:rsidRDefault="00E00F90" w:rsidP="00E91426">
      <w:pPr>
        <w:widowControl/>
        <w:spacing w:after="160" w:line="259" w:lineRule="auto"/>
        <w:jc w:val="both"/>
        <w:rPr>
          <w:rFonts w:ascii="Arial" w:eastAsia="Calibri" w:hAnsi="Arial" w:cs="Arial"/>
          <w:b/>
          <w:sz w:val="20"/>
          <w:szCs w:val="20"/>
          <w:lang w:val="en-GB"/>
        </w:rPr>
      </w:pPr>
    </w:p>
    <w:p w14:paraId="3DAFB8B7" w14:textId="77777777" w:rsidR="00E00F90" w:rsidRDefault="00E00F90" w:rsidP="00E91426">
      <w:pPr>
        <w:widowControl/>
        <w:spacing w:after="160" w:line="259" w:lineRule="auto"/>
        <w:jc w:val="both"/>
        <w:rPr>
          <w:rFonts w:ascii="Arial" w:eastAsia="Calibri" w:hAnsi="Arial" w:cs="Arial"/>
          <w:b/>
          <w:sz w:val="20"/>
          <w:szCs w:val="20"/>
          <w:lang w:val="en-GB"/>
        </w:rPr>
      </w:pPr>
    </w:p>
    <w:p w14:paraId="667D8F7C" w14:textId="77777777" w:rsidR="00E00F90" w:rsidRDefault="00E00F90" w:rsidP="00E91426">
      <w:pPr>
        <w:widowControl/>
        <w:spacing w:after="160" w:line="259" w:lineRule="auto"/>
        <w:jc w:val="both"/>
        <w:rPr>
          <w:rFonts w:ascii="Arial" w:eastAsia="Calibri" w:hAnsi="Arial" w:cs="Arial"/>
          <w:b/>
          <w:sz w:val="20"/>
          <w:szCs w:val="20"/>
          <w:lang w:val="en-GB"/>
        </w:rPr>
      </w:pPr>
    </w:p>
    <w:p w14:paraId="0B495C86" w14:textId="194E28BD" w:rsidR="00E00F90" w:rsidRDefault="00E91426" w:rsidP="00E91426">
      <w:pPr>
        <w:widowControl/>
        <w:spacing w:after="160" w:line="259" w:lineRule="auto"/>
        <w:jc w:val="both"/>
        <w:rPr>
          <w:rFonts w:ascii="Arial" w:eastAsia="Calibri" w:hAnsi="Arial" w:cs="Arial"/>
          <w:b/>
          <w:sz w:val="20"/>
          <w:szCs w:val="20"/>
          <w:lang w:val="en-GB"/>
        </w:rPr>
      </w:pPr>
      <w:r w:rsidRPr="00E91426">
        <w:rPr>
          <w:rFonts w:ascii="Arial" w:eastAsia="Calibri" w:hAnsi="Arial" w:cs="Arial"/>
          <w:b/>
          <w:sz w:val="20"/>
          <w:szCs w:val="20"/>
          <w:lang w:val="en-GB"/>
        </w:rPr>
        <w:t>Note 1.13 Public dividend capital</w:t>
      </w:r>
    </w:p>
    <w:p w14:paraId="2FEC49B3" w14:textId="481FE963" w:rsidR="00E91426" w:rsidRPr="00E00F90" w:rsidRDefault="00E91426" w:rsidP="00E91426">
      <w:pPr>
        <w:widowControl/>
        <w:spacing w:after="160" w:line="259" w:lineRule="auto"/>
        <w:jc w:val="both"/>
        <w:rPr>
          <w:rFonts w:ascii="Arial" w:eastAsia="Calibri" w:hAnsi="Arial" w:cs="Arial"/>
          <w:b/>
          <w:sz w:val="20"/>
          <w:szCs w:val="20"/>
          <w:lang w:val="en-GB"/>
        </w:rPr>
      </w:pPr>
      <w:r w:rsidRPr="00E91426">
        <w:rPr>
          <w:rFonts w:ascii="Arial" w:eastAsia="Calibri" w:hAnsi="Arial" w:cs="Arial"/>
          <w:sz w:val="20"/>
          <w:szCs w:val="20"/>
          <w:lang w:val="en-GB"/>
        </w:rPr>
        <w:lastRenderedPageBreak/>
        <w:t xml:space="preserve">Public dividend capital (PDC) is a type of public sector equity finance based on the excess of assets over liabilities at the time of establishment of the predecessor NHS organisation. HM Treasury has determined that PDC is not a financial instrument within the meaning of IAS 32. </w:t>
      </w:r>
    </w:p>
    <w:p w14:paraId="16D4177F"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The Secretary of State can issue new PDC to, and require repayments of PDC from the trust. PDC is recorded at the value received.</w:t>
      </w:r>
    </w:p>
    <w:p w14:paraId="619610D7"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A charge, reflecting the cost of capital utilised by the trust, is payable as public dividend capital dividend. The charge is calculated at the rate set by HM Treasury (currently 3.5%) on the average relevant net assets of the trust during the financial year. Relevant net assets are calculated as the value of all assets less the value of all liabilities, with certain additions and deductions as defined by the Department of Health and Social Care.</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551100AA"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This policy is available at https://www.gov.uk/government/publications/guidance-on-financing-available-to-nhs-trusts-and-foundation-trusts.</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08535D91"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In accordance with the requirements laid down by the Department of Health and Social Care (as the issuer of PDC), the dividend for the year is calculated on the actual average relevant net assets as set out in the “pre-audit” version of the annual accounts. The dividend calculated is not revised should any adjustment to net assets occur as a result the audit of the annual accounts.</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0139350F" w14:textId="77777777" w:rsidR="00E91426" w:rsidRPr="00E91426" w:rsidRDefault="00E91426" w:rsidP="00E91426">
      <w:pPr>
        <w:widowControl/>
        <w:spacing w:after="160" w:line="259" w:lineRule="auto"/>
        <w:jc w:val="both"/>
        <w:rPr>
          <w:rFonts w:ascii="Arial" w:eastAsia="Calibri" w:hAnsi="Arial" w:cs="Arial"/>
          <w:b/>
          <w:sz w:val="20"/>
          <w:szCs w:val="20"/>
          <w:lang w:val="en-GB"/>
        </w:rPr>
      </w:pPr>
      <w:r w:rsidRPr="00E91426">
        <w:rPr>
          <w:rFonts w:ascii="Arial" w:eastAsia="Calibri" w:hAnsi="Arial" w:cs="Arial"/>
          <w:b/>
          <w:sz w:val="20"/>
          <w:szCs w:val="20"/>
          <w:lang w:val="en-GB"/>
        </w:rPr>
        <w:t xml:space="preserve">Note 1.14 Value added tax </w:t>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p>
    <w:p w14:paraId="0AB52877"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Most of the activities of the Trust are outside the scope of VAT and, in general, output tax does not apply and input tax on purchases is not recoverable. Irrecoverable VAT is charged to the relevant expenditure category or included in the capitalised purchase cost of fixed assets. Where output tax is charged or input VAT is recoverable, the amounts are stated net of VAT.</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62DE108E" w14:textId="77777777" w:rsidR="00E91426" w:rsidRPr="00E91426" w:rsidRDefault="00E91426" w:rsidP="00E91426">
      <w:pPr>
        <w:widowControl/>
        <w:spacing w:after="160" w:line="259" w:lineRule="auto"/>
        <w:jc w:val="both"/>
        <w:rPr>
          <w:rFonts w:ascii="Arial" w:eastAsia="Calibri" w:hAnsi="Arial" w:cs="Arial"/>
          <w:b/>
          <w:sz w:val="20"/>
          <w:szCs w:val="20"/>
          <w:lang w:val="en-GB"/>
        </w:rPr>
      </w:pPr>
      <w:r w:rsidRPr="00E91426">
        <w:rPr>
          <w:rFonts w:ascii="Arial" w:eastAsia="Calibri" w:hAnsi="Arial" w:cs="Arial"/>
          <w:b/>
          <w:sz w:val="20"/>
          <w:szCs w:val="20"/>
          <w:lang w:val="en-GB"/>
        </w:rPr>
        <w:t xml:space="preserve">Note 1.15 Climate change levy </w:t>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p>
    <w:p w14:paraId="7C2E0D2F"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Expenditure on the climate change levy is recognised in the Statement of Comprehensive Income as incurred, based on the prevailing chargeable rates for energy consumption.</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0DBCB452" w14:textId="77777777" w:rsidR="00E91426" w:rsidRPr="00E91426" w:rsidRDefault="00E91426" w:rsidP="00E91426">
      <w:pPr>
        <w:widowControl/>
        <w:spacing w:after="160" w:line="259" w:lineRule="auto"/>
        <w:jc w:val="both"/>
        <w:rPr>
          <w:rFonts w:ascii="Arial" w:eastAsia="Calibri" w:hAnsi="Arial" w:cs="Arial"/>
          <w:b/>
          <w:sz w:val="20"/>
          <w:szCs w:val="20"/>
          <w:lang w:val="en-GB"/>
        </w:rPr>
      </w:pPr>
      <w:r w:rsidRPr="00E91426">
        <w:rPr>
          <w:rFonts w:ascii="Arial" w:eastAsia="Calibri" w:hAnsi="Arial" w:cs="Arial"/>
          <w:b/>
          <w:sz w:val="20"/>
          <w:szCs w:val="20"/>
          <w:lang w:val="en-GB"/>
        </w:rPr>
        <w:t>Note 1.16 Losses and special payments</w:t>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p>
    <w:p w14:paraId="1B5E652A"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Losses and special payments are items that Parliament would not have contemplated when it agreed funds for the health service or passed legislation. By their nature they are items that ideally should not arise. They are therefore subject to special control procedures compared with the generality of payments. They are divided into different categories, which govern the way that individual cases are handled. Losses and special payments are charged to the relevant functional headings in expenditure on an accrual’s basis.</w:t>
      </w:r>
    </w:p>
    <w:p w14:paraId="0F5BB8A7"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The losses and special payments note is compiled directly from the losses and compensations register which reports on an accrual basis with the exception of provisions for future losses.</w:t>
      </w:r>
      <w:r w:rsidRPr="00E91426">
        <w:rPr>
          <w:rFonts w:ascii="Arial" w:eastAsia="Calibri" w:hAnsi="Arial" w:cs="Arial"/>
          <w:sz w:val="20"/>
          <w:szCs w:val="20"/>
          <w:lang w:val="en-GB"/>
        </w:rPr>
        <w:tab/>
      </w:r>
    </w:p>
    <w:p w14:paraId="4CC7A194" w14:textId="77777777" w:rsidR="00E91426" w:rsidRPr="00E91426" w:rsidRDefault="00E91426" w:rsidP="00E91426">
      <w:pPr>
        <w:widowControl/>
        <w:spacing w:after="160" w:line="259" w:lineRule="auto"/>
        <w:jc w:val="both"/>
        <w:rPr>
          <w:rFonts w:ascii="Arial" w:eastAsia="Calibri" w:hAnsi="Arial" w:cs="Arial"/>
          <w:b/>
          <w:sz w:val="20"/>
          <w:szCs w:val="20"/>
          <w:lang w:val="en-GB"/>
        </w:rPr>
      </w:pPr>
      <w:r w:rsidRPr="00E91426">
        <w:rPr>
          <w:rFonts w:ascii="Arial" w:eastAsia="Calibri" w:hAnsi="Arial" w:cs="Arial"/>
          <w:b/>
          <w:sz w:val="20"/>
          <w:szCs w:val="20"/>
          <w:lang w:val="en-GB"/>
        </w:rPr>
        <w:t>Note 1.17 Gifts</w:t>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p>
    <w:p w14:paraId="218E8C79"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Gifts are items that are voluntarily donated, with no preconditions and without the expectation of any return. Gifts include all transactions economically equivalent to free and unremunerated transfers, such as the loan of an asset for its expected useful life, and the sale or lease of assets at below market value.</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74AFD266" w14:textId="77777777" w:rsidR="00E91426" w:rsidRPr="00E91426" w:rsidRDefault="00E91426" w:rsidP="00E91426">
      <w:pPr>
        <w:widowControl/>
        <w:spacing w:after="160" w:line="259" w:lineRule="auto"/>
        <w:jc w:val="both"/>
        <w:rPr>
          <w:rFonts w:ascii="Arial" w:eastAsia="Calibri" w:hAnsi="Arial" w:cs="Arial"/>
          <w:b/>
          <w:sz w:val="20"/>
          <w:szCs w:val="20"/>
          <w:lang w:val="en-GB"/>
        </w:rPr>
      </w:pPr>
      <w:r w:rsidRPr="00E91426">
        <w:rPr>
          <w:rFonts w:ascii="Arial" w:eastAsia="Calibri" w:hAnsi="Arial" w:cs="Arial"/>
          <w:b/>
          <w:sz w:val="20"/>
          <w:szCs w:val="20"/>
          <w:lang w:val="en-GB"/>
        </w:rPr>
        <w:t>Note 1.18 Early adoption of standards, amendments and interpretations</w:t>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p>
    <w:p w14:paraId="18278818"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No new accounting standards or revisions to existing standards have been early adopted in 2024/25.</w:t>
      </w:r>
    </w:p>
    <w:p w14:paraId="3F9CD011" w14:textId="77777777" w:rsidR="00E91426" w:rsidRPr="00E91426" w:rsidRDefault="00E91426" w:rsidP="00E91426">
      <w:pPr>
        <w:widowControl/>
        <w:spacing w:after="160" w:line="259" w:lineRule="auto"/>
        <w:jc w:val="both"/>
        <w:rPr>
          <w:rFonts w:ascii="Arial" w:eastAsia="Calibri" w:hAnsi="Arial" w:cs="Arial"/>
          <w:b/>
          <w:sz w:val="20"/>
          <w:szCs w:val="20"/>
          <w:lang w:val="en-GB"/>
        </w:rPr>
      </w:pPr>
      <w:r w:rsidRPr="00E91426">
        <w:rPr>
          <w:rFonts w:ascii="Arial" w:eastAsia="Calibri" w:hAnsi="Arial" w:cs="Arial"/>
          <w:b/>
          <w:sz w:val="20"/>
          <w:szCs w:val="20"/>
          <w:lang w:val="en-GB"/>
        </w:rPr>
        <w:t>Note 1.19 Standards, amendments and interpretations in issue but not yet effective or adopted</w:t>
      </w:r>
    </w:p>
    <w:p w14:paraId="7DE703B9"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The DHSC GAM does not require the following IFRS Standards to be applied in 2024/25:</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2286D176"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i/>
          <w:sz w:val="20"/>
          <w:szCs w:val="20"/>
          <w:lang w:val="en-GB"/>
        </w:rPr>
        <w:t>IFRS 9 Financial Instruments and IFRS 7 Financial Instruments: Disclosures</w:t>
      </w:r>
      <w:r w:rsidRPr="00E91426">
        <w:rPr>
          <w:rFonts w:ascii="Arial" w:eastAsia="Calibri" w:hAnsi="Arial" w:cs="Arial"/>
          <w:sz w:val="20"/>
          <w:szCs w:val="20"/>
          <w:lang w:val="en-GB"/>
        </w:rPr>
        <w:t xml:space="preserve"> </w:t>
      </w:r>
      <w:r w:rsidRPr="00E91426">
        <w:rPr>
          <w:rFonts w:ascii="Arial" w:eastAsia="Calibri" w:hAnsi="Arial" w:cs="Arial"/>
          <w:b/>
          <w:sz w:val="20"/>
          <w:szCs w:val="20"/>
          <w:lang w:val="en-GB"/>
        </w:rPr>
        <w:t xml:space="preserve">- </w:t>
      </w:r>
      <w:r w:rsidRPr="00E91426">
        <w:rPr>
          <w:rFonts w:ascii="Arial" w:eastAsia="Calibri" w:hAnsi="Arial" w:cs="Arial"/>
          <w:sz w:val="20"/>
          <w:szCs w:val="20"/>
          <w:lang w:val="en-GB"/>
        </w:rPr>
        <w:t>Amendments were issued in May 2024, for adoption from 2026/27. These amendments have not yet been adopted by the FreM so the impact on the public sector is not yet known.</w:t>
      </w:r>
    </w:p>
    <w:p w14:paraId="291E5C15"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lastRenderedPageBreak/>
        <w:t>The key amendment that may impact NHS bodies relates to a clarification of the date of recognition and derecognition of some financial assets and liabilities, with a new exception for some financial liabilities settled through an electronic cash transfer system. This could impact the timing of when payables and cash are derecognised on making a payment, and may require a change to current practices relating to bank reconciliations.</w:t>
      </w:r>
    </w:p>
    <w:p w14:paraId="0CBF5EA9"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The amendments are likely to have the most significant impact on entities which tend to have large reconciling items within their year-end bank reconciliations (for example uncleared BACS payments).</w:t>
      </w:r>
    </w:p>
    <w:p w14:paraId="249F2262"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This is not the case for The Trust so any impact is likely to be immaterial.</w:t>
      </w:r>
    </w:p>
    <w:p w14:paraId="07F6CACB"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i/>
          <w:sz w:val="20"/>
          <w:szCs w:val="20"/>
          <w:lang w:val="en-GB"/>
        </w:rPr>
        <w:t xml:space="preserve">IFRS 17 Insurance Contracts </w:t>
      </w:r>
      <w:r w:rsidRPr="00E91426">
        <w:rPr>
          <w:rFonts w:ascii="Arial" w:eastAsia="Calibri" w:hAnsi="Arial" w:cs="Arial"/>
          <w:sz w:val="20"/>
          <w:szCs w:val="20"/>
          <w:lang w:val="en-GB"/>
        </w:rPr>
        <w:t xml:space="preserve">– The Standard is effective for accounting periods beginning on or after 1 January 2023. IFRS 17 has been adopted by the FReM from 1 April 2025. Adoption of the Standard for NHS bodies will therefore be in 2025/26. The Standard revises the accounting for insurance contracts for the issuers of insurance. </w:t>
      </w:r>
    </w:p>
    <w:p w14:paraId="21CE8246"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A high-level review of existing contracts has been conducted with no evidence to suggest any contracts of this nature exist within The Trust.  Therefore, application of this standard from 2025/26 is not expected to impact on the financial statements.</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0A687792"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i/>
          <w:sz w:val="20"/>
          <w:szCs w:val="20"/>
          <w:lang w:val="en-GB"/>
        </w:rPr>
        <w:t>IFRS 18 Presentation and Disclosure in Financial Statements</w:t>
      </w:r>
      <w:r w:rsidRPr="00E91426">
        <w:rPr>
          <w:rFonts w:ascii="Arial" w:eastAsia="Calibri" w:hAnsi="Arial" w:cs="Arial"/>
          <w:sz w:val="20"/>
          <w:szCs w:val="20"/>
          <w:lang w:val="en-GB"/>
        </w:rPr>
        <w:t xml:space="preserve"> - The Standard is effective for accounting periods beginning on or after 1 January 2027. The Standard is not yet UK endorsed and not yet adopted by the FReM. Early adoption is not permitted. The expected impact of applying the standard in future periods has not yet been assessed.</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64BFE218"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i/>
          <w:sz w:val="20"/>
          <w:szCs w:val="20"/>
          <w:lang w:val="en-GB"/>
        </w:rPr>
        <w:t>IFRS 19 Subsidiaries without Public Accountability: Disclosures</w:t>
      </w:r>
      <w:r w:rsidRPr="00E91426">
        <w:rPr>
          <w:rFonts w:ascii="Arial" w:eastAsia="Calibri" w:hAnsi="Arial" w:cs="Arial"/>
          <w:sz w:val="20"/>
          <w:szCs w:val="20"/>
          <w:lang w:val="en-GB"/>
        </w:rPr>
        <w:t xml:space="preserve"> - The Standard is effective for accounting periods beginning on or after 1 January 2027. The Standard is not yet UK endorsed and not yet adopted by the FReM. Early adoption is not permitted. The expected impact of applying the standard in future periods has not yet been assessed.</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3051AC8E"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i/>
          <w:sz w:val="20"/>
          <w:szCs w:val="20"/>
          <w:lang w:val="en-GB"/>
        </w:rPr>
        <w:t>Changes to non-investment asset valuation</w:t>
      </w:r>
      <w:r w:rsidRPr="00E91426">
        <w:rPr>
          <w:rFonts w:ascii="Arial" w:eastAsia="Calibri" w:hAnsi="Arial" w:cs="Arial"/>
          <w:sz w:val="20"/>
          <w:szCs w:val="20"/>
          <w:lang w:val="en-GB"/>
        </w:rPr>
        <w:t xml:space="preserve"> – Following a thematic review of non-current asset valuations for financial reporting in the public sector, HM Treasury has made a number of changes to valuation frequency, valuation methodology and classification which are effective in the public sector from 1 April 2025 with a 5-year transition period. NHS bodies are adopting these changes to an alternative timeline. </w:t>
      </w:r>
    </w:p>
    <w:p w14:paraId="48558466" w14:textId="77777777" w:rsidR="00E91426" w:rsidRPr="00E91426" w:rsidRDefault="00E91426" w:rsidP="00E91426">
      <w:pPr>
        <w:widowControl/>
        <w:spacing w:after="160" w:line="259" w:lineRule="auto"/>
        <w:jc w:val="both"/>
        <w:rPr>
          <w:rFonts w:ascii="Arial" w:eastAsia="Calibri" w:hAnsi="Arial" w:cs="Arial"/>
          <w:i/>
          <w:sz w:val="20"/>
          <w:szCs w:val="20"/>
          <w:lang w:val="en-GB"/>
        </w:rPr>
      </w:pPr>
      <w:r w:rsidRPr="00E91426">
        <w:rPr>
          <w:rFonts w:ascii="Arial" w:eastAsia="Calibri" w:hAnsi="Arial" w:cs="Arial"/>
          <w:i/>
          <w:sz w:val="20"/>
          <w:szCs w:val="20"/>
          <w:lang w:val="en-GB"/>
        </w:rPr>
        <w:t>Changes to subsequent measurement of intangible assets and PPE classification / terminology to be implemented for NHS bodies from 1 April 2025:</w:t>
      </w:r>
    </w:p>
    <w:p w14:paraId="13C51B78"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 Withdrawal of the revaluation model for intangible assets. Carrying values of existing intangible assets measured under a previous revaluation will be taken forward as deemed historic cost.</w:t>
      </w:r>
    </w:p>
    <w:p w14:paraId="0BBB78FA"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 xml:space="preserve">• Removal of the distinction between specialised and non-specialised assets held for their service potential. Assets will be classified according to whether they are held for their operational capacity. </w:t>
      </w:r>
    </w:p>
    <w:p w14:paraId="321CD302"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These changes are not expected to have a material impact on these financial statements.</w:t>
      </w:r>
      <w:r w:rsidRPr="00E91426">
        <w:rPr>
          <w:rFonts w:ascii="Arial" w:eastAsia="Calibri" w:hAnsi="Arial" w:cs="Arial"/>
          <w:sz w:val="20"/>
          <w:szCs w:val="20"/>
          <w:lang w:val="en-GB"/>
        </w:rPr>
        <w:tab/>
      </w:r>
    </w:p>
    <w:p w14:paraId="16D7B272" w14:textId="77777777" w:rsidR="00E91426" w:rsidRPr="00E91426" w:rsidRDefault="00E91426" w:rsidP="00E91426">
      <w:pPr>
        <w:widowControl/>
        <w:spacing w:after="160" w:line="259" w:lineRule="auto"/>
        <w:jc w:val="both"/>
        <w:rPr>
          <w:rFonts w:ascii="Arial" w:eastAsia="Calibri" w:hAnsi="Arial" w:cs="Arial"/>
          <w:i/>
          <w:sz w:val="20"/>
          <w:szCs w:val="20"/>
          <w:lang w:val="en-GB"/>
        </w:rPr>
      </w:pPr>
      <w:r w:rsidRPr="00E91426">
        <w:rPr>
          <w:rFonts w:ascii="Arial" w:eastAsia="Calibri" w:hAnsi="Arial" w:cs="Arial"/>
          <w:i/>
          <w:sz w:val="20"/>
          <w:szCs w:val="20"/>
          <w:lang w:val="en-GB"/>
        </w:rPr>
        <w:t>Changes to valuation cycles and methodology to be implemented for NHS bodies in later periods:</w:t>
      </w:r>
    </w:p>
    <w:p w14:paraId="6BE57429"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 A mandated quinquennial revaluation frequency (or rolling programme) supplemented by annual indexation in the intervening years.</w:t>
      </w:r>
    </w:p>
    <w:p w14:paraId="5CA6444D"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 Removal of the alternative site assumption for buildings valued at depreciated replacement cost on a modern equivalent asset basis. The approach for land has not yet been finalised by HM Treasury.</w:t>
      </w:r>
    </w:p>
    <w:p w14:paraId="71971E1A"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The impact of applying these changes in future periods has not yet been assessed. PPE and right of use assets currently subject to revaluation have a total book value of £208m as at 31 March 2025. Assets valued on an alternative site basis have a total book value of £196m at 31 March 2025.</w:t>
      </w:r>
    </w:p>
    <w:p w14:paraId="4D6ACD5F"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Whilst the impact has not been yet been quantified, there is an assumption that these changes may have the potential to have a materially and/or significantly impact on PPE measurement in future periods.</w:t>
      </w:r>
    </w:p>
    <w:p w14:paraId="15558E28" w14:textId="77777777" w:rsidR="00E91426" w:rsidRPr="00E91426" w:rsidRDefault="00E91426" w:rsidP="00E91426">
      <w:pPr>
        <w:widowControl/>
        <w:spacing w:after="160" w:line="259" w:lineRule="auto"/>
        <w:jc w:val="both"/>
        <w:rPr>
          <w:rFonts w:ascii="Arial" w:eastAsia="Calibri" w:hAnsi="Arial" w:cs="Arial"/>
          <w:b/>
          <w:sz w:val="20"/>
          <w:szCs w:val="20"/>
          <w:lang w:val="en-GB"/>
        </w:rPr>
      </w:pPr>
    </w:p>
    <w:p w14:paraId="0E3B4371" w14:textId="77777777" w:rsidR="00E91426" w:rsidRPr="00E91426" w:rsidRDefault="00E91426" w:rsidP="00E91426">
      <w:pPr>
        <w:widowControl/>
        <w:spacing w:after="160" w:line="259" w:lineRule="auto"/>
        <w:jc w:val="both"/>
        <w:rPr>
          <w:rFonts w:ascii="Arial" w:eastAsia="Calibri" w:hAnsi="Arial" w:cs="Arial"/>
          <w:b/>
          <w:sz w:val="20"/>
          <w:szCs w:val="20"/>
          <w:lang w:val="en-GB"/>
        </w:rPr>
      </w:pPr>
      <w:r w:rsidRPr="00E91426">
        <w:rPr>
          <w:rFonts w:ascii="Arial" w:eastAsia="Calibri" w:hAnsi="Arial" w:cs="Arial"/>
          <w:b/>
          <w:sz w:val="20"/>
          <w:szCs w:val="20"/>
          <w:lang w:val="en-GB"/>
        </w:rPr>
        <w:lastRenderedPageBreak/>
        <w:t>Note 1.20 Critical judgements in applying accounting policies</w:t>
      </w:r>
      <w:r w:rsidRPr="00E91426">
        <w:rPr>
          <w:rFonts w:ascii="Arial" w:eastAsia="Calibri" w:hAnsi="Arial" w:cs="Arial"/>
          <w:b/>
          <w:sz w:val="20"/>
          <w:szCs w:val="20"/>
          <w:lang w:val="en-GB"/>
        </w:rPr>
        <w:tab/>
      </w:r>
    </w:p>
    <w:p w14:paraId="1296EE4A"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For 2024/25 The Trust has identified the following critical judgement which requires disclosure under IAS1 paragraph 122. There are no other critical judgements.</w:t>
      </w:r>
    </w:p>
    <w:p w14:paraId="4340551D" w14:textId="77777777" w:rsidR="00E91426" w:rsidRPr="00E91426" w:rsidRDefault="00E91426" w:rsidP="00E91426">
      <w:pPr>
        <w:widowControl/>
        <w:spacing w:after="160" w:line="259" w:lineRule="auto"/>
        <w:jc w:val="both"/>
        <w:rPr>
          <w:rFonts w:ascii="Arial" w:eastAsia="Calibri" w:hAnsi="Arial" w:cs="Arial"/>
          <w:b/>
          <w:sz w:val="20"/>
          <w:szCs w:val="20"/>
          <w:lang w:val="en-GB"/>
        </w:rPr>
      </w:pPr>
      <w:r w:rsidRPr="00E91426">
        <w:rPr>
          <w:rFonts w:ascii="Arial" w:eastAsia="Calibri" w:hAnsi="Arial" w:cs="Arial"/>
          <w:b/>
          <w:sz w:val="20"/>
          <w:szCs w:val="20"/>
          <w:lang w:val="en-GB"/>
        </w:rPr>
        <w:t xml:space="preserve">Alternative Site Valuation  </w:t>
      </w:r>
    </w:p>
    <w:p w14:paraId="160E1746" w14:textId="77777777" w:rsidR="00E91426" w:rsidRPr="00E91426" w:rsidRDefault="00E91426" w:rsidP="00E91426">
      <w:pPr>
        <w:widowControl/>
        <w:spacing w:after="160" w:line="259" w:lineRule="auto"/>
        <w:jc w:val="both"/>
        <w:rPr>
          <w:rFonts w:ascii="Arial" w:eastAsia="Calibri" w:hAnsi="Arial" w:cs="Arial"/>
          <w:b/>
          <w:sz w:val="20"/>
          <w:szCs w:val="20"/>
          <w:lang w:val="en-GB"/>
        </w:rPr>
      </w:pPr>
      <w:r w:rsidRPr="00E91426">
        <w:rPr>
          <w:rFonts w:ascii="Arial" w:eastAsia="Calibri" w:hAnsi="Arial" w:cs="Arial"/>
          <w:sz w:val="20"/>
          <w:szCs w:val="20"/>
          <w:lang w:val="en-GB"/>
        </w:rPr>
        <w:t>Valuation of Medway Maritime Hospital site specialised assets as per note 1.6.2 is based on a modern equivalent asset (MEA) using a reduced land area of 4.9 hectares as opposed to the existing site of 14.6 hectares.  This reflects a more efficient use of space, delivering the same service capacity but using modern building and design practice.</w:t>
      </w:r>
    </w:p>
    <w:p w14:paraId="359F94D3" w14:textId="77777777" w:rsidR="00E91426" w:rsidRPr="00E91426" w:rsidRDefault="00E91426" w:rsidP="00E91426">
      <w:pPr>
        <w:widowControl/>
        <w:spacing w:after="160" w:line="259" w:lineRule="auto"/>
        <w:jc w:val="both"/>
        <w:rPr>
          <w:rFonts w:ascii="Arial" w:eastAsia="Calibri" w:hAnsi="Arial" w:cs="Arial"/>
          <w:b/>
          <w:sz w:val="20"/>
          <w:szCs w:val="20"/>
          <w:lang w:val="en-GB"/>
        </w:rPr>
      </w:pPr>
      <w:r w:rsidRPr="00E91426">
        <w:rPr>
          <w:rFonts w:ascii="Arial" w:eastAsia="Calibri" w:hAnsi="Arial" w:cs="Arial"/>
          <w:b/>
          <w:sz w:val="20"/>
          <w:szCs w:val="20"/>
          <w:lang w:val="en-GB"/>
        </w:rPr>
        <w:t>Note 1.20.1 Sources of estimation uncertainty</w:t>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p>
    <w:p w14:paraId="461D2590"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The following assumption is the only source of estimation uncertainty identified with a significant risk to potentially result in a material adjustment to the carrying amounts of assets and liabilities with the next financial year</w:t>
      </w:r>
    </w:p>
    <w:p w14:paraId="6736E704" w14:textId="77777777" w:rsidR="00E91426" w:rsidRPr="00E91426" w:rsidRDefault="00E91426" w:rsidP="00E91426">
      <w:pPr>
        <w:widowControl/>
        <w:spacing w:after="160" w:line="259" w:lineRule="auto"/>
        <w:jc w:val="both"/>
        <w:rPr>
          <w:rFonts w:ascii="Arial" w:eastAsia="Calibri" w:hAnsi="Arial" w:cs="Arial"/>
          <w:b/>
          <w:sz w:val="20"/>
          <w:szCs w:val="20"/>
          <w:lang w:val="en-GB"/>
        </w:rPr>
      </w:pPr>
      <w:r w:rsidRPr="00E91426">
        <w:rPr>
          <w:rFonts w:ascii="Arial" w:eastAsia="Calibri" w:hAnsi="Arial" w:cs="Arial"/>
          <w:b/>
          <w:sz w:val="20"/>
          <w:szCs w:val="20"/>
          <w:lang w:val="en-GB"/>
        </w:rPr>
        <w:t xml:space="preserve">Valuation of land, buildings and dwellings </w:t>
      </w:r>
      <w:r w:rsidRPr="00E91426">
        <w:rPr>
          <w:rFonts w:ascii="Arial" w:eastAsia="Calibri" w:hAnsi="Arial" w:cs="Arial"/>
          <w:sz w:val="20"/>
          <w:szCs w:val="20"/>
          <w:lang w:val="en-GB"/>
        </w:rPr>
        <w:t>is the most significant estimate in the accounts. The NBV at 31/03/2025 for those land, buildings and subject to revaluation and to which the estimation uncertainty relates is £209m (2023/24 £207m).  This valuation was the professional judgement of independent valuers with extensive knowledge of the physical estate and market factors.</w:t>
      </w:r>
    </w:p>
    <w:p w14:paraId="40497F43"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The valuation was provided as at 31st March 2025 in 2024/25 and was a full valuation with site inspection and the application of the Royal Institute of Chartered Surveyors (RCIS) Valuation Global Standards 2020 ('Red Book').</w:t>
      </w:r>
    </w:p>
    <w:p w14:paraId="5EA3FC03"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 xml:space="preserve">The valuation provided does not provide a potential scale of estimation uncertainty however the values are subject to change dependent on market factors, assumptions relating to replacement costs and the parameters of the equivalent asset.  The sensitivity of changes on the valuation is 5% £11m; 10% £21m    </w:t>
      </w:r>
    </w:p>
    <w:p w14:paraId="5407F4A7" w14:textId="77777777" w:rsidR="00E91426" w:rsidRPr="00E91426" w:rsidRDefault="00E91426" w:rsidP="00E91426">
      <w:pPr>
        <w:widowControl/>
        <w:spacing w:after="160" w:line="259" w:lineRule="auto"/>
        <w:jc w:val="both"/>
        <w:rPr>
          <w:rFonts w:ascii="Arial" w:eastAsia="Calibri" w:hAnsi="Arial" w:cs="Arial"/>
          <w:b/>
          <w:sz w:val="20"/>
          <w:szCs w:val="20"/>
          <w:lang w:val="en-GB"/>
        </w:rPr>
      </w:pPr>
      <w:r w:rsidRPr="00E91426">
        <w:rPr>
          <w:rFonts w:ascii="Arial" w:eastAsia="Calibri" w:hAnsi="Arial" w:cs="Arial"/>
          <w:b/>
          <w:sz w:val="20"/>
          <w:szCs w:val="20"/>
          <w:lang w:val="en-GB"/>
        </w:rPr>
        <w:t>Note 1.21 Charitable Funds</w:t>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p>
    <w:p w14:paraId="50418448"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The Trust is the corporate Trustee of Medway NHS Foundation Trust Charitable Fund – Registered Charity number 1051748. The foundation trust has assessed its relationship to the charitable fund and determined it to be a subsidiary because the foundation trust has the power to govern the financial and operating policies of the charitable fund so as to obtain benefits from its activities for itself, its patients or its staff.</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7C7CA148"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The NHS Foundation Trust has not consolidated the charitable funds as it is not deemed material to its accounts.</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54445345" w14:textId="77777777" w:rsidR="00E91426" w:rsidRPr="00E91426" w:rsidRDefault="00E91426" w:rsidP="00E91426">
      <w:pPr>
        <w:widowControl/>
        <w:spacing w:after="160" w:line="259" w:lineRule="auto"/>
        <w:jc w:val="both"/>
        <w:rPr>
          <w:rFonts w:ascii="Arial" w:eastAsia="Calibri" w:hAnsi="Arial" w:cs="Arial"/>
          <w:b/>
          <w:sz w:val="20"/>
          <w:szCs w:val="20"/>
          <w:lang w:val="en-GB"/>
        </w:rPr>
      </w:pPr>
      <w:r w:rsidRPr="00E91426">
        <w:rPr>
          <w:rFonts w:ascii="Arial" w:eastAsia="Calibri" w:hAnsi="Arial" w:cs="Arial"/>
          <w:b/>
          <w:sz w:val="20"/>
          <w:szCs w:val="20"/>
          <w:lang w:val="en-GB"/>
        </w:rPr>
        <w:t>Note 1.22 Discontinued Operations</w:t>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p>
    <w:p w14:paraId="5C3B71AE"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Discontinued operations occur where activities either cease without transfer to another entity, or transfer to an entity outside of the boundary of Whole of Government Accounts, such as private or voluntary sectors. Such activities are accounted for in accordance with IFRS 5. Activities that are transferred to other bodies within the boundary of Whole of Government Accounts are ‘machinery of government changes’ and treated as continuing operations.</w:t>
      </w:r>
    </w:p>
    <w:p w14:paraId="6F850476"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There are no discontinued operations.</w:t>
      </w:r>
      <w:bookmarkStart w:id="61" w:name="_Toc195698699"/>
    </w:p>
    <w:p w14:paraId="5D09246B" w14:textId="77777777" w:rsidR="00E91426" w:rsidRPr="00E91426" w:rsidRDefault="00E91426" w:rsidP="00E91426">
      <w:pPr>
        <w:keepNext/>
        <w:keepLines/>
        <w:widowControl/>
        <w:spacing w:before="40" w:line="259" w:lineRule="auto"/>
        <w:jc w:val="both"/>
        <w:outlineLvl w:val="1"/>
        <w:rPr>
          <w:rFonts w:ascii="Arial" w:eastAsia="Times New Roman" w:hAnsi="Arial" w:cs="Arial"/>
          <w:b/>
          <w:color w:val="000000"/>
          <w:sz w:val="20"/>
          <w:szCs w:val="20"/>
          <w:lang w:val="en-GB"/>
        </w:rPr>
      </w:pPr>
      <w:r w:rsidRPr="00E91426">
        <w:rPr>
          <w:rFonts w:ascii="Arial" w:eastAsia="Times New Roman" w:hAnsi="Arial" w:cs="Arial"/>
          <w:b/>
          <w:color w:val="000000"/>
          <w:sz w:val="20"/>
          <w:szCs w:val="20"/>
          <w:lang w:val="en-GB"/>
        </w:rPr>
        <w:t>Note 2 Operating segments</w:t>
      </w:r>
      <w:bookmarkEnd w:id="61"/>
    </w:p>
    <w:p w14:paraId="42C6F8F5" w14:textId="77777777" w:rsidR="00E91426" w:rsidRPr="00E91426" w:rsidRDefault="00E91426" w:rsidP="00E91426">
      <w:pPr>
        <w:widowControl/>
        <w:spacing w:after="160" w:line="259" w:lineRule="auto"/>
        <w:jc w:val="both"/>
        <w:rPr>
          <w:rFonts w:ascii="Calibri" w:eastAsia="Calibri" w:hAnsi="Calibri" w:cs="Times New Roman"/>
          <w:lang w:val="en-GB"/>
        </w:rPr>
      </w:pPr>
    </w:p>
    <w:p w14:paraId="6649B1E8"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 xml:space="preserve">The Trust has only one segment of business which is the provision of healthcare. The segment has been identified with reference to how the Trust is organised and the way in which the chief operating decision maker (determined to be the Board of Directors) runs the Trust.                                                                                              </w:t>
      </w:r>
    </w:p>
    <w:p w14:paraId="343B087E"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 xml:space="preserve">The geographical and regulatory environment and the nature of services provided are consistent across the organisation and are therefore presented in one segment. The necessary information to develop detailed income and expenditure for each product and service provided by the Trust is currently not discretely available and the cost to develop this information would be excessive. </w:t>
      </w:r>
      <w:bookmarkStart w:id="62" w:name="_Toc195698700"/>
    </w:p>
    <w:p w14:paraId="57C1A33D" w14:textId="77777777" w:rsidR="00E91426" w:rsidRPr="00E91426" w:rsidRDefault="00E91426" w:rsidP="00E91426">
      <w:pPr>
        <w:keepNext/>
        <w:keepLines/>
        <w:widowControl/>
        <w:spacing w:before="40" w:line="259" w:lineRule="auto"/>
        <w:outlineLvl w:val="1"/>
        <w:rPr>
          <w:rFonts w:ascii="Arial" w:eastAsia="Times New Roman" w:hAnsi="Arial" w:cs="Arial"/>
          <w:b/>
          <w:color w:val="000000"/>
          <w:sz w:val="20"/>
          <w:szCs w:val="20"/>
          <w:lang w:val="en-GB"/>
        </w:rPr>
      </w:pPr>
      <w:r w:rsidRPr="00E91426">
        <w:rPr>
          <w:rFonts w:ascii="Arial" w:eastAsia="Times New Roman" w:hAnsi="Arial" w:cs="Arial"/>
          <w:b/>
          <w:color w:val="000000"/>
          <w:sz w:val="20"/>
          <w:szCs w:val="20"/>
          <w:lang w:val="en-GB"/>
        </w:rPr>
        <w:lastRenderedPageBreak/>
        <w:t>Note 3 Operating income from patient care activities</w:t>
      </w:r>
      <w:bookmarkEnd w:id="62"/>
    </w:p>
    <w:p w14:paraId="3AA0305B" w14:textId="77777777" w:rsidR="00E91426" w:rsidRPr="00E91426" w:rsidRDefault="00E91426" w:rsidP="00E91426">
      <w:pPr>
        <w:widowControl/>
        <w:spacing w:after="160" w:line="259" w:lineRule="auto"/>
        <w:rPr>
          <w:rFonts w:ascii="Arial" w:eastAsia="Calibri" w:hAnsi="Arial" w:cs="Arial"/>
          <w:sz w:val="20"/>
          <w:szCs w:val="20"/>
          <w:lang w:val="en-GB"/>
        </w:rPr>
      </w:pPr>
    </w:p>
    <w:tbl>
      <w:tblPr>
        <w:tblW w:w="8681" w:type="dxa"/>
        <w:tblLook w:val="04A0" w:firstRow="1" w:lastRow="0" w:firstColumn="1" w:lastColumn="0" w:noHBand="0" w:noVBand="1"/>
      </w:tblPr>
      <w:tblGrid>
        <w:gridCol w:w="6520"/>
        <w:gridCol w:w="939"/>
        <w:gridCol w:w="222"/>
        <w:gridCol w:w="1000"/>
      </w:tblGrid>
      <w:tr w:rsidR="00E91426" w:rsidRPr="00E91426" w14:paraId="7AB184A6" w14:textId="77777777" w:rsidTr="00E91426">
        <w:trPr>
          <w:trHeight w:val="585"/>
        </w:trPr>
        <w:tc>
          <w:tcPr>
            <w:tcW w:w="8681" w:type="dxa"/>
            <w:gridSpan w:val="4"/>
            <w:tcBorders>
              <w:top w:val="nil"/>
              <w:left w:val="nil"/>
              <w:bottom w:val="nil"/>
              <w:right w:val="nil"/>
            </w:tcBorders>
            <w:hideMark/>
          </w:tcPr>
          <w:p w14:paraId="2E6BDAB1"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All income from patient care activities relates to contract income recognised in line with accounting policy 1.3.</w:t>
            </w:r>
          </w:p>
        </w:tc>
      </w:tr>
      <w:tr w:rsidR="00E91426" w:rsidRPr="00E91426" w14:paraId="72420551" w14:textId="77777777" w:rsidTr="00E91426">
        <w:trPr>
          <w:trHeight w:val="132"/>
        </w:trPr>
        <w:tc>
          <w:tcPr>
            <w:tcW w:w="6520" w:type="dxa"/>
            <w:tcBorders>
              <w:top w:val="nil"/>
              <w:left w:val="nil"/>
              <w:bottom w:val="nil"/>
              <w:right w:val="nil"/>
            </w:tcBorders>
            <w:hideMark/>
          </w:tcPr>
          <w:p w14:paraId="073AD808"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939" w:type="dxa"/>
            <w:tcBorders>
              <w:top w:val="nil"/>
              <w:left w:val="nil"/>
              <w:bottom w:val="nil"/>
              <w:right w:val="nil"/>
            </w:tcBorders>
            <w:noWrap/>
            <w:hideMark/>
          </w:tcPr>
          <w:p w14:paraId="777E6AF8" w14:textId="77777777" w:rsidR="00E91426" w:rsidRPr="00E91426" w:rsidRDefault="00E91426" w:rsidP="00E91426">
            <w:pPr>
              <w:widowControl/>
              <w:rPr>
                <w:rFonts w:ascii="Arial" w:eastAsia="Times New Roman" w:hAnsi="Arial" w:cs="Arial"/>
                <w:sz w:val="20"/>
                <w:szCs w:val="20"/>
                <w:lang w:val="en-GB" w:eastAsia="en-GB"/>
              </w:rPr>
            </w:pPr>
          </w:p>
        </w:tc>
        <w:tc>
          <w:tcPr>
            <w:tcW w:w="222" w:type="dxa"/>
            <w:tcBorders>
              <w:top w:val="nil"/>
              <w:left w:val="nil"/>
              <w:bottom w:val="nil"/>
              <w:right w:val="nil"/>
            </w:tcBorders>
            <w:noWrap/>
            <w:hideMark/>
          </w:tcPr>
          <w:p w14:paraId="47DA918C" w14:textId="77777777" w:rsidR="00E91426" w:rsidRPr="00E91426" w:rsidRDefault="00E91426" w:rsidP="00E91426">
            <w:pPr>
              <w:widowControl/>
              <w:rPr>
                <w:rFonts w:ascii="Arial" w:eastAsia="Times New Roman" w:hAnsi="Arial" w:cs="Arial"/>
                <w:sz w:val="20"/>
                <w:szCs w:val="20"/>
                <w:lang w:val="en-GB" w:eastAsia="en-GB"/>
              </w:rPr>
            </w:pPr>
          </w:p>
        </w:tc>
        <w:tc>
          <w:tcPr>
            <w:tcW w:w="1000" w:type="dxa"/>
            <w:tcBorders>
              <w:top w:val="nil"/>
              <w:left w:val="nil"/>
              <w:bottom w:val="nil"/>
              <w:right w:val="nil"/>
            </w:tcBorders>
            <w:noWrap/>
            <w:hideMark/>
          </w:tcPr>
          <w:p w14:paraId="270E7F9A"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58A56EAE" w14:textId="77777777" w:rsidTr="00E91426">
        <w:trPr>
          <w:trHeight w:val="282"/>
        </w:trPr>
        <w:tc>
          <w:tcPr>
            <w:tcW w:w="6520" w:type="dxa"/>
            <w:tcBorders>
              <w:top w:val="nil"/>
              <w:left w:val="nil"/>
              <w:bottom w:val="nil"/>
              <w:right w:val="nil"/>
            </w:tcBorders>
            <w:hideMark/>
          </w:tcPr>
          <w:p w14:paraId="69D2F47A"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Note 3.1 Income from patient care activities (by nature)</w:t>
            </w:r>
          </w:p>
        </w:tc>
        <w:tc>
          <w:tcPr>
            <w:tcW w:w="939" w:type="dxa"/>
            <w:tcBorders>
              <w:top w:val="nil"/>
              <w:left w:val="nil"/>
              <w:bottom w:val="nil"/>
              <w:right w:val="nil"/>
            </w:tcBorders>
            <w:hideMark/>
          </w:tcPr>
          <w:p w14:paraId="5CF9D67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2024/25</w:t>
            </w:r>
          </w:p>
        </w:tc>
        <w:tc>
          <w:tcPr>
            <w:tcW w:w="222" w:type="dxa"/>
            <w:tcBorders>
              <w:top w:val="nil"/>
              <w:left w:val="nil"/>
              <w:bottom w:val="nil"/>
              <w:right w:val="nil"/>
            </w:tcBorders>
            <w:hideMark/>
          </w:tcPr>
          <w:p w14:paraId="77A6885F"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000" w:type="dxa"/>
            <w:tcBorders>
              <w:top w:val="nil"/>
              <w:left w:val="nil"/>
              <w:bottom w:val="nil"/>
              <w:right w:val="nil"/>
            </w:tcBorders>
            <w:hideMark/>
          </w:tcPr>
          <w:p w14:paraId="4ACA943B"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2023/24</w:t>
            </w:r>
          </w:p>
        </w:tc>
      </w:tr>
      <w:tr w:rsidR="00E91426" w:rsidRPr="00E91426" w14:paraId="0915EF0C" w14:textId="77777777" w:rsidTr="00E91426">
        <w:trPr>
          <w:trHeight w:val="282"/>
        </w:trPr>
        <w:tc>
          <w:tcPr>
            <w:tcW w:w="6520" w:type="dxa"/>
            <w:tcBorders>
              <w:top w:val="nil"/>
              <w:left w:val="nil"/>
              <w:bottom w:val="nil"/>
              <w:right w:val="nil"/>
            </w:tcBorders>
            <w:hideMark/>
          </w:tcPr>
          <w:p w14:paraId="5D93DB7B"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39" w:type="dxa"/>
            <w:tcBorders>
              <w:top w:val="nil"/>
              <w:left w:val="nil"/>
              <w:bottom w:val="nil"/>
              <w:right w:val="nil"/>
            </w:tcBorders>
            <w:hideMark/>
          </w:tcPr>
          <w:p w14:paraId="0C57E876" w14:textId="77777777" w:rsidR="00E91426" w:rsidRPr="00E91426" w:rsidRDefault="00E91426" w:rsidP="00E91426">
            <w:pPr>
              <w:widowControl/>
              <w:rPr>
                <w:rFonts w:ascii="Arial" w:eastAsia="Times New Roman" w:hAnsi="Arial" w:cs="Arial"/>
                <w:sz w:val="20"/>
                <w:szCs w:val="20"/>
                <w:lang w:val="en-GB" w:eastAsia="en-GB"/>
              </w:rPr>
            </w:pPr>
          </w:p>
        </w:tc>
        <w:tc>
          <w:tcPr>
            <w:tcW w:w="222" w:type="dxa"/>
            <w:tcBorders>
              <w:top w:val="nil"/>
              <w:left w:val="nil"/>
              <w:bottom w:val="nil"/>
              <w:right w:val="nil"/>
            </w:tcBorders>
            <w:hideMark/>
          </w:tcPr>
          <w:p w14:paraId="237DA420"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000" w:type="dxa"/>
            <w:tcBorders>
              <w:top w:val="nil"/>
              <w:left w:val="nil"/>
              <w:bottom w:val="nil"/>
              <w:right w:val="nil"/>
            </w:tcBorders>
            <w:vAlign w:val="center"/>
            <w:hideMark/>
          </w:tcPr>
          <w:p w14:paraId="260E2E60" w14:textId="77777777" w:rsidR="00E91426" w:rsidRPr="00E91426" w:rsidRDefault="00E91426" w:rsidP="00E91426">
            <w:pPr>
              <w:widowControl/>
              <w:jc w:val="right"/>
              <w:rPr>
                <w:rFonts w:ascii="Arial" w:eastAsia="Times New Roman" w:hAnsi="Arial" w:cs="Arial"/>
                <w:sz w:val="20"/>
                <w:szCs w:val="20"/>
                <w:lang w:val="en-GB" w:eastAsia="en-GB"/>
              </w:rPr>
            </w:pPr>
          </w:p>
        </w:tc>
      </w:tr>
      <w:tr w:rsidR="00E91426" w:rsidRPr="00E91426" w14:paraId="78BB3E01" w14:textId="77777777" w:rsidTr="00E91426">
        <w:trPr>
          <w:trHeight w:val="285"/>
        </w:trPr>
        <w:tc>
          <w:tcPr>
            <w:tcW w:w="6520" w:type="dxa"/>
            <w:tcBorders>
              <w:top w:val="nil"/>
              <w:left w:val="nil"/>
              <w:bottom w:val="nil"/>
              <w:right w:val="nil"/>
            </w:tcBorders>
            <w:hideMark/>
          </w:tcPr>
          <w:p w14:paraId="29804E7E" w14:textId="77777777" w:rsidR="00E91426" w:rsidRPr="00E91426" w:rsidRDefault="00E91426" w:rsidP="00E91426">
            <w:pPr>
              <w:widowControl/>
              <w:jc w:val="right"/>
              <w:rPr>
                <w:rFonts w:ascii="Arial" w:eastAsia="Times New Roman" w:hAnsi="Arial" w:cs="Arial"/>
                <w:sz w:val="20"/>
                <w:szCs w:val="20"/>
                <w:lang w:val="en-GB" w:eastAsia="en-GB"/>
              </w:rPr>
            </w:pPr>
          </w:p>
        </w:tc>
        <w:tc>
          <w:tcPr>
            <w:tcW w:w="939" w:type="dxa"/>
            <w:tcBorders>
              <w:top w:val="nil"/>
              <w:left w:val="nil"/>
              <w:bottom w:val="nil"/>
              <w:right w:val="nil"/>
            </w:tcBorders>
            <w:hideMark/>
          </w:tcPr>
          <w:p w14:paraId="3A4FF4EA"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222" w:type="dxa"/>
            <w:tcBorders>
              <w:top w:val="nil"/>
              <w:left w:val="nil"/>
              <w:bottom w:val="nil"/>
              <w:right w:val="nil"/>
            </w:tcBorders>
            <w:hideMark/>
          </w:tcPr>
          <w:p w14:paraId="2873973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000" w:type="dxa"/>
            <w:tcBorders>
              <w:top w:val="nil"/>
              <w:left w:val="nil"/>
              <w:bottom w:val="nil"/>
              <w:right w:val="nil"/>
            </w:tcBorders>
            <w:hideMark/>
          </w:tcPr>
          <w:p w14:paraId="757DDE0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r>
      <w:tr w:rsidR="00E91426" w:rsidRPr="00E91426" w14:paraId="62C8AB3D" w14:textId="77777777" w:rsidTr="00E91426">
        <w:trPr>
          <w:trHeight w:val="285"/>
        </w:trPr>
        <w:tc>
          <w:tcPr>
            <w:tcW w:w="6520" w:type="dxa"/>
            <w:tcBorders>
              <w:top w:val="nil"/>
              <w:left w:val="nil"/>
              <w:bottom w:val="nil"/>
              <w:right w:val="nil"/>
            </w:tcBorders>
            <w:hideMark/>
          </w:tcPr>
          <w:p w14:paraId="4246A4A0"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Aligned payment &amp; incentive (API) income</w:t>
            </w:r>
            <w:r w:rsidRPr="00E91426">
              <w:rPr>
                <w:rFonts w:ascii="Arial" w:eastAsia="Times New Roman" w:hAnsi="Arial" w:cs="Arial"/>
                <w:color w:val="000000"/>
                <w:sz w:val="20"/>
                <w:szCs w:val="20"/>
                <w:vertAlign w:val="superscript"/>
                <w:lang w:val="en-GB" w:eastAsia="en-GB"/>
              </w:rPr>
              <w:t>1</w:t>
            </w:r>
          </w:p>
        </w:tc>
        <w:tc>
          <w:tcPr>
            <w:tcW w:w="939" w:type="dxa"/>
            <w:tcBorders>
              <w:top w:val="nil"/>
              <w:left w:val="nil"/>
              <w:bottom w:val="nil"/>
              <w:right w:val="nil"/>
            </w:tcBorders>
            <w:noWrap/>
            <w:hideMark/>
          </w:tcPr>
          <w:p w14:paraId="2B265622"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418,159</w:t>
            </w:r>
          </w:p>
        </w:tc>
        <w:tc>
          <w:tcPr>
            <w:tcW w:w="222" w:type="dxa"/>
            <w:tcBorders>
              <w:top w:val="nil"/>
              <w:left w:val="nil"/>
              <w:bottom w:val="nil"/>
              <w:right w:val="nil"/>
            </w:tcBorders>
            <w:noWrap/>
            <w:hideMark/>
          </w:tcPr>
          <w:p w14:paraId="78C31F2E"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00" w:type="dxa"/>
            <w:tcBorders>
              <w:top w:val="nil"/>
              <w:left w:val="nil"/>
              <w:bottom w:val="nil"/>
              <w:right w:val="nil"/>
            </w:tcBorders>
            <w:noWrap/>
            <w:hideMark/>
          </w:tcPr>
          <w:p w14:paraId="709016D4"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386,160</w:t>
            </w:r>
          </w:p>
        </w:tc>
      </w:tr>
      <w:tr w:rsidR="00E91426" w:rsidRPr="00E91426" w14:paraId="2F730528" w14:textId="77777777" w:rsidTr="00E91426">
        <w:trPr>
          <w:trHeight w:val="255"/>
        </w:trPr>
        <w:tc>
          <w:tcPr>
            <w:tcW w:w="6520" w:type="dxa"/>
            <w:tcBorders>
              <w:top w:val="nil"/>
              <w:left w:val="nil"/>
              <w:bottom w:val="nil"/>
              <w:right w:val="nil"/>
            </w:tcBorders>
            <w:hideMark/>
          </w:tcPr>
          <w:p w14:paraId="475E367A"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High cost drugs income from commissioners</w:t>
            </w:r>
          </w:p>
        </w:tc>
        <w:tc>
          <w:tcPr>
            <w:tcW w:w="939" w:type="dxa"/>
            <w:tcBorders>
              <w:top w:val="nil"/>
              <w:left w:val="nil"/>
              <w:bottom w:val="nil"/>
              <w:right w:val="nil"/>
            </w:tcBorders>
            <w:noWrap/>
            <w:hideMark/>
          </w:tcPr>
          <w:p w14:paraId="045CAEB4"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28,140</w:t>
            </w:r>
          </w:p>
        </w:tc>
        <w:tc>
          <w:tcPr>
            <w:tcW w:w="222" w:type="dxa"/>
            <w:tcBorders>
              <w:top w:val="nil"/>
              <w:left w:val="nil"/>
              <w:bottom w:val="nil"/>
              <w:right w:val="nil"/>
            </w:tcBorders>
            <w:noWrap/>
            <w:hideMark/>
          </w:tcPr>
          <w:p w14:paraId="72A6F4B2"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00" w:type="dxa"/>
            <w:tcBorders>
              <w:top w:val="nil"/>
              <w:left w:val="nil"/>
              <w:bottom w:val="nil"/>
              <w:right w:val="nil"/>
            </w:tcBorders>
            <w:noWrap/>
            <w:hideMark/>
          </w:tcPr>
          <w:p w14:paraId="0A06518B"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27,623</w:t>
            </w:r>
          </w:p>
        </w:tc>
      </w:tr>
      <w:tr w:rsidR="00E91426" w:rsidRPr="00E91426" w14:paraId="07360F65" w14:textId="77777777" w:rsidTr="00E91426">
        <w:trPr>
          <w:trHeight w:val="285"/>
        </w:trPr>
        <w:tc>
          <w:tcPr>
            <w:tcW w:w="6520" w:type="dxa"/>
            <w:tcBorders>
              <w:top w:val="nil"/>
              <w:left w:val="nil"/>
              <w:bottom w:val="nil"/>
              <w:right w:val="nil"/>
            </w:tcBorders>
            <w:hideMark/>
          </w:tcPr>
          <w:p w14:paraId="6A99AA31"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Other NHS clinical income</w:t>
            </w:r>
          </w:p>
        </w:tc>
        <w:tc>
          <w:tcPr>
            <w:tcW w:w="939" w:type="dxa"/>
            <w:tcBorders>
              <w:top w:val="nil"/>
              <w:left w:val="nil"/>
              <w:bottom w:val="nil"/>
              <w:right w:val="nil"/>
            </w:tcBorders>
            <w:noWrap/>
            <w:hideMark/>
          </w:tcPr>
          <w:p w14:paraId="242311C3"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4,876</w:t>
            </w:r>
          </w:p>
        </w:tc>
        <w:tc>
          <w:tcPr>
            <w:tcW w:w="222" w:type="dxa"/>
            <w:tcBorders>
              <w:top w:val="nil"/>
              <w:left w:val="nil"/>
              <w:bottom w:val="nil"/>
              <w:right w:val="nil"/>
            </w:tcBorders>
            <w:noWrap/>
            <w:hideMark/>
          </w:tcPr>
          <w:p w14:paraId="706D3842"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00" w:type="dxa"/>
            <w:tcBorders>
              <w:top w:val="nil"/>
              <w:left w:val="nil"/>
              <w:bottom w:val="nil"/>
              <w:right w:val="nil"/>
            </w:tcBorders>
            <w:noWrap/>
            <w:hideMark/>
          </w:tcPr>
          <w:p w14:paraId="291434B0"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7,244</w:t>
            </w:r>
          </w:p>
        </w:tc>
      </w:tr>
      <w:tr w:rsidR="00E91426" w:rsidRPr="00E91426" w14:paraId="3FE37C33" w14:textId="77777777" w:rsidTr="00E91426">
        <w:trPr>
          <w:trHeight w:val="282"/>
        </w:trPr>
        <w:tc>
          <w:tcPr>
            <w:tcW w:w="6520" w:type="dxa"/>
            <w:tcBorders>
              <w:top w:val="nil"/>
              <w:left w:val="nil"/>
              <w:bottom w:val="nil"/>
              <w:right w:val="nil"/>
            </w:tcBorders>
            <w:hideMark/>
          </w:tcPr>
          <w:p w14:paraId="3FF945CC"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 xml:space="preserve">Private patient income </w:t>
            </w:r>
          </w:p>
        </w:tc>
        <w:tc>
          <w:tcPr>
            <w:tcW w:w="939" w:type="dxa"/>
            <w:tcBorders>
              <w:top w:val="nil"/>
              <w:left w:val="nil"/>
              <w:bottom w:val="nil"/>
              <w:right w:val="nil"/>
            </w:tcBorders>
            <w:noWrap/>
            <w:hideMark/>
          </w:tcPr>
          <w:p w14:paraId="58F76E1D"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62</w:t>
            </w:r>
          </w:p>
        </w:tc>
        <w:tc>
          <w:tcPr>
            <w:tcW w:w="222" w:type="dxa"/>
            <w:tcBorders>
              <w:top w:val="nil"/>
              <w:left w:val="nil"/>
              <w:bottom w:val="nil"/>
              <w:right w:val="nil"/>
            </w:tcBorders>
            <w:noWrap/>
            <w:hideMark/>
          </w:tcPr>
          <w:p w14:paraId="2748218F"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00" w:type="dxa"/>
            <w:tcBorders>
              <w:top w:val="nil"/>
              <w:left w:val="nil"/>
              <w:bottom w:val="nil"/>
              <w:right w:val="nil"/>
            </w:tcBorders>
            <w:noWrap/>
            <w:hideMark/>
          </w:tcPr>
          <w:p w14:paraId="153C2852"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57</w:t>
            </w:r>
          </w:p>
        </w:tc>
      </w:tr>
      <w:tr w:rsidR="00E91426" w:rsidRPr="00E91426" w14:paraId="38BEA547" w14:textId="77777777" w:rsidTr="00E91426">
        <w:trPr>
          <w:trHeight w:val="282"/>
        </w:trPr>
        <w:tc>
          <w:tcPr>
            <w:tcW w:w="6520" w:type="dxa"/>
            <w:tcBorders>
              <w:top w:val="nil"/>
              <w:left w:val="nil"/>
              <w:bottom w:val="nil"/>
              <w:right w:val="nil"/>
            </w:tcBorders>
            <w:hideMark/>
          </w:tcPr>
          <w:p w14:paraId="15208307"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Pay award central funding</w:t>
            </w:r>
            <w:r w:rsidRPr="00E91426">
              <w:rPr>
                <w:rFonts w:ascii="Arial" w:eastAsia="Times New Roman" w:hAnsi="Arial" w:cs="Arial"/>
                <w:color w:val="000000"/>
                <w:sz w:val="20"/>
                <w:szCs w:val="20"/>
                <w:vertAlign w:val="superscript"/>
                <w:lang w:val="en-GB" w:eastAsia="en-GB"/>
              </w:rPr>
              <w:t>2</w:t>
            </w:r>
          </w:p>
        </w:tc>
        <w:tc>
          <w:tcPr>
            <w:tcW w:w="939" w:type="dxa"/>
            <w:tcBorders>
              <w:top w:val="nil"/>
              <w:left w:val="nil"/>
              <w:bottom w:val="nil"/>
              <w:right w:val="nil"/>
            </w:tcBorders>
            <w:noWrap/>
            <w:hideMark/>
          </w:tcPr>
          <w:p w14:paraId="1B4F567F"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1,246</w:t>
            </w:r>
          </w:p>
        </w:tc>
        <w:tc>
          <w:tcPr>
            <w:tcW w:w="222" w:type="dxa"/>
            <w:tcBorders>
              <w:top w:val="nil"/>
              <w:left w:val="nil"/>
              <w:bottom w:val="nil"/>
              <w:right w:val="nil"/>
            </w:tcBorders>
            <w:noWrap/>
            <w:hideMark/>
          </w:tcPr>
          <w:p w14:paraId="4DB60D65"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00" w:type="dxa"/>
            <w:tcBorders>
              <w:top w:val="nil"/>
              <w:left w:val="nil"/>
              <w:bottom w:val="nil"/>
              <w:right w:val="nil"/>
            </w:tcBorders>
            <w:noWrap/>
            <w:hideMark/>
          </w:tcPr>
          <w:p w14:paraId="5C2CAB90"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187</w:t>
            </w:r>
          </w:p>
        </w:tc>
      </w:tr>
      <w:tr w:rsidR="00E91426" w:rsidRPr="00E91426" w14:paraId="3D8F6DFC" w14:textId="77777777" w:rsidTr="00E91426">
        <w:trPr>
          <w:trHeight w:val="282"/>
        </w:trPr>
        <w:tc>
          <w:tcPr>
            <w:tcW w:w="6520" w:type="dxa"/>
            <w:tcBorders>
              <w:top w:val="nil"/>
              <w:left w:val="nil"/>
              <w:bottom w:val="nil"/>
              <w:right w:val="nil"/>
            </w:tcBorders>
            <w:hideMark/>
          </w:tcPr>
          <w:p w14:paraId="04D77933"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Additional pension contribution central funding</w:t>
            </w:r>
            <w:r w:rsidRPr="00E91426">
              <w:rPr>
                <w:rFonts w:ascii="Arial" w:eastAsia="Times New Roman" w:hAnsi="Arial" w:cs="Arial"/>
                <w:color w:val="000000"/>
                <w:sz w:val="20"/>
                <w:szCs w:val="20"/>
                <w:vertAlign w:val="superscript"/>
                <w:lang w:val="en-GB" w:eastAsia="en-GB"/>
              </w:rPr>
              <w:t>3</w:t>
            </w:r>
          </w:p>
        </w:tc>
        <w:tc>
          <w:tcPr>
            <w:tcW w:w="939" w:type="dxa"/>
            <w:tcBorders>
              <w:top w:val="nil"/>
              <w:left w:val="nil"/>
              <w:bottom w:val="nil"/>
              <w:right w:val="nil"/>
            </w:tcBorders>
            <w:noWrap/>
            <w:hideMark/>
          </w:tcPr>
          <w:p w14:paraId="59515C4A"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17,984</w:t>
            </w:r>
          </w:p>
        </w:tc>
        <w:tc>
          <w:tcPr>
            <w:tcW w:w="222" w:type="dxa"/>
            <w:tcBorders>
              <w:top w:val="nil"/>
              <w:left w:val="nil"/>
              <w:bottom w:val="nil"/>
              <w:right w:val="nil"/>
            </w:tcBorders>
            <w:noWrap/>
            <w:hideMark/>
          </w:tcPr>
          <w:p w14:paraId="214E56A8"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00" w:type="dxa"/>
            <w:tcBorders>
              <w:top w:val="nil"/>
              <w:left w:val="nil"/>
              <w:bottom w:val="nil"/>
              <w:right w:val="nil"/>
            </w:tcBorders>
            <w:noWrap/>
            <w:hideMark/>
          </w:tcPr>
          <w:p w14:paraId="555F215A"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10,930</w:t>
            </w:r>
          </w:p>
        </w:tc>
      </w:tr>
      <w:tr w:rsidR="00E91426" w:rsidRPr="00E91426" w14:paraId="018528D0" w14:textId="77777777" w:rsidTr="00E91426">
        <w:trPr>
          <w:trHeight w:val="282"/>
        </w:trPr>
        <w:tc>
          <w:tcPr>
            <w:tcW w:w="6520" w:type="dxa"/>
            <w:tcBorders>
              <w:top w:val="nil"/>
              <w:left w:val="nil"/>
              <w:bottom w:val="nil"/>
              <w:right w:val="nil"/>
            </w:tcBorders>
            <w:hideMark/>
          </w:tcPr>
          <w:p w14:paraId="427B32CA"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Other clinical income</w:t>
            </w:r>
          </w:p>
        </w:tc>
        <w:tc>
          <w:tcPr>
            <w:tcW w:w="939" w:type="dxa"/>
            <w:tcBorders>
              <w:top w:val="nil"/>
              <w:left w:val="nil"/>
              <w:bottom w:val="nil"/>
              <w:right w:val="nil"/>
            </w:tcBorders>
            <w:noWrap/>
            <w:hideMark/>
          </w:tcPr>
          <w:p w14:paraId="0B584BD9"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1,908</w:t>
            </w:r>
          </w:p>
        </w:tc>
        <w:tc>
          <w:tcPr>
            <w:tcW w:w="222" w:type="dxa"/>
            <w:tcBorders>
              <w:top w:val="nil"/>
              <w:left w:val="nil"/>
              <w:bottom w:val="nil"/>
              <w:right w:val="nil"/>
            </w:tcBorders>
            <w:noWrap/>
            <w:hideMark/>
          </w:tcPr>
          <w:p w14:paraId="55627CDA"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00" w:type="dxa"/>
            <w:tcBorders>
              <w:top w:val="nil"/>
              <w:left w:val="nil"/>
              <w:bottom w:val="nil"/>
              <w:right w:val="nil"/>
            </w:tcBorders>
            <w:noWrap/>
            <w:hideMark/>
          </w:tcPr>
          <w:p w14:paraId="3E5C99CD"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1,754</w:t>
            </w:r>
          </w:p>
        </w:tc>
      </w:tr>
      <w:tr w:rsidR="00E91426" w:rsidRPr="00E91426" w14:paraId="037F7141" w14:textId="77777777" w:rsidTr="00E91426">
        <w:trPr>
          <w:trHeight w:val="282"/>
        </w:trPr>
        <w:tc>
          <w:tcPr>
            <w:tcW w:w="6520" w:type="dxa"/>
            <w:tcBorders>
              <w:top w:val="nil"/>
              <w:left w:val="nil"/>
              <w:bottom w:val="nil"/>
              <w:right w:val="nil"/>
            </w:tcBorders>
            <w:noWrap/>
            <w:hideMark/>
          </w:tcPr>
          <w:p w14:paraId="6C7B7725"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Total income from activities</w:t>
            </w:r>
          </w:p>
        </w:tc>
        <w:tc>
          <w:tcPr>
            <w:tcW w:w="939" w:type="dxa"/>
            <w:tcBorders>
              <w:top w:val="single" w:sz="4" w:space="0" w:color="auto"/>
              <w:left w:val="nil"/>
              <w:bottom w:val="double" w:sz="6" w:space="0" w:color="auto"/>
              <w:right w:val="nil"/>
            </w:tcBorders>
            <w:noWrap/>
            <w:hideMark/>
          </w:tcPr>
          <w:p w14:paraId="5796C080"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472,375</w:t>
            </w:r>
          </w:p>
        </w:tc>
        <w:tc>
          <w:tcPr>
            <w:tcW w:w="222" w:type="dxa"/>
            <w:tcBorders>
              <w:top w:val="nil"/>
              <w:left w:val="nil"/>
              <w:bottom w:val="nil"/>
              <w:right w:val="nil"/>
            </w:tcBorders>
            <w:noWrap/>
            <w:hideMark/>
          </w:tcPr>
          <w:p w14:paraId="4D63CFD5"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000" w:type="dxa"/>
            <w:tcBorders>
              <w:top w:val="single" w:sz="4" w:space="0" w:color="auto"/>
              <w:left w:val="nil"/>
              <w:bottom w:val="double" w:sz="6" w:space="0" w:color="auto"/>
              <w:right w:val="nil"/>
            </w:tcBorders>
            <w:noWrap/>
            <w:hideMark/>
          </w:tcPr>
          <w:p w14:paraId="0928F65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433,955</w:t>
            </w:r>
          </w:p>
        </w:tc>
      </w:tr>
      <w:tr w:rsidR="00E91426" w:rsidRPr="00E91426" w14:paraId="6A9201DA" w14:textId="77777777" w:rsidTr="00E91426">
        <w:trPr>
          <w:trHeight w:val="282"/>
        </w:trPr>
        <w:tc>
          <w:tcPr>
            <w:tcW w:w="6520" w:type="dxa"/>
            <w:tcBorders>
              <w:top w:val="nil"/>
              <w:left w:val="nil"/>
              <w:bottom w:val="nil"/>
              <w:right w:val="nil"/>
            </w:tcBorders>
            <w:hideMark/>
          </w:tcPr>
          <w:p w14:paraId="4B287193"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39" w:type="dxa"/>
            <w:tcBorders>
              <w:top w:val="nil"/>
              <w:left w:val="nil"/>
              <w:bottom w:val="nil"/>
              <w:right w:val="nil"/>
            </w:tcBorders>
            <w:noWrap/>
            <w:hideMark/>
          </w:tcPr>
          <w:p w14:paraId="6999FF9F" w14:textId="77777777" w:rsidR="00E91426" w:rsidRPr="00E91426" w:rsidRDefault="00E91426" w:rsidP="00E91426">
            <w:pPr>
              <w:widowControl/>
              <w:rPr>
                <w:rFonts w:ascii="Arial" w:eastAsia="Times New Roman" w:hAnsi="Arial" w:cs="Arial"/>
                <w:sz w:val="20"/>
                <w:szCs w:val="20"/>
                <w:lang w:val="en-GB" w:eastAsia="en-GB"/>
              </w:rPr>
            </w:pPr>
          </w:p>
        </w:tc>
        <w:tc>
          <w:tcPr>
            <w:tcW w:w="222" w:type="dxa"/>
            <w:tcBorders>
              <w:top w:val="nil"/>
              <w:left w:val="nil"/>
              <w:bottom w:val="nil"/>
              <w:right w:val="nil"/>
            </w:tcBorders>
            <w:noWrap/>
            <w:hideMark/>
          </w:tcPr>
          <w:p w14:paraId="53F07431" w14:textId="77777777" w:rsidR="00E91426" w:rsidRPr="00E91426" w:rsidRDefault="00E91426" w:rsidP="00E91426">
            <w:pPr>
              <w:widowControl/>
              <w:rPr>
                <w:rFonts w:ascii="Arial" w:eastAsia="Times New Roman" w:hAnsi="Arial" w:cs="Arial"/>
                <w:sz w:val="20"/>
                <w:szCs w:val="20"/>
                <w:lang w:val="en-GB" w:eastAsia="en-GB"/>
              </w:rPr>
            </w:pPr>
          </w:p>
        </w:tc>
        <w:tc>
          <w:tcPr>
            <w:tcW w:w="1000" w:type="dxa"/>
            <w:tcBorders>
              <w:top w:val="nil"/>
              <w:left w:val="nil"/>
              <w:bottom w:val="nil"/>
              <w:right w:val="nil"/>
            </w:tcBorders>
            <w:noWrap/>
            <w:hideMark/>
          </w:tcPr>
          <w:p w14:paraId="4AA65830"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74A3AEB2" w14:textId="77777777" w:rsidTr="00E91426">
        <w:trPr>
          <w:trHeight w:val="1159"/>
        </w:trPr>
        <w:tc>
          <w:tcPr>
            <w:tcW w:w="8681" w:type="dxa"/>
            <w:gridSpan w:val="4"/>
            <w:tcBorders>
              <w:top w:val="nil"/>
              <w:left w:val="nil"/>
              <w:bottom w:val="nil"/>
              <w:right w:val="nil"/>
            </w:tcBorders>
            <w:hideMark/>
          </w:tcPr>
          <w:p w14:paraId="7E5DEEEB" w14:textId="77777777" w:rsidR="00E91426" w:rsidRPr="00E91426" w:rsidRDefault="00E91426" w:rsidP="00E91426">
            <w:pPr>
              <w:widowControl/>
              <w:rPr>
                <w:rFonts w:ascii="Arial" w:eastAsia="Times New Roman" w:hAnsi="Arial" w:cs="Arial"/>
                <w:color w:val="000000"/>
                <w:sz w:val="18"/>
                <w:szCs w:val="18"/>
                <w:lang w:val="en-GB" w:eastAsia="en-GB"/>
              </w:rPr>
            </w:pPr>
            <w:r w:rsidRPr="00E91426">
              <w:rPr>
                <w:rFonts w:ascii="Arial" w:eastAsia="Times New Roman" w:hAnsi="Arial" w:cs="Arial"/>
                <w:color w:val="000000"/>
                <w:sz w:val="18"/>
                <w:szCs w:val="18"/>
                <w:vertAlign w:val="superscript"/>
                <w:lang w:val="en-GB" w:eastAsia="en-GB"/>
              </w:rPr>
              <w:t>1</w:t>
            </w:r>
            <w:r w:rsidRPr="00E91426">
              <w:rPr>
                <w:rFonts w:ascii="Arial" w:eastAsia="Times New Roman" w:hAnsi="Arial" w:cs="Arial"/>
                <w:color w:val="000000"/>
                <w:sz w:val="18"/>
                <w:szCs w:val="18"/>
                <w:lang w:val="en-GB" w:eastAsia="en-GB"/>
              </w:rPr>
              <w:t>Aligned payment and incentive contracts are the main form of contracting between NHS providers and their commissioners. This includes £90,047k (2023/24 £75,841k) variable income based on activity and £328,112k (2023/24 £310,319k) fixed income.</w:t>
            </w:r>
            <w:r w:rsidRPr="00E91426">
              <w:rPr>
                <w:rFonts w:ascii="Arial" w:eastAsia="Times New Roman" w:hAnsi="Arial" w:cs="Arial"/>
                <w:color w:val="000000"/>
                <w:sz w:val="18"/>
                <w:szCs w:val="18"/>
                <w:lang w:val="en-GB" w:eastAsia="en-GB"/>
              </w:rPr>
              <w:br/>
              <w:t>More information can be found in the 2024/25 NHS Payment Scheme documentation. https://www.england.nhs.uk/pay-syst/nhs-payment-scheme</w:t>
            </w:r>
          </w:p>
        </w:tc>
      </w:tr>
      <w:tr w:rsidR="00E91426" w:rsidRPr="00E91426" w14:paraId="17505079" w14:textId="77777777" w:rsidTr="00E91426">
        <w:trPr>
          <w:trHeight w:val="991"/>
        </w:trPr>
        <w:tc>
          <w:tcPr>
            <w:tcW w:w="8681" w:type="dxa"/>
            <w:gridSpan w:val="4"/>
            <w:tcBorders>
              <w:top w:val="nil"/>
              <w:left w:val="nil"/>
              <w:bottom w:val="nil"/>
              <w:right w:val="nil"/>
            </w:tcBorders>
            <w:hideMark/>
          </w:tcPr>
          <w:p w14:paraId="4671D049" w14:textId="77777777" w:rsidR="00E91426" w:rsidRPr="00E91426" w:rsidRDefault="00E91426" w:rsidP="00E91426">
            <w:pPr>
              <w:widowControl/>
              <w:rPr>
                <w:rFonts w:ascii="Arial" w:eastAsia="Times New Roman" w:hAnsi="Arial" w:cs="Arial"/>
                <w:color w:val="000000"/>
                <w:sz w:val="18"/>
                <w:szCs w:val="18"/>
                <w:lang w:val="en-GB" w:eastAsia="en-GB"/>
              </w:rPr>
            </w:pPr>
            <w:r w:rsidRPr="00E91426">
              <w:rPr>
                <w:rFonts w:ascii="Arial" w:eastAsia="Times New Roman" w:hAnsi="Arial" w:cs="Arial"/>
                <w:color w:val="000000"/>
                <w:sz w:val="18"/>
                <w:szCs w:val="18"/>
                <w:vertAlign w:val="superscript"/>
                <w:lang w:val="en-GB" w:eastAsia="en-GB"/>
              </w:rPr>
              <w:t>2</w:t>
            </w:r>
            <w:r w:rsidRPr="00E91426">
              <w:rPr>
                <w:rFonts w:ascii="Arial" w:eastAsia="Times New Roman" w:hAnsi="Arial" w:cs="Arial"/>
                <w:color w:val="000000"/>
                <w:sz w:val="18"/>
                <w:szCs w:val="18"/>
                <w:lang w:val="en-GB" w:eastAsia="en-GB"/>
              </w:rPr>
              <w:t>Additional funding was made available directly to providers by NHS England in 2024/25 and 2023/24 for implementing the backdated element of pay awards where government offers were finalised after the end of the financial year. NHS Payment Scheme prices and API contracts are updated for the weighted uplift in in-year pay costs when awards are finalised.</w:t>
            </w:r>
          </w:p>
        </w:tc>
      </w:tr>
      <w:tr w:rsidR="00E91426" w:rsidRPr="00E91426" w14:paraId="50F6D18A" w14:textId="77777777" w:rsidTr="00E91426">
        <w:trPr>
          <w:trHeight w:val="1133"/>
        </w:trPr>
        <w:tc>
          <w:tcPr>
            <w:tcW w:w="8681" w:type="dxa"/>
            <w:gridSpan w:val="4"/>
            <w:tcBorders>
              <w:top w:val="nil"/>
              <w:left w:val="nil"/>
              <w:bottom w:val="nil"/>
              <w:right w:val="nil"/>
            </w:tcBorders>
            <w:hideMark/>
          </w:tcPr>
          <w:p w14:paraId="7F2BDE29" w14:textId="77777777" w:rsidR="00E91426" w:rsidRPr="00E91426" w:rsidRDefault="00E91426" w:rsidP="00E91426">
            <w:pPr>
              <w:widowControl/>
              <w:rPr>
                <w:rFonts w:ascii="Arial" w:eastAsia="Times New Roman" w:hAnsi="Arial" w:cs="Arial"/>
                <w:color w:val="000000"/>
                <w:sz w:val="18"/>
                <w:szCs w:val="18"/>
                <w:lang w:val="en-GB" w:eastAsia="en-GB"/>
              </w:rPr>
            </w:pPr>
            <w:r w:rsidRPr="00E91426">
              <w:rPr>
                <w:rFonts w:ascii="Arial" w:eastAsia="Times New Roman" w:hAnsi="Arial" w:cs="Arial"/>
                <w:color w:val="000000"/>
                <w:sz w:val="18"/>
                <w:szCs w:val="18"/>
                <w:vertAlign w:val="superscript"/>
                <w:lang w:val="en-GB" w:eastAsia="en-GB"/>
              </w:rPr>
              <w:t>3</w:t>
            </w:r>
            <w:r w:rsidRPr="00E91426">
              <w:rPr>
                <w:rFonts w:ascii="Arial" w:eastAsia="Times New Roman" w:hAnsi="Arial" w:cs="Arial"/>
                <w:color w:val="000000"/>
                <w:sz w:val="18"/>
                <w:szCs w:val="18"/>
                <w:lang w:val="en-GB" w:eastAsia="en-GB"/>
              </w:rPr>
              <w:t>Increases to the employer contribution rate for NHS pensions since 1 April 2019 have been funded by NHS England. NHS providers continue to pay at the former rate of 14.3% with the additional amount being paid over by NHS England on providers' behalf. The full cost of employer contributions (23.7%, 2023/24: 20.6%) and related NHS England funding (9.4%, 2023/24: 6.3%) have been recognised in these accounts.</w:t>
            </w:r>
          </w:p>
        </w:tc>
      </w:tr>
      <w:tr w:rsidR="00E91426" w:rsidRPr="00E91426" w14:paraId="2A4CFDE1" w14:textId="77777777" w:rsidTr="00E91426">
        <w:trPr>
          <w:trHeight w:val="282"/>
        </w:trPr>
        <w:tc>
          <w:tcPr>
            <w:tcW w:w="6520" w:type="dxa"/>
            <w:tcBorders>
              <w:top w:val="nil"/>
              <w:left w:val="nil"/>
              <w:bottom w:val="nil"/>
              <w:right w:val="nil"/>
            </w:tcBorders>
            <w:hideMark/>
          </w:tcPr>
          <w:p w14:paraId="27D184B5" w14:textId="77777777" w:rsidR="00E91426" w:rsidRPr="00E91426" w:rsidRDefault="00E91426" w:rsidP="00E91426">
            <w:pPr>
              <w:widowControl/>
              <w:rPr>
                <w:rFonts w:ascii="Arial" w:eastAsia="Times New Roman" w:hAnsi="Arial" w:cs="Arial"/>
                <w:b/>
                <w:bCs/>
                <w:color w:val="000000"/>
                <w:sz w:val="20"/>
                <w:szCs w:val="20"/>
                <w:lang w:val="en-GB" w:eastAsia="en-GB"/>
              </w:rPr>
            </w:pPr>
          </w:p>
          <w:p w14:paraId="2BDCEAF9"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Note 3.2 Income from patient care activities (by source)</w:t>
            </w:r>
          </w:p>
        </w:tc>
        <w:tc>
          <w:tcPr>
            <w:tcW w:w="939" w:type="dxa"/>
            <w:tcBorders>
              <w:top w:val="nil"/>
              <w:left w:val="nil"/>
              <w:bottom w:val="nil"/>
              <w:right w:val="nil"/>
            </w:tcBorders>
            <w:noWrap/>
            <w:hideMark/>
          </w:tcPr>
          <w:p w14:paraId="552F166B"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222" w:type="dxa"/>
            <w:tcBorders>
              <w:top w:val="nil"/>
              <w:left w:val="nil"/>
              <w:bottom w:val="nil"/>
              <w:right w:val="nil"/>
            </w:tcBorders>
            <w:noWrap/>
            <w:hideMark/>
          </w:tcPr>
          <w:p w14:paraId="0A7BD70C" w14:textId="77777777" w:rsidR="00E91426" w:rsidRPr="00E91426" w:rsidRDefault="00E91426" w:rsidP="00E91426">
            <w:pPr>
              <w:widowControl/>
              <w:rPr>
                <w:rFonts w:ascii="Arial" w:eastAsia="Times New Roman" w:hAnsi="Arial" w:cs="Arial"/>
                <w:sz w:val="20"/>
                <w:szCs w:val="20"/>
                <w:lang w:val="en-GB" w:eastAsia="en-GB"/>
              </w:rPr>
            </w:pPr>
          </w:p>
        </w:tc>
        <w:tc>
          <w:tcPr>
            <w:tcW w:w="1000" w:type="dxa"/>
            <w:tcBorders>
              <w:top w:val="nil"/>
              <w:left w:val="nil"/>
              <w:bottom w:val="nil"/>
              <w:right w:val="nil"/>
            </w:tcBorders>
            <w:noWrap/>
            <w:hideMark/>
          </w:tcPr>
          <w:p w14:paraId="4BF5A879"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1E8BA342" w14:textId="77777777" w:rsidTr="00E91426">
        <w:trPr>
          <w:trHeight w:val="282"/>
        </w:trPr>
        <w:tc>
          <w:tcPr>
            <w:tcW w:w="6520" w:type="dxa"/>
            <w:tcBorders>
              <w:top w:val="nil"/>
              <w:left w:val="nil"/>
              <w:bottom w:val="nil"/>
              <w:right w:val="nil"/>
            </w:tcBorders>
            <w:hideMark/>
          </w:tcPr>
          <w:p w14:paraId="66B464FF" w14:textId="77777777" w:rsidR="00E91426" w:rsidRPr="00E91426" w:rsidRDefault="00E91426" w:rsidP="00E91426">
            <w:pPr>
              <w:widowControl/>
              <w:rPr>
                <w:rFonts w:ascii="Arial" w:eastAsia="Times New Roman" w:hAnsi="Arial" w:cs="Arial"/>
                <w:sz w:val="20"/>
                <w:szCs w:val="20"/>
                <w:lang w:val="en-GB" w:eastAsia="en-GB"/>
              </w:rPr>
            </w:pPr>
          </w:p>
        </w:tc>
        <w:tc>
          <w:tcPr>
            <w:tcW w:w="939" w:type="dxa"/>
            <w:tcBorders>
              <w:top w:val="nil"/>
              <w:left w:val="nil"/>
              <w:bottom w:val="nil"/>
              <w:right w:val="nil"/>
            </w:tcBorders>
            <w:noWrap/>
            <w:hideMark/>
          </w:tcPr>
          <w:p w14:paraId="319376AF" w14:textId="77777777" w:rsidR="00E91426" w:rsidRPr="00E91426" w:rsidRDefault="00E91426" w:rsidP="00E91426">
            <w:pPr>
              <w:widowControl/>
              <w:rPr>
                <w:rFonts w:ascii="Arial" w:eastAsia="Times New Roman" w:hAnsi="Arial" w:cs="Arial"/>
                <w:sz w:val="20"/>
                <w:szCs w:val="20"/>
                <w:lang w:val="en-GB" w:eastAsia="en-GB"/>
              </w:rPr>
            </w:pPr>
          </w:p>
        </w:tc>
        <w:tc>
          <w:tcPr>
            <w:tcW w:w="222" w:type="dxa"/>
            <w:tcBorders>
              <w:top w:val="nil"/>
              <w:left w:val="nil"/>
              <w:bottom w:val="nil"/>
              <w:right w:val="nil"/>
            </w:tcBorders>
            <w:noWrap/>
            <w:hideMark/>
          </w:tcPr>
          <w:p w14:paraId="013CEE92" w14:textId="77777777" w:rsidR="00E91426" w:rsidRPr="00E91426" w:rsidRDefault="00E91426" w:rsidP="00E91426">
            <w:pPr>
              <w:widowControl/>
              <w:rPr>
                <w:rFonts w:ascii="Arial" w:eastAsia="Times New Roman" w:hAnsi="Arial" w:cs="Arial"/>
                <w:sz w:val="20"/>
                <w:szCs w:val="20"/>
                <w:lang w:val="en-GB" w:eastAsia="en-GB"/>
              </w:rPr>
            </w:pPr>
          </w:p>
        </w:tc>
        <w:tc>
          <w:tcPr>
            <w:tcW w:w="1000" w:type="dxa"/>
            <w:tcBorders>
              <w:top w:val="nil"/>
              <w:left w:val="nil"/>
              <w:bottom w:val="nil"/>
              <w:right w:val="nil"/>
            </w:tcBorders>
            <w:noWrap/>
            <w:hideMark/>
          </w:tcPr>
          <w:p w14:paraId="19990619"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6BF6D662" w14:textId="77777777" w:rsidTr="00E91426">
        <w:trPr>
          <w:trHeight w:val="282"/>
        </w:trPr>
        <w:tc>
          <w:tcPr>
            <w:tcW w:w="6520" w:type="dxa"/>
            <w:tcBorders>
              <w:top w:val="nil"/>
              <w:left w:val="nil"/>
              <w:bottom w:val="nil"/>
              <w:right w:val="nil"/>
            </w:tcBorders>
            <w:hideMark/>
          </w:tcPr>
          <w:p w14:paraId="6E02E677"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Income from patient care activities received from:</w:t>
            </w:r>
          </w:p>
        </w:tc>
        <w:tc>
          <w:tcPr>
            <w:tcW w:w="939" w:type="dxa"/>
            <w:tcBorders>
              <w:top w:val="nil"/>
              <w:left w:val="nil"/>
              <w:bottom w:val="nil"/>
              <w:right w:val="nil"/>
            </w:tcBorders>
            <w:hideMark/>
          </w:tcPr>
          <w:p w14:paraId="0050505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2024/25</w:t>
            </w:r>
          </w:p>
        </w:tc>
        <w:tc>
          <w:tcPr>
            <w:tcW w:w="222" w:type="dxa"/>
            <w:tcBorders>
              <w:top w:val="nil"/>
              <w:left w:val="nil"/>
              <w:bottom w:val="nil"/>
              <w:right w:val="nil"/>
            </w:tcBorders>
            <w:hideMark/>
          </w:tcPr>
          <w:p w14:paraId="2427DC0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000" w:type="dxa"/>
            <w:tcBorders>
              <w:top w:val="nil"/>
              <w:left w:val="nil"/>
              <w:bottom w:val="nil"/>
              <w:right w:val="nil"/>
            </w:tcBorders>
            <w:hideMark/>
          </w:tcPr>
          <w:p w14:paraId="28309CA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2023/24</w:t>
            </w:r>
          </w:p>
        </w:tc>
      </w:tr>
      <w:tr w:rsidR="00E91426" w:rsidRPr="00E91426" w14:paraId="2A4B9D00" w14:textId="77777777" w:rsidTr="00E91426">
        <w:trPr>
          <w:trHeight w:val="282"/>
        </w:trPr>
        <w:tc>
          <w:tcPr>
            <w:tcW w:w="6520" w:type="dxa"/>
            <w:tcBorders>
              <w:top w:val="nil"/>
              <w:left w:val="nil"/>
              <w:bottom w:val="nil"/>
              <w:right w:val="nil"/>
            </w:tcBorders>
            <w:noWrap/>
            <w:hideMark/>
          </w:tcPr>
          <w:p w14:paraId="778B6961"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39" w:type="dxa"/>
            <w:tcBorders>
              <w:top w:val="nil"/>
              <w:left w:val="nil"/>
              <w:bottom w:val="nil"/>
              <w:right w:val="nil"/>
            </w:tcBorders>
            <w:hideMark/>
          </w:tcPr>
          <w:p w14:paraId="3A56B12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222" w:type="dxa"/>
            <w:tcBorders>
              <w:top w:val="nil"/>
              <w:left w:val="nil"/>
              <w:bottom w:val="nil"/>
              <w:right w:val="nil"/>
            </w:tcBorders>
            <w:hideMark/>
          </w:tcPr>
          <w:p w14:paraId="2AD67225"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000" w:type="dxa"/>
            <w:tcBorders>
              <w:top w:val="nil"/>
              <w:left w:val="nil"/>
              <w:bottom w:val="nil"/>
              <w:right w:val="nil"/>
            </w:tcBorders>
            <w:hideMark/>
          </w:tcPr>
          <w:p w14:paraId="7FE5B48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r>
      <w:tr w:rsidR="00E91426" w:rsidRPr="00E91426" w14:paraId="54CA8673" w14:textId="77777777" w:rsidTr="00E91426">
        <w:trPr>
          <w:trHeight w:val="282"/>
        </w:trPr>
        <w:tc>
          <w:tcPr>
            <w:tcW w:w="6520" w:type="dxa"/>
            <w:tcBorders>
              <w:top w:val="nil"/>
              <w:left w:val="nil"/>
              <w:bottom w:val="nil"/>
              <w:right w:val="nil"/>
            </w:tcBorders>
            <w:hideMark/>
          </w:tcPr>
          <w:p w14:paraId="31D2C984"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NHS England</w:t>
            </w:r>
          </w:p>
        </w:tc>
        <w:tc>
          <w:tcPr>
            <w:tcW w:w="939" w:type="dxa"/>
            <w:tcBorders>
              <w:top w:val="nil"/>
              <w:left w:val="nil"/>
              <w:bottom w:val="nil"/>
              <w:right w:val="nil"/>
            </w:tcBorders>
            <w:noWrap/>
            <w:hideMark/>
          </w:tcPr>
          <w:p w14:paraId="7E898F7C"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71,455</w:t>
            </w:r>
          </w:p>
        </w:tc>
        <w:tc>
          <w:tcPr>
            <w:tcW w:w="222" w:type="dxa"/>
            <w:tcBorders>
              <w:top w:val="nil"/>
              <w:left w:val="nil"/>
              <w:bottom w:val="nil"/>
              <w:right w:val="nil"/>
            </w:tcBorders>
            <w:noWrap/>
            <w:hideMark/>
          </w:tcPr>
          <w:p w14:paraId="7E5293A3"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00" w:type="dxa"/>
            <w:tcBorders>
              <w:top w:val="nil"/>
              <w:left w:val="nil"/>
              <w:bottom w:val="nil"/>
              <w:right w:val="nil"/>
            </w:tcBorders>
            <w:noWrap/>
            <w:hideMark/>
          </w:tcPr>
          <w:p w14:paraId="40F6BD57"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61,052</w:t>
            </w:r>
          </w:p>
        </w:tc>
      </w:tr>
      <w:tr w:rsidR="00E91426" w:rsidRPr="00E91426" w14:paraId="51D413CA" w14:textId="77777777" w:rsidTr="00E91426">
        <w:trPr>
          <w:trHeight w:val="282"/>
        </w:trPr>
        <w:tc>
          <w:tcPr>
            <w:tcW w:w="6520" w:type="dxa"/>
            <w:tcBorders>
              <w:top w:val="nil"/>
              <w:left w:val="nil"/>
              <w:bottom w:val="nil"/>
              <w:right w:val="nil"/>
            </w:tcBorders>
            <w:hideMark/>
          </w:tcPr>
          <w:p w14:paraId="7894CD6E"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Integrated care boards</w:t>
            </w:r>
          </w:p>
        </w:tc>
        <w:tc>
          <w:tcPr>
            <w:tcW w:w="939" w:type="dxa"/>
            <w:tcBorders>
              <w:top w:val="nil"/>
              <w:left w:val="nil"/>
              <w:bottom w:val="nil"/>
              <w:right w:val="nil"/>
            </w:tcBorders>
            <w:noWrap/>
            <w:hideMark/>
          </w:tcPr>
          <w:p w14:paraId="7F99E520"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398,341</w:t>
            </w:r>
          </w:p>
        </w:tc>
        <w:tc>
          <w:tcPr>
            <w:tcW w:w="222" w:type="dxa"/>
            <w:tcBorders>
              <w:top w:val="nil"/>
              <w:left w:val="nil"/>
              <w:bottom w:val="nil"/>
              <w:right w:val="nil"/>
            </w:tcBorders>
            <w:noWrap/>
            <w:hideMark/>
          </w:tcPr>
          <w:p w14:paraId="4DF7F9AE"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00" w:type="dxa"/>
            <w:tcBorders>
              <w:top w:val="nil"/>
              <w:left w:val="nil"/>
              <w:bottom w:val="nil"/>
              <w:right w:val="nil"/>
            </w:tcBorders>
            <w:noWrap/>
            <w:hideMark/>
          </w:tcPr>
          <w:p w14:paraId="3D326832"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370,877</w:t>
            </w:r>
          </w:p>
        </w:tc>
      </w:tr>
      <w:tr w:rsidR="00E91426" w:rsidRPr="00E91426" w14:paraId="4ECFB82E" w14:textId="77777777" w:rsidTr="00E91426">
        <w:trPr>
          <w:trHeight w:val="282"/>
        </w:trPr>
        <w:tc>
          <w:tcPr>
            <w:tcW w:w="6520" w:type="dxa"/>
            <w:tcBorders>
              <w:top w:val="nil"/>
              <w:left w:val="nil"/>
              <w:bottom w:val="nil"/>
              <w:right w:val="nil"/>
            </w:tcBorders>
            <w:hideMark/>
          </w:tcPr>
          <w:p w14:paraId="50080D1D"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Other NHS providers</w:t>
            </w:r>
          </w:p>
        </w:tc>
        <w:tc>
          <w:tcPr>
            <w:tcW w:w="939" w:type="dxa"/>
            <w:tcBorders>
              <w:top w:val="nil"/>
              <w:left w:val="nil"/>
              <w:bottom w:val="nil"/>
              <w:right w:val="nil"/>
            </w:tcBorders>
            <w:noWrap/>
            <w:hideMark/>
          </w:tcPr>
          <w:p w14:paraId="5FEBFE7B"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609</w:t>
            </w:r>
          </w:p>
        </w:tc>
        <w:tc>
          <w:tcPr>
            <w:tcW w:w="222" w:type="dxa"/>
            <w:tcBorders>
              <w:top w:val="nil"/>
              <w:left w:val="nil"/>
              <w:bottom w:val="nil"/>
              <w:right w:val="nil"/>
            </w:tcBorders>
            <w:noWrap/>
            <w:hideMark/>
          </w:tcPr>
          <w:p w14:paraId="7B8E9291"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00" w:type="dxa"/>
            <w:tcBorders>
              <w:top w:val="nil"/>
              <w:left w:val="nil"/>
              <w:bottom w:val="nil"/>
              <w:right w:val="nil"/>
            </w:tcBorders>
            <w:noWrap/>
            <w:hideMark/>
          </w:tcPr>
          <w:p w14:paraId="2799B55F"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215</w:t>
            </w:r>
          </w:p>
        </w:tc>
      </w:tr>
      <w:tr w:rsidR="00E91426" w:rsidRPr="00E91426" w14:paraId="08EBB240" w14:textId="77777777" w:rsidTr="00E91426">
        <w:trPr>
          <w:trHeight w:val="282"/>
        </w:trPr>
        <w:tc>
          <w:tcPr>
            <w:tcW w:w="6520" w:type="dxa"/>
            <w:tcBorders>
              <w:top w:val="nil"/>
              <w:left w:val="nil"/>
              <w:bottom w:val="nil"/>
              <w:right w:val="nil"/>
            </w:tcBorders>
            <w:hideMark/>
          </w:tcPr>
          <w:p w14:paraId="11D99F2B"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Non-NHS: private patients</w:t>
            </w:r>
          </w:p>
        </w:tc>
        <w:tc>
          <w:tcPr>
            <w:tcW w:w="939" w:type="dxa"/>
            <w:tcBorders>
              <w:top w:val="nil"/>
              <w:left w:val="nil"/>
              <w:bottom w:val="nil"/>
              <w:right w:val="nil"/>
            </w:tcBorders>
            <w:noWrap/>
            <w:hideMark/>
          </w:tcPr>
          <w:p w14:paraId="64BC0205"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62</w:t>
            </w:r>
          </w:p>
        </w:tc>
        <w:tc>
          <w:tcPr>
            <w:tcW w:w="222" w:type="dxa"/>
            <w:tcBorders>
              <w:top w:val="nil"/>
              <w:left w:val="nil"/>
              <w:bottom w:val="nil"/>
              <w:right w:val="nil"/>
            </w:tcBorders>
            <w:noWrap/>
            <w:hideMark/>
          </w:tcPr>
          <w:p w14:paraId="1BA66C02"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00" w:type="dxa"/>
            <w:tcBorders>
              <w:top w:val="nil"/>
              <w:left w:val="nil"/>
              <w:bottom w:val="nil"/>
              <w:right w:val="nil"/>
            </w:tcBorders>
            <w:noWrap/>
            <w:hideMark/>
          </w:tcPr>
          <w:p w14:paraId="5A8A5BAC"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57</w:t>
            </w:r>
          </w:p>
        </w:tc>
      </w:tr>
      <w:tr w:rsidR="00E91426" w:rsidRPr="00E91426" w14:paraId="794C6A31" w14:textId="77777777" w:rsidTr="00E91426">
        <w:trPr>
          <w:trHeight w:val="282"/>
        </w:trPr>
        <w:tc>
          <w:tcPr>
            <w:tcW w:w="6520" w:type="dxa"/>
            <w:tcBorders>
              <w:top w:val="nil"/>
              <w:left w:val="nil"/>
              <w:bottom w:val="nil"/>
              <w:right w:val="nil"/>
            </w:tcBorders>
            <w:hideMark/>
          </w:tcPr>
          <w:p w14:paraId="5521EFC8"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 xml:space="preserve">Non-NHS: overseas patients (chargeable to patient) </w:t>
            </w:r>
          </w:p>
        </w:tc>
        <w:tc>
          <w:tcPr>
            <w:tcW w:w="939" w:type="dxa"/>
            <w:tcBorders>
              <w:top w:val="nil"/>
              <w:left w:val="nil"/>
              <w:bottom w:val="nil"/>
              <w:right w:val="nil"/>
            </w:tcBorders>
            <w:noWrap/>
            <w:hideMark/>
          </w:tcPr>
          <w:p w14:paraId="11F89DC8"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474</w:t>
            </w:r>
          </w:p>
        </w:tc>
        <w:tc>
          <w:tcPr>
            <w:tcW w:w="222" w:type="dxa"/>
            <w:tcBorders>
              <w:top w:val="nil"/>
              <w:left w:val="nil"/>
              <w:bottom w:val="nil"/>
              <w:right w:val="nil"/>
            </w:tcBorders>
            <w:noWrap/>
            <w:hideMark/>
          </w:tcPr>
          <w:p w14:paraId="09C9B822"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00" w:type="dxa"/>
            <w:tcBorders>
              <w:top w:val="nil"/>
              <w:left w:val="nil"/>
              <w:bottom w:val="nil"/>
              <w:right w:val="nil"/>
            </w:tcBorders>
            <w:noWrap/>
            <w:hideMark/>
          </w:tcPr>
          <w:p w14:paraId="1AA9A5DA"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561</w:t>
            </w:r>
          </w:p>
        </w:tc>
      </w:tr>
      <w:tr w:rsidR="00E91426" w:rsidRPr="00E91426" w14:paraId="23D48C1F" w14:textId="77777777" w:rsidTr="00E91426">
        <w:trPr>
          <w:trHeight w:val="282"/>
        </w:trPr>
        <w:tc>
          <w:tcPr>
            <w:tcW w:w="6520" w:type="dxa"/>
            <w:tcBorders>
              <w:top w:val="nil"/>
              <w:left w:val="nil"/>
              <w:bottom w:val="nil"/>
              <w:right w:val="nil"/>
            </w:tcBorders>
            <w:hideMark/>
          </w:tcPr>
          <w:p w14:paraId="0392DD61"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Injury cost recovery scheme</w:t>
            </w:r>
            <w:r w:rsidRPr="00E91426">
              <w:rPr>
                <w:rFonts w:ascii="Arial" w:eastAsia="Times New Roman" w:hAnsi="Arial" w:cs="Arial"/>
                <w:color w:val="000000"/>
                <w:sz w:val="20"/>
                <w:szCs w:val="20"/>
                <w:vertAlign w:val="superscript"/>
                <w:lang w:val="en-GB" w:eastAsia="en-GB"/>
              </w:rPr>
              <w:t>1</w:t>
            </w:r>
          </w:p>
        </w:tc>
        <w:tc>
          <w:tcPr>
            <w:tcW w:w="939" w:type="dxa"/>
            <w:tcBorders>
              <w:top w:val="nil"/>
              <w:left w:val="nil"/>
              <w:bottom w:val="nil"/>
              <w:right w:val="nil"/>
            </w:tcBorders>
            <w:noWrap/>
            <w:hideMark/>
          </w:tcPr>
          <w:p w14:paraId="34438437"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1,274</w:t>
            </w:r>
          </w:p>
        </w:tc>
        <w:tc>
          <w:tcPr>
            <w:tcW w:w="222" w:type="dxa"/>
            <w:tcBorders>
              <w:top w:val="nil"/>
              <w:left w:val="nil"/>
              <w:bottom w:val="nil"/>
              <w:right w:val="nil"/>
            </w:tcBorders>
            <w:noWrap/>
            <w:hideMark/>
          </w:tcPr>
          <w:p w14:paraId="1D3411BE"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00" w:type="dxa"/>
            <w:tcBorders>
              <w:top w:val="nil"/>
              <w:left w:val="nil"/>
              <w:bottom w:val="nil"/>
              <w:right w:val="nil"/>
            </w:tcBorders>
            <w:noWrap/>
            <w:hideMark/>
          </w:tcPr>
          <w:p w14:paraId="71995EBE"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1,193</w:t>
            </w:r>
          </w:p>
        </w:tc>
      </w:tr>
      <w:tr w:rsidR="00E91426" w:rsidRPr="00E91426" w14:paraId="03B15090" w14:textId="77777777" w:rsidTr="00E91426">
        <w:trPr>
          <w:trHeight w:val="282"/>
        </w:trPr>
        <w:tc>
          <w:tcPr>
            <w:tcW w:w="6520" w:type="dxa"/>
            <w:tcBorders>
              <w:top w:val="nil"/>
              <w:left w:val="nil"/>
              <w:bottom w:val="nil"/>
              <w:right w:val="nil"/>
            </w:tcBorders>
            <w:hideMark/>
          </w:tcPr>
          <w:p w14:paraId="2C1046B9" w14:textId="77777777" w:rsidR="00E91426" w:rsidRPr="00E91426" w:rsidRDefault="00E91426" w:rsidP="00E91426">
            <w:pPr>
              <w:widowControl/>
              <w:rPr>
                <w:rFonts w:ascii="Arial" w:eastAsia="Times New Roman" w:hAnsi="Arial" w:cs="Arial"/>
                <w:color w:val="000000"/>
                <w:sz w:val="20"/>
                <w:szCs w:val="20"/>
                <w:lang w:val="en-GB" w:eastAsia="en-GB"/>
              </w:rPr>
            </w:pPr>
            <w:proofErr w:type="gramStart"/>
            <w:r w:rsidRPr="00E91426">
              <w:rPr>
                <w:rFonts w:ascii="Arial" w:eastAsia="Times New Roman" w:hAnsi="Arial" w:cs="Arial"/>
                <w:color w:val="000000"/>
                <w:sz w:val="20"/>
                <w:szCs w:val="20"/>
                <w:lang w:val="en-GB" w:eastAsia="en-GB"/>
              </w:rPr>
              <w:t>Non NHS</w:t>
            </w:r>
            <w:proofErr w:type="gramEnd"/>
            <w:r w:rsidRPr="00E91426">
              <w:rPr>
                <w:rFonts w:ascii="Arial" w:eastAsia="Times New Roman" w:hAnsi="Arial" w:cs="Arial"/>
                <w:color w:val="000000"/>
                <w:sz w:val="20"/>
                <w:szCs w:val="20"/>
                <w:lang w:val="en-GB" w:eastAsia="en-GB"/>
              </w:rPr>
              <w:t>: other</w:t>
            </w:r>
          </w:p>
        </w:tc>
        <w:tc>
          <w:tcPr>
            <w:tcW w:w="939" w:type="dxa"/>
            <w:tcBorders>
              <w:top w:val="nil"/>
              <w:left w:val="nil"/>
              <w:bottom w:val="nil"/>
              <w:right w:val="nil"/>
            </w:tcBorders>
            <w:noWrap/>
            <w:hideMark/>
          </w:tcPr>
          <w:p w14:paraId="0775E94C"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160</w:t>
            </w:r>
          </w:p>
        </w:tc>
        <w:tc>
          <w:tcPr>
            <w:tcW w:w="222" w:type="dxa"/>
            <w:tcBorders>
              <w:top w:val="nil"/>
              <w:left w:val="nil"/>
              <w:bottom w:val="nil"/>
              <w:right w:val="nil"/>
            </w:tcBorders>
            <w:noWrap/>
            <w:hideMark/>
          </w:tcPr>
          <w:p w14:paraId="5183C407"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00" w:type="dxa"/>
            <w:tcBorders>
              <w:top w:val="nil"/>
              <w:left w:val="nil"/>
              <w:bottom w:val="nil"/>
              <w:right w:val="nil"/>
            </w:tcBorders>
            <w:noWrap/>
            <w:hideMark/>
          </w:tcPr>
          <w:p w14:paraId="47041BF5"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r>
      <w:tr w:rsidR="00E91426" w:rsidRPr="00E91426" w14:paraId="5646FF22" w14:textId="77777777" w:rsidTr="00E91426">
        <w:trPr>
          <w:trHeight w:val="282"/>
        </w:trPr>
        <w:tc>
          <w:tcPr>
            <w:tcW w:w="6520" w:type="dxa"/>
            <w:tcBorders>
              <w:top w:val="nil"/>
              <w:left w:val="nil"/>
              <w:bottom w:val="nil"/>
              <w:right w:val="nil"/>
            </w:tcBorders>
            <w:noWrap/>
            <w:hideMark/>
          </w:tcPr>
          <w:p w14:paraId="446C4D86"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Total income from activities</w:t>
            </w:r>
          </w:p>
        </w:tc>
        <w:tc>
          <w:tcPr>
            <w:tcW w:w="939" w:type="dxa"/>
            <w:tcBorders>
              <w:top w:val="single" w:sz="4" w:space="0" w:color="auto"/>
              <w:left w:val="nil"/>
              <w:bottom w:val="double" w:sz="6" w:space="0" w:color="auto"/>
              <w:right w:val="nil"/>
            </w:tcBorders>
            <w:noWrap/>
            <w:hideMark/>
          </w:tcPr>
          <w:p w14:paraId="09E6E3C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472,375</w:t>
            </w:r>
          </w:p>
        </w:tc>
        <w:tc>
          <w:tcPr>
            <w:tcW w:w="222" w:type="dxa"/>
            <w:tcBorders>
              <w:top w:val="nil"/>
              <w:left w:val="nil"/>
              <w:bottom w:val="nil"/>
              <w:right w:val="nil"/>
            </w:tcBorders>
            <w:noWrap/>
            <w:hideMark/>
          </w:tcPr>
          <w:p w14:paraId="79BCF17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000" w:type="dxa"/>
            <w:tcBorders>
              <w:top w:val="single" w:sz="4" w:space="0" w:color="auto"/>
              <w:left w:val="nil"/>
              <w:bottom w:val="double" w:sz="6" w:space="0" w:color="auto"/>
              <w:right w:val="nil"/>
            </w:tcBorders>
            <w:noWrap/>
            <w:hideMark/>
          </w:tcPr>
          <w:p w14:paraId="6087D6C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433,955</w:t>
            </w:r>
          </w:p>
        </w:tc>
      </w:tr>
      <w:tr w:rsidR="00E91426" w:rsidRPr="00E91426" w14:paraId="085F61FA" w14:textId="77777777" w:rsidTr="00E91426">
        <w:trPr>
          <w:trHeight w:val="282"/>
        </w:trPr>
        <w:tc>
          <w:tcPr>
            <w:tcW w:w="6520" w:type="dxa"/>
            <w:tcBorders>
              <w:top w:val="nil"/>
              <w:left w:val="nil"/>
              <w:bottom w:val="nil"/>
              <w:right w:val="nil"/>
            </w:tcBorders>
            <w:noWrap/>
            <w:hideMark/>
          </w:tcPr>
          <w:p w14:paraId="7CB6A4B3"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39" w:type="dxa"/>
            <w:tcBorders>
              <w:top w:val="nil"/>
              <w:left w:val="nil"/>
              <w:bottom w:val="nil"/>
              <w:right w:val="nil"/>
            </w:tcBorders>
            <w:noWrap/>
            <w:hideMark/>
          </w:tcPr>
          <w:p w14:paraId="05D94FB5" w14:textId="77777777" w:rsidR="00E91426" w:rsidRPr="00E91426" w:rsidRDefault="00E91426" w:rsidP="00E91426">
            <w:pPr>
              <w:widowControl/>
              <w:rPr>
                <w:rFonts w:ascii="Arial" w:eastAsia="Times New Roman" w:hAnsi="Arial" w:cs="Arial"/>
                <w:sz w:val="20"/>
                <w:szCs w:val="20"/>
                <w:lang w:val="en-GB" w:eastAsia="en-GB"/>
              </w:rPr>
            </w:pPr>
          </w:p>
        </w:tc>
        <w:tc>
          <w:tcPr>
            <w:tcW w:w="222" w:type="dxa"/>
            <w:tcBorders>
              <w:top w:val="nil"/>
              <w:left w:val="nil"/>
              <w:bottom w:val="nil"/>
              <w:right w:val="nil"/>
            </w:tcBorders>
            <w:noWrap/>
            <w:hideMark/>
          </w:tcPr>
          <w:p w14:paraId="7CD37CC9" w14:textId="77777777" w:rsidR="00E91426" w:rsidRPr="00E91426" w:rsidRDefault="00E91426" w:rsidP="00E91426">
            <w:pPr>
              <w:widowControl/>
              <w:rPr>
                <w:rFonts w:ascii="Arial" w:eastAsia="Times New Roman" w:hAnsi="Arial" w:cs="Arial"/>
                <w:sz w:val="20"/>
                <w:szCs w:val="20"/>
                <w:lang w:val="en-GB" w:eastAsia="en-GB"/>
              </w:rPr>
            </w:pPr>
          </w:p>
        </w:tc>
        <w:tc>
          <w:tcPr>
            <w:tcW w:w="1000" w:type="dxa"/>
            <w:tcBorders>
              <w:top w:val="nil"/>
              <w:left w:val="nil"/>
              <w:bottom w:val="nil"/>
              <w:right w:val="nil"/>
            </w:tcBorders>
            <w:noWrap/>
            <w:hideMark/>
          </w:tcPr>
          <w:p w14:paraId="58672766"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58879F6A" w14:textId="77777777" w:rsidTr="00E91426">
        <w:trPr>
          <w:trHeight w:val="510"/>
        </w:trPr>
        <w:tc>
          <w:tcPr>
            <w:tcW w:w="8681" w:type="dxa"/>
            <w:gridSpan w:val="4"/>
            <w:tcBorders>
              <w:top w:val="nil"/>
              <w:left w:val="nil"/>
              <w:bottom w:val="nil"/>
              <w:right w:val="nil"/>
            </w:tcBorders>
            <w:hideMark/>
          </w:tcPr>
          <w:p w14:paraId="4E3E7934" w14:textId="77777777" w:rsidR="00E91426" w:rsidRPr="00E91426" w:rsidRDefault="00E91426" w:rsidP="00E91426">
            <w:pPr>
              <w:widowControl/>
              <w:rPr>
                <w:rFonts w:ascii="Arial" w:eastAsia="Times New Roman" w:hAnsi="Arial" w:cs="Arial"/>
                <w:color w:val="000000"/>
                <w:sz w:val="18"/>
                <w:szCs w:val="18"/>
                <w:lang w:val="en-GB" w:eastAsia="en-GB"/>
              </w:rPr>
            </w:pPr>
            <w:r w:rsidRPr="00E91426">
              <w:rPr>
                <w:rFonts w:ascii="Arial" w:eastAsia="Times New Roman" w:hAnsi="Arial" w:cs="Arial"/>
                <w:color w:val="000000"/>
                <w:sz w:val="18"/>
                <w:szCs w:val="18"/>
                <w:vertAlign w:val="superscript"/>
                <w:lang w:val="en-GB" w:eastAsia="en-GB"/>
              </w:rPr>
              <w:t>1</w:t>
            </w:r>
            <w:r w:rsidRPr="00E91426">
              <w:rPr>
                <w:rFonts w:ascii="Arial" w:eastAsia="Times New Roman" w:hAnsi="Arial" w:cs="Arial"/>
                <w:color w:val="000000"/>
                <w:sz w:val="18"/>
                <w:szCs w:val="18"/>
                <w:lang w:val="en-GB" w:eastAsia="en-GB"/>
              </w:rPr>
              <w:t>Injury cost recovery scheme income is subject to a credit loss allowance of 24.45% (2023/24: 23.07%) to reflect expected rates of collection.</w:t>
            </w:r>
          </w:p>
          <w:p w14:paraId="4DBCA15F" w14:textId="77777777" w:rsidR="00E91426" w:rsidRPr="00E91426" w:rsidRDefault="00E91426" w:rsidP="00E91426">
            <w:pPr>
              <w:widowControl/>
              <w:rPr>
                <w:rFonts w:ascii="Arial" w:eastAsia="Times New Roman" w:hAnsi="Arial" w:cs="Arial"/>
                <w:color w:val="000000"/>
                <w:sz w:val="18"/>
                <w:szCs w:val="18"/>
                <w:lang w:val="en-GB" w:eastAsia="en-GB"/>
              </w:rPr>
            </w:pPr>
          </w:p>
        </w:tc>
      </w:tr>
      <w:tr w:rsidR="00E91426" w:rsidRPr="00E91426" w14:paraId="7C7F48EE" w14:textId="77777777" w:rsidTr="00E91426">
        <w:trPr>
          <w:trHeight w:val="282"/>
        </w:trPr>
        <w:tc>
          <w:tcPr>
            <w:tcW w:w="8681" w:type="dxa"/>
            <w:gridSpan w:val="4"/>
            <w:tcBorders>
              <w:top w:val="nil"/>
              <w:left w:val="nil"/>
              <w:bottom w:val="nil"/>
              <w:right w:val="nil"/>
            </w:tcBorders>
            <w:noWrap/>
            <w:hideMark/>
          </w:tcPr>
          <w:p w14:paraId="65FB808B"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Note 3.3 Overseas visitors (relating to patients charged directly by the provider)</w:t>
            </w:r>
          </w:p>
        </w:tc>
      </w:tr>
      <w:tr w:rsidR="00E91426" w:rsidRPr="00E91426" w14:paraId="42B01AB0" w14:textId="77777777" w:rsidTr="00E91426">
        <w:trPr>
          <w:trHeight w:val="282"/>
        </w:trPr>
        <w:tc>
          <w:tcPr>
            <w:tcW w:w="6520" w:type="dxa"/>
            <w:tcBorders>
              <w:top w:val="nil"/>
              <w:left w:val="nil"/>
              <w:bottom w:val="nil"/>
              <w:right w:val="nil"/>
            </w:tcBorders>
            <w:hideMark/>
          </w:tcPr>
          <w:p w14:paraId="3A1DDD01"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939" w:type="dxa"/>
            <w:tcBorders>
              <w:top w:val="nil"/>
              <w:left w:val="nil"/>
              <w:bottom w:val="nil"/>
              <w:right w:val="nil"/>
            </w:tcBorders>
            <w:hideMark/>
          </w:tcPr>
          <w:p w14:paraId="26B443A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2024/25</w:t>
            </w:r>
          </w:p>
        </w:tc>
        <w:tc>
          <w:tcPr>
            <w:tcW w:w="222" w:type="dxa"/>
            <w:tcBorders>
              <w:top w:val="nil"/>
              <w:left w:val="nil"/>
              <w:bottom w:val="nil"/>
              <w:right w:val="nil"/>
            </w:tcBorders>
            <w:hideMark/>
          </w:tcPr>
          <w:p w14:paraId="6C946B21"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000" w:type="dxa"/>
            <w:tcBorders>
              <w:top w:val="nil"/>
              <w:left w:val="nil"/>
              <w:bottom w:val="nil"/>
              <w:right w:val="nil"/>
            </w:tcBorders>
            <w:hideMark/>
          </w:tcPr>
          <w:p w14:paraId="14DECECC"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2023/24</w:t>
            </w:r>
          </w:p>
        </w:tc>
      </w:tr>
      <w:tr w:rsidR="00E91426" w:rsidRPr="00E91426" w14:paraId="4E16EDE2" w14:textId="77777777" w:rsidTr="00E91426">
        <w:trPr>
          <w:trHeight w:val="282"/>
        </w:trPr>
        <w:tc>
          <w:tcPr>
            <w:tcW w:w="6520" w:type="dxa"/>
            <w:tcBorders>
              <w:top w:val="nil"/>
              <w:left w:val="nil"/>
              <w:bottom w:val="nil"/>
              <w:right w:val="nil"/>
            </w:tcBorders>
            <w:hideMark/>
          </w:tcPr>
          <w:p w14:paraId="78FC9CB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39" w:type="dxa"/>
            <w:tcBorders>
              <w:top w:val="nil"/>
              <w:left w:val="nil"/>
              <w:bottom w:val="nil"/>
              <w:right w:val="nil"/>
            </w:tcBorders>
            <w:hideMark/>
          </w:tcPr>
          <w:p w14:paraId="0E14FCF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222" w:type="dxa"/>
            <w:tcBorders>
              <w:top w:val="nil"/>
              <w:left w:val="nil"/>
              <w:bottom w:val="nil"/>
              <w:right w:val="nil"/>
            </w:tcBorders>
            <w:hideMark/>
          </w:tcPr>
          <w:p w14:paraId="5639332C"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000" w:type="dxa"/>
            <w:tcBorders>
              <w:top w:val="nil"/>
              <w:left w:val="nil"/>
              <w:bottom w:val="nil"/>
              <w:right w:val="nil"/>
            </w:tcBorders>
            <w:hideMark/>
          </w:tcPr>
          <w:p w14:paraId="6B6CF59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r>
      <w:tr w:rsidR="00E91426" w:rsidRPr="00E91426" w14:paraId="77693572" w14:textId="77777777" w:rsidTr="00E91426">
        <w:trPr>
          <w:trHeight w:val="282"/>
        </w:trPr>
        <w:tc>
          <w:tcPr>
            <w:tcW w:w="6520" w:type="dxa"/>
            <w:tcBorders>
              <w:top w:val="nil"/>
              <w:left w:val="nil"/>
              <w:bottom w:val="nil"/>
              <w:right w:val="nil"/>
            </w:tcBorders>
            <w:hideMark/>
          </w:tcPr>
          <w:p w14:paraId="60B0E851"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Income recognised this year</w:t>
            </w:r>
          </w:p>
        </w:tc>
        <w:tc>
          <w:tcPr>
            <w:tcW w:w="939" w:type="dxa"/>
            <w:tcBorders>
              <w:top w:val="nil"/>
              <w:left w:val="nil"/>
              <w:bottom w:val="nil"/>
              <w:right w:val="nil"/>
            </w:tcBorders>
            <w:noWrap/>
            <w:hideMark/>
          </w:tcPr>
          <w:p w14:paraId="7DCD56DF"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474</w:t>
            </w:r>
          </w:p>
        </w:tc>
        <w:tc>
          <w:tcPr>
            <w:tcW w:w="222" w:type="dxa"/>
            <w:tcBorders>
              <w:top w:val="nil"/>
              <w:left w:val="nil"/>
              <w:bottom w:val="nil"/>
              <w:right w:val="nil"/>
            </w:tcBorders>
            <w:noWrap/>
            <w:hideMark/>
          </w:tcPr>
          <w:p w14:paraId="498A94FC"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00" w:type="dxa"/>
            <w:tcBorders>
              <w:top w:val="nil"/>
              <w:left w:val="nil"/>
              <w:bottom w:val="nil"/>
              <w:right w:val="nil"/>
            </w:tcBorders>
            <w:noWrap/>
            <w:hideMark/>
          </w:tcPr>
          <w:p w14:paraId="648257A5"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561</w:t>
            </w:r>
          </w:p>
        </w:tc>
      </w:tr>
      <w:tr w:rsidR="00E91426" w:rsidRPr="00E91426" w14:paraId="6AE0B71C" w14:textId="77777777" w:rsidTr="00E91426">
        <w:trPr>
          <w:trHeight w:val="282"/>
        </w:trPr>
        <w:tc>
          <w:tcPr>
            <w:tcW w:w="6520" w:type="dxa"/>
            <w:tcBorders>
              <w:top w:val="nil"/>
              <w:left w:val="nil"/>
              <w:bottom w:val="nil"/>
              <w:right w:val="nil"/>
            </w:tcBorders>
            <w:hideMark/>
          </w:tcPr>
          <w:p w14:paraId="1A3454D2"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 xml:space="preserve">Cash payments received in-year </w:t>
            </w:r>
          </w:p>
        </w:tc>
        <w:tc>
          <w:tcPr>
            <w:tcW w:w="939" w:type="dxa"/>
            <w:tcBorders>
              <w:top w:val="nil"/>
              <w:left w:val="nil"/>
              <w:bottom w:val="nil"/>
              <w:right w:val="nil"/>
            </w:tcBorders>
            <w:noWrap/>
            <w:hideMark/>
          </w:tcPr>
          <w:p w14:paraId="64A6C03F"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109</w:t>
            </w:r>
          </w:p>
        </w:tc>
        <w:tc>
          <w:tcPr>
            <w:tcW w:w="222" w:type="dxa"/>
            <w:tcBorders>
              <w:top w:val="nil"/>
              <w:left w:val="nil"/>
              <w:bottom w:val="nil"/>
              <w:right w:val="nil"/>
            </w:tcBorders>
            <w:noWrap/>
            <w:hideMark/>
          </w:tcPr>
          <w:p w14:paraId="6C2A276C"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00" w:type="dxa"/>
            <w:tcBorders>
              <w:top w:val="nil"/>
              <w:left w:val="nil"/>
              <w:bottom w:val="nil"/>
              <w:right w:val="nil"/>
            </w:tcBorders>
            <w:noWrap/>
            <w:hideMark/>
          </w:tcPr>
          <w:p w14:paraId="283741B6"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123</w:t>
            </w:r>
          </w:p>
        </w:tc>
      </w:tr>
      <w:tr w:rsidR="00E91426" w:rsidRPr="00E91426" w14:paraId="6E8C6D1E" w14:textId="77777777" w:rsidTr="00E91426">
        <w:trPr>
          <w:trHeight w:val="282"/>
        </w:trPr>
        <w:tc>
          <w:tcPr>
            <w:tcW w:w="6520" w:type="dxa"/>
            <w:tcBorders>
              <w:top w:val="nil"/>
              <w:left w:val="nil"/>
              <w:bottom w:val="nil"/>
              <w:right w:val="nil"/>
            </w:tcBorders>
            <w:hideMark/>
          </w:tcPr>
          <w:p w14:paraId="49DD9EC3"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 xml:space="preserve">Amounts added to provision for impairment of receivables </w:t>
            </w:r>
          </w:p>
        </w:tc>
        <w:tc>
          <w:tcPr>
            <w:tcW w:w="939" w:type="dxa"/>
            <w:tcBorders>
              <w:top w:val="nil"/>
              <w:left w:val="nil"/>
              <w:bottom w:val="nil"/>
              <w:right w:val="nil"/>
            </w:tcBorders>
            <w:noWrap/>
            <w:hideMark/>
          </w:tcPr>
          <w:p w14:paraId="562086C4"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449</w:t>
            </w:r>
          </w:p>
        </w:tc>
        <w:tc>
          <w:tcPr>
            <w:tcW w:w="222" w:type="dxa"/>
            <w:tcBorders>
              <w:top w:val="nil"/>
              <w:left w:val="nil"/>
              <w:bottom w:val="nil"/>
              <w:right w:val="nil"/>
            </w:tcBorders>
            <w:noWrap/>
            <w:hideMark/>
          </w:tcPr>
          <w:p w14:paraId="38DEE492"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00" w:type="dxa"/>
            <w:tcBorders>
              <w:top w:val="nil"/>
              <w:left w:val="nil"/>
              <w:bottom w:val="nil"/>
              <w:right w:val="nil"/>
            </w:tcBorders>
            <w:noWrap/>
            <w:hideMark/>
          </w:tcPr>
          <w:p w14:paraId="59F386EF"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547</w:t>
            </w:r>
          </w:p>
        </w:tc>
      </w:tr>
      <w:tr w:rsidR="00E91426" w:rsidRPr="00E91426" w14:paraId="6C4C8C0C" w14:textId="77777777" w:rsidTr="00E91426">
        <w:trPr>
          <w:trHeight w:val="282"/>
        </w:trPr>
        <w:tc>
          <w:tcPr>
            <w:tcW w:w="6520" w:type="dxa"/>
            <w:tcBorders>
              <w:top w:val="nil"/>
              <w:left w:val="nil"/>
              <w:bottom w:val="nil"/>
              <w:right w:val="nil"/>
            </w:tcBorders>
            <w:hideMark/>
          </w:tcPr>
          <w:p w14:paraId="1C430020"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Amounts written off in-year</w:t>
            </w:r>
          </w:p>
        </w:tc>
        <w:tc>
          <w:tcPr>
            <w:tcW w:w="939" w:type="dxa"/>
            <w:tcBorders>
              <w:top w:val="nil"/>
              <w:left w:val="nil"/>
              <w:bottom w:val="nil"/>
              <w:right w:val="nil"/>
            </w:tcBorders>
            <w:noWrap/>
            <w:hideMark/>
          </w:tcPr>
          <w:p w14:paraId="51689893"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285</w:t>
            </w:r>
          </w:p>
        </w:tc>
        <w:tc>
          <w:tcPr>
            <w:tcW w:w="222" w:type="dxa"/>
            <w:tcBorders>
              <w:top w:val="nil"/>
              <w:left w:val="nil"/>
              <w:bottom w:val="nil"/>
              <w:right w:val="nil"/>
            </w:tcBorders>
            <w:noWrap/>
            <w:hideMark/>
          </w:tcPr>
          <w:p w14:paraId="34B22E26"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00" w:type="dxa"/>
            <w:tcBorders>
              <w:top w:val="nil"/>
              <w:left w:val="nil"/>
              <w:bottom w:val="nil"/>
              <w:right w:val="nil"/>
            </w:tcBorders>
            <w:noWrap/>
            <w:hideMark/>
          </w:tcPr>
          <w:p w14:paraId="32A12D1D"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75</w:t>
            </w:r>
          </w:p>
        </w:tc>
      </w:tr>
      <w:tr w:rsidR="00E91426" w:rsidRPr="00E91426" w14:paraId="00B8273F" w14:textId="77777777" w:rsidTr="00E91426">
        <w:trPr>
          <w:trHeight w:val="282"/>
        </w:trPr>
        <w:tc>
          <w:tcPr>
            <w:tcW w:w="6520" w:type="dxa"/>
            <w:tcBorders>
              <w:top w:val="nil"/>
              <w:left w:val="nil"/>
              <w:bottom w:val="nil"/>
              <w:right w:val="nil"/>
            </w:tcBorders>
            <w:hideMark/>
          </w:tcPr>
          <w:p w14:paraId="4FA59262"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939" w:type="dxa"/>
            <w:tcBorders>
              <w:top w:val="nil"/>
              <w:left w:val="nil"/>
              <w:bottom w:val="nil"/>
              <w:right w:val="nil"/>
            </w:tcBorders>
            <w:hideMark/>
          </w:tcPr>
          <w:p w14:paraId="1DED9458" w14:textId="77777777" w:rsidR="00E91426" w:rsidRPr="00E91426" w:rsidRDefault="00E91426" w:rsidP="00E91426">
            <w:pPr>
              <w:widowControl/>
              <w:rPr>
                <w:rFonts w:ascii="Arial" w:eastAsia="Times New Roman" w:hAnsi="Arial" w:cs="Arial"/>
                <w:sz w:val="20"/>
                <w:szCs w:val="20"/>
                <w:lang w:val="en-GB" w:eastAsia="en-GB"/>
              </w:rPr>
            </w:pPr>
          </w:p>
        </w:tc>
        <w:tc>
          <w:tcPr>
            <w:tcW w:w="222" w:type="dxa"/>
            <w:tcBorders>
              <w:top w:val="nil"/>
              <w:left w:val="nil"/>
              <w:bottom w:val="nil"/>
              <w:right w:val="nil"/>
            </w:tcBorders>
            <w:hideMark/>
          </w:tcPr>
          <w:p w14:paraId="3E60A62C" w14:textId="77777777" w:rsidR="00E91426" w:rsidRPr="00E91426" w:rsidRDefault="00E91426" w:rsidP="00E91426">
            <w:pPr>
              <w:widowControl/>
              <w:rPr>
                <w:rFonts w:ascii="Arial" w:eastAsia="Times New Roman" w:hAnsi="Arial" w:cs="Arial"/>
                <w:sz w:val="20"/>
                <w:szCs w:val="20"/>
                <w:lang w:val="en-GB" w:eastAsia="en-GB"/>
              </w:rPr>
            </w:pPr>
          </w:p>
        </w:tc>
        <w:tc>
          <w:tcPr>
            <w:tcW w:w="1000" w:type="dxa"/>
            <w:tcBorders>
              <w:top w:val="nil"/>
              <w:left w:val="nil"/>
              <w:bottom w:val="nil"/>
              <w:right w:val="nil"/>
            </w:tcBorders>
            <w:hideMark/>
          </w:tcPr>
          <w:p w14:paraId="1CD3B449" w14:textId="77777777" w:rsidR="00E91426" w:rsidRPr="00E91426" w:rsidRDefault="00E91426" w:rsidP="00E91426">
            <w:pPr>
              <w:widowControl/>
              <w:rPr>
                <w:rFonts w:ascii="Arial" w:eastAsia="Times New Roman" w:hAnsi="Arial" w:cs="Arial"/>
                <w:sz w:val="20"/>
                <w:szCs w:val="20"/>
                <w:lang w:val="en-GB" w:eastAsia="en-GB"/>
              </w:rPr>
            </w:pPr>
          </w:p>
        </w:tc>
      </w:tr>
    </w:tbl>
    <w:p w14:paraId="33C63D61" w14:textId="77777777" w:rsidR="00E91426" w:rsidRPr="00E91426" w:rsidRDefault="00E91426" w:rsidP="00E91426">
      <w:pPr>
        <w:keepNext/>
        <w:keepLines/>
        <w:widowControl/>
        <w:spacing w:before="40" w:line="259" w:lineRule="auto"/>
        <w:outlineLvl w:val="1"/>
        <w:rPr>
          <w:rFonts w:ascii="Arial" w:eastAsia="Times New Roman" w:hAnsi="Arial" w:cs="Arial"/>
          <w:b/>
          <w:color w:val="000000"/>
          <w:sz w:val="20"/>
          <w:szCs w:val="20"/>
          <w:lang w:val="en-GB"/>
        </w:rPr>
      </w:pPr>
      <w:bookmarkStart w:id="63" w:name="_Toc195698701"/>
      <w:r w:rsidRPr="00E91426">
        <w:rPr>
          <w:rFonts w:ascii="Arial" w:eastAsia="Times New Roman" w:hAnsi="Arial" w:cs="Arial"/>
          <w:b/>
          <w:color w:val="000000"/>
          <w:sz w:val="20"/>
          <w:szCs w:val="20"/>
          <w:lang w:val="en-GB"/>
        </w:rPr>
        <w:t>Note 4 Other operating income</w:t>
      </w:r>
      <w:bookmarkEnd w:id="63"/>
    </w:p>
    <w:p w14:paraId="572D937F" w14:textId="77777777" w:rsidR="00E91426" w:rsidRPr="00E91426" w:rsidRDefault="00E91426" w:rsidP="00E91426">
      <w:pPr>
        <w:widowControl/>
        <w:spacing w:after="160" w:line="259" w:lineRule="auto"/>
        <w:rPr>
          <w:rFonts w:ascii="Arial" w:eastAsia="Calibri" w:hAnsi="Arial" w:cs="Arial"/>
          <w:sz w:val="20"/>
          <w:szCs w:val="20"/>
          <w:lang w:val="en-GB"/>
        </w:rPr>
      </w:pPr>
    </w:p>
    <w:tbl>
      <w:tblPr>
        <w:tblW w:w="8540" w:type="dxa"/>
        <w:tblLook w:val="04A0" w:firstRow="1" w:lastRow="0" w:firstColumn="1" w:lastColumn="0" w:noHBand="0" w:noVBand="1"/>
      </w:tblPr>
      <w:tblGrid>
        <w:gridCol w:w="6280"/>
        <w:gridCol w:w="939"/>
        <w:gridCol w:w="272"/>
        <w:gridCol w:w="1240"/>
      </w:tblGrid>
      <w:tr w:rsidR="00E91426" w:rsidRPr="00E91426" w14:paraId="09A35E60" w14:textId="77777777" w:rsidTr="00E91426">
        <w:trPr>
          <w:trHeight w:val="282"/>
        </w:trPr>
        <w:tc>
          <w:tcPr>
            <w:tcW w:w="6280" w:type="dxa"/>
            <w:tcBorders>
              <w:top w:val="nil"/>
              <w:left w:val="nil"/>
              <w:bottom w:val="nil"/>
              <w:right w:val="nil"/>
            </w:tcBorders>
            <w:hideMark/>
          </w:tcPr>
          <w:p w14:paraId="0A804BA4" w14:textId="77777777" w:rsidR="00E91426" w:rsidRPr="00E91426" w:rsidRDefault="00E91426" w:rsidP="00E91426">
            <w:pPr>
              <w:widowControl/>
              <w:rPr>
                <w:rFonts w:ascii="Arial" w:eastAsia="Times New Roman" w:hAnsi="Arial" w:cs="Arial"/>
                <w:sz w:val="20"/>
                <w:szCs w:val="20"/>
                <w:lang w:val="en-GB" w:eastAsia="en-GB"/>
              </w:rPr>
            </w:pPr>
          </w:p>
        </w:tc>
        <w:tc>
          <w:tcPr>
            <w:tcW w:w="900" w:type="dxa"/>
            <w:tcBorders>
              <w:top w:val="nil"/>
              <w:left w:val="nil"/>
              <w:bottom w:val="nil"/>
              <w:right w:val="nil"/>
            </w:tcBorders>
            <w:hideMark/>
          </w:tcPr>
          <w:p w14:paraId="76E27BEF"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2024/25</w:t>
            </w:r>
          </w:p>
        </w:tc>
        <w:tc>
          <w:tcPr>
            <w:tcW w:w="120" w:type="dxa"/>
            <w:tcBorders>
              <w:top w:val="nil"/>
              <w:left w:val="nil"/>
              <w:bottom w:val="nil"/>
              <w:right w:val="nil"/>
            </w:tcBorders>
            <w:hideMark/>
          </w:tcPr>
          <w:p w14:paraId="69B98A3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240" w:type="dxa"/>
            <w:tcBorders>
              <w:top w:val="nil"/>
              <w:left w:val="nil"/>
              <w:bottom w:val="nil"/>
              <w:right w:val="nil"/>
            </w:tcBorders>
            <w:hideMark/>
          </w:tcPr>
          <w:p w14:paraId="0DF84CB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2023/24</w:t>
            </w:r>
          </w:p>
        </w:tc>
      </w:tr>
      <w:tr w:rsidR="00E91426" w:rsidRPr="00E91426" w14:paraId="429274AD" w14:textId="77777777" w:rsidTr="00E91426">
        <w:trPr>
          <w:trHeight w:val="282"/>
        </w:trPr>
        <w:tc>
          <w:tcPr>
            <w:tcW w:w="6280" w:type="dxa"/>
            <w:tcBorders>
              <w:top w:val="nil"/>
              <w:left w:val="nil"/>
              <w:bottom w:val="nil"/>
              <w:right w:val="nil"/>
            </w:tcBorders>
            <w:hideMark/>
          </w:tcPr>
          <w:p w14:paraId="5B68393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00" w:type="dxa"/>
            <w:tcBorders>
              <w:top w:val="nil"/>
              <w:left w:val="nil"/>
              <w:bottom w:val="nil"/>
              <w:right w:val="nil"/>
            </w:tcBorders>
            <w:hideMark/>
          </w:tcPr>
          <w:p w14:paraId="48675FCC"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120" w:type="dxa"/>
            <w:tcBorders>
              <w:top w:val="nil"/>
              <w:left w:val="nil"/>
              <w:bottom w:val="nil"/>
              <w:right w:val="nil"/>
            </w:tcBorders>
            <w:hideMark/>
          </w:tcPr>
          <w:p w14:paraId="40D30221"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240" w:type="dxa"/>
            <w:tcBorders>
              <w:top w:val="nil"/>
              <w:left w:val="nil"/>
              <w:bottom w:val="nil"/>
              <w:right w:val="nil"/>
            </w:tcBorders>
            <w:hideMark/>
          </w:tcPr>
          <w:p w14:paraId="7A0590D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r>
      <w:tr w:rsidR="00E91426" w:rsidRPr="00E91426" w14:paraId="3DC88806" w14:textId="77777777" w:rsidTr="00E91426">
        <w:trPr>
          <w:trHeight w:val="282"/>
        </w:trPr>
        <w:tc>
          <w:tcPr>
            <w:tcW w:w="6280" w:type="dxa"/>
            <w:tcBorders>
              <w:top w:val="nil"/>
              <w:left w:val="nil"/>
              <w:bottom w:val="nil"/>
              <w:right w:val="nil"/>
            </w:tcBorders>
            <w:hideMark/>
          </w:tcPr>
          <w:p w14:paraId="0792F255"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Other operating income from contracts with customers:</w:t>
            </w:r>
          </w:p>
        </w:tc>
        <w:tc>
          <w:tcPr>
            <w:tcW w:w="900" w:type="dxa"/>
            <w:tcBorders>
              <w:top w:val="nil"/>
              <w:left w:val="nil"/>
              <w:bottom w:val="nil"/>
              <w:right w:val="nil"/>
            </w:tcBorders>
            <w:noWrap/>
            <w:hideMark/>
          </w:tcPr>
          <w:p w14:paraId="2B67666B"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120" w:type="dxa"/>
            <w:tcBorders>
              <w:top w:val="nil"/>
              <w:left w:val="nil"/>
              <w:bottom w:val="nil"/>
              <w:right w:val="nil"/>
            </w:tcBorders>
            <w:noWrap/>
            <w:hideMark/>
          </w:tcPr>
          <w:p w14:paraId="38D0F1E9"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240" w:type="dxa"/>
            <w:tcBorders>
              <w:top w:val="nil"/>
              <w:left w:val="nil"/>
              <w:bottom w:val="nil"/>
              <w:right w:val="nil"/>
            </w:tcBorders>
            <w:noWrap/>
            <w:hideMark/>
          </w:tcPr>
          <w:p w14:paraId="42DD45B8" w14:textId="77777777" w:rsidR="00E91426" w:rsidRPr="00E91426" w:rsidRDefault="00E91426" w:rsidP="00E91426">
            <w:pPr>
              <w:widowControl/>
              <w:jc w:val="right"/>
              <w:rPr>
                <w:rFonts w:ascii="Arial" w:eastAsia="Times New Roman" w:hAnsi="Arial" w:cs="Arial"/>
                <w:sz w:val="20"/>
                <w:szCs w:val="20"/>
                <w:lang w:val="en-GB" w:eastAsia="en-GB"/>
              </w:rPr>
            </w:pPr>
          </w:p>
        </w:tc>
      </w:tr>
      <w:tr w:rsidR="00E91426" w:rsidRPr="00E91426" w14:paraId="2F5CA4D9" w14:textId="77777777" w:rsidTr="00E91426">
        <w:trPr>
          <w:trHeight w:val="282"/>
        </w:trPr>
        <w:tc>
          <w:tcPr>
            <w:tcW w:w="6280" w:type="dxa"/>
            <w:tcBorders>
              <w:top w:val="nil"/>
              <w:left w:val="nil"/>
              <w:bottom w:val="nil"/>
              <w:right w:val="nil"/>
            </w:tcBorders>
            <w:hideMark/>
          </w:tcPr>
          <w:p w14:paraId="51172266"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Research and development (contract)</w:t>
            </w:r>
          </w:p>
        </w:tc>
        <w:tc>
          <w:tcPr>
            <w:tcW w:w="900" w:type="dxa"/>
            <w:tcBorders>
              <w:top w:val="nil"/>
              <w:left w:val="nil"/>
              <w:bottom w:val="nil"/>
              <w:right w:val="nil"/>
            </w:tcBorders>
            <w:noWrap/>
            <w:hideMark/>
          </w:tcPr>
          <w:p w14:paraId="7F8F832F"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1,532</w:t>
            </w:r>
          </w:p>
        </w:tc>
        <w:tc>
          <w:tcPr>
            <w:tcW w:w="120" w:type="dxa"/>
            <w:tcBorders>
              <w:top w:val="nil"/>
              <w:left w:val="nil"/>
              <w:bottom w:val="nil"/>
              <w:right w:val="nil"/>
            </w:tcBorders>
            <w:noWrap/>
            <w:hideMark/>
          </w:tcPr>
          <w:p w14:paraId="3FA8A400"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40" w:type="dxa"/>
            <w:tcBorders>
              <w:top w:val="nil"/>
              <w:left w:val="nil"/>
              <w:bottom w:val="nil"/>
              <w:right w:val="nil"/>
            </w:tcBorders>
            <w:noWrap/>
            <w:hideMark/>
          </w:tcPr>
          <w:p w14:paraId="43A86CA4"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1,657</w:t>
            </w:r>
          </w:p>
        </w:tc>
      </w:tr>
      <w:tr w:rsidR="00E91426" w:rsidRPr="00E91426" w14:paraId="0A2BBA47" w14:textId="77777777" w:rsidTr="00E91426">
        <w:trPr>
          <w:trHeight w:val="282"/>
        </w:trPr>
        <w:tc>
          <w:tcPr>
            <w:tcW w:w="6280" w:type="dxa"/>
            <w:tcBorders>
              <w:top w:val="nil"/>
              <w:left w:val="nil"/>
              <w:bottom w:val="nil"/>
              <w:right w:val="nil"/>
            </w:tcBorders>
            <w:hideMark/>
          </w:tcPr>
          <w:p w14:paraId="102CE76F"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Education and training (excluding notional apprenticeship levy</w:t>
            </w:r>
          </w:p>
          <w:p w14:paraId="25B7558F"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income)</w:t>
            </w:r>
          </w:p>
        </w:tc>
        <w:tc>
          <w:tcPr>
            <w:tcW w:w="900" w:type="dxa"/>
            <w:tcBorders>
              <w:top w:val="nil"/>
              <w:left w:val="nil"/>
              <w:bottom w:val="nil"/>
              <w:right w:val="nil"/>
            </w:tcBorders>
            <w:noWrap/>
            <w:hideMark/>
          </w:tcPr>
          <w:p w14:paraId="055A0653"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17,003</w:t>
            </w:r>
          </w:p>
        </w:tc>
        <w:tc>
          <w:tcPr>
            <w:tcW w:w="120" w:type="dxa"/>
            <w:tcBorders>
              <w:top w:val="nil"/>
              <w:left w:val="nil"/>
              <w:bottom w:val="nil"/>
              <w:right w:val="nil"/>
            </w:tcBorders>
            <w:noWrap/>
            <w:hideMark/>
          </w:tcPr>
          <w:p w14:paraId="69B15A8B"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40" w:type="dxa"/>
            <w:tcBorders>
              <w:top w:val="nil"/>
              <w:left w:val="nil"/>
              <w:bottom w:val="nil"/>
              <w:right w:val="nil"/>
            </w:tcBorders>
            <w:noWrap/>
            <w:hideMark/>
          </w:tcPr>
          <w:p w14:paraId="53EB6FC5"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16,422</w:t>
            </w:r>
          </w:p>
        </w:tc>
      </w:tr>
      <w:tr w:rsidR="00E91426" w:rsidRPr="00E91426" w14:paraId="3B78D069" w14:textId="77777777" w:rsidTr="00E91426">
        <w:trPr>
          <w:trHeight w:val="282"/>
        </w:trPr>
        <w:tc>
          <w:tcPr>
            <w:tcW w:w="6280" w:type="dxa"/>
            <w:tcBorders>
              <w:top w:val="nil"/>
              <w:left w:val="nil"/>
              <w:bottom w:val="nil"/>
              <w:right w:val="nil"/>
            </w:tcBorders>
            <w:hideMark/>
          </w:tcPr>
          <w:p w14:paraId="4A95E3E0"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Non-patient care services to other bodies</w:t>
            </w:r>
          </w:p>
        </w:tc>
        <w:tc>
          <w:tcPr>
            <w:tcW w:w="900" w:type="dxa"/>
            <w:tcBorders>
              <w:top w:val="nil"/>
              <w:left w:val="nil"/>
              <w:bottom w:val="nil"/>
              <w:right w:val="nil"/>
            </w:tcBorders>
            <w:noWrap/>
            <w:hideMark/>
          </w:tcPr>
          <w:p w14:paraId="7353D70C"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7,364</w:t>
            </w:r>
          </w:p>
        </w:tc>
        <w:tc>
          <w:tcPr>
            <w:tcW w:w="120" w:type="dxa"/>
            <w:tcBorders>
              <w:top w:val="nil"/>
              <w:left w:val="nil"/>
              <w:bottom w:val="nil"/>
              <w:right w:val="nil"/>
            </w:tcBorders>
            <w:noWrap/>
            <w:hideMark/>
          </w:tcPr>
          <w:p w14:paraId="726DDCEB"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40" w:type="dxa"/>
            <w:tcBorders>
              <w:top w:val="nil"/>
              <w:left w:val="nil"/>
              <w:bottom w:val="nil"/>
              <w:right w:val="nil"/>
            </w:tcBorders>
            <w:noWrap/>
            <w:hideMark/>
          </w:tcPr>
          <w:p w14:paraId="7BC1236C"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6,824</w:t>
            </w:r>
          </w:p>
        </w:tc>
      </w:tr>
      <w:tr w:rsidR="00E91426" w:rsidRPr="00E91426" w14:paraId="1C9E1EAE" w14:textId="77777777" w:rsidTr="00E91426">
        <w:trPr>
          <w:trHeight w:val="282"/>
        </w:trPr>
        <w:tc>
          <w:tcPr>
            <w:tcW w:w="6280" w:type="dxa"/>
            <w:tcBorders>
              <w:top w:val="nil"/>
              <w:left w:val="nil"/>
              <w:bottom w:val="nil"/>
              <w:right w:val="nil"/>
            </w:tcBorders>
            <w:hideMark/>
          </w:tcPr>
          <w:p w14:paraId="24E00E75"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Income in respect of employee benefits accounted on a gross</w:t>
            </w:r>
          </w:p>
          <w:p w14:paraId="42976ED4"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basis</w:t>
            </w:r>
          </w:p>
        </w:tc>
        <w:tc>
          <w:tcPr>
            <w:tcW w:w="900" w:type="dxa"/>
            <w:tcBorders>
              <w:top w:val="nil"/>
              <w:left w:val="nil"/>
              <w:bottom w:val="nil"/>
              <w:right w:val="nil"/>
            </w:tcBorders>
            <w:noWrap/>
            <w:hideMark/>
          </w:tcPr>
          <w:p w14:paraId="46838A11"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w:t>
            </w:r>
          </w:p>
        </w:tc>
        <w:tc>
          <w:tcPr>
            <w:tcW w:w="120" w:type="dxa"/>
            <w:tcBorders>
              <w:top w:val="nil"/>
              <w:left w:val="nil"/>
              <w:bottom w:val="nil"/>
              <w:right w:val="nil"/>
            </w:tcBorders>
            <w:noWrap/>
            <w:hideMark/>
          </w:tcPr>
          <w:p w14:paraId="3F5479DB"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40" w:type="dxa"/>
            <w:tcBorders>
              <w:top w:val="nil"/>
              <w:left w:val="nil"/>
              <w:bottom w:val="nil"/>
              <w:right w:val="nil"/>
            </w:tcBorders>
            <w:noWrap/>
            <w:hideMark/>
          </w:tcPr>
          <w:p w14:paraId="26D38B92"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8</w:t>
            </w:r>
          </w:p>
        </w:tc>
      </w:tr>
      <w:tr w:rsidR="00E91426" w:rsidRPr="00E91426" w14:paraId="39D2BB0D" w14:textId="77777777" w:rsidTr="00E91426">
        <w:trPr>
          <w:trHeight w:val="282"/>
        </w:trPr>
        <w:tc>
          <w:tcPr>
            <w:tcW w:w="6280" w:type="dxa"/>
            <w:tcBorders>
              <w:top w:val="nil"/>
              <w:left w:val="nil"/>
              <w:bottom w:val="nil"/>
              <w:right w:val="nil"/>
            </w:tcBorders>
            <w:hideMark/>
          </w:tcPr>
          <w:p w14:paraId="790BCD5A"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Other contract income</w:t>
            </w:r>
          </w:p>
        </w:tc>
        <w:tc>
          <w:tcPr>
            <w:tcW w:w="900" w:type="dxa"/>
            <w:tcBorders>
              <w:top w:val="nil"/>
              <w:left w:val="nil"/>
              <w:bottom w:val="nil"/>
              <w:right w:val="nil"/>
            </w:tcBorders>
            <w:noWrap/>
            <w:hideMark/>
          </w:tcPr>
          <w:p w14:paraId="54D1F539"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14,670</w:t>
            </w:r>
          </w:p>
        </w:tc>
        <w:tc>
          <w:tcPr>
            <w:tcW w:w="120" w:type="dxa"/>
            <w:tcBorders>
              <w:top w:val="nil"/>
              <w:left w:val="nil"/>
              <w:bottom w:val="nil"/>
              <w:right w:val="nil"/>
            </w:tcBorders>
            <w:noWrap/>
            <w:hideMark/>
          </w:tcPr>
          <w:p w14:paraId="15B96B8B"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40" w:type="dxa"/>
            <w:tcBorders>
              <w:top w:val="nil"/>
              <w:left w:val="nil"/>
              <w:bottom w:val="nil"/>
              <w:right w:val="nil"/>
            </w:tcBorders>
            <w:noWrap/>
            <w:hideMark/>
          </w:tcPr>
          <w:p w14:paraId="055F7330"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10,892</w:t>
            </w:r>
          </w:p>
        </w:tc>
      </w:tr>
      <w:tr w:rsidR="00E91426" w:rsidRPr="00E91426" w14:paraId="7F61BFBC" w14:textId="77777777" w:rsidTr="00E91426">
        <w:trPr>
          <w:trHeight w:val="282"/>
        </w:trPr>
        <w:tc>
          <w:tcPr>
            <w:tcW w:w="6280" w:type="dxa"/>
            <w:tcBorders>
              <w:top w:val="nil"/>
              <w:left w:val="nil"/>
              <w:bottom w:val="nil"/>
              <w:right w:val="nil"/>
            </w:tcBorders>
            <w:hideMark/>
          </w:tcPr>
          <w:p w14:paraId="645EA78E"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Other non-contract operating income</w:t>
            </w:r>
          </w:p>
        </w:tc>
        <w:tc>
          <w:tcPr>
            <w:tcW w:w="900" w:type="dxa"/>
            <w:tcBorders>
              <w:top w:val="nil"/>
              <w:left w:val="nil"/>
              <w:bottom w:val="nil"/>
              <w:right w:val="nil"/>
            </w:tcBorders>
            <w:noWrap/>
            <w:hideMark/>
          </w:tcPr>
          <w:p w14:paraId="1E4ED784"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120" w:type="dxa"/>
            <w:tcBorders>
              <w:top w:val="nil"/>
              <w:left w:val="nil"/>
              <w:bottom w:val="nil"/>
              <w:right w:val="nil"/>
            </w:tcBorders>
            <w:noWrap/>
            <w:hideMark/>
          </w:tcPr>
          <w:p w14:paraId="51AEB021"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240" w:type="dxa"/>
            <w:tcBorders>
              <w:top w:val="nil"/>
              <w:left w:val="nil"/>
              <w:bottom w:val="nil"/>
              <w:right w:val="nil"/>
            </w:tcBorders>
            <w:noWrap/>
            <w:hideMark/>
          </w:tcPr>
          <w:p w14:paraId="35A7BF46" w14:textId="77777777" w:rsidR="00E91426" w:rsidRPr="00E91426" w:rsidRDefault="00E91426" w:rsidP="00E91426">
            <w:pPr>
              <w:widowControl/>
              <w:jc w:val="right"/>
              <w:rPr>
                <w:rFonts w:ascii="Arial" w:eastAsia="Times New Roman" w:hAnsi="Arial" w:cs="Arial"/>
                <w:sz w:val="20"/>
                <w:szCs w:val="20"/>
                <w:lang w:val="en-GB" w:eastAsia="en-GB"/>
              </w:rPr>
            </w:pPr>
          </w:p>
        </w:tc>
      </w:tr>
      <w:tr w:rsidR="00E91426" w:rsidRPr="00E91426" w14:paraId="57FB7741" w14:textId="77777777" w:rsidTr="00E91426">
        <w:trPr>
          <w:trHeight w:val="282"/>
        </w:trPr>
        <w:tc>
          <w:tcPr>
            <w:tcW w:w="6280" w:type="dxa"/>
            <w:tcBorders>
              <w:top w:val="nil"/>
              <w:left w:val="nil"/>
              <w:bottom w:val="nil"/>
              <w:right w:val="nil"/>
            </w:tcBorders>
            <w:hideMark/>
          </w:tcPr>
          <w:p w14:paraId="6405914C"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Education and training - notional income from apprenticeship fund</w:t>
            </w:r>
          </w:p>
        </w:tc>
        <w:tc>
          <w:tcPr>
            <w:tcW w:w="900" w:type="dxa"/>
            <w:tcBorders>
              <w:top w:val="nil"/>
              <w:left w:val="nil"/>
              <w:bottom w:val="nil"/>
              <w:right w:val="nil"/>
            </w:tcBorders>
            <w:noWrap/>
            <w:hideMark/>
          </w:tcPr>
          <w:p w14:paraId="44A3F025"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306</w:t>
            </w:r>
          </w:p>
        </w:tc>
        <w:tc>
          <w:tcPr>
            <w:tcW w:w="120" w:type="dxa"/>
            <w:tcBorders>
              <w:top w:val="nil"/>
              <w:left w:val="nil"/>
              <w:bottom w:val="nil"/>
              <w:right w:val="nil"/>
            </w:tcBorders>
            <w:noWrap/>
            <w:hideMark/>
          </w:tcPr>
          <w:p w14:paraId="6040859E"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40" w:type="dxa"/>
            <w:tcBorders>
              <w:top w:val="nil"/>
              <w:left w:val="nil"/>
              <w:bottom w:val="nil"/>
              <w:right w:val="nil"/>
            </w:tcBorders>
            <w:noWrap/>
            <w:hideMark/>
          </w:tcPr>
          <w:p w14:paraId="2652F7DC"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282</w:t>
            </w:r>
          </w:p>
        </w:tc>
      </w:tr>
      <w:tr w:rsidR="00E91426" w:rsidRPr="00E91426" w14:paraId="11817763" w14:textId="77777777" w:rsidTr="00E91426">
        <w:trPr>
          <w:trHeight w:val="282"/>
        </w:trPr>
        <w:tc>
          <w:tcPr>
            <w:tcW w:w="6280" w:type="dxa"/>
            <w:tcBorders>
              <w:top w:val="nil"/>
              <w:left w:val="nil"/>
              <w:bottom w:val="nil"/>
              <w:right w:val="nil"/>
            </w:tcBorders>
            <w:hideMark/>
          </w:tcPr>
          <w:p w14:paraId="651AEBA0"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Receipt of capital grants, donations and assets</w:t>
            </w:r>
            <w:r w:rsidRPr="00E91426">
              <w:rPr>
                <w:rFonts w:ascii="Arial" w:eastAsia="Times New Roman" w:hAnsi="Arial" w:cs="Arial"/>
                <w:color w:val="000000"/>
                <w:sz w:val="20"/>
                <w:szCs w:val="20"/>
                <w:vertAlign w:val="superscript"/>
                <w:lang w:val="en-GB" w:eastAsia="en-GB"/>
              </w:rPr>
              <w:t>1</w:t>
            </w:r>
          </w:p>
        </w:tc>
        <w:tc>
          <w:tcPr>
            <w:tcW w:w="900" w:type="dxa"/>
            <w:tcBorders>
              <w:top w:val="nil"/>
              <w:left w:val="nil"/>
              <w:bottom w:val="nil"/>
              <w:right w:val="nil"/>
            </w:tcBorders>
            <w:noWrap/>
            <w:hideMark/>
          </w:tcPr>
          <w:p w14:paraId="54CE525C"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5,813</w:t>
            </w:r>
          </w:p>
        </w:tc>
        <w:tc>
          <w:tcPr>
            <w:tcW w:w="120" w:type="dxa"/>
            <w:tcBorders>
              <w:top w:val="nil"/>
              <w:left w:val="nil"/>
              <w:bottom w:val="nil"/>
              <w:right w:val="nil"/>
            </w:tcBorders>
            <w:noWrap/>
            <w:hideMark/>
          </w:tcPr>
          <w:p w14:paraId="0A3A6938"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40" w:type="dxa"/>
            <w:tcBorders>
              <w:top w:val="nil"/>
              <w:left w:val="nil"/>
              <w:bottom w:val="nil"/>
              <w:right w:val="nil"/>
            </w:tcBorders>
            <w:noWrap/>
            <w:hideMark/>
          </w:tcPr>
          <w:p w14:paraId="7DE33BFE"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228</w:t>
            </w:r>
          </w:p>
        </w:tc>
      </w:tr>
      <w:tr w:rsidR="00E91426" w:rsidRPr="00E91426" w14:paraId="46452E6C" w14:textId="77777777" w:rsidTr="00E91426">
        <w:trPr>
          <w:trHeight w:val="255"/>
        </w:trPr>
        <w:tc>
          <w:tcPr>
            <w:tcW w:w="6280" w:type="dxa"/>
            <w:tcBorders>
              <w:top w:val="nil"/>
              <w:left w:val="nil"/>
              <w:bottom w:val="nil"/>
              <w:right w:val="nil"/>
            </w:tcBorders>
            <w:hideMark/>
          </w:tcPr>
          <w:p w14:paraId="2ECDCB09"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Charitable and other contributions to expenditure</w:t>
            </w:r>
          </w:p>
        </w:tc>
        <w:tc>
          <w:tcPr>
            <w:tcW w:w="900" w:type="dxa"/>
            <w:tcBorders>
              <w:top w:val="nil"/>
              <w:left w:val="nil"/>
              <w:bottom w:val="nil"/>
              <w:right w:val="nil"/>
            </w:tcBorders>
            <w:noWrap/>
            <w:hideMark/>
          </w:tcPr>
          <w:p w14:paraId="27F2E958"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179</w:t>
            </w:r>
          </w:p>
        </w:tc>
        <w:tc>
          <w:tcPr>
            <w:tcW w:w="120" w:type="dxa"/>
            <w:tcBorders>
              <w:top w:val="nil"/>
              <w:left w:val="nil"/>
              <w:bottom w:val="nil"/>
              <w:right w:val="nil"/>
            </w:tcBorders>
            <w:noWrap/>
            <w:hideMark/>
          </w:tcPr>
          <w:p w14:paraId="2CEE9CFA"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40" w:type="dxa"/>
            <w:tcBorders>
              <w:top w:val="nil"/>
              <w:left w:val="nil"/>
              <w:bottom w:val="nil"/>
              <w:right w:val="nil"/>
            </w:tcBorders>
            <w:noWrap/>
            <w:hideMark/>
          </w:tcPr>
          <w:p w14:paraId="5908EBA6"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404</w:t>
            </w:r>
          </w:p>
        </w:tc>
      </w:tr>
      <w:tr w:rsidR="00E91426" w:rsidRPr="00E91426" w14:paraId="7763A1AF" w14:textId="77777777" w:rsidTr="00E91426">
        <w:trPr>
          <w:trHeight w:val="282"/>
        </w:trPr>
        <w:tc>
          <w:tcPr>
            <w:tcW w:w="6280" w:type="dxa"/>
            <w:tcBorders>
              <w:top w:val="nil"/>
              <w:left w:val="nil"/>
              <w:bottom w:val="nil"/>
              <w:right w:val="nil"/>
            </w:tcBorders>
            <w:noWrap/>
            <w:hideMark/>
          </w:tcPr>
          <w:p w14:paraId="6712CD62"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Total other operating income</w:t>
            </w:r>
          </w:p>
        </w:tc>
        <w:tc>
          <w:tcPr>
            <w:tcW w:w="900" w:type="dxa"/>
            <w:tcBorders>
              <w:top w:val="single" w:sz="4" w:space="0" w:color="auto"/>
              <w:left w:val="nil"/>
              <w:bottom w:val="double" w:sz="6" w:space="0" w:color="auto"/>
              <w:right w:val="nil"/>
            </w:tcBorders>
            <w:noWrap/>
            <w:hideMark/>
          </w:tcPr>
          <w:p w14:paraId="575E14DF"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46,868</w:t>
            </w:r>
          </w:p>
        </w:tc>
        <w:tc>
          <w:tcPr>
            <w:tcW w:w="120" w:type="dxa"/>
            <w:tcBorders>
              <w:top w:val="nil"/>
              <w:left w:val="nil"/>
              <w:bottom w:val="nil"/>
              <w:right w:val="nil"/>
            </w:tcBorders>
            <w:noWrap/>
            <w:hideMark/>
          </w:tcPr>
          <w:p w14:paraId="4F539AE8"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240" w:type="dxa"/>
            <w:tcBorders>
              <w:top w:val="single" w:sz="4" w:space="0" w:color="auto"/>
              <w:left w:val="nil"/>
              <w:bottom w:val="double" w:sz="6" w:space="0" w:color="auto"/>
              <w:right w:val="nil"/>
            </w:tcBorders>
            <w:noWrap/>
            <w:hideMark/>
          </w:tcPr>
          <w:p w14:paraId="556AA5B3"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36,717</w:t>
            </w:r>
          </w:p>
        </w:tc>
      </w:tr>
      <w:tr w:rsidR="00E91426" w:rsidRPr="00E91426" w14:paraId="2713C7F6" w14:textId="77777777" w:rsidTr="00E91426">
        <w:trPr>
          <w:trHeight w:val="282"/>
        </w:trPr>
        <w:tc>
          <w:tcPr>
            <w:tcW w:w="6280" w:type="dxa"/>
            <w:tcBorders>
              <w:top w:val="nil"/>
              <w:left w:val="nil"/>
              <w:bottom w:val="nil"/>
              <w:right w:val="nil"/>
            </w:tcBorders>
            <w:noWrap/>
            <w:hideMark/>
          </w:tcPr>
          <w:p w14:paraId="443EB8BA"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00" w:type="dxa"/>
            <w:tcBorders>
              <w:top w:val="nil"/>
              <w:left w:val="nil"/>
              <w:bottom w:val="nil"/>
              <w:right w:val="nil"/>
            </w:tcBorders>
            <w:noWrap/>
            <w:hideMark/>
          </w:tcPr>
          <w:p w14:paraId="35417EAE" w14:textId="77777777" w:rsidR="00E91426" w:rsidRPr="00E91426" w:rsidRDefault="00E91426" w:rsidP="00E91426">
            <w:pPr>
              <w:widowControl/>
              <w:rPr>
                <w:rFonts w:ascii="Arial" w:eastAsia="Times New Roman" w:hAnsi="Arial" w:cs="Arial"/>
                <w:sz w:val="20"/>
                <w:szCs w:val="20"/>
                <w:lang w:val="en-GB" w:eastAsia="en-GB"/>
              </w:rPr>
            </w:pPr>
          </w:p>
        </w:tc>
        <w:tc>
          <w:tcPr>
            <w:tcW w:w="120" w:type="dxa"/>
            <w:tcBorders>
              <w:top w:val="nil"/>
              <w:left w:val="nil"/>
              <w:bottom w:val="nil"/>
              <w:right w:val="nil"/>
            </w:tcBorders>
            <w:noWrap/>
            <w:hideMark/>
          </w:tcPr>
          <w:p w14:paraId="2CA59B26" w14:textId="77777777" w:rsidR="00E91426" w:rsidRPr="00E91426" w:rsidRDefault="00E91426" w:rsidP="00E91426">
            <w:pPr>
              <w:widowControl/>
              <w:rPr>
                <w:rFonts w:ascii="Arial" w:eastAsia="Times New Roman" w:hAnsi="Arial" w:cs="Arial"/>
                <w:sz w:val="20"/>
                <w:szCs w:val="20"/>
                <w:lang w:val="en-GB" w:eastAsia="en-GB"/>
              </w:rPr>
            </w:pPr>
          </w:p>
        </w:tc>
        <w:tc>
          <w:tcPr>
            <w:tcW w:w="1240" w:type="dxa"/>
            <w:tcBorders>
              <w:top w:val="nil"/>
              <w:left w:val="nil"/>
              <w:bottom w:val="nil"/>
              <w:right w:val="nil"/>
            </w:tcBorders>
            <w:noWrap/>
            <w:hideMark/>
          </w:tcPr>
          <w:p w14:paraId="683DD4A6"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38C06601" w14:textId="77777777" w:rsidTr="00E91426">
        <w:trPr>
          <w:trHeight w:val="282"/>
        </w:trPr>
        <w:tc>
          <w:tcPr>
            <w:tcW w:w="6280" w:type="dxa"/>
            <w:tcBorders>
              <w:top w:val="nil"/>
              <w:left w:val="nil"/>
              <w:bottom w:val="nil"/>
              <w:right w:val="nil"/>
            </w:tcBorders>
            <w:noWrap/>
            <w:hideMark/>
          </w:tcPr>
          <w:p w14:paraId="3CEAF22C" w14:textId="77777777" w:rsidR="00E91426" w:rsidRPr="00E91426" w:rsidRDefault="00E91426" w:rsidP="00E91426">
            <w:pPr>
              <w:widowControl/>
              <w:rPr>
                <w:rFonts w:ascii="Arial" w:eastAsia="Times New Roman" w:hAnsi="Arial" w:cs="Arial"/>
                <w:sz w:val="20"/>
                <w:szCs w:val="20"/>
                <w:lang w:val="en-GB" w:eastAsia="en-GB"/>
              </w:rPr>
            </w:pPr>
          </w:p>
        </w:tc>
        <w:tc>
          <w:tcPr>
            <w:tcW w:w="900" w:type="dxa"/>
            <w:tcBorders>
              <w:top w:val="nil"/>
              <w:left w:val="nil"/>
              <w:bottom w:val="nil"/>
              <w:right w:val="nil"/>
            </w:tcBorders>
            <w:hideMark/>
          </w:tcPr>
          <w:p w14:paraId="1C59589B"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2024/25</w:t>
            </w:r>
          </w:p>
        </w:tc>
        <w:tc>
          <w:tcPr>
            <w:tcW w:w="120" w:type="dxa"/>
            <w:tcBorders>
              <w:top w:val="nil"/>
              <w:left w:val="nil"/>
              <w:bottom w:val="nil"/>
              <w:right w:val="nil"/>
            </w:tcBorders>
            <w:hideMark/>
          </w:tcPr>
          <w:p w14:paraId="2AA8E4E3"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240" w:type="dxa"/>
            <w:tcBorders>
              <w:top w:val="nil"/>
              <w:left w:val="nil"/>
              <w:bottom w:val="nil"/>
              <w:right w:val="nil"/>
            </w:tcBorders>
            <w:hideMark/>
          </w:tcPr>
          <w:p w14:paraId="2C61A33F"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2023/24</w:t>
            </w:r>
          </w:p>
        </w:tc>
      </w:tr>
      <w:tr w:rsidR="00E91426" w:rsidRPr="00E91426" w14:paraId="0977F2D2" w14:textId="77777777" w:rsidTr="00E91426">
        <w:trPr>
          <w:trHeight w:val="282"/>
        </w:trPr>
        <w:tc>
          <w:tcPr>
            <w:tcW w:w="6280" w:type="dxa"/>
            <w:tcBorders>
              <w:top w:val="nil"/>
              <w:left w:val="nil"/>
              <w:bottom w:val="nil"/>
              <w:right w:val="nil"/>
            </w:tcBorders>
            <w:shd w:val="clear" w:color="000000" w:fill="FFFFFF"/>
            <w:noWrap/>
            <w:hideMark/>
          </w:tcPr>
          <w:p w14:paraId="4815FE18" w14:textId="77777777" w:rsidR="00E91426" w:rsidRPr="00E91426" w:rsidRDefault="00E91426" w:rsidP="00E91426">
            <w:pPr>
              <w:widowControl/>
              <w:rPr>
                <w:rFonts w:ascii="Arial" w:eastAsia="Times New Roman" w:hAnsi="Arial" w:cs="Arial"/>
                <w:b/>
                <w:bCs/>
                <w:sz w:val="20"/>
                <w:szCs w:val="20"/>
                <w:lang w:val="en-GB" w:eastAsia="en-GB"/>
              </w:rPr>
            </w:pPr>
            <w:r w:rsidRPr="00E91426">
              <w:rPr>
                <w:rFonts w:ascii="Arial" w:eastAsia="Times New Roman" w:hAnsi="Arial" w:cs="Arial"/>
                <w:b/>
                <w:bCs/>
                <w:sz w:val="20"/>
                <w:szCs w:val="20"/>
                <w:lang w:val="en-GB" w:eastAsia="en-GB"/>
              </w:rPr>
              <w:t>Other Income includes:</w:t>
            </w:r>
          </w:p>
        </w:tc>
        <w:tc>
          <w:tcPr>
            <w:tcW w:w="900" w:type="dxa"/>
            <w:tcBorders>
              <w:top w:val="nil"/>
              <w:left w:val="nil"/>
              <w:bottom w:val="nil"/>
              <w:right w:val="nil"/>
            </w:tcBorders>
            <w:shd w:val="clear" w:color="000000" w:fill="FFFFFF"/>
            <w:noWrap/>
            <w:hideMark/>
          </w:tcPr>
          <w:p w14:paraId="0EC1AE5F" w14:textId="77777777" w:rsidR="00E91426" w:rsidRPr="00E91426" w:rsidRDefault="00E91426" w:rsidP="00E91426">
            <w:pPr>
              <w:widowControl/>
              <w:jc w:val="right"/>
              <w:rPr>
                <w:rFonts w:ascii="Arial" w:eastAsia="Times New Roman" w:hAnsi="Arial" w:cs="Arial"/>
                <w:b/>
                <w:bCs/>
                <w:sz w:val="20"/>
                <w:szCs w:val="20"/>
                <w:lang w:val="en-GB" w:eastAsia="en-GB"/>
              </w:rPr>
            </w:pPr>
            <w:r w:rsidRPr="00E91426">
              <w:rPr>
                <w:rFonts w:ascii="Arial" w:eastAsia="Times New Roman" w:hAnsi="Arial" w:cs="Arial"/>
                <w:b/>
                <w:bCs/>
                <w:sz w:val="20"/>
                <w:szCs w:val="20"/>
                <w:lang w:val="en-GB" w:eastAsia="en-GB"/>
              </w:rPr>
              <w:t>£000</w:t>
            </w:r>
          </w:p>
        </w:tc>
        <w:tc>
          <w:tcPr>
            <w:tcW w:w="120" w:type="dxa"/>
            <w:tcBorders>
              <w:top w:val="nil"/>
              <w:left w:val="nil"/>
              <w:bottom w:val="nil"/>
              <w:right w:val="nil"/>
            </w:tcBorders>
            <w:shd w:val="clear" w:color="000000" w:fill="FFFFFF"/>
            <w:noWrap/>
            <w:hideMark/>
          </w:tcPr>
          <w:p w14:paraId="374B2936" w14:textId="77777777" w:rsidR="00E91426" w:rsidRPr="00E91426" w:rsidRDefault="00E91426" w:rsidP="00E91426">
            <w:pPr>
              <w:widowControl/>
              <w:rPr>
                <w:rFonts w:ascii="Arial" w:eastAsia="Times New Roman" w:hAnsi="Arial" w:cs="Arial"/>
                <w:sz w:val="20"/>
                <w:szCs w:val="20"/>
                <w:lang w:val="en-GB" w:eastAsia="en-GB"/>
              </w:rPr>
            </w:pPr>
            <w:r w:rsidRPr="00E91426">
              <w:rPr>
                <w:rFonts w:ascii="Arial" w:eastAsia="Times New Roman" w:hAnsi="Arial" w:cs="Arial"/>
                <w:sz w:val="20"/>
                <w:szCs w:val="20"/>
                <w:lang w:val="en-GB" w:eastAsia="en-GB"/>
              </w:rPr>
              <w:t> </w:t>
            </w:r>
          </w:p>
        </w:tc>
        <w:tc>
          <w:tcPr>
            <w:tcW w:w="1240" w:type="dxa"/>
            <w:tcBorders>
              <w:top w:val="nil"/>
              <w:left w:val="nil"/>
              <w:bottom w:val="nil"/>
              <w:right w:val="nil"/>
            </w:tcBorders>
            <w:shd w:val="clear" w:color="000000" w:fill="FFFFFF"/>
            <w:noWrap/>
            <w:hideMark/>
          </w:tcPr>
          <w:p w14:paraId="5978C705" w14:textId="77777777" w:rsidR="00E91426" w:rsidRPr="00E91426" w:rsidRDefault="00E91426" w:rsidP="00E91426">
            <w:pPr>
              <w:widowControl/>
              <w:jc w:val="right"/>
              <w:rPr>
                <w:rFonts w:ascii="Arial" w:eastAsia="Times New Roman" w:hAnsi="Arial" w:cs="Arial"/>
                <w:b/>
                <w:bCs/>
                <w:sz w:val="20"/>
                <w:szCs w:val="20"/>
                <w:lang w:val="en-GB" w:eastAsia="en-GB"/>
              </w:rPr>
            </w:pPr>
            <w:r w:rsidRPr="00E91426">
              <w:rPr>
                <w:rFonts w:ascii="Arial" w:eastAsia="Times New Roman" w:hAnsi="Arial" w:cs="Arial"/>
                <w:b/>
                <w:bCs/>
                <w:sz w:val="20"/>
                <w:szCs w:val="20"/>
                <w:lang w:val="en-GB" w:eastAsia="en-GB"/>
              </w:rPr>
              <w:t>£000</w:t>
            </w:r>
          </w:p>
        </w:tc>
      </w:tr>
      <w:tr w:rsidR="00E91426" w:rsidRPr="00E91426" w14:paraId="32F569DB" w14:textId="77777777" w:rsidTr="00E91426">
        <w:trPr>
          <w:trHeight w:val="282"/>
        </w:trPr>
        <w:tc>
          <w:tcPr>
            <w:tcW w:w="6280" w:type="dxa"/>
            <w:tcBorders>
              <w:top w:val="nil"/>
              <w:left w:val="nil"/>
              <w:bottom w:val="nil"/>
              <w:right w:val="nil"/>
            </w:tcBorders>
            <w:shd w:val="clear" w:color="000000" w:fill="FFFFFF"/>
            <w:noWrap/>
            <w:hideMark/>
          </w:tcPr>
          <w:p w14:paraId="59AB1A42" w14:textId="77777777" w:rsidR="00E91426" w:rsidRPr="00E91426" w:rsidRDefault="00E91426" w:rsidP="00E91426">
            <w:pPr>
              <w:widowControl/>
              <w:rPr>
                <w:rFonts w:ascii="Arial" w:eastAsia="Times New Roman" w:hAnsi="Arial" w:cs="Arial"/>
                <w:sz w:val="20"/>
                <w:szCs w:val="20"/>
                <w:lang w:val="en-GB" w:eastAsia="en-GB"/>
              </w:rPr>
            </w:pPr>
            <w:r w:rsidRPr="00E91426">
              <w:rPr>
                <w:rFonts w:ascii="Arial" w:eastAsia="Times New Roman" w:hAnsi="Arial" w:cs="Arial"/>
                <w:sz w:val="20"/>
                <w:szCs w:val="20"/>
                <w:lang w:val="en-GB" w:eastAsia="en-GB"/>
              </w:rPr>
              <w:t>Car parking income</w:t>
            </w:r>
            <w:r w:rsidRPr="00E91426">
              <w:rPr>
                <w:rFonts w:ascii="Arial" w:eastAsia="Times New Roman" w:hAnsi="Arial" w:cs="Arial"/>
                <w:sz w:val="20"/>
                <w:szCs w:val="20"/>
                <w:vertAlign w:val="superscript"/>
                <w:lang w:val="en-GB" w:eastAsia="en-GB"/>
              </w:rPr>
              <w:t>2</w:t>
            </w:r>
          </w:p>
        </w:tc>
        <w:tc>
          <w:tcPr>
            <w:tcW w:w="900" w:type="dxa"/>
            <w:tcBorders>
              <w:top w:val="nil"/>
              <w:left w:val="nil"/>
              <w:bottom w:val="nil"/>
              <w:right w:val="nil"/>
            </w:tcBorders>
            <w:shd w:val="clear" w:color="000000" w:fill="FFFFFF"/>
            <w:noWrap/>
            <w:hideMark/>
          </w:tcPr>
          <w:p w14:paraId="141B4A1E" w14:textId="77777777" w:rsidR="00E91426" w:rsidRPr="00E91426" w:rsidRDefault="00E91426" w:rsidP="00E91426">
            <w:pPr>
              <w:widowControl/>
              <w:jc w:val="right"/>
              <w:rPr>
                <w:rFonts w:ascii="Arial" w:eastAsia="Times New Roman" w:hAnsi="Arial" w:cs="Arial"/>
                <w:b/>
                <w:bCs/>
                <w:sz w:val="20"/>
                <w:szCs w:val="20"/>
                <w:lang w:val="en-GB" w:eastAsia="en-GB"/>
              </w:rPr>
            </w:pPr>
            <w:r w:rsidRPr="00E91426">
              <w:rPr>
                <w:rFonts w:ascii="Arial" w:eastAsia="Times New Roman" w:hAnsi="Arial" w:cs="Arial"/>
                <w:b/>
                <w:bCs/>
                <w:sz w:val="20"/>
                <w:szCs w:val="20"/>
                <w:lang w:val="en-GB" w:eastAsia="en-GB"/>
              </w:rPr>
              <w:t>5,543</w:t>
            </w:r>
          </w:p>
        </w:tc>
        <w:tc>
          <w:tcPr>
            <w:tcW w:w="120" w:type="dxa"/>
            <w:tcBorders>
              <w:top w:val="nil"/>
              <w:left w:val="nil"/>
              <w:bottom w:val="nil"/>
              <w:right w:val="nil"/>
            </w:tcBorders>
            <w:shd w:val="clear" w:color="000000" w:fill="FFFFFF"/>
            <w:noWrap/>
            <w:hideMark/>
          </w:tcPr>
          <w:p w14:paraId="75F72934" w14:textId="77777777" w:rsidR="00E91426" w:rsidRPr="00E91426" w:rsidRDefault="00E91426" w:rsidP="00E91426">
            <w:pPr>
              <w:widowControl/>
              <w:rPr>
                <w:rFonts w:ascii="Arial" w:eastAsia="Times New Roman" w:hAnsi="Arial" w:cs="Arial"/>
                <w:sz w:val="20"/>
                <w:szCs w:val="20"/>
                <w:lang w:val="en-GB" w:eastAsia="en-GB"/>
              </w:rPr>
            </w:pPr>
            <w:r w:rsidRPr="00E91426">
              <w:rPr>
                <w:rFonts w:ascii="Arial" w:eastAsia="Times New Roman" w:hAnsi="Arial" w:cs="Arial"/>
                <w:sz w:val="20"/>
                <w:szCs w:val="20"/>
                <w:lang w:val="en-GB" w:eastAsia="en-GB"/>
              </w:rPr>
              <w:t> </w:t>
            </w:r>
          </w:p>
        </w:tc>
        <w:tc>
          <w:tcPr>
            <w:tcW w:w="1240" w:type="dxa"/>
            <w:tcBorders>
              <w:top w:val="nil"/>
              <w:left w:val="nil"/>
              <w:bottom w:val="nil"/>
              <w:right w:val="nil"/>
            </w:tcBorders>
            <w:shd w:val="clear" w:color="000000" w:fill="FFFFFF"/>
            <w:noWrap/>
            <w:hideMark/>
          </w:tcPr>
          <w:p w14:paraId="25F49499" w14:textId="77777777" w:rsidR="00E91426" w:rsidRPr="00E91426" w:rsidRDefault="00E91426" w:rsidP="00E91426">
            <w:pPr>
              <w:widowControl/>
              <w:jc w:val="right"/>
              <w:rPr>
                <w:rFonts w:ascii="Arial" w:eastAsia="Times New Roman" w:hAnsi="Arial" w:cs="Arial"/>
                <w:sz w:val="20"/>
                <w:szCs w:val="20"/>
                <w:lang w:val="en-GB" w:eastAsia="en-GB"/>
              </w:rPr>
            </w:pPr>
            <w:r w:rsidRPr="00E91426">
              <w:rPr>
                <w:rFonts w:ascii="Arial" w:eastAsia="Times New Roman" w:hAnsi="Arial" w:cs="Arial"/>
                <w:sz w:val="20"/>
                <w:szCs w:val="20"/>
                <w:lang w:val="en-GB" w:eastAsia="en-GB"/>
              </w:rPr>
              <w:t>1,786</w:t>
            </w:r>
          </w:p>
        </w:tc>
      </w:tr>
      <w:tr w:rsidR="00E91426" w:rsidRPr="00E91426" w14:paraId="598441E7" w14:textId="77777777" w:rsidTr="00E91426">
        <w:trPr>
          <w:trHeight w:val="282"/>
        </w:trPr>
        <w:tc>
          <w:tcPr>
            <w:tcW w:w="6280" w:type="dxa"/>
            <w:tcBorders>
              <w:top w:val="nil"/>
              <w:left w:val="nil"/>
              <w:bottom w:val="nil"/>
              <w:right w:val="nil"/>
            </w:tcBorders>
            <w:shd w:val="clear" w:color="000000" w:fill="FFFFFF"/>
            <w:noWrap/>
            <w:hideMark/>
          </w:tcPr>
          <w:p w14:paraId="0BEAB9D9" w14:textId="77777777" w:rsidR="00E91426" w:rsidRPr="00E91426" w:rsidRDefault="00E91426" w:rsidP="00E91426">
            <w:pPr>
              <w:widowControl/>
              <w:rPr>
                <w:rFonts w:ascii="Arial" w:eastAsia="Times New Roman" w:hAnsi="Arial" w:cs="Arial"/>
                <w:sz w:val="20"/>
                <w:szCs w:val="20"/>
                <w:lang w:val="en-GB" w:eastAsia="en-GB"/>
              </w:rPr>
            </w:pPr>
            <w:r w:rsidRPr="00E91426">
              <w:rPr>
                <w:rFonts w:ascii="Arial" w:eastAsia="Times New Roman" w:hAnsi="Arial" w:cs="Arial"/>
                <w:sz w:val="20"/>
                <w:szCs w:val="20"/>
                <w:lang w:val="en-GB" w:eastAsia="en-GB"/>
              </w:rPr>
              <w:t>Catering</w:t>
            </w:r>
          </w:p>
        </w:tc>
        <w:tc>
          <w:tcPr>
            <w:tcW w:w="900" w:type="dxa"/>
            <w:tcBorders>
              <w:top w:val="nil"/>
              <w:left w:val="nil"/>
              <w:bottom w:val="nil"/>
              <w:right w:val="nil"/>
            </w:tcBorders>
            <w:shd w:val="clear" w:color="000000" w:fill="FFFFFF"/>
            <w:noWrap/>
            <w:hideMark/>
          </w:tcPr>
          <w:p w14:paraId="46E871A7" w14:textId="77777777" w:rsidR="00E91426" w:rsidRPr="00E91426" w:rsidRDefault="00E91426" w:rsidP="00E91426">
            <w:pPr>
              <w:widowControl/>
              <w:jc w:val="right"/>
              <w:rPr>
                <w:rFonts w:ascii="Arial" w:eastAsia="Times New Roman" w:hAnsi="Arial" w:cs="Arial"/>
                <w:b/>
                <w:bCs/>
                <w:sz w:val="20"/>
                <w:szCs w:val="20"/>
                <w:lang w:val="en-GB" w:eastAsia="en-GB"/>
              </w:rPr>
            </w:pPr>
            <w:r w:rsidRPr="00E91426">
              <w:rPr>
                <w:rFonts w:ascii="Arial" w:eastAsia="Times New Roman" w:hAnsi="Arial" w:cs="Arial"/>
                <w:b/>
                <w:bCs/>
                <w:sz w:val="20"/>
                <w:szCs w:val="20"/>
                <w:lang w:val="en-GB" w:eastAsia="en-GB"/>
              </w:rPr>
              <w:t>976</w:t>
            </w:r>
          </w:p>
        </w:tc>
        <w:tc>
          <w:tcPr>
            <w:tcW w:w="120" w:type="dxa"/>
            <w:tcBorders>
              <w:top w:val="nil"/>
              <w:left w:val="nil"/>
              <w:bottom w:val="nil"/>
              <w:right w:val="nil"/>
            </w:tcBorders>
            <w:shd w:val="clear" w:color="000000" w:fill="FFFFFF"/>
            <w:noWrap/>
            <w:hideMark/>
          </w:tcPr>
          <w:p w14:paraId="5E5CF9DE" w14:textId="77777777" w:rsidR="00E91426" w:rsidRPr="00E91426" w:rsidRDefault="00E91426" w:rsidP="00E91426">
            <w:pPr>
              <w:widowControl/>
              <w:rPr>
                <w:rFonts w:ascii="Arial" w:eastAsia="Times New Roman" w:hAnsi="Arial" w:cs="Arial"/>
                <w:sz w:val="20"/>
                <w:szCs w:val="20"/>
                <w:lang w:val="en-GB" w:eastAsia="en-GB"/>
              </w:rPr>
            </w:pPr>
            <w:r w:rsidRPr="00E91426">
              <w:rPr>
                <w:rFonts w:ascii="Arial" w:eastAsia="Times New Roman" w:hAnsi="Arial" w:cs="Arial"/>
                <w:sz w:val="20"/>
                <w:szCs w:val="20"/>
                <w:lang w:val="en-GB" w:eastAsia="en-GB"/>
              </w:rPr>
              <w:t> </w:t>
            </w:r>
          </w:p>
        </w:tc>
        <w:tc>
          <w:tcPr>
            <w:tcW w:w="1240" w:type="dxa"/>
            <w:tcBorders>
              <w:top w:val="nil"/>
              <w:left w:val="nil"/>
              <w:bottom w:val="nil"/>
              <w:right w:val="nil"/>
            </w:tcBorders>
            <w:shd w:val="clear" w:color="000000" w:fill="FFFFFF"/>
            <w:noWrap/>
            <w:hideMark/>
          </w:tcPr>
          <w:p w14:paraId="2FEAB090" w14:textId="77777777" w:rsidR="00E91426" w:rsidRPr="00E91426" w:rsidRDefault="00E91426" w:rsidP="00E91426">
            <w:pPr>
              <w:widowControl/>
              <w:jc w:val="right"/>
              <w:rPr>
                <w:rFonts w:ascii="Arial" w:eastAsia="Times New Roman" w:hAnsi="Arial" w:cs="Arial"/>
                <w:sz w:val="20"/>
                <w:szCs w:val="20"/>
                <w:lang w:val="en-GB" w:eastAsia="en-GB"/>
              </w:rPr>
            </w:pPr>
            <w:r w:rsidRPr="00E91426">
              <w:rPr>
                <w:rFonts w:ascii="Arial" w:eastAsia="Times New Roman" w:hAnsi="Arial" w:cs="Arial"/>
                <w:sz w:val="20"/>
                <w:szCs w:val="20"/>
                <w:lang w:val="en-GB" w:eastAsia="en-GB"/>
              </w:rPr>
              <w:t>898</w:t>
            </w:r>
          </w:p>
        </w:tc>
      </w:tr>
      <w:tr w:rsidR="00E91426" w:rsidRPr="00E91426" w14:paraId="38F81B41" w14:textId="77777777" w:rsidTr="00E91426">
        <w:trPr>
          <w:trHeight w:val="282"/>
        </w:trPr>
        <w:tc>
          <w:tcPr>
            <w:tcW w:w="6280" w:type="dxa"/>
            <w:tcBorders>
              <w:top w:val="nil"/>
              <w:left w:val="nil"/>
              <w:bottom w:val="nil"/>
              <w:right w:val="nil"/>
            </w:tcBorders>
            <w:shd w:val="clear" w:color="000000" w:fill="FFFFFF"/>
            <w:noWrap/>
            <w:hideMark/>
          </w:tcPr>
          <w:p w14:paraId="41E12099" w14:textId="77777777" w:rsidR="00E91426" w:rsidRPr="00E91426" w:rsidRDefault="00E91426" w:rsidP="00E91426">
            <w:pPr>
              <w:widowControl/>
              <w:rPr>
                <w:rFonts w:ascii="Arial" w:eastAsia="Times New Roman" w:hAnsi="Arial" w:cs="Arial"/>
                <w:sz w:val="20"/>
                <w:szCs w:val="20"/>
                <w:lang w:val="en-GB" w:eastAsia="en-GB"/>
              </w:rPr>
            </w:pPr>
            <w:r w:rsidRPr="00E91426">
              <w:rPr>
                <w:rFonts w:ascii="Arial" w:eastAsia="Times New Roman" w:hAnsi="Arial" w:cs="Arial"/>
                <w:sz w:val="20"/>
                <w:szCs w:val="20"/>
                <w:lang w:val="en-GB" w:eastAsia="en-GB"/>
              </w:rPr>
              <w:t>Pharmacy sales</w:t>
            </w:r>
          </w:p>
        </w:tc>
        <w:tc>
          <w:tcPr>
            <w:tcW w:w="900" w:type="dxa"/>
            <w:tcBorders>
              <w:top w:val="nil"/>
              <w:left w:val="nil"/>
              <w:bottom w:val="nil"/>
              <w:right w:val="nil"/>
            </w:tcBorders>
            <w:shd w:val="clear" w:color="000000" w:fill="FFFFFF"/>
            <w:noWrap/>
            <w:hideMark/>
          </w:tcPr>
          <w:p w14:paraId="74AC53B6" w14:textId="77777777" w:rsidR="00E91426" w:rsidRPr="00E91426" w:rsidRDefault="00E91426" w:rsidP="00E91426">
            <w:pPr>
              <w:widowControl/>
              <w:jc w:val="right"/>
              <w:rPr>
                <w:rFonts w:ascii="Arial" w:eastAsia="Times New Roman" w:hAnsi="Arial" w:cs="Arial"/>
                <w:b/>
                <w:bCs/>
                <w:sz w:val="20"/>
                <w:szCs w:val="20"/>
                <w:lang w:val="en-GB" w:eastAsia="en-GB"/>
              </w:rPr>
            </w:pPr>
            <w:r w:rsidRPr="00E91426">
              <w:rPr>
                <w:rFonts w:ascii="Arial" w:eastAsia="Times New Roman" w:hAnsi="Arial" w:cs="Arial"/>
                <w:b/>
                <w:bCs/>
                <w:sz w:val="20"/>
                <w:szCs w:val="20"/>
                <w:lang w:val="en-GB" w:eastAsia="en-GB"/>
              </w:rPr>
              <w:t>229</w:t>
            </w:r>
          </w:p>
        </w:tc>
        <w:tc>
          <w:tcPr>
            <w:tcW w:w="120" w:type="dxa"/>
            <w:tcBorders>
              <w:top w:val="nil"/>
              <w:left w:val="nil"/>
              <w:bottom w:val="nil"/>
              <w:right w:val="nil"/>
            </w:tcBorders>
            <w:shd w:val="clear" w:color="000000" w:fill="FFFFFF"/>
            <w:noWrap/>
            <w:hideMark/>
          </w:tcPr>
          <w:p w14:paraId="12146DEC" w14:textId="77777777" w:rsidR="00E91426" w:rsidRPr="00E91426" w:rsidRDefault="00E91426" w:rsidP="00E91426">
            <w:pPr>
              <w:widowControl/>
              <w:rPr>
                <w:rFonts w:ascii="Arial" w:eastAsia="Times New Roman" w:hAnsi="Arial" w:cs="Arial"/>
                <w:sz w:val="20"/>
                <w:szCs w:val="20"/>
                <w:lang w:val="en-GB" w:eastAsia="en-GB"/>
              </w:rPr>
            </w:pPr>
            <w:r w:rsidRPr="00E91426">
              <w:rPr>
                <w:rFonts w:ascii="Arial" w:eastAsia="Times New Roman" w:hAnsi="Arial" w:cs="Arial"/>
                <w:sz w:val="20"/>
                <w:szCs w:val="20"/>
                <w:lang w:val="en-GB" w:eastAsia="en-GB"/>
              </w:rPr>
              <w:t> </w:t>
            </w:r>
          </w:p>
        </w:tc>
        <w:tc>
          <w:tcPr>
            <w:tcW w:w="1240" w:type="dxa"/>
            <w:tcBorders>
              <w:top w:val="nil"/>
              <w:left w:val="nil"/>
              <w:bottom w:val="nil"/>
              <w:right w:val="nil"/>
            </w:tcBorders>
            <w:shd w:val="clear" w:color="000000" w:fill="FFFFFF"/>
            <w:noWrap/>
            <w:hideMark/>
          </w:tcPr>
          <w:p w14:paraId="34C9B381" w14:textId="77777777" w:rsidR="00E91426" w:rsidRPr="00E91426" w:rsidRDefault="00E91426" w:rsidP="00E91426">
            <w:pPr>
              <w:widowControl/>
              <w:jc w:val="right"/>
              <w:rPr>
                <w:rFonts w:ascii="Arial" w:eastAsia="Times New Roman" w:hAnsi="Arial" w:cs="Arial"/>
                <w:sz w:val="20"/>
                <w:szCs w:val="20"/>
                <w:lang w:val="en-GB" w:eastAsia="en-GB"/>
              </w:rPr>
            </w:pPr>
            <w:r w:rsidRPr="00E91426">
              <w:rPr>
                <w:rFonts w:ascii="Arial" w:eastAsia="Times New Roman" w:hAnsi="Arial" w:cs="Arial"/>
                <w:sz w:val="20"/>
                <w:szCs w:val="20"/>
                <w:lang w:val="en-GB" w:eastAsia="en-GB"/>
              </w:rPr>
              <w:t>236</w:t>
            </w:r>
          </w:p>
        </w:tc>
      </w:tr>
      <w:tr w:rsidR="00E91426" w:rsidRPr="00E91426" w14:paraId="41EB9AAC" w14:textId="77777777" w:rsidTr="00E91426">
        <w:trPr>
          <w:trHeight w:val="282"/>
        </w:trPr>
        <w:tc>
          <w:tcPr>
            <w:tcW w:w="6280" w:type="dxa"/>
            <w:tcBorders>
              <w:top w:val="nil"/>
              <w:left w:val="nil"/>
              <w:bottom w:val="nil"/>
              <w:right w:val="nil"/>
            </w:tcBorders>
            <w:shd w:val="clear" w:color="000000" w:fill="FFFFFF"/>
            <w:noWrap/>
            <w:hideMark/>
          </w:tcPr>
          <w:p w14:paraId="213A59B7" w14:textId="77777777" w:rsidR="00E91426" w:rsidRPr="00E91426" w:rsidRDefault="00E91426" w:rsidP="00E91426">
            <w:pPr>
              <w:widowControl/>
              <w:rPr>
                <w:rFonts w:ascii="Arial" w:eastAsia="Times New Roman" w:hAnsi="Arial" w:cs="Arial"/>
                <w:sz w:val="20"/>
                <w:szCs w:val="20"/>
                <w:lang w:val="en-GB" w:eastAsia="en-GB"/>
              </w:rPr>
            </w:pPr>
            <w:r w:rsidRPr="00E91426">
              <w:rPr>
                <w:rFonts w:ascii="Arial" w:eastAsia="Times New Roman" w:hAnsi="Arial" w:cs="Arial"/>
                <w:sz w:val="20"/>
                <w:szCs w:val="20"/>
                <w:lang w:val="en-GB" w:eastAsia="en-GB"/>
              </w:rPr>
              <w:t>Staff accommodation rental</w:t>
            </w:r>
          </w:p>
        </w:tc>
        <w:tc>
          <w:tcPr>
            <w:tcW w:w="900" w:type="dxa"/>
            <w:tcBorders>
              <w:top w:val="nil"/>
              <w:left w:val="nil"/>
              <w:bottom w:val="nil"/>
              <w:right w:val="nil"/>
            </w:tcBorders>
            <w:shd w:val="clear" w:color="000000" w:fill="FFFFFF"/>
            <w:noWrap/>
            <w:hideMark/>
          </w:tcPr>
          <w:p w14:paraId="569097CC" w14:textId="77777777" w:rsidR="00E91426" w:rsidRPr="00E91426" w:rsidRDefault="00E91426" w:rsidP="00E91426">
            <w:pPr>
              <w:widowControl/>
              <w:jc w:val="right"/>
              <w:rPr>
                <w:rFonts w:ascii="Arial" w:eastAsia="Times New Roman" w:hAnsi="Arial" w:cs="Arial"/>
                <w:b/>
                <w:bCs/>
                <w:sz w:val="20"/>
                <w:szCs w:val="20"/>
                <w:lang w:val="en-GB" w:eastAsia="en-GB"/>
              </w:rPr>
            </w:pPr>
            <w:r w:rsidRPr="00E91426">
              <w:rPr>
                <w:rFonts w:ascii="Arial" w:eastAsia="Times New Roman" w:hAnsi="Arial" w:cs="Arial"/>
                <w:b/>
                <w:bCs/>
                <w:sz w:val="20"/>
                <w:szCs w:val="20"/>
                <w:lang w:val="en-GB" w:eastAsia="en-GB"/>
              </w:rPr>
              <w:t>516</w:t>
            </w:r>
          </w:p>
        </w:tc>
        <w:tc>
          <w:tcPr>
            <w:tcW w:w="120" w:type="dxa"/>
            <w:tcBorders>
              <w:top w:val="nil"/>
              <w:left w:val="nil"/>
              <w:bottom w:val="nil"/>
              <w:right w:val="nil"/>
            </w:tcBorders>
            <w:shd w:val="clear" w:color="000000" w:fill="FFFFFF"/>
            <w:noWrap/>
            <w:hideMark/>
          </w:tcPr>
          <w:p w14:paraId="041C508B" w14:textId="77777777" w:rsidR="00E91426" w:rsidRPr="00E91426" w:rsidRDefault="00E91426" w:rsidP="00E91426">
            <w:pPr>
              <w:widowControl/>
              <w:rPr>
                <w:rFonts w:ascii="Arial" w:eastAsia="Times New Roman" w:hAnsi="Arial" w:cs="Arial"/>
                <w:sz w:val="20"/>
                <w:szCs w:val="20"/>
                <w:lang w:val="en-GB" w:eastAsia="en-GB"/>
              </w:rPr>
            </w:pPr>
            <w:r w:rsidRPr="00E91426">
              <w:rPr>
                <w:rFonts w:ascii="Arial" w:eastAsia="Times New Roman" w:hAnsi="Arial" w:cs="Arial"/>
                <w:sz w:val="20"/>
                <w:szCs w:val="20"/>
                <w:lang w:val="en-GB" w:eastAsia="en-GB"/>
              </w:rPr>
              <w:t> </w:t>
            </w:r>
          </w:p>
        </w:tc>
        <w:tc>
          <w:tcPr>
            <w:tcW w:w="1240" w:type="dxa"/>
            <w:tcBorders>
              <w:top w:val="nil"/>
              <w:left w:val="nil"/>
              <w:bottom w:val="nil"/>
              <w:right w:val="nil"/>
            </w:tcBorders>
            <w:shd w:val="clear" w:color="000000" w:fill="FFFFFF"/>
            <w:noWrap/>
            <w:hideMark/>
          </w:tcPr>
          <w:p w14:paraId="4D4A9965" w14:textId="77777777" w:rsidR="00E91426" w:rsidRPr="00E91426" w:rsidRDefault="00E91426" w:rsidP="00E91426">
            <w:pPr>
              <w:widowControl/>
              <w:jc w:val="right"/>
              <w:rPr>
                <w:rFonts w:ascii="Arial" w:eastAsia="Times New Roman" w:hAnsi="Arial" w:cs="Arial"/>
                <w:sz w:val="20"/>
                <w:szCs w:val="20"/>
                <w:lang w:val="en-GB" w:eastAsia="en-GB"/>
              </w:rPr>
            </w:pPr>
            <w:r w:rsidRPr="00E91426">
              <w:rPr>
                <w:rFonts w:ascii="Arial" w:eastAsia="Times New Roman" w:hAnsi="Arial" w:cs="Arial"/>
                <w:sz w:val="20"/>
                <w:szCs w:val="20"/>
                <w:lang w:val="en-GB" w:eastAsia="en-GB"/>
              </w:rPr>
              <w:t>606</w:t>
            </w:r>
          </w:p>
        </w:tc>
      </w:tr>
      <w:tr w:rsidR="00E91426" w:rsidRPr="00E91426" w14:paraId="567D727F" w14:textId="77777777" w:rsidTr="00E91426">
        <w:trPr>
          <w:trHeight w:val="282"/>
        </w:trPr>
        <w:tc>
          <w:tcPr>
            <w:tcW w:w="6280" w:type="dxa"/>
            <w:tcBorders>
              <w:top w:val="nil"/>
              <w:left w:val="nil"/>
              <w:bottom w:val="nil"/>
              <w:right w:val="nil"/>
            </w:tcBorders>
            <w:shd w:val="clear" w:color="000000" w:fill="FFFFFF"/>
            <w:noWrap/>
            <w:hideMark/>
          </w:tcPr>
          <w:p w14:paraId="0699904E" w14:textId="77777777" w:rsidR="00E91426" w:rsidRPr="00E91426" w:rsidRDefault="00E91426" w:rsidP="00E91426">
            <w:pPr>
              <w:widowControl/>
              <w:rPr>
                <w:rFonts w:ascii="Arial" w:eastAsia="Times New Roman" w:hAnsi="Arial" w:cs="Arial"/>
                <w:sz w:val="20"/>
                <w:szCs w:val="20"/>
                <w:lang w:val="en-GB" w:eastAsia="en-GB"/>
              </w:rPr>
            </w:pPr>
            <w:r w:rsidRPr="00E91426">
              <w:rPr>
                <w:rFonts w:ascii="Arial" w:eastAsia="Times New Roman" w:hAnsi="Arial" w:cs="Arial"/>
                <w:sz w:val="20"/>
                <w:szCs w:val="20"/>
                <w:lang w:val="en-GB" w:eastAsia="en-GB"/>
              </w:rPr>
              <w:t>Non-clinical services recharged to other bodies</w:t>
            </w:r>
          </w:p>
        </w:tc>
        <w:tc>
          <w:tcPr>
            <w:tcW w:w="900" w:type="dxa"/>
            <w:tcBorders>
              <w:top w:val="nil"/>
              <w:left w:val="nil"/>
              <w:bottom w:val="nil"/>
              <w:right w:val="nil"/>
            </w:tcBorders>
            <w:shd w:val="clear" w:color="000000" w:fill="FFFFFF"/>
            <w:noWrap/>
            <w:hideMark/>
          </w:tcPr>
          <w:p w14:paraId="4C41AF51" w14:textId="77777777" w:rsidR="00E91426" w:rsidRPr="00E91426" w:rsidRDefault="00E91426" w:rsidP="00E91426">
            <w:pPr>
              <w:widowControl/>
              <w:jc w:val="right"/>
              <w:rPr>
                <w:rFonts w:ascii="Arial" w:eastAsia="Times New Roman" w:hAnsi="Arial" w:cs="Arial"/>
                <w:b/>
                <w:bCs/>
                <w:sz w:val="20"/>
                <w:szCs w:val="20"/>
                <w:lang w:val="en-GB" w:eastAsia="en-GB"/>
              </w:rPr>
            </w:pPr>
            <w:r w:rsidRPr="00E91426">
              <w:rPr>
                <w:rFonts w:ascii="Arial" w:eastAsia="Times New Roman" w:hAnsi="Arial" w:cs="Arial"/>
                <w:b/>
                <w:bCs/>
                <w:sz w:val="20"/>
                <w:szCs w:val="20"/>
                <w:lang w:val="en-GB" w:eastAsia="en-GB"/>
              </w:rPr>
              <w:t>335</w:t>
            </w:r>
          </w:p>
        </w:tc>
        <w:tc>
          <w:tcPr>
            <w:tcW w:w="120" w:type="dxa"/>
            <w:tcBorders>
              <w:top w:val="nil"/>
              <w:left w:val="nil"/>
              <w:bottom w:val="nil"/>
              <w:right w:val="nil"/>
            </w:tcBorders>
            <w:shd w:val="clear" w:color="000000" w:fill="FFFFFF"/>
            <w:noWrap/>
            <w:hideMark/>
          </w:tcPr>
          <w:p w14:paraId="0EEF8BFF" w14:textId="77777777" w:rsidR="00E91426" w:rsidRPr="00E91426" w:rsidRDefault="00E91426" w:rsidP="00E91426">
            <w:pPr>
              <w:widowControl/>
              <w:rPr>
                <w:rFonts w:ascii="Arial" w:eastAsia="Times New Roman" w:hAnsi="Arial" w:cs="Arial"/>
                <w:sz w:val="20"/>
                <w:szCs w:val="20"/>
                <w:lang w:val="en-GB" w:eastAsia="en-GB"/>
              </w:rPr>
            </w:pPr>
            <w:r w:rsidRPr="00E91426">
              <w:rPr>
                <w:rFonts w:ascii="Arial" w:eastAsia="Times New Roman" w:hAnsi="Arial" w:cs="Arial"/>
                <w:sz w:val="20"/>
                <w:szCs w:val="20"/>
                <w:lang w:val="en-GB" w:eastAsia="en-GB"/>
              </w:rPr>
              <w:t> </w:t>
            </w:r>
          </w:p>
        </w:tc>
        <w:tc>
          <w:tcPr>
            <w:tcW w:w="1240" w:type="dxa"/>
            <w:tcBorders>
              <w:top w:val="nil"/>
              <w:left w:val="nil"/>
              <w:bottom w:val="nil"/>
              <w:right w:val="nil"/>
            </w:tcBorders>
            <w:shd w:val="clear" w:color="000000" w:fill="FFFFFF"/>
            <w:noWrap/>
            <w:hideMark/>
          </w:tcPr>
          <w:p w14:paraId="16DA79C0" w14:textId="77777777" w:rsidR="00E91426" w:rsidRPr="00E91426" w:rsidRDefault="00E91426" w:rsidP="00E91426">
            <w:pPr>
              <w:widowControl/>
              <w:jc w:val="right"/>
              <w:rPr>
                <w:rFonts w:ascii="Arial" w:eastAsia="Times New Roman" w:hAnsi="Arial" w:cs="Arial"/>
                <w:sz w:val="20"/>
                <w:szCs w:val="20"/>
                <w:lang w:val="en-GB" w:eastAsia="en-GB"/>
              </w:rPr>
            </w:pPr>
            <w:r w:rsidRPr="00E91426">
              <w:rPr>
                <w:rFonts w:ascii="Arial" w:eastAsia="Times New Roman" w:hAnsi="Arial" w:cs="Arial"/>
                <w:sz w:val="20"/>
                <w:szCs w:val="20"/>
                <w:lang w:val="en-GB" w:eastAsia="en-GB"/>
              </w:rPr>
              <w:t>370</w:t>
            </w:r>
          </w:p>
        </w:tc>
      </w:tr>
      <w:tr w:rsidR="00E91426" w:rsidRPr="00E91426" w14:paraId="509E7E5E" w14:textId="77777777" w:rsidTr="00E91426">
        <w:trPr>
          <w:trHeight w:val="282"/>
        </w:trPr>
        <w:tc>
          <w:tcPr>
            <w:tcW w:w="6280" w:type="dxa"/>
            <w:tcBorders>
              <w:top w:val="nil"/>
              <w:left w:val="nil"/>
              <w:bottom w:val="nil"/>
              <w:right w:val="nil"/>
            </w:tcBorders>
            <w:shd w:val="clear" w:color="000000" w:fill="FFFFFF"/>
            <w:noWrap/>
            <w:hideMark/>
          </w:tcPr>
          <w:p w14:paraId="259E515F" w14:textId="77777777" w:rsidR="00E91426" w:rsidRPr="00E91426" w:rsidRDefault="00E91426" w:rsidP="00E91426">
            <w:pPr>
              <w:widowControl/>
              <w:rPr>
                <w:rFonts w:ascii="Arial" w:eastAsia="Times New Roman" w:hAnsi="Arial" w:cs="Arial"/>
                <w:sz w:val="20"/>
                <w:szCs w:val="20"/>
                <w:lang w:val="en-GB" w:eastAsia="en-GB"/>
              </w:rPr>
            </w:pPr>
            <w:r w:rsidRPr="00E91426">
              <w:rPr>
                <w:rFonts w:ascii="Arial" w:eastAsia="Times New Roman" w:hAnsi="Arial" w:cs="Arial"/>
                <w:sz w:val="20"/>
                <w:szCs w:val="20"/>
                <w:lang w:val="en-GB" w:eastAsia="en-GB"/>
              </w:rPr>
              <w:t>Crèche services</w:t>
            </w:r>
          </w:p>
        </w:tc>
        <w:tc>
          <w:tcPr>
            <w:tcW w:w="900" w:type="dxa"/>
            <w:tcBorders>
              <w:top w:val="nil"/>
              <w:left w:val="nil"/>
              <w:bottom w:val="nil"/>
              <w:right w:val="nil"/>
            </w:tcBorders>
            <w:shd w:val="clear" w:color="000000" w:fill="FFFFFF"/>
            <w:noWrap/>
            <w:hideMark/>
          </w:tcPr>
          <w:p w14:paraId="45A47E2E" w14:textId="77777777" w:rsidR="00E91426" w:rsidRPr="00E91426" w:rsidRDefault="00E91426" w:rsidP="00E91426">
            <w:pPr>
              <w:widowControl/>
              <w:jc w:val="right"/>
              <w:rPr>
                <w:rFonts w:ascii="Arial" w:eastAsia="Times New Roman" w:hAnsi="Arial" w:cs="Arial"/>
                <w:b/>
                <w:bCs/>
                <w:sz w:val="20"/>
                <w:szCs w:val="20"/>
                <w:lang w:val="en-GB" w:eastAsia="en-GB"/>
              </w:rPr>
            </w:pPr>
            <w:r w:rsidRPr="00E91426">
              <w:rPr>
                <w:rFonts w:ascii="Arial" w:eastAsia="Times New Roman" w:hAnsi="Arial" w:cs="Arial"/>
                <w:b/>
                <w:bCs/>
                <w:sz w:val="20"/>
                <w:szCs w:val="20"/>
                <w:lang w:val="en-GB" w:eastAsia="en-GB"/>
              </w:rPr>
              <w:t>537</w:t>
            </w:r>
          </w:p>
        </w:tc>
        <w:tc>
          <w:tcPr>
            <w:tcW w:w="120" w:type="dxa"/>
            <w:tcBorders>
              <w:top w:val="nil"/>
              <w:left w:val="nil"/>
              <w:bottom w:val="nil"/>
              <w:right w:val="nil"/>
            </w:tcBorders>
            <w:shd w:val="clear" w:color="000000" w:fill="FFFFFF"/>
            <w:noWrap/>
            <w:hideMark/>
          </w:tcPr>
          <w:p w14:paraId="52898E4A" w14:textId="77777777" w:rsidR="00E91426" w:rsidRPr="00E91426" w:rsidRDefault="00E91426" w:rsidP="00E91426">
            <w:pPr>
              <w:widowControl/>
              <w:rPr>
                <w:rFonts w:ascii="Arial" w:eastAsia="Times New Roman" w:hAnsi="Arial" w:cs="Arial"/>
                <w:sz w:val="20"/>
                <w:szCs w:val="20"/>
                <w:lang w:val="en-GB" w:eastAsia="en-GB"/>
              </w:rPr>
            </w:pPr>
            <w:r w:rsidRPr="00E91426">
              <w:rPr>
                <w:rFonts w:ascii="Arial" w:eastAsia="Times New Roman" w:hAnsi="Arial" w:cs="Arial"/>
                <w:sz w:val="20"/>
                <w:szCs w:val="20"/>
                <w:lang w:val="en-GB" w:eastAsia="en-GB"/>
              </w:rPr>
              <w:t> </w:t>
            </w:r>
          </w:p>
        </w:tc>
        <w:tc>
          <w:tcPr>
            <w:tcW w:w="1240" w:type="dxa"/>
            <w:tcBorders>
              <w:top w:val="nil"/>
              <w:left w:val="nil"/>
              <w:bottom w:val="nil"/>
              <w:right w:val="nil"/>
            </w:tcBorders>
            <w:shd w:val="clear" w:color="000000" w:fill="FFFFFF"/>
            <w:noWrap/>
            <w:hideMark/>
          </w:tcPr>
          <w:p w14:paraId="02249616" w14:textId="77777777" w:rsidR="00E91426" w:rsidRPr="00E91426" w:rsidRDefault="00E91426" w:rsidP="00E91426">
            <w:pPr>
              <w:widowControl/>
              <w:jc w:val="right"/>
              <w:rPr>
                <w:rFonts w:ascii="Arial" w:eastAsia="Times New Roman" w:hAnsi="Arial" w:cs="Arial"/>
                <w:sz w:val="20"/>
                <w:szCs w:val="20"/>
                <w:lang w:val="en-GB" w:eastAsia="en-GB"/>
              </w:rPr>
            </w:pPr>
            <w:r w:rsidRPr="00E91426">
              <w:rPr>
                <w:rFonts w:ascii="Arial" w:eastAsia="Times New Roman" w:hAnsi="Arial" w:cs="Arial"/>
                <w:sz w:val="20"/>
                <w:szCs w:val="20"/>
                <w:lang w:val="en-GB" w:eastAsia="en-GB"/>
              </w:rPr>
              <w:t>344</w:t>
            </w:r>
          </w:p>
        </w:tc>
      </w:tr>
      <w:tr w:rsidR="00E91426" w:rsidRPr="00E91426" w14:paraId="7D198E5F" w14:textId="77777777" w:rsidTr="00E91426">
        <w:trPr>
          <w:trHeight w:val="282"/>
        </w:trPr>
        <w:tc>
          <w:tcPr>
            <w:tcW w:w="6280" w:type="dxa"/>
            <w:tcBorders>
              <w:top w:val="nil"/>
              <w:left w:val="nil"/>
              <w:bottom w:val="nil"/>
              <w:right w:val="nil"/>
            </w:tcBorders>
            <w:shd w:val="clear" w:color="000000" w:fill="FFFFFF"/>
            <w:noWrap/>
            <w:hideMark/>
          </w:tcPr>
          <w:p w14:paraId="6B62B4B7" w14:textId="77777777" w:rsidR="00E91426" w:rsidRPr="00E91426" w:rsidRDefault="00E91426" w:rsidP="00E91426">
            <w:pPr>
              <w:widowControl/>
              <w:rPr>
                <w:rFonts w:ascii="Arial" w:eastAsia="Times New Roman" w:hAnsi="Arial" w:cs="Arial"/>
                <w:sz w:val="20"/>
                <w:szCs w:val="20"/>
                <w:lang w:val="en-GB" w:eastAsia="en-GB"/>
              </w:rPr>
            </w:pPr>
            <w:r w:rsidRPr="00E91426">
              <w:rPr>
                <w:rFonts w:ascii="Arial" w:eastAsia="Times New Roman" w:hAnsi="Arial" w:cs="Arial"/>
                <w:sz w:val="20"/>
                <w:szCs w:val="20"/>
                <w:lang w:val="en-GB" w:eastAsia="en-GB"/>
              </w:rPr>
              <w:t>Clinical tests</w:t>
            </w:r>
          </w:p>
        </w:tc>
        <w:tc>
          <w:tcPr>
            <w:tcW w:w="900" w:type="dxa"/>
            <w:tcBorders>
              <w:top w:val="nil"/>
              <w:left w:val="nil"/>
              <w:bottom w:val="nil"/>
              <w:right w:val="nil"/>
            </w:tcBorders>
            <w:shd w:val="clear" w:color="000000" w:fill="FFFFFF"/>
            <w:noWrap/>
            <w:hideMark/>
          </w:tcPr>
          <w:p w14:paraId="44BBB5C9" w14:textId="77777777" w:rsidR="00E91426" w:rsidRPr="00E91426" w:rsidRDefault="00E91426" w:rsidP="00E91426">
            <w:pPr>
              <w:widowControl/>
              <w:jc w:val="right"/>
              <w:rPr>
                <w:rFonts w:ascii="Arial" w:eastAsia="Times New Roman" w:hAnsi="Arial" w:cs="Arial"/>
                <w:b/>
                <w:bCs/>
                <w:sz w:val="20"/>
                <w:szCs w:val="20"/>
                <w:lang w:val="en-GB" w:eastAsia="en-GB"/>
              </w:rPr>
            </w:pPr>
            <w:r w:rsidRPr="00E91426">
              <w:rPr>
                <w:rFonts w:ascii="Arial" w:eastAsia="Times New Roman" w:hAnsi="Arial" w:cs="Arial"/>
                <w:b/>
                <w:bCs/>
                <w:sz w:val="20"/>
                <w:szCs w:val="20"/>
                <w:lang w:val="en-GB" w:eastAsia="en-GB"/>
              </w:rPr>
              <w:t>2,323</w:t>
            </w:r>
          </w:p>
        </w:tc>
        <w:tc>
          <w:tcPr>
            <w:tcW w:w="120" w:type="dxa"/>
            <w:tcBorders>
              <w:top w:val="nil"/>
              <w:left w:val="nil"/>
              <w:bottom w:val="nil"/>
              <w:right w:val="nil"/>
            </w:tcBorders>
            <w:shd w:val="clear" w:color="000000" w:fill="FFFFFF"/>
            <w:noWrap/>
            <w:hideMark/>
          </w:tcPr>
          <w:p w14:paraId="7039A9AC" w14:textId="77777777" w:rsidR="00E91426" w:rsidRPr="00E91426" w:rsidRDefault="00E91426" w:rsidP="00E91426">
            <w:pPr>
              <w:widowControl/>
              <w:rPr>
                <w:rFonts w:ascii="Arial" w:eastAsia="Times New Roman" w:hAnsi="Arial" w:cs="Arial"/>
                <w:sz w:val="20"/>
                <w:szCs w:val="20"/>
                <w:lang w:val="en-GB" w:eastAsia="en-GB"/>
              </w:rPr>
            </w:pPr>
            <w:r w:rsidRPr="00E91426">
              <w:rPr>
                <w:rFonts w:ascii="Arial" w:eastAsia="Times New Roman" w:hAnsi="Arial" w:cs="Arial"/>
                <w:sz w:val="20"/>
                <w:szCs w:val="20"/>
                <w:lang w:val="en-GB" w:eastAsia="en-GB"/>
              </w:rPr>
              <w:t> </w:t>
            </w:r>
          </w:p>
        </w:tc>
        <w:tc>
          <w:tcPr>
            <w:tcW w:w="1240" w:type="dxa"/>
            <w:tcBorders>
              <w:top w:val="nil"/>
              <w:left w:val="nil"/>
              <w:bottom w:val="nil"/>
              <w:right w:val="nil"/>
            </w:tcBorders>
            <w:shd w:val="clear" w:color="000000" w:fill="FFFFFF"/>
            <w:noWrap/>
            <w:hideMark/>
          </w:tcPr>
          <w:p w14:paraId="6F2F1A87" w14:textId="77777777" w:rsidR="00E91426" w:rsidRPr="00E91426" w:rsidRDefault="00E91426" w:rsidP="00E91426">
            <w:pPr>
              <w:widowControl/>
              <w:jc w:val="right"/>
              <w:rPr>
                <w:rFonts w:ascii="Arial" w:eastAsia="Times New Roman" w:hAnsi="Arial" w:cs="Arial"/>
                <w:sz w:val="20"/>
                <w:szCs w:val="20"/>
                <w:lang w:val="en-GB" w:eastAsia="en-GB"/>
              </w:rPr>
            </w:pPr>
            <w:r w:rsidRPr="00E91426">
              <w:rPr>
                <w:rFonts w:ascii="Arial" w:eastAsia="Times New Roman" w:hAnsi="Arial" w:cs="Arial"/>
                <w:sz w:val="20"/>
                <w:szCs w:val="20"/>
                <w:lang w:val="en-GB" w:eastAsia="en-GB"/>
              </w:rPr>
              <w:t>1,406</w:t>
            </w:r>
          </w:p>
        </w:tc>
      </w:tr>
      <w:tr w:rsidR="00E91426" w:rsidRPr="00E91426" w14:paraId="4E871672" w14:textId="77777777" w:rsidTr="00E91426">
        <w:trPr>
          <w:trHeight w:val="282"/>
        </w:trPr>
        <w:tc>
          <w:tcPr>
            <w:tcW w:w="6280" w:type="dxa"/>
            <w:tcBorders>
              <w:top w:val="nil"/>
              <w:left w:val="nil"/>
              <w:bottom w:val="nil"/>
              <w:right w:val="nil"/>
            </w:tcBorders>
            <w:shd w:val="clear" w:color="000000" w:fill="FFFFFF"/>
            <w:noWrap/>
            <w:hideMark/>
          </w:tcPr>
          <w:p w14:paraId="5877D0EA" w14:textId="77777777" w:rsidR="00E91426" w:rsidRPr="00E91426" w:rsidRDefault="00E91426" w:rsidP="00E91426">
            <w:pPr>
              <w:widowControl/>
              <w:rPr>
                <w:rFonts w:ascii="Arial" w:eastAsia="Times New Roman" w:hAnsi="Arial" w:cs="Arial"/>
                <w:sz w:val="20"/>
                <w:szCs w:val="20"/>
                <w:lang w:val="en-GB" w:eastAsia="en-GB"/>
              </w:rPr>
            </w:pPr>
            <w:r w:rsidRPr="00E91426">
              <w:rPr>
                <w:rFonts w:ascii="Arial" w:eastAsia="Times New Roman" w:hAnsi="Arial" w:cs="Arial"/>
                <w:sz w:val="20"/>
                <w:szCs w:val="20"/>
                <w:lang w:val="en-GB" w:eastAsia="en-GB"/>
              </w:rPr>
              <w:t>Clinical excellence awards</w:t>
            </w:r>
          </w:p>
        </w:tc>
        <w:tc>
          <w:tcPr>
            <w:tcW w:w="900" w:type="dxa"/>
            <w:tcBorders>
              <w:top w:val="nil"/>
              <w:left w:val="nil"/>
              <w:bottom w:val="nil"/>
              <w:right w:val="nil"/>
            </w:tcBorders>
            <w:shd w:val="clear" w:color="000000" w:fill="FFFFFF"/>
            <w:noWrap/>
            <w:hideMark/>
          </w:tcPr>
          <w:p w14:paraId="07968B56" w14:textId="77777777" w:rsidR="00E91426" w:rsidRPr="00E91426" w:rsidRDefault="00E91426" w:rsidP="00E91426">
            <w:pPr>
              <w:widowControl/>
              <w:jc w:val="right"/>
              <w:rPr>
                <w:rFonts w:ascii="Arial" w:eastAsia="Times New Roman" w:hAnsi="Arial" w:cs="Arial"/>
                <w:b/>
                <w:bCs/>
                <w:sz w:val="20"/>
                <w:szCs w:val="20"/>
                <w:lang w:val="en-GB" w:eastAsia="en-GB"/>
              </w:rPr>
            </w:pPr>
            <w:r w:rsidRPr="00E91426">
              <w:rPr>
                <w:rFonts w:ascii="Arial" w:eastAsia="Times New Roman" w:hAnsi="Arial" w:cs="Arial"/>
                <w:b/>
                <w:bCs/>
                <w:sz w:val="20"/>
                <w:szCs w:val="20"/>
                <w:lang w:val="en-GB" w:eastAsia="en-GB"/>
              </w:rPr>
              <w:t>117</w:t>
            </w:r>
          </w:p>
        </w:tc>
        <w:tc>
          <w:tcPr>
            <w:tcW w:w="120" w:type="dxa"/>
            <w:tcBorders>
              <w:top w:val="nil"/>
              <w:left w:val="nil"/>
              <w:bottom w:val="nil"/>
              <w:right w:val="nil"/>
            </w:tcBorders>
            <w:shd w:val="clear" w:color="000000" w:fill="FFFFFF"/>
            <w:noWrap/>
            <w:hideMark/>
          </w:tcPr>
          <w:p w14:paraId="356C0C0E" w14:textId="77777777" w:rsidR="00E91426" w:rsidRPr="00E91426" w:rsidRDefault="00E91426" w:rsidP="00E91426">
            <w:pPr>
              <w:widowControl/>
              <w:rPr>
                <w:rFonts w:ascii="Arial" w:eastAsia="Times New Roman" w:hAnsi="Arial" w:cs="Arial"/>
                <w:sz w:val="20"/>
                <w:szCs w:val="20"/>
                <w:lang w:val="en-GB" w:eastAsia="en-GB"/>
              </w:rPr>
            </w:pPr>
            <w:r w:rsidRPr="00E91426">
              <w:rPr>
                <w:rFonts w:ascii="Arial" w:eastAsia="Times New Roman" w:hAnsi="Arial" w:cs="Arial"/>
                <w:sz w:val="20"/>
                <w:szCs w:val="20"/>
                <w:lang w:val="en-GB" w:eastAsia="en-GB"/>
              </w:rPr>
              <w:t> </w:t>
            </w:r>
          </w:p>
        </w:tc>
        <w:tc>
          <w:tcPr>
            <w:tcW w:w="1240" w:type="dxa"/>
            <w:tcBorders>
              <w:top w:val="nil"/>
              <w:left w:val="nil"/>
              <w:bottom w:val="nil"/>
              <w:right w:val="nil"/>
            </w:tcBorders>
            <w:shd w:val="clear" w:color="000000" w:fill="FFFFFF"/>
            <w:noWrap/>
            <w:hideMark/>
          </w:tcPr>
          <w:p w14:paraId="0D173634" w14:textId="77777777" w:rsidR="00E91426" w:rsidRPr="00E91426" w:rsidRDefault="00E91426" w:rsidP="00E91426">
            <w:pPr>
              <w:widowControl/>
              <w:jc w:val="right"/>
              <w:rPr>
                <w:rFonts w:ascii="Arial" w:eastAsia="Times New Roman" w:hAnsi="Arial" w:cs="Arial"/>
                <w:sz w:val="20"/>
                <w:szCs w:val="20"/>
                <w:lang w:val="en-GB" w:eastAsia="en-GB"/>
              </w:rPr>
            </w:pPr>
            <w:r w:rsidRPr="00E91426">
              <w:rPr>
                <w:rFonts w:ascii="Arial" w:eastAsia="Times New Roman" w:hAnsi="Arial" w:cs="Arial"/>
                <w:sz w:val="20"/>
                <w:szCs w:val="20"/>
                <w:lang w:val="en-GB" w:eastAsia="en-GB"/>
              </w:rPr>
              <w:t>163</w:t>
            </w:r>
          </w:p>
        </w:tc>
      </w:tr>
      <w:tr w:rsidR="00E91426" w:rsidRPr="00E91426" w14:paraId="179B9A6C" w14:textId="77777777" w:rsidTr="00E91426">
        <w:trPr>
          <w:trHeight w:val="282"/>
        </w:trPr>
        <w:tc>
          <w:tcPr>
            <w:tcW w:w="6280" w:type="dxa"/>
            <w:tcBorders>
              <w:top w:val="nil"/>
              <w:left w:val="nil"/>
              <w:bottom w:val="nil"/>
              <w:right w:val="nil"/>
            </w:tcBorders>
            <w:shd w:val="clear" w:color="000000" w:fill="FFFFFF"/>
            <w:noWrap/>
            <w:hideMark/>
          </w:tcPr>
          <w:p w14:paraId="2F74FE0A" w14:textId="77777777" w:rsidR="00E91426" w:rsidRPr="00E91426" w:rsidRDefault="00E91426" w:rsidP="00E91426">
            <w:pPr>
              <w:widowControl/>
              <w:rPr>
                <w:rFonts w:ascii="Arial" w:eastAsia="Times New Roman" w:hAnsi="Arial" w:cs="Arial"/>
                <w:sz w:val="20"/>
                <w:szCs w:val="20"/>
                <w:lang w:val="en-GB" w:eastAsia="en-GB"/>
              </w:rPr>
            </w:pPr>
            <w:r w:rsidRPr="00E91426">
              <w:rPr>
                <w:rFonts w:ascii="Arial" w:eastAsia="Times New Roman" w:hAnsi="Arial" w:cs="Arial"/>
                <w:sz w:val="20"/>
                <w:szCs w:val="20"/>
                <w:lang w:val="en-GB" w:eastAsia="en-GB"/>
              </w:rPr>
              <w:t>Other income not already covered (recognised under IFRS 15)</w:t>
            </w:r>
          </w:p>
        </w:tc>
        <w:tc>
          <w:tcPr>
            <w:tcW w:w="900" w:type="dxa"/>
            <w:tcBorders>
              <w:top w:val="nil"/>
              <w:left w:val="nil"/>
              <w:bottom w:val="nil"/>
              <w:right w:val="nil"/>
            </w:tcBorders>
            <w:shd w:val="clear" w:color="000000" w:fill="FFFFFF"/>
            <w:noWrap/>
            <w:hideMark/>
          </w:tcPr>
          <w:p w14:paraId="36428B51" w14:textId="77777777" w:rsidR="00E91426" w:rsidRPr="00E91426" w:rsidRDefault="00E91426" w:rsidP="00E91426">
            <w:pPr>
              <w:widowControl/>
              <w:jc w:val="right"/>
              <w:rPr>
                <w:rFonts w:ascii="Arial" w:eastAsia="Times New Roman" w:hAnsi="Arial" w:cs="Arial"/>
                <w:b/>
                <w:bCs/>
                <w:sz w:val="20"/>
                <w:szCs w:val="20"/>
                <w:lang w:val="en-GB" w:eastAsia="en-GB"/>
              </w:rPr>
            </w:pPr>
            <w:r w:rsidRPr="00E91426">
              <w:rPr>
                <w:rFonts w:ascii="Arial" w:eastAsia="Times New Roman" w:hAnsi="Arial" w:cs="Arial"/>
                <w:b/>
                <w:bCs/>
                <w:sz w:val="20"/>
                <w:szCs w:val="20"/>
                <w:lang w:val="en-GB" w:eastAsia="en-GB"/>
              </w:rPr>
              <w:t>4,094</w:t>
            </w:r>
          </w:p>
        </w:tc>
        <w:tc>
          <w:tcPr>
            <w:tcW w:w="120" w:type="dxa"/>
            <w:tcBorders>
              <w:top w:val="nil"/>
              <w:left w:val="nil"/>
              <w:bottom w:val="nil"/>
              <w:right w:val="nil"/>
            </w:tcBorders>
            <w:shd w:val="clear" w:color="000000" w:fill="FFFFFF"/>
            <w:noWrap/>
            <w:hideMark/>
          </w:tcPr>
          <w:p w14:paraId="31E7796B" w14:textId="77777777" w:rsidR="00E91426" w:rsidRPr="00E91426" w:rsidRDefault="00E91426" w:rsidP="00E91426">
            <w:pPr>
              <w:widowControl/>
              <w:rPr>
                <w:rFonts w:ascii="Arial" w:eastAsia="Times New Roman" w:hAnsi="Arial" w:cs="Arial"/>
                <w:sz w:val="20"/>
                <w:szCs w:val="20"/>
                <w:lang w:val="en-GB" w:eastAsia="en-GB"/>
              </w:rPr>
            </w:pPr>
            <w:r w:rsidRPr="00E91426">
              <w:rPr>
                <w:rFonts w:ascii="Arial" w:eastAsia="Times New Roman" w:hAnsi="Arial" w:cs="Arial"/>
                <w:sz w:val="20"/>
                <w:szCs w:val="20"/>
                <w:lang w:val="en-GB" w:eastAsia="en-GB"/>
              </w:rPr>
              <w:t> </w:t>
            </w:r>
          </w:p>
        </w:tc>
        <w:tc>
          <w:tcPr>
            <w:tcW w:w="1240" w:type="dxa"/>
            <w:tcBorders>
              <w:top w:val="nil"/>
              <w:left w:val="nil"/>
              <w:bottom w:val="nil"/>
              <w:right w:val="nil"/>
            </w:tcBorders>
            <w:shd w:val="clear" w:color="000000" w:fill="FFFFFF"/>
            <w:noWrap/>
            <w:hideMark/>
          </w:tcPr>
          <w:p w14:paraId="1829D34B" w14:textId="77777777" w:rsidR="00E91426" w:rsidRPr="00E91426" w:rsidRDefault="00E91426" w:rsidP="00E91426">
            <w:pPr>
              <w:widowControl/>
              <w:jc w:val="right"/>
              <w:rPr>
                <w:rFonts w:ascii="Arial" w:eastAsia="Times New Roman" w:hAnsi="Arial" w:cs="Arial"/>
                <w:sz w:val="20"/>
                <w:szCs w:val="20"/>
                <w:lang w:val="en-GB" w:eastAsia="en-GB"/>
              </w:rPr>
            </w:pPr>
            <w:r w:rsidRPr="00E91426">
              <w:rPr>
                <w:rFonts w:ascii="Arial" w:eastAsia="Times New Roman" w:hAnsi="Arial" w:cs="Arial"/>
                <w:sz w:val="20"/>
                <w:szCs w:val="20"/>
                <w:lang w:val="en-GB" w:eastAsia="en-GB"/>
              </w:rPr>
              <w:t>5,083</w:t>
            </w:r>
          </w:p>
        </w:tc>
      </w:tr>
      <w:tr w:rsidR="00E91426" w:rsidRPr="00E91426" w14:paraId="42F2AFE8" w14:textId="77777777" w:rsidTr="00E91426">
        <w:trPr>
          <w:trHeight w:val="282"/>
        </w:trPr>
        <w:tc>
          <w:tcPr>
            <w:tcW w:w="6280" w:type="dxa"/>
            <w:tcBorders>
              <w:top w:val="nil"/>
              <w:left w:val="nil"/>
              <w:bottom w:val="nil"/>
              <w:right w:val="nil"/>
            </w:tcBorders>
            <w:shd w:val="clear" w:color="000000" w:fill="FFFFFF"/>
            <w:noWrap/>
            <w:hideMark/>
          </w:tcPr>
          <w:p w14:paraId="477FE139" w14:textId="77777777" w:rsidR="00E91426" w:rsidRPr="00E91426" w:rsidRDefault="00E91426" w:rsidP="00E91426">
            <w:pPr>
              <w:widowControl/>
              <w:rPr>
                <w:rFonts w:ascii="Arial" w:eastAsia="Times New Roman" w:hAnsi="Arial" w:cs="Arial"/>
                <w:sz w:val="20"/>
                <w:szCs w:val="20"/>
                <w:lang w:val="en-GB" w:eastAsia="en-GB"/>
              </w:rPr>
            </w:pPr>
            <w:r w:rsidRPr="00E91426">
              <w:rPr>
                <w:rFonts w:ascii="Arial" w:eastAsia="Times New Roman" w:hAnsi="Arial" w:cs="Arial"/>
                <w:sz w:val="20"/>
                <w:szCs w:val="20"/>
                <w:lang w:val="en-GB" w:eastAsia="en-GB"/>
              </w:rPr>
              <w:t> </w:t>
            </w:r>
          </w:p>
        </w:tc>
        <w:tc>
          <w:tcPr>
            <w:tcW w:w="900" w:type="dxa"/>
            <w:tcBorders>
              <w:top w:val="single" w:sz="4" w:space="0" w:color="auto"/>
              <w:left w:val="nil"/>
              <w:bottom w:val="single" w:sz="8" w:space="0" w:color="auto"/>
              <w:right w:val="nil"/>
            </w:tcBorders>
            <w:shd w:val="clear" w:color="000000" w:fill="FFFFFF"/>
            <w:noWrap/>
            <w:hideMark/>
          </w:tcPr>
          <w:p w14:paraId="0FF02632" w14:textId="77777777" w:rsidR="00E91426" w:rsidRPr="00E91426" w:rsidRDefault="00E91426" w:rsidP="00E91426">
            <w:pPr>
              <w:widowControl/>
              <w:jc w:val="right"/>
              <w:rPr>
                <w:rFonts w:ascii="Arial" w:eastAsia="Times New Roman" w:hAnsi="Arial" w:cs="Arial"/>
                <w:b/>
                <w:bCs/>
                <w:sz w:val="20"/>
                <w:szCs w:val="20"/>
                <w:lang w:val="en-GB" w:eastAsia="en-GB"/>
              </w:rPr>
            </w:pPr>
            <w:r w:rsidRPr="00E91426">
              <w:rPr>
                <w:rFonts w:ascii="Arial" w:eastAsia="Times New Roman" w:hAnsi="Arial" w:cs="Arial"/>
                <w:b/>
                <w:bCs/>
                <w:sz w:val="20"/>
                <w:szCs w:val="20"/>
                <w:lang w:val="en-GB" w:eastAsia="en-GB"/>
              </w:rPr>
              <w:t>14,670</w:t>
            </w:r>
          </w:p>
        </w:tc>
        <w:tc>
          <w:tcPr>
            <w:tcW w:w="120" w:type="dxa"/>
            <w:tcBorders>
              <w:top w:val="nil"/>
              <w:left w:val="nil"/>
              <w:bottom w:val="nil"/>
              <w:right w:val="nil"/>
            </w:tcBorders>
            <w:shd w:val="clear" w:color="000000" w:fill="FFFFFF"/>
            <w:noWrap/>
            <w:hideMark/>
          </w:tcPr>
          <w:p w14:paraId="0AF60184" w14:textId="77777777" w:rsidR="00E91426" w:rsidRPr="00E91426" w:rsidRDefault="00E91426" w:rsidP="00E91426">
            <w:pPr>
              <w:widowControl/>
              <w:rPr>
                <w:rFonts w:ascii="Arial" w:eastAsia="Times New Roman" w:hAnsi="Arial" w:cs="Arial"/>
                <w:sz w:val="20"/>
                <w:szCs w:val="20"/>
                <w:lang w:val="en-GB" w:eastAsia="en-GB"/>
              </w:rPr>
            </w:pPr>
            <w:r w:rsidRPr="00E91426">
              <w:rPr>
                <w:rFonts w:ascii="Arial" w:eastAsia="Times New Roman" w:hAnsi="Arial" w:cs="Arial"/>
                <w:sz w:val="20"/>
                <w:szCs w:val="20"/>
                <w:lang w:val="en-GB" w:eastAsia="en-GB"/>
              </w:rPr>
              <w:t> </w:t>
            </w:r>
          </w:p>
        </w:tc>
        <w:tc>
          <w:tcPr>
            <w:tcW w:w="1240" w:type="dxa"/>
            <w:tcBorders>
              <w:top w:val="single" w:sz="4" w:space="0" w:color="auto"/>
              <w:left w:val="nil"/>
              <w:bottom w:val="single" w:sz="8" w:space="0" w:color="auto"/>
              <w:right w:val="nil"/>
            </w:tcBorders>
            <w:shd w:val="clear" w:color="000000" w:fill="FFFFFF"/>
            <w:noWrap/>
            <w:hideMark/>
          </w:tcPr>
          <w:p w14:paraId="1AA4E505" w14:textId="77777777" w:rsidR="00E91426" w:rsidRPr="00E91426" w:rsidRDefault="00E91426" w:rsidP="00E91426">
            <w:pPr>
              <w:widowControl/>
              <w:jc w:val="right"/>
              <w:rPr>
                <w:rFonts w:ascii="Arial" w:eastAsia="Times New Roman" w:hAnsi="Arial" w:cs="Arial"/>
                <w:b/>
                <w:bCs/>
                <w:sz w:val="20"/>
                <w:szCs w:val="20"/>
                <w:lang w:val="en-GB" w:eastAsia="en-GB"/>
              </w:rPr>
            </w:pPr>
            <w:r w:rsidRPr="00E91426">
              <w:rPr>
                <w:rFonts w:ascii="Arial" w:eastAsia="Times New Roman" w:hAnsi="Arial" w:cs="Arial"/>
                <w:b/>
                <w:bCs/>
                <w:sz w:val="20"/>
                <w:szCs w:val="20"/>
                <w:lang w:val="en-GB" w:eastAsia="en-GB"/>
              </w:rPr>
              <w:t>10,892</w:t>
            </w:r>
          </w:p>
        </w:tc>
      </w:tr>
      <w:tr w:rsidR="00E91426" w:rsidRPr="00E91426" w14:paraId="1489A4F1" w14:textId="77777777" w:rsidTr="00E91426">
        <w:trPr>
          <w:trHeight w:val="282"/>
        </w:trPr>
        <w:tc>
          <w:tcPr>
            <w:tcW w:w="6280" w:type="dxa"/>
            <w:tcBorders>
              <w:top w:val="nil"/>
              <w:left w:val="nil"/>
              <w:bottom w:val="nil"/>
              <w:right w:val="nil"/>
            </w:tcBorders>
            <w:noWrap/>
            <w:hideMark/>
          </w:tcPr>
          <w:p w14:paraId="73532EDF" w14:textId="77777777" w:rsidR="00E91426" w:rsidRPr="00E91426" w:rsidRDefault="00E91426" w:rsidP="00E91426">
            <w:pPr>
              <w:widowControl/>
              <w:jc w:val="right"/>
              <w:rPr>
                <w:rFonts w:ascii="Arial" w:eastAsia="Times New Roman" w:hAnsi="Arial" w:cs="Arial"/>
                <w:b/>
                <w:bCs/>
                <w:sz w:val="20"/>
                <w:szCs w:val="20"/>
                <w:lang w:val="en-GB" w:eastAsia="en-GB"/>
              </w:rPr>
            </w:pPr>
          </w:p>
        </w:tc>
        <w:tc>
          <w:tcPr>
            <w:tcW w:w="900" w:type="dxa"/>
            <w:tcBorders>
              <w:top w:val="nil"/>
              <w:left w:val="nil"/>
              <w:bottom w:val="nil"/>
              <w:right w:val="nil"/>
            </w:tcBorders>
            <w:noWrap/>
            <w:hideMark/>
          </w:tcPr>
          <w:p w14:paraId="593A07D0" w14:textId="77777777" w:rsidR="00E91426" w:rsidRPr="00E91426" w:rsidRDefault="00E91426" w:rsidP="00E91426">
            <w:pPr>
              <w:widowControl/>
              <w:rPr>
                <w:rFonts w:ascii="Arial" w:eastAsia="Times New Roman" w:hAnsi="Arial" w:cs="Arial"/>
                <w:sz w:val="20"/>
                <w:szCs w:val="20"/>
                <w:lang w:val="en-GB" w:eastAsia="en-GB"/>
              </w:rPr>
            </w:pPr>
          </w:p>
        </w:tc>
        <w:tc>
          <w:tcPr>
            <w:tcW w:w="120" w:type="dxa"/>
            <w:tcBorders>
              <w:top w:val="nil"/>
              <w:left w:val="nil"/>
              <w:bottom w:val="nil"/>
              <w:right w:val="nil"/>
            </w:tcBorders>
            <w:shd w:val="clear" w:color="000000" w:fill="FFFFFF"/>
            <w:noWrap/>
            <w:hideMark/>
          </w:tcPr>
          <w:p w14:paraId="224A987F" w14:textId="77777777" w:rsidR="00E91426" w:rsidRPr="00E91426" w:rsidRDefault="00E91426" w:rsidP="00E91426">
            <w:pPr>
              <w:widowControl/>
              <w:rPr>
                <w:rFonts w:ascii="Arial" w:eastAsia="Times New Roman" w:hAnsi="Arial" w:cs="Arial"/>
                <w:sz w:val="20"/>
                <w:szCs w:val="20"/>
                <w:lang w:val="en-GB" w:eastAsia="en-GB"/>
              </w:rPr>
            </w:pPr>
            <w:r w:rsidRPr="00E91426">
              <w:rPr>
                <w:rFonts w:ascii="Arial" w:eastAsia="Times New Roman" w:hAnsi="Arial" w:cs="Arial"/>
                <w:sz w:val="20"/>
                <w:szCs w:val="20"/>
                <w:lang w:val="en-GB" w:eastAsia="en-GB"/>
              </w:rPr>
              <w:t> </w:t>
            </w:r>
          </w:p>
        </w:tc>
        <w:tc>
          <w:tcPr>
            <w:tcW w:w="1240" w:type="dxa"/>
            <w:tcBorders>
              <w:top w:val="nil"/>
              <w:left w:val="nil"/>
              <w:bottom w:val="nil"/>
              <w:right w:val="nil"/>
            </w:tcBorders>
            <w:noWrap/>
            <w:hideMark/>
          </w:tcPr>
          <w:p w14:paraId="22C90320"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53887FA3" w14:textId="77777777" w:rsidTr="00E91426">
        <w:trPr>
          <w:trHeight w:val="600"/>
        </w:trPr>
        <w:tc>
          <w:tcPr>
            <w:tcW w:w="8540" w:type="dxa"/>
            <w:gridSpan w:val="4"/>
            <w:tcBorders>
              <w:top w:val="nil"/>
              <w:left w:val="nil"/>
              <w:bottom w:val="nil"/>
              <w:right w:val="nil"/>
            </w:tcBorders>
            <w:hideMark/>
          </w:tcPr>
          <w:p w14:paraId="7F895B82" w14:textId="77777777" w:rsidR="00E91426" w:rsidRPr="00E91426" w:rsidRDefault="00E91426" w:rsidP="00E91426">
            <w:pPr>
              <w:widowControl/>
              <w:rPr>
                <w:rFonts w:ascii="Arial" w:eastAsia="Times New Roman" w:hAnsi="Arial" w:cs="Arial"/>
                <w:color w:val="000000"/>
                <w:sz w:val="18"/>
                <w:szCs w:val="18"/>
                <w:lang w:val="en-GB" w:eastAsia="en-GB"/>
              </w:rPr>
            </w:pPr>
            <w:r w:rsidRPr="00E91426">
              <w:rPr>
                <w:rFonts w:ascii="Arial" w:eastAsia="Times New Roman" w:hAnsi="Arial" w:cs="Arial"/>
                <w:color w:val="000000"/>
                <w:sz w:val="18"/>
                <w:szCs w:val="18"/>
                <w:vertAlign w:val="superscript"/>
                <w:lang w:val="en-GB" w:eastAsia="en-GB"/>
              </w:rPr>
              <w:t>1</w:t>
            </w:r>
            <w:r w:rsidRPr="00E91426">
              <w:rPr>
                <w:rFonts w:ascii="Arial" w:eastAsia="Times New Roman" w:hAnsi="Arial" w:cs="Arial"/>
                <w:color w:val="000000"/>
                <w:sz w:val="18"/>
                <w:szCs w:val="18"/>
                <w:lang w:val="en-GB" w:eastAsia="en-GB"/>
              </w:rPr>
              <w:t>Includes £5,319k from Salix, 2024/25 is year 1 of a 2 year, £29,012k investment in site decarbonisation of which Salix grant funding will cover 88%.</w:t>
            </w:r>
          </w:p>
        </w:tc>
      </w:tr>
      <w:tr w:rsidR="00E91426" w:rsidRPr="00E91426" w14:paraId="20B5C2DC" w14:textId="77777777" w:rsidTr="00E91426">
        <w:trPr>
          <w:trHeight w:val="321"/>
        </w:trPr>
        <w:tc>
          <w:tcPr>
            <w:tcW w:w="8540" w:type="dxa"/>
            <w:gridSpan w:val="4"/>
            <w:tcBorders>
              <w:top w:val="nil"/>
              <w:left w:val="nil"/>
              <w:bottom w:val="nil"/>
              <w:right w:val="nil"/>
            </w:tcBorders>
            <w:hideMark/>
          </w:tcPr>
          <w:p w14:paraId="36958255" w14:textId="77777777" w:rsidR="00E91426" w:rsidRPr="00E91426" w:rsidRDefault="00E91426" w:rsidP="00E91426">
            <w:pPr>
              <w:widowControl/>
              <w:rPr>
                <w:rFonts w:ascii="Arial" w:eastAsia="Times New Roman" w:hAnsi="Arial" w:cs="Arial"/>
                <w:color w:val="000000"/>
                <w:sz w:val="18"/>
                <w:szCs w:val="18"/>
                <w:lang w:val="en-GB" w:eastAsia="en-GB"/>
              </w:rPr>
            </w:pPr>
            <w:r w:rsidRPr="00E91426">
              <w:rPr>
                <w:rFonts w:ascii="Arial" w:eastAsia="Times New Roman" w:hAnsi="Arial" w:cs="Arial"/>
                <w:color w:val="000000"/>
                <w:sz w:val="18"/>
                <w:szCs w:val="18"/>
                <w:vertAlign w:val="superscript"/>
                <w:lang w:val="en-GB" w:eastAsia="en-GB"/>
              </w:rPr>
              <w:t>2</w:t>
            </w:r>
            <w:r w:rsidRPr="00E91426">
              <w:rPr>
                <w:rFonts w:ascii="Arial" w:eastAsia="Times New Roman" w:hAnsi="Arial" w:cs="Arial"/>
                <w:color w:val="000000"/>
                <w:sz w:val="18"/>
                <w:szCs w:val="18"/>
                <w:lang w:val="en-GB" w:eastAsia="en-GB"/>
              </w:rPr>
              <w:t>Includes £3,508k in relation to Brockenhurst VAT Legal Case</w:t>
            </w:r>
          </w:p>
        </w:tc>
      </w:tr>
    </w:tbl>
    <w:p w14:paraId="78012C70" w14:textId="77777777" w:rsidR="00E91426" w:rsidRPr="00E91426" w:rsidRDefault="00E91426" w:rsidP="00E91426">
      <w:pPr>
        <w:widowControl/>
        <w:spacing w:after="160" w:line="259" w:lineRule="auto"/>
        <w:rPr>
          <w:rFonts w:ascii="Arial" w:eastAsia="Calibri" w:hAnsi="Arial" w:cs="Arial"/>
          <w:sz w:val="20"/>
          <w:szCs w:val="20"/>
          <w:lang w:val="en-GB"/>
        </w:rPr>
      </w:pPr>
    </w:p>
    <w:tbl>
      <w:tblPr>
        <w:tblW w:w="8540" w:type="dxa"/>
        <w:tblLook w:val="04A0" w:firstRow="1" w:lastRow="0" w:firstColumn="1" w:lastColumn="0" w:noHBand="0" w:noVBand="1"/>
      </w:tblPr>
      <w:tblGrid>
        <w:gridCol w:w="6280"/>
        <w:gridCol w:w="939"/>
        <w:gridCol w:w="222"/>
        <w:gridCol w:w="1240"/>
      </w:tblGrid>
      <w:tr w:rsidR="00E91426" w:rsidRPr="00E91426" w14:paraId="4A4C19AF" w14:textId="77777777" w:rsidTr="00E91426">
        <w:trPr>
          <w:trHeight w:val="510"/>
        </w:trPr>
        <w:tc>
          <w:tcPr>
            <w:tcW w:w="8540" w:type="dxa"/>
            <w:gridSpan w:val="4"/>
            <w:tcBorders>
              <w:top w:val="nil"/>
              <w:left w:val="nil"/>
              <w:bottom w:val="nil"/>
              <w:right w:val="nil"/>
            </w:tcBorders>
            <w:hideMark/>
          </w:tcPr>
          <w:p w14:paraId="6012BF91" w14:textId="77777777" w:rsidR="00E91426" w:rsidRPr="00E91426" w:rsidRDefault="00E91426" w:rsidP="00E91426">
            <w:pPr>
              <w:widowControl/>
              <w:spacing w:after="160" w:line="259" w:lineRule="auto"/>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Note 4.1 Additional information on revenue from contracts with customers recognised in the period</w:t>
            </w:r>
          </w:p>
        </w:tc>
      </w:tr>
      <w:tr w:rsidR="00E91426" w:rsidRPr="00E91426" w14:paraId="2554378C" w14:textId="77777777" w:rsidTr="00E91426">
        <w:trPr>
          <w:trHeight w:val="274"/>
        </w:trPr>
        <w:tc>
          <w:tcPr>
            <w:tcW w:w="6280" w:type="dxa"/>
            <w:tcBorders>
              <w:top w:val="nil"/>
              <w:left w:val="nil"/>
              <w:bottom w:val="nil"/>
              <w:right w:val="nil"/>
            </w:tcBorders>
            <w:noWrap/>
            <w:hideMark/>
          </w:tcPr>
          <w:p w14:paraId="648219A7"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900" w:type="dxa"/>
            <w:tcBorders>
              <w:top w:val="nil"/>
              <w:left w:val="nil"/>
              <w:bottom w:val="nil"/>
              <w:right w:val="nil"/>
            </w:tcBorders>
            <w:hideMark/>
          </w:tcPr>
          <w:p w14:paraId="6E1EF5A8"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2024/25</w:t>
            </w:r>
          </w:p>
        </w:tc>
        <w:tc>
          <w:tcPr>
            <w:tcW w:w="120" w:type="dxa"/>
            <w:tcBorders>
              <w:top w:val="nil"/>
              <w:left w:val="nil"/>
              <w:bottom w:val="nil"/>
              <w:right w:val="nil"/>
            </w:tcBorders>
            <w:noWrap/>
            <w:hideMark/>
          </w:tcPr>
          <w:p w14:paraId="34C30DA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240" w:type="dxa"/>
            <w:tcBorders>
              <w:top w:val="nil"/>
              <w:left w:val="nil"/>
              <w:bottom w:val="nil"/>
              <w:right w:val="nil"/>
            </w:tcBorders>
            <w:hideMark/>
          </w:tcPr>
          <w:p w14:paraId="39EF1DBA"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2023/24</w:t>
            </w:r>
          </w:p>
        </w:tc>
      </w:tr>
      <w:tr w:rsidR="00E91426" w:rsidRPr="00E91426" w14:paraId="179786A7" w14:textId="77777777" w:rsidTr="00E91426">
        <w:trPr>
          <w:trHeight w:val="274"/>
        </w:trPr>
        <w:tc>
          <w:tcPr>
            <w:tcW w:w="6280" w:type="dxa"/>
            <w:tcBorders>
              <w:top w:val="nil"/>
              <w:left w:val="nil"/>
              <w:bottom w:val="nil"/>
              <w:right w:val="nil"/>
            </w:tcBorders>
            <w:hideMark/>
          </w:tcPr>
          <w:p w14:paraId="2AE3BA92"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00" w:type="dxa"/>
            <w:tcBorders>
              <w:top w:val="nil"/>
              <w:left w:val="nil"/>
              <w:bottom w:val="nil"/>
              <w:right w:val="nil"/>
            </w:tcBorders>
            <w:hideMark/>
          </w:tcPr>
          <w:p w14:paraId="7D793C2A"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120" w:type="dxa"/>
            <w:tcBorders>
              <w:top w:val="nil"/>
              <w:left w:val="nil"/>
              <w:bottom w:val="nil"/>
              <w:right w:val="nil"/>
            </w:tcBorders>
            <w:hideMark/>
          </w:tcPr>
          <w:p w14:paraId="2F062240"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240" w:type="dxa"/>
            <w:tcBorders>
              <w:top w:val="nil"/>
              <w:left w:val="nil"/>
              <w:bottom w:val="nil"/>
              <w:right w:val="nil"/>
            </w:tcBorders>
            <w:hideMark/>
          </w:tcPr>
          <w:p w14:paraId="195CC8F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r>
      <w:tr w:rsidR="00E91426" w:rsidRPr="00E91426" w14:paraId="6B966909" w14:textId="77777777" w:rsidTr="00E91426">
        <w:trPr>
          <w:trHeight w:val="492"/>
        </w:trPr>
        <w:tc>
          <w:tcPr>
            <w:tcW w:w="6280" w:type="dxa"/>
            <w:tcBorders>
              <w:top w:val="nil"/>
              <w:left w:val="nil"/>
              <w:bottom w:val="nil"/>
              <w:right w:val="nil"/>
            </w:tcBorders>
            <w:hideMark/>
          </w:tcPr>
          <w:p w14:paraId="2B1567FF"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Revenue recognised in the reporting period that was included within contract liabilities at the previous period end</w:t>
            </w:r>
          </w:p>
        </w:tc>
        <w:tc>
          <w:tcPr>
            <w:tcW w:w="900" w:type="dxa"/>
            <w:tcBorders>
              <w:top w:val="nil"/>
              <w:left w:val="nil"/>
              <w:bottom w:val="nil"/>
              <w:right w:val="nil"/>
            </w:tcBorders>
            <w:noWrap/>
            <w:hideMark/>
          </w:tcPr>
          <w:p w14:paraId="6F43655F"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881</w:t>
            </w:r>
          </w:p>
        </w:tc>
        <w:tc>
          <w:tcPr>
            <w:tcW w:w="120" w:type="dxa"/>
            <w:tcBorders>
              <w:top w:val="nil"/>
              <w:left w:val="nil"/>
              <w:bottom w:val="nil"/>
              <w:right w:val="nil"/>
            </w:tcBorders>
            <w:noWrap/>
            <w:hideMark/>
          </w:tcPr>
          <w:p w14:paraId="0794CF26"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40" w:type="dxa"/>
            <w:tcBorders>
              <w:top w:val="nil"/>
              <w:left w:val="nil"/>
              <w:bottom w:val="nil"/>
              <w:right w:val="nil"/>
            </w:tcBorders>
            <w:noWrap/>
            <w:hideMark/>
          </w:tcPr>
          <w:p w14:paraId="72DB8BFD"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482</w:t>
            </w:r>
          </w:p>
        </w:tc>
      </w:tr>
      <w:tr w:rsidR="00E91426" w:rsidRPr="00E91426" w14:paraId="03AA4CE4" w14:textId="77777777" w:rsidTr="00E91426">
        <w:trPr>
          <w:trHeight w:val="492"/>
        </w:trPr>
        <w:tc>
          <w:tcPr>
            <w:tcW w:w="6280" w:type="dxa"/>
            <w:tcBorders>
              <w:top w:val="nil"/>
              <w:left w:val="nil"/>
              <w:bottom w:val="nil"/>
              <w:right w:val="nil"/>
            </w:tcBorders>
            <w:hideMark/>
          </w:tcPr>
          <w:p w14:paraId="04486F7D"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Revenue recognised from performance obligations satisfied (or partially satisfied) in previous periods</w:t>
            </w:r>
          </w:p>
        </w:tc>
        <w:tc>
          <w:tcPr>
            <w:tcW w:w="900" w:type="dxa"/>
            <w:tcBorders>
              <w:top w:val="nil"/>
              <w:left w:val="nil"/>
              <w:bottom w:val="nil"/>
              <w:right w:val="nil"/>
            </w:tcBorders>
            <w:noWrap/>
            <w:hideMark/>
          </w:tcPr>
          <w:p w14:paraId="69E9D391"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20" w:type="dxa"/>
            <w:tcBorders>
              <w:top w:val="nil"/>
              <w:left w:val="nil"/>
              <w:bottom w:val="nil"/>
              <w:right w:val="nil"/>
            </w:tcBorders>
            <w:noWrap/>
            <w:hideMark/>
          </w:tcPr>
          <w:p w14:paraId="4A66549E"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40" w:type="dxa"/>
            <w:tcBorders>
              <w:top w:val="nil"/>
              <w:left w:val="nil"/>
              <w:bottom w:val="nil"/>
              <w:right w:val="nil"/>
            </w:tcBorders>
            <w:noWrap/>
            <w:hideMark/>
          </w:tcPr>
          <w:p w14:paraId="52C8FD4D"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r>
      <w:tr w:rsidR="00E91426" w:rsidRPr="00E91426" w14:paraId="2034147A" w14:textId="77777777" w:rsidTr="00E91426">
        <w:trPr>
          <w:trHeight w:val="222"/>
        </w:trPr>
        <w:tc>
          <w:tcPr>
            <w:tcW w:w="6280" w:type="dxa"/>
            <w:tcBorders>
              <w:top w:val="nil"/>
              <w:left w:val="nil"/>
              <w:bottom w:val="nil"/>
              <w:right w:val="nil"/>
            </w:tcBorders>
            <w:noWrap/>
            <w:hideMark/>
          </w:tcPr>
          <w:p w14:paraId="3754791B"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900" w:type="dxa"/>
            <w:tcBorders>
              <w:top w:val="nil"/>
              <w:left w:val="nil"/>
              <w:bottom w:val="nil"/>
              <w:right w:val="nil"/>
            </w:tcBorders>
            <w:noWrap/>
            <w:hideMark/>
          </w:tcPr>
          <w:p w14:paraId="3EB6D614" w14:textId="77777777" w:rsidR="00E91426" w:rsidRPr="00E91426" w:rsidRDefault="00E91426" w:rsidP="00E91426">
            <w:pPr>
              <w:widowControl/>
              <w:rPr>
                <w:rFonts w:ascii="Arial" w:eastAsia="Times New Roman" w:hAnsi="Arial" w:cs="Arial"/>
                <w:sz w:val="20"/>
                <w:szCs w:val="20"/>
                <w:lang w:val="en-GB" w:eastAsia="en-GB"/>
              </w:rPr>
            </w:pPr>
          </w:p>
        </w:tc>
        <w:tc>
          <w:tcPr>
            <w:tcW w:w="120" w:type="dxa"/>
            <w:tcBorders>
              <w:top w:val="nil"/>
              <w:left w:val="nil"/>
              <w:bottom w:val="nil"/>
              <w:right w:val="nil"/>
            </w:tcBorders>
            <w:noWrap/>
            <w:hideMark/>
          </w:tcPr>
          <w:p w14:paraId="073F8BDF"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240" w:type="dxa"/>
            <w:tcBorders>
              <w:top w:val="nil"/>
              <w:left w:val="nil"/>
              <w:bottom w:val="nil"/>
              <w:right w:val="nil"/>
            </w:tcBorders>
            <w:noWrap/>
            <w:hideMark/>
          </w:tcPr>
          <w:p w14:paraId="2BE58BE2"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77199527" w14:textId="77777777" w:rsidTr="00E91426">
        <w:trPr>
          <w:trHeight w:val="274"/>
        </w:trPr>
        <w:tc>
          <w:tcPr>
            <w:tcW w:w="6280" w:type="dxa"/>
            <w:tcBorders>
              <w:top w:val="nil"/>
              <w:left w:val="nil"/>
              <w:bottom w:val="nil"/>
              <w:right w:val="nil"/>
            </w:tcBorders>
            <w:noWrap/>
            <w:hideMark/>
          </w:tcPr>
          <w:p w14:paraId="090248B7" w14:textId="77777777" w:rsidR="00E91426" w:rsidRPr="00E91426" w:rsidRDefault="00E91426" w:rsidP="00E91426">
            <w:pPr>
              <w:widowControl/>
              <w:jc w:val="right"/>
              <w:rPr>
                <w:rFonts w:ascii="Arial" w:eastAsia="Times New Roman" w:hAnsi="Arial" w:cs="Arial"/>
                <w:sz w:val="20"/>
                <w:szCs w:val="20"/>
                <w:lang w:val="en-GB" w:eastAsia="en-GB"/>
              </w:rPr>
            </w:pPr>
          </w:p>
        </w:tc>
        <w:tc>
          <w:tcPr>
            <w:tcW w:w="900" w:type="dxa"/>
            <w:tcBorders>
              <w:top w:val="nil"/>
              <w:left w:val="nil"/>
              <w:bottom w:val="nil"/>
              <w:right w:val="nil"/>
            </w:tcBorders>
            <w:noWrap/>
            <w:hideMark/>
          </w:tcPr>
          <w:p w14:paraId="37AC5764" w14:textId="77777777" w:rsidR="00E91426" w:rsidRPr="00E91426" w:rsidRDefault="00E91426" w:rsidP="00E91426">
            <w:pPr>
              <w:widowControl/>
              <w:rPr>
                <w:rFonts w:ascii="Arial" w:eastAsia="Times New Roman" w:hAnsi="Arial" w:cs="Arial"/>
                <w:sz w:val="20"/>
                <w:szCs w:val="20"/>
                <w:lang w:val="en-GB" w:eastAsia="en-GB"/>
              </w:rPr>
            </w:pPr>
          </w:p>
        </w:tc>
        <w:tc>
          <w:tcPr>
            <w:tcW w:w="120" w:type="dxa"/>
            <w:tcBorders>
              <w:top w:val="nil"/>
              <w:left w:val="nil"/>
              <w:bottom w:val="nil"/>
              <w:right w:val="nil"/>
            </w:tcBorders>
            <w:noWrap/>
            <w:hideMark/>
          </w:tcPr>
          <w:p w14:paraId="69A17908"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240" w:type="dxa"/>
            <w:tcBorders>
              <w:top w:val="nil"/>
              <w:left w:val="nil"/>
              <w:bottom w:val="nil"/>
              <w:right w:val="nil"/>
            </w:tcBorders>
            <w:noWrap/>
            <w:hideMark/>
          </w:tcPr>
          <w:p w14:paraId="72AD22B6"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0CB3C267" w14:textId="77777777" w:rsidTr="00E91426">
        <w:trPr>
          <w:trHeight w:val="282"/>
        </w:trPr>
        <w:tc>
          <w:tcPr>
            <w:tcW w:w="7180" w:type="dxa"/>
            <w:gridSpan w:val="2"/>
            <w:tcBorders>
              <w:top w:val="nil"/>
              <w:left w:val="nil"/>
              <w:bottom w:val="nil"/>
              <w:right w:val="nil"/>
            </w:tcBorders>
            <w:noWrap/>
            <w:hideMark/>
          </w:tcPr>
          <w:p w14:paraId="2B7BEEE2" w14:textId="77777777" w:rsidR="00E91426" w:rsidRPr="00E91426" w:rsidRDefault="00E91426" w:rsidP="00E91426">
            <w:pPr>
              <w:widowControl/>
              <w:rPr>
                <w:rFonts w:ascii="Arial" w:eastAsia="Times New Roman" w:hAnsi="Arial" w:cs="Arial"/>
                <w:b/>
                <w:bCs/>
                <w:color w:val="000000"/>
                <w:sz w:val="20"/>
                <w:szCs w:val="20"/>
                <w:lang w:val="en-GB" w:eastAsia="en-GB"/>
              </w:rPr>
            </w:pPr>
          </w:p>
          <w:p w14:paraId="4C88155D" w14:textId="77777777" w:rsidR="00E91426" w:rsidRPr="00E91426" w:rsidRDefault="00E91426" w:rsidP="00E91426">
            <w:pPr>
              <w:widowControl/>
              <w:rPr>
                <w:rFonts w:ascii="Arial" w:eastAsia="Times New Roman" w:hAnsi="Arial" w:cs="Arial"/>
                <w:b/>
                <w:bCs/>
                <w:color w:val="000000"/>
                <w:sz w:val="20"/>
                <w:szCs w:val="20"/>
                <w:lang w:val="en-GB" w:eastAsia="en-GB"/>
              </w:rPr>
            </w:pPr>
          </w:p>
          <w:p w14:paraId="1BA872A5" w14:textId="77777777" w:rsidR="00E91426" w:rsidRPr="00E91426" w:rsidRDefault="00E91426" w:rsidP="00E91426">
            <w:pPr>
              <w:widowControl/>
              <w:rPr>
                <w:rFonts w:ascii="Arial" w:eastAsia="Times New Roman" w:hAnsi="Arial" w:cs="Arial"/>
                <w:b/>
                <w:bCs/>
                <w:color w:val="000000"/>
                <w:sz w:val="20"/>
                <w:szCs w:val="20"/>
                <w:lang w:val="en-GB" w:eastAsia="en-GB"/>
              </w:rPr>
            </w:pPr>
          </w:p>
          <w:p w14:paraId="2842DFF6" w14:textId="77777777" w:rsidR="00E91426" w:rsidRPr="00E91426" w:rsidRDefault="00E91426" w:rsidP="00E91426">
            <w:pPr>
              <w:widowControl/>
              <w:rPr>
                <w:rFonts w:ascii="Arial" w:eastAsia="Times New Roman" w:hAnsi="Arial" w:cs="Arial"/>
                <w:b/>
                <w:bCs/>
                <w:color w:val="000000"/>
                <w:sz w:val="20"/>
                <w:szCs w:val="20"/>
                <w:lang w:val="en-GB" w:eastAsia="en-GB"/>
              </w:rPr>
            </w:pPr>
          </w:p>
          <w:p w14:paraId="2896A6CD" w14:textId="77777777" w:rsidR="00E91426" w:rsidRPr="00E91426" w:rsidRDefault="00E91426" w:rsidP="00E91426">
            <w:pPr>
              <w:widowControl/>
              <w:rPr>
                <w:rFonts w:ascii="Arial" w:eastAsia="Times New Roman" w:hAnsi="Arial" w:cs="Arial"/>
                <w:b/>
                <w:bCs/>
                <w:color w:val="000000"/>
                <w:sz w:val="20"/>
                <w:szCs w:val="20"/>
                <w:lang w:val="en-GB" w:eastAsia="en-GB"/>
              </w:rPr>
            </w:pPr>
          </w:p>
          <w:p w14:paraId="3689D66C"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Note 4.2 Transaction price allocated to remaining performance obligations</w:t>
            </w:r>
          </w:p>
        </w:tc>
        <w:tc>
          <w:tcPr>
            <w:tcW w:w="120" w:type="dxa"/>
            <w:tcBorders>
              <w:top w:val="nil"/>
              <w:left w:val="nil"/>
              <w:bottom w:val="nil"/>
              <w:right w:val="nil"/>
            </w:tcBorders>
            <w:noWrap/>
            <w:hideMark/>
          </w:tcPr>
          <w:p w14:paraId="60F3BFCE"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1240" w:type="dxa"/>
            <w:tcBorders>
              <w:top w:val="nil"/>
              <w:left w:val="nil"/>
              <w:bottom w:val="nil"/>
              <w:right w:val="nil"/>
            </w:tcBorders>
            <w:noWrap/>
            <w:hideMark/>
          </w:tcPr>
          <w:p w14:paraId="0212221F"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26AE15F1" w14:textId="77777777" w:rsidTr="00E91426">
        <w:trPr>
          <w:trHeight w:val="270"/>
        </w:trPr>
        <w:tc>
          <w:tcPr>
            <w:tcW w:w="6280" w:type="dxa"/>
            <w:tcBorders>
              <w:top w:val="nil"/>
              <w:left w:val="nil"/>
              <w:bottom w:val="nil"/>
              <w:right w:val="nil"/>
            </w:tcBorders>
            <w:hideMark/>
          </w:tcPr>
          <w:p w14:paraId="6735934E"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lastRenderedPageBreak/>
              <w:t>Revenue from existing contracts allocated to remaining performance obligations is expected to be recognised:</w:t>
            </w:r>
          </w:p>
        </w:tc>
        <w:tc>
          <w:tcPr>
            <w:tcW w:w="900" w:type="dxa"/>
            <w:tcBorders>
              <w:top w:val="nil"/>
              <w:left w:val="nil"/>
              <w:bottom w:val="nil"/>
              <w:right w:val="nil"/>
            </w:tcBorders>
            <w:hideMark/>
          </w:tcPr>
          <w:p w14:paraId="0D60F66A"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2024/25</w:t>
            </w:r>
          </w:p>
        </w:tc>
        <w:tc>
          <w:tcPr>
            <w:tcW w:w="120" w:type="dxa"/>
            <w:tcBorders>
              <w:top w:val="nil"/>
              <w:left w:val="nil"/>
              <w:bottom w:val="nil"/>
              <w:right w:val="nil"/>
            </w:tcBorders>
            <w:noWrap/>
            <w:hideMark/>
          </w:tcPr>
          <w:p w14:paraId="5BD9F7F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240" w:type="dxa"/>
            <w:tcBorders>
              <w:top w:val="nil"/>
              <w:left w:val="nil"/>
              <w:bottom w:val="nil"/>
              <w:right w:val="nil"/>
            </w:tcBorders>
            <w:hideMark/>
          </w:tcPr>
          <w:p w14:paraId="540A355D"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2023/24</w:t>
            </w:r>
          </w:p>
        </w:tc>
      </w:tr>
      <w:tr w:rsidR="00E91426" w:rsidRPr="00E91426" w14:paraId="095AC201" w14:textId="77777777" w:rsidTr="00E91426">
        <w:trPr>
          <w:trHeight w:val="274"/>
        </w:trPr>
        <w:tc>
          <w:tcPr>
            <w:tcW w:w="6280" w:type="dxa"/>
            <w:tcBorders>
              <w:top w:val="nil"/>
              <w:left w:val="nil"/>
              <w:bottom w:val="nil"/>
              <w:right w:val="nil"/>
            </w:tcBorders>
            <w:hideMark/>
          </w:tcPr>
          <w:p w14:paraId="7F8C7A4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00" w:type="dxa"/>
            <w:tcBorders>
              <w:top w:val="nil"/>
              <w:left w:val="nil"/>
              <w:bottom w:val="nil"/>
              <w:right w:val="nil"/>
            </w:tcBorders>
            <w:hideMark/>
          </w:tcPr>
          <w:p w14:paraId="4B3B79FD"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120" w:type="dxa"/>
            <w:tcBorders>
              <w:top w:val="nil"/>
              <w:left w:val="nil"/>
              <w:bottom w:val="nil"/>
              <w:right w:val="nil"/>
            </w:tcBorders>
            <w:noWrap/>
            <w:hideMark/>
          </w:tcPr>
          <w:p w14:paraId="43C3BF58"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240" w:type="dxa"/>
            <w:tcBorders>
              <w:top w:val="nil"/>
              <w:left w:val="nil"/>
              <w:bottom w:val="nil"/>
              <w:right w:val="nil"/>
            </w:tcBorders>
            <w:hideMark/>
          </w:tcPr>
          <w:p w14:paraId="4790640B"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r>
      <w:tr w:rsidR="00E91426" w:rsidRPr="00E91426" w14:paraId="2AAE5027" w14:textId="77777777" w:rsidTr="00E91426">
        <w:trPr>
          <w:trHeight w:val="274"/>
        </w:trPr>
        <w:tc>
          <w:tcPr>
            <w:tcW w:w="6280" w:type="dxa"/>
            <w:tcBorders>
              <w:top w:val="nil"/>
              <w:left w:val="nil"/>
              <w:bottom w:val="nil"/>
              <w:right w:val="nil"/>
            </w:tcBorders>
            <w:hideMark/>
          </w:tcPr>
          <w:p w14:paraId="79D16931"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within one year</w:t>
            </w:r>
          </w:p>
        </w:tc>
        <w:tc>
          <w:tcPr>
            <w:tcW w:w="900" w:type="dxa"/>
            <w:tcBorders>
              <w:top w:val="nil"/>
              <w:left w:val="nil"/>
              <w:bottom w:val="nil"/>
              <w:right w:val="nil"/>
            </w:tcBorders>
            <w:noWrap/>
            <w:hideMark/>
          </w:tcPr>
          <w:p w14:paraId="71BD6BEB"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852</w:t>
            </w:r>
          </w:p>
        </w:tc>
        <w:tc>
          <w:tcPr>
            <w:tcW w:w="120" w:type="dxa"/>
            <w:tcBorders>
              <w:top w:val="nil"/>
              <w:left w:val="nil"/>
              <w:bottom w:val="nil"/>
              <w:right w:val="nil"/>
            </w:tcBorders>
            <w:noWrap/>
            <w:hideMark/>
          </w:tcPr>
          <w:p w14:paraId="0AE1FE9A"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40" w:type="dxa"/>
            <w:tcBorders>
              <w:top w:val="nil"/>
              <w:left w:val="nil"/>
              <w:bottom w:val="nil"/>
              <w:right w:val="nil"/>
            </w:tcBorders>
            <w:noWrap/>
            <w:hideMark/>
          </w:tcPr>
          <w:p w14:paraId="1AF10089"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881</w:t>
            </w:r>
          </w:p>
        </w:tc>
      </w:tr>
      <w:tr w:rsidR="00E91426" w:rsidRPr="00E91426" w14:paraId="7F6FFD39" w14:textId="77777777" w:rsidTr="00E91426">
        <w:trPr>
          <w:trHeight w:val="274"/>
        </w:trPr>
        <w:tc>
          <w:tcPr>
            <w:tcW w:w="6280" w:type="dxa"/>
            <w:tcBorders>
              <w:top w:val="nil"/>
              <w:left w:val="nil"/>
              <w:bottom w:val="nil"/>
              <w:right w:val="nil"/>
            </w:tcBorders>
            <w:hideMark/>
          </w:tcPr>
          <w:p w14:paraId="7C45AD79"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after one year, not later than five years</w:t>
            </w:r>
          </w:p>
        </w:tc>
        <w:tc>
          <w:tcPr>
            <w:tcW w:w="900" w:type="dxa"/>
            <w:tcBorders>
              <w:top w:val="nil"/>
              <w:left w:val="nil"/>
              <w:bottom w:val="nil"/>
              <w:right w:val="nil"/>
            </w:tcBorders>
            <w:noWrap/>
            <w:hideMark/>
          </w:tcPr>
          <w:p w14:paraId="181CFBD6"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20" w:type="dxa"/>
            <w:tcBorders>
              <w:top w:val="nil"/>
              <w:left w:val="nil"/>
              <w:bottom w:val="nil"/>
              <w:right w:val="nil"/>
            </w:tcBorders>
            <w:noWrap/>
            <w:hideMark/>
          </w:tcPr>
          <w:p w14:paraId="2AF60467"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40" w:type="dxa"/>
            <w:tcBorders>
              <w:top w:val="nil"/>
              <w:left w:val="nil"/>
              <w:bottom w:val="nil"/>
              <w:right w:val="nil"/>
            </w:tcBorders>
            <w:noWrap/>
            <w:hideMark/>
          </w:tcPr>
          <w:p w14:paraId="3B13BE15"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r>
      <w:tr w:rsidR="00E91426" w:rsidRPr="00E91426" w14:paraId="2FB46564" w14:textId="77777777" w:rsidTr="00E91426">
        <w:trPr>
          <w:trHeight w:val="274"/>
        </w:trPr>
        <w:tc>
          <w:tcPr>
            <w:tcW w:w="6280" w:type="dxa"/>
            <w:tcBorders>
              <w:top w:val="nil"/>
              <w:left w:val="nil"/>
              <w:bottom w:val="nil"/>
              <w:right w:val="nil"/>
            </w:tcBorders>
            <w:hideMark/>
          </w:tcPr>
          <w:p w14:paraId="06526C7F"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after five years</w:t>
            </w:r>
          </w:p>
        </w:tc>
        <w:tc>
          <w:tcPr>
            <w:tcW w:w="900" w:type="dxa"/>
            <w:tcBorders>
              <w:top w:val="nil"/>
              <w:left w:val="nil"/>
              <w:bottom w:val="nil"/>
              <w:right w:val="nil"/>
            </w:tcBorders>
            <w:noWrap/>
            <w:hideMark/>
          </w:tcPr>
          <w:p w14:paraId="2318F01F"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20" w:type="dxa"/>
            <w:tcBorders>
              <w:top w:val="nil"/>
              <w:left w:val="nil"/>
              <w:bottom w:val="nil"/>
              <w:right w:val="nil"/>
            </w:tcBorders>
            <w:noWrap/>
            <w:hideMark/>
          </w:tcPr>
          <w:p w14:paraId="0EC0A0A5"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40" w:type="dxa"/>
            <w:tcBorders>
              <w:top w:val="nil"/>
              <w:left w:val="nil"/>
              <w:bottom w:val="nil"/>
              <w:right w:val="nil"/>
            </w:tcBorders>
            <w:noWrap/>
            <w:hideMark/>
          </w:tcPr>
          <w:p w14:paraId="0EDF8315"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r>
      <w:tr w:rsidR="00E91426" w:rsidRPr="00E91426" w14:paraId="25F63262" w14:textId="77777777" w:rsidTr="00E91426">
        <w:trPr>
          <w:trHeight w:val="274"/>
        </w:trPr>
        <w:tc>
          <w:tcPr>
            <w:tcW w:w="6280" w:type="dxa"/>
            <w:tcBorders>
              <w:top w:val="nil"/>
              <w:left w:val="nil"/>
              <w:bottom w:val="nil"/>
              <w:right w:val="nil"/>
            </w:tcBorders>
            <w:hideMark/>
          </w:tcPr>
          <w:p w14:paraId="36A27FFA"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Total revenue allocated to remaining performance obligations</w:t>
            </w:r>
          </w:p>
        </w:tc>
        <w:tc>
          <w:tcPr>
            <w:tcW w:w="900" w:type="dxa"/>
            <w:tcBorders>
              <w:top w:val="single" w:sz="4" w:space="0" w:color="auto"/>
              <w:left w:val="nil"/>
              <w:bottom w:val="double" w:sz="6" w:space="0" w:color="auto"/>
              <w:right w:val="nil"/>
            </w:tcBorders>
            <w:noWrap/>
            <w:hideMark/>
          </w:tcPr>
          <w:p w14:paraId="13145AB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852</w:t>
            </w:r>
          </w:p>
        </w:tc>
        <w:tc>
          <w:tcPr>
            <w:tcW w:w="120" w:type="dxa"/>
            <w:tcBorders>
              <w:top w:val="nil"/>
              <w:left w:val="nil"/>
              <w:bottom w:val="nil"/>
              <w:right w:val="nil"/>
            </w:tcBorders>
            <w:noWrap/>
            <w:hideMark/>
          </w:tcPr>
          <w:p w14:paraId="0EE8B723"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240" w:type="dxa"/>
            <w:tcBorders>
              <w:top w:val="single" w:sz="4" w:space="0" w:color="auto"/>
              <w:left w:val="nil"/>
              <w:bottom w:val="double" w:sz="6" w:space="0" w:color="auto"/>
              <w:right w:val="nil"/>
            </w:tcBorders>
            <w:noWrap/>
            <w:hideMark/>
          </w:tcPr>
          <w:p w14:paraId="10C663FA"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881</w:t>
            </w:r>
          </w:p>
        </w:tc>
      </w:tr>
      <w:tr w:rsidR="00E91426" w:rsidRPr="00E91426" w14:paraId="19AE98ED" w14:textId="77777777" w:rsidTr="00E91426">
        <w:trPr>
          <w:trHeight w:val="274"/>
        </w:trPr>
        <w:tc>
          <w:tcPr>
            <w:tcW w:w="6280" w:type="dxa"/>
            <w:tcBorders>
              <w:top w:val="nil"/>
              <w:left w:val="nil"/>
              <w:bottom w:val="nil"/>
              <w:right w:val="nil"/>
            </w:tcBorders>
            <w:noWrap/>
            <w:hideMark/>
          </w:tcPr>
          <w:p w14:paraId="70F794CB"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00" w:type="dxa"/>
            <w:tcBorders>
              <w:top w:val="nil"/>
              <w:left w:val="nil"/>
              <w:bottom w:val="nil"/>
              <w:right w:val="nil"/>
            </w:tcBorders>
            <w:noWrap/>
            <w:hideMark/>
          </w:tcPr>
          <w:p w14:paraId="65141C9D" w14:textId="77777777" w:rsidR="00E91426" w:rsidRPr="00E91426" w:rsidRDefault="00E91426" w:rsidP="00E91426">
            <w:pPr>
              <w:widowControl/>
              <w:rPr>
                <w:rFonts w:ascii="Arial" w:eastAsia="Times New Roman" w:hAnsi="Arial" w:cs="Arial"/>
                <w:sz w:val="20"/>
                <w:szCs w:val="20"/>
                <w:lang w:val="en-GB" w:eastAsia="en-GB"/>
              </w:rPr>
            </w:pPr>
          </w:p>
        </w:tc>
        <w:tc>
          <w:tcPr>
            <w:tcW w:w="120" w:type="dxa"/>
            <w:tcBorders>
              <w:top w:val="nil"/>
              <w:left w:val="nil"/>
              <w:bottom w:val="nil"/>
              <w:right w:val="nil"/>
            </w:tcBorders>
            <w:noWrap/>
            <w:hideMark/>
          </w:tcPr>
          <w:p w14:paraId="4F9AB064" w14:textId="77777777" w:rsidR="00E91426" w:rsidRPr="00E91426" w:rsidRDefault="00E91426" w:rsidP="00E91426">
            <w:pPr>
              <w:widowControl/>
              <w:rPr>
                <w:rFonts w:ascii="Arial" w:eastAsia="Times New Roman" w:hAnsi="Arial" w:cs="Arial"/>
                <w:sz w:val="20"/>
                <w:szCs w:val="20"/>
                <w:lang w:val="en-GB" w:eastAsia="en-GB"/>
              </w:rPr>
            </w:pPr>
          </w:p>
        </w:tc>
        <w:tc>
          <w:tcPr>
            <w:tcW w:w="1240" w:type="dxa"/>
            <w:tcBorders>
              <w:top w:val="single" w:sz="4" w:space="0" w:color="auto"/>
              <w:left w:val="nil"/>
              <w:bottom w:val="nil"/>
              <w:right w:val="nil"/>
            </w:tcBorders>
            <w:noWrap/>
            <w:hideMark/>
          </w:tcPr>
          <w:p w14:paraId="7C6DC1B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w:t>
            </w:r>
          </w:p>
        </w:tc>
      </w:tr>
      <w:tr w:rsidR="00E91426" w:rsidRPr="00E91426" w14:paraId="1E01165A" w14:textId="77777777" w:rsidTr="00E91426">
        <w:trPr>
          <w:trHeight w:val="1140"/>
        </w:trPr>
        <w:tc>
          <w:tcPr>
            <w:tcW w:w="8540" w:type="dxa"/>
            <w:gridSpan w:val="4"/>
            <w:tcBorders>
              <w:top w:val="nil"/>
              <w:left w:val="nil"/>
              <w:bottom w:val="nil"/>
              <w:right w:val="nil"/>
            </w:tcBorders>
            <w:hideMark/>
          </w:tcPr>
          <w:p w14:paraId="5A2D7C29" w14:textId="77777777" w:rsidR="00E91426" w:rsidRPr="00E91426" w:rsidRDefault="00E91426" w:rsidP="00E91426">
            <w:pPr>
              <w:widowControl/>
              <w:jc w:val="both"/>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The Trust has exercised the practical expedients permitted by IFRS 15 paragraph 121 in preparing this disclosure. Revenue from (</w:t>
            </w:r>
            <w:proofErr w:type="spellStart"/>
            <w:r w:rsidRPr="00E91426">
              <w:rPr>
                <w:rFonts w:ascii="Arial" w:eastAsia="Times New Roman" w:hAnsi="Arial" w:cs="Arial"/>
                <w:color w:val="000000"/>
                <w:sz w:val="20"/>
                <w:szCs w:val="20"/>
                <w:lang w:val="en-GB" w:eastAsia="en-GB"/>
              </w:rPr>
              <w:t>i</w:t>
            </w:r>
            <w:proofErr w:type="spellEnd"/>
            <w:r w:rsidRPr="00E91426">
              <w:rPr>
                <w:rFonts w:ascii="Arial" w:eastAsia="Times New Roman" w:hAnsi="Arial" w:cs="Arial"/>
                <w:color w:val="000000"/>
                <w:sz w:val="20"/>
                <w:szCs w:val="20"/>
                <w:lang w:val="en-GB" w:eastAsia="en-GB"/>
              </w:rPr>
              <w:t>) contracts with an expected duration of one year or less and (ii) contracts where the trust recognises revenue directly corresponding to work done to date is not disclosed.</w:t>
            </w:r>
          </w:p>
        </w:tc>
      </w:tr>
      <w:tr w:rsidR="00E91426" w:rsidRPr="00E91426" w14:paraId="1C78E38A" w14:textId="77777777" w:rsidTr="00E91426">
        <w:trPr>
          <w:trHeight w:val="274"/>
        </w:trPr>
        <w:tc>
          <w:tcPr>
            <w:tcW w:w="8540" w:type="dxa"/>
            <w:gridSpan w:val="4"/>
            <w:tcBorders>
              <w:top w:val="nil"/>
              <w:left w:val="nil"/>
              <w:bottom w:val="nil"/>
              <w:right w:val="nil"/>
            </w:tcBorders>
            <w:noWrap/>
            <w:hideMark/>
          </w:tcPr>
          <w:p w14:paraId="2AC32BED"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Note 4.3 Income from activities arising from commissioner requested services</w:t>
            </w:r>
          </w:p>
        </w:tc>
      </w:tr>
      <w:tr w:rsidR="00E91426" w:rsidRPr="00E91426" w14:paraId="63621C60" w14:textId="77777777" w:rsidTr="00E91426">
        <w:trPr>
          <w:trHeight w:val="450"/>
        </w:trPr>
        <w:tc>
          <w:tcPr>
            <w:tcW w:w="8540" w:type="dxa"/>
            <w:gridSpan w:val="4"/>
            <w:vMerge w:val="restart"/>
            <w:tcBorders>
              <w:top w:val="nil"/>
              <w:left w:val="nil"/>
              <w:bottom w:val="nil"/>
              <w:right w:val="nil"/>
            </w:tcBorders>
            <w:vAlign w:val="bottom"/>
            <w:hideMark/>
          </w:tcPr>
          <w:p w14:paraId="64BDE0B3" w14:textId="77777777" w:rsidR="00E91426" w:rsidRPr="00E91426" w:rsidRDefault="00E91426" w:rsidP="00E91426">
            <w:pPr>
              <w:widowControl/>
              <w:jc w:val="both"/>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Under the terms of its provider licence, the trust is required to analyse the level of income from activities that has arisen from commissioner requested and non-commissioner requested services. Commissioner requested services are defined in the provider licence and are services that commissioners believe would need to be protected in the event of provider failure. This information is provided in the table below:</w:t>
            </w:r>
          </w:p>
        </w:tc>
      </w:tr>
      <w:tr w:rsidR="00E91426" w:rsidRPr="00E91426" w14:paraId="5BE22C8B" w14:textId="77777777" w:rsidTr="00E91426">
        <w:trPr>
          <w:trHeight w:val="450"/>
        </w:trPr>
        <w:tc>
          <w:tcPr>
            <w:tcW w:w="8540" w:type="dxa"/>
            <w:gridSpan w:val="4"/>
            <w:vMerge/>
            <w:tcBorders>
              <w:top w:val="nil"/>
              <w:left w:val="nil"/>
              <w:bottom w:val="nil"/>
              <w:right w:val="nil"/>
            </w:tcBorders>
            <w:vAlign w:val="center"/>
            <w:hideMark/>
          </w:tcPr>
          <w:p w14:paraId="45E7778D" w14:textId="77777777" w:rsidR="00E91426" w:rsidRPr="00E91426" w:rsidRDefault="00E91426" w:rsidP="00E91426">
            <w:pPr>
              <w:widowControl/>
              <w:rPr>
                <w:rFonts w:ascii="Arial" w:eastAsia="Times New Roman" w:hAnsi="Arial" w:cs="Arial"/>
                <w:color w:val="000000"/>
                <w:sz w:val="20"/>
                <w:szCs w:val="20"/>
                <w:lang w:val="en-GB" w:eastAsia="en-GB"/>
              </w:rPr>
            </w:pPr>
          </w:p>
        </w:tc>
      </w:tr>
      <w:tr w:rsidR="00E91426" w:rsidRPr="00E91426" w14:paraId="6D5C4752" w14:textId="77777777" w:rsidTr="00E91426">
        <w:trPr>
          <w:trHeight w:val="450"/>
        </w:trPr>
        <w:tc>
          <w:tcPr>
            <w:tcW w:w="8540" w:type="dxa"/>
            <w:gridSpan w:val="4"/>
            <w:vMerge/>
            <w:tcBorders>
              <w:top w:val="nil"/>
              <w:left w:val="nil"/>
              <w:bottom w:val="nil"/>
              <w:right w:val="nil"/>
            </w:tcBorders>
            <w:vAlign w:val="center"/>
            <w:hideMark/>
          </w:tcPr>
          <w:p w14:paraId="0ED3C5E9" w14:textId="77777777" w:rsidR="00E91426" w:rsidRPr="00E91426" w:rsidRDefault="00E91426" w:rsidP="00E91426">
            <w:pPr>
              <w:widowControl/>
              <w:rPr>
                <w:rFonts w:ascii="Arial" w:eastAsia="Times New Roman" w:hAnsi="Arial" w:cs="Arial"/>
                <w:color w:val="000000"/>
                <w:sz w:val="20"/>
                <w:szCs w:val="20"/>
                <w:lang w:val="en-GB" w:eastAsia="en-GB"/>
              </w:rPr>
            </w:pPr>
          </w:p>
        </w:tc>
      </w:tr>
      <w:tr w:rsidR="00E91426" w:rsidRPr="00E91426" w14:paraId="27F809F9" w14:textId="77777777" w:rsidTr="00E91426">
        <w:trPr>
          <w:trHeight w:val="450"/>
        </w:trPr>
        <w:tc>
          <w:tcPr>
            <w:tcW w:w="8540" w:type="dxa"/>
            <w:gridSpan w:val="4"/>
            <w:vMerge/>
            <w:tcBorders>
              <w:top w:val="nil"/>
              <w:left w:val="nil"/>
              <w:bottom w:val="nil"/>
              <w:right w:val="nil"/>
            </w:tcBorders>
            <w:vAlign w:val="center"/>
            <w:hideMark/>
          </w:tcPr>
          <w:p w14:paraId="0829002A" w14:textId="77777777" w:rsidR="00E91426" w:rsidRPr="00E91426" w:rsidRDefault="00E91426" w:rsidP="00E91426">
            <w:pPr>
              <w:widowControl/>
              <w:rPr>
                <w:rFonts w:ascii="Arial" w:eastAsia="Times New Roman" w:hAnsi="Arial" w:cs="Arial"/>
                <w:color w:val="000000"/>
                <w:sz w:val="20"/>
                <w:szCs w:val="20"/>
                <w:lang w:val="en-GB" w:eastAsia="en-GB"/>
              </w:rPr>
            </w:pPr>
          </w:p>
        </w:tc>
      </w:tr>
      <w:tr w:rsidR="00E91426" w:rsidRPr="00E91426" w14:paraId="24B440AA" w14:textId="77777777" w:rsidTr="00E91426">
        <w:trPr>
          <w:trHeight w:val="282"/>
        </w:trPr>
        <w:tc>
          <w:tcPr>
            <w:tcW w:w="6280" w:type="dxa"/>
            <w:tcBorders>
              <w:top w:val="nil"/>
              <w:left w:val="nil"/>
              <w:bottom w:val="nil"/>
              <w:right w:val="nil"/>
            </w:tcBorders>
            <w:vAlign w:val="bottom"/>
            <w:hideMark/>
          </w:tcPr>
          <w:p w14:paraId="71A37091"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900" w:type="dxa"/>
            <w:tcBorders>
              <w:top w:val="nil"/>
              <w:left w:val="nil"/>
              <w:bottom w:val="nil"/>
              <w:right w:val="nil"/>
            </w:tcBorders>
            <w:hideMark/>
          </w:tcPr>
          <w:p w14:paraId="2622661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p w14:paraId="10B313C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2024/25</w:t>
            </w:r>
          </w:p>
        </w:tc>
        <w:tc>
          <w:tcPr>
            <w:tcW w:w="120" w:type="dxa"/>
            <w:tcBorders>
              <w:top w:val="nil"/>
              <w:left w:val="nil"/>
              <w:bottom w:val="nil"/>
              <w:right w:val="nil"/>
            </w:tcBorders>
            <w:noWrap/>
            <w:hideMark/>
          </w:tcPr>
          <w:p w14:paraId="4109FB6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240" w:type="dxa"/>
            <w:tcBorders>
              <w:top w:val="nil"/>
              <w:left w:val="nil"/>
              <w:bottom w:val="nil"/>
              <w:right w:val="nil"/>
            </w:tcBorders>
            <w:hideMark/>
          </w:tcPr>
          <w:p w14:paraId="36FE76E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restated</w:t>
            </w:r>
          </w:p>
          <w:p w14:paraId="5B248FFA"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2023/24</w:t>
            </w:r>
          </w:p>
        </w:tc>
      </w:tr>
      <w:tr w:rsidR="00E91426" w:rsidRPr="00E91426" w14:paraId="4FD24034" w14:textId="77777777" w:rsidTr="00E91426">
        <w:trPr>
          <w:trHeight w:val="282"/>
        </w:trPr>
        <w:tc>
          <w:tcPr>
            <w:tcW w:w="6280" w:type="dxa"/>
            <w:tcBorders>
              <w:top w:val="nil"/>
              <w:left w:val="nil"/>
              <w:bottom w:val="nil"/>
              <w:right w:val="nil"/>
            </w:tcBorders>
            <w:vAlign w:val="bottom"/>
            <w:hideMark/>
          </w:tcPr>
          <w:p w14:paraId="3221813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00" w:type="dxa"/>
            <w:tcBorders>
              <w:top w:val="nil"/>
              <w:left w:val="nil"/>
              <w:bottom w:val="nil"/>
              <w:right w:val="nil"/>
            </w:tcBorders>
            <w:vAlign w:val="bottom"/>
            <w:hideMark/>
          </w:tcPr>
          <w:p w14:paraId="4A67E5F0"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120" w:type="dxa"/>
            <w:tcBorders>
              <w:top w:val="nil"/>
              <w:left w:val="nil"/>
              <w:bottom w:val="nil"/>
              <w:right w:val="nil"/>
            </w:tcBorders>
            <w:vAlign w:val="bottom"/>
            <w:hideMark/>
          </w:tcPr>
          <w:p w14:paraId="0EED0DCB"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240" w:type="dxa"/>
            <w:tcBorders>
              <w:top w:val="nil"/>
              <w:left w:val="nil"/>
              <w:bottom w:val="nil"/>
              <w:right w:val="nil"/>
            </w:tcBorders>
            <w:vAlign w:val="bottom"/>
            <w:hideMark/>
          </w:tcPr>
          <w:p w14:paraId="3736E3E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r>
      <w:tr w:rsidR="00E91426" w:rsidRPr="00E91426" w14:paraId="621E8DE8" w14:textId="77777777" w:rsidTr="00E91426">
        <w:trPr>
          <w:trHeight w:val="282"/>
        </w:trPr>
        <w:tc>
          <w:tcPr>
            <w:tcW w:w="6280" w:type="dxa"/>
            <w:tcBorders>
              <w:top w:val="nil"/>
              <w:left w:val="nil"/>
              <w:bottom w:val="nil"/>
              <w:right w:val="nil"/>
            </w:tcBorders>
            <w:vAlign w:val="bottom"/>
            <w:hideMark/>
          </w:tcPr>
          <w:p w14:paraId="4FF5ED92"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Income from services designated as commissioner requested services</w:t>
            </w:r>
          </w:p>
        </w:tc>
        <w:tc>
          <w:tcPr>
            <w:tcW w:w="900" w:type="dxa"/>
            <w:tcBorders>
              <w:top w:val="nil"/>
              <w:left w:val="nil"/>
              <w:bottom w:val="nil"/>
              <w:right w:val="nil"/>
            </w:tcBorders>
            <w:noWrap/>
            <w:vAlign w:val="bottom"/>
            <w:hideMark/>
          </w:tcPr>
          <w:p w14:paraId="28A7DC59"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467,249</w:t>
            </w:r>
          </w:p>
        </w:tc>
        <w:tc>
          <w:tcPr>
            <w:tcW w:w="120" w:type="dxa"/>
            <w:tcBorders>
              <w:top w:val="nil"/>
              <w:left w:val="nil"/>
              <w:bottom w:val="nil"/>
              <w:right w:val="nil"/>
            </w:tcBorders>
            <w:noWrap/>
            <w:vAlign w:val="bottom"/>
            <w:hideMark/>
          </w:tcPr>
          <w:p w14:paraId="4ABD01CC"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40" w:type="dxa"/>
            <w:tcBorders>
              <w:top w:val="nil"/>
              <w:left w:val="nil"/>
              <w:bottom w:val="nil"/>
              <w:right w:val="nil"/>
            </w:tcBorders>
            <w:noWrap/>
            <w:vAlign w:val="bottom"/>
            <w:hideMark/>
          </w:tcPr>
          <w:p w14:paraId="4FFAC32E"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 xml:space="preserve">431,929 </w:t>
            </w:r>
          </w:p>
        </w:tc>
      </w:tr>
      <w:tr w:rsidR="00E91426" w:rsidRPr="00E91426" w14:paraId="43974C15" w14:textId="77777777" w:rsidTr="00E91426">
        <w:trPr>
          <w:trHeight w:val="282"/>
        </w:trPr>
        <w:tc>
          <w:tcPr>
            <w:tcW w:w="6280" w:type="dxa"/>
            <w:tcBorders>
              <w:top w:val="nil"/>
              <w:left w:val="nil"/>
              <w:bottom w:val="nil"/>
              <w:right w:val="nil"/>
            </w:tcBorders>
            <w:vAlign w:val="bottom"/>
            <w:hideMark/>
          </w:tcPr>
          <w:p w14:paraId="4936E116"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Income from services not designated as commissioner requested services</w:t>
            </w:r>
          </w:p>
        </w:tc>
        <w:tc>
          <w:tcPr>
            <w:tcW w:w="900" w:type="dxa"/>
            <w:tcBorders>
              <w:top w:val="nil"/>
              <w:left w:val="nil"/>
              <w:bottom w:val="nil"/>
              <w:right w:val="nil"/>
            </w:tcBorders>
            <w:noWrap/>
            <w:vAlign w:val="bottom"/>
            <w:hideMark/>
          </w:tcPr>
          <w:p w14:paraId="5965E0BB"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 xml:space="preserve">5,126 </w:t>
            </w:r>
          </w:p>
        </w:tc>
        <w:tc>
          <w:tcPr>
            <w:tcW w:w="120" w:type="dxa"/>
            <w:tcBorders>
              <w:top w:val="nil"/>
              <w:left w:val="nil"/>
              <w:bottom w:val="nil"/>
              <w:right w:val="nil"/>
            </w:tcBorders>
            <w:noWrap/>
            <w:vAlign w:val="bottom"/>
            <w:hideMark/>
          </w:tcPr>
          <w:p w14:paraId="346B5AAC"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40" w:type="dxa"/>
            <w:tcBorders>
              <w:top w:val="nil"/>
              <w:left w:val="nil"/>
              <w:bottom w:val="nil"/>
              <w:right w:val="nil"/>
            </w:tcBorders>
            <w:noWrap/>
            <w:vAlign w:val="bottom"/>
            <w:hideMark/>
          </w:tcPr>
          <w:p w14:paraId="1582522D"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 xml:space="preserve">2,026 </w:t>
            </w:r>
          </w:p>
        </w:tc>
      </w:tr>
      <w:tr w:rsidR="00E91426" w:rsidRPr="00E91426" w14:paraId="1B66020B" w14:textId="77777777" w:rsidTr="00E91426">
        <w:trPr>
          <w:trHeight w:val="282"/>
        </w:trPr>
        <w:tc>
          <w:tcPr>
            <w:tcW w:w="6280" w:type="dxa"/>
            <w:tcBorders>
              <w:top w:val="nil"/>
              <w:left w:val="nil"/>
              <w:bottom w:val="nil"/>
              <w:right w:val="nil"/>
            </w:tcBorders>
            <w:noWrap/>
            <w:vAlign w:val="bottom"/>
            <w:hideMark/>
          </w:tcPr>
          <w:p w14:paraId="1E4EA343"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Total</w:t>
            </w:r>
          </w:p>
        </w:tc>
        <w:tc>
          <w:tcPr>
            <w:tcW w:w="900" w:type="dxa"/>
            <w:tcBorders>
              <w:top w:val="single" w:sz="4" w:space="0" w:color="auto"/>
              <w:left w:val="nil"/>
              <w:bottom w:val="double" w:sz="6" w:space="0" w:color="auto"/>
              <w:right w:val="nil"/>
            </w:tcBorders>
            <w:noWrap/>
            <w:vAlign w:val="bottom"/>
            <w:hideMark/>
          </w:tcPr>
          <w:p w14:paraId="49DA0ED1"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472,375 </w:t>
            </w:r>
          </w:p>
        </w:tc>
        <w:tc>
          <w:tcPr>
            <w:tcW w:w="120" w:type="dxa"/>
            <w:tcBorders>
              <w:top w:val="nil"/>
              <w:left w:val="nil"/>
              <w:bottom w:val="nil"/>
              <w:right w:val="nil"/>
            </w:tcBorders>
            <w:noWrap/>
            <w:vAlign w:val="bottom"/>
            <w:hideMark/>
          </w:tcPr>
          <w:p w14:paraId="4D773AB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240" w:type="dxa"/>
            <w:tcBorders>
              <w:top w:val="single" w:sz="4" w:space="0" w:color="auto"/>
              <w:left w:val="nil"/>
              <w:bottom w:val="double" w:sz="6" w:space="0" w:color="auto"/>
              <w:right w:val="nil"/>
            </w:tcBorders>
            <w:noWrap/>
            <w:vAlign w:val="bottom"/>
            <w:hideMark/>
          </w:tcPr>
          <w:p w14:paraId="72149A0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433,955 </w:t>
            </w:r>
          </w:p>
        </w:tc>
      </w:tr>
      <w:tr w:rsidR="00E91426" w:rsidRPr="00E91426" w14:paraId="3EE36715" w14:textId="77777777" w:rsidTr="00E91426">
        <w:trPr>
          <w:trHeight w:val="150"/>
        </w:trPr>
        <w:tc>
          <w:tcPr>
            <w:tcW w:w="6280" w:type="dxa"/>
            <w:tcBorders>
              <w:top w:val="nil"/>
              <w:left w:val="nil"/>
              <w:bottom w:val="nil"/>
              <w:right w:val="nil"/>
            </w:tcBorders>
            <w:noWrap/>
            <w:vAlign w:val="center"/>
            <w:hideMark/>
          </w:tcPr>
          <w:p w14:paraId="33693172"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00" w:type="dxa"/>
            <w:tcBorders>
              <w:top w:val="nil"/>
              <w:left w:val="nil"/>
              <w:bottom w:val="nil"/>
              <w:right w:val="nil"/>
            </w:tcBorders>
            <w:noWrap/>
            <w:vAlign w:val="bottom"/>
            <w:hideMark/>
          </w:tcPr>
          <w:p w14:paraId="659AA6E6" w14:textId="77777777" w:rsidR="00E91426" w:rsidRPr="00E91426" w:rsidRDefault="00E91426" w:rsidP="00E91426">
            <w:pPr>
              <w:widowControl/>
              <w:rPr>
                <w:rFonts w:ascii="Arial" w:eastAsia="Times New Roman" w:hAnsi="Arial" w:cs="Arial"/>
                <w:sz w:val="20"/>
                <w:szCs w:val="20"/>
                <w:lang w:val="en-GB" w:eastAsia="en-GB"/>
              </w:rPr>
            </w:pPr>
          </w:p>
        </w:tc>
        <w:tc>
          <w:tcPr>
            <w:tcW w:w="120" w:type="dxa"/>
            <w:tcBorders>
              <w:top w:val="nil"/>
              <w:left w:val="nil"/>
              <w:bottom w:val="nil"/>
              <w:right w:val="nil"/>
            </w:tcBorders>
            <w:noWrap/>
            <w:vAlign w:val="bottom"/>
            <w:hideMark/>
          </w:tcPr>
          <w:p w14:paraId="7901A024" w14:textId="77777777" w:rsidR="00E91426" w:rsidRPr="00E91426" w:rsidRDefault="00E91426" w:rsidP="00E91426">
            <w:pPr>
              <w:widowControl/>
              <w:rPr>
                <w:rFonts w:ascii="Arial" w:eastAsia="Times New Roman" w:hAnsi="Arial" w:cs="Arial"/>
                <w:sz w:val="20"/>
                <w:szCs w:val="20"/>
                <w:lang w:val="en-GB" w:eastAsia="en-GB"/>
              </w:rPr>
            </w:pPr>
          </w:p>
        </w:tc>
        <w:tc>
          <w:tcPr>
            <w:tcW w:w="1240" w:type="dxa"/>
            <w:tcBorders>
              <w:top w:val="nil"/>
              <w:left w:val="nil"/>
              <w:bottom w:val="nil"/>
              <w:right w:val="nil"/>
            </w:tcBorders>
            <w:noWrap/>
            <w:vAlign w:val="bottom"/>
            <w:hideMark/>
          </w:tcPr>
          <w:p w14:paraId="4E697612"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68C62AA7" w14:textId="77777777" w:rsidTr="00E91426">
        <w:trPr>
          <w:trHeight w:val="282"/>
        </w:trPr>
        <w:tc>
          <w:tcPr>
            <w:tcW w:w="7180" w:type="dxa"/>
            <w:gridSpan w:val="2"/>
            <w:tcBorders>
              <w:top w:val="nil"/>
              <w:left w:val="nil"/>
              <w:bottom w:val="nil"/>
              <w:right w:val="nil"/>
            </w:tcBorders>
            <w:noWrap/>
            <w:hideMark/>
          </w:tcPr>
          <w:p w14:paraId="34F6629A"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Note 4.4 Profits and losses on disposal of property, plant and equipment</w:t>
            </w:r>
          </w:p>
        </w:tc>
        <w:tc>
          <w:tcPr>
            <w:tcW w:w="120" w:type="dxa"/>
            <w:tcBorders>
              <w:top w:val="nil"/>
              <w:left w:val="nil"/>
              <w:bottom w:val="nil"/>
              <w:right w:val="nil"/>
            </w:tcBorders>
            <w:noWrap/>
            <w:vAlign w:val="bottom"/>
            <w:hideMark/>
          </w:tcPr>
          <w:p w14:paraId="6B317CD8"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1240" w:type="dxa"/>
            <w:tcBorders>
              <w:top w:val="nil"/>
              <w:left w:val="nil"/>
              <w:bottom w:val="nil"/>
              <w:right w:val="nil"/>
            </w:tcBorders>
            <w:noWrap/>
            <w:vAlign w:val="bottom"/>
            <w:hideMark/>
          </w:tcPr>
          <w:p w14:paraId="648F4E92"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7F4B34EB" w14:textId="77777777" w:rsidTr="00E91426">
        <w:trPr>
          <w:trHeight w:val="720"/>
        </w:trPr>
        <w:tc>
          <w:tcPr>
            <w:tcW w:w="8540" w:type="dxa"/>
            <w:gridSpan w:val="4"/>
            <w:tcBorders>
              <w:top w:val="nil"/>
              <w:left w:val="nil"/>
              <w:bottom w:val="nil"/>
              <w:right w:val="nil"/>
            </w:tcBorders>
            <w:vAlign w:val="bottom"/>
            <w:hideMark/>
          </w:tcPr>
          <w:p w14:paraId="155F2CED"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The Trust has disposed of 1,419 assets with a net book value of zero (2023/24 2 assets, £19k). All assets had been fully consumed and replaced where necessary with no impact on service potential.</w:t>
            </w:r>
          </w:p>
        </w:tc>
      </w:tr>
    </w:tbl>
    <w:p w14:paraId="033A1DC0" w14:textId="77777777" w:rsidR="00E91426" w:rsidRPr="00E91426" w:rsidRDefault="00E91426" w:rsidP="00E91426">
      <w:pPr>
        <w:widowControl/>
        <w:spacing w:after="160" w:line="259" w:lineRule="auto"/>
        <w:rPr>
          <w:rFonts w:ascii="Arial" w:eastAsia="Calibri" w:hAnsi="Arial" w:cs="Arial"/>
          <w:sz w:val="20"/>
          <w:szCs w:val="20"/>
          <w:lang w:val="en-GB"/>
        </w:rPr>
      </w:pPr>
      <w:r w:rsidRPr="00E91426">
        <w:rPr>
          <w:rFonts w:ascii="Arial" w:eastAsia="Calibri" w:hAnsi="Arial" w:cs="Arial"/>
          <w:sz w:val="20"/>
          <w:szCs w:val="20"/>
          <w:lang w:val="en-GB"/>
        </w:rPr>
        <w:br w:type="page"/>
      </w:r>
    </w:p>
    <w:p w14:paraId="67940452" w14:textId="77777777" w:rsidR="00E91426" w:rsidRPr="00E91426" w:rsidRDefault="00E91426" w:rsidP="00E91426">
      <w:pPr>
        <w:keepNext/>
        <w:keepLines/>
        <w:widowControl/>
        <w:spacing w:before="40" w:line="259" w:lineRule="auto"/>
        <w:outlineLvl w:val="1"/>
        <w:rPr>
          <w:rFonts w:ascii="Arial" w:eastAsia="Times New Roman" w:hAnsi="Arial" w:cs="Arial"/>
          <w:b/>
          <w:color w:val="000000"/>
          <w:sz w:val="20"/>
          <w:szCs w:val="20"/>
          <w:lang w:val="en-GB"/>
        </w:rPr>
      </w:pPr>
      <w:bookmarkStart w:id="64" w:name="_Toc195698702"/>
      <w:r w:rsidRPr="00E91426">
        <w:rPr>
          <w:rFonts w:ascii="Arial" w:eastAsia="Times New Roman" w:hAnsi="Arial" w:cs="Arial"/>
          <w:b/>
          <w:color w:val="000000"/>
          <w:sz w:val="20"/>
          <w:szCs w:val="20"/>
          <w:lang w:val="en-GB"/>
        </w:rPr>
        <w:lastRenderedPageBreak/>
        <w:t>Note 5 Operating expenses</w:t>
      </w:r>
      <w:bookmarkEnd w:id="64"/>
    </w:p>
    <w:tbl>
      <w:tblPr>
        <w:tblW w:w="9642" w:type="dxa"/>
        <w:tblLook w:val="04A0" w:firstRow="1" w:lastRow="0" w:firstColumn="1" w:lastColumn="0" w:noHBand="0" w:noVBand="1"/>
      </w:tblPr>
      <w:tblGrid>
        <w:gridCol w:w="7480"/>
        <w:gridCol w:w="940"/>
        <w:gridCol w:w="222"/>
        <w:gridCol w:w="1000"/>
      </w:tblGrid>
      <w:tr w:rsidR="00E91426" w:rsidRPr="00E91426" w14:paraId="10241C7C" w14:textId="77777777" w:rsidTr="00E91426">
        <w:trPr>
          <w:trHeight w:val="283"/>
        </w:trPr>
        <w:tc>
          <w:tcPr>
            <w:tcW w:w="7480" w:type="dxa"/>
            <w:tcBorders>
              <w:top w:val="nil"/>
              <w:left w:val="nil"/>
              <w:bottom w:val="nil"/>
              <w:right w:val="nil"/>
            </w:tcBorders>
            <w:hideMark/>
          </w:tcPr>
          <w:p w14:paraId="3476B920" w14:textId="77777777" w:rsidR="00E91426" w:rsidRPr="00E91426" w:rsidRDefault="00E91426" w:rsidP="00E91426">
            <w:pPr>
              <w:widowControl/>
              <w:rPr>
                <w:rFonts w:ascii="Arial" w:eastAsia="Times New Roman" w:hAnsi="Arial" w:cs="Arial"/>
                <w:sz w:val="20"/>
                <w:szCs w:val="20"/>
                <w:lang w:val="en-GB" w:eastAsia="en-GB"/>
              </w:rPr>
            </w:pPr>
          </w:p>
        </w:tc>
        <w:tc>
          <w:tcPr>
            <w:tcW w:w="940" w:type="dxa"/>
            <w:tcBorders>
              <w:top w:val="nil"/>
              <w:left w:val="nil"/>
              <w:bottom w:val="nil"/>
              <w:right w:val="nil"/>
            </w:tcBorders>
            <w:hideMark/>
          </w:tcPr>
          <w:p w14:paraId="49A8CA5B"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2024/25</w:t>
            </w:r>
          </w:p>
        </w:tc>
        <w:tc>
          <w:tcPr>
            <w:tcW w:w="222" w:type="dxa"/>
            <w:tcBorders>
              <w:top w:val="nil"/>
              <w:left w:val="nil"/>
              <w:bottom w:val="nil"/>
              <w:right w:val="nil"/>
            </w:tcBorders>
            <w:hideMark/>
          </w:tcPr>
          <w:p w14:paraId="6B67D4B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000" w:type="dxa"/>
            <w:tcBorders>
              <w:top w:val="nil"/>
              <w:left w:val="nil"/>
              <w:bottom w:val="nil"/>
              <w:right w:val="nil"/>
            </w:tcBorders>
            <w:hideMark/>
          </w:tcPr>
          <w:p w14:paraId="095800D2"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2023/24</w:t>
            </w:r>
          </w:p>
        </w:tc>
      </w:tr>
      <w:tr w:rsidR="00E91426" w:rsidRPr="00E91426" w14:paraId="30B7188C" w14:textId="77777777" w:rsidTr="00E91426">
        <w:trPr>
          <w:trHeight w:val="283"/>
        </w:trPr>
        <w:tc>
          <w:tcPr>
            <w:tcW w:w="7480" w:type="dxa"/>
            <w:tcBorders>
              <w:top w:val="nil"/>
              <w:left w:val="nil"/>
              <w:bottom w:val="nil"/>
              <w:right w:val="nil"/>
            </w:tcBorders>
            <w:hideMark/>
          </w:tcPr>
          <w:p w14:paraId="54656A42"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40" w:type="dxa"/>
            <w:tcBorders>
              <w:top w:val="nil"/>
              <w:left w:val="nil"/>
              <w:bottom w:val="nil"/>
              <w:right w:val="nil"/>
            </w:tcBorders>
            <w:hideMark/>
          </w:tcPr>
          <w:p w14:paraId="51AA3C12"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222" w:type="dxa"/>
            <w:tcBorders>
              <w:top w:val="nil"/>
              <w:left w:val="nil"/>
              <w:bottom w:val="nil"/>
              <w:right w:val="nil"/>
            </w:tcBorders>
            <w:hideMark/>
          </w:tcPr>
          <w:p w14:paraId="0ACF4D11"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000" w:type="dxa"/>
            <w:tcBorders>
              <w:top w:val="nil"/>
              <w:left w:val="nil"/>
              <w:bottom w:val="nil"/>
              <w:right w:val="nil"/>
            </w:tcBorders>
            <w:hideMark/>
          </w:tcPr>
          <w:p w14:paraId="4DCC4670"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r>
      <w:tr w:rsidR="00E91426" w:rsidRPr="00E91426" w14:paraId="2C795CFA" w14:textId="77777777" w:rsidTr="00E91426">
        <w:trPr>
          <w:trHeight w:val="250"/>
        </w:trPr>
        <w:tc>
          <w:tcPr>
            <w:tcW w:w="7480" w:type="dxa"/>
            <w:tcBorders>
              <w:top w:val="nil"/>
              <w:left w:val="nil"/>
              <w:bottom w:val="nil"/>
              <w:right w:val="nil"/>
            </w:tcBorders>
            <w:hideMark/>
          </w:tcPr>
          <w:p w14:paraId="7B356EE0"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Purchase of healthcare from NHS and DHSC bodies</w:t>
            </w:r>
          </w:p>
        </w:tc>
        <w:tc>
          <w:tcPr>
            <w:tcW w:w="940" w:type="dxa"/>
            <w:tcBorders>
              <w:top w:val="nil"/>
              <w:left w:val="nil"/>
              <w:bottom w:val="nil"/>
              <w:right w:val="nil"/>
            </w:tcBorders>
            <w:noWrap/>
            <w:hideMark/>
          </w:tcPr>
          <w:p w14:paraId="4BEB742C"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14,481</w:t>
            </w:r>
          </w:p>
        </w:tc>
        <w:tc>
          <w:tcPr>
            <w:tcW w:w="222" w:type="dxa"/>
            <w:tcBorders>
              <w:top w:val="nil"/>
              <w:left w:val="nil"/>
              <w:bottom w:val="nil"/>
              <w:right w:val="nil"/>
            </w:tcBorders>
            <w:noWrap/>
            <w:hideMark/>
          </w:tcPr>
          <w:p w14:paraId="22D48BEF"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00" w:type="dxa"/>
            <w:tcBorders>
              <w:top w:val="nil"/>
              <w:left w:val="nil"/>
              <w:bottom w:val="nil"/>
              <w:right w:val="nil"/>
            </w:tcBorders>
            <w:noWrap/>
            <w:hideMark/>
          </w:tcPr>
          <w:p w14:paraId="4F092265"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17,025</w:t>
            </w:r>
          </w:p>
        </w:tc>
      </w:tr>
      <w:tr w:rsidR="00E91426" w:rsidRPr="00E91426" w14:paraId="50076ADD" w14:textId="77777777" w:rsidTr="00E91426">
        <w:trPr>
          <w:trHeight w:val="250"/>
        </w:trPr>
        <w:tc>
          <w:tcPr>
            <w:tcW w:w="7480" w:type="dxa"/>
            <w:tcBorders>
              <w:top w:val="nil"/>
              <w:left w:val="nil"/>
              <w:bottom w:val="nil"/>
              <w:right w:val="nil"/>
            </w:tcBorders>
            <w:hideMark/>
          </w:tcPr>
          <w:p w14:paraId="46F0A5F5"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Purchase of healthcare from non-NHS and non-DHSC bodies</w:t>
            </w:r>
          </w:p>
        </w:tc>
        <w:tc>
          <w:tcPr>
            <w:tcW w:w="940" w:type="dxa"/>
            <w:tcBorders>
              <w:top w:val="nil"/>
              <w:left w:val="nil"/>
              <w:bottom w:val="nil"/>
              <w:right w:val="nil"/>
            </w:tcBorders>
            <w:noWrap/>
            <w:hideMark/>
          </w:tcPr>
          <w:p w14:paraId="191B7841"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8,100</w:t>
            </w:r>
          </w:p>
        </w:tc>
        <w:tc>
          <w:tcPr>
            <w:tcW w:w="222" w:type="dxa"/>
            <w:tcBorders>
              <w:top w:val="nil"/>
              <w:left w:val="nil"/>
              <w:bottom w:val="nil"/>
              <w:right w:val="nil"/>
            </w:tcBorders>
            <w:noWrap/>
            <w:hideMark/>
          </w:tcPr>
          <w:p w14:paraId="4DE11DB2"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00" w:type="dxa"/>
            <w:tcBorders>
              <w:top w:val="nil"/>
              <w:left w:val="nil"/>
              <w:bottom w:val="nil"/>
              <w:right w:val="nil"/>
            </w:tcBorders>
            <w:noWrap/>
            <w:hideMark/>
          </w:tcPr>
          <w:p w14:paraId="503D0576"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9,170</w:t>
            </w:r>
          </w:p>
        </w:tc>
      </w:tr>
      <w:tr w:rsidR="00E91426" w:rsidRPr="00E91426" w14:paraId="0B8AC726" w14:textId="77777777" w:rsidTr="00E91426">
        <w:trPr>
          <w:trHeight w:val="250"/>
        </w:trPr>
        <w:tc>
          <w:tcPr>
            <w:tcW w:w="7480" w:type="dxa"/>
            <w:tcBorders>
              <w:top w:val="nil"/>
              <w:left w:val="nil"/>
              <w:bottom w:val="nil"/>
              <w:right w:val="nil"/>
            </w:tcBorders>
            <w:hideMark/>
          </w:tcPr>
          <w:p w14:paraId="479B88CF"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Purchase of social care</w:t>
            </w:r>
          </w:p>
        </w:tc>
        <w:tc>
          <w:tcPr>
            <w:tcW w:w="940" w:type="dxa"/>
            <w:tcBorders>
              <w:top w:val="nil"/>
              <w:left w:val="nil"/>
              <w:bottom w:val="nil"/>
              <w:right w:val="nil"/>
            </w:tcBorders>
            <w:noWrap/>
            <w:hideMark/>
          </w:tcPr>
          <w:p w14:paraId="34DC55F3"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2,338</w:t>
            </w:r>
          </w:p>
        </w:tc>
        <w:tc>
          <w:tcPr>
            <w:tcW w:w="222" w:type="dxa"/>
            <w:tcBorders>
              <w:top w:val="nil"/>
              <w:left w:val="nil"/>
              <w:bottom w:val="nil"/>
              <w:right w:val="nil"/>
            </w:tcBorders>
            <w:noWrap/>
            <w:hideMark/>
          </w:tcPr>
          <w:p w14:paraId="03DA2293"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00" w:type="dxa"/>
            <w:tcBorders>
              <w:top w:val="nil"/>
              <w:left w:val="nil"/>
              <w:bottom w:val="nil"/>
              <w:right w:val="nil"/>
            </w:tcBorders>
            <w:noWrap/>
            <w:hideMark/>
          </w:tcPr>
          <w:p w14:paraId="626D05F7"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1,310</w:t>
            </w:r>
          </w:p>
        </w:tc>
      </w:tr>
      <w:tr w:rsidR="00E91426" w:rsidRPr="00E91426" w14:paraId="6134837B" w14:textId="77777777" w:rsidTr="00E91426">
        <w:trPr>
          <w:trHeight w:val="290"/>
        </w:trPr>
        <w:tc>
          <w:tcPr>
            <w:tcW w:w="7480" w:type="dxa"/>
            <w:tcBorders>
              <w:top w:val="nil"/>
              <w:left w:val="nil"/>
              <w:bottom w:val="nil"/>
              <w:right w:val="nil"/>
            </w:tcBorders>
            <w:hideMark/>
          </w:tcPr>
          <w:p w14:paraId="6606BE4A"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 xml:space="preserve">Staff and executive </w:t>
            </w:r>
            <w:proofErr w:type="gramStart"/>
            <w:r w:rsidRPr="00E91426">
              <w:rPr>
                <w:rFonts w:ascii="Arial" w:eastAsia="Times New Roman" w:hAnsi="Arial" w:cs="Arial"/>
                <w:color w:val="000000"/>
                <w:sz w:val="20"/>
                <w:szCs w:val="20"/>
                <w:lang w:val="en-GB" w:eastAsia="en-GB"/>
              </w:rPr>
              <w:t>directors</w:t>
            </w:r>
            <w:proofErr w:type="gramEnd"/>
            <w:r w:rsidRPr="00E91426">
              <w:rPr>
                <w:rFonts w:ascii="Arial" w:eastAsia="Times New Roman" w:hAnsi="Arial" w:cs="Arial"/>
                <w:color w:val="000000"/>
                <w:sz w:val="20"/>
                <w:szCs w:val="20"/>
                <w:lang w:val="en-GB" w:eastAsia="en-GB"/>
              </w:rPr>
              <w:t xml:space="preserve"> costs </w:t>
            </w:r>
            <w:r w:rsidRPr="00E91426">
              <w:rPr>
                <w:rFonts w:ascii="Arial" w:eastAsia="Times New Roman" w:hAnsi="Arial" w:cs="Arial"/>
                <w:color w:val="000000"/>
                <w:sz w:val="20"/>
                <w:szCs w:val="20"/>
                <w:vertAlign w:val="superscript"/>
                <w:lang w:val="en-GB" w:eastAsia="en-GB"/>
              </w:rPr>
              <w:t>1</w:t>
            </w:r>
          </w:p>
        </w:tc>
        <w:tc>
          <w:tcPr>
            <w:tcW w:w="940" w:type="dxa"/>
            <w:tcBorders>
              <w:top w:val="nil"/>
              <w:left w:val="nil"/>
              <w:bottom w:val="nil"/>
              <w:right w:val="nil"/>
            </w:tcBorders>
            <w:noWrap/>
            <w:hideMark/>
          </w:tcPr>
          <w:p w14:paraId="2BBF13A5"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339,279</w:t>
            </w:r>
          </w:p>
        </w:tc>
        <w:tc>
          <w:tcPr>
            <w:tcW w:w="222" w:type="dxa"/>
            <w:tcBorders>
              <w:top w:val="nil"/>
              <w:left w:val="nil"/>
              <w:bottom w:val="nil"/>
              <w:right w:val="nil"/>
            </w:tcBorders>
            <w:noWrap/>
            <w:hideMark/>
          </w:tcPr>
          <w:p w14:paraId="5C6176F5"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00" w:type="dxa"/>
            <w:tcBorders>
              <w:top w:val="nil"/>
              <w:left w:val="nil"/>
              <w:bottom w:val="nil"/>
              <w:right w:val="nil"/>
            </w:tcBorders>
            <w:noWrap/>
            <w:hideMark/>
          </w:tcPr>
          <w:p w14:paraId="221D82ED"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306,424</w:t>
            </w:r>
          </w:p>
        </w:tc>
      </w:tr>
      <w:tr w:rsidR="00E91426" w:rsidRPr="00E91426" w14:paraId="7AB6649A" w14:textId="77777777" w:rsidTr="00E91426">
        <w:trPr>
          <w:trHeight w:val="290"/>
        </w:trPr>
        <w:tc>
          <w:tcPr>
            <w:tcW w:w="7480" w:type="dxa"/>
            <w:tcBorders>
              <w:top w:val="nil"/>
              <w:left w:val="nil"/>
              <w:bottom w:val="nil"/>
              <w:right w:val="nil"/>
            </w:tcBorders>
            <w:hideMark/>
          </w:tcPr>
          <w:p w14:paraId="36A4E72B"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Remuneration of non-executive directors</w:t>
            </w:r>
          </w:p>
        </w:tc>
        <w:tc>
          <w:tcPr>
            <w:tcW w:w="940" w:type="dxa"/>
            <w:tcBorders>
              <w:top w:val="nil"/>
              <w:left w:val="nil"/>
              <w:bottom w:val="nil"/>
              <w:right w:val="nil"/>
            </w:tcBorders>
            <w:noWrap/>
            <w:hideMark/>
          </w:tcPr>
          <w:p w14:paraId="6F451C28"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138</w:t>
            </w:r>
          </w:p>
        </w:tc>
        <w:tc>
          <w:tcPr>
            <w:tcW w:w="222" w:type="dxa"/>
            <w:tcBorders>
              <w:top w:val="nil"/>
              <w:left w:val="nil"/>
              <w:bottom w:val="nil"/>
              <w:right w:val="nil"/>
            </w:tcBorders>
            <w:noWrap/>
            <w:hideMark/>
          </w:tcPr>
          <w:p w14:paraId="49562BEF"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00" w:type="dxa"/>
            <w:tcBorders>
              <w:top w:val="nil"/>
              <w:left w:val="nil"/>
              <w:bottom w:val="nil"/>
              <w:right w:val="nil"/>
            </w:tcBorders>
            <w:noWrap/>
            <w:hideMark/>
          </w:tcPr>
          <w:p w14:paraId="09E03DFA"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149</w:t>
            </w:r>
          </w:p>
        </w:tc>
      </w:tr>
      <w:tr w:rsidR="00E91426" w:rsidRPr="00E91426" w14:paraId="1E8D91F5" w14:textId="77777777" w:rsidTr="00E91426">
        <w:trPr>
          <w:trHeight w:val="290"/>
        </w:trPr>
        <w:tc>
          <w:tcPr>
            <w:tcW w:w="7480" w:type="dxa"/>
            <w:tcBorders>
              <w:top w:val="nil"/>
              <w:left w:val="nil"/>
              <w:bottom w:val="nil"/>
              <w:right w:val="nil"/>
            </w:tcBorders>
            <w:hideMark/>
          </w:tcPr>
          <w:p w14:paraId="423E5E68"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Supplies and services - clinical (excluding drugs costs)</w:t>
            </w:r>
          </w:p>
        </w:tc>
        <w:tc>
          <w:tcPr>
            <w:tcW w:w="940" w:type="dxa"/>
            <w:tcBorders>
              <w:top w:val="nil"/>
              <w:left w:val="nil"/>
              <w:bottom w:val="nil"/>
              <w:right w:val="nil"/>
            </w:tcBorders>
            <w:noWrap/>
            <w:hideMark/>
          </w:tcPr>
          <w:p w14:paraId="6DB89C5D"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37,590</w:t>
            </w:r>
          </w:p>
        </w:tc>
        <w:tc>
          <w:tcPr>
            <w:tcW w:w="222" w:type="dxa"/>
            <w:tcBorders>
              <w:top w:val="nil"/>
              <w:left w:val="nil"/>
              <w:bottom w:val="nil"/>
              <w:right w:val="nil"/>
            </w:tcBorders>
            <w:noWrap/>
            <w:hideMark/>
          </w:tcPr>
          <w:p w14:paraId="5E537ACB"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00" w:type="dxa"/>
            <w:tcBorders>
              <w:top w:val="nil"/>
              <w:left w:val="nil"/>
              <w:bottom w:val="nil"/>
              <w:right w:val="nil"/>
            </w:tcBorders>
            <w:noWrap/>
            <w:hideMark/>
          </w:tcPr>
          <w:p w14:paraId="439AA3E0"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31,759</w:t>
            </w:r>
          </w:p>
        </w:tc>
      </w:tr>
      <w:tr w:rsidR="00E91426" w:rsidRPr="00E91426" w14:paraId="034ECF3B" w14:textId="77777777" w:rsidTr="00E91426">
        <w:trPr>
          <w:trHeight w:val="290"/>
        </w:trPr>
        <w:tc>
          <w:tcPr>
            <w:tcW w:w="7480" w:type="dxa"/>
            <w:tcBorders>
              <w:top w:val="nil"/>
              <w:left w:val="nil"/>
              <w:bottom w:val="nil"/>
              <w:right w:val="nil"/>
            </w:tcBorders>
            <w:hideMark/>
          </w:tcPr>
          <w:p w14:paraId="382525B8"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 xml:space="preserve">Supplies and services - general </w:t>
            </w:r>
          </w:p>
        </w:tc>
        <w:tc>
          <w:tcPr>
            <w:tcW w:w="940" w:type="dxa"/>
            <w:tcBorders>
              <w:top w:val="nil"/>
              <w:left w:val="nil"/>
              <w:bottom w:val="nil"/>
              <w:right w:val="nil"/>
            </w:tcBorders>
            <w:noWrap/>
            <w:hideMark/>
          </w:tcPr>
          <w:p w14:paraId="0424C2CA"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12,198</w:t>
            </w:r>
          </w:p>
        </w:tc>
        <w:tc>
          <w:tcPr>
            <w:tcW w:w="222" w:type="dxa"/>
            <w:tcBorders>
              <w:top w:val="nil"/>
              <w:left w:val="nil"/>
              <w:bottom w:val="nil"/>
              <w:right w:val="nil"/>
            </w:tcBorders>
            <w:noWrap/>
            <w:hideMark/>
          </w:tcPr>
          <w:p w14:paraId="115162AD"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00" w:type="dxa"/>
            <w:tcBorders>
              <w:top w:val="nil"/>
              <w:left w:val="nil"/>
              <w:bottom w:val="nil"/>
              <w:right w:val="nil"/>
            </w:tcBorders>
            <w:noWrap/>
            <w:hideMark/>
          </w:tcPr>
          <w:p w14:paraId="7A434F86"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11,917</w:t>
            </w:r>
          </w:p>
        </w:tc>
      </w:tr>
      <w:tr w:rsidR="00E91426" w:rsidRPr="00E91426" w14:paraId="794BAD34" w14:textId="77777777" w:rsidTr="00E91426">
        <w:trPr>
          <w:trHeight w:val="290"/>
        </w:trPr>
        <w:tc>
          <w:tcPr>
            <w:tcW w:w="7480" w:type="dxa"/>
            <w:tcBorders>
              <w:top w:val="nil"/>
              <w:left w:val="nil"/>
              <w:bottom w:val="nil"/>
              <w:right w:val="nil"/>
            </w:tcBorders>
            <w:hideMark/>
          </w:tcPr>
          <w:p w14:paraId="0170AE2E"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Drug costs (drugs inventory consumed &amp; purchase of non-inventory drugs)</w:t>
            </w:r>
          </w:p>
        </w:tc>
        <w:tc>
          <w:tcPr>
            <w:tcW w:w="940" w:type="dxa"/>
            <w:tcBorders>
              <w:top w:val="nil"/>
              <w:left w:val="nil"/>
              <w:bottom w:val="nil"/>
              <w:right w:val="nil"/>
            </w:tcBorders>
            <w:noWrap/>
            <w:hideMark/>
          </w:tcPr>
          <w:p w14:paraId="5AD6C07A"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43,093</w:t>
            </w:r>
          </w:p>
        </w:tc>
        <w:tc>
          <w:tcPr>
            <w:tcW w:w="222" w:type="dxa"/>
            <w:tcBorders>
              <w:top w:val="nil"/>
              <w:left w:val="nil"/>
              <w:bottom w:val="nil"/>
              <w:right w:val="nil"/>
            </w:tcBorders>
            <w:noWrap/>
            <w:hideMark/>
          </w:tcPr>
          <w:p w14:paraId="7BA2E7C5"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00" w:type="dxa"/>
            <w:tcBorders>
              <w:top w:val="nil"/>
              <w:left w:val="nil"/>
              <w:bottom w:val="nil"/>
              <w:right w:val="nil"/>
            </w:tcBorders>
            <w:noWrap/>
            <w:hideMark/>
          </w:tcPr>
          <w:p w14:paraId="33A26D66"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39,761</w:t>
            </w:r>
          </w:p>
        </w:tc>
      </w:tr>
      <w:tr w:rsidR="00E91426" w:rsidRPr="00E91426" w14:paraId="39687AD4" w14:textId="77777777" w:rsidTr="00E91426">
        <w:trPr>
          <w:trHeight w:val="290"/>
        </w:trPr>
        <w:tc>
          <w:tcPr>
            <w:tcW w:w="7480" w:type="dxa"/>
            <w:tcBorders>
              <w:top w:val="nil"/>
              <w:left w:val="nil"/>
              <w:bottom w:val="nil"/>
              <w:right w:val="nil"/>
            </w:tcBorders>
            <w:hideMark/>
          </w:tcPr>
          <w:p w14:paraId="6740AB36"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Inventories written down</w:t>
            </w:r>
          </w:p>
        </w:tc>
        <w:tc>
          <w:tcPr>
            <w:tcW w:w="940" w:type="dxa"/>
            <w:tcBorders>
              <w:top w:val="nil"/>
              <w:left w:val="nil"/>
              <w:bottom w:val="nil"/>
              <w:right w:val="nil"/>
            </w:tcBorders>
            <w:noWrap/>
            <w:hideMark/>
          </w:tcPr>
          <w:p w14:paraId="36F51241"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222" w:type="dxa"/>
            <w:tcBorders>
              <w:top w:val="nil"/>
              <w:left w:val="nil"/>
              <w:bottom w:val="nil"/>
              <w:right w:val="nil"/>
            </w:tcBorders>
            <w:noWrap/>
            <w:hideMark/>
          </w:tcPr>
          <w:p w14:paraId="72CA2712"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00" w:type="dxa"/>
            <w:tcBorders>
              <w:top w:val="nil"/>
              <w:left w:val="nil"/>
              <w:bottom w:val="nil"/>
              <w:right w:val="nil"/>
            </w:tcBorders>
            <w:noWrap/>
            <w:hideMark/>
          </w:tcPr>
          <w:p w14:paraId="5049C71D"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9</w:t>
            </w:r>
          </w:p>
        </w:tc>
      </w:tr>
      <w:tr w:rsidR="00E91426" w:rsidRPr="00E91426" w14:paraId="271C0E1A" w14:textId="77777777" w:rsidTr="00E91426">
        <w:trPr>
          <w:trHeight w:val="290"/>
        </w:trPr>
        <w:tc>
          <w:tcPr>
            <w:tcW w:w="7480" w:type="dxa"/>
            <w:tcBorders>
              <w:top w:val="nil"/>
              <w:left w:val="nil"/>
              <w:bottom w:val="nil"/>
              <w:right w:val="nil"/>
            </w:tcBorders>
            <w:hideMark/>
          </w:tcPr>
          <w:p w14:paraId="783CE1F1"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Consultancy costs</w:t>
            </w:r>
          </w:p>
        </w:tc>
        <w:tc>
          <w:tcPr>
            <w:tcW w:w="940" w:type="dxa"/>
            <w:tcBorders>
              <w:top w:val="nil"/>
              <w:left w:val="nil"/>
              <w:bottom w:val="nil"/>
              <w:right w:val="nil"/>
            </w:tcBorders>
            <w:noWrap/>
            <w:hideMark/>
          </w:tcPr>
          <w:p w14:paraId="52B4CCF7"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588</w:t>
            </w:r>
          </w:p>
        </w:tc>
        <w:tc>
          <w:tcPr>
            <w:tcW w:w="222" w:type="dxa"/>
            <w:tcBorders>
              <w:top w:val="nil"/>
              <w:left w:val="nil"/>
              <w:bottom w:val="nil"/>
              <w:right w:val="nil"/>
            </w:tcBorders>
            <w:noWrap/>
            <w:hideMark/>
          </w:tcPr>
          <w:p w14:paraId="7D2807A7"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00" w:type="dxa"/>
            <w:tcBorders>
              <w:top w:val="nil"/>
              <w:left w:val="nil"/>
              <w:bottom w:val="nil"/>
              <w:right w:val="nil"/>
            </w:tcBorders>
            <w:noWrap/>
            <w:hideMark/>
          </w:tcPr>
          <w:p w14:paraId="03BA8F67"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864</w:t>
            </w:r>
          </w:p>
        </w:tc>
      </w:tr>
      <w:tr w:rsidR="00E91426" w:rsidRPr="00E91426" w14:paraId="3DD1A1A1" w14:textId="77777777" w:rsidTr="00E91426">
        <w:trPr>
          <w:trHeight w:val="290"/>
        </w:trPr>
        <w:tc>
          <w:tcPr>
            <w:tcW w:w="7480" w:type="dxa"/>
            <w:tcBorders>
              <w:top w:val="nil"/>
              <w:left w:val="nil"/>
              <w:bottom w:val="nil"/>
              <w:right w:val="nil"/>
            </w:tcBorders>
            <w:hideMark/>
          </w:tcPr>
          <w:p w14:paraId="7A55D14F"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 xml:space="preserve">Establishment </w:t>
            </w:r>
          </w:p>
        </w:tc>
        <w:tc>
          <w:tcPr>
            <w:tcW w:w="940" w:type="dxa"/>
            <w:tcBorders>
              <w:top w:val="nil"/>
              <w:left w:val="nil"/>
              <w:bottom w:val="nil"/>
              <w:right w:val="nil"/>
            </w:tcBorders>
            <w:noWrap/>
            <w:hideMark/>
          </w:tcPr>
          <w:p w14:paraId="494BCA0C"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1,697</w:t>
            </w:r>
          </w:p>
        </w:tc>
        <w:tc>
          <w:tcPr>
            <w:tcW w:w="222" w:type="dxa"/>
            <w:tcBorders>
              <w:top w:val="nil"/>
              <w:left w:val="nil"/>
              <w:bottom w:val="nil"/>
              <w:right w:val="nil"/>
            </w:tcBorders>
            <w:noWrap/>
            <w:hideMark/>
          </w:tcPr>
          <w:p w14:paraId="7B92FC0F"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00" w:type="dxa"/>
            <w:tcBorders>
              <w:top w:val="nil"/>
              <w:left w:val="nil"/>
              <w:bottom w:val="nil"/>
              <w:right w:val="nil"/>
            </w:tcBorders>
            <w:noWrap/>
            <w:hideMark/>
          </w:tcPr>
          <w:p w14:paraId="50DCB326"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2,175</w:t>
            </w:r>
          </w:p>
        </w:tc>
      </w:tr>
      <w:tr w:rsidR="00E91426" w:rsidRPr="00E91426" w14:paraId="211C2920" w14:textId="77777777" w:rsidTr="00E91426">
        <w:trPr>
          <w:trHeight w:val="290"/>
        </w:trPr>
        <w:tc>
          <w:tcPr>
            <w:tcW w:w="7480" w:type="dxa"/>
            <w:tcBorders>
              <w:top w:val="nil"/>
              <w:left w:val="nil"/>
              <w:bottom w:val="nil"/>
              <w:right w:val="nil"/>
            </w:tcBorders>
            <w:hideMark/>
          </w:tcPr>
          <w:p w14:paraId="2E327BC0"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Premises</w:t>
            </w:r>
          </w:p>
        </w:tc>
        <w:tc>
          <w:tcPr>
            <w:tcW w:w="940" w:type="dxa"/>
            <w:tcBorders>
              <w:top w:val="nil"/>
              <w:left w:val="nil"/>
              <w:bottom w:val="nil"/>
              <w:right w:val="nil"/>
            </w:tcBorders>
            <w:noWrap/>
            <w:hideMark/>
          </w:tcPr>
          <w:p w14:paraId="61C23B8E"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11,693</w:t>
            </w:r>
          </w:p>
        </w:tc>
        <w:tc>
          <w:tcPr>
            <w:tcW w:w="222" w:type="dxa"/>
            <w:tcBorders>
              <w:top w:val="nil"/>
              <w:left w:val="nil"/>
              <w:bottom w:val="nil"/>
              <w:right w:val="nil"/>
            </w:tcBorders>
            <w:noWrap/>
            <w:hideMark/>
          </w:tcPr>
          <w:p w14:paraId="7373A960"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00" w:type="dxa"/>
            <w:tcBorders>
              <w:top w:val="nil"/>
              <w:left w:val="nil"/>
              <w:bottom w:val="nil"/>
              <w:right w:val="nil"/>
            </w:tcBorders>
            <w:noWrap/>
            <w:hideMark/>
          </w:tcPr>
          <w:p w14:paraId="3735AC34"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15,737</w:t>
            </w:r>
          </w:p>
        </w:tc>
      </w:tr>
      <w:tr w:rsidR="00E91426" w:rsidRPr="00E91426" w14:paraId="1346DBA6" w14:textId="77777777" w:rsidTr="00E91426">
        <w:trPr>
          <w:trHeight w:val="290"/>
        </w:trPr>
        <w:tc>
          <w:tcPr>
            <w:tcW w:w="7480" w:type="dxa"/>
            <w:tcBorders>
              <w:top w:val="nil"/>
              <w:left w:val="nil"/>
              <w:bottom w:val="nil"/>
              <w:right w:val="nil"/>
            </w:tcBorders>
            <w:hideMark/>
          </w:tcPr>
          <w:p w14:paraId="5062691F"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Transport (including patient travel)</w:t>
            </w:r>
          </w:p>
        </w:tc>
        <w:tc>
          <w:tcPr>
            <w:tcW w:w="940" w:type="dxa"/>
            <w:tcBorders>
              <w:top w:val="nil"/>
              <w:left w:val="nil"/>
              <w:bottom w:val="nil"/>
              <w:right w:val="nil"/>
            </w:tcBorders>
            <w:noWrap/>
            <w:hideMark/>
          </w:tcPr>
          <w:p w14:paraId="6A67A273"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1,620</w:t>
            </w:r>
          </w:p>
        </w:tc>
        <w:tc>
          <w:tcPr>
            <w:tcW w:w="222" w:type="dxa"/>
            <w:tcBorders>
              <w:top w:val="nil"/>
              <w:left w:val="nil"/>
              <w:bottom w:val="nil"/>
              <w:right w:val="nil"/>
            </w:tcBorders>
            <w:noWrap/>
            <w:hideMark/>
          </w:tcPr>
          <w:p w14:paraId="24D00DF7"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00" w:type="dxa"/>
            <w:tcBorders>
              <w:top w:val="nil"/>
              <w:left w:val="nil"/>
              <w:bottom w:val="nil"/>
              <w:right w:val="nil"/>
            </w:tcBorders>
            <w:noWrap/>
            <w:hideMark/>
          </w:tcPr>
          <w:p w14:paraId="5CB47DB1"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1,809</w:t>
            </w:r>
          </w:p>
        </w:tc>
      </w:tr>
      <w:tr w:rsidR="00E91426" w:rsidRPr="00E91426" w14:paraId="66BD2939" w14:textId="77777777" w:rsidTr="00E91426">
        <w:trPr>
          <w:trHeight w:val="290"/>
        </w:trPr>
        <w:tc>
          <w:tcPr>
            <w:tcW w:w="7480" w:type="dxa"/>
            <w:tcBorders>
              <w:top w:val="nil"/>
              <w:left w:val="nil"/>
              <w:bottom w:val="nil"/>
              <w:right w:val="nil"/>
            </w:tcBorders>
            <w:hideMark/>
          </w:tcPr>
          <w:p w14:paraId="20653BCF"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Depreciation on property, plant and equipment and right of use assets</w:t>
            </w:r>
          </w:p>
        </w:tc>
        <w:tc>
          <w:tcPr>
            <w:tcW w:w="940" w:type="dxa"/>
            <w:tcBorders>
              <w:top w:val="nil"/>
              <w:left w:val="nil"/>
              <w:bottom w:val="nil"/>
              <w:right w:val="nil"/>
            </w:tcBorders>
            <w:noWrap/>
            <w:hideMark/>
          </w:tcPr>
          <w:p w14:paraId="66B43922"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19,889</w:t>
            </w:r>
          </w:p>
        </w:tc>
        <w:tc>
          <w:tcPr>
            <w:tcW w:w="222" w:type="dxa"/>
            <w:tcBorders>
              <w:top w:val="nil"/>
              <w:left w:val="nil"/>
              <w:bottom w:val="nil"/>
              <w:right w:val="nil"/>
            </w:tcBorders>
            <w:noWrap/>
            <w:hideMark/>
          </w:tcPr>
          <w:p w14:paraId="2B00AB63"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00" w:type="dxa"/>
            <w:tcBorders>
              <w:top w:val="nil"/>
              <w:left w:val="nil"/>
              <w:bottom w:val="nil"/>
              <w:right w:val="nil"/>
            </w:tcBorders>
            <w:noWrap/>
            <w:hideMark/>
          </w:tcPr>
          <w:p w14:paraId="53BBCD3B"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18,560</w:t>
            </w:r>
          </w:p>
        </w:tc>
      </w:tr>
      <w:tr w:rsidR="00E91426" w:rsidRPr="00E91426" w14:paraId="74F5F370" w14:textId="77777777" w:rsidTr="00E91426">
        <w:trPr>
          <w:trHeight w:val="290"/>
        </w:trPr>
        <w:tc>
          <w:tcPr>
            <w:tcW w:w="7480" w:type="dxa"/>
            <w:tcBorders>
              <w:top w:val="nil"/>
              <w:left w:val="nil"/>
              <w:bottom w:val="nil"/>
              <w:right w:val="nil"/>
            </w:tcBorders>
            <w:hideMark/>
          </w:tcPr>
          <w:p w14:paraId="01E352EB"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Impairments net of (reversals)</w:t>
            </w:r>
          </w:p>
        </w:tc>
        <w:tc>
          <w:tcPr>
            <w:tcW w:w="940" w:type="dxa"/>
            <w:tcBorders>
              <w:top w:val="nil"/>
              <w:left w:val="nil"/>
              <w:bottom w:val="nil"/>
              <w:right w:val="nil"/>
            </w:tcBorders>
            <w:noWrap/>
            <w:hideMark/>
          </w:tcPr>
          <w:p w14:paraId="08F0A15F"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178</w:t>
            </w:r>
          </w:p>
        </w:tc>
        <w:tc>
          <w:tcPr>
            <w:tcW w:w="222" w:type="dxa"/>
            <w:tcBorders>
              <w:top w:val="nil"/>
              <w:left w:val="nil"/>
              <w:bottom w:val="nil"/>
              <w:right w:val="nil"/>
            </w:tcBorders>
            <w:noWrap/>
            <w:hideMark/>
          </w:tcPr>
          <w:p w14:paraId="126B5C22"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00" w:type="dxa"/>
            <w:tcBorders>
              <w:top w:val="nil"/>
              <w:left w:val="nil"/>
              <w:bottom w:val="nil"/>
              <w:right w:val="nil"/>
            </w:tcBorders>
            <w:noWrap/>
            <w:hideMark/>
          </w:tcPr>
          <w:p w14:paraId="3BBA4BAD"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171</w:t>
            </w:r>
          </w:p>
        </w:tc>
      </w:tr>
      <w:tr w:rsidR="00E91426" w:rsidRPr="00E91426" w14:paraId="7E576989" w14:textId="77777777" w:rsidTr="00E91426">
        <w:trPr>
          <w:trHeight w:val="290"/>
        </w:trPr>
        <w:tc>
          <w:tcPr>
            <w:tcW w:w="7480" w:type="dxa"/>
            <w:tcBorders>
              <w:top w:val="nil"/>
              <w:left w:val="nil"/>
              <w:bottom w:val="nil"/>
              <w:right w:val="nil"/>
            </w:tcBorders>
            <w:hideMark/>
          </w:tcPr>
          <w:p w14:paraId="1A891211"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Movement in credit loss allowance: contract receivables / contract assets</w:t>
            </w:r>
            <w:r w:rsidRPr="00E91426">
              <w:rPr>
                <w:rFonts w:ascii="Arial" w:eastAsia="Times New Roman" w:hAnsi="Arial" w:cs="Arial"/>
                <w:color w:val="000000"/>
                <w:sz w:val="20"/>
                <w:szCs w:val="20"/>
                <w:vertAlign w:val="superscript"/>
                <w:lang w:val="en-GB" w:eastAsia="en-GB"/>
              </w:rPr>
              <w:t>2</w:t>
            </w:r>
          </w:p>
        </w:tc>
        <w:tc>
          <w:tcPr>
            <w:tcW w:w="940" w:type="dxa"/>
            <w:tcBorders>
              <w:top w:val="nil"/>
              <w:left w:val="nil"/>
              <w:bottom w:val="nil"/>
              <w:right w:val="nil"/>
            </w:tcBorders>
            <w:noWrap/>
            <w:hideMark/>
          </w:tcPr>
          <w:p w14:paraId="1786CBC1"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809</w:t>
            </w:r>
          </w:p>
        </w:tc>
        <w:tc>
          <w:tcPr>
            <w:tcW w:w="222" w:type="dxa"/>
            <w:tcBorders>
              <w:top w:val="nil"/>
              <w:left w:val="nil"/>
              <w:bottom w:val="nil"/>
              <w:right w:val="nil"/>
            </w:tcBorders>
            <w:noWrap/>
            <w:hideMark/>
          </w:tcPr>
          <w:p w14:paraId="294359B8"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00" w:type="dxa"/>
            <w:tcBorders>
              <w:top w:val="nil"/>
              <w:left w:val="nil"/>
              <w:bottom w:val="nil"/>
              <w:right w:val="nil"/>
            </w:tcBorders>
            <w:noWrap/>
            <w:hideMark/>
          </w:tcPr>
          <w:p w14:paraId="17D5C0F0"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842</w:t>
            </w:r>
          </w:p>
        </w:tc>
      </w:tr>
      <w:tr w:rsidR="00E91426" w:rsidRPr="00E91426" w14:paraId="63BF71E3" w14:textId="77777777" w:rsidTr="00E91426">
        <w:trPr>
          <w:trHeight w:val="250"/>
        </w:trPr>
        <w:tc>
          <w:tcPr>
            <w:tcW w:w="7480" w:type="dxa"/>
            <w:tcBorders>
              <w:top w:val="nil"/>
              <w:left w:val="nil"/>
              <w:bottom w:val="nil"/>
              <w:right w:val="nil"/>
            </w:tcBorders>
            <w:hideMark/>
          </w:tcPr>
          <w:p w14:paraId="7A78AF5E"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Increase/(decrease) in other provisions</w:t>
            </w:r>
          </w:p>
        </w:tc>
        <w:tc>
          <w:tcPr>
            <w:tcW w:w="940" w:type="dxa"/>
            <w:tcBorders>
              <w:top w:val="nil"/>
              <w:left w:val="nil"/>
              <w:bottom w:val="nil"/>
              <w:right w:val="nil"/>
            </w:tcBorders>
            <w:noWrap/>
            <w:hideMark/>
          </w:tcPr>
          <w:p w14:paraId="02EC9A12"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59</w:t>
            </w:r>
          </w:p>
        </w:tc>
        <w:tc>
          <w:tcPr>
            <w:tcW w:w="222" w:type="dxa"/>
            <w:tcBorders>
              <w:top w:val="nil"/>
              <w:left w:val="nil"/>
              <w:bottom w:val="nil"/>
              <w:right w:val="nil"/>
            </w:tcBorders>
            <w:noWrap/>
            <w:hideMark/>
          </w:tcPr>
          <w:p w14:paraId="49DF4DD3"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00" w:type="dxa"/>
            <w:tcBorders>
              <w:top w:val="nil"/>
              <w:left w:val="nil"/>
              <w:bottom w:val="nil"/>
              <w:right w:val="nil"/>
            </w:tcBorders>
            <w:noWrap/>
            <w:hideMark/>
          </w:tcPr>
          <w:p w14:paraId="16B974B8"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(200)</w:t>
            </w:r>
          </w:p>
        </w:tc>
      </w:tr>
      <w:tr w:rsidR="00E91426" w:rsidRPr="00E91426" w14:paraId="6DBA0077" w14:textId="77777777" w:rsidTr="00E91426">
        <w:trPr>
          <w:trHeight w:val="250"/>
        </w:trPr>
        <w:tc>
          <w:tcPr>
            <w:tcW w:w="7480" w:type="dxa"/>
            <w:tcBorders>
              <w:top w:val="nil"/>
              <w:left w:val="nil"/>
              <w:bottom w:val="nil"/>
              <w:right w:val="nil"/>
            </w:tcBorders>
            <w:hideMark/>
          </w:tcPr>
          <w:p w14:paraId="4280F066"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Change in provisions discount rate(s)</w:t>
            </w:r>
          </w:p>
        </w:tc>
        <w:tc>
          <w:tcPr>
            <w:tcW w:w="940" w:type="dxa"/>
            <w:tcBorders>
              <w:top w:val="nil"/>
              <w:left w:val="nil"/>
              <w:bottom w:val="nil"/>
              <w:right w:val="nil"/>
            </w:tcBorders>
            <w:noWrap/>
            <w:hideMark/>
          </w:tcPr>
          <w:p w14:paraId="67935836"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w:t>
            </w:r>
          </w:p>
        </w:tc>
        <w:tc>
          <w:tcPr>
            <w:tcW w:w="222" w:type="dxa"/>
            <w:tcBorders>
              <w:top w:val="nil"/>
              <w:left w:val="nil"/>
              <w:bottom w:val="nil"/>
              <w:right w:val="nil"/>
            </w:tcBorders>
            <w:noWrap/>
            <w:hideMark/>
          </w:tcPr>
          <w:p w14:paraId="1AAC03AF"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00" w:type="dxa"/>
            <w:tcBorders>
              <w:top w:val="nil"/>
              <w:left w:val="nil"/>
              <w:bottom w:val="nil"/>
              <w:right w:val="nil"/>
            </w:tcBorders>
            <w:noWrap/>
            <w:hideMark/>
          </w:tcPr>
          <w:p w14:paraId="541611E9"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(28)</w:t>
            </w:r>
          </w:p>
        </w:tc>
      </w:tr>
      <w:tr w:rsidR="00E91426" w:rsidRPr="00E91426" w14:paraId="349C9180" w14:textId="77777777" w:rsidTr="00E91426">
        <w:trPr>
          <w:trHeight w:val="250"/>
        </w:trPr>
        <w:tc>
          <w:tcPr>
            <w:tcW w:w="7480" w:type="dxa"/>
            <w:tcBorders>
              <w:top w:val="nil"/>
              <w:left w:val="nil"/>
              <w:bottom w:val="nil"/>
              <w:right w:val="nil"/>
            </w:tcBorders>
            <w:hideMark/>
          </w:tcPr>
          <w:p w14:paraId="13B0D9DB"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Audit fees payable to the external auditor</w:t>
            </w:r>
          </w:p>
        </w:tc>
        <w:tc>
          <w:tcPr>
            <w:tcW w:w="940" w:type="dxa"/>
            <w:tcBorders>
              <w:top w:val="nil"/>
              <w:left w:val="nil"/>
              <w:bottom w:val="nil"/>
              <w:right w:val="nil"/>
            </w:tcBorders>
            <w:noWrap/>
            <w:hideMark/>
          </w:tcPr>
          <w:p w14:paraId="02A26D85"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222" w:type="dxa"/>
            <w:tcBorders>
              <w:top w:val="nil"/>
              <w:left w:val="nil"/>
              <w:bottom w:val="nil"/>
              <w:right w:val="nil"/>
            </w:tcBorders>
            <w:noWrap/>
            <w:hideMark/>
          </w:tcPr>
          <w:p w14:paraId="2C503B51"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000" w:type="dxa"/>
            <w:tcBorders>
              <w:top w:val="nil"/>
              <w:left w:val="nil"/>
              <w:bottom w:val="nil"/>
              <w:right w:val="nil"/>
            </w:tcBorders>
            <w:noWrap/>
            <w:hideMark/>
          </w:tcPr>
          <w:p w14:paraId="1D006E84" w14:textId="77777777" w:rsidR="00E91426" w:rsidRPr="00E91426" w:rsidRDefault="00E91426" w:rsidP="00E91426">
            <w:pPr>
              <w:widowControl/>
              <w:jc w:val="right"/>
              <w:rPr>
                <w:rFonts w:ascii="Arial" w:eastAsia="Times New Roman" w:hAnsi="Arial" w:cs="Arial"/>
                <w:sz w:val="20"/>
                <w:szCs w:val="20"/>
                <w:lang w:val="en-GB" w:eastAsia="en-GB"/>
              </w:rPr>
            </w:pPr>
          </w:p>
        </w:tc>
      </w:tr>
      <w:tr w:rsidR="00E91426" w:rsidRPr="00E91426" w14:paraId="758005AF" w14:textId="77777777" w:rsidTr="00E91426">
        <w:trPr>
          <w:trHeight w:val="290"/>
        </w:trPr>
        <w:tc>
          <w:tcPr>
            <w:tcW w:w="7480" w:type="dxa"/>
            <w:tcBorders>
              <w:top w:val="nil"/>
              <w:left w:val="nil"/>
              <w:bottom w:val="nil"/>
              <w:right w:val="nil"/>
            </w:tcBorders>
            <w:hideMark/>
          </w:tcPr>
          <w:p w14:paraId="7586A347"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audit services - statutory audit</w:t>
            </w:r>
            <w:r w:rsidRPr="00E91426">
              <w:rPr>
                <w:rFonts w:ascii="Arial" w:eastAsia="Times New Roman" w:hAnsi="Arial" w:cs="Arial"/>
                <w:color w:val="000000"/>
                <w:sz w:val="20"/>
                <w:szCs w:val="20"/>
                <w:vertAlign w:val="superscript"/>
                <w:lang w:val="en-GB" w:eastAsia="en-GB"/>
              </w:rPr>
              <w:t>3</w:t>
            </w:r>
          </w:p>
        </w:tc>
        <w:tc>
          <w:tcPr>
            <w:tcW w:w="940" w:type="dxa"/>
            <w:tcBorders>
              <w:top w:val="nil"/>
              <w:left w:val="nil"/>
              <w:bottom w:val="nil"/>
              <w:right w:val="nil"/>
            </w:tcBorders>
            <w:noWrap/>
            <w:hideMark/>
          </w:tcPr>
          <w:p w14:paraId="4932DB72"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174</w:t>
            </w:r>
          </w:p>
        </w:tc>
        <w:tc>
          <w:tcPr>
            <w:tcW w:w="222" w:type="dxa"/>
            <w:tcBorders>
              <w:top w:val="nil"/>
              <w:left w:val="nil"/>
              <w:bottom w:val="nil"/>
              <w:right w:val="nil"/>
            </w:tcBorders>
            <w:noWrap/>
            <w:hideMark/>
          </w:tcPr>
          <w:p w14:paraId="3F19799C"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00" w:type="dxa"/>
            <w:tcBorders>
              <w:top w:val="nil"/>
              <w:left w:val="nil"/>
              <w:bottom w:val="nil"/>
              <w:right w:val="nil"/>
            </w:tcBorders>
            <w:noWrap/>
            <w:hideMark/>
          </w:tcPr>
          <w:p w14:paraId="4F5B1D4D"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148</w:t>
            </w:r>
          </w:p>
        </w:tc>
      </w:tr>
      <w:tr w:rsidR="00E91426" w:rsidRPr="00E91426" w14:paraId="474A56E9" w14:textId="77777777" w:rsidTr="00E91426">
        <w:trPr>
          <w:trHeight w:val="250"/>
        </w:trPr>
        <w:tc>
          <w:tcPr>
            <w:tcW w:w="7480" w:type="dxa"/>
            <w:tcBorders>
              <w:top w:val="nil"/>
              <w:left w:val="nil"/>
              <w:bottom w:val="nil"/>
              <w:right w:val="nil"/>
            </w:tcBorders>
            <w:hideMark/>
          </w:tcPr>
          <w:p w14:paraId="4B670E4C"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other auditor remuneration</w:t>
            </w:r>
          </w:p>
        </w:tc>
        <w:tc>
          <w:tcPr>
            <w:tcW w:w="940" w:type="dxa"/>
            <w:tcBorders>
              <w:top w:val="nil"/>
              <w:left w:val="nil"/>
              <w:bottom w:val="nil"/>
              <w:right w:val="nil"/>
            </w:tcBorders>
            <w:noWrap/>
            <w:hideMark/>
          </w:tcPr>
          <w:p w14:paraId="4B9C6009"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222" w:type="dxa"/>
            <w:tcBorders>
              <w:top w:val="nil"/>
              <w:left w:val="nil"/>
              <w:bottom w:val="nil"/>
              <w:right w:val="nil"/>
            </w:tcBorders>
            <w:noWrap/>
            <w:hideMark/>
          </w:tcPr>
          <w:p w14:paraId="491D1EB9"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00" w:type="dxa"/>
            <w:tcBorders>
              <w:top w:val="nil"/>
              <w:left w:val="nil"/>
              <w:bottom w:val="nil"/>
              <w:right w:val="nil"/>
            </w:tcBorders>
            <w:noWrap/>
            <w:hideMark/>
          </w:tcPr>
          <w:p w14:paraId="7D3076CB"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r>
      <w:tr w:rsidR="00E91426" w:rsidRPr="00E91426" w14:paraId="4EB615C8" w14:textId="77777777" w:rsidTr="00E91426">
        <w:trPr>
          <w:trHeight w:val="250"/>
        </w:trPr>
        <w:tc>
          <w:tcPr>
            <w:tcW w:w="7480" w:type="dxa"/>
            <w:tcBorders>
              <w:top w:val="nil"/>
              <w:left w:val="nil"/>
              <w:bottom w:val="nil"/>
              <w:right w:val="nil"/>
            </w:tcBorders>
            <w:hideMark/>
          </w:tcPr>
          <w:p w14:paraId="09F50A94"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Internal audit costs</w:t>
            </w:r>
          </w:p>
        </w:tc>
        <w:tc>
          <w:tcPr>
            <w:tcW w:w="940" w:type="dxa"/>
            <w:tcBorders>
              <w:top w:val="nil"/>
              <w:left w:val="nil"/>
              <w:bottom w:val="nil"/>
              <w:right w:val="nil"/>
            </w:tcBorders>
            <w:noWrap/>
            <w:hideMark/>
          </w:tcPr>
          <w:p w14:paraId="18A392C1"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125</w:t>
            </w:r>
          </w:p>
        </w:tc>
        <w:tc>
          <w:tcPr>
            <w:tcW w:w="222" w:type="dxa"/>
            <w:tcBorders>
              <w:top w:val="nil"/>
              <w:left w:val="nil"/>
              <w:bottom w:val="nil"/>
              <w:right w:val="nil"/>
            </w:tcBorders>
            <w:noWrap/>
            <w:hideMark/>
          </w:tcPr>
          <w:p w14:paraId="5641B86C"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00" w:type="dxa"/>
            <w:tcBorders>
              <w:top w:val="nil"/>
              <w:left w:val="nil"/>
              <w:bottom w:val="nil"/>
              <w:right w:val="nil"/>
            </w:tcBorders>
            <w:noWrap/>
            <w:hideMark/>
          </w:tcPr>
          <w:p w14:paraId="324CFDEC"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62</w:t>
            </w:r>
          </w:p>
        </w:tc>
      </w:tr>
      <w:tr w:rsidR="00E91426" w:rsidRPr="00E91426" w14:paraId="39486E91" w14:textId="77777777" w:rsidTr="00E91426">
        <w:trPr>
          <w:trHeight w:val="250"/>
        </w:trPr>
        <w:tc>
          <w:tcPr>
            <w:tcW w:w="7480" w:type="dxa"/>
            <w:tcBorders>
              <w:top w:val="nil"/>
              <w:left w:val="nil"/>
              <w:bottom w:val="nil"/>
              <w:right w:val="nil"/>
            </w:tcBorders>
            <w:hideMark/>
          </w:tcPr>
          <w:p w14:paraId="3A6E8BB3"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Clinical negligence</w:t>
            </w:r>
          </w:p>
        </w:tc>
        <w:tc>
          <w:tcPr>
            <w:tcW w:w="940" w:type="dxa"/>
            <w:tcBorders>
              <w:top w:val="nil"/>
              <w:left w:val="nil"/>
              <w:bottom w:val="nil"/>
              <w:right w:val="nil"/>
            </w:tcBorders>
            <w:noWrap/>
            <w:hideMark/>
          </w:tcPr>
          <w:p w14:paraId="3DF21709"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18,059</w:t>
            </w:r>
          </w:p>
        </w:tc>
        <w:tc>
          <w:tcPr>
            <w:tcW w:w="222" w:type="dxa"/>
            <w:tcBorders>
              <w:top w:val="nil"/>
              <w:left w:val="nil"/>
              <w:bottom w:val="nil"/>
              <w:right w:val="nil"/>
            </w:tcBorders>
            <w:noWrap/>
            <w:hideMark/>
          </w:tcPr>
          <w:p w14:paraId="0B6A9947"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00" w:type="dxa"/>
            <w:tcBorders>
              <w:top w:val="nil"/>
              <w:left w:val="nil"/>
              <w:bottom w:val="nil"/>
              <w:right w:val="nil"/>
            </w:tcBorders>
            <w:noWrap/>
            <w:hideMark/>
          </w:tcPr>
          <w:p w14:paraId="1386E694"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16,787</w:t>
            </w:r>
          </w:p>
        </w:tc>
      </w:tr>
      <w:tr w:rsidR="00E91426" w:rsidRPr="00E91426" w14:paraId="65A81F3E" w14:textId="77777777" w:rsidTr="00E91426">
        <w:trPr>
          <w:trHeight w:val="250"/>
        </w:trPr>
        <w:tc>
          <w:tcPr>
            <w:tcW w:w="7480" w:type="dxa"/>
            <w:tcBorders>
              <w:top w:val="nil"/>
              <w:left w:val="nil"/>
              <w:bottom w:val="nil"/>
              <w:right w:val="nil"/>
            </w:tcBorders>
            <w:hideMark/>
          </w:tcPr>
          <w:p w14:paraId="2AC6905C"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Legal fees</w:t>
            </w:r>
          </w:p>
        </w:tc>
        <w:tc>
          <w:tcPr>
            <w:tcW w:w="940" w:type="dxa"/>
            <w:tcBorders>
              <w:top w:val="nil"/>
              <w:left w:val="nil"/>
              <w:bottom w:val="nil"/>
              <w:right w:val="nil"/>
            </w:tcBorders>
            <w:noWrap/>
            <w:hideMark/>
          </w:tcPr>
          <w:p w14:paraId="1E9CF18A"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285</w:t>
            </w:r>
          </w:p>
        </w:tc>
        <w:tc>
          <w:tcPr>
            <w:tcW w:w="222" w:type="dxa"/>
            <w:tcBorders>
              <w:top w:val="nil"/>
              <w:left w:val="nil"/>
              <w:bottom w:val="nil"/>
              <w:right w:val="nil"/>
            </w:tcBorders>
            <w:noWrap/>
            <w:hideMark/>
          </w:tcPr>
          <w:p w14:paraId="05EB05FD"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00" w:type="dxa"/>
            <w:tcBorders>
              <w:top w:val="nil"/>
              <w:left w:val="nil"/>
              <w:bottom w:val="nil"/>
              <w:right w:val="nil"/>
            </w:tcBorders>
            <w:noWrap/>
            <w:hideMark/>
          </w:tcPr>
          <w:p w14:paraId="24517FFF"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303</w:t>
            </w:r>
          </w:p>
        </w:tc>
      </w:tr>
      <w:tr w:rsidR="00E91426" w:rsidRPr="00E91426" w14:paraId="09390E1B" w14:textId="77777777" w:rsidTr="00E91426">
        <w:trPr>
          <w:trHeight w:val="250"/>
        </w:trPr>
        <w:tc>
          <w:tcPr>
            <w:tcW w:w="7480" w:type="dxa"/>
            <w:tcBorders>
              <w:top w:val="nil"/>
              <w:left w:val="nil"/>
              <w:bottom w:val="nil"/>
              <w:right w:val="nil"/>
            </w:tcBorders>
            <w:hideMark/>
          </w:tcPr>
          <w:p w14:paraId="7DC383E8"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Insurance</w:t>
            </w:r>
          </w:p>
        </w:tc>
        <w:tc>
          <w:tcPr>
            <w:tcW w:w="940" w:type="dxa"/>
            <w:tcBorders>
              <w:top w:val="nil"/>
              <w:left w:val="nil"/>
              <w:bottom w:val="nil"/>
              <w:right w:val="nil"/>
            </w:tcBorders>
            <w:noWrap/>
            <w:hideMark/>
          </w:tcPr>
          <w:p w14:paraId="50A85B2F"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288</w:t>
            </w:r>
          </w:p>
        </w:tc>
        <w:tc>
          <w:tcPr>
            <w:tcW w:w="222" w:type="dxa"/>
            <w:tcBorders>
              <w:top w:val="nil"/>
              <w:left w:val="nil"/>
              <w:bottom w:val="nil"/>
              <w:right w:val="nil"/>
            </w:tcBorders>
            <w:noWrap/>
            <w:hideMark/>
          </w:tcPr>
          <w:p w14:paraId="65BEF64F"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00" w:type="dxa"/>
            <w:tcBorders>
              <w:top w:val="nil"/>
              <w:left w:val="nil"/>
              <w:bottom w:val="nil"/>
              <w:right w:val="nil"/>
            </w:tcBorders>
            <w:noWrap/>
            <w:hideMark/>
          </w:tcPr>
          <w:p w14:paraId="69FC258A"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270</w:t>
            </w:r>
          </w:p>
        </w:tc>
      </w:tr>
      <w:tr w:rsidR="00E91426" w:rsidRPr="00E91426" w14:paraId="5F1B6D08" w14:textId="77777777" w:rsidTr="00E91426">
        <w:trPr>
          <w:trHeight w:val="250"/>
        </w:trPr>
        <w:tc>
          <w:tcPr>
            <w:tcW w:w="7480" w:type="dxa"/>
            <w:tcBorders>
              <w:top w:val="nil"/>
              <w:left w:val="nil"/>
              <w:bottom w:val="nil"/>
              <w:right w:val="nil"/>
            </w:tcBorders>
            <w:hideMark/>
          </w:tcPr>
          <w:p w14:paraId="6CDED5A8"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Research and development</w:t>
            </w:r>
          </w:p>
        </w:tc>
        <w:tc>
          <w:tcPr>
            <w:tcW w:w="940" w:type="dxa"/>
            <w:tcBorders>
              <w:top w:val="nil"/>
              <w:left w:val="nil"/>
              <w:bottom w:val="nil"/>
              <w:right w:val="nil"/>
            </w:tcBorders>
            <w:noWrap/>
            <w:hideMark/>
          </w:tcPr>
          <w:p w14:paraId="3BB7828C"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1,475</w:t>
            </w:r>
          </w:p>
        </w:tc>
        <w:tc>
          <w:tcPr>
            <w:tcW w:w="222" w:type="dxa"/>
            <w:tcBorders>
              <w:top w:val="nil"/>
              <w:left w:val="nil"/>
              <w:bottom w:val="nil"/>
              <w:right w:val="nil"/>
            </w:tcBorders>
            <w:noWrap/>
            <w:hideMark/>
          </w:tcPr>
          <w:p w14:paraId="0A17F9B9"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00" w:type="dxa"/>
            <w:tcBorders>
              <w:top w:val="nil"/>
              <w:left w:val="nil"/>
              <w:bottom w:val="nil"/>
              <w:right w:val="nil"/>
            </w:tcBorders>
            <w:noWrap/>
            <w:hideMark/>
          </w:tcPr>
          <w:p w14:paraId="54D3DEE9"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1,403</w:t>
            </w:r>
          </w:p>
        </w:tc>
      </w:tr>
      <w:tr w:rsidR="00E91426" w:rsidRPr="00E91426" w14:paraId="05CD7CA0" w14:textId="77777777" w:rsidTr="00E91426">
        <w:trPr>
          <w:trHeight w:val="250"/>
        </w:trPr>
        <w:tc>
          <w:tcPr>
            <w:tcW w:w="7480" w:type="dxa"/>
            <w:tcBorders>
              <w:top w:val="nil"/>
              <w:left w:val="nil"/>
              <w:bottom w:val="nil"/>
              <w:right w:val="nil"/>
            </w:tcBorders>
            <w:hideMark/>
          </w:tcPr>
          <w:p w14:paraId="3A32A453"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Education and training</w:t>
            </w:r>
          </w:p>
        </w:tc>
        <w:tc>
          <w:tcPr>
            <w:tcW w:w="940" w:type="dxa"/>
            <w:tcBorders>
              <w:top w:val="nil"/>
              <w:left w:val="nil"/>
              <w:bottom w:val="nil"/>
              <w:right w:val="nil"/>
            </w:tcBorders>
            <w:noWrap/>
            <w:hideMark/>
          </w:tcPr>
          <w:p w14:paraId="43D6C484"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10,846</w:t>
            </w:r>
          </w:p>
        </w:tc>
        <w:tc>
          <w:tcPr>
            <w:tcW w:w="222" w:type="dxa"/>
            <w:tcBorders>
              <w:top w:val="nil"/>
              <w:left w:val="nil"/>
              <w:bottom w:val="nil"/>
              <w:right w:val="nil"/>
            </w:tcBorders>
            <w:noWrap/>
            <w:hideMark/>
          </w:tcPr>
          <w:p w14:paraId="213DD6EB"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00" w:type="dxa"/>
            <w:tcBorders>
              <w:top w:val="nil"/>
              <w:left w:val="nil"/>
              <w:bottom w:val="nil"/>
              <w:right w:val="nil"/>
            </w:tcBorders>
            <w:noWrap/>
            <w:hideMark/>
          </w:tcPr>
          <w:p w14:paraId="5C6ABC7A"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8,342</w:t>
            </w:r>
          </w:p>
        </w:tc>
      </w:tr>
      <w:tr w:rsidR="00E91426" w:rsidRPr="00E91426" w14:paraId="77677DE7" w14:textId="77777777" w:rsidTr="00E91426">
        <w:trPr>
          <w:trHeight w:val="250"/>
        </w:trPr>
        <w:tc>
          <w:tcPr>
            <w:tcW w:w="7480" w:type="dxa"/>
            <w:tcBorders>
              <w:top w:val="nil"/>
              <w:left w:val="nil"/>
              <w:bottom w:val="nil"/>
              <w:right w:val="nil"/>
            </w:tcBorders>
            <w:hideMark/>
          </w:tcPr>
          <w:p w14:paraId="3732B39B"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Lease expenditure (short term, low value)</w:t>
            </w:r>
          </w:p>
        </w:tc>
        <w:tc>
          <w:tcPr>
            <w:tcW w:w="940" w:type="dxa"/>
            <w:tcBorders>
              <w:top w:val="nil"/>
              <w:left w:val="nil"/>
              <w:bottom w:val="nil"/>
              <w:right w:val="nil"/>
            </w:tcBorders>
            <w:noWrap/>
            <w:hideMark/>
          </w:tcPr>
          <w:p w14:paraId="2F2124F7"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220</w:t>
            </w:r>
          </w:p>
        </w:tc>
        <w:tc>
          <w:tcPr>
            <w:tcW w:w="222" w:type="dxa"/>
            <w:tcBorders>
              <w:top w:val="nil"/>
              <w:left w:val="nil"/>
              <w:bottom w:val="nil"/>
              <w:right w:val="nil"/>
            </w:tcBorders>
            <w:noWrap/>
            <w:hideMark/>
          </w:tcPr>
          <w:p w14:paraId="2593E189"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00" w:type="dxa"/>
            <w:tcBorders>
              <w:top w:val="nil"/>
              <w:left w:val="nil"/>
              <w:bottom w:val="nil"/>
              <w:right w:val="nil"/>
            </w:tcBorders>
            <w:noWrap/>
            <w:hideMark/>
          </w:tcPr>
          <w:p w14:paraId="35401B63"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111</w:t>
            </w:r>
          </w:p>
        </w:tc>
      </w:tr>
      <w:tr w:rsidR="00E91426" w:rsidRPr="00E91426" w14:paraId="0922DEFD" w14:textId="77777777" w:rsidTr="00E91426">
        <w:trPr>
          <w:trHeight w:val="250"/>
        </w:trPr>
        <w:tc>
          <w:tcPr>
            <w:tcW w:w="7480" w:type="dxa"/>
            <w:tcBorders>
              <w:top w:val="nil"/>
              <w:left w:val="nil"/>
              <w:bottom w:val="nil"/>
              <w:right w:val="nil"/>
            </w:tcBorders>
            <w:hideMark/>
          </w:tcPr>
          <w:p w14:paraId="5855F80F"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 xml:space="preserve">Redundancy </w:t>
            </w:r>
          </w:p>
        </w:tc>
        <w:tc>
          <w:tcPr>
            <w:tcW w:w="940" w:type="dxa"/>
            <w:tcBorders>
              <w:top w:val="nil"/>
              <w:left w:val="nil"/>
              <w:bottom w:val="nil"/>
              <w:right w:val="nil"/>
            </w:tcBorders>
            <w:noWrap/>
            <w:hideMark/>
          </w:tcPr>
          <w:p w14:paraId="751A3C13"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222" w:type="dxa"/>
            <w:tcBorders>
              <w:top w:val="nil"/>
              <w:left w:val="nil"/>
              <w:bottom w:val="nil"/>
              <w:right w:val="nil"/>
            </w:tcBorders>
            <w:noWrap/>
            <w:hideMark/>
          </w:tcPr>
          <w:p w14:paraId="0A7FA2EF"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00" w:type="dxa"/>
            <w:tcBorders>
              <w:top w:val="nil"/>
              <w:left w:val="nil"/>
              <w:bottom w:val="nil"/>
              <w:right w:val="nil"/>
            </w:tcBorders>
            <w:noWrap/>
            <w:hideMark/>
          </w:tcPr>
          <w:p w14:paraId="5D9A7261"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50</w:t>
            </w:r>
          </w:p>
        </w:tc>
      </w:tr>
      <w:tr w:rsidR="00E91426" w:rsidRPr="00E91426" w14:paraId="703EF728" w14:textId="77777777" w:rsidTr="00E91426">
        <w:trPr>
          <w:trHeight w:val="250"/>
        </w:trPr>
        <w:tc>
          <w:tcPr>
            <w:tcW w:w="7480" w:type="dxa"/>
            <w:tcBorders>
              <w:top w:val="nil"/>
              <w:left w:val="nil"/>
              <w:bottom w:val="nil"/>
              <w:right w:val="nil"/>
            </w:tcBorders>
            <w:hideMark/>
          </w:tcPr>
          <w:p w14:paraId="19D14B08"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Car parking &amp; security</w:t>
            </w:r>
          </w:p>
        </w:tc>
        <w:tc>
          <w:tcPr>
            <w:tcW w:w="940" w:type="dxa"/>
            <w:tcBorders>
              <w:top w:val="nil"/>
              <w:left w:val="nil"/>
              <w:bottom w:val="nil"/>
              <w:right w:val="nil"/>
            </w:tcBorders>
            <w:noWrap/>
            <w:hideMark/>
          </w:tcPr>
          <w:p w14:paraId="0D383173"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293</w:t>
            </w:r>
          </w:p>
        </w:tc>
        <w:tc>
          <w:tcPr>
            <w:tcW w:w="222" w:type="dxa"/>
            <w:tcBorders>
              <w:top w:val="nil"/>
              <w:left w:val="nil"/>
              <w:bottom w:val="nil"/>
              <w:right w:val="nil"/>
            </w:tcBorders>
            <w:noWrap/>
            <w:hideMark/>
          </w:tcPr>
          <w:p w14:paraId="3FCDBD74"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00" w:type="dxa"/>
            <w:tcBorders>
              <w:top w:val="nil"/>
              <w:left w:val="nil"/>
              <w:bottom w:val="nil"/>
              <w:right w:val="nil"/>
            </w:tcBorders>
            <w:noWrap/>
            <w:hideMark/>
          </w:tcPr>
          <w:p w14:paraId="52E9D937"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281</w:t>
            </w:r>
          </w:p>
        </w:tc>
      </w:tr>
      <w:tr w:rsidR="00E91426" w:rsidRPr="00E91426" w14:paraId="4D637C82" w14:textId="77777777" w:rsidTr="00E91426">
        <w:trPr>
          <w:trHeight w:val="250"/>
        </w:trPr>
        <w:tc>
          <w:tcPr>
            <w:tcW w:w="7480" w:type="dxa"/>
            <w:tcBorders>
              <w:top w:val="nil"/>
              <w:left w:val="nil"/>
              <w:bottom w:val="nil"/>
              <w:right w:val="nil"/>
            </w:tcBorders>
            <w:hideMark/>
          </w:tcPr>
          <w:p w14:paraId="3A9CB41D"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 xml:space="preserve">Hospitality </w:t>
            </w:r>
          </w:p>
        </w:tc>
        <w:tc>
          <w:tcPr>
            <w:tcW w:w="940" w:type="dxa"/>
            <w:tcBorders>
              <w:top w:val="nil"/>
              <w:left w:val="nil"/>
              <w:bottom w:val="nil"/>
              <w:right w:val="nil"/>
            </w:tcBorders>
            <w:noWrap/>
            <w:hideMark/>
          </w:tcPr>
          <w:p w14:paraId="28B69CAB"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11</w:t>
            </w:r>
          </w:p>
        </w:tc>
        <w:tc>
          <w:tcPr>
            <w:tcW w:w="222" w:type="dxa"/>
            <w:tcBorders>
              <w:top w:val="nil"/>
              <w:left w:val="nil"/>
              <w:bottom w:val="nil"/>
              <w:right w:val="nil"/>
            </w:tcBorders>
            <w:noWrap/>
            <w:hideMark/>
          </w:tcPr>
          <w:p w14:paraId="00A527B0"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00" w:type="dxa"/>
            <w:tcBorders>
              <w:top w:val="nil"/>
              <w:left w:val="nil"/>
              <w:bottom w:val="nil"/>
              <w:right w:val="nil"/>
            </w:tcBorders>
            <w:noWrap/>
            <w:hideMark/>
          </w:tcPr>
          <w:p w14:paraId="5AF03D10"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17</w:t>
            </w:r>
          </w:p>
        </w:tc>
      </w:tr>
      <w:tr w:rsidR="00E91426" w:rsidRPr="00E91426" w14:paraId="6205BF08" w14:textId="77777777" w:rsidTr="00E91426">
        <w:trPr>
          <w:trHeight w:val="250"/>
        </w:trPr>
        <w:tc>
          <w:tcPr>
            <w:tcW w:w="7480" w:type="dxa"/>
            <w:tcBorders>
              <w:top w:val="nil"/>
              <w:left w:val="nil"/>
              <w:bottom w:val="nil"/>
              <w:right w:val="nil"/>
            </w:tcBorders>
            <w:hideMark/>
          </w:tcPr>
          <w:p w14:paraId="7CAC6987"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Losses, ex gratia &amp; special payments</w:t>
            </w:r>
          </w:p>
        </w:tc>
        <w:tc>
          <w:tcPr>
            <w:tcW w:w="940" w:type="dxa"/>
            <w:tcBorders>
              <w:top w:val="nil"/>
              <w:left w:val="nil"/>
              <w:bottom w:val="nil"/>
              <w:right w:val="nil"/>
            </w:tcBorders>
            <w:noWrap/>
            <w:hideMark/>
          </w:tcPr>
          <w:p w14:paraId="7D596C3B"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743</w:t>
            </w:r>
          </w:p>
        </w:tc>
        <w:tc>
          <w:tcPr>
            <w:tcW w:w="222" w:type="dxa"/>
            <w:tcBorders>
              <w:top w:val="nil"/>
              <w:left w:val="nil"/>
              <w:bottom w:val="nil"/>
              <w:right w:val="nil"/>
            </w:tcBorders>
            <w:noWrap/>
            <w:hideMark/>
          </w:tcPr>
          <w:p w14:paraId="6A9A0DF0"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00" w:type="dxa"/>
            <w:tcBorders>
              <w:top w:val="nil"/>
              <w:left w:val="nil"/>
              <w:bottom w:val="nil"/>
              <w:right w:val="nil"/>
            </w:tcBorders>
            <w:noWrap/>
            <w:hideMark/>
          </w:tcPr>
          <w:p w14:paraId="3315AFCB"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295</w:t>
            </w:r>
          </w:p>
        </w:tc>
      </w:tr>
      <w:tr w:rsidR="00E91426" w:rsidRPr="00E91426" w14:paraId="439080ED" w14:textId="77777777" w:rsidTr="00E91426">
        <w:trPr>
          <w:trHeight w:val="250"/>
        </w:trPr>
        <w:tc>
          <w:tcPr>
            <w:tcW w:w="7480" w:type="dxa"/>
            <w:tcBorders>
              <w:top w:val="nil"/>
              <w:left w:val="nil"/>
              <w:bottom w:val="nil"/>
              <w:right w:val="nil"/>
            </w:tcBorders>
            <w:hideMark/>
          </w:tcPr>
          <w:p w14:paraId="117E9044"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Other services, e.g. external payroll</w:t>
            </w:r>
          </w:p>
        </w:tc>
        <w:tc>
          <w:tcPr>
            <w:tcW w:w="940" w:type="dxa"/>
            <w:tcBorders>
              <w:top w:val="nil"/>
              <w:left w:val="nil"/>
              <w:bottom w:val="nil"/>
              <w:right w:val="nil"/>
            </w:tcBorders>
            <w:noWrap/>
            <w:hideMark/>
          </w:tcPr>
          <w:p w14:paraId="3F714BEE"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507</w:t>
            </w:r>
          </w:p>
        </w:tc>
        <w:tc>
          <w:tcPr>
            <w:tcW w:w="222" w:type="dxa"/>
            <w:tcBorders>
              <w:top w:val="nil"/>
              <w:left w:val="nil"/>
              <w:bottom w:val="nil"/>
              <w:right w:val="nil"/>
            </w:tcBorders>
            <w:noWrap/>
            <w:hideMark/>
          </w:tcPr>
          <w:p w14:paraId="787AD162"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00" w:type="dxa"/>
            <w:tcBorders>
              <w:top w:val="nil"/>
              <w:left w:val="nil"/>
              <w:bottom w:val="nil"/>
              <w:right w:val="nil"/>
            </w:tcBorders>
            <w:noWrap/>
            <w:hideMark/>
          </w:tcPr>
          <w:p w14:paraId="1ABF9A55"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414</w:t>
            </w:r>
          </w:p>
        </w:tc>
      </w:tr>
      <w:tr w:rsidR="00E91426" w:rsidRPr="00E91426" w14:paraId="4A167914" w14:textId="77777777" w:rsidTr="00E91426">
        <w:trPr>
          <w:trHeight w:val="250"/>
        </w:trPr>
        <w:tc>
          <w:tcPr>
            <w:tcW w:w="7480" w:type="dxa"/>
            <w:tcBorders>
              <w:top w:val="nil"/>
              <w:left w:val="nil"/>
              <w:bottom w:val="nil"/>
              <w:right w:val="nil"/>
            </w:tcBorders>
            <w:hideMark/>
          </w:tcPr>
          <w:p w14:paraId="19AED9F8"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Other</w:t>
            </w:r>
          </w:p>
        </w:tc>
        <w:tc>
          <w:tcPr>
            <w:tcW w:w="940" w:type="dxa"/>
            <w:tcBorders>
              <w:top w:val="nil"/>
              <w:left w:val="nil"/>
              <w:bottom w:val="nil"/>
              <w:right w:val="nil"/>
            </w:tcBorders>
            <w:noWrap/>
            <w:hideMark/>
          </w:tcPr>
          <w:p w14:paraId="63ECB8B6"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1,202</w:t>
            </w:r>
          </w:p>
        </w:tc>
        <w:tc>
          <w:tcPr>
            <w:tcW w:w="222" w:type="dxa"/>
            <w:tcBorders>
              <w:top w:val="nil"/>
              <w:left w:val="nil"/>
              <w:bottom w:val="nil"/>
              <w:right w:val="nil"/>
            </w:tcBorders>
            <w:noWrap/>
            <w:hideMark/>
          </w:tcPr>
          <w:p w14:paraId="0B77121C"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00" w:type="dxa"/>
            <w:tcBorders>
              <w:top w:val="nil"/>
              <w:left w:val="nil"/>
              <w:bottom w:val="nil"/>
              <w:right w:val="nil"/>
            </w:tcBorders>
            <w:noWrap/>
            <w:hideMark/>
          </w:tcPr>
          <w:p w14:paraId="71FE768A"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1,194</w:t>
            </w:r>
          </w:p>
        </w:tc>
      </w:tr>
      <w:tr w:rsidR="00E91426" w:rsidRPr="00E91426" w14:paraId="1A578C68" w14:textId="77777777" w:rsidTr="00E91426">
        <w:trPr>
          <w:trHeight w:val="283"/>
        </w:trPr>
        <w:tc>
          <w:tcPr>
            <w:tcW w:w="7480" w:type="dxa"/>
            <w:tcBorders>
              <w:top w:val="nil"/>
              <w:left w:val="nil"/>
              <w:bottom w:val="nil"/>
              <w:right w:val="nil"/>
            </w:tcBorders>
            <w:noWrap/>
            <w:hideMark/>
          </w:tcPr>
          <w:p w14:paraId="5B2FD24D"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Total</w:t>
            </w:r>
          </w:p>
        </w:tc>
        <w:tc>
          <w:tcPr>
            <w:tcW w:w="940" w:type="dxa"/>
            <w:tcBorders>
              <w:top w:val="single" w:sz="4" w:space="0" w:color="auto"/>
              <w:left w:val="nil"/>
              <w:bottom w:val="double" w:sz="6" w:space="0" w:color="auto"/>
              <w:right w:val="nil"/>
            </w:tcBorders>
            <w:noWrap/>
            <w:hideMark/>
          </w:tcPr>
          <w:p w14:paraId="54A3AC3D"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527,980</w:t>
            </w:r>
          </w:p>
        </w:tc>
        <w:tc>
          <w:tcPr>
            <w:tcW w:w="222" w:type="dxa"/>
            <w:tcBorders>
              <w:top w:val="nil"/>
              <w:left w:val="nil"/>
              <w:bottom w:val="nil"/>
              <w:right w:val="nil"/>
            </w:tcBorders>
            <w:noWrap/>
            <w:hideMark/>
          </w:tcPr>
          <w:p w14:paraId="261378F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000" w:type="dxa"/>
            <w:tcBorders>
              <w:top w:val="single" w:sz="4" w:space="0" w:color="auto"/>
              <w:left w:val="nil"/>
              <w:bottom w:val="double" w:sz="6" w:space="0" w:color="auto"/>
              <w:right w:val="nil"/>
            </w:tcBorders>
            <w:noWrap/>
            <w:hideMark/>
          </w:tcPr>
          <w:p w14:paraId="5413E57B"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487,131</w:t>
            </w:r>
          </w:p>
        </w:tc>
      </w:tr>
    </w:tbl>
    <w:p w14:paraId="2BB23AC3" w14:textId="77777777" w:rsidR="00E91426" w:rsidRPr="00E91426" w:rsidRDefault="00E91426" w:rsidP="00E91426">
      <w:pPr>
        <w:widowControl/>
        <w:spacing w:after="160" w:line="259" w:lineRule="auto"/>
        <w:rPr>
          <w:rFonts w:ascii="Arial" w:eastAsia="Calibri" w:hAnsi="Arial" w:cs="Arial"/>
          <w:sz w:val="20"/>
          <w:szCs w:val="20"/>
          <w:vertAlign w:val="superscript"/>
          <w:lang w:val="en-GB"/>
        </w:rPr>
      </w:pPr>
    </w:p>
    <w:p w14:paraId="6F852188" w14:textId="77777777" w:rsidR="00E91426" w:rsidRPr="00E91426" w:rsidRDefault="00E91426" w:rsidP="00E91426">
      <w:pPr>
        <w:widowControl/>
        <w:spacing w:after="160" w:line="259" w:lineRule="auto"/>
        <w:rPr>
          <w:rFonts w:ascii="Calibri" w:eastAsia="Calibri" w:hAnsi="Calibri" w:cs="Times New Roman"/>
          <w:sz w:val="18"/>
          <w:szCs w:val="18"/>
          <w:lang w:val="en-GB"/>
        </w:rPr>
      </w:pPr>
      <w:r w:rsidRPr="00E91426">
        <w:rPr>
          <w:rFonts w:ascii="Arial" w:eastAsia="Calibri" w:hAnsi="Arial" w:cs="Arial"/>
          <w:sz w:val="18"/>
          <w:szCs w:val="18"/>
          <w:vertAlign w:val="superscript"/>
          <w:lang w:val="en-GB"/>
        </w:rPr>
        <w:t>1</w:t>
      </w:r>
      <w:r w:rsidRPr="00E91426">
        <w:rPr>
          <w:rFonts w:ascii="Arial" w:eastAsia="Calibri" w:hAnsi="Arial" w:cs="Arial"/>
          <w:sz w:val="18"/>
          <w:szCs w:val="18"/>
          <w:lang w:val="en-GB"/>
        </w:rPr>
        <w:t xml:space="preserve">Staff and executive </w:t>
      </w:r>
      <w:proofErr w:type="gramStart"/>
      <w:r w:rsidRPr="00E91426">
        <w:rPr>
          <w:rFonts w:ascii="Arial" w:eastAsia="Calibri" w:hAnsi="Arial" w:cs="Arial"/>
          <w:sz w:val="18"/>
          <w:szCs w:val="18"/>
          <w:lang w:val="en-GB"/>
        </w:rPr>
        <w:t>directors</w:t>
      </w:r>
      <w:proofErr w:type="gramEnd"/>
      <w:r w:rsidRPr="00E91426">
        <w:rPr>
          <w:rFonts w:ascii="Arial" w:eastAsia="Calibri" w:hAnsi="Arial" w:cs="Arial"/>
          <w:sz w:val="18"/>
          <w:szCs w:val="18"/>
          <w:lang w:val="en-GB"/>
        </w:rPr>
        <w:t xml:space="preserve"> costs - excluded from this are Research and development costs, non-</w:t>
      </w:r>
      <w:proofErr w:type="gramStart"/>
      <w:r w:rsidRPr="00E91426">
        <w:rPr>
          <w:rFonts w:ascii="Arial" w:eastAsia="Calibri" w:hAnsi="Arial" w:cs="Arial"/>
          <w:sz w:val="18"/>
          <w:szCs w:val="18"/>
          <w:lang w:val="en-GB"/>
        </w:rPr>
        <w:t>executives</w:t>
      </w:r>
      <w:proofErr w:type="gramEnd"/>
      <w:r w:rsidRPr="00E91426">
        <w:rPr>
          <w:rFonts w:ascii="Arial" w:eastAsia="Calibri" w:hAnsi="Arial" w:cs="Arial"/>
          <w:sz w:val="18"/>
          <w:szCs w:val="18"/>
          <w:lang w:val="en-GB"/>
        </w:rPr>
        <w:t xml:space="preserve"> costs and Education and training costs, as they are reported separately.</w:t>
      </w:r>
      <w:r w:rsidRPr="00E91426">
        <w:rPr>
          <w:rFonts w:ascii="Calibri" w:eastAsia="Calibri" w:hAnsi="Calibri" w:cs="Times New Roman"/>
          <w:sz w:val="18"/>
          <w:szCs w:val="18"/>
          <w:lang w:val="en-GB"/>
        </w:rPr>
        <w:t xml:space="preserve"> </w:t>
      </w:r>
      <w:r w:rsidRPr="00E91426">
        <w:rPr>
          <w:rFonts w:ascii="Arial" w:eastAsia="Calibri" w:hAnsi="Arial" w:cs="Arial"/>
          <w:sz w:val="18"/>
          <w:szCs w:val="18"/>
          <w:lang w:val="en-GB"/>
        </w:rPr>
        <w:t>This includes £17,984k (2023/24 £10,930k) relating to pensions increase paid directly by NHS England.</w:t>
      </w:r>
    </w:p>
    <w:p w14:paraId="61643E50" w14:textId="77777777" w:rsidR="00E91426" w:rsidRPr="00E91426" w:rsidRDefault="00E91426" w:rsidP="00E91426">
      <w:pPr>
        <w:widowControl/>
        <w:spacing w:after="160" w:line="259" w:lineRule="auto"/>
        <w:rPr>
          <w:rFonts w:ascii="Arial" w:eastAsia="Calibri" w:hAnsi="Arial" w:cs="Arial"/>
          <w:sz w:val="18"/>
          <w:szCs w:val="18"/>
          <w:lang w:val="en-GB"/>
        </w:rPr>
      </w:pPr>
      <w:r w:rsidRPr="00E91426">
        <w:rPr>
          <w:rFonts w:ascii="Arial" w:eastAsia="Calibri" w:hAnsi="Arial" w:cs="Arial"/>
          <w:sz w:val="18"/>
          <w:szCs w:val="18"/>
          <w:vertAlign w:val="superscript"/>
          <w:lang w:val="en-GB"/>
        </w:rPr>
        <w:t>2</w:t>
      </w:r>
      <w:r w:rsidRPr="00E91426">
        <w:rPr>
          <w:rFonts w:ascii="Arial" w:eastAsia="Calibri" w:hAnsi="Arial" w:cs="Arial"/>
          <w:sz w:val="18"/>
          <w:szCs w:val="18"/>
          <w:lang w:val="en-GB"/>
        </w:rPr>
        <w:t>Net movement in credit losses. Credit risk is only associated with Non-NHS receivables.</w:t>
      </w:r>
    </w:p>
    <w:p w14:paraId="5DB77015" w14:textId="77777777" w:rsidR="00E91426" w:rsidRPr="00E91426" w:rsidRDefault="00E91426" w:rsidP="00E91426">
      <w:pPr>
        <w:widowControl/>
        <w:spacing w:after="160" w:line="259" w:lineRule="auto"/>
        <w:rPr>
          <w:rFonts w:ascii="Arial" w:eastAsia="Calibri" w:hAnsi="Arial" w:cs="Arial"/>
          <w:sz w:val="18"/>
          <w:szCs w:val="18"/>
          <w:lang w:val="en-GB"/>
        </w:rPr>
      </w:pPr>
      <w:r w:rsidRPr="00E91426">
        <w:rPr>
          <w:rFonts w:ascii="Arial" w:eastAsia="Calibri" w:hAnsi="Arial" w:cs="Arial"/>
          <w:sz w:val="18"/>
          <w:szCs w:val="18"/>
          <w:vertAlign w:val="superscript"/>
          <w:lang w:val="en-GB"/>
        </w:rPr>
        <w:t>3</w:t>
      </w:r>
      <w:r w:rsidRPr="00E91426">
        <w:rPr>
          <w:rFonts w:ascii="Arial" w:eastAsia="Calibri" w:hAnsi="Arial" w:cs="Arial"/>
          <w:sz w:val="18"/>
          <w:szCs w:val="18"/>
          <w:lang w:val="en-GB"/>
        </w:rPr>
        <w:t>Audit Fees are inclusive of VAT.</w:t>
      </w:r>
    </w:p>
    <w:p w14:paraId="6153BA7B" w14:textId="77777777" w:rsidR="00E91426" w:rsidRPr="00E91426" w:rsidRDefault="00E91426" w:rsidP="00E91426">
      <w:pPr>
        <w:widowControl/>
        <w:spacing w:after="160" w:line="259" w:lineRule="auto"/>
        <w:rPr>
          <w:rFonts w:ascii="Arial" w:eastAsia="Calibri" w:hAnsi="Arial" w:cs="Arial"/>
          <w:sz w:val="20"/>
          <w:szCs w:val="20"/>
          <w:lang w:val="en-GB"/>
        </w:rPr>
      </w:pPr>
    </w:p>
    <w:tbl>
      <w:tblPr>
        <w:tblW w:w="9520" w:type="dxa"/>
        <w:tblLook w:val="04A0" w:firstRow="1" w:lastRow="0" w:firstColumn="1" w:lastColumn="0" w:noHBand="0" w:noVBand="1"/>
      </w:tblPr>
      <w:tblGrid>
        <w:gridCol w:w="7381"/>
        <w:gridCol w:w="929"/>
        <w:gridCol w:w="222"/>
        <w:gridCol w:w="988"/>
      </w:tblGrid>
      <w:tr w:rsidR="00E91426" w:rsidRPr="00E91426" w14:paraId="3AF9F259" w14:textId="77777777" w:rsidTr="00E91426">
        <w:trPr>
          <w:trHeight w:val="283"/>
        </w:trPr>
        <w:tc>
          <w:tcPr>
            <w:tcW w:w="7480" w:type="dxa"/>
            <w:tcBorders>
              <w:top w:val="nil"/>
              <w:left w:val="nil"/>
              <w:bottom w:val="nil"/>
              <w:right w:val="nil"/>
            </w:tcBorders>
            <w:hideMark/>
          </w:tcPr>
          <w:p w14:paraId="6425ED41" w14:textId="77777777" w:rsidR="00E91426" w:rsidRPr="00E91426" w:rsidRDefault="00E91426" w:rsidP="00E91426">
            <w:pPr>
              <w:widowControl/>
              <w:jc w:val="both"/>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Note 5.1 Limitation on auditor's liability</w:t>
            </w:r>
          </w:p>
        </w:tc>
        <w:tc>
          <w:tcPr>
            <w:tcW w:w="940" w:type="dxa"/>
            <w:tcBorders>
              <w:top w:val="nil"/>
              <w:left w:val="nil"/>
              <w:bottom w:val="nil"/>
              <w:right w:val="nil"/>
            </w:tcBorders>
            <w:hideMark/>
          </w:tcPr>
          <w:p w14:paraId="1E0BB806" w14:textId="77777777" w:rsidR="00E91426" w:rsidRPr="00E91426" w:rsidRDefault="00E91426" w:rsidP="00E91426">
            <w:pPr>
              <w:widowControl/>
              <w:jc w:val="both"/>
              <w:rPr>
                <w:rFonts w:ascii="Arial" w:eastAsia="Times New Roman" w:hAnsi="Arial" w:cs="Arial"/>
                <w:b/>
                <w:bCs/>
                <w:color w:val="000000"/>
                <w:sz w:val="20"/>
                <w:szCs w:val="20"/>
                <w:lang w:val="en-GB" w:eastAsia="en-GB"/>
              </w:rPr>
            </w:pPr>
          </w:p>
        </w:tc>
        <w:tc>
          <w:tcPr>
            <w:tcW w:w="100" w:type="dxa"/>
            <w:tcBorders>
              <w:top w:val="nil"/>
              <w:left w:val="nil"/>
              <w:bottom w:val="nil"/>
              <w:right w:val="nil"/>
            </w:tcBorders>
            <w:hideMark/>
          </w:tcPr>
          <w:p w14:paraId="429F76C0" w14:textId="77777777" w:rsidR="00E91426" w:rsidRPr="00E91426" w:rsidRDefault="00E91426" w:rsidP="00E91426">
            <w:pPr>
              <w:widowControl/>
              <w:jc w:val="both"/>
              <w:rPr>
                <w:rFonts w:ascii="Times New Roman" w:eastAsia="Times New Roman" w:hAnsi="Times New Roman" w:cs="Times New Roman"/>
                <w:sz w:val="20"/>
                <w:szCs w:val="20"/>
                <w:lang w:val="en-GB" w:eastAsia="en-GB"/>
              </w:rPr>
            </w:pPr>
          </w:p>
        </w:tc>
        <w:tc>
          <w:tcPr>
            <w:tcW w:w="1000" w:type="dxa"/>
            <w:tcBorders>
              <w:top w:val="nil"/>
              <w:left w:val="nil"/>
              <w:bottom w:val="nil"/>
              <w:right w:val="nil"/>
            </w:tcBorders>
            <w:hideMark/>
          </w:tcPr>
          <w:p w14:paraId="7A9B82E8" w14:textId="77777777" w:rsidR="00E91426" w:rsidRPr="00E91426" w:rsidRDefault="00E91426" w:rsidP="00E91426">
            <w:pPr>
              <w:widowControl/>
              <w:jc w:val="both"/>
              <w:rPr>
                <w:rFonts w:ascii="Times New Roman" w:eastAsia="Times New Roman" w:hAnsi="Times New Roman" w:cs="Times New Roman"/>
                <w:sz w:val="20"/>
                <w:szCs w:val="20"/>
                <w:lang w:val="en-GB" w:eastAsia="en-GB"/>
              </w:rPr>
            </w:pPr>
          </w:p>
        </w:tc>
      </w:tr>
      <w:tr w:rsidR="00E91426" w:rsidRPr="00E91426" w14:paraId="36F6C5D1" w14:textId="77777777" w:rsidTr="00E91426">
        <w:trPr>
          <w:trHeight w:val="450"/>
        </w:trPr>
        <w:tc>
          <w:tcPr>
            <w:tcW w:w="9520" w:type="dxa"/>
            <w:gridSpan w:val="4"/>
            <w:vMerge w:val="restart"/>
            <w:tcBorders>
              <w:top w:val="nil"/>
              <w:left w:val="nil"/>
              <w:bottom w:val="nil"/>
              <w:right w:val="nil"/>
            </w:tcBorders>
            <w:hideMark/>
          </w:tcPr>
          <w:p w14:paraId="21D301BF" w14:textId="77777777" w:rsidR="00E91426" w:rsidRPr="00E91426" w:rsidRDefault="00E91426" w:rsidP="00E91426">
            <w:pPr>
              <w:widowControl/>
              <w:jc w:val="both"/>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The limitation on auditor's liability for external audit work is £2,000k (2023/24: £2,000k).</w:t>
            </w:r>
          </w:p>
        </w:tc>
      </w:tr>
      <w:tr w:rsidR="00E91426" w:rsidRPr="00E91426" w14:paraId="5AD4FC5B" w14:textId="77777777" w:rsidTr="00E91426">
        <w:trPr>
          <w:trHeight w:val="450"/>
        </w:trPr>
        <w:tc>
          <w:tcPr>
            <w:tcW w:w="9520" w:type="dxa"/>
            <w:gridSpan w:val="4"/>
            <w:vMerge/>
            <w:tcBorders>
              <w:top w:val="nil"/>
              <w:left w:val="nil"/>
              <w:bottom w:val="nil"/>
              <w:right w:val="nil"/>
            </w:tcBorders>
            <w:vAlign w:val="center"/>
            <w:hideMark/>
          </w:tcPr>
          <w:p w14:paraId="340FBD11" w14:textId="77777777" w:rsidR="00E91426" w:rsidRPr="00E91426" w:rsidRDefault="00E91426" w:rsidP="00E91426">
            <w:pPr>
              <w:widowControl/>
              <w:rPr>
                <w:rFonts w:ascii="Arial" w:eastAsia="Times New Roman" w:hAnsi="Arial" w:cs="Arial"/>
                <w:color w:val="000000"/>
                <w:sz w:val="20"/>
                <w:szCs w:val="20"/>
                <w:lang w:val="en-GB" w:eastAsia="en-GB"/>
              </w:rPr>
            </w:pPr>
          </w:p>
        </w:tc>
      </w:tr>
    </w:tbl>
    <w:p w14:paraId="37E21E54" w14:textId="77777777" w:rsidR="00E91426" w:rsidRPr="00E91426" w:rsidRDefault="00E91426" w:rsidP="00E91426">
      <w:pPr>
        <w:widowControl/>
        <w:spacing w:after="160" w:line="259" w:lineRule="auto"/>
        <w:rPr>
          <w:rFonts w:ascii="Arial" w:eastAsia="Calibri" w:hAnsi="Arial" w:cs="Arial"/>
          <w:sz w:val="20"/>
          <w:szCs w:val="20"/>
          <w:lang w:val="en-GB"/>
        </w:rPr>
      </w:pPr>
    </w:p>
    <w:p w14:paraId="78B24C3C" w14:textId="77777777" w:rsidR="00E91426" w:rsidRPr="00E91426" w:rsidRDefault="00E91426" w:rsidP="00E91426">
      <w:pPr>
        <w:widowControl/>
        <w:spacing w:after="160" w:line="259" w:lineRule="auto"/>
        <w:rPr>
          <w:rFonts w:ascii="Arial" w:eastAsia="Calibri" w:hAnsi="Arial" w:cs="Arial"/>
          <w:sz w:val="20"/>
          <w:szCs w:val="20"/>
          <w:lang w:val="en-GB"/>
        </w:rPr>
      </w:pPr>
    </w:p>
    <w:p w14:paraId="6B23A430" w14:textId="77777777" w:rsidR="00E91426" w:rsidRPr="00E91426" w:rsidRDefault="00E91426" w:rsidP="00E91426">
      <w:pPr>
        <w:widowControl/>
        <w:spacing w:after="160" w:line="259" w:lineRule="auto"/>
        <w:rPr>
          <w:rFonts w:ascii="Arial" w:eastAsia="Calibri" w:hAnsi="Arial" w:cs="Arial"/>
          <w:sz w:val="20"/>
          <w:szCs w:val="20"/>
          <w:lang w:val="en-GB"/>
        </w:rPr>
      </w:pPr>
    </w:p>
    <w:p w14:paraId="515EB228" w14:textId="77777777" w:rsidR="00E91426" w:rsidRPr="00E91426" w:rsidRDefault="00E91426" w:rsidP="00E91426">
      <w:pPr>
        <w:keepNext/>
        <w:keepLines/>
        <w:widowControl/>
        <w:spacing w:before="40" w:line="259" w:lineRule="auto"/>
        <w:outlineLvl w:val="1"/>
        <w:rPr>
          <w:rFonts w:ascii="Arial" w:eastAsia="Times New Roman" w:hAnsi="Arial" w:cs="Arial"/>
          <w:b/>
          <w:color w:val="000000"/>
          <w:sz w:val="20"/>
          <w:szCs w:val="20"/>
          <w:lang w:val="en-GB"/>
        </w:rPr>
      </w:pPr>
      <w:bookmarkStart w:id="65" w:name="_Toc195698703"/>
      <w:r w:rsidRPr="00E91426">
        <w:rPr>
          <w:rFonts w:ascii="Arial" w:eastAsia="Times New Roman" w:hAnsi="Arial" w:cs="Arial"/>
          <w:b/>
          <w:color w:val="000000"/>
          <w:sz w:val="20"/>
          <w:szCs w:val="20"/>
          <w:lang w:val="en-GB"/>
        </w:rPr>
        <w:t>Note 6 Employee benefits</w:t>
      </w:r>
      <w:bookmarkEnd w:id="65"/>
    </w:p>
    <w:p w14:paraId="38E597F3" w14:textId="77777777" w:rsidR="00E91426" w:rsidRPr="00E91426" w:rsidRDefault="00E91426" w:rsidP="00E91426">
      <w:pPr>
        <w:widowControl/>
        <w:spacing w:after="160" w:line="259" w:lineRule="auto"/>
        <w:rPr>
          <w:rFonts w:ascii="Arial" w:eastAsia="Calibri" w:hAnsi="Arial" w:cs="Arial"/>
          <w:sz w:val="20"/>
          <w:szCs w:val="20"/>
          <w:lang w:val="en-GB"/>
        </w:rPr>
      </w:pPr>
    </w:p>
    <w:tbl>
      <w:tblPr>
        <w:tblW w:w="9260" w:type="dxa"/>
        <w:tblLook w:val="04A0" w:firstRow="1" w:lastRow="0" w:firstColumn="1" w:lastColumn="0" w:noHBand="0" w:noVBand="1"/>
      </w:tblPr>
      <w:tblGrid>
        <w:gridCol w:w="7160"/>
        <w:gridCol w:w="939"/>
        <w:gridCol w:w="222"/>
        <w:gridCol w:w="939"/>
      </w:tblGrid>
      <w:tr w:rsidR="00E91426" w:rsidRPr="00E91426" w14:paraId="4430B002" w14:textId="77777777" w:rsidTr="00E91426">
        <w:trPr>
          <w:trHeight w:val="282"/>
        </w:trPr>
        <w:tc>
          <w:tcPr>
            <w:tcW w:w="7160" w:type="dxa"/>
            <w:tcBorders>
              <w:top w:val="nil"/>
              <w:left w:val="nil"/>
              <w:bottom w:val="nil"/>
              <w:right w:val="nil"/>
            </w:tcBorders>
            <w:hideMark/>
          </w:tcPr>
          <w:p w14:paraId="5B0322F0" w14:textId="77777777" w:rsidR="00E91426" w:rsidRPr="00E91426" w:rsidRDefault="00E91426" w:rsidP="00E91426">
            <w:pPr>
              <w:widowControl/>
              <w:rPr>
                <w:rFonts w:ascii="Arial" w:eastAsia="Times New Roman" w:hAnsi="Arial" w:cs="Arial"/>
                <w:sz w:val="20"/>
                <w:szCs w:val="20"/>
                <w:lang w:val="en-GB" w:eastAsia="en-GB"/>
              </w:rPr>
            </w:pPr>
          </w:p>
        </w:tc>
        <w:tc>
          <w:tcPr>
            <w:tcW w:w="939" w:type="dxa"/>
            <w:tcBorders>
              <w:top w:val="nil"/>
              <w:left w:val="nil"/>
              <w:bottom w:val="nil"/>
              <w:right w:val="nil"/>
            </w:tcBorders>
            <w:hideMark/>
          </w:tcPr>
          <w:p w14:paraId="22602CFA"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2024/25</w:t>
            </w:r>
          </w:p>
        </w:tc>
        <w:tc>
          <w:tcPr>
            <w:tcW w:w="222" w:type="dxa"/>
            <w:tcBorders>
              <w:top w:val="nil"/>
              <w:left w:val="nil"/>
              <w:bottom w:val="nil"/>
              <w:right w:val="nil"/>
            </w:tcBorders>
            <w:hideMark/>
          </w:tcPr>
          <w:p w14:paraId="5EAA39DA"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39" w:type="dxa"/>
            <w:tcBorders>
              <w:top w:val="nil"/>
              <w:left w:val="nil"/>
              <w:bottom w:val="nil"/>
              <w:right w:val="nil"/>
            </w:tcBorders>
            <w:hideMark/>
          </w:tcPr>
          <w:p w14:paraId="437A418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2023/24</w:t>
            </w:r>
          </w:p>
        </w:tc>
      </w:tr>
      <w:tr w:rsidR="00E91426" w:rsidRPr="00E91426" w14:paraId="78B21291" w14:textId="77777777" w:rsidTr="00E91426">
        <w:trPr>
          <w:trHeight w:val="282"/>
        </w:trPr>
        <w:tc>
          <w:tcPr>
            <w:tcW w:w="7160" w:type="dxa"/>
            <w:tcBorders>
              <w:top w:val="nil"/>
              <w:left w:val="nil"/>
              <w:bottom w:val="nil"/>
              <w:right w:val="nil"/>
            </w:tcBorders>
            <w:hideMark/>
          </w:tcPr>
          <w:p w14:paraId="1ADD2002"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39" w:type="dxa"/>
            <w:tcBorders>
              <w:top w:val="nil"/>
              <w:left w:val="nil"/>
              <w:bottom w:val="nil"/>
              <w:right w:val="nil"/>
            </w:tcBorders>
            <w:hideMark/>
          </w:tcPr>
          <w:p w14:paraId="3021BA0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222" w:type="dxa"/>
            <w:tcBorders>
              <w:top w:val="nil"/>
              <w:left w:val="nil"/>
              <w:bottom w:val="nil"/>
              <w:right w:val="nil"/>
            </w:tcBorders>
            <w:hideMark/>
          </w:tcPr>
          <w:p w14:paraId="18EB6FF3"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39" w:type="dxa"/>
            <w:tcBorders>
              <w:top w:val="nil"/>
              <w:left w:val="nil"/>
              <w:bottom w:val="nil"/>
              <w:right w:val="nil"/>
            </w:tcBorders>
            <w:hideMark/>
          </w:tcPr>
          <w:p w14:paraId="1B326DFC"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r>
      <w:tr w:rsidR="00E91426" w:rsidRPr="00E91426" w14:paraId="65A21560" w14:textId="77777777" w:rsidTr="00E91426">
        <w:trPr>
          <w:trHeight w:val="282"/>
        </w:trPr>
        <w:tc>
          <w:tcPr>
            <w:tcW w:w="7160" w:type="dxa"/>
            <w:tcBorders>
              <w:top w:val="nil"/>
              <w:left w:val="nil"/>
              <w:bottom w:val="nil"/>
              <w:right w:val="nil"/>
            </w:tcBorders>
            <w:hideMark/>
          </w:tcPr>
          <w:p w14:paraId="627F4374"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Salaries and wages</w:t>
            </w:r>
          </w:p>
        </w:tc>
        <w:tc>
          <w:tcPr>
            <w:tcW w:w="939" w:type="dxa"/>
            <w:tcBorders>
              <w:top w:val="nil"/>
              <w:left w:val="nil"/>
              <w:bottom w:val="nil"/>
              <w:right w:val="nil"/>
            </w:tcBorders>
            <w:noWrap/>
            <w:hideMark/>
          </w:tcPr>
          <w:p w14:paraId="474B9FDE"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268,343</w:t>
            </w:r>
          </w:p>
        </w:tc>
        <w:tc>
          <w:tcPr>
            <w:tcW w:w="222" w:type="dxa"/>
            <w:tcBorders>
              <w:top w:val="nil"/>
              <w:left w:val="nil"/>
              <w:bottom w:val="nil"/>
              <w:right w:val="nil"/>
            </w:tcBorders>
            <w:hideMark/>
          </w:tcPr>
          <w:p w14:paraId="3B40E29D"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939" w:type="dxa"/>
            <w:tcBorders>
              <w:top w:val="nil"/>
              <w:left w:val="nil"/>
              <w:bottom w:val="nil"/>
              <w:right w:val="nil"/>
            </w:tcBorders>
            <w:noWrap/>
            <w:hideMark/>
          </w:tcPr>
          <w:p w14:paraId="43426824"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241,346</w:t>
            </w:r>
          </w:p>
        </w:tc>
      </w:tr>
      <w:tr w:rsidR="00E91426" w:rsidRPr="00E91426" w14:paraId="65436181" w14:textId="77777777" w:rsidTr="00E91426">
        <w:trPr>
          <w:trHeight w:val="282"/>
        </w:trPr>
        <w:tc>
          <w:tcPr>
            <w:tcW w:w="7160" w:type="dxa"/>
            <w:tcBorders>
              <w:top w:val="nil"/>
              <w:left w:val="nil"/>
              <w:bottom w:val="nil"/>
              <w:right w:val="nil"/>
            </w:tcBorders>
            <w:hideMark/>
          </w:tcPr>
          <w:p w14:paraId="161AFE16"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 xml:space="preserve">Social security costs </w:t>
            </w:r>
          </w:p>
        </w:tc>
        <w:tc>
          <w:tcPr>
            <w:tcW w:w="939" w:type="dxa"/>
            <w:tcBorders>
              <w:top w:val="nil"/>
              <w:left w:val="nil"/>
              <w:bottom w:val="nil"/>
              <w:right w:val="nil"/>
            </w:tcBorders>
            <w:noWrap/>
            <w:hideMark/>
          </w:tcPr>
          <w:p w14:paraId="24924F49"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29,604</w:t>
            </w:r>
          </w:p>
        </w:tc>
        <w:tc>
          <w:tcPr>
            <w:tcW w:w="222" w:type="dxa"/>
            <w:tcBorders>
              <w:top w:val="nil"/>
              <w:left w:val="nil"/>
              <w:bottom w:val="nil"/>
              <w:right w:val="nil"/>
            </w:tcBorders>
            <w:hideMark/>
          </w:tcPr>
          <w:p w14:paraId="1BF86D54"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939" w:type="dxa"/>
            <w:tcBorders>
              <w:top w:val="nil"/>
              <w:left w:val="nil"/>
              <w:bottom w:val="nil"/>
              <w:right w:val="nil"/>
            </w:tcBorders>
            <w:noWrap/>
            <w:hideMark/>
          </w:tcPr>
          <w:p w14:paraId="2486DFC5"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27,443</w:t>
            </w:r>
          </w:p>
        </w:tc>
      </w:tr>
      <w:tr w:rsidR="00E91426" w:rsidRPr="00E91426" w14:paraId="7EE74C68" w14:textId="77777777" w:rsidTr="00E91426">
        <w:trPr>
          <w:trHeight w:val="282"/>
        </w:trPr>
        <w:tc>
          <w:tcPr>
            <w:tcW w:w="7160" w:type="dxa"/>
            <w:tcBorders>
              <w:top w:val="nil"/>
              <w:left w:val="nil"/>
              <w:bottom w:val="nil"/>
              <w:right w:val="nil"/>
            </w:tcBorders>
            <w:hideMark/>
          </w:tcPr>
          <w:p w14:paraId="65008301"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Apprenticeship levy</w:t>
            </w:r>
          </w:p>
        </w:tc>
        <w:tc>
          <w:tcPr>
            <w:tcW w:w="939" w:type="dxa"/>
            <w:tcBorders>
              <w:top w:val="nil"/>
              <w:left w:val="nil"/>
              <w:bottom w:val="nil"/>
              <w:right w:val="nil"/>
            </w:tcBorders>
            <w:noWrap/>
            <w:hideMark/>
          </w:tcPr>
          <w:p w14:paraId="5FAEA1D7"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1,336</w:t>
            </w:r>
          </w:p>
        </w:tc>
        <w:tc>
          <w:tcPr>
            <w:tcW w:w="222" w:type="dxa"/>
            <w:tcBorders>
              <w:top w:val="nil"/>
              <w:left w:val="nil"/>
              <w:bottom w:val="nil"/>
              <w:right w:val="nil"/>
            </w:tcBorders>
            <w:hideMark/>
          </w:tcPr>
          <w:p w14:paraId="4983A533"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939" w:type="dxa"/>
            <w:tcBorders>
              <w:top w:val="nil"/>
              <w:left w:val="nil"/>
              <w:bottom w:val="nil"/>
              <w:right w:val="nil"/>
            </w:tcBorders>
            <w:noWrap/>
            <w:hideMark/>
          </w:tcPr>
          <w:p w14:paraId="5A65652D"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1,246</w:t>
            </w:r>
          </w:p>
        </w:tc>
      </w:tr>
      <w:tr w:rsidR="00E91426" w:rsidRPr="00E91426" w14:paraId="4E53839F" w14:textId="77777777" w:rsidTr="00E91426">
        <w:trPr>
          <w:trHeight w:val="282"/>
        </w:trPr>
        <w:tc>
          <w:tcPr>
            <w:tcW w:w="7160" w:type="dxa"/>
            <w:tcBorders>
              <w:top w:val="nil"/>
              <w:left w:val="nil"/>
              <w:bottom w:val="nil"/>
              <w:right w:val="nil"/>
            </w:tcBorders>
            <w:hideMark/>
          </w:tcPr>
          <w:p w14:paraId="0A6B228D"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 xml:space="preserve">Employer's contributions to NHS pensions </w:t>
            </w:r>
          </w:p>
        </w:tc>
        <w:tc>
          <w:tcPr>
            <w:tcW w:w="939" w:type="dxa"/>
            <w:tcBorders>
              <w:top w:val="nil"/>
              <w:left w:val="nil"/>
              <w:bottom w:val="nil"/>
              <w:right w:val="nil"/>
            </w:tcBorders>
            <w:noWrap/>
            <w:hideMark/>
          </w:tcPr>
          <w:p w14:paraId="4B193CEF"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27,519</w:t>
            </w:r>
          </w:p>
        </w:tc>
        <w:tc>
          <w:tcPr>
            <w:tcW w:w="222" w:type="dxa"/>
            <w:tcBorders>
              <w:top w:val="nil"/>
              <w:left w:val="nil"/>
              <w:bottom w:val="nil"/>
              <w:right w:val="nil"/>
            </w:tcBorders>
            <w:hideMark/>
          </w:tcPr>
          <w:p w14:paraId="22438221"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939" w:type="dxa"/>
            <w:tcBorders>
              <w:top w:val="nil"/>
              <w:left w:val="nil"/>
              <w:bottom w:val="nil"/>
              <w:right w:val="nil"/>
            </w:tcBorders>
            <w:noWrap/>
            <w:hideMark/>
          </w:tcPr>
          <w:p w14:paraId="12E3F5A5"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24,974</w:t>
            </w:r>
          </w:p>
        </w:tc>
      </w:tr>
      <w:tr w:rsidR="00E91426" w:rsidRPr="00E91426" w14:paraId="6675B895" w14:textId="77777777" w:rsidTr="00E91426">
        <w:trPr>
          <w:trHeight w:val="282"/>
        </w:trPr>
        <w:tc>
          <w:tcPr>
            <w:tcW w:w="7160" w:type="dxa"/>
            <w:tcBorders>
              <w:top w:val="nil"/>
              <w:left w:val="nil"/>
              <w:bottom w:val="nil"/>
              <w:right w:val="nil"/>
            </w:tcBorders>
            <w:hideMark/>
          </w:tcPr>
          <w:p w14:paraId="74ED4BF1"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Pension cost - employer contributions paid by NHSE on provider's behalf</w:t>
            </w:r>
            <w:r w:rsidRPr="00E91426">
              <w:rPr>
                <w:rFonts w:ascii="Arial" w:eastAsia="Times New Roman" w:hAnsi="Arial" w:cs="Arial"/>
                <w:color w:val="000000"/>
                <w:sz w:val="20"/>
                <w:szCs w:val="20"/>
                <w:vertAlign w:val="superscript"/>
                <w:lang w:val="en-GB" w:eastAsia="en-GB"/>
              </w:rPr>
              <w:t>1</w:t>
            </w:r>
          </w:p>
        </w:tc>
        <w:tc>
          <w:tcPr>
            <w:tcW w:w="939" w:type="dxa"/>
            <w:tcBorders>
              <w:top w:val="nil"/>
              <w:left w:val="nil"/>
              <w:bottom w:val="nil"/>
              <w:right w:val="nil"/>
            </w:tcBorders>
            <w:noWrap/>
            <w:hideMark/>
          </w:tcPr>
          <w:p w14:paraId="4E874CF1"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17,984</w:t>
            </w:r>
          </w:p>
        </w:tc>
        <w:tc>
          <w:tcPr>
            <w:tcW w:w="222" w:type="dxa"/>
            <w:tcBorders>
              <w:top w:val="nil"/>
              <w:left w:val="nil"/>
              <w:bottom w:val="nil"/>
              <w:right w:val="nil"/>
            </w:tcBorders>
            <w:hideMark/>
          </w:tcPr>
          <w:p w14:paraId="379FA513"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939" w:type="dxa"/>
            <w:tcBorders>
              <w:top w:val="nil"/>
              <w:left w:val="nil"/>
              <w:bottom w:val="nil"/>
              <w:right w:val="nil"/>
            </w:tcBorders>
            <w:noWrap/>
            <w:hideMark/>
          </w:tcPr>
          <w:p w14:paraId="028C967C"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10,930</w:t>
            </w:r>
          </w:p>
        </w:tc>
      </w:tr>
      <w:tr w:rsidR="00E91426" w:rsidRPr="00E91426" w14:paraId="057AB8B7" w14:textId="77777777" w:rsidTr="00E91426">
        <w:trPr>
          <w:trHeight w:val="282"/>
        </w:trPr>
        <w:tc>
          <w:tcPr>
            <w:tcW w:w="7160" w:type="dxa"/>
            <w:tcBorders>
              <w:top w:val="nil"/>
              <w:left w:val="nil"/>
              <w:bottom w:val="nil"/>
              <w:right w:val="nil"/>
            </w:tcBorders>
            <w:hideMark/>
          </w:tcPr>
          <w:p w14:paraId="4D372C68"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Pension cost - other</w:t>
            </w:r>
          </w:p>
        </w:tc>
        <w:tc>
          <w:tcPr>
            <w:tcW w:w="939" w:type="dxa"/>
            <w:tcBorders>
              <w:top w:val="nil"/>
              <w:left w:val="nil"/>
              <w:bottom w:val="nil"/>
              <w:right w:val="nil"/>
            </w:tcBorders>
            <w:noWrap/>
            <w:hideMark/>
          </w:tcPr>
          <w:p w14:paraId="58AF816C"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18</w:t>
            </w:r>
          </w:p>
        </w:tc>
        <w:tc>
          <w:tcPr>
            <w:tcW w:w="222" w:type="dxa"/>
            <w:tcBorders>
              <w:top w:val="nil"/>
              <w:left w:val="nil"/>
              <w:bottom w:val="nil"/>
              <w:right w:val="nil"/>
            </w:tcBorders>
            <w:hideMark/>
          </w:tcPr>
          <w:p w14:paraId="6004FECC"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939" w:type="dxa"/>
            <w:tcBorders>
              <w:top w:val="nil"/>
              <w:left w:val="nil"/>
              <w:bottom w:val="nil"/>
              <w:right w:val="nil"/>
            </w:tcBorders>
            <w:noWrap/>
            <w:hideMark/>
          </w:tcPr>
          <w:p w14:paraId="3AAFCDE6"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27</w:t>
            </w:r>
          </w:p>
        </w:tc>
      </w:tr>
      <w:tr w:rsidR="00E91426" w:rsidRPr="00E91426" w14:paraId="140BD297" w14:textId="77777777" w:rsidTr="00E91426">
        <w:trPr>
          <w:trHeight w:val="282"/>
        </w:trPr>
        <w:tc>
          <w:tcPr>
            <w:tcW w:w="7160" w:type="dxa"/>
            <w:tcBorders>
              <w:top w:val="nil"/>
              <w:left w:val="nil"/>
              <w:bottom w:val="nil"/>
              <w:right w:val="nil"/>
            </w:tcBorders>
            <w:hideMark/>
          </w:tcPr>
          <w:p w14:paraId="500CF4E2"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Temporary staff (including agency)</w:t>
            </w:r>
          </w:p>
        </w:tc>
        <w:tc>
          <w:tcPr>
            <w:tcW w:w="939" w:type="dxa"/>
            <w:tcBorders>
              <w:top w:val="nil"/>
              <w:left w:val="nil"/>
              <w:bottom w:val="nil"/>
              <w:right w:val="nil"/>
            </w:tcBorders>
            <w:noWrap/>
            <w:hideMark/>
          </w:tcPr>
          <w:p w14:paraId="1C1B68FB"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5,185</w:t>
            </w:r>
          </w:p>
        </w:tc>
        <w:tc>
          <w:tcPr>
            <w:tcW w:w="222" w:type="dxa"/>
            <w:tcBorders>
              <w:top w:val="nil"/>
              <w:left w:val="nil"/>
              <w:bottom w:val="nil"/>
              <w:right w:val="nil"/>
            </w:tcBorders>
            <w:hideMark/>
          </w:tcPr>
          <w:p w14:paraId="629727B8"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939" w:type="dxa"/>
            <w:tcBorders>
              <w:top w:val="nil"/>
              <w:left w:val="nil"/>
              <w:bottom w:val="nil"/>
              <w:right w:val="nil"/>
            </w:tcBorders>
            <w:noWrap/>
            <w:hideMark/>
          </w:tcPr>
          <w:p w14:paraId="5BDBA312"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8,160</w:t>
            </w:r>
          </w:p>
        </w:tc>
      </w:tr>
      <w:tr w:rsidR="00E91426" w:rsidRPr="00E91426" w14:paraId="65C01FD0" w14:textId="77777777" w:rsidTr="00E91426">
        <w:trPr>
          <w:trHeight w:val="282"/>
        </w:trPr>
        <w:tc>
          <w:tcPr>
            <w:tcW w:w="7160" w:type="dxa"/>
            <w:tcBorders>
              <w:top w:val="nil"/>
              <w:left w:val="nil"/>
              <w:bottom w:val="nil"/>
              <w:right w:val="nil"/>
            </w:tcBorders>
            <w:noWrap/>
            <w:hideMark/>
          </w:tcPr>
          <w:p w14:paraId="249AB7A9"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Total staff costs</w:t>
            </w:r>
          </w:p>
        </w:tc>
        <w:tc>
          <w:tcPr>
            <w:tcW w:w="939" w:type="dxa"/>
            <w:tcBorders>
              <w:top w:val="single" w:sz="4" w:space="0" w:color="auto"/>
              <w:left w:val="nil"/>
              <w:bottom w:val="double" w:sz="6" w:space="0" w:color="auto"/>
              <w:right w:val="nil"/>
            </w:tcBorders>
            <w:noWrap/>
            <w:hideMark/>
          </w:tcPr>
          <w:p w14:paraId="5E8488D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349,989</w:t>
            </w:r>
          </w:p>
        </w:tc>
        <w:tc>
          <w:tcPr>
            <w:tcW w:w="222" w:type="dxa"/>
            <w:tcBorders>
              <w:top w:val="nil"/>
              <w:left w:val="nil"/>
              <w:bottom w:val="nil"/>
              <w:right w:val="nil"/>
            </w:tcBorders>
            <w:noWrap/>
            <w:hideMark/>
          </w:tcPr>
          <w:p w14:paraId="1D826DA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39" w:type="dxa"/>
            <w:tcBorders>
              <w:top w:val="single" w:sz="4" w:space="0" w:color="auto"/>
              <w:left w:val="nil"/>
              <w:bottom w:val="double" w:sz="6" w:space="0" w:color="auto"/>
              <w:right w:val="nil"/>
            </w:tcBorders>
            <w:noWrap/>
            <w:hideMark/>
          </w:tcPr>
          <w:p w14:paraId="2FB59FCC"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314,126</w:t>
            </w:r>
          </w:p>
        </w:tc>
      </w:tr>
      <w:tr w:rsidR="00E91426" w:rsidRPr="00E91426" w14:paraId="2E3B14F2" w14:textId="77777777" w:rsidTr="00E91426">
        <w:trPr>
          <w:trHeight w:val="282"/>
        </w:trPr>
        <w:tc>
          <w:tcPr>
            <w:tcW w:w="7160" w:type="dxa"/>
            <w:tcBorders>
              <w:top w:val="nil"/>
              <w:left w:val="nil"/>
              <w:bottom w:val="nil"/>
              <w:right w:val="nil"/>
            </w:tcBorders>
            <w:noWrap/>
            <w:vAlign w:val="bottom"/>
            <w:hideMark/>
          </w:tcPr>
          <w:p w14:paraId="16914C13"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39" w:type="dxa"/>
            <w:tcBorders>
              <w:top w:val="nil"/>
              <w:left w:val="nil"/>
              <w:bottom w:val="nil"/>
              <w:right w:val="nil"/>
            </w:tcBorders>
            <w:noWrap/>
            <w:vAlign w:val="bottom"/>
            <w:hideMark/>
          </w:tcPr>
          <w:p w14:paraId="5F2042C0" w14:textId="77777777" w:rsidR="00E91426" w:rsidRPr="00E91426" w:rsidRDefault="00E91426" w:rsidP="00E91426">
            <w:pPr>
              <w:widowControl/>
              <w:rPr>
                <w:rFonts w:ascii="Arial" w:eastAsia="Times New Roman" w:hAnsi="Arial" w:cs="Arial"/>
                <w:sz w:val="20"/>
                <w:szCs w:val="20"/>
                <w:lang w:val="en-GB" w:eastAsia="en-GB"/>
              </w:rPr>
            </w:pPr>
          </w:p>
        </w:tc>
        <w:tc>
          <w:tcPr>
            <w:tcW w:w="222" w:type="dxa"/>
            <w:tcBorders>
              <w:top w:val="nil"/>
              <w:left w:val="nil"/>
              <w:bottom w:val="nil"/>
              <w:right w:val="nil"/>
            </w:tcBorders>
            <w:noWrap/>
            <w:vAlign w:val="bottom"/>
            <w:hideMark/>
          </w:tcPr>
          <w:p w14:paraId="73ADB562" w14:textId="77777777" w:rsidR="00E91426" w:rsidRPr="00E91426" w:rsidRDefault="00E91426" w:rsidP="00E91426">
            <w:pPr>
              <w:widowControl/>
              <w:rPr>
                <w:rFonts w:ascii="Arial" w:eastAsia="Times New Roman" w:hAnsi="Arial" w:cs="Arial"/>
                <w:sz w:val="20"/>
                <w:szCs w:val="20"/>
                <w:lang w:val="en-GB" w:eastAsia="en-GB"/>
              </w:rPr>
            </w:pPr>
          </w:p>
        </w:tc>
        <w:tc>
          <w:tcPr>
            <w:tcW w:w="939" w:type="dxa"/>
            <w:tcBorders>
              <w:top w:val="nil"/>
              <w:left w:val="nil"/>
              <w:bottom w:val="nil"/>
              <w:right w:val="nil"/>
            </w:tcBorders>
            <w:noWrap/>
            <w:vAlign w:val="bottom"/>
            <w:hideMark/>
          </w:tcPr>
          <w:p w14:paraId="6A14778C"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74313D2B" w14:textId="77777777" w:rsidTr="00E91426">
        <w:trPr>
          <w:trHeight w:val="132"/>
        </w:trPr>
        <w:tc>
          <w:tcPr>
            <w:tcW w:w="7160" w:type="dxa"/>
            <w:tcBorders>
              <w:top w:val="nil"/>
              <w:left w:val="nil"/>
              <w:bottom w:val="nil"/>
              <w:right w:val="nil"/>
            </w:tcBorders>
            <w:noWrap/>
            <w:vAlign w:val="bottom"/>
            <w:hideMark/>
          </w:tcPr>
          <w:p w14:paraId="2B9F4EA6" w14:textId="77777777" w:rsidR="00E91426" w:rsidRPr="00E91426" w:rsidRDefault="00E91426" w:rsidP="00E91426">
            <w:pPr>
              <w:widowControl/>
              <w:rPr>
                <w:rFonts w:ascii="Arial" w:eastAsia="Times New Roman" w:hAnsi="Arial" w:cs="Arial"/>
                <w:sz w:val="20"/>
                <w:szCs w:val="20"/>
                <w:lang w:val="en-GB" w:eastAsia="en-GB"/>
              </w:rPr>
            </w:pPr>
          </w:p>
        </w:tc>
        <w:tc>
          <w:tcPr>
            <w:tcW w:w="939" w:type="dxa"/>
            <w:tcBorders>
              <w:top w:val="nil"/>
              <w:left w:val="nil"/>
              <w:bottom w:val="nil"/>
              <w:right w:val="nil"/>
            </w:tcBorders>
            <w:noWrap/>
            <w:vAlign w:val="center"/>
            <w:hideMark/>
          </w:tcPr>
          <w:p w14:paraId="1998FBC4" w14:textId="77777777" w:rsidR="00E91426" w:rsidRPr="00E91426" w:rsidRDefault="00E91426" w:rsidP="00E91426">
            <w:pPr>
              <w:widowControl/>
              <w:rPr>
                <w:rFonts w:ascii="Arial" w:eastAsia="Times New Roman" w:hAnsi="Arial" w:cs="Arial"/>
                <w:sz w:val="20"/>
                <w:szCs w:val="20"/>
                <w:lang w:val="en-GB" w:eastAsia="en-GB"/>
              </w:rPr>
            </w:pPr>
          </w:p>
        </w:tc>
        <w:tc>
          <w:tcPr>
            <w:tcW w:w="222" w:type="dxa"/>
            <w:tcBorders>
              <w:top w:val="nil"/>
              <w:left w:val="nil"/>
              <w:bottom w:val="nil"/>
              <w:right w:val="nil"/>
            </w:tcBorders>
            <w:noWrap/>
            <w:vAlign w:val="center"/>
            <w:hideMark/>
          </w:tcPr>
          <w:p w14:paraId="1CFF504B" w14:textId="77777777" w:rsidR="00E91426" w:rsidRPr="00E91426" w:rsidRDefault="00E91426" w:rsidP="00E91426">
            <w:pPr>
              <w:widowControl/>
              <w:rPr>
                <w:rFonts w:ascii="Arial" w:eastAsia="Times New Roman" w:hAnsi="Arial" w:cs="Arial"/>
                <w:sz w:val="20"/>
                <w:szCs w:val="20"/>
                <w:lang w:val="en-GB" w:eastAsia="en-GB"/>
              </w:rPr>
            </w:pPr>
          </w:p>
        </w:tc>
        <w:tc>
          <w:tcPr>
            <w:tcW w:w="939" w:type="dxa"/>
            <w:tcBorders>
              <w:top w:val="nil"/>
              <w:left w:val="nil"/>
              <w:bottom w:val="nil"/>
              <w:right w:val="nil"/>
            </w:tcBorders>
            <w:noWrap/>
            <w:vAlign w:val="center"/>
            <w:hideMark/>
          </w:tcPr>
          <w:p w14:paraId="09B808AB"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6969FCC8" w14:textId="77777777" w:rsidTr="00E91426">
        <w:trPr>
          <w:trHeight w:val="282"/>
        </w:trPr>
        <w:tc>
          <w:tcPr>
            <w:tcW w:w="9260" w:type="dxa"/>
            <w:gridSpan w:val="4"/>
            <w:tcBorders>
              <w:top w:val="nil"/>
              <w:left w:val="nil"/>
              <w:bottom w:val="nil"/>
              <w:right w:val="nil"/>
            </w:tcBorders>
            <w:hideMark/>
          </w:tcPr>
          <w:p w14:paraId="20048B8A" w14:textId="77777777" w:rsidR="00E91426" w:rsidRPr="00E91426" w:rsidRDefault="00E91426" w:rsidP="00E91426">
            <w:pPr>
              <w:widowControl/>
              <w:jc w:val="both"/>
              <w:rPr>
                <w:rFonts w:ascii="Arial" w:eastAsia="Times New Roman" w:hAnsi="Arial" w:cs="Arial"/>
                <w:sz w:val="18"/>
                <w:szCs w:val="18"/>
                <w:lang w:val="en-GB" w:eastAsia="en-GB"/>
              </w:rPr>
            </w:pPr>
            <w:r w:rsidRPr="00E91426">
              <w:rPr>
                <w:rFonts w:ascii="Arial" w:eastAsia="Times New Roman" w:hAnsi="Arial" w:cs="Arial"/>
                <w:sz w:val="18"/>
                <w:szCs w:val="18"/>
                <w:vertAlign w:val="superscript"/>
                <w:lang w:val="en-GB" w:eastAsia="en-GB"/>
              </w:rPr>
              <w:t>1</w:t>
            </w:r>
            <w:r w:rsidRPr="00E91426">
              <w:rPr>
                <w:rFonts w:ascii="Arial" w:eastAsia="Times New Roman" w:hAnsi="Arial" w:cs="Arial"/>
                <w:sz w:val="18"/>
                <w:szCs w:val="18"/>
                <w:lang w:val="en-GB" w:eastAsia="en-GB"/>
              </w:rPr>
              <w:t>Additional pension cost paid directly by NHSE has increased to 9.4% (2023/24: 6.3%)</w:t>
            </w:r>
          </w:p>
        </w:tc>
      </w:tr>
      <w:tr w:rsidR="00E91426" w:rsidRPr="00E91426" w14:paraId="518DBA3F" w14:textId="77777777" w:rsidTr="00E91426">
        <w:trPr>
          <w:trHeight w:val="282"/>
        </w:trPr>
        <w:tc>
          <w:tcPr>
            <w:tcW w:w="7160" w:type="dxa"/>
            <w:tcBorders>
              <w:top w:val="nil"/>
              <w:left w:val="nil"/>
              <w:bottom w:val="nil"/>
              <w:right w:val="nil"/>
            </w:tcBorders>
            <w:hideMark/>
          </w:tcPr>
          <w:p w14:paraId="221361B8" w14:textId="77777777" w:rsidR="00E91426" w:rsidRPr="00E91426" w:rsidRDefault="00E91426" w:rsidP="00E91426">
            <w:pPr>
              <w:widowControl/>
              <w:jc w:val="both"/>
              <w:rPr>
                <w:rFonts w:ascii="Arial" w:eastAsia="Times New Roman" w:hAnsi="Arial" w:cs="Arial"/>
                <w:sz w:val="20"/>
                <w:szCs w:val="20"/>
                <w:lang w:val="en-GB" w:eastAsia="en-GB"/>
              </w:rPr>
            </w:pPr>
          </w:p>
        </w:tc>
        <w:tc>
          <w:tcPr>
            <w:tcW w:w="939" w:type="dxa"/>
            <w:tcBorders>
              <w:top w:val="nil"/>
              <w:left w:val="nil"/>
              <w:bottom w:val="nil"/>
              <w:right w:val="nil"/>
            </w:tcBorders>
            <w:hideMark/>
          </w:tcPr>
          <w:p w14:paraId="5C989A3F" w14:textId="77777777" w:rsidR="00E91426" w:rsidRPr="00E91426" w:rsidRDefault="00E91426" w:rsidP="00E91426">
            <w:pPr>
              <w:widowControl/>
              <w:jc w:val="both"/>
              <w:rPr>
                <w:rFonts w:ascii="Arial" w:eastAsia="Times New Roman" w:hAnsi="Arial" w:cs="Arial"/>
                <w:sz w:val="20"/>
                <w:szCs w:val="20"/>
                <w:lang w:val="en-GB" w:eastAsia="en-GB"/>
              </w:rPr>
            </w:pPr>
          </w:p>
        </w:tc>
        <w:tc>
          <w:tcPr>
            <w:tcW w:w="222" w:type="dxa"/>
            <w:tcBorders>
              <w:top w:val="nil"/>
              <w:left w:val="nil"/>
              <w:bottom w:val="nil"/>
              <w:right w:val="nil"/>
            </w:tcBorders>
            <w:hideMark/>
          </w:tcPr>
          <w:p w14:paraId="65624AE3" w14:textId="77777777" w:rsidR="00E91426" w:rsidRPr="00E91426" w:rsidRDefault="00E91426" w:rsidP="00E91426">
            <w:pPr>
              <w:widowControl/>
              <w:jc w:val="both"/>
              <w:rPr>
                <w:rFonts w:ascii="Arial" w:eastAsia="Times New Roman" w:hAnsi="Arial" w:cs="Arial"/>
                <w:sz w:val="20"/>
                <w:szCs w:val="20"/>
                <w:lang w:val="en-GB" w:eastAsia="en-GB"/>
              </w:rPr>
            </w:pPr>
          </w:p>
        </w:tc>
        <w:tc>
          <w:tcPr>
            <w:tcW w:w="939" w:type="dxa"/>
            <w:tcBorders>
              <w:top w:val="nil"/>
              <w:left w:val="nil"/>
              <w:bottom w:val="nil"/>
              <w:right w:val="nil"/>
            </w:tcBorders>
            <w:hideMark/>
          </w:tcPr>
          <w:p w14:paraId="06DFC4CE" w14:textId="77777777" w:rsidR="00E91426" w:rsidRPr="00E91426" w:rsidRDefault="00E91426" w:rsidP="00E91426">
            <w:pPr>
              <w:widowControl/>
              <w:jc w:val="both"/>
              <w:rPr>
                <w:rFonts w:ascii="Arial" w:eastAsia="Times New Roman" w:hAnsi="Arial" w:cs="Arial"/>
                <w:sz w:val="20"/>
                <w:szCs w:val="20"/>
                <w:lang w:val="en-GB" w:eastAsia="en-GB"/>
              </w:rPr>
            </w:pPr>
          </w:p>
        </w:tc>
      </w:tr>
      <w:tr w:rsidR="00E91426" w:rsidRPr="00E91426" w14:paraId="0D4F3922" w14:textId="77777777" w:rsidTr="00E91426">
        <w:trPr>
          <w:trHeight w:val="375"/>
        </w:trPr>
        <w:tc>
          <w:tcPr>
            <w:tcW w:w="7160" w:type="dxa"/>
            <w:tcBorders>
              <w:top w:val="nil"/>
              <w:left w:val="nil"/>
              <w:bottom w:val="nil"/>
              <w:right w:val="nil"/>
            </w:tcBorders>
            <w:hideMark/>
          </w:tcPr>
          <w:p w14:paraId="452EF18E"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Note 6.1 Directors remuneration and other benefits</w:t>
            </w:r>
          </w:p>
        </w:tc>
        <w:tc>
          <w:tcPr>
            <w:tcW w:w="939" w:type="dxa"/>
            <w:tcBorders>
              <w:top w:val="nil"/>
              <w:left w:val="nil"/>
              <w:bottom w:val="nil"/>
              <w:right w:val="nil"/>
            </w:tcBorders>
            <w:hideMark/>
          </w:tcPr>
          <w:p w14:paraId="34F5B94A"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222" w:type="dxa"/>
            <w:tcBorders>
              <w:top w:val="nil"/>
              <w:left w:val="nil"/>
              <w:bottom w:val="nil"/>
              <w:right w:val="nil"/>
            </w:tcBorders>
            <w:hideMark/>
          </w:tcPr>
          <w:p w14:paraId="51D22A84" w14:textId="77777777" w:rsidR="00E91426" w:rsidRPr="00E91426" w:rsidRDefault="00E91426" w:rsidP="00E91426">
            <w:pPr>
              <w:widowControl/>
              <w:rPr>
                <w:rFonts w:ascii="Arial" w:eastAsia="Times New Roman" w:hAnsi="Arial" w:cs="Arial"/>
                <w:sz w:val="20"/>
                <w:szCs w:val="20"/>
                <w:lang w:val="en-GB" w:eastAsia="en-GB"/>
              </w:rPr>
            </w:pPr>
          </w:p>
        </w:tc>
        <w:tc>
          <w:tcPr>
            <w:tcW w:w="939" w:type="dxa"/>
            <w:tcBorders>
              <w:top w:val="nil"/>
              <w:left w:val="nil"/>
              <w:bottom w:val="nil"/>
              <w:right w:val="nil"/>
            </w:tcBorders>
            <w:hideMark/>
          </w:tcPr>
          <w:p w14:paraId="06B5F39B"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2B3C97A9" w14:textId="77777777" w:rsidTr="00E91426">
        <w:trPr>
          <w:trHeight w:val="282"/>
        </w:trPr>
        <w:tc>
          <w:tcPr>
            <w:tcW w:w="7160" w:type="dxa"/>
            <w:tcBorders>
              <w:top w:val="nil"/>
              <w:left w:val="nil"/>
              <w:bottom w:val="nil"/>
              <w:right w:val="nil"/>
            </w:tcBorders>
            <w:hideMark/>
          </w:tcPr>
          <w:p w14:paraId="334F8D31" w14:textId="77777777" w:rsidR="00E91426" w:rsidRPr="00E91426" w:rsidRDefault="00E91426" w:rsidP="00E91426">
            <w:pPr>
              <w:widowControl/>
              <w:rPr>
                <w:rFonts w:ascii="Arial" w:eastAsia="Times New Roman" w:hAnsi="Arial" w:cs="Arial"/>
                <w:sz w:val="20"/>
                <w:szCs w:val="20"/>
                <w:lang w:val="en-GB" w:eastAsia="en-GB"/>
              </w:rPr>
            </w:pPr>
          </w:p>
        </w:tc>
        <w:tc>
          <w:tcPr>
            <w:tcW w:w="939" w:type="dxa"/>
            <w:tcBorders>
              <w:top w:val="nil"/>
              <w:left w:val="nil"/>
              <w:bottom w:val="nil"/>
              <w:right w:val="nil"/>
            </w:tcBorders>
            <w:hideMark/>
          </w:tcPr>
          <w:p w14:paraId="0DE8615A" w14:textId="77777777" w:rsidR="00E91426" w:rsidRPr="00E91426" w:rsidRDefault="00E91426" w:rsidP="00E91426">
            <w:pPr>
              <w:widowControl/>
              <w:rPr>
                <w:rFonts w:ascii="Arial" w:eastAsia="Times New Roman" w:hAnsi="Arial" w:cs="Arial"/>
                <w:sz w:val="20"/>
                <w:szCs w:val="20"/>
                <w:lang w:val="en-GB" w:eastAsia="en-GB"/>
              </w:rPr>
            </w:pPr>
          </w:p>
        </w:tc>
        <w:tc>
          <w:tcPr>
            <w:tcW w:w="222" w:type="dxa"/>
            <w:tcBorders>
              <w:top w:val="nil"/>
              <w:left w:val="nil"/>
              <w:bottom w:val="nil"/>
              <w:right w:val="nil"/>
            </w:tcBorders>
            <w:hideMark/>
          </w:tcPr>
          <w:p w14:paraId="26EB774A" w14:textId="77777777" w:rsidR="00E91426" w:rsidRPr="00E91426" w:rsidRDefault="00E91426" w:rsidP="00E91426">
            <w:pPr>
              <w:widowControl/>
              <w:rPr>
                <w:rFonts w:ascii="Arial" w:eastAsia="Times New Roman" w:hAnsi="Arial" w:cs="Arial"/>
                <w:sz w:val="20"/>
                <w:szCs w:val="20"/>
                <w:lang w:val="en-GB" w:eastAsia="en-GB"/>
              </w:rPr>
            </w:pPr>
          </w:p>
        </w:tc>
        <w:tc>
          <w:tcPr>
            <w:tcW w:w="939" w:type="dxa"/>
            <w:tcBorders>
              <w:top w:val="nil"/>
              <w:left w:val="nil"/>
              <w:bottom w:val="nil"/>
              <w:right w:val="nil"/>
            </w:tcBorders>
            <w:hideMark/>
          </w:tcPr>
          <w:p w14:paraId="324C1133"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6937C681" w14:textId="77777777" w:rsidTr="00E91426">
        <w:trPr>
          <w:trHeight w:val="282"/>
        </w:trPr>
        <w:tc>
          <w:tcPr>
            <w:tcW w:w="7160" w:type="dxa"/>
            <w:tcBorders>
              <w:top w:val="nil"/>
              <w:left w:val="nil"/>
              <w:bottom w:val="nil"/>
              <w:right w:val="nil"/>
            </w:tcBorders>
            <w:hideMark/>
          </w:tcPr>
          <w:p w14:paraId="4E9308D5" w14:textId="77777777" w:rsidR="00E91426" w:rsidRPr="00E91426" w:rsidRDefault="00E91426" w:rsidP="00E91426">
            <w:pPr>
              <w:widowControl/>
              <w:rPr>
                <w:rFonts w:ascii="Arial" w:eastAsia="Times New Roman" w:hAnsi="Arial" w:cs="Arial"/>
                <w:sz w:val="20"/>
                <w:szCs w:val="20"/>
                <w:lang w:val="en-GB" w:eastAsia="en-GB"/>
              </w:rPr>
            </w:pPr>
          </w:p>
        </w:tc>
        <w:tc>
          <w:tcPr>
            <w:tcW w:w="939" w:type="dxa"/>
            <w:tcBorders>
              <w:top w:val="nil"/>
              <w:left w:val="nil"/>
              <w:bottom w:val="nil"/>
              <w:right w:val="nil"/>
            </w:tcBorders>
            <w:hideMark/>
          </w:tcPr>
          <w:p w14:paraId="79C6B66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2024/25</w:t>
            </w:r>
          </w:p>
        </w:tc>
        <w:tc>
          <w:tcPr>
            <w:tcW w:w="222" w:type="dxa"/>
            <w:tcBorders>
              <w:top w:val="nil"/>
              <w:left w:val="nil"/>
              <w:bottom w:val="nil"/>
              <w:right w:val="nil"/>
            </w:tcBorders>
            <w:hideMark/>
          </w:tcPr>
          <w:p w14:paraId="57519F1B"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39" w:type="dxa"/>
            <w:tcBorders>
              <w:top w:val="nil"/>
              <w:left w:val="nil"/>
              <w:bottom w:val="nil"/>
              <w:right w:val="nil"/>
            </w:tcBorders>
            <w:hideMark/>
          </w:tcPr>
          <w:p w14:paraId="7151C67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2023/24</w:t>
            </w:r>
          </w:p>
        </w:tc>
      </w:tr>
      <w:tr w:rsidR="00E91426" w:rsidRPr="00E91426" w14:paraId="56541DEE" w14:textId="77777777" w:rsidTr="00E91426">
        <w:trPr>
          <w:trHeight w:val="282"/>
        </w:trPr>
        <w:tc>
          <w:tcPr>
            <w:tcW w:w="7160" w:type="dxa"/>
            <w:tcBorders>
              <w:top w:val="nil"/>
              <w:left w:val="nil"/>
              <w:bottom w:val="nil"/>
              <w:right w:val="nil"/>
            </w:tcBorders>
            <w:hideMark/>
          </w:tcPr>
          <w:p w14:paraId="1BC725B2"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39" w:type="dxa"/>
            <w:tcBorders>
              <w:top w:val="nil"/>
              <w:left w:val="nil"/>
              <w:bottom w:val="nil"/>
              <w:right w:val="nil"/>
            </w:tcBorders>
            <w:hideMark/>
          </w:tcPr>
          <w:p w14:paraId="41FDE78B"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222" w:type="dxa"/>
            <w:tcBorders>
              <w:top w:val="nil"/>
              <w:left w:val="nil"/>
              <w:bottom w:val="nil"/>
              <w:right w:val="nil"/>
            </w:tcBorders>
            <w:hideMark/>
          </w:tcPr>
          <w:p w14:paraId="44A89D15"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39" w:type="dxa"/>
            <w:tcBorders>
              <w:top w:val="nil"/>
              <w:left w:val="nil"/>
              <w:bottom w:val="nil"/>
              <w:right w:val="nil"/>
            </w:tcBorders>
            <w:hideMark/>
          </w:tcPr>
          <w:p w14:paraId="139F0373"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r>
      <w:tr w:rsidR="00E91426" w:rsidRPr="00E91426" w14:paraId="0B6C7B83" w14:textId="77777777" w:rsidTr="00E91426">
        <w:trPr>
          <w:trHeight w:val="282"/>
        </w:trPr>
        <w:tc>
          <w:tcPr>
            <w:tcW w:w="7160" w:type="dxa"/>
            <w:tcBorders>
              <w:top w:val="nil"/>
              <w:left w:val="nil"/>
              <w:bottom w:val="nil"/>
              <w:right w:val="nil"/>
            </w:tcBorders>
            <w:hideMark/>
          </w:tcPr>
          <w:p w14:paraId="740D146A"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Directors Remuneration</w:t>
            </w:r>
          </w:p>
        </w:tc>
        <w:tc>
          <w:tcPr>
            <w:tcW w:w="939" w:type="dxa"/>
            <w:tcBorders>
              <w:top w:val="nil"/>
              <w:left w:val="nil"/>
              <w:bottom w:val="nil"/>
              <w:right w:val="nil"/>
            </w:tcBorders>
            <w:hideMark/>
          </w:tcPr>
          <w:p w14:paraId="34D5285C"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1,329</w:t>
            </w:r>
          </w:p>
        </w:tc>
        <w:tc>
          <w:tcPr>
            <w:tcW w:w="222" w:type="dxa"/>
            <w:tcBorders>
              <w:top w:val="nil"/>
              <w:left w:val="nil"/>
              <w:bottom w:val="nil"/>
              <w:right w:val="nil"/>
            </w:tcBorders>
            <w:hideMark/>
          </w:tcPr>
          <w:p w14:paraId="707A2304"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939" w:type="dxa"/>
            <w:tcBorders>
              <w:top w:val="nil"/>
              <w:left w:val="nil"/>
              <w:bottom w:val="nil"/>
              <w:right w:val="nil"/>
            </w:tcBorders>
            <w:hideMark/>
          </w:tcPr>
          <w:p w14:paraId="189E493E"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1,064</w:t>
            </w:r>
          </w:p>
        </w:tc>
      </w:tr>
      <w:tr w:rsidR="00E91426" w:rsidRPr="00E91426" w14:paraId="6313195C" w14:textId="77777777" w:rsidTr="00E91426">
        <w:trPr>
          <w:trHeight w:val="282"/>
        </w:trPr>
        <w:tc>
          <w:tcPr>
            <w:tcW w:w="7160" w:type="dxa"/>
            <w:tcBorders>
              <w:top w:val="nil"/>
              <w:left w:val="nil"/>
              <w:bottom w:val="nil"/>
              <w:right w:val="nil"/>
            </w:tcBorders>
            <w:hideMark/>
          </w:tcPr>
          <w:p w14:paraId="5BCAF59A"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Social Security Costs</w:t>
            </w:r>
          </w:p>
        </w:tc>
        <w:tc>
          <w:tcPr>
            <w:tcW w:w="939" w:type="dxa"/>
            <w:tcBorders>
              <w:top w:val="nil"/>
              <w:left w:val="nil"/>
              <w:bottom w:val="nil"/>
              <w:right w:val="nil"/>
            </w:tcBorders>
            <w:hideMark/>
          </w:tcPr>
          <w:p w14:paraId="143D0ACF"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173</w:t>
            </w:r>
          </w:p>
        </w:tc>
        <w:tc>
          <w:tcPr>
            <w:tcW w:w="222" w:type="dxa"/>
            <w:tcBorders>
              <w:top w:val="nil"/>
              <w:left w:val="nil"/>
              <w:bottom w:val="nil"/>
              <w:right w:val="nil"/>
            </w:tcBorders>
            <w:hideMark/>
          </w:tcPr>
          <w:p w14:paraId="04D47654"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939" w:type="dxa"/>
            <w:tcBorders>
              <w:top w:val="nil"/>
              <w:left w:val="nil"/>
              <w:bottom w:val="nil"/>
              <w:right w:val="nil"/>
            </w:tcBorders>
            <w:hideMark/>
          </w:tcPr>
          <w:p w14:paraId="65CC20CC"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139</w:t>
            </w:r>
          </w:p>
        </w:tc>
      </w:tr>
      <w:tr w:rsidR="00E91426" w:rsidRPr="00E91426" w14:paraId="04722119" w14:textId="77777777" w:rsidTr="00E91426">
        <w:trPr>
          <w:trHeight w:val="282"/>
        </w:trPr>
        <w:tc>
          <w:tcPr>
            <w:tcW w:w="7160" w:type="dxa"/>
            <w:tcBorders>
              <w:top w:val="nil"/>
              <w:left w:val="nil"/>
              <w:bottom w:val="nil"/>
              <w:right w:val="nil"/>
            </w:tcBorders>
            <w:hideMark/>
          </w:tcPr>
          <w:p w14:paraId="6EC0C3CC"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Employer contributions to NHS Pension scheme</w:t>
            </w:r>
          </w:p>
        </w:tc>
        <w:tc>
          <w:tcPr>
            <w:tcW w:w="939" w:type="dxa"/>
            <w:tcBorders>
              <w:top w:val="nil"/>
              <w:left w:val="nil"/>
              <w:bottom w:val="nil"/>
              <w:right w:val="nil"/>
            </w:tcBorders>
            <w:hideMark/>
          </w:tcPr>
          <w:p w14:paraId="74246018"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149</w:t>
            </w:r>
          </w:p>
        </w:tc>
        <w:tc>
          <w:tcPr>
            <w:tcW w:w="222" w:type="dxa"/>
            <w:tcBorders>
              <w:top w:val="nil"/>
              <w:left w:val="nil"/>
              <w:bottom w:val="nil"/>
              <w:right w:val="nil"/>
            </w:tcBorders>
            <w:hideMark/>
          </w:tcPr>
          <w:p w14:paraId="328763A4"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939" w:type="dxa"/>
            <w:tcBorders>
              <w:top w:val="nil"/>
              <w:left w:val="nil"/>
              <w:bottom w:val="nil"/>
              <w:right w:val="nil"/>
            </w:tcBorders>
            <w:hideMark/>
          </w:tcPr>
          <w:p w14:paraId="0F066C37"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120</w:t>
            </w:r>
          </w:p>
        </w:tc>
      </w:tr>
      <w:tr w:rsidR="00E91426" w:rsidRPr="00E91426" w14:paraId="450ED6E8" w14:textId="77777777" w:rsidTr="00E91426">
        <w:trPr>
          <w:trHeight w:val="282"/>
        </w:trPr>
        <w:tc>
          <w:tcPr>
            <w:tcW w:w="7160" w:type="dxa"/>
            <w:tcBorders>
              <w:top w:val="nil"/>
              <w:left w:val="nil"/>
              <w:bottom w:val="nil"/>
              <w:right w:val="nil"/>
            </w:tcBorders>
            <w:hideMark/>
          </w:tcPr>
          <w:p w14:paraId="296C6884"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Total remuneration</w:t>
            </w:r>
          </w:p>
        </w:tc>
        <w:tc>
          <w:tcPr>
            <w:tcW w:w="939" w:type="dxa"/>
            <w:tcBorders>
              <w:top w:val="single" w:sz="4" w:space="0" w:color="auto"/>
              <w:left w:val="nil"/>
              <w:bottom w:val="double" w:sz="6" w:space="0" w:color="auto"/>
              <w:right w:val="nil"/>
            </w:tcBorders>
            <w:noWrap/>
            <w:hideMark/>
          </w:tcPr>
          <w:p w14:paraId="3EF25EC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1,651</w:t>
            </w:r>
          </w:p>
        </w:tc>
        <w:tc>
          <w:tcPr>
            <w:tcW w:w="222" w:type="dxa"/>
            <w:tcBorders>
              <w:top w:val="nil"/>
              <w:left w:val="nil"/>
              <w:bottom w:val="nil"/>
              <w:right w:val="nil"/>
            </w:tcBorders>
            <w:hideMark/>
          </w:tcPr>
          <w:p w14:paraId="732AD56D"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39" w:type="dxa"/>
            <w:tcBorders>
              <w:top w:val="single" w:sz="4" w:space="0" w:color="auto"/>
              <w:left w:val="nil"/>
              <w:bottom w:val="double" w:sz="6" w:space="0" w:color="auto"/>
              <w:right w:val="nil"/>
            </w:tcBorders>
            <w:noWrap/>
            <w:hideMark/>
          </w:tcPr>
          <w:p w14:paraId="4D4AAE55"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1,323</w:t>
            </w:r>
          </w:p>
        </w:tc>
      </w:tr>
      <w:tr w:rsidR="00E91426" w:rsidRPr="00E91426" w14:paraId="7DCA269F" w14:textId="77777777" w:rsidTr="00E91426">
        <w:trPr>
          <w:trHeight w:val="282"/>
        </w:trPr>
        <w:tc>
          <w:tcPr>
            <w:tcW w:w="7160" w:type="dxa"/>
            <w:tcBorders>
              <w:top w:val="nil"/>
              <w:left w:val="nil"/>
              <w:bottom w:val="nil"/>
              <w:right w:val="nil"/>
            </w:tcBorders>
            <w:hideMark/>
          </w:tcPr>
          <w:p w14:paraId="65576EED"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39" w:type="dxa"/>
            <w:tcBorders>
              <w:top w:val="nil"/>
              <w:left w:val="nil"/>
              <w:bottom w:val="nil"/>
              <w:right w:val="nil"/>
            </w:tcBorders>
            <w:hideMark/>
          </w:tcPr>
          <w:p w14:paraId="66476279" w14:textId="77777777" w:rsidR="00E91426" w:rsidRPr="00E91426" w:rsidRDefault="00E91426" w:rsidP="00E91426">
            <w:pPr>
              <w:widowControl/>
              <w:rPr>
                <w:rFonts w:ascii="Arial" w:eastAsia="Times New Roman" w:hAnsi="Arial" w:cs="Arial"/>
                <w:sz w:val="20"/>
                <w:szCs w:val="20"/>
                <w:lang w:val="en-GB" w:eastAsia="en-GB"/>
              </w:rPr>
            </w:pPr>
          </w:p>
        </w:tc>
        <w:tc>
          <w:tcPr>
            <w:tcW w:w="222" w:type="dxa"/>
            <w:tcBorders>
              <w:top w:val="nil"/>
              <w:left w:val="nil"/>
              <w:bottom w:val="nil"/>
              <w:right w:val="nil"/>
            </w:tcBorders>
            <w:hideMark/>
          </w:tcPr>
          <w:p w14:paraId="5B9996C5" w14:textId="77777777" w:rsidR="00E91426" w:rsidRPr="00E91426" w:rsidRDefault="00E91426" w:rsidP="00E91426">
            <w:pPr>
              <w:widowControl/>
              <w:rPr>
                <w:rFonts w:ascii="Arial" w:eastAsia="Times New Roman" w:hAnsi="Arial" w:cs="Arial"/>
                <w:sz w:val="20"/>
                <w:szCs w:val="20"/>
                <w:lang w:val="en-GB" w:eastAsia="en-GB"/>
              </w:rPr>
            </w:pPr>
          </w:p>
        </w:tc>
        <w:tc>
          <w:tcPr>
            <w:tcW w:w="939" w:type="dxa"/>
            <w:tcBorders>
              <w:top w:val="nil"/>
              <w:left w:val="nil"/>
              <w:bottom w:val="nil"/>
              <w:right w:val="nil"/>
            </w:tcBorders>
            <w:hideMark/>
          </w:tcPr>
          <w:p w14:paraId="2E39E31A"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49A79E1E" w14:textId="77777777" w:rsidTr="00E91426">
        <w:trPr>
          <w:trHeight w:val="615"/>
        </w:trPr>
        <w:tc>
          <w:tcPr>
            <w:tcW w:w="9260" w:type="dxa"/>
            <w:gridSpan w:val="4"/>
            <w:tcBorders>
              <w:top w:val="nil"/>
              <w:left w:val="nil"/>
              <w:bottom w:val="nil"/>
              <w:right w:val="nil"/>
            </w:tcBorders>
            <w:hideMark/>
          </w:tcPr>
          <w:p w14:paraId="4F389B38" w14:textId="77777777" w:rsidR="00E91426" w:rsidRPr="00E91426" w:rsidRDefault="00E91426" w:rsidP="00E91426">
            <w:pPr>
              <w:widowControl/>
              <w:jc w:val="both"/>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6 Directors are accruing pension benefits under the NHS Pension defined benefit scheme (2023/24; 6)</w:t>
            </w:r>
          </w:p>
        </w:tc>
      </w:tr>
      <w:tr w:rsidR="00E91426" w:rsidRPr="00E91426" w14:paraId="6866FE1C" w14:textId="77777777" w:rsidTr="00E91426">
        <w:trPr>
          <w:trHeight w:val="282"/>
        </w:trPr>
        <w:tc>
          <w:tcPr>
            <w:tcW w:w="7160" w:type="dxa"/>
            <w:tcBorders>
              <w:top w:val="nil"/>
              <w:left w:val="nil"/>
              <w:bottom w:val="nil"/>
              <w:right w:val="nil"/>
            </w:tcBorders>
            <w:hideMark/>
          </w:tcPr>
          <w:p w14:paraId="3E69B885"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Note 6.2 Retirements due to ill-health</w:t>
            </w:r>
          </w:p>
        </w:tc>
        <w:tc>
          <w:tcPr>
            <w:tcW w:w="939" w:type="dxa"/>
            <w:tcBorders>
              <w:top w:val="nil"/>
              <w:left w:val="nil"/>
              <w:bottom w:val="nil"/>
              <w:right w:val="nil"/>
            </w:tcBorders>
            <w:hideMark/>
          </w:tcPr>
          <w:p w14:paraId="78D89510"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222" w:type="dxa"/>
            <w:tcBorders>
              <w:top w:val="nil"/>
              <w:left w:val="nil"/>
              <w:bottom w:val="nil"/>
              <w:right w:val="nil"/>
            </w:tcBorders>
            <w:hideMark/>
          </w:tcPr>
          <w:p w14:paraId="27DB8358" w14:textId="77777777" w:rsidR="00E91426" w:rsidRPr="00E91426" w:rsidRDefault="00E91426" w:rsidP="00E91426">
            <w:pPr>
              <w:widowControl/>
              <w:rPr>
                <w:rFonts w:ascii="Arial" w:eastAsia="Times New Roman" w:hAnsi="Arial" w:cs="Arial"/>
                <w:sz w:val="20"/>
                <w:szCs w:val="20"/>
                <w:lang w:val="en-GB" w:eastAsia="en-GB"/>
              </w:rPr>
            </w:pPr>
          </w:p>
        </w:tc>
        <w:tc>
          <w:tcPr>
            <w:tcW w:w="939" w:type="dxa"/>
            <w:tcBorders>
              <w:top w:val="nil"/>
              <w:left w:val="nil"/>
              <w:bottom w:val="nil"/>
              <w:right w:val="nil"/>
            </w:tcBorders>
            <w:hideMark/>
          </w:tcPr>
          <w:p w14:paraId="2B4A9C9D"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1BC5FAE4" w14:textId="77777777" w:rsidTr="00E91426">
        <w:trPr>
          <w:trHeight w:val="120"/>
        </w:trPr>
        <w:tc>
          <w:tcPr>
            <w:tcW w:w="7160" w:type="dxa"/>
            <w:tcBorders>
              <w:top w:val="nil"/>
              <w:left w:val="nil"/>
              <w:bottom w:val="nil"/>
              <w:right w:val="nil"/>
            </w:tcBorders>
            <w:hideMark/>
          </w:tcPr>
          <w:p w14:paraId="522F7886" w14:textId="77777777" w:rsidR="00E91426" w:rsidRPr="00E91426" w:rsidRDefault="00E91426" w:rsidP="00E91426">
            <w:pPr>
              <w:widowControl/>
              <w:rPr>
                <w:rFonts w:ascii="Arial" w:eastAsia="Times New Roman" w:hAnsi="Arial" w:cs="Arial"/>
                <w:sz w:val="20"/>
                <w:szCs w:val="20"/>
                <w:lang w:val="en-GB" w:eastAsia="en-GB"/>
              </w:rPr>
            </w:pPr>
          </w:p>
        </w:tc>
        <w:tc>
          <w:tcPr>
            <w:tcW w:w="939" w:type="dxa"/>
            <w:tcBorders>
              <w:top w:val="nil"/>
              <w:left w:val="nil"/>
              <w:bottom w:val="nil"/>
              <w:right w:val="nil"/>
            </w:tcBorders>
            <w:hideMark/>
          </w:tcPr>
          <w:p w14:paraId="022F8C4B" w14:textId="77777777" w:rsidR="00E91426" w:rsidRPr="00E91426" w:rsidRDefault="00E91426" w:rsidP="00E91426">
            <w:pPr>
              <w:widowControl/>
              <w:rPr>
                <w:rFonts w:ascii="Arial" w:eastAsia="Times New Roman" w:hAnsi="Arial" w:cs="Arial"/>
                <w:sz w:val="20"/>
                <w:szCs w:val="20"/>
                <w:lang w:val="en-GB" w:eastAsia="en-GB"/>
              </w:rPr>
            </w:pPr>
          </w:p>
        </w:tc>
        <w:tc>
          <w:tcPr>
            <w:tcW w:w="222" w:type="dxa"/>
            <w:tcBorders>
              <w:top w:val="nil"/>
              <w:left w:val="nil"/>
              <w:bottom w:val="nil"/>
              <w:right w:val="nil"/>
            </w:tcBorders>
            <w:hideMark/>
          </w:tcPr>
          <w:p w14:paraId="7525C407" w14:textId="77777777" w:rsidR="00E91426" w:rsidRPr="00E91426" w:rsidRDefault="00E91426" w:rsidP="00E91426">
            <w:pPr>
              <w:widowControl/>
              <w:rPr>
                <w:rFonts w:ascii="Arial" w:eastAsia="Times New Roman" w:hAnsi="Arial" w:cs="Arial"/>
                <w:sz w:val="20"/>
                <w:szCs w:val="20"/>
                <w:lang w:val="en-GB" w:eastAsia="en-GB"/>
              </w:rPr>
            </w:pPr>
          </w:p>
        </w:tc>
        <w:tc>
          <w:tcPr>
            <w:tcW w:w="939" w:type="dxa"/>
            <w:tcBorders>
              <w:top w:val="nil"/>
              <w:left w:val="nil"/>
              <w:bottom w:val="nil"/>
              <w:right w:val="nil"/>
            </w:tcBorders>
            <w:hideMark/>
          </w:tcPr>
          <w:p w14:paraId="44DE35E2"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7104B040" w14:textId="77777777" w:rsidTr="00E91426">
        <w:trPr>
          <w:trHeight w:val="450"/>
        </w:trPr>
        <w:tc>
          <w:tcPr>
            <w:tcW w:w="9260" w:type="dxa"/>
            <w:gridSpan w:val="4"/>
            <w:vMerge w:val="restart"/>
            <w:tcBorders>
              <w:top w:val="nil"/>
              <w:left w:val="nil"/>
              <w:bottom w:val="nil"/>
              <w:right w:val="nil"/>
            </w:tcBorders>
            <w:hideMark/>
          </w:tcPr>
          <w:p w14:paraId="1536C3DD" w14:textId="77777777" w:rsidR="00E91426" w:rsidRPr="00E91426" w:rsidRDefault="00E91426" w:rsidP="00E91426">
            <w:pPr>
              <w:widowControl/>
              <w:jc w:val="both"/>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During 2024/25 there were 3 early retirements from the Trust agreed on the grounds of ill-health with an estimated total additional pension liability of £76k (6 totalling £577k in 2023/24).  These estimated costs are calculated on an average basis and will be borne by the NHS Pension Scheme.</w:t>
            </w:r>
          </w:p>
        </w:tc>
      </w:tr>
      <w:tr w:rsidR="00E91426" w:rsidRPr="00E91426" w14:paraId="4F136232" w14:textId="77777777" w:rsidTr="00E91426">
        <w:trPr>
          <w:trHeight w:val="450"/>
        </w:trPr>
        <w:tc>
          <w:tcPr>
            <w:tcW w:w="9260" w:type="dxa"/>
            <w:gridSpan w:val="4"/>
            <w:vMerge/>
            <w:tcBorders>
              <w:top w:val="nil"/>
              <w:left w:val="nil"/>
              <w:bottom w:val="nil"/>
              <w:right w:val="nil"/>
            </w:tcBorders>
            <w:vAlign w:val="center"/>
            <w:hideMark/>
          </w:tcPr>
          <w:p w14:paraId="5BEA8594" w14:textId="77777777" w:rsidR="00E91426" w:rsidRPr="00E91426" w:rsidRDefault="00E91426" w:rsidP="00E91426">
            <w:pPr>
              <w:widowControl/>
              <w:jc w:val="both"/>
              <w:rPr>
                <w:rFonts w:ascii="Arial" w:eastAsia="Times New Roman" w:hAnsi="Arial" w:cs="Arial"/>
                <w:color w:val="000000"/>
                <w:sz w:val="20"/>
                <w:szCs w:val="20"/>
                <w:lang w:val="en-GB" w:eastAsia="en-GB"/>
              </w:rPr>
            </w:pPr>
          </w:p>
        </w:tc>
      </w:tr>
      <w:tr w:rsidR="00E91426" w:rsidRPr="00E91426" w14:paraId="0ED2449A" w14:textId="77777777" w:rsidTr="00E91426">
        <w:trPr>
          <w:trHeight w:val="255"/>
        </w:trPr>
        <w:tc>
          <w:tcPr>
            <w:tcW w:w="7160" w:type="dxa"/>
            <w:tcBorders>
              <w:top w:val="nil"/>
              <w:left w:val="nil"/>
              <w:bottom w:val="nil"/>
              <w:right w:val="nil"/>
            </w:tcBorders>
            <w:hideMark/>
          </w:tcPr>
          <w:p w14:paraId="35AAF36D" w14:textId="77777777" w:rsidR="00E91426" w:rsidRPr="00E91426" w:rsidRDefault="00E91426" w:rsidP="00E91426">
            <w:pPr>
              <w:widowControl/>
              <w:jc w:val="both"/>
              <w:rPr>
                <w:rFonts w:ascii="Arial" w:eastAsia="Times New Roman" w:hAnsi="Arial" w:cs="Arial"/>
                <w:color w:val="000000"/>
                <w:sz w:val="20"/>
                <w:szCs w:val="20"/>
                <w:lang w:val="en-GB" w:eastAsia="en-GB"/>
              </w:rPr>
            </w:pPr>
          </w:p>
        </w:tc>
        <w:tc>
          <w:tcPr>
            <w:tcW w:w="939" w:type="dxa"/>
            <w:tcBorders>
              <w:top w:val="nil"/>
              <w:left w:val="nil"/>
              <w:bottom w:val="nil"/>
              <w:right w:val="nil"/>
            </w:tcBorders>
            <w:hideMark/>
          </w:tcPr>
          <w:p w14:paraId="7A497F93" w14:textId="77777777" w:rsidR="00E91426" w:rsidRPr="00E91426" w:rsidRDefault="00E91426" w:rsidP="00E91426">
            <w:pPr>
              <w:widowControl/>
              <w:jc w:val="both"/>
              <w:rPr>
                <w:rFonts w:ascii="Arial" w:eastAsia="Times New Roman" w:hAnsi="Arial" w:cs="Arial"/>
                <w:sz w:val="20"/>
                <w:szCs w:val="20"/>
                <w:lang w:val="en-GB" w:eastAsia="en-GB"/>
              </w:rPr>
            </w:pPr>
          </w:p>
        </w:tc>
        <w:tc>
          <w:tcPr>
            <w:tcW w:w="222" w:type="dxa"/>
            <w:tcBorders>
              <w:top w:val="nil"/>
              <w:left w:val="nil"/>
              <w:bottom w:val="nil"/>
              <w:right w:val="nil"/>
            </w:tcBorders>
            <w:hideMark/>
          </w:tcPr>
          <w:p w14:paraId="70B02894" w14:textId="77777777" w:rsidR="00E91426" w:rsidRPr="00E91426" w:rsidRDefault="00E91426" w:rsidP="00E91426">
            <w:pPr>
              <w:widowControl/>
              <w:jc w:val="both"/>
              <w:rPr>
                <w:rFonts w:ascii="Arial" w:eastAsia="Times New Roman" w:hAnsi="Arial" w:cs="Arial"/>
                <w:sz w:val="20"/>
                <w:szCs w:val="20"/>
                <w:lang w:val="en-GB" w:eastAsia="en-GB"/>
              </w:rPr>
            </w:pPr>
          </w:p>
        </w:tc>
        <w:tc>
          <w:tcPr>
            <w:tcW w:w="939" w:type="dxa"/>
            <w:tcBorders>
              <w:top w:val="nil"/>
              <w:left w:val="nil"/>
              <w:bottom w:val="nil"/>
              <w:right w:val="nil"/>
            </w:tcBorders>
            <w:hideMark/>
          </w:tcPr>
          <w:p w14:paraId="3111B179" w14:textId="77777777" w:rsidR="00E91426" w:rsidRPr="00E91426" w:rsidRDefault="00E91426" w:rsidP="00E91426">
            <w:pPr>
              <w:widowControl/>
              <w:jc w:val="both"/>
              <w:rPr>
                <w:rFonts w:ascii="Arial" w:eastAsia="Times New Roman" w:hAnsi="Arial" w:cs="Arial"/>
                <w:sz w:val="20"/>
                <w:szCs w:val="20"/>
                <w:lang w:val="en-GB" w:eastAsia="en-GB"/>
              </w:rPr>
            </w:pPr>
          </w:p>
        </w:tc>
      </w:tr>
      <w:tr w:rsidR="00E91426" w:rsidRPr="00E91426" w14:paraId="657B272B" w14:textId="77777777" w:rsidTr="00E91426">
        <w:trPr>
          <w:trHeight w:val="255"/>
        </w:trPr>
        <w:tc>
          <w:tcPr>
            <w:tcW w:w="9260" w:type="dxa"/>
            <w:gridSpan w:val="4"/>
            <w:tcBorders>
              <w:top w:val="nil"/>
              <w:left w:val="nil"/>
              <w:bottom w:val="nil"/>
              <w:right w:val="nil"/>
            </w:tcBorders>
            <w:hideMark/>
          </w:tcPr>
          <w:p w14:paraId="339E9306" w14:textId="77777777" w:rsidR="00E91426" w:rsidRPr="00E91426" w:rsidRDefault="00E91426" w:rsidP="00E91426">
            <w:pPr>
              <w:widowControl/>
              <w:jc w:val="both"/>
              <w:rPr>
                <w:rFonts w:ascii="Arial" w:eastAsia="Times New Roman" w:hAnsi="Arial" w:cs="Arial"/>
                <w:color w:val="000000"/>
                <w:sz w:val="20"/>
                <w:szCs w:val="20"/>
                <w:lang w:val="en-GB" w:eastAsia="en-GB"/>
              </w:rPr>
            </w:pPr>
            <w:r w:rsidRPr="00E91426">
              <w:rPr>
                <w:rFonts w:ascii="Arial" w:eastAsia="Times New Roman" w:hAnsi="Arial" w:cs="Arial"/>
                <w:b/>
                <w:bCs/>
                <w:color w:val="000000"/>
                <w:sz w:val="20"/>
                <w:szCs w:val="20"/>
                <w:lang w:val="en-GB" w:eastAsia="en-GB"/>
              </w:rPr>
              <w:t>Please Note:</w:t>
            </w:r>
            <w:r w:rsidRPr="00E91426">
              <w:rPr>
                <w:rFonts w:ascii="Arial" w:eastAsia="Times New Roman" w:hAnsi="Arial" w:cs="Arial"/>
                <w:color w:val="000000"/>
                <w:sz w:val="20"/>
                <w:szCs w:val="20"/>
                <w:lang w:val="en-GB" w:eastAsia="en-GB"/>
              </w:rPr>
              <w:t xml:space="preserve"> In line with the HM Treasury requirements, some previous accounts disclosures relating to staff costs are now required to be included in the staff report section of the annual report instead. </w:t>
            </w:r>
          </w:p>
        </w:tc>
      </w:tr>
      <w:tr w:rsidR="00E91426" w:rsidRPr="00E91426" w14:paraId="1C395210" w14:textId="77777777" w:rsidTr="00E91426">
        <w:trPr>
          <w:trHeight w:val="282"/>
        </w:trPr>
        <w:tc>
          <w:tcPr>
            <w:tcW w:w="7160" w:type="dxa"/>
            <w:tcBorders>
              <w:top w:val="nil"/>
              <w:left w:val="nil"/>
              <w:bottom w:val="nil"/>
              <w:right w:val="nil"/>
            </w:tcBorders>
            <w:hideMark/>
          </w:tcPr>
          <w:p w14:paraId="409A7C3B" w14:textId="77777777" w:rsidR="00E91426" w:rsidRPr="00E91426" w:rsidRDefault="00E91426" w:rsidP="00E91426">
            <w:pPr>
              <w:widowControl/>
              <w:jc w:val="both"/>
              <w:rPr>
                <w:rFonts w:ascii="Arial" w:eastAsia="Times New Roman" w:hAnsi="Arial" w:cs="Arial"/>
                <w:color w:val="000000"/>
                <w:sz w:val="20"/>
                <w:szCs w:val="20"/>
                <w:lang w:val="en-GB" w:eastAsia="en-GB"/>
              </w:rPr>
            </w:pPr>
          </w:p>
        </w:tc>
        <w:tc>
          <w:tcPr>
            <w:tcW w:w="939" w:type="dxa"/>
            <w:tcBorders>
              <w:top w:val="nil"/>
              <w:left w:val="nil"/>
              <w:bottom w:val="nil"/>
              <w:right w:val="nil"/>
            </w:tcBorders>
            <w:hideMark/>
          </w:tcPr>
          <w:p w14:paraId="019CB496" w14:textId="77777777" w:rsidR="00E91426" w:rsidRPr="00E91426" w:rsidRDefault="00E91426" w:rsidP="00E91426">
            <w:pPr>
              <w:widowControl/>
              <w:jc w:val="both"/>
              <w:rPr>
                <w:rFonts w:ascii="Arial" w:eastAsia="Times New Roman" w:hAnsi="Arial" w:cs="Arial"/>
                <w:sz w:val="20"/>
                <w:szCs w:val="20"/>
                <w:lang w:val="en-GB" w:eastAsia="en-GB"/>
              </w:rPr>
            </w:pPr>
          </w:p>
        </w:tc>
        <w:tc>
          <w:tcPr>
            <w:tcW w:w="222" w:type="dxa"/>
            <w:tcBorders>
              <w:top w:val="nil"/>
              <w:left w:val="nil"/>
              <w:bottom w:val="nil"/>
              <w:right w:val="nil"/>
            </w:tcBorders>
            <w:hideMark/>
          </w:tcPr>
          <w:p w14:paraId="73C8871A" w14:textId="77777777" w:rsidR="00E91426" w:rsidRPr="00E91426" w:rsidRDefault="00E91426" w:rsidP="00E91426">
            <w:pPr>
              <w:widowControl/>
              <w:rPr>
                <w:rFonts w:ascii="Arial" w:eastAsia="Times New Roman" w:hAnsi="Arial" w:cs="Arial"/>
                <w:sz w:val="20"/>
                <w:szCs w:val="20"/>
                <w:lang w:val="en-GB" w:eastAsia="en-GB"/>
              </w:rPr>
            </w:pPr>
          </w:p>
        </w:tc>
        <w:tc>
          <w:tcPr>
            <w:tcW w:w="939" w:type="dxa"/>
            <w:tcBorders>
              <w:top w:val="nil"/>
              <w:left w:val="nil"/>
              <w:bottom w:val="nil"/>
              <w:right w:val="nil"/>
            </w:tcBorders>
            <w:hideMark/>
          </w:tcPr>
          <w:p w14:paraId="6EF3DB84"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4B1A16C4" w14:textId="77777777" w:rsidTr="00E91426">
        <w:trPr>
          <w:trHeight w:val="282"/>
        </w:trPr>
        <w:tc>
          <w:tcPr>
            <w:tcW w:w="7160" w:type="dxa"/>
            <w:tcBorders>
              <w:top w:val="nil"/>
              <w:left w:val="nil"/>
              <w:bottom w:val="nil"/>
              <w:right w:val="nil"/>
            </w:tcBorders>
            <w:hideMark/>
          </w:tcPr>
          <w:p w14:paraId="5E0DF412" w14:textId="77777777" w:rsidR="00E91426" w:rsidRPr="00E91426" w:rsidRDefault="00E91426" w:rsidP="00E91426">
            <w:pPr>
              <w:widowControl/>
              <w:rPr>
                <w:rFonts w:ascii="Arial" w:eastAsia="Times New Roman" w:hAnsi="Arial" w:cs="Arial"/>
                <w:sz w:val="20"/>
                <w:szCs w:val="20"/>
                <w:lang w:val="en-GB" w:eastAsia="en-GB"/>
              </w:rPr>
            </w:pPr>
          </w:p>
        </w:tc>
        <w:tc>
          <w:tcPr>
            <w:tcW w:w="939" w:type="dxa"/>
            <w:tcBorders>
              <w:top w:val="nil"/>
              <w:left w:val="nil"/>
              <w:bottom w:val="nil"/>
              <w:right w:val="nil"/>
            </w:tcBorders>
            <w:hideMark/>
          </w:tcPr>
          <w:p w14:paraId="58594296" w14:textId="77777777" w:rsidR="00E91426" w:rsidRPr="00E91426" w:rsidRDefault="00E91426" w:rsidP="00E91426">
            <w:pPr>
              <w:widowControl/>
              <w:rPr>
                <w:rFonts w:ascii="Arial" w:eastAsia="Times New Roman" w:hAnsi="Arial" w:cs="Arial"/>
                <w:sz w:val="20"/>
                <w:szCs w:val="20"/>
                <w:lang w:val="en-GB" w:eastAsia="en-GB"/>
              </w:rPr>
            </w:pPr>
          </w:p>
        </w:tc>
        <w:tc>
          <w:tcPr>
            <w:tcW w:w="222" w:type="dxa"/>
            <w:tcBorders>
              <w:top w:val="nil"/>
              <w:left w:val="nil"/>
              <w:bottom w:val="nil"/>
              <w:right w:val="nil"/>
            </w:tcBorders>
            <w:hideMark/>
          </w:tcPr>
          <w:p w14:paraId="735C4B7B" w14:textId="77777777" w:rsidR="00E91426" w:rsidRPr="00E91426" w:rsidRDefault="00E91426" w:rsidP="00E91426">
            <w:pPr>
              <w:widowControl/>
              <w:rPr>
                <w:rFonts w:ascii="Arial" w:eastAsia="Times New Roman" w:hAnsi="Arial" w:cs="Arial"/>
                <w:sz w:val="20"/>
                <w:szCs w:val="20"/>
                <w:lang w:val="en-GB" w:eastAsia="en-GB"/>
              </w:rPr>
            </w:pPr>
          </w:p>
        </w:tc>
        <w:tc>
          <w:tcPr>
            <w:tcW w:w="939" w:type="dxa"/>
            <w:tcBorders>
              <w:top w:val="nil"/>
              <w:left w:val="nil"/>
              <w:bottom w:val="nil"/>
              <w:right w:val="nil"/>
            </w:tcBorders>
            <w:hideMark/>
          </w:tcPr>
          <w:p w14:paraId="36C8A977"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313FD672" w14:textId="77777777" w:rsidTr="00E91426">
        <w:trPr>
          <w:trHeight w:val="282"/>
        </w:trPr>
        <w:tc>
          <w:tcPr>
            <w:tcW w:w="7160" w:type="dxa"/>
            <w:tcBorders>
              <w:top w:val="nil"/>
              <w:left w:val="nil"/>
              <w:bottom w:val="nil"/>
              <w:right w:val="nil"/>
            </w:tcBorders>
          </w:tcPr>
          <w:p w14:paraId="5D0EC277" w14:textId="77777777" w:rsidR="00E91426" w:rsidRDefault="00E91426" w:rsidP="00E91426">
            <w:pPr>
              <w:widowControl/>
              <w:rPr>
                <w:rFonts w:ascii="Arial" w:eastAsia="Times New Roman" w:hAnsi="Arial" w:cs="Arial"/>
                <w:sz w:val="20"/>
                <w:szCs w:val="20"/>
                <w:lang w:val="en-GB" w:eastAsia="en-GB"/>
              </w:rPr>
            </w:pPr>
          </w:p>
          <w:p w14:paraId="37E55EDE" w14:textId="77777777" w:rsidR="00E91426" w:rsidRDefault="00E91426" w:rsidP="00E91426">
            <w:pPr>
              <w:widowControl/>
              <w:rPr>
                <w:rFonts w:ascii="Arial" w:eastAsia="Times New Roman" w:hAnsi="Arial" w:cs="Arial"/>
                <w:sz w:val="20"/>
                <w:szCs w:val="20"/>
                <w:lang w:val="en-GB" w:eastAsia="en-GB"/>
              </w:rPr>
            </w:pPr>
          </w:p>
          <w:p w14:paraId="2B56292D" w14:textId="77777777" w:rsidR="00E91426" w:rsidRDefault="00E91426" w:rsidP="00E91426">
            <w:pPr>
              <w:widowControl/>
              <w:rPr>
                <w:rFonts w:ascii="Arial" w:eastAsia="Times New Roman" w:hAnsi="Arial" w:cs="Arial"/>
                <w:sz w:val="20"/>
                <w:szCs w:val="20"/>
                <w:lang w:val="en-GB" w:eastAsia="en-GB"/>
              </w:rPr>
            </w:pPr>
          </w:p>
          <w:p w14:paraId="0F971B30" w14:textId="77777777" w:rsidR="00E91426" w:rsidRDefault="00E91426" w:rsidP="00E91426">
            <w:pPr>
              <w:widowControl/>
              <w:rPr>
                <w:rFonts w:ascii="Arial" w:eastAsia="Times New Roman" w:hAnsi="Arial" w:cs="Arial"/>
                <w:sz w:val="20"/>
                <w:szCs w:val="20"/>
                <w:lang w:val="en-GB" w:eastAsia="en-GB"/>
              </w:rPr>
            </w:pPr>
          </w:p>
          <w:p w14:paraId="575923BB" w14:textId="77777777" w:rsidR="00E91426" w:rsidRDefault="00E91426" w:rsidP="00E91426">
            <w:pPr>
              <w:widowControl/>
              <w:rPr>
                <w:rFonts w:ascii="Arial" w:eastAsia="Times New Roman" w:hAnsi="Arial" w:cs="Arial"/>
                <w:sz w:val="20"/>
                <w:szCs w:val="20"/>
                <w:lang w:val="en-GB" w:eastAsia="en-GB"/>
              </w:rPr>
            </w:pPr>
          </w:p>
          <w:p w14:paraId="0B35F880" w14:textId="77777777" w:rsidR="00E91426" w:rsidRDefault="00E91426" w:rsidP="00E91426">
            <w:pPr>
              <w:widowControl/>
              <w:rPr>
                <w:rFonts w:ascii="Arial" w:eastAsia="Times New Roman" w:hAnsi="Arial" w:cs="Arial"/>
                <w:sz w:val="20"/>
                <w:szCs w:val="20"/>
                <w:lang w:val="en-GB" w:eastAsia="en-GB"/>
              </w:rPr>
            </w:pPr>
          </w:p>
          <w:p w14:paraId="61006255" w14:textId="77777777" w:rsidR="00E91426" w:rsidRDefault="00E91426" w:rsidP="00E91426">
            <w:pPr>
              <w:widowControl/>
              <w:rPr>
                <w:rFonts w:ascii="Arial" w:eastAsia="Times New Roman" w:hAnsi="Arial" w:cs="Arial"/>
                <w:sz w:val="20"/>
                <w:szCs w:val="20"/>
                <w:lang w:val="en-GB" w:eastAsia="en-GB"/>
              </w:rPr>
            </w:pPr>
          </w:p>
          <w:p w14:paraId="51D73810" w14:textId="77777777" w:rsidR="00E91426" w:rsidRDefault="00E91426" w:rsidP="00E91426">
            <w:pPr>
              <w:widowControl/>
              <w:rPr>
                <w:rFonts w:ascii="Arial" w:eastAsia="Times New Roman" w:hAnsi="Arial" w:cs="Arial"/>
                <w:sz w:val="20"/>
                <w:szCs w:val="20"/>
                <w:lang w:val="en-GB" w:eastAsia="en-GB"/>
              </w:rPr>
            </w:pPr>
          </w:p>
          <w:p w14:paraId="2367DBCE" w14:textId="77777777" w:rsidR="00E91426" w:rsidRDefault="00E91426" w:rsidP="00E91426">
            <w:pPr>
              <w:widowControl/>
              <w:rPr>
                <w:rFonts w:ascii="Arial" w:eastAsia="Times New Roman" w:hAnsi="Arial" w:cs="Arial"/>
                <w:sz w:val="20"/>
                <w:szCs w:val="20"/>
                <w:lang w:val="en-GB" w:eastAsia="en-GB"/>
              </w:rPr>
            </w:pPr>
          </w:p>
          <w:p w14:paraId="5256AEC4" w14:textId="77777777" w:rsidR="00E91426" w:rsidRDefault="00E91426" w:rsidP="00E91426">
            <w:pPr>
              <w:widowControl/>
              <w:rPr>
                <w:rFonts w:ascii="Arial" w:eastAsia="Times New Roman" w:hAnsi="Arial" w:cs="Arial"/>
                <w:sz w:val="20"/>
                <w:szCs w:val="20"/>
                <w:lang w:val="en-GB" w:eastAsia="en-GB"/>
              </w:rPr>
            </w:pPr>
          </w:p>
          <w:p w14:paraId="33F28F95" w14:textId="77777777" w:rsidR="00E91426" w:rsidRDefault="00E91426" w:rsidP="00E91426">
            <w:pPr>
              <w:widowControl/>
              <w:rPr>
                <w:rFonts w:ascii="Arial" w:eastAsia="Times New Roman" w:hAnsi="Arial" w:cs="Arial"/>
                <w:sz w:val="20"/>
                <w:szCs w:val="20"/>
                <w:lang w:val="en-GB" w:eastAsia="en-GB"/>
              </w:rPr>
            </w:pPr>
          </w:p>
          <w:p w14:paraId="3E14171C" w14:textId="77777777" w:rsidR="00E91426" w:rsidRDefault="00E91426" w:rsidP="00E91426">
            <w:pPr>
              <w:widowControl/>
              <w:rPr>
                <w:rFonts w:ascii="Arial" w:eastAsia="Times New Roman" w:hAnsi="Arial" w:cs="Arial"/>
                <w:sz w:val="20"/>
                <w:szCs w:val="20"/>
                <w:lang w:val="en-GB" w:eastAsia="en-GB"/>
              </w:rPr>
            </w:pPr>
          </w:p>
          <w:p w14:paraId="347FA77C" w14:textId="77777777" w:rsidR="00E91426" w:rsidRDefault="00E91426" w:rsidP="00E91426">
            <w:pPr>
              <w:widowControl/>
              <w:rPr>
                <w:rFonts w:ascii="Arial" w:eastAsia="Times New Roman" w:hAnsi="Arial" w:cs="Arial"/>
                <w:sz w:val="20"/>
                <w:szCs w:val="20"/>
                <w:lang w:val="en-GB" w:eastAsia="en-GB"/>
              </w:rPr>
            </w:pPr>
          </w:p>
          <w:p w14:paraId="3019A3A3" w14:textId="77777777" w:rsidR="00E91426" w:rsidRDefault="00E91426" w:rsidP="00E91426">
            <w:pPr>
              <w:widowControl/>
              <w:rPr>
                <w:rFonts w:ascii="Arial" w:eastAsia="Times New Roman" w:hAnsi="Arial" w:cs="Arial"/>
                <w:sz w:val="20"/>
                <w:szCs w:val="20"/>
                <w:lang w:val="en-GB" w:eastAsia="en-GB"/>
              </w:rPr>
            </w:pPr>
          </w:p>
          <w:p w14:paraId="4D3740CB" w14:textId="77777777" w:rsidR="00E91426" w:rsidRDefault="00E91426" w:rsidP="00E91426">
            <w:pPr>
              <w:widowControl/>
              <w:rPr>
                <w:rFonts w:ascii="Arial" w:eastAsia="Times New Roman" w:hAnsi="Arial" w:cs="Arial"/>
                <w:sz w:val="20"/>
                <w:szCs w:val="20"/>
                <w:lang w:val="en-GB" w:eastAsia="en-GB"/>
              </w:rPr>
            </w:pPr>
          </w:p>
          <w:p w14:paraId="16CBC726" w14:textId="62A774C3" w:rsidR="00E91426" w:rsidRPr="00E91426" w:rsidRDefault="00E91426" w:rsidP="00E91426">
            <w:pPr>
              <w:widowControl/>
              <w:rPr>
                <w:rFonts w:ascii="Arial" w:eastAsia="Times New Roman" w:hAnsi="Arial" w:cs="Arial"/>
                <w:sz w:val="20"/>
                <w:szCs w:val="20"/>
                <w:lang w:val="en-GB" w:eastAsia="en-GB"/>
              </w:rPr>
            </w:pPr>
          </w:p>
        </w:tc>
        <w:tc>
          <w:tcPr>
            <w:tcW w:w="939" w:type="dxa"/>
            <w:tcBorders>
              <w:top w:val="nil"/>
              <w:left w:val="nil"/>
              <w:bottom w:val="nil"/>
              <w:right w:val="nil"/>
            </w:tcBorders>
          </w:tcPr>
          <w:p w14:paraId="22A3BF91" w14:textId="77777777" w:rsidR="00E91426" w:rsidRPr="00E91426" w:rsidRDefault="00E91426" w:rsidP="00E91426">
            <w:pPr>
              <w:widowControl/>
              <w:rPr>
                <w:rFonts w:ascii="Arial" w:eastAsia="Times New Roman" w:hAnsi="Arial" w:cs="Arial"/>
                <w:sz w:val="20"/>
                <w:szCs w:val="20"/>
                <w:lang w:val="en-GB" w:eastAsia="en-GB"/>
              </w:rPr>
            </w:pPr>
          </w:p>
        </w:tc>
        <w:tc>
          <w:tcPr>
            <w:tcW w:w="222" w:type="dxa"/>
            <w:tcBorders>
              <w:top w:val="nil"/>
              <w:left w:val="nil"/>
              <w:bottom w:val="nil"/>
              <w:right w:val="nil"/>
            </w:tcBorders>
          </w:tcPr>
          <w:p w14:paraId="7EF8F171" w14:textId="77777777" w:rsidR="00E91426" w:rsidRPr="00E91426" w:rsidRDefault="00E91426" w:rsidP="00E91426">
            <w:pPr>
              <w:widowControl/>
              <w:rPr>
                <w:rFonts w:ascii="Arial" w:eastAsia="Times New Roman" w:hAnsi="Arial" w:cs="Arial"/>
                <w:sz w:val="20"/>
                <w:szCs w:val="20"/>
                <w:lang w:val="en-GB" w:eastAsia="en-GB"/>
              </w:rPr>
            </w:pPr>
          </w:p>
        </w:tc>
        <w:tc>
          <w:tcPr>
            <w:tcW w:w="939" w:type="dxa"/>
            <w:tcBorders>
              <w:top w:val="nil"/>
              <w:left w:val="nil"/>
              <w:bottom w:val="nil"/>
              <w:right w:val="nil"/>
            </w:tcBorders>
          </w:tcPr>
          <w:p w14:paraId="2F537F1A" w14:textId="77777777" w:rsidR="00E91426" w:rsidRPr="00E91426" w:rsidRDefault="00E91426" w:rsidP="00E91426">
            <w:pPr>
              <w:widowControl/>
              <w:rPr>
                <w:rFonts w:ascii="Arial" w:eastAsia="Times New Roman" w:hAnsi="Arial" w:cs="Arial"/>
                <w:sz w:val="20"/>
                <w:szCs w:val="20"/>
                <w:lang w:val="en-GB" w:eastAsia="en-GB"/>
              </w:rPr>
            </w:pPr>
          </w:p>
        </w:tc>
      </w:tr>
    </w:tbl>
    <w:p w14:paraId="42E8438E" w14:textId="5BBD916C" w:rsidR="00E91426" w:rsidRDefault="00E91426" w:rsidP="00E91426">
      <w:pPr>
        <w:widowControl/>
        <w:rPr>
          <w:rFonts w:ascii="Arial" w:eastAsia="Times New Roman" w:hAnsi="Arial" w:cs="Arial"/>
          <w:b/>
          <w:bCs/>
          <w:color w:val="000000"/>
          <w:sz w:val="20"/>
          <w:szCs w:val="20"/>
          <w:lang w:val="en-GB" w:eastAsia="en-GB"/>
        </w:rPr>
      </w:pPr>
      <w:bookmarkStart w:id="66" w:name="_Toc195698704"/>
      <w:r w:rsidRPr="00E91426">
        <w:rPr>
          <w:rFonts w:ascii="Arial" w:eastAsia="Times New Roman" w:hAnsi="Arial" w:cs="Arial"/>
          <w:b/>
          <w:bCs/>
          <w:color w:val="000000"/>
          <w:sz w:val="20"/>
          <w:szCs w:val="20"/>
          <w:lang w:val="en-GB" w:eastAsia="en-GB"/>
        </w:rPr>
        <w:lastRenderedPageBreak/>
        <w:t>Note 7 Pension costs</w:t>
      </w:r>
      <w:bookmarkEnd w:id="66"/>
    </w:p>
    <w:p w14:paraId="1280C8BC" w14:textId="77777777" w:rsidR="00E91426" w:rsidRPr="00E91426" w:rsidRDefault="00E91426" w:rsidP="00E91426">
      <w:pPr>
        <w:widowControl/>
        <w:rPr>
          <w:rFonts w:ascii="Arial" w:eastAsia="Times New Roman" w:hAnsi="Arial" w:cs="Arial"/>
          <w:b/>
          <w:bCs/>
          <w:color w:val="000000"/>
          <w:sz w:val="20"/>
          <w:szCs w:val="20"/>
          <w:lang w:val="en-GB" w:eastAsia="en-GB"/>
        </w:rPr>
      </w:pPr>
    </w:p>
    <w:p w14:paraId="63747D12"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 xml:space="preserve">Past and present employees are covered by the provisions of the two NHS Pension Schemes.  Details of the benefits payable and rules of the Schemes can be found on the NHS Pensions website at www.nhsbsa.nhs.uk/pensions.  Both are unfunded defined benefit schemes that cover NHS employers, GP practices and other bodies, allowed under the direction of the Secretary of State in England and Wales. They are not designed to be run in a way that would enable NHS bodies to identify their share of the underlying scheme assets and liabilities. Therefore, each scheme is accounted for as if it were a defined contribution scheme: the cost to the NHS body of participating in each scheme is taken as equal to the contributions payable to that scheme for the accounting period.  </w:t>
      </w:r>
    </w:p>
    <w:p w14:paraId="06EEF741"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In order that the defined benefit obligations recognised in the financial statements do not differ materially from those that would be determined at the reporting date by a formal actuarial valuation, the FReM requires that “the period between formal valuations shall be four years, with approximate assessments in intervening years”. An outline of these follows:</w:t>
      </w:r>
    </w:p>
    <w:p w14:paraId="189038AE" w14:textId="77777777" w:rsidR="00E91426" w:rsidRPr="00E91426" w:rsidRDefault="00E91426" w:rsidP="00E91426">
      <w:pPr>
        <w:widowControl/>
        <w:spacing w:after="160" w:line="259" w:lineRule="auto"/>
        <w:rPr>
          <w:rFonts w:ascii="Arial" w:eastAsia="Calibri" w:hAnsi="Arial" w:cs="Arial"/>
          <w:sz w:val="20"/>
          <w:szCs w:val="20"/>
          <w:lang w:val="en-GB"/>
        </w:rPr>
      </w:pPr>
      <w:r w:rsidRPr="00E91426">
        <w:rPr>
          <w:rFonts w:ascii="Arial" w:eastAsia="Calibri" w:hAnsi="Arial" w:cs="Arial"/>
          <w:sz w:val="20"/>
          <w:szCs w:val="20"/>
          <w:lang w:val="en-GB"/>
        </w:rPr>
        <w:tab/>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6FDB2A4C" w14:textId="77777777" w:rsidR="00E91426" w:rsidRPr="00E91426" w:rsidRDefault="00E91426" w:rsidP="00E91426">
      <w:pPr>
        <w:widowControl/>
        <w:spacing w:after="160" w:line="259" w:lineRule="auto"/>
        <w:rPr>
          <w:rFonts w:ascii="Arial" w:eastAsia="Calibri" w:hAnsi="Arial" w:cs="Arial"/>
          <w:b/>
          <w:sz w:val="20"/>
          <w:szCs w:val="20"/>
          <w:lang w:val="en-GB"/>
        </w:rPr>
      </w:pPr>
      <w:r w:rsidRPr="00E91426">
        <w:rPr>
          <w:rFonts w:ascii="Arial" w:eastAsia="Calibri" w:hAnsi="Arial" w:cs="Arial"/>
          <w:b/>
          <w:sz w:val="20"/>
          <w:szCs w:val="20"/>
          <w:lang w:val="en-GB"/>
        </w:rPr>
        <w:t>a) Accounting valuation</w:t>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p>
    <w:p w14:paraId="45F2A390"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A valuation of scheme liability is carried out annually by the scheme actuary (currently the Government Actuary’s Department) as at the end of the reporting period. This utilises an actuarial assessment for the previous accounting period in conjunction with updated membership and financial data for the current reporting period, and is accepted as providing suitably robust figures for financial reporting purposes. The valuation of the scheme liability as at 31 March 2025, is based on valuation data as at 31 March 2024, updated to 31 March 2025 with summary global member and accounting data. In undertaking this actuarial assessment, the methodology prescribed in IAS 19, relevant FReM interpretations, and the discount rate prescribed by HM Treasury have also been used.</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0879B231"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The latest assessment of the liabilities of the scheme is contained in the report of the scheme actuary, which forms part of the annual NHS Pension Scheme Accounts. These accounts can be viewed on the NHS Pensions website and are published annually. Copies can also be obtained from The Stationery Office.</w:t>
      </w:r>
      <w:r w:rsidRPr="00E91426">
        <w:rPr>
          <w:rFonts w:ascii="Arial" w:eastAsia="Calibri" w:hAnsi="Arial" w:cs="Arial"/>
          <w:sz w:val="20"/>
          <w:szCs w:val="20"/>
          <w:lang w:val="en-GB"/>
        </w:rPr>
        <w:tab/>
      </w:r>
      <w:r w:rsidRPr="00E91426">
        <w:rPr>
          <w:rFonts w:ascii="Arial" w:eastAsia="Calibri" w:hAnsi="Arial" w:cs="Arial"/>
          <w:sz w:val="20"/>
          <w:szCs w:val="20"/>
          <w:lang w:val="en-GB"/>
        </w:rPr>
        <w:tab/>
      </w:r>
      <w:r w:rsidRPr="00E91426">
        <w:rPr>
          <w:rFonts w:ascii="Arial" w:eastAsia="Calibri" w:hAnsi="Arial" w:cs="Arial"/>
          <w:sz w:val="20"/>
          <w:szCs w:val="20"/>
          <w:lang w:val="en-GB"/>
        </w:rPr>
        <w:tab/>
      </w:r>
      <w:r w:rsidRPr="00E91426">
        <w:rPr>
          <w:rFonts w:ascii="Arial" w:eastAsia="Calibri" w:hAnsi="Arial" w:cs="Arial"/>
          <w:sz w:val="20"/>
          <w:szCs w:val="20"/>
          <w:lang w:val="en-GB"/>
        </w:rPr>
        <w:tab/>
      </w:r>
      <w:r w:rsidRPr="00E91426">
        <w:rPr>
          <w:rFonts w:ascii="Arial" w:eastAsia="Calibri" w:hAnsi="Arial" w:cs="Arial"/>
          <w:sz w:val="20"/>
          <w:szCs w:val="20"/>
          <w:lang w:val="en-GB"/>
        </w:rPr>
        <w:tab/>
      </w:r>
      <w:r w:rsidRPr="00E91426">
        <w:rPr>
          <w:rFonts w:ascii="Arial" w:eastAsia="Calibri" w:hAnsi="Arial" w:cs="Arial"/>
          <w:sz w:val="20"/>
          <w:szCs w:val="20"/>
          <w:lang w:val="en-GB"/>
        </w:rPr>
        <w:tab/>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3FB5C456" w14:textId="77777777" w:rsidR="00E91426" w:rsidRPr="00E91426" w:rsidRDefault="00E91426" w:rsidP="00E91426">
      <w:pPr>
        <w:widowControl/>
        <w:spacing w:after="160" w:line="259" w:lineRule="auto"/>
        <w:jc w:val="both"/>
        <w:rPr>
          <w:rFonts w:ascii="Arial" w:eastAsia="Calibri" w:hAnsi="Arial" w:cs="Arial"/>
          <w:b/>
          <w:sz w:val="20"/>
          <w:szCs w:val="20"/>
          <w:lang w:val="en-GB"/>
        </w:rPr>
      </w:pPr>
      <w:r w:rsidRPr="00E91426">
        <w:rPr>
          <w:rFonts w:ascii="Arial" w:eastAsia="Calibri" w:hAnsi="Arial" w:cs="Arial"/>
          <w:b/>
          <w:sz w:val="20"/>
          <w:szCs w:val="20"/>
          <w:lang w:val="en-GB"/>
        </w:rPr>
        <w:t>b) Full actuarial (funding) valuation</w:t>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p>
    <w:p w14:paraId="3B39FC79"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The purpose of this valuation is to assess the level of liability in respect of the benefits due under the schemes (</w:t>
      </w:r>
      <w:proofErr w:type="gramStart"/>
      <w:r w:rsidRPr="00E91426">
        <w:rPr>
          <w:rFonts w:ascii="Arial" w:eastAsia="Calibri" w:hAnsi="Arial" w:cs="Arial"/>
          <w:sz w:val="20"/>
          <w:szCs w:val="20"/>
          <w:lang w:val="en-GB"/>
        </w:rPr>
        <w:t>taking into account</w:t>
      </w:r>
      <w:proofErr w:type="gramEnd"/>
      <w:r w:rsidRPr="00E91426">
        <w:rPr>
          <w:rFonts w:ascii="Arial" w:eastAsia="Calibri" w:hAnsi="Arial" w:cs="Arial"/>
          <w:sz w:val="20"/>
          <w:szCs w:val="20"/>
          <w:lang w:val="en-GB"/>
        </w:rPr>
        <w:t xml:space="preserve"> recent demographic experience), and to recommend contribution rates payable by employees and employers. </w:t>
      </w:r>
      <w:r w:rsidRPr="00E91426">
        <w:rPr>
          <w:rFonts w:ascii="Arial" w:eastAsia="Calibri" w:hAnsi="Arial" w:cs="Arial"/>
          <w:sz w:val="20"/>
          <w:szCs w:val="20"/>
          <w:lang w:val="en-GB"/>
        </w:rPr>
        <w:tab/>
      </w:r>
      <w:r w:rsidRPr="00E91426">
        <w:rPr>
          <w:rFonts w:ascii="Arial" w:eastAsia="Calibri" w:hAnsi="Arial" w:cs="Arial"/>
          <w:sz w:val="20"/>
          <w:szCs w:val="20"/>
          <w:lang w:val="en-GB"/>
        </w:rPr>
        <w:tab/>
      </w:r>
      <w:r w:rsidRPr="00E91426">
        <w:rPr>
          <w:rFonts w:ascii="Arial" w:eastAsia="Calibri" w:hAnsi="Arial" w:cs="Arial"/>
          <w:sz w:val="20"/>
          <w:szCs w:val="20"/>
          <w:lang w:val="en-GB"/>
        </w:rPr>
        <w:tab/>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3A9770A5"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 xml:space="preserve">The latest actuarial valuation undertaken for the NHS Pension Scheme was completed as at 31 March 2020. The results of this valuation set the employer contribution rate payable from 1 April 2024 at 23.7% of pensionable pay (previously 20.6%). The core cost cap cost of the scheme was calculated to be outside of the 3% cost cap corridor as at 31 March 2020. However, when the wider economic situation was </w:t>
      </w:r>
      <w:proofErr w:type="gramStart"/>
      <w:r w:rsidRPr="00E91426">
        <w:rPr>
          <w:rFonts w:ascii="Arial" w:eastAsia="Calibri" w:hAnsi="Arial" w:cs="Arial"/>
          <w:sz w:val="20"/>
          <w:szCs w:val="20"/>
          <w:lang w:val="en-GB"/>
        </w:rPr>
        <w:t>taken into account</w:t>
      </w:r>
      <w:proofErr w:type="gramEnd"/>
      <w:r w:rsidRPr="00E91426">
        <w:rPr>
          <w:rFonts w:ascii="Arial" w:eastAsia="Calibri" w:hAnsi="Arial" w:cs="Arial"/>
          <w:sz w:val="20"/>
          <w:szCs w:val="20"/>
          <w:lang w:val="en-GB"/>
        </w:rPr>
        <w:t xml:space="preserve"> through the economic cost cap cost of the scheme, the cost cap corridor was not similarly breached. As a result, there was no impact on the member benefit structure or contribution rates.</w:t>
      </w:r>
      <w:r w:rsidRPr="00E91426">
        <w:rPr>
          <w:rFonts w:ascii="Arial" w:eastAsia="Calibri" w:hAnsi="Arial" w:cs="Arial"/>
          <w:sz w:val="20"/>
          <w:szCs w:val="20"/>
          <w:lang w:val="en-GB"/>
        </w:rPr>
        <w:tab/>
      </w:r>
      <w:r w:rsidRPr="00E91426">
        <w:rPr>
          <w:rFonts w:ascii="Arial" w:eastAsia="Calibri" w:hAnsi="Arial" w:cs="Arial"/>
          <w:sz w:val="20"/>
          <w:szCs w:val="20"/>
          <w:lang w:val="en-GB"/>
        </w:rPr>
        <w:tab/>
      </w:r>
      <w:r w:rsidRPr="00E91426">
        <w:rPr>
          <w:rFonts w:ascii="Arial" w:eastAsia="Calibri" w:hAnsi="Arial" w:cs="Arial"/>
          <w:sz w:val="20"/>
          <w:szCs w:val="20"/>
          <w:lang w:val="en-GB"/>
        </w:rPr>
        <w:tab/>
      </w:r>
      <w:r w:rsidRPr="00E91426">
        <w:rPr>
          <w:rFonts w:ascii="Arial" w:eastAsia="Calibri" w:hAnsi="Arial" w:cs="Arial"/>
          <w:sz w:val="20"/>
          <w:szCs w:val="20"/>
          <w:lang w:val="en-GB"/>
        </w:rPr>
        <w:tab/>
      </w:r>
      <w:r w:rsidRPr="00E91426">
        <w:rPr>
          <w:rFonts w:ascii="Arial" w:eastAsia="Calibri" w:hAnsi="Arial" w:cs="Arial"/>
          <w:sz w:val="20"/>
          <w:szCs w:val="20"/>
          <w:lang w:val="en-GB"/>
        </w:rPr>
        <w:tab/>
      </w:r>
      <w:r w:rsidRPr="00E91426">
        <w:rPr>
          <w:rFonts w:ascii="Arial" w:eastAsia="Calibri" w:hAnsi="Arial" w:cs="Arial"/>
          <w:sz w:val="20"/>
          <w:szCs w:val="20"/>
          <w:lang w:val="en-GB"/>
        </w:rPr>
        <w:tab/>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5EC936BE" w14:textId="77777777" w:rsidR="00E91426" w:rsidRPr="00E91426" w:rsidRDefault="00E91426" w:rsidP="00E91426">
      <w:pPr>
        <w:widowControl/>
        <w:spacing w:after="160" w:line="259" w:lineRule="auto"/>
        <w:jc w:val="both"/>
        <w:rPr>
          <w:rFonts w:ascii="Arial" w:eastAsia="Calibri" w:hAnsi="Arial" w:cs="Arial"/>
          <w:b/>
          <w:sz w:val="20"/>
          <w:szCs w:val="20"/>
          <w:lang w:val="en-GB"/>
        </w:rPr>
      </w:pPr>
      <w:r w:rsidRPr="00E91426">
        <w:rPr>
          <w:rFonts w:ascii="Arial" w:eastAsia="Calibri" w:hAnsi="Arial" w:cs="Arial"/>
          <w:b/>
          <w:sz w:val="20"/>
          <w:szCs w:val="20"/>
          <w:lang w:val="en-GB"/>
        </w:rPr>
        <w:t>c) Alternative pension scheme</w:t>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p>
    <w:p w14:paraId="6845F7D4"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For those employees who do not have access to the NHS pensions scheme but who are otherwise classified as employees with an entitlement to automatic enrolment in an appropriate pension the Trust has put in place an alternative workplace pension scheme. This scheme is administered by NEST (National Employment Savings Trust) and is a defined contribution pension scheme. The total contribution costs for this scheme for the financial year 2024/25 amount to £18k (2023/24: £27k).</w:t>
      </w:r>
    </w:p>
    <w:p w14:paraId="6028603A" w14:textId="77777777" w:rsidR="00E91426" w:rsidRDefault="00E91426" w:rsidP="00E91426">
      <w:pPr>
        <w:widowControl/>
        <w:spacing w:after="160" w:line="259" w:lineRule="auto"/>
        <w:rPr>
          <w:rFonts w:ascii="Arial" w:eastAsia="Calibri" w:hAnsi="Arial" w:cs="Arial"/>
          <w:sz w:val="20"/>
          <w:szCs w:val="20"/>
          <w:lang w:val="en-GB"/>
        </w:rPr>
      </w:pPr>
      <w:r w:rsidRPr="00E91426">
        <w:rPr>
          <w:rFonts w:ascii="Arial" w:eastAsia="Calibri" w:hAnsi="Arial" w:cs="Arial"/>
          <w:sz w:val="20"/>
          <w:szCs w:val="20"/>
          <w:lang w:val="en-GB"/>
        </w:rPr>
        <w:tab/>
      </w:r>
    </w:p>
    <w:p w14:paraId="173CAE57" w14:textId="77777777" w:rsidR="00E91426" w:rsidRDefault="00E91426" w:rsidP="00E91426">
      <w:pPr>
        <w:widowControl/>
        <w:spacing w:after="160" w:line="259" w:lineRule="auto"/>
        <w:rPr>
          <w:rFonts w:ascii="Arial" w:eastAsia="Calibri" w:hAnsi="Arial" w:cs="Arial"/>
          <w:sz w:val="20"/>
          <w:szCs w:val="20"/>
          <w:lang w:val="en-GB"/>
        </w:rPr>
      </w:pPr>
    </w:p>
    <w:p w14:paraId="23589561" w14:textId="77777777" w:rsidR="00E91426" w:rsidRDefault="00E91426" w:rsidP="00E91426">
      <w:pPr>
        <w:widowControl/>
        <w:spacing w:after="160" w:line="259" w:lineRule="auto"/>
        <w:rPr>
          <w:rFonts w:ascii="Arial" w:eastAsia="Calibri" w:hAnsi="Arial" w:cs="Arial"/>
          <w:sz w:val="20"/>
          <w:szCs w:val="20"/>
          <w:lang w:val="en-GB"/>
        </w:rPr>
      </w:pPr>
    </w:p>
    <w:p w14:paraId="5F4173EE" w14:textId="0DF8F841" w:rsidR="00E91426" w:rsidRPr="00E91426" w:rsidRDefault="00E91426" w:rsidP="00E91426">
      <w:pPr>
        <w:widowControl/>
        <w:spacing w:after="160" w:line="259" w:lineRule="auto"/>
        <w:rPr>
          <w:rFonts w:ascii="Arial" w:eastAsia="Calibri" w:hAnsi="Arial" w:cs="Arial"/>
          <w:sz w:val="20"/>
          <w:szCs w:val="20"/>
          <w:lang w:val="en-GB"/>
        </w:rPr>
      </w:pPr>
      <w:r w:rsidRPr="00E91426">
        <w:rPr>
          <w:rFonts w:ascii="Arial" w:eastAsia="Calibri" w:hAnsi="Arial" w:cs="Arial"/>
          <w:sz w:val="20"/>
          <w:szCs w:val="20"/>
          <w:lang w:val="en-GB"/>
        </w:rPr>
        <w:tab/>
      </w:r>
      <w:r w:rsidRPr="00E91426">
        <w:rPr>
          <w:rFonts w:ascii="Arial" w:eastAsia="Calibri" w:hAnsi="Arial" w:cs="Arial"/>
          <w:sz w:val="20"/>
          <w:szCs w:val="20"/>
          <w:lang w:val="en-GB"/>
        </w:rPr>
        <w:tab/>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6D094B39" w14:textId="77777777" w:rsidR="00E91426" w:rsidRPr="00E91426" w:rsidRDefault="00E91426" w:rsidP="00E91426">
      <w:pPr>
        <w:widowControl/>
        <w:spacing w:after="160" w:line="259" w:lineRule="auto"/>
        <w:rPr>
          <w:rFonts w:ascii="Arial" w:eastAsia="Times New Roman" w:hAnsi="Arial" w:cs="Arial"/>
          <w:b/>
          <w:color w:val="000000"/>
          <w:sz w:val="20"/>
          <w:szCs w:val="20"/>
          <w:lang w:val="en-GB"/>
        </w:rPr>
      </w:pPr>
      <w:bookmarkStart w:id="67" w:name="_Toc195698705"/>
      <w:r w:rsidRPr="00E91426">
        <w:rPr>
          <w:rFonts w:ascii="Calibri" w:eastAsia="Calibri" w:hAnsi="Calibri" w:cs="Arial"/>
          <w:b/>
          <w:szCs w:val="20"/>
          <w:lang w:val="en-GB"/>
        </w:rPr>
        <w:lastRenderedPageBreak/>
        <w:t>Note 8 Finance income</w:t>
      </w:r>
      <w:bookmarkEnd w:id="67"/>
    </w:p>
    <w:tbl>
      <w:tblPr>
        <w:tblW w:w="8020" w:type="dxa"/>
        <w:tblLook w:val="04A0" w:firstRow="1" w:lastRow="0" w:firstColumn="1" w:lastColumn="0" w:noHBand="0" w:noVBand="1"/>
      </w:tblPr>
      <w:tblGrid>
        <w:gridCol w:w="6180"/>
        <w:gridCol w:w="939"/>
        <w:gridCol w:w="222"/>
        <w:gridCol w:w="939"/>
      </w:tblGrid>
      <w:tr w:rsidR="00E91426" w:rsidRPr="00E91426" w14:paraId="0FE51B85" w14:textId="77777777" w:rsidTr="00E91426">
        <w:trPr>
          <w:trHeight w:val="282"/>
        </w:trPr>
        <w:tc>
          <w:tcPr>
            <w:tcW w:w="8020" w:type="dxa"/>
            <w:gridSpan w:val="4"/>
            <w:tcBorders>
              <w:top w:val="nil"/>
              <w:left w:val="nil"/>
              <w:bottom w:val="nil"/>
              <w:right w:val="nil"/>
            </w:tcBorders>
            <w:noWrap/>
            <w:hideMark/>
          </w:tcPr>
          <w:p w14:paraId="1897BAC7"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Finance income represents interest received on assets and investments in the period.</w:t>
            </w:r>
          </w:p>
        </w:tc>
      </w:tr>
      <w:tr w:rsidR="00E91426" w:rsidRPr="00E91426" w14:paraId="22C6B3B5" w14:textId="77777777" w:rsidTr="00E91426">
        <w:trPr>
          <w:trHeight w:val="274"/>
        </w:trPr>
        <w:tc>
          <w:tcPr>
            <w:tcW w:w="6180" w:type="dxa"/>
            <w:tcBorders>
              <w:top w:val="nil"/>
              <w:left w:val="nil"/>
              <w:bottom w:val="nil"/>
              <w:right w:val="nil"/>
            </w:tcBorders>
            <w:hideMark/>
          </w:tcPr>
          <w:p w14:paraId="635D6BC5"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900" w:type="dxa"/>
            <w:tcBorders>
              <w:top w:val="nil"/>
              <w:left w:val="nil"/>
              <w:bottom w:val="nil"/>
              <w:right w:val="nil"/>
            </w:tcBorders>
            <w:vAlign w:val="bottom"/>
            <w:hideMark/>
          </w:tcPr>
          <w:p w14:paraId="11FC561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2024/25</w:t>
            </w:r>
          </w:p>
        </w:tc>
        <w:tc>
          <w:tcPr>
            <w:tcW w:w="40" w:type="dxa"/>
            <w:tcBorders>
              <w:top w:val="nil"/>
              <w:left w:val="nil"/>
              <w:bottom w:val="nil"/>
              <w:right w:val="nil"/>
            </w:tcBorders>
            <w:noWrap/>
            <w:vAlign w:val="bottom"/>
            <w:hideMark/>
          </w:tcPr>
          <w:p w14:paraId="187F449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00" w:type="dxa"/>
            <w:tcBorders>
              <w:top w:val="nil"/>
              <w:left w:val="nil"/>
              <w:bottom w:val="nil"/>
              <w:right w:val="nil"/>
            </w:tcBorders>
            <w:vAlign w:val="bottom"/>
            <w:hideMark/>
          </w:tcPr>
          <w:p w14:paraId="657709FA"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2023/24</w:t>
            </w:r>
          </w:p>
        </w:tc>
      </w:tr>
      <w:tr w:rsidR="00E91426" w:rsidRPr="00E91426" w14:paraId="6F2C4BD0" w14:textId="77777777" w:rsidTr="00E91426">
        <w:trPr>
          <w:trHeight w:val="282"/>
        </w:trPr>
        <w:tc>
          <w:tcPr>
            <w:tcW w:w="6180" w:type="dxa"/>
            <w:tcBorders>
              <w:top w:val="nil"/>
              <w:left w:val="nil"/>
              <w:bottom w:val="nil"/>
              <w:right w:val="nil"/>
            </w:tcBorders>
            <w:hideMark/>
          </w:tcPr>
          <w:p w14:paraId="3BE8F235"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00" w:type="dxa"/>
            <w:tcBorders>
              <w:top w:val="nil"/>
              <w:left w:val="nil"/>
              <w:bottom w:val="nil"/>
              <w:right w:val="nil"/>
            </w:tcBorders>
            <w:vAlign w:val="bottom"/>
            <w:hideMark/>
          </w:tcPr>
          <w:p w14:paraId="72A0B1B8"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40" w:type="dxa"/>
            <w:tcBorders>
              <w:top w:val="nil"/>
              <w:left w:val="nil"/>
              <w:bottom w:val="nil"/>
              <w:right w:val="nil"/>
            </w:tcBorders>
            <w:noWrap/>
            <w:vAlign w:val="bottom"/>
            <w:hideMark/>
          </w:tcPr>
          <w:p w14:paraId="19CED13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00" w:type="dxa"/>
            <w:tcBorders>
              <w:top w:val="nil"/>
              <w:left w:val="nil"/>
              <w:bottom w:val="nil"/>
              <w:right w:val="nil"/>
            </w:tcBorders>
            <w:vAlign w:val="bottom"/>
            <w:hideMark/>
          </w:tcPr>
          <w:p w14:paraId="2E3CD7B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r>
      <w:tr w:rsidR="00E91426" w:rsidRPr="00E91426" w14:paraId="315353B7" w14:textId="77777777" w:rsidTr="00E91426">
        <w:trPr>
          <w:trHeight w:val="282"/>
        </w:trPr>
        <w:tc>
          <w:tcPr>
            <w:tcW w:w="6180" w:type="dxa"/>
            <w:tcBorders>
              <w:top w:val="nil"/>
              <w:left w:val="nil"/>
              <w:bottom w:val="nil"/>
              <w:right w:val="nil"/>
            </w:tcBorders>
            <w:hideMark/>
          </w:tcPr>
          <w:p w14:paraId="11655D95"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Interest on bank accounts</w:t>
            </w:r>
          </w:p>
        </w:tc>
        <w:tc>
          <w:tcPr>
            <w:tcW w:w="900" w:type="dxa"/>
            <w:tcBorders>
              <w:top w:val="nil"/>
              <w:left w:val="nil"/>
              <w:bottom w:val="nil"/>
              <w:right w:val="nil"/>
            </w:tcBorders>
            <w:noWrap/>
            <w:vAlign w:val="bottom"/>
            <w:hideMark/>
          </w:tcPr>
          <w:p w14:paraId="78C3C9B5"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936</w:t>
            </w:r>
          </w:p>
        </w:tc>
        <w:tc>
          <w:tcPr>
            <w:tcW w:w="40" w:type="dxa"/>
            <w:tcBorders>
              <w:top w:val="nil"/>
              <w:left w:val="nil"/>
              <w:bottom w:val="nil"/>
              <w:right w:val="nil"/>
            </w:tcBorders>
            <w:noWrap/>
            <w:vAlign w:val="bottom"/>
            <w:hideMark/>
          </w:tcPr>
          <w:p w14:paraId="0A1E27E2"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900" w:type="dxa"/>
            <w:tcBorders>
              <w:top w:val="nil"/>
              <w:left w:val="nil"/>
              <w:bottom w:val="nil"/>
              <w:right w:val="nil"/>
            </w:tcBorders>
            <w:noWrap/>
            <w:vAlign w:val="bottom"/>
            <w:hideMark/>
          </w:tcPr>
          <w:p w14:paraId="41ECB7C8"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1,370</w:t>
            </w:r>
          </w:p>
        </w:tc>
      </w:tr>
      <w:tr w:rsidR="00E91426" w:rsidRPr="00E91426" w14:paraId="18DDA8D1" w14:textId="77777777" w:rsidTr="00E91426">
        <w:trPr>
          <w:trHeight w:val="282"/>
        </w:trPr>
        <w:tc>
          <w:tcPr>
            <w:tcW w:w="6180" w:type="dxa"/>
            <w:tcBorders>
              <w:top w:val="nil"/>
              <w:left w:val="nil"/>
              <w:bottom w:val="nil"/>
              <w:right w:val="nil"/>
            </w:tcBorders>
            <w:noWrap/>
            <w:hideMark/>
          </w:tcPr>
          <w:p w14:paraId="64BF6813"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Total finance income</w:t>
            </w:r>
          </w:p>
        </w:tc>
        <w:tc>
          <w:tcPr>
            <w:tcW w:w="900" w:type="dxa"/>
            <w:tcBorders>
              <w:top w:val="single" w:sz="4" w:space="0" w:color="auto"/>
              <w:left w:val="nil"/>
              <w:bottom w:val="double" w:sz="6" w:space="0" w:color="auto"/>
              <w:right w:val="nil"/>
            </w:tcBorders>
            <w:noWrap/>
            <w:vAlign w:val="bottom"/>
            <w:hideMark/>
          </w:tcPr>
          <w:p w14:paraId="1E087D8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936</w:t>
            </w:r>
          </w:p>
        </w:tc>
        <w:tc>
          <w:tcPr>
            <w:tcW w:w="40" w:type="dxa"/>
            <w:tcBorders>
              <w:top w:val="nil"/>
              <w:left w:val="nil"/>
              <w:bottom w:val="nil"/>
              <w:right w:val="nil"/>
            </w:tcBorders>
            <w:noWrap/>
            <w:vAlign w:val="bottom"/>
            <w:hideMark/>
          </w:tcPr>
          <w:p w14:paraId="46C3F7E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00" w:type="dxa"/>
            <w:tcBorders>
              <w:top w:val="single" w:sz="4" w:space="0" w:color="auto"/>
              <w:left w:val="nil"/>
              <w:bottom w:val="double" w:sz="6" w:space="0" w:color="auto"/>
              <w:right w:val="nil"/>
            </w:tcBorders>
            <w:noWrap/>
            <w:vAlign w:val="bottom"/>
            <w:hideMark/>
          </w:tcPr>
          <w:p w14:paraId="670A8002"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1,370</w:t>
            </w:r>
          </w:p>
        </w:tc>
      </w:tr>
      <w:tr w:rsidR="00E91426" w:rsidRPr="00E91426" w14:paraId="2C6B7C83" w14:textId="77777777" w:rsidTr="00E91426">
        <w:trPr>
          <w:trHeight w:val="282"/>
        </w:trPr>
        <w:tc>
          <w:tcPr>
            <w:tcW w:w="6180" w:type="dxa"/>
            <w:tcBorders>
              <w:top w:val="nil"/>
              <w:left w:val="nil"/>
              <w:bottom w:val="nil"/>
              <w:right w:val="nil"/>
            </w:tcBorders>
            <w:hideMark/>
          </w:tcPr>
          <w:p w14:paraId="0AA2167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00" w:type="dxa"/>
            <w:tcBorders>
              <w:top w:val="nil"/>
              <w:left w:val="nil"/>
              <w:bottom w:val="nil"/>
              <w:right w:val="nil"/>
            </w:tcBorders>
            <w:vAlign w:val="bottom"/>
            <w:hideMark/>
          </w:tcPr>
          <w:p w14:paraId="0744CA72" w14:textId="77777777" w:rsidR="00E91426" w:rsidRPr="00E91426" w:rsidRDefault="00E91426" w:rsidP="00E91426">
            <w:pPr>
              <w:widowControl/>
              <w:rPr>
                <w:rFonts w:ascii="Arial" w:eastAsia="Times New Roman" w:hAnsi="Arial" w:cs="Arial"/>
                <w:sz w:val="20"/>
                <w:szCs w:val="20"/>
                <w:lang w:val="en-GB" w:eastAsia="en-GB"/>
              </w:rPr>
            </w:pPr>
          </w:p>
        </w:tc>
        <w:tc>
          <w:tcPr>
            <w:tcW w:w="40" w:type="dxa"/>
            <w:tcBorders>
              <w:top w:val="nil"/>
              <w:left w:val="nil"/>
              <w:bottom w:val="nil"/>
              <w:right w:val="nil"/>
            </w:tcBorders>
            <w:noWrap/>
            <w:vAlign w:val="bottom"/>
            <w:hideMark/>
          </w:tcPr>
          <w:p w14:paraId="75172A83" w14:textId="77777777" w:rsidR="00E91426" w:rsidRPr="00E91426" w:rsidRDefault="00E91426" w:rsidP="00E91426">
            <w:pPr>
              <w:widowControl/>
              <w:rPr>
                <w:rFonts w:ascii="Arial" w:eastAsia="Times New Roman" w:hAnsi="Arial" w:cs="Arial"/>
                <w:sz w:val="20"/>
                <w:szCs w:val="20"/>
                <w:lang w:val="en-GB" w:eastAsia="en-GB"/>
              </w:rPr>
            </w:pPr>
          </w:p>
        </w:tc>
        <w:tc>
          <w:tcPr>
            <w:tcW w:w="900" w:type="dxa"/>
            <w:tcBorders>
              <w:top w:val="nil"/>
              <w:left w:val="nil"/>
              <w:bottom w:val="nil"/>
              <w:right w:val="nil"/>
            </w:tcBorders>
            <w:vAlign w:val="bottom"/>
            <w:hideMark/>
          </w:tcPr>
          <w:p w14:paraId="14C6DF26" w14:textId="77777777" w:rsidR="00E91426" w:rsidRPr="00E91426" w:rsidRDefault="00E91426" w:rsidP="00E91426">
            <w:pPr>
              <w:widowControl/>
              <w:jc w:val="right"/>
              <w:rPr>
                <w:rFonts w:ascii="Arial" w:eastAsia="Times New Roman" w:hAnsi="Arial" w:cs="Arial"/>
                <w:sz w:val="20"/>
                <w:szCs w:val="20"/>
                <w:lang w:val="en-GB" w:eastAsia="en-GB"/>
              </w:rPr>
            </w:pPr>
          </w:p>
        </w:tc>
      </w:tr>
    </w:tbl>
    <w:p w14:paraId="68BCBE70" w14:textId="77777777" w:rsidR="00E91426" w:rsidRPr="00E91426" w:rsidRDefault="00E91426" w:rsidP="00E91426">
      <w:pPr>
        <w:keepNext/>
        <w:keepLines/>
        <w:widowControl/>
        <w:spacing w:before="40" w:line="259" w:lineRule="auto"/>
        <w:outlineLvl w:val="1"/>
        <w:rPr>
          <w:rFonts w:ascii="Arial" w:eastAsia="Times New Roman" w:hAnsi="Arial" w:cs="Arial"/>
          <w:b/>
          <w:color w:val="000000"/>
          <w:sz w:val="20"/>
          <w:szCs w:val="20"/>
          <w:lang w:val="en-GB"/>
        </w:rPr>
      </w:pPr>
      <w:bookmarkStart w:id="68" w:name="_Toc195698706"/>
    </w:p>
    <w:p w14:paraId="2BE2C753" w14:textId="77777777" w:rsidR="00E91426" w:rsidRPr="00E91426" w:rsidRDefault="00E91426" w:rsidP="00E91426">
      <w:pPr>
        <w:keepNext/>
        <w:keepLines/>
        <w:widowControl/>
        <w:spacing w:before="40" w:line="259" w:lineRule="auto"/>
        <w:outlineLvl w:val="1"/>
        <w:rPr>
          <w:rFonts w:ascii="Arial" w:eastAsia="Times New Roman" w:hAnsi="Arial" w:cs="Arial"/>
          <w:b/>
          <w:color w:val="000000"/>
          <w:sz w:val="20"/>
          <w:szCs w:val="20"/>
          <w:lang w:val="en-GB"/>
        </w:rPr>
      </w:pPr>
      <w:r w:rsidRPr="00E91426">
        <w:rPr>
          <w:rFonts w:ascii="Arial" w:eastAsia="Times New Roman" w:hAnsi="Arial" w:cs="Arial"/>
          <w:b/>
          <w:color w:val="000000"/>
          <w:sz w:val="20"/>
          <w:szCs w:val="20"/>
          <w:lang w:val="en-GB"/>
        </w:rPr>
        <w:t>Note 9 Finance expenditure</w:t>
      </w:r>
      <w:bookmarkEnd w:id="68"/>
    </w:p>
    <w:p w14:paraId="36057F90" w14:textId="77777777" w:rsidR="00E91426" w:rsidRPr="00E91426" w:rsidRDefault="00E91426" w:rsidP="00E91426">
      <w:pPr>
        <w:widowControl/>
        <w:spacing w:after="160" w:line="259" w:lineRule="auto"/>
        <w:rPr>
          <w:rFonts w:ascii="Arial" w:eastAsia="Calibri" w:hAnsi="Arial" w:cs="Arial"/>
          <w:sz w:val="20"/>
          <w:szCs w:val="20"/>
          <w:lang w:val="en-GB"/>
        </w:rPr>
      </w:pPr>
    </w:p>
    <w:tbl>
      <w:tblPr>
        <w:tblW w:w="8020" w:type="dxa"/>
        <w:tblLook w:val="04A0" w:firstRow="1" w:lastRow="0" w:firstColumn="1" w:lastColumn="0" w:noHBand="0" w:noVBand="1"/>
      </w:tblPr>
      <w:tblGrid>
        <w:gridCol w:w="6180"/>
        <w:gridCol w:w="939"/>
        <w:gridCol w:w="222"/>
        <w:gridCol w:w="939"/>
      </w:tblGrid>
      <w:tr w:rsidR="00E91426" w:rsidRPr="00E91426" w14:paraId="4C0DC193" w14:textId="77777777" w:rsidTr="00E91426">
        <w:trPr>
          <w:trHeight w:val="480"/>
        </w:trPr>
        <w:tc>
          <w:tcPr>
            <w:tcW w:w="8020" w:type="dxa"/>
            <w:gridSpan w:val="4"/>
            <w:tcBorders>
              <w:top w:val="nil"/>
              <w:left w:val="nil"/>
              <w:bottom w:val="nil"/>
              <w:right w:val="nil"/>
            </w:tcBorders>
            <w:hideMark/>
          </w:tcPr>
          <w:p w14:paraId="0BFB8AF0"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Finance expenditure represents interest and other charges involved in the borrowing of money.</w:t>
            </w:r>
          </w:p>
        </w:tc>
      </w:tr>
      <w:tr w:rsidR="00E91426" w:rsidRPr="00E91426" w14:paraId="52DCA3B3" w14:textId="77777777" w:rsidTr="00E91426">
        <w:trPr>
          <w:trHeight w:val="274"/>
        </w:trPr>
        <w:tc>
          <w:tcPr>
            <w:tcW w:w="6180" w:type="dxa"/>
            <w:tcBorders>
              <w:top w:val="nil"/>
              <w:left w:val="nil"/>
              <w:bottom w:val="nil"/>
              <w:right w:val="nil"/>
            </w:tcBorders>
            <w:hideMark/>
          </w:tcPr>
          <w:p w14:paraId="46C7FA92"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900" w:type="dxa"/>
            <w:tcBorders>
              <w:top w:val="nil"/>
              <w:left w:val="nil"/>
              <w:bottom w:val="nil"/>
              <w:right w:val="nil"/>
            </w:tcBorders>
            <w:vAlign w:val="bottom"/>
            <w:hideMark/>
          </w:tcPr>
          <w:p w14:paraId="00E4888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2024/25</w:t>
            </w:r>
          </w:p>
        </w:tc>
        <w:tc>
          <w:tcPr>
            <w:tcW w:w="40" w:type="dxa"/>
            <w:tcBorders>
              <w:top w:val="nil"/>
              <w:left w:val="nil"/>
              <w:bottom w:val="nil"/>
              <w:right w:val="nil"/>
            </w:tcBorders>
            <w:noWrap/>
            <w:vAlign w:val="bottom"/>
            <w:hideMark/>
          </w:tcPr>
          <w:p w14:paraId="5A56ACE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00" w:type="dxa"/>
            <w:tcBorders>
              <w:top w:val="nil"/>
              <w:left w:val="nil"/>
              <w:bottom w:val="nil"/>
              <w:right w:val="nil"/>
            </w:tcBorders>
            <w:vAlign w:val="bottom"/>
            <w:hideMark/>
          </w:tcPr>
          <w:p w14:paraId="4A3448E0"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2023/24</w:t>
            </w:r>
          </w:p>
        </w:tc>
      </w:tr>
      <w:tr w:rsidR="00E91426" w:rsidRPr="00E91426" w14:paraId="3C396C1A" w14:textId="77777777" w:rsidTr="00E91426">
        <w:trPr>
          <w:trHeight w:val="282"/>
        </w:trPr>
        <w:tc>
          <w:tcPr>
            <w:tcW w:w="6180" w:type="dxa"/>
            <w:tcBorders>
              <w:top w:val="nil"/>
              <w:left w:val="nil"/>
              <w:bottom w:val="nil"/>
              <w:right w:val="nil"/>
            </w:tcBorders>
            <w:hideMark/>
          </w:tcPr>
          <w:p w14:paraId="7580DA33"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00" w:type="dxa"/>
            <w:tcBorders>
              <w:top w:val="nil"/>
              <w:left w:val="nil"/>
              <w:bottom w:val="nil"/>
              <w:right w:val="nil"/>
            </w:tcBorders>
            <w:vAlign w:val="bottom"/>
            <w:hideMark/>
          </w:tcPr>
          <w:p w14:paraId="6B3FBE00"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40" w:type="dxa"/>
            <w:tcBorders>
              <w:top w:val="nil"/>
              <w:left w:val="nil"/>
              <w:bottom w:val="nil"/>
              <w:right w:val="nil"/>
            </w:tcBorders>
            <w:noWrap/>
            <w:vAlign w:val="bottom"/>
            <w:hideMark/>
          </w:tcPr>
          <w:p w14:paraId="0769005D"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00" w:type="dxa"/>
            <w:tcBorders>
              <w:top w:val="nil"/>
              <w:left w:val="nil"/>
              <w:bottom w:val="nil"/>
              <w:right w:val="nil"/>
            </w:tcBorders>
            <w:vAlign w:val="bottom"/>
            <w:hideMark/>
          </w:tcPr>
          <w:p w14:paraId="623F94B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r>
      <w:tr w:rsidR="00E91426" w:rsidRPr="00E91426" w14:paraId="6C38441E" w14:textId="77777777" w:rsidTr="00E91426">
        <w:trPr>
          <w:trHeight w:val="282"/>
        </w:trPr>
        <w:tc>
          <w:tcPr>
            <w:tcW w:w="6180" w:type="dxa"/>
            <w:tcBorders>
              <w:top w:val="nil"/>
              <w:left w:val="nil"/>
              <w:bottom w:val="nil"/>
              <w:right w:val="nil"/>
            </w:tcBorders>
            <w:hideMark/>
          </w:tcPr>
          <w:p w14:paraId="01F4F4B2"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Interest expense:</w:t>
            </w:r>
          </w:p>
        </w:tc>
        <w:tc>
          <w:tcPr>
            <w:tcW w:w="900" w:type="dxa"/>
            <w:tcBorders>
              <w:top w:val="nil"/>
              <w:left w:val="nil"/>
              <w:bottom w:val="nil"/>
              <w:right w:val="nil"/>
            </w:tcBorders>
            <w:noWrap/>
            <w:vAlign w:val="center"/>
            <w:hideMark/>
          </w:tcPr>
          <w:p w14:paraId="2D5BFC93"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40" w:type="dxa"/>
            <w:tcBorders>
              <w:top w:val="nil"/>
              <w:left w:val="nil"/>
              <w:bottom w:val="nil"/>
              <w:right w:val="nil"/>
            </w:tcBorders>
            <w:noWrap/>
            <w:vAlign w:val="bottom"/>
            <w:hideMark/>
          </w:tcPr>
          <w:p w14:paraId="3CF557D1" w14:textId="77777777" w:rsidR="00E91426" w:rsidRPr="00E91426" w:rsidRDefault="00E91426" w:rsidP="00E91426">
            <w:pPr>
              <w:widowControl/>
              <w:rPr>
                <w:rFonts w:ascii="Arial" w:eastAsia="Times New Roman" w:hAnsi="Arial" w:cs="Arial"/>
                <w:sz w:val="20"/>
                <w:szCs w:val="20"/>
                <w:lang w:val="en-GB" w:eastAsia="en-GB"/>
              </w:rPr>
            </w:pPr>
          </w:p>
        </w:tc>
        <w:tc>
          <w:tcPr>
            <w:tcW w:w="900" w:type="dxa"/>
            <w:tcBorders>
              <w:top w:val="nil"/>
              <w:left w:val="nil"/>
              <w:bottom w:val="nil"/>
              <w:right w:val="nil"/>
            </w:tcBorders>
            <w:noWrap/>
            <w:vAlign w:val="center"/>
            <w:hideMark/>
          </w:tcPr>
          <w:p w14:paraId="2B36B130" w14:textId="77777777" w:rsidR="00E91426" w:rsidRPr="00E91426" w:rsidRDefault="00E91426" w:rsidP="00E91426">
            <w:pPr>
              <w:widowControl/>
              <w:jc w:val="right"/>
              <w:rPr>
                <w:rFonts w:ascii="Arial" w:eastAsia="Times New Roman" w:hAnsi="Arial" w:cs="Arial"/>
                <w:sz w:val="20"/>
                <w:szCs w:val="20"/>
                <w:lang w:val="en-GB" w:eastAsia="en-GB"/>
              </w:rPr>
            </w:pPr>
          </w:p>
        </w:tc>
      </w:tr>
      <w:tr w:rsidR="00E91426" w:rsidRPr="00E91426" w14:paraId="6573D51A" w14:textId="77777777" w:rsidTr="00E91426">
        <w:trPr>
          <w:trHeight w:val="255"/>
        </w:trPr>
        <w:tc>
          <w:tcPr>
            <w:tcW w:w="6180" w:type="dxa"/>
            <w:tcBorders>
              <w:top w:val="nil"/>
              <w:left w:val="nil"/>
              <w:bottom w:val="nil"/>
              <w:right w:val="nil"/>
            </w:tcBorders>
            <w:hideMark/>
          </w:tcPr>
          <w:p w14:paraId="459A3041"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Loans from the Department of Health and Social Care</w:t>
            </w:r>
          </w:p>
        </w:tc>
        <w:tc>
          <w:tcPr>
            <w:tcW w:w="900" w:type="dxa"/>
            <w:tcBorders>
              <w:top w:val="nil"/>
              <w:left w:val="nil"/>
              <w:bottom w:val="nil"/>
              <w:right w:val="nil"/>
            </w:tcBorders>
            <w:noWrap/>
            <w:vAlign w:val="bottom"/>
            <w:hideMark/>
          </w:tcPr>
          <w:p w14:paraId="473A031B"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22</w:t>
            </w:r>
          </w:p>
        </w:tc>
        <w:tc>
          <w:tcPr>
            <w:tcW w:w="40" w:type="dxa"/>
            <w:tcBorders>
              <w:top w:val="nil"/>
              <w:left w:val="nil"/>
              <w:bottom w:val="nil"/>
              <w:right w:val="nil"/>
            </w:tcBorders>
            <w:noWrap/>
            <w:vAlign w:val="bottom"/>
            <w:hideMark/>
          </w:tcPr>
          <w:p w14:paraId="17960651"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900" w:type="dxa"/>
            <w:tcBorders>
              <w:top w:val="nil"/>
              <w:left w:val="nil"/>
              <w:bottom w:val="nil"/>
              <w:right w:val="nil"/>
            </w:tcBorders>
            <w:noWrap/>
            <w:vAlign w:val="bottom"/>
            <w:hideMark/>
          </w:tcPr>
          <w:p w14:paraId="717D0D4A"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25</w:t>
            </w:r>
          </w:p>
        </w:tc>
      </w:tr>
      <w:tr w:rsidR="00E91426" w:rsidRPr="00E91426" w14:paraId="5B5CF2D7" w14:textId="77777777" w:rsidTr="00E91426">
        <w:trPr>
          <w:trHeight w:val="255"/>
        </w:trPr>
        <w:tc>
          <w:tcPr>
            <w:tcW w:w="6180" w:type="dxa"/>
            <w:tcBorders>
              <w:top w:val="nil"/>
              <w:left w:val="nil"/>
              <w:bottom w:val="nil"/>
              <w:right w:val="nil"/>
            </w:tcBorders>
            <w:hideMark/>
          </w:tcPr>
          <w:p w14:paraId="27C34527"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Lease obligations</w:t>
            </w:r>
          </w:p>
        </w:tc>
        <w:tc>
          <w:tcPr>
            <w:tcW w:w="900" w:type="dxa"/>
            <w:tcBorders>
              <w:top w:val="nil"/>
              <w:left w:val="nil"/>
              <w:bottom w:val="nil"/>
              <w:right w:val="nil"/>
            </w:tcBorders>
            <w:noWrap/>
            <w:vAlign w:val="bottom"/>
            <w:hideMark/>
          </w:tcPr>
          <w:p w14:paraId="0940A291"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49</w:t>
            </w:r>
          </w:p>
        </w:tc>
        <w:tc>
          <w:tcPr>
            <w:tcW w:w="40" w:type="dxa"/>
            <w:tcBorders>
              <w:top w:val="nil"/>
              <w:left w:val="nil"/>
              <w:bottom w:val="nil"/>
              <w:right w:val="nil"/>
            </w:tcBorders>
            <w:noWrap/>
            <w:vAlign w:val="bottom"/>
            <w:hideMark/>
          </w:tcPr>
          <w:p w14:paraId="0FA94D66"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900" w:type="dxa"/>
            <w:tcBorders>
              <w:top w:val="nil"/>
              <w:left w:val="nil"/>
              <w:bottom w:val="nil"/>
              <w:right w:val="nil"/>
            </w:tcBorders>
            <w:noWrap/>
            <w:vAlign w:val="bottom"/>
            <w:hideMark/>
          </w:tcPr>
          <w:p w14:paraId="6D0B08C9"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38</w:t>
            </w:r>
          </w:p>
        </w:tc>
      </w:tr>
      <w:tr w:rsidR="00E91426" w:rsidRPr="00E91426" w14:paraId="3F814197" w14:textId="77777777" w:rsidTr="00E91426">
        <w:trPr>
          <w:trHeight w:val="255"/>
        </w:trPr>
        <w:tc>
          <w:tcPr>
            <w:tcW w:w="6180" w:type="dxa"/>
            <w:tcBorders>
              <w:top w:val="nil"/>
              <w:left w:val="nil"/>
              <w:bottom w:val="nil"/>
              <w:right w:val="nil"/>
            </w:tcBorders>
            <w:hideMark/>
          </w:tcPr>
          <w:p w14:paraId="17DD0AA2"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Interest on late payment of commercial debt</w:t>
            </w:r>
          </w:p>
        </w:tc>
        <w:tc>
          <w:tcPr>
            <w:tcW w:w="900" w:type="dxa"/>
            <w:tcBorders>
              <w:top w:val="nil"/>
              <w:left w:val="nil"/>
              <w:bottom w:val="nil"/>
              <w:right w:val="nil"/>
            </w:tcBorders>
            <w:noWrap/>
            <w:vAlign w:val="bottom"/>
            <w:hideMark/>
          </w:tcPr>
          <w:p w14:paraId="15EDAB3E"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w:t>
            </w:r>
          </w:p>
        </w:tc>
        <w:tc>
          <w:tcPr>
            <w:tcW w:w="40" w:type="dxa"/>
            <w:tcBorders>
              <w:top w:val="nil"/>
              <w:left w:val="nil"/>
              <w:bottom w:val="nil"/>
              <w:right w:val="nil"/>
            </w:tcBorders>
            <w:noWrap/>
            <w:vAlign w:val="bottom"/>
            <w:hideMark/>
          </w:tcPr>
          <w:p w14:paraId="59CF1A73"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900" w:type="dxa"/>
            <w:tcBorders>
              <w:top w:val="nil"/>
              <w:left w:val="nil"/>
              <w:bottom w:val="nil"/>
              <w:right w:val="nil"/>
            </w:tcBorders>
            <w:noWrap/>
            <w:vAlign w:val="bottom"/>
            <w:hideMark/>
          </w:tcPr>
          <w:p w14:paraId="79369F11"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r>
      <w:tr w:rsidR="00E91426" w:rsidRPr="00E91426" w14:paraId="306C6E64" w14:textId="77777777" w:rsidTr="00E91426">
        <w:trPr>
          <w:trHeight w:val="270"/>
        </w:trPr>
        <w:tc>
          <w:tcPr>
            <w:tcW w:w="6180" w:type="dxa"/>
            <w:tcBorders>
              <w:top w:val="nil"/>
              <w:left w:val="nil"/>
              <w:bottom w:val="nil"/>
              <w:right w:val="nil"/>
            </w:tcBorders>
            <w:noWrap/>
            <w:hideMark/>
          </w:tcPr>
          <w:p w14:paraId="5CBE25C8"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Total interest expense</w:t>
            </w:r>
          </w:p>
        </w:tc>
        <w:tc>
          <w:tcPr>
            <w:tcW w:w="900" w:type="dxa"/>
            <w:tcBorders>
              <w:top w:val="single" w:sz="4" w:space="0" w:color="auto"/>
              <w:left w:val="nil"/>
              <w:bottom w:val="double" w:sz="6" w:space="0" w:color="auto"/>
              <w:right w:val="nil"/>
            </w:tcBorders>
            <w:noWrap/>
            <w:vAlign w:val="bottom"/>
            <w:hideMark/>
          </w:tcPr>
          <w:p w14:paraId="05BC410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73</w:t>
            </w:r>
          </w:p>
        </w:tc>
        <w:tc>
          <w:tcPr>
            <w:tcW w:w="40" w:type="dxa"/>
            <w:tcBorders>
              <w:top w:val="nil"/>
              <w:left w:val="nil"/>
              <w:bottom w:val="nil"/>
              <w:right w:val="nil"/>
            </w:tcBorders>
            <w:noWrap/>
            <w:vAlign w:val="bottom"/>
            <w:hideMark/>
          </w:tcPr>
          <w:p w14:paraId="2217551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00" w:type="dxa"/>
            <w:tcBorders>
              <w:top w:val="single" w:sz="4" w:space="0" w:color="auto"/>
              <w:left w:val="nil"/>
              <w:bottom w:val="double" w:sz="6" w:space="0" w:color="auto"/>
              <w:right w:val="nil"/>
            </w:tcBorders>
            <w:noWrap/>
            <w:vAlign w:val="bottom"/>
            <w:hideMark/>
          </w:tcPr>
          <w:p w14:paraId="7427A832"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63</w:t>
            </w:r>
          </w:p>
        </w:tc>
      </w:tr>
      <w:tr w:rsidR="00E91426" w:rsidRPr="00E91426" w14:paraId="1D329757" w14:textId="77777777" w:rsidTr="00E91426">
        <w:trPr>
          <w:trHeight w:val="282"/>
        </w:trPr>
        <w:tc>
          <w:tcPr>
            <w:tcW w:w="6180" w:type="dxa"/>
            <w:tcBorders>
              <w:top w:val="nil"/>
              <w:left w:val="nil"/>
              <w:bottom w:val="nil"/>
              <w:right w:val="nil"/>
            </w:tcBorders>
            <w:hideMark/>
          </w:tcPr>
          <w:p w14:paraId="4AD3BF47"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Unwinding of discount on provisions</w:t>
            </w:r>
          </w:p>
        </w:tc>
        <w:tc>
          <w:tcPr>
            <w:tcW w:w="900" w:type="dxa"/>
            <w:tcBorders>
              <w:top w:val="nil"/>
              <w:left w:val="nil"/>
              <w:bottom w:val="nil"/>
              <w:right w:val="nil"/>
            </w:tcBorders>
            <w:noWrap/>
            <w:vAlign w:val="bottom"/>
            <w:hideMark/>
          </w:tcPr>
          <w:p w14:paraId="385DF58A"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11</w:t>
            </w:r>
          </w:p>
        </w:tc>
        <w:tc>
          <w:tcPr>
            <w:tcW w:w="40" w:type="dxa"/>
            <w:tcBorders>
              <w:top w:val="nil"/>
              <w:left w:val="nil"/>
              <w:bottom w:val="nil"/>
              <w:right w:val="nil"/>
            </w:tcBorders>
            <w:noWrap/>
            <w:vAlign w:val="bottom"/>
            <w:hideMark/>
          </w:tcPr>
          <w:p w14:paraId="07A17472"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900" w:type="dxa"/>
            <w:tcBorders>
              <w:top w:val="nil"/>
              <w:left w:val="nil"/>
              <w:bottom w:val="nil"/>
              <w:right w:val="nil"/>
            </w:tcBorders>
            <w:noWrap/>
            <w:vAlign w:val="bottom"/>
            <w:hideMark/>
          </w:tcPr>
          <w:p w14:paraId="57FCED90"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9</w:t>
            </w:r>
          </w:p>
        </w:tc>
      </w:tr>
      <w:tr w:rsidR="00E91426" w:rsidRPr="00E91426" w14:paraId="5A2E2BE6" w14:textId="77777777" w:rsidTr="00E91426">
        <w:trPr>
          <w:trHeight w:val="282"/>
        </w:trPr>
        <w:tc>
          <w:tcPr>
            <w:tcW w:w="6180" w:type="dxa"/>
            <w:tcBorders>
              <w:top w:val="nil"/>
              <w:left w:val="nil"/>
              <w:bottom w:val="nil"/>
              <w:right w:val="nil"/>
            </w:tcBorders>
            <w:noWrap/>
            <w:hideMark/>
          </w:tcPr>
          <w:p w14:paraId="38E498E8"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Total finance costs</w:t>
            </w:r>
          </w:p>
        </w:tc>
        <w:tc>
          <w:tcPr>
            <w:tcW w:w="900" w:type="dxa"/>
            <w:tcBorders>
              <w:top w:val="single" w:sz="4" w:space="0" w:color="auto"/>
              <w:left w:val="nil"/>
              <w:bottom w:val="double" w:sz="6" w:space="0" w:color="auto"/>
              <w:right w:val="nil"/>
            </w:tcBorders>
            <w:noWrap/>
            <w:vAlign w:val="bottom"/>
            <w:hideMark/>
          </w:tcPr>
          <w:p w14:paraId="34CACDE1"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84</w:t>
            </w:r>
          </w:p>
        </w:tc>
        <w:tc>
          <w:tcPr>
            <w:tcW w:w="40" w:type="dxa"/>
            <w:tcBorders>
              <w:top w:val="nil"/>
              <w:left w:val="nil"/>
              <w:bottom w:val="nil"/>
              <w:right w:val="nil"/>
            </w:tcBorders>
            <w:noWrap/>
            <w:vAlign w:val="bottom"/>
            <w:hideMark/>
          </w:tcPr>
          <w:p w14:paraId="63490328"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00" w:type="dxa"/>
            <w:tcBorders>
              <w:top w:val="single" w:sz="4" w:space="0" w:color="auto"/>
              <w:left w:val="nil"/>
              <w:bottom w:val="double" w:sz="6" w:space="0" w:color="auto"/>
              <w:right w:val="nil"/>
            </w:tcBorders>
            <w:noWrap/>
            <w:vAlign w:val="bottom"/>
            <w:hideMark/>
          </w:tcPr>
          <w:p w14:paraId="030B0E3F"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72</w:t>
            </w:r>
          </w:p>
        </w:tc>
      </w:tr>
      <w:tr w:rsidR="00E91426" w:rsidRPr="00E91426" w14:paraId="74ABC626" w14:textId="77777777" w:rsidTr="00E91426">
        <w:trPr>
          <w:trHeight w:val="282"/>
        </w:trPr>
        <w:tc>
          <w:tcPr>
            <w:tcW w:w="6180" w:type="dxa"/>
            <w:tcBorders>
              <w:top w:val="nil"/>
              <w:left w:val="nil"/>
              <w:bottom w:val="nil"/>
              <w:right w:val="nil"/>
            </w:tcBorders>
            <w:hideMark/>
          </w:tcPr>
          <w:p w14:paraId="38570C6C"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00" w:type="dxa"/>
            <w:tcBorders>
              <w:top w:val="nil"/>
              <w:left w:val="nil"/>
              <w:bottom w:val="nil"/>
              <w:right w:val="nil"/>
            </w:tcBorders>
            <w:vAlign w:val="center"/>
            <w:hideMark/>
          </w:tcPr>
          <w:p w14:paraId="7E844AFF" w14:textId="77777777" w:rsidR="00E91426" w:rsidRPr="00E91426" w:rsidRDefault="00E91426" w:rsidP="00E91426">
            <w:pPr>
              <w:widowControl/>
              <w:rPr>
                <w:rFonts w:ascii="Arial" w:eastAsia="Times New Roman" w:hAnsi="Arial" w:cs="Arial"/>
                <w:sz w:val="20"/>
                <w:szCs w:val="20"/>
                <w:lang w:val="en-GB" w:eastAsia="en-GB"/>
              </w:rPr>
            </w:pPr>
          </w:p>
        </w:tc>
        <w:tc>
          <w:tcPr>
            <w:tcW w:w="40" w:type="dxa"/>
            <w:tcBorders>
              <w:top w:val="nil"/>
              <w:left w:val="nil"/>
              <w:bottom w:val="nil"/>
              <w:right w:val="nil"/>
            </w:tcBorders>
            <w:noWrap/>
            <w:vAlign w:val="bottom"/>
            <w:hideMark/>
          </w:tcPr>
          <w:p w14:paraId="343E0895" w14:textId="77777777" w:rsidR="00E91426" w:rsidRPr="00E91426" w:rsidRDefault="00E91426" w:rsidP="00E91426">
            <w:pPr>
              <w:widowControl/>
              <w:rPr>
                <w:rFonts w:ascii="Arial" w:eastAsia="Times New Roman" w:hAnsi="Arial" w:cs="Arial"/>
                <w:sz w:val="20"/>
                <w:szCs w:val="20"/>
                <w:lang w:val="en-GB" w:eastAsia="en-GB"/>
              </w:rPr>
            </w:pPr>
          </w:p>
        </w:tc>
        <w:tc>
          <w:tcPr>
            <w:tcW w:w="900" w:type="dxa"/>
            <w:tcBorders>
              <w:top w:val="nil"/>
              <w:left w:val="nil"/>
              <w:bottom w:val="nil"/>
              <w:right w:val="nil"/>
            </w:tcBorders>
            <w:vAlign w:val="center"/>
            <w:hideMark/>
          </w:tcPr>
          <w:p w14:paraId="4ADBFDFE" w14:textId="77777777" w:rsidR="00E91426" w:rsidRPr="00E91426" w:rsidRDefault="00E91426" w:rsidP="00E91426">
            <w:pPr>
              <w:widowControl/>
              <w:jc w:val="right"/>
              <w:rPr>
                <w:rFonts w:ascii="Arial" w:eastAsia="Times New Roman" w:hAnsi="Arial" w:cs="Arial"/>
                <w:sz w:val="20"/>
                <w:szCs w:val="20"/>
                <w:lang w:val="en-GB" w:eastAsia="en-GB"/>
              </w:rPr>
            </w:pPr>
          </w:p>
        </w:tc>
      </w:tr>
      <w:tr w:rsidR="00E91426" w:rsidRPr="00E91426" w14:paraId="59A728A2" w14:textId="77777777" w:rsidTr="00E91426">
        <w:trPr>
          <w:trHeight w:val="540"/>
        </w:trPr>
        <w:tc>
          <w:tcPr>
            <w:tcW w:w="8020" w:type="dxa"/>
            <w:gridSpan w:val="4"/>
            <w:tcBorders>
              <w:top w:val="nil"/>
              <w:left w:val="nil"/>
              <w:bottom w:val="nil"/>
              <w:right w:val="nil"/>
            </w:tcBorders>
            <w:hideMark/>
          </w:tcPr>
          <w:p w14:paraId="7CDD8794"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Note 9.1 The late payment of commercial debts (interest) Act 1998 / Public Contract Regulations 2015</w:t>
            </w:r>
          </w:p>
        </w:tc>
      </w:tr>
      <w:tr w:rsidR="00E91426" w:rsidRPr="00E91426" w14:paraId="3B1DB084" w14:textId="77777777" w:rsidTr="00E91426">
        <w:trPr>
          <w:trHeight w:val="282"/>
        </w:trPr>
        <w:tc>
          <w:tcPr>
            <w:tcW w:w="6180" w:type="dxa"/>
            <w:tcBorders>
              <w:top w:val="nil"/>
              <w:left w:val="nil"/>
              <w:bottom w:val="nil"/>
              <w:right w:val="nil"/>
            </w:tcBorders>
            <w:hideMark/>
          </w:tcPr>
          <w:p w14:paraId="7CCEB008"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900" w:type="dxa"/>
            <w:tcBorders>
              <w:top w:val="nil"/>
              <w:left w:val="nil"/>
              <w:bottom w:val="nil"/>
              <w:right w:val="nil"/>
            </w:tcBorders>
            <w:vAlign w:val="bottom"/>
            <w:hideMark/>
          </w:tcPr>
          <w:p w14:paraId="2044134D"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2024/25</w:t>
            </w:r>
          </w:p>
        </w:tc>
        <w:tc>
          <w:tcPr>
            <w:tcW w:w="40" w:type="dxa"/>
            <w:tcBorders>
              <w:top w:val="nil"/>
              <w:left w:val="nil"/>
              <w:bottom w:val="nil"/>
              <w:right w:val="nil"/>
            </w:tcBorders>
            <w:noWrap/>
            <w:vAlign w:val="bottom"/>
            <w:hideMark/>
          </w:tcPr>
          <w:p w14:paraId="6EA53621"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00" w:type="dxa"/>
            <w:tcBorders>
              <w:top w:val="nil"/>
              <w:left w:val="nil"/>
              <w:bottom w:val="nil"/>
              <w:right w:val="nil"/>
            </w:tcBorders>
            <w:vAlign w:val="bottom"/>
            <w:hideMark/>
          </w:tcPr>
          <w:p w14:paraId="531A82ED"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2023/24</w:t>
            </w:r>
          </w:p>
        </w:tc>
      </w:tr>
      <w:tr w:rsidR="00E91426" w:rsidRPr="00E91426" w14:paraId="39C4E144" w14:textId="77777777" w:rsidTr="00E91426">
        <w:trPr>
          <w:trHeight w:val="282"/>
        </w:trPr>
        <w:tc>
          <w:tcPr>
            <w:tcW w:w="6180" w:type="dxa"/>
            <w:tcBorders>
              <w:top w:val="nil"/>
              <w:left w:val="nil"/>
              <w:bottom w:val="nil"/>
              <w:right w:val="nil"/>
            </w:tcBorders>
            <w:hideMark/>
          </w:tcPr>
          <w:p w14:paraId="7D097970"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00" w:type="dxa"/>
            <w:tcBorders>
              <w:top w:val="nil"/>
              <w:left w:val="nil"/>
              <w:bottom w:val="nil"/>
              <w:right w:val="nil"/>
            </w:tcBorders>
            <w:vAlign w:val="bottom"/>
            <w:hideMark/>
          </w:tcPr>
          <w:p w14:paraId="6F84B472"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40" w:type="dxa"/>
            <w:tcBorders>
              <w:top w:val="nil"/>
              <w:left w:val="nil"/>
              <w:bottom w:val="nil"/>
              <w:right w:val="nil"/>
            </w:tcBorders>
            <w:noWrap/>
            <w:vAlign w:val="bottom"/>
            <w:hideMark/>
          </w:tcPr>
          <w:p w14:paraId="510B75DF"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00" w:type="dxa"/>
            <w:tcBorders>
              <w:top w:val="nil"/>
              <w:left w:val="nil"/>
              <w:bottom w:val="nil"/>
              <w:right w:val="nil"/>
            </w:tcBorders>
            <w:vAlign w:val="bottom"/>
            <w:hideMark/>
          </w:tcPr>
          <w:p w14:paraId="3FB5BA9D"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r>
      <w:tr w:rsidR="00E91426" w:rsidRPr="00E91426" w14:paraId="7970C34F" w14:textId="77777777" w:rsidTr="00E91426">
        <w:trPr>
          <w:trHeight w:val="540"/>
        </w:trPr>
        <w:tc>
          <w:tcPr>
            <w:tcW w:w="6180" w:type="dxa"/>
            <w:tcBorders>
              <w:top w:val="nil"/>
              <w:left w:val="nil"/>
              <w:bottom w:val="nil"/>
              <w:right w:val="nil"/>
            </w:tcBorders>
            <w:hideMark/>
          </w:tcPr>
          <w:p w14:paraId="5102CB70"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Total liability accruing in year under this legislation as a result of late payments</w:t>
            </w:r>
          </w:p>
        </w:tc>
        <w:tc>
          <w:tcPr>
            <w:tcW w:w="900" w:type="dxa"/>
            <w:tcBorders>
              <w:top w:val="nil"/>
              <w:left w:val="nil"/>
              <w:bottom w:val="nil"/>
              <w:right w:val="nil"/>
            </w:tcBorders>
            <w:noWrap/>
            <w:vAlign w:val="center"/>
            <w:hideMark/>
          </w:tcPr>
          <w:p w14:paraId="73436A71"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40" w:type="dxa"/>
            <w:tcBorders>
              <w:top w:val="nil"/>
              <w:left w:val="nil"/>
              <w:bottom w:val="nil"/>
              <w:right w:val="nil"/>
            </w:tcBorders>
            <w:noWrap/>
            <w:vAlign w:val="center"/>
            <w:hideMark/>
          </w:tcPr>
          <w:p w14:paraId="7C575A52"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900" w:type="dxa"/>
            <w:tcBorders>
              <w:top w:val="nil"/>
              <w:left w:val="nil"/>
              <w:bottom w:val="nil"/>
              <w:right w:val="nil"/>
            </w:tcBorders>
            <w:noWrap/>
            <w:vAlign w:val="center"/>
            <w:hideMark/>
          </w:tcPr>
          <w:p w14:paraId="3E3103EF"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r>
      <w:tr w:rsidR="00E91426" w:rsidRPr="00E91426" w14:paraId="0B944139" w14:textId="77777777" w:rsidTr="00E91426">
        <w:trPr>
          <w:trHeight w:val="552"/>
        </w:trPr>
        <w:tc>
          <w:tcPr>
            <w:tcW w:w="6180" w:type="dxa"/>
            <w:tcBorders>
              <w:top w:val="nil"/>
              <w:left w:val="nil"/>
              <w:bottom w:val="nil"/>
              <w:right w:val="nil"/>
            </w:tcBorders>
            <w:hideMark/>
          </w:tcPr>
          <w:p w14:paraId="7601A595"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Amounts included within interest payable arising from claims under this legislation</w:t>
            </w:r>
          </w:p>
        </w:tc>
        <w:tc>
          <w:tcPr>
            <w:tcW w:w="900" w:type="dxa"/>
            <w:tcBorders>
              <w:top w:val="nil"/>
              <w:left w:val="nil"/>
              <w:bottom w:val="nil"/>
              <w:right w:val="nil"/>
            </w:tcBorders>
            <w:noWrap/>
            <w:vAlign w:val="center"/>
            <w:hideMark/>
          </w:tcPr>
          <w:p w14:paraId="383A36F2"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w:t>
            </w:r>
          </w:p>
        </w:tc>
        <w:tc>
          <w:tcPr>
            <w:tcW w:w="40" w:type="dxa"/>
            <w:tcBorders>
              <w:top w:val="nil"/>
              <w:left w:val="nil"/>
              <w:bottom w:val="nil"/>
              <w:right w:val="nil"/>
            </w:tcBorders>
            <w:noWrap/>
            <w:vAlign w:val="center"/>
            <w:hideMark/>
          </w:tcPr>
          <w:p w14:paraId="2C5AB875"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900" w:type="dxa"/>
            <w:tcBorders>
              <w:top w:val="nil"/>
              <w:left w:val="nil"/>
              <w:bottom w:val="nil"/>
              <w:right w:val="nil"/>
            </w:tcBorders>
            <w:noWrap/>
            <w:vAlign w:val="center"/>
            <w:hideMark/>
          </w:tcPr>
          <w:p w14:paraId="2F63327A"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r>
      <w:tr w:rsidR="00E91426" w:rsidRPr="00E91426" w14:paraId="60206A9F" w14:textId="77777777" w:rsidTr="00E91426">
        <w:trPr>
          <w:trHeight w:val="499"/>
        </w:trPr>
        <w:tc>
          <w:tcPr>
            <w:tcW w:w="6180" w:type="dxa"/>
            <w:tcBorders>
              <w:top w:val="nil"/>
              <w:left w:val="nil"/>
              <w:bottom w:val="nil"/>
              <w:right w:val="nil"/>
            </w:tcBorders>
            <w:hideMark/>
          </w:tcPr>
          <w:p w14:paraId="5196E572"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Compensation paid to cover debt recovery costs under this legislation</w:t>
            </w:r>
          </w:p>
        </w:tc>
        <w:tc>
          <w:tcPr>
            <w:tcW w:w="900" w:type="dxa"/>
            <w:tcBorders>
              <w:top w:val="nil"/>
              <w:left w:val="nil"/>
              <w:bottom w:val="nil"/>
              <w:right w:val="nil"/>
            </w:tcBorders>
            <w:noWrap/>
            <w:vAlign w:val="center"/>
            <w:hideMark/>
          </w:tcPr>
          <w:p w14:paraId="24ED3A08"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40" w:type="dxa"/>
            <w:tcBorders>
              <w:top w:val="nil"/>
              <w:left w:val="nil"/>
              <w:bottom w:val="nil"/>
              <w:right w:val="nil"/>
            </w:tcBorders>
            <w:noWrap/>
            <w:vAlign w:val="center"/>
            <w:hideMark/>
          </w:tcPr>
          <w:p w14:paraId="3BD802CC"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900" w:type="dxa"/>
            <w:tcBorders>
              <w:top w:val="nil"/>
              <w:left w:val="nil"/>
              <w:bottom w:val="nil"/>
              <w:right w:val="nil"/>
            </w:tcBorders>
            <w:noWrap/>
            <w:vAlign w:val="center"/>
            <w:hideMark/>
          </w:tcPr>
          <w:p w14:paraId="68F0274C"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r>
      <w:tr w:rsidR="00E91426" w:rsidRPr="00E91426" w14:paraId="0CD0AFC2" w14:textId="77777777" w:rsidTr="00E91426">
        <w:trPr>
          <w:trHeight w:val="282"/>
        </w:trPr>
        <w:tc>
          <w:tcPr>
            <w:tcW w:w="6180" w:type="dxa"/>
            <w:tcBorders>
              <w:top w:val="nil"/>
              <w:left w:val="nil"/>
              <w:bottom w:val="nil"/>
              <w:right w:val="nil"/>
            </w:tcBorders>
            <w:hideMark/>
          </w:tcPr>
          <w:p w14:paraId="56A731B3"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900" w:type="dxa"/>
            <w:tcBorders>
              <w:top w:val="nil"/>
              <w:left w:val="nil"/>
              <w:bottom w:val="nil"/>
              <w:right w:val="nil"/>
            </w:tcBorders>
            <w:noWrap/>
            <w:vAlign w:val="bottom"/>
            <w:hideMark/>
          </w:tcPr>
          <w:p w14:paraId="672A74FE" w14:textId="77777777" w:rsidR="00E91426" w:rsidRPr="00E91426" w:rsidRDefault="00E91426" w:rsidP="00E91426">
            <w:pPr>
              <w:widowControl/>
              <w:rPr>
                <w:rFonts w:ascii="Arial" w:eastAsia="Times New Roman" w:hAnsi="Arial" w:cs="Arial"/>
                <w:sz w:val="20"/>
                <w:szCs w:val="20"/>
                <w:lang w:val="en-GB" w:eastAsia="en-GB"/>
              </w:rPr>
            </w:pPr>
          </w:p>
        </w:tc>
        <w:tc>
          <w:tcPr>
            <w:tcW w:w="40" w:type="dxa"/>
            <w:tcBorders>
              <w:top w:val="nil"/>
              <w:left w:val="nil"/>
              <w:bottom w:val="nil"/>
              <w:right w:val="nil"/>
            </w:tcBorders>
            <w:noWrap/>
            <w:vAlign w:val="bottom"/>
            <w:hideMark/>
          </w:tcPr>
          <w:p w14:paraId="62D733BA" w14:textId="77777777" w:rsidR="00E91426" w:rsidRPr="00E91426" w:rsidRDefault="00E91426" w:rsidP="00E91426">
            <w:pPr>
              <w:widowControl/>
              <w:jc w:val="right"/>
              <w:rPr>
                <w:rFonts w:ascii="Arial" w:eastAsia="Times New Roman" w:hAnsi="Arial" w:cs="Arial"/>
                <w:sz w:val="20"/>
                <w:szCs w:val="20"/>
                <w:lang w:val="en-GB" w:eastAsia="en-GB"/>
              </w:rPr>
            </w:pPr>
          </w:p>
        </w:tc>
        <w:tc>
          <w:tcPr>
            <w:tcW w:w="900" w:type="dxa"/>
            <w:tcBorders>
              <w:top w:val="nil"/>
              <w:left w:val="nil"/>
              <w:bottom w:val="nil"/>
              <w:right w:val="nil"/>
            </w:tcBorders>
            <w:noWrap/>
            <w:vAlign w:val="bottom"/>
            <w:hideMark/>
          </w:tcPr>
          <w:p w14:paraId="74E83F48" w14:textId="77777777" w:rsidR="00E91426" w:rsidRPr="00E91426" w:rsidRDefault="00E91426" w:rsidP="00E91426">
            <w:pPr>
              <w:widowControl/>
              <w:jc w:val="right"/>
              <w:rPr>
                <w:rFonts w:ascii="Arial" w:eastAsia="Times New Roman" w:hAnsi="Arial" w:cs="Arial"/>
                <w:sz w:val="20"/>
                <w:szCs w:val="20"/>
                <w:lang w:val="en-GB" w:eastAsia="en-GB"/>
              </w:rPr>
            </w:pPr>
          </w:p>
        </w:tc>
      </w:tr>
    </w:tbl>
    <w:p w14:paraId="3CF37008" w14:textId="77777777" w:rsidR="00E91426" w:rsidRPr="00E91426" w:rsidRDefault="00E91426" w:rsidP="00E91426">
      <w:pPr>
        <w:widowControl/>
        <w:spacing w:after="160" w:line="259" w:lineRule="auto"/>
        <w:rPr>
          <w:rFonts w:ascii="Arial" w:eastAsia="Calibri" w:hAnsi="Arial" w:cs="Arial"/>
          <w:sz w:val="20"/>
          <w:szCs w:val="20"/>
          <w:lang w:val="en-GB"/>
        </w:rPr>
        <w:sectPr w:rsidR="00E91426" w:rsidRPr="00E91426" w:rsidSect="00E91426">
          <w:pgSz w:w="11906" w:h="16838"/>
          <w:pgMar w:top="993" w:right="1440" w:bottom="709" w:left="1440" w:header="708" w:footer="708" w:gutter="0"/>
          <w:cols w:space="708"/>
          <w:titlePg/>
          <w:docGrid w:linePitch="360"/>
        </w:sectPr>
      </w:pPr>
    </w:p>
    <w:p w14:paraId="621DB27A" w14:textId="77777777" w:rsidR="00E91426" w:rsidRPr="00E91426" w:rsidRDefault="00E91426" w:rsidP="00E91426">
      <w:pPr>
        <w:keepNext/>
        <w:keepLines/>
        <w:widowControl/>
        <w:spacing w:before="40" w:line="259" w:lineRule="auto"/>
        <w:outlineLvl w:val="1"/>
        <w:rPr>
          <w:rFonts w:ascii="Arial" w:eastAsia="Times New Roman" w:hAnsi="Arial" w:cs="Arial"/>
          <w:b/>
          <w:color w:val="000000"/>
          <w:sz w:val="20"/>
          <w:szCs w:val="20"/>
          <w:lang w:val="en-GB"/>
        </w:rPr>
      </w:pPr>
      <w:bookmarkStart w:id="69" w:name="_Toc195698707"/>
      <w:r w:rsidRPr="00E91426">
        <w:rPr>
          <w:rFonts w:ascii="Arial" w:eastAsia="Times New Roman" w:hAnsi="Arial" w:cs="Arial"/>
          <w:b/>
          <w:color w:val="000000"/>
          <w:sz w:val="20"/>
          <w:szCs w:val="20"/>
          <w:lang w:val="en-GB"/>
        </w:rPr>
        <w:lastRenderedPageBreak/>
        <w:t>Note 10 Property, plant and equipment</w:t>
      </w:r>
      <w:bookmarkEnd w:id="69"/>
    </w:p>
    <w:p w14:paraId="2854EEC7" w14:textId="77777777" w:rsidR="00E91426" w:rsidRPr="00E91426" w:rsidRDefault="00E91426" w:rsidP="00E91426">
      <w:pPr>
        <w:widowControl/>
        <w:spacing w:after="160" w:line="259" w:lineRule="auto"/>
        <w:rPr>
          <w:rFonts w:ascii="Arial" w:eastAsia="Calibri" w:hAnsi="Arial" w:cs="Arial"/>
          <w:sz w:val="20"/>
          <w:szCs w:val="20"/>
          <w:lang w:val="en-GB"/>
        </w:rPr>
      </w:pPr>
    </w:p>
    <w:tbl>
      <w:tblPr>
        <w:tblW w:w="14906" w:type="dxa"/>
        <w:tblLook w:val="04A0" w:firstRow="1" w:lastRow="0" w:firstColumn="1" w:lastColumn="0" w:noHBand="0" w:noVBand="1"/>
      </w:tblPr>
      <w:tblGrid>
        <w:gridCol w:w="4988"/>
        <w:gridCol w:w="952"/>
        <w:gridCol w:w="1150"/>
        <w:gridCol w:w="1150"/>
        <w:gridCol w:w="1428"/>
        <w:gridCol w:w="1217"/>
        <w:gridCol w:w="1228"/>
        <w:gridCol w:w="1316"/>
        <w:gridCol w:w="1094"/>
        <w:gridCol w:w="961"/>
      </w:tblGrid>
      <w:tr w:rsidR="00E91426" w:rsidRPr="00E91426" w14:paraId="22C57ABF" w14:textId="77777777" w:rsidTr="00E91426">
        <w:trPr>
          <w:trHeight w:val="255"/>
        </w:trPr>
        <w:tc>
          <w:tcPr>
            <w:tcW w:w="4988" w:type="dxa"/>
            <w:tcBorders>
              <w:top w:val="nil"/>
              <w:left w:val="nil"/>
              <w:bottom w:val="nil"/>
              <w:right w:val="nil"/>
            </w:tcBorders>
            <w:noWrap/>
            <w:vAlign w:val="bottom"/>
            <w:hideMark/>
          </w:tcPr>
          <w:p w14:paraId="5D5916D1"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Note 10.1 Property, plant and equipment - 2024/25</w:t>
            </w:r>
          </w:p>
        </w:tc>
        <w:tc>
          <w:tcPr>
            <w:tcW w:w="952" w:type="dxa"/>
            <w:tcBorders>
              <w:top w:val="nil"/>
              <w:left w:val="nil"/>
              <w:bottom w:val="nil"/>
              <w:right w:val="nil"/>
            </w:tcBorders>
            <w:vAlign w:val="bottom"/>
            <w:hideMark/>
          </w:tcPr>
          <w:p w14:paraId="3DCD378D"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1074" w:type="dxa"/>
            <w:tcBorders>
              <w:top w:val="nil"/>
              <w:left w:val="nil"/>
              <w:bottom w:val="nil"/>
              <w:right w:val="nil"/>
            </w:tcBorders>
            <w:noWrap/>
            <w:vAlign w:val="center"/>
            <w:hideMark/>
          </w:tcPr>
          <w:p w14:paraId="04D8FE15" w14:textId="77777777" w:rsidR="00E91426" w:rsidRPr="00E91426" w:rsidRDefault="00E91426" w:rsidP="00E91426">
            <w:pPr>
              <w:widowControl/>
              <w:rPr>
                <w:rFonts w:ascii="Arial" w:eastAsia="Times New Roman" w:hAnsi="Arial" w:cs="Arial"/>
                <w:sz w:val="20"/>
                <w:szCs w:val="20"/>
                <w:lang w:val="en-GB" w:eastAsia="en-GB"/>
              </w:rPr>
            </w:pPr>
          </w:p>
        </w:tc>
        <w:tc>
          <w:tcPr>
            <w:tcW w:w="1074" w:type="dxa"/>
            <w:tcBorders>
              <w:top w:val="nil"/>
              <w:left w:val="nil"/>
              <w:bottom w:val="nil"/>
              <w:right w:val="nil"/>
            </w:tcBorders>
            <w:vAlign w:val="bottom"/>
            <w:hideMark/>
          </w:tcPr>
          <w:p w14:paraId="139827A6" w14:textId="77777777" w:rsidR="00E91426" w:rsidRPr="00E91426" w:rsidRDefault="00E91426" w:rsidP="00E91426">
            <w:pPr>
              <w:widowControl/>
              <w:rPr>
                <w:rFonts w:ascii="Arial" w:eastAsia="Times New Roman" w:hAnsi="Arial" w:cs="Arial"/>
                <w:sz w:val="20"/>
                <w:szCs w:val="20"/>
                <w:lang w:val="en-GB" w:eastAsia="en-GB"/>
              </w:rPr>
            </w:pPr>
          </w:p>
        </w:tc>
        <w:tc>
          <w:tcPr>
            <w:tcW w:w="1333" w:type="dxa"/>
            <w:tcBorders>
              <w:top w:val="nil"/>
              <w:left w:val="nil"/>
              <w:bottom w:val="nil"/>
              <w:right w:val="nil"/>
            </w:tcBorders>
            <w:vAlign w:val="bottom"/>
            <w:hideMark/>
          </w:tcPr>
          <w:p w14:paraId="4F35D1BD" w14:textId="77777777" w:rsidR="00E91426" w:rsidRPr="00E91426" w:rsidRDefault="00E91426" w:rsidP="00E91426">
            <w:pPr>
              <w:widowControl/>
              <w:rPr>
                <w:rFonts w:ascii="Arial" w:eastAsia="Times New Roman" w:hAnsi="Arial" w:cs="Arial"/>
                <w:sz w:val="20"/>
                <w:szCs w:val="20"/>
                <w:lang w:val="en-GB" w:eastAsia="en-GB"/>
              </w:rPr>
            </w:pPr>
          </w:p>
        </w:tc>
        <w:tc>
          <w:tcPr>
            <w:tcW w:w="1136" w:type="dxa"/>
            <w:tcBorders>
              <w:top w:val="nil"/>
              <w:left w:val="nil"/>
              <w:bottom w:val="nil"/>
              <w:right w:val="nil"/>
            </w:tcBorders>
            <w:vAlign w:val="bottom"/>
            <w:hideMark/>
          </w:tcPr>
          <w:p w14:paraId="5EBC0F9B" w14:textId="77777777" w:rsidR="00E91426" w:rsidRPr="00E91426" w:rsidRDefault="00E91426" w:rsidP="00E91426">
            <w:pPr>
              <w:widowControl/>
              <w:rPr>
                <w:rFonts w:ascii="Arial" w:eastAsia="Times New Roman" w:hAnsi="Arial" w:cs="Arial"/>
                <w:sz w:val="20"/>
                <w:szCs w:val="20"/>
                <w:lang w:val="en-GB" w:eastAsia="en-GB"/>
              </w:rPr>
            </w:pPr>
          </w:p>
        </w:tc>
        <w:tc>
          <w:tcPr>
            <w:tcW w:w="1147" w:type="dxa"/>
            <w:tcBorders>
              <w:top w:val="nil"/>
              <w:left w:val="nil"/>
              <w:bottom w:val="nil"/>
              <w:right w:val="nil"/>
            </w:tcBorders>
            <w:vAlign w:val="bottom"/>
            <w:hideMark/>
          </w:tcPr>
          <w:p w14:paraId="6FAFA63E"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229" w:type="dxa"/>
            <w:tcBorders>
              <w:top w:val="nil"/>
              <w:left w:val="nil"/>
              <w:bottom w:val="nil"/>
              <w:right w:val="nil"/>
            </w:tcBorders>
            <w:vAlign w:val="bottom"/>
            <w:hideMark/>
          </w:tcPr>
          <w:p w14:paraId="408978CE"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021" w:type="dxa"/>
            <w:tcBorders>
              <w:top w:val="nil"/>
              <w:left w:val="nil"/>
              <w:bottom w:val="nil"/>
              <w:right w:val="nil"/>
            </w:tcBorders>
            <w:vAlign w:val="bottom"/>
            <w:hideMark/>
          </w:tcPr>
          <w:p w14:paraId="74EC6068" w14:textId="77777777" w:rsidR="00E91426" w:rsidRPr="00E91426" w:rsidRDefault="00E91426" w:rsidP="00E91426">
            <w:pPr>
              <w:widowControl/>
              <w:jc w:val="right"/>
              <w:rPr>
                <w:rFonts w:ascii="Arial" w:eastAsia="Times New Roman" w:hAnsi="Arial" w:cs="Arial"/>
                <w:sz w:val="20"/>
                <w:szCs w:val="20"/>
                <w:lang w:val="en-GB" w:eastAsia="en-GB"/>
              </w:rPr>
            </w:pPr>
          </w:p>
        </w:tc>
        <w:tc>
          <w:tcPr>
            <w:tcW w:w="952" w:type="dxa"/>
            <w:tcBorders>
              <w:top w:val="nil"/>
              <w:left w:val="nil"/>
              <w:bottom w:val="nil"/>
              <w:right w:val="nil"/>
            </w:tcBorders>
            <w:vAlign w:val="bottom"/>
            <w:hideMark/>
          </w:tcPr>
          <w:p w14:paraId="2B3B735D" w14:textId="77777777" w:rsidR="00E91426" w:rsidRPr="00E91426" w:rsidRDefault="00E91426" w:rsidP="00E91426">
            <w:pPr>
              <w:widowControl/>
              <w:jc w:val="right"/>
              <w:rPr>
                <w:rFonts w:ascii="Arial" w:eastAsia="Times New Roman" w:hAnsi="Arial" w:cs="Arial"/>
                <w:sz w:val="20"/>
                <w:szCs w:val="20"/>
                <w:lang w:val="en-GB" w:eastAsia="en-GB"/>
              </w:rPr>
            </w:pPr>
          </w:p>
        </w:tc>
      </w:tr>
      <w:tr w:rsidR="00E91426" w:rsidRPr="00E91426" w14:paraId="3FE1B134" w14:textId="77777777" w:rsidTr="00E91426">
        <w:trPr>
          <w:trHeight w:val="704"/>
        </w:trPr>
        <w:tc>
          <w:tcPr>
            <w:tcW w:w="4988" w:type="dxa"/>
            <w:tcBorders>
              <w:top w:val="nil"/>
              <w:left w:val="nil"/>
              <w:bottom w:val="nil"/>
              <w:right w:val="nil"/>
            </w:tcBorders>
            <w:vAlign w:val="bottom"/>
            <w:hideMark/>
          </w:tcPr>
          <w:p w14:paraId="0D02C190" w14:textId="77777777" w:rsidR="00E91426" w:rsidRPr="00E91426" w:rsidRDefault="00E91426" w:rsidP="00E91426">
            <w:pPr>
              <w:widowControl/>
              <w:jc w:val="right"/>
              <w:rPr>
                <w:rFonts w:ascii="Arial" w:eastAsia="Times New Roman" w:hAnsi="Arial" w:cs="Arial"/>
                <w:sz w:val="20"/>
                <w:szCs w:val="20"/>
                <w:lang w:val="en-GB" w:eastAsia="en-GB"/>
              </w:rPr>
            </w:pPr>
          </w:p>
        </w:tc>
        <w:tc>
          <w:tcPr>
            <w:tcW w:w="952" w:type="dxa"/>
            <w:tcBorders>
              <w:top w:val="nil"/>
              <w:left w:val="nil"/>
              <w:bottom w:val="nil"/>
              <w:right w:val="nil"/>
            </w:tcBorders>
            <w:hideMark/>
          </w:tcPr>
          <w:p w14:paraId="3DC8726D"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Land</w:t>
            </w:r>
          </w:p>
        </w:tc>
        <w:tc>
          <w:tcPr>
            <w:tcW w:w="1074" w:type="dxa"/>
            <w:tcBorders>
              <w:top w:val="nil"/>
              <w:left w:val="nil"/>
              <w:bottom w:val="nil"/>
              <w:right w:val="nil"/>
            </w:tcBorders>
            <w:hideMark/>
          </w:tcPr>
          <w:p w14:paraId="4DDA938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Buildings excluding dwellings</w:t>
            </w:r>
          </w:p>
        </w:tc>
        <w:tc>
          <w:tcPr>
            <w:tcW w:w="1074" w:type="dxa"/>
            <w:tcBorders>
              <w:top w:val="nil"/>
              <w:left w:val="nil"/>
              <w:bottom w:val="nil"/>
              <w:right w:val="nil"/>
            </w:tcBorders>
            <w:hideMark/>
          </w:tcPr>
          <w:p w14:paraId="555A1993"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Dwellings</w:t>
            </w:r>
          </w:p>
        </w:tc>
        <w:tc>
          <w:tcPr>
            <w:tcW w:w="1333" w:type="dxa"/>
            <w:tcBorders>
              <w:top w:val="nil"/>
              <w:left w:val="nil"/>
              <w:bottom w:val="nil"/>
              <w:right w:val="nil"/>
            </w:tcBorders>
            <w:hideMark/>
          </w:tcPr>
          <w:p w14:paraId="7C940872"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Assets under construction</w:t>
            </w:r>
          </w:p>
        </w:tc>
        <w:tc>
          <w:tcPr>
            <w:tcW w:w="1136" w:type="dxa"/>
            <w:tcBorders>
              <w:top w:val="nil"/>
              <w:left w:val="nil"/>
              <w:bottom w:val="nil"/>
              <w:right w:val="nil"/>
            </w:tcBorders>
            <w:hideMark/>
          </w:tcPr>
          <w:p w14:paraId="5614FAC5"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Plant &amp; machinery</w:t>
            </w:r>
          </w:p>
        </w:tc>
        <w:tc>
          <w:tcPr>
            <w:tcW w:w="1147" w:type="dxa"/>
            <w:tcBorders>
              <w:top w:val="nil"/>
              <w:left w:val="nil"/>
              <w:bottom w:val="nil"/>
              <w:right w:val="nil"/>
            </w:tcBorders>
            <w:hideMark/>
          </w:tcPr>
          <w:p w14:paraId="7DE52D0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Transport equipment</w:t>
            </w:r>
          </w:p>
        </w:tc>
        <w:tc>
          <w:tcPr>
            <w:tcW w:w="1229" w:type="dxa"/>
            <w:tcBorders>
              <w:top w:val="nil"/>
              <w:left w:val="nil"/>
              <w:bottom w:val="nil"/>
              <w:right w:val="nil"/>
            </w:tcBorders>
            <w:hideMark/>
          </w:tcPr>
          <w:p w14:paraId="5BFE7BF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Information technology</w:t>
            </w:r>
          </w:p>
        </w:tc>
        <w:tc>
          <w:tcPr>
            <w:tcW w:w="1021" w:type="dxa"/>
            <w:tcBorders>
              <w:top w:val="nil"/>
              <w:left w:val="nil"/>
              <w:bottom w:val="nil"/>
              <w:right w:val="nil"/>
            </w:tcBorders>
            <w:hideMark/>
          </w:tcPr>
          <w:p w14:paraId="4CE621DF"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Furniture &amp; fittings</w:t>
            </w:r>
          </w:p>
        </w:tc>
        <w:tc>
          <w:tcPr>
            <w:tcW w:w="952" w:type="dxa"/>
            <w:tcBorders>
              <w:top w:val="nil"/>
              <w:left w:val="nil"/>
              <w:bottom w:val="nil"/>
              <w:right w:val="nil"/>
            </w:tcBorders>
            <w:hideMark/>
          </w:tcPr>
          <w:p w14:paraId="33AE46DF"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Total </w:t>
            </w:r>
          </w:p>
        </w:tc>
      </w:tr>
      <w:tr w:rsidR="00E91426" w:rsidRPr="00E91426" w14:paraId="235C9540" w14:textId="77777777" w:rsidTr="00E91426">
        <w:trPr>
          <w:trHeight w:val="255"/>
        </w:trPr>
        <w:tc>
          <w:tcPr>
            <w:tcW w:w="4988" w:type="dxa"/>
            <w:tcBorders>
              <w:top w:val="nil"/>
              <w:left w:val="nil"/>
              <w:bottom w:val="nil"/>
              <w:right w:val="nil"/>
            </w:tcBorders>
            <w:vAlign w:val="bottom"/>
            <w:hideMark/>
          </w:tcPr>
          <w:p w14:paraId="5057E9B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52" w:type="dxa"/>
            <w:tcBorders>
              <w:top w:val="nil"/>
              <w:left w:val="nil"/>
              <w:bottom w:val="nil"/>
              <w:right w:val="nil"/>
            </w:tcBorders>
            <w:vAlign w:val="bottom"/>
            <w:hideMark/>
          </w:tcPr>
          <w:p w14:paraId="57ADD271"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1074" w:type="dxa"/>
            <w:tcBorders>
              <w:top w:val="nil"/>
              <w:left w:val="nil"/>
              <w:bottom w:val="nil"/>
              <w:right w:val="nil"/>
            </w:tcBorders>
            <w:vAlign w:val="bottom"/>
            <w:hideMark/>
          </w:tcPr>
          <w:p w14:paraId="426F256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1074" w:type="dxa"/>
            <w:tcBorders>
              <w:top w:val="nil"/>
              <w:left w:val="nil"/>
              <w:bottom w:val="nil"/>
              <w:right w:val="nil"/>
            </w:tcBorders>
            <w:vAlign w:val="bottom"/>
            <w:hideMark/>
          </w:tcPr>
          <w:p w14:paraId="3CFA868F"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£000</w:t>
            </w:r>
          </w:p>
        </w:tc>
        <w:tc>
          <w:tcPr>
            <w:tcW w:w="1333" w:type="dxa"/>
            <w:tcBorders>
              <w:top w:val="nil"/>
              <w:left w:val="nil"/>
              <w:bottom w:val="nil"/>
              <w:right w:val="nil"/>
            </w:tcBorders>
            <w:vAlign w:val="bottom"/>
            <w:hideMark/>
          </w:tcPr>
          <w:p w14:paraId="7208E0E1"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£000</w:t>
            </w:r>
          </w:p>
        </w:tc>
        <w:tc>
          <w:tcPr>
            <w:tcW w:w="1136" w:type="dxa"/>
            <w:tcBorders>
              <w:top w:val="nil"/>
              <w:left w:val="nil"/>
              <w:bottom w:val="nil"/>
              <w:right w:val="nil"/>
            </w:tcBorders>
            <w:vAlign w:val="bottom"/>
            <w:hideMark/>
          </w:tcPr>
          <w:p w14:paraId="59A81C23"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£000</w:t>
            </w:r>
          </w:p>
        </w:tc>
        <w:tc>
          <w:tcPr>
            <w:tcW w:w="1147" w:type="dxa"/>
            <w:tcBorders>
              <w:top w:val="nil"/>
              <w:left w:val="nil"/>
              <w:bottom w:val="nil"/>
              <w:right w:val="nil"/>
            </w:tcBorders>
            <w:vAlign w:val="bottom"/>
            <w:hideMark/>
          </w:tcPr>
          <w:p w14:paraId="214C430F"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£000</w:t>
            </w:r>
          </w:p>
        </w:tc>
        <w:tc>
          <w:tcPr>
            <w:tcW w:w="1229" w:type="dxa"/>
            <w:tcBorders>
              <w:top w:val="nil"/>
              <w:left w:val="nil"/>
              <w:bottom w:val="nil"/>
              <w:right w:val="nil"/>
            </w:tcBorders>
            <w:vAlign w:val="bottom"/>
            <w:hideMark/>
          </w:tcPr>
          <w:p w14:paraId="05B54FD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£000</w:t>
            </w:r>
          </w:p>
        </w:tc>
        <w:tc>
          <w:tcPr>
            <w:tcW w:w="1021" w:type="dxa"/>
            <w:tcBorders>
              <w:top w:val="nil"/>
              <w:left w:val="nil"/>
              <w:bottom w:val="nil"/>
              <w:right w:val="nil"/>
            </w:tcBorders>
            <w:vAlign w:val="bottom"/>
            <w:hideMark/>
          </w:tcPr>
          <w:p w14:paraId="17C4F08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£000</w:t>
            </w:r>
          </w:p>
        </w:tc>
        <w:tc>
          <w:tcPr>
            <w:tcW w:w="952" w:type="dxa"/>
            <w:tcBorders>
              <w:top w:val="nil"/>
              <w:left w:val="nil"/>
              <w:bottom w:val="nil"/>
              <w:right w:val="nil"/>
            </w:tcBorders>
            <w:vAlign w:val="bottom"/>
            <w:hideMark/>
          </w:tcPr>
          <w:p w14:paraId="794D3E51"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r>
      <w:tr w:rsidR="00E91426" w:rsidRPr="00E91426" w14:paraId="52D8DC11" w14:textId="77777777" w:rsidTr="00E91426">
        <w:trPr>
          <w:trHeight w:val="234"/>
        </w:trPr>
        <w:tc>
          <w:tcPr>
            <w:tcW w:w="4988" w:type="dxa"/>
            <w:tcBorders>
              <w:top w:val="nil"/>
              <w:left w:val="nil"/>
              <w:bottom w:val="nil"/>
              <w:right w:val="nil"/>
            </w:tcBorders>
            <w:vAlign w:val="bottom"/>
            <w:hideMark/>
          </w:tcPr>
          <w:p w14:paraId="31D67A6A"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Valuation/gross cost at 1 April 2024 - brought forward</w:t>
            </w:r>
          </w:p>
        </w:tc>
        <w:tc>
          <w:tcPr>
            <w:tcW w:w="952" w:type="dxa"/>
            <w:tcBorders>
              <w:top w:val="single" w:sz="4" w:space="0" w:color="auto"/>
              <w:left w:val="nil"/>
              <w:bottom w:val="single" w:sz="4" w:space="0" w:color="auto"/>
              <w:right w:val="nil"/>
            </w:tcBorders>
            <w:noWrap/>
            <w:vAlign w:val="center"/>
            <w:hideMark/>
          </w:tcPr>
          <w:p w14:paraId="0C22F6E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7,722</w:t>
            </w:r>
          </w:p>
        </w:tc>
        <w:tc>
          <w:tcPr>
            <w:tcW w:w="1074" w:type="dxa"/>
            <w:tcBorders>
              <w:top w:val="single" w:sz="4" w:space="0" w:color="auto"/>
              <w:left w:val="nil"/>
              <w:bottom w:val="single" w:sz="4" w:space="0" w:color="auto"/>
              <w:right w:val="nil"/>
            </w:tcBorders>
            <w:noWrap/>
            <w:vAlign w:val="center"/>
            <w:hideMark/>
          </w:tcPr>
          <w:p w14:paraId="3466867C"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193,696</w:t>
            </w:r>
          </w:p>
        </w:tc>
        <w:tc>
          <w:tcPr>
            <w:tcW w:w="1074" w:type="dxa"/>
            <w:tcBorders>
              <w:top w:val="single" w:sz="4" w:space="0" w:color="auto"/>
              <w:left w:val="nil"/>
              <w:bottom w:val="single" w:sz="4" w:space="0" w:color="auto"/>
              <w:right w:val="nil"/>
            </w:tcBorders>
            <w:noWrap/>
            <w:vAlign w:val="center"/>
            <w:hideMark/>
          </w:tcPr>
          <w:p w14:paraId="5C420DF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5,783</w:t>
            </w:r>
          </w:p>
        </w:tc>
        <w:tc>
          <w:tcPr>
            <w:tcW w:w="1333" w:type="dxa"/>
            <w:tcBorders>
              <w:top w:val="single" w:sz="4" w:space="0" w:color="auto"/>
              <w:left w:val="nil"/>
              <w:bottom w:val="single" w:sz="4" w:space="0" w:color="auto"/>
              <w:right w:val="nil"/>
            </w:tcBorders>
            <w:noWrap/>
            <w:vAlign w:val="center"/>
            <w:hideMark/>
          </w:tcPr>
          <w:p w14:paraId="6D1EFBDF"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27,488</w:t>
            </w:r>
          </w:p>
        </w:tc>
        <w:tc>
          <w:tcPr>
            <w:tcW w:w="1136" w:type="dxa"/>
            <w:tcBorders>
              <w:top w:val="single" w:sz="4" w:space="0" w:color="auto"/>
              <w:left w:val="nil"/>
              <w:bottom w:val="single" w:sz="4" w:space="0" w:color="auto"/>
              <w:right w:val="nil"/>
            </w:tcBorders>
            <w:noWrap/>
            <w:vAlign w:val="center"/>
            <w:hideMark/>
          </w:tcPr>
          <w:p w14:paraId="58B181DC"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59,155</w:t>
            </w:r>
          </w:p>
        </w:tc>
        <w:tc>
          <w:tcPr>
            <w:tcW w:w="1147" w:type="dxa"/>
            <w:tcBorders>
              <w:top w:val="single" w:sz="4" w:space="0" w:color="auto"/>
              <w:left w:val="nil"/>
              <w:bottom w:val="single" w:sz="4" w:space="0" w:color="auto"/>
              <w:right w:val="nil"/>
            </w:tcBorders>
            <w:noWrap/>
            <w:vAlign w:val="center"/>
            <w:hideMark/>
          </w:tcPr>
          <w:p w14:paraId="2CCFCBD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122</w:t>
            </w:r>
          </w:p>
        </w:tc>
        <w:tc>
          <w:tcPr>
            <w:tcW w:w="1229" w:type="dxa"/>
            <w:tcBorders>
              <w:top w:val="single" w:sz="4" w:space="0" w:color="auto"/>
              <w:left w:val="nil"/>
              <w:bottom w:val="single" w:sz="4" w:space="0" w:color="auto"/>
              <w:right w:val="nil"/>
            </w:tcBorders>
            <w:noWrap/>
            <w:vAlign w:val="center"/>
            <w:hideMark/>
          </w:tcPr>
          <w:p w14:paraId="3ACB8E55"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49,820</w:t>
            </w:r>
          </w:p>
        </w:tc>
        <w:tc>
          <w:tcPr>
            <w:tcW w:w="1021" w:type="dxa"/>
            <w:tcBorders>
              <w:top w:val="single" w:sz="4" w:space="0" w:color="auto"/>
              <w:left w:val="nil"/>
              <w:bottom w:val="single" w:sz="4" w:space="0" w:color="auto"/>
              <w:right w:val="nil"/>
            </w:tcBorders>
            <w:noWrap/>
            <w:vAlign w:val="center"/>
            <w:hideMark/>
          </w:tcPr>
          <w:p w14:paraId="2E20388F"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2,579</w:t>
            </w:r>
          </w:p>
        </w:tc>
        <w:tc>
          <w:tcPr>
            <w:tcW w:w="952" w:type="dxa"/>
            <w:tcBorders>
              <w:top w:val="single" w:sz="4" w:space="0" w:color="auto"/>
              <w:left w:val="nil"/>
              <w:bottom w:val="single" w:sz="4" w:space="0" w:color="auto"/>
              <w:right w:val="nil"/>
            </w:tcBorders>
            <w:noWrap/>
            <w:vAlign w:val="center"/>
            <w:hideMark/>
          </w:tcPr>
          <w:p w14:paraId="25268C1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346,365</w:t>
            </w:r>
          </w:p>
        </w:tc>
      </w:tr>
      <w:tr w:rsidR="00E91426" w:rsidRPr="00E91426" w14:paraId="52228E97" w14:textId="77777777" w:rsidTr="00E91426">
        <w:trPr>
          <w:trHeight w:val="262"/>
        </w:trPr>
        <w:tc>
          <w:tcPr>
            <w:tcW w:w="4988" w:type="dxa"/>
            <w:tcBorders>
              <w:top w:val="nil"/>
              <w:left w:val="nil"/>
              <w:bottom w:val="nil"/>
              <w:right w:val="nil"/>
            </w:tcBorders>
            <w:vAlign w:val="bottom"/>
            <w:hideMark/>
          </w:tcPr>
          <w:p w14:paraId="647F5B3B"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Additions</w:t>
            </w:r>
          </w:p>
        </w:tc>
        <w:tc>
          <w:tcPr>
            <w:tcW w:w="952" w:type="dxa"/>
            <w:tcBorders>
              <w:top w:val="nil"/>
              <w:left w:val="nil"/>
              <w:bottom w:val="nil"/>
              <w:right w:val="nil"/>
            </w:tcBorders>
            <w:noWrap/>
            <w:vAlign w:val="bottom"/>
            <w:hideMark/>
          </w:tcPr>
          <w:p w14:paraId="04DBC539"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074" w:type="dxa"/>
            <w:tcBorders>
              <w:top w:val="nil"/>
              <w:left w:val="nil"/>
              <w:bottom w:val="nil"/>
              <w:right w:val="nil"/>
            </w:tcBorders>
            <w:noWrap/>
            <w:vAlign w:val="bottom"/>
            <w:hideMark/>
          </w:tcPr>
          <w:p w14:paraId="7E29C690"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3,901</w:t>
            </w:r>
          </w:p>
        </w:tc>
        <w:tc>
          <w:tcPr>
            <w:tcW w:w="1074" w:type="dxa"/>
            <w:tcBorders>
              <w:top w:val="nil"/>
              <w:left w:val="nil"/>
              <w:bottom w:val="nil"/>
              <w:right w:val="nil"/>
            </w:tcBorders>
            <w:noWrap/>
            <w:vAlign w:val="bottom"/>
            <w:hideMark/>
          </w:tcPr>
          <w:p w14:paraId="23B37E9F"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81</w:t>
            </w:r>
          </w:p>
        </w:tc>
        <w:tc>
          <w:tcPr>
            <w:tcW w:w="1333" w:type="dxa"/>
            <w:tcBorders>
              <w:top w:val="nil"/>
              <w:left w:val="nil"/>
              <w:bottom w:val="nil"/>
              <w:right w:val="nil"/>
            </w:tcBorders>
            <w:noWrap/>
            <w:vAlign w:val="bottom"/>
            <w:hideMark/>
          </w:tcPr>
          <w:p w14:paraId="380D5A6D"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17,263</w:t>
            </w:r>
          </w:p>
        </w:tc>
        <w:tc>
          <w:tcPr>
            <w:tcW w:w="1136" w:type="dxa"/>
            <w:tcBorders>
              <w:top w:val="nil"/>
              <w:left w:val="nil"/>
              <w:bottom w:val="nil"/>
              <w:right w:val="nil"/>
            </w:tcBorders>
            <w:noWrap/>
            <w:vAlign w:val="bottom"/>
            <w:hideMark/>
          </w:tcPr>
          <w:p w14:paraId="7352D811"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1,858</w:t>
            </w:r>
          </w:p>
        </w:tc>
        <w:tc>
          <w:tcPr>
            <w:tcW w:w="1147" w:type="dxa"/>
            <w:tcBorders>
              <w:top w:val="nil"/>
              <w:left w:val="nil"/>
              <w:bottom w:val="nil"/>
              <w:right w:val="nil"/>
            </w:tcBorders>
            <w:noWrap/>
            <w:vAlign w:val="bottom"/>
            <w:hideMark/>
          </w:tcPr>
          <w:p w14:paraId="4C380786"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229" w:type="dxa"/>
            <w:tcBorders>
              <w:top w:val="nil"/>
              <w:left w:val="nil"/>
              <w:bottom w:val="nil"/>
              <w:right w:val="nil"/>
            </w:tcBorders>
            <w:noWrap/>
            <w:vAlign w:val="bottom"/>
            <w:hideMark/>
          </w:tcPr>
          <w:p w14:paraId="1C85898E"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2,764</w:t>
            </w:r>
          </w:p>
        </w:tc>
        <w:tc>
          <w:tcPr>
            <w:tcW w:w="1021" w:type="dxa"/>
            <w:tcBorders>
              <w:top w:val="nil"/>
              <w:left w:val="nil"/>
              <w:bottom w:val="nil"/>
              <w:right w:val="nil"/>
            </w:tcBorders>
            <w:noWrap/>
            <w:vAlign w:val="bottom"/>
            <w:hideMark/>
          </w:tcPr>
          <w:p w14:paraId="49FAD950"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952" w:type="dxa"/>
            <w:tcBorders>
              <w:top w:val="nil"/>
              <w:left w:val="nil"/>
              <w:bottom w:val="nil"/>
              <w:right w:val="nil"/>
            </w:tcBorders>
            <w:noWrap/>
            <w:vAlign w:val="bottom"/>
            <w:hideMark/>
          </w:tcPr>
          <w:p w14:paraId="376FABE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25,867</w:t>
            </w:r>
          </w:p>
        </w:tc>
      </w:tr>
      <w:tr w:rsidR="00E91426" w:rsidRPr="00E91426" w14:paraId="5ACC03CE" w14:textId="77777777" w:rsidTr="00E91426">
        <w:trPr>
          <w:trHeight w:val="234"/>
        </w:trPr>
        <w:tc>
          <w:tcPr>
            <w:tcW w:w="4988" w:type="dxa"/>
            <w:tcBorders>
              <w:top w:val="nil"/>
              <w:left w:val="nil"/>
              <w:bottom w:val="nil"/>
              <w:right w:val="nil"/>
            </w:tcBorders>
            <w:vAlign w:val="bottom"/>
            <w:hideMark/>
          </w:tcPr>
          <w:p w14:paraId="12C5103F"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Impairments</w:t>
            </w:r>
          </w:p>
        </w:tc>
        <w:tc>
          <w:tcPr>
            <w:tcW w:w="952" w:type="dxa"/>
            <w:tcBorders>
              <w:top w:val="nil"/>
              <w:left w:val="nil"/>
              <w:bottom w:val="nil"/>
              <w:right w:val="nil"/>
            </w:tcBorders>
            <w:noWrap/>
            <w:vAlign w:val="bottom"/>
            <w:hideMark/>
          </w:tcPr>
          <w:p w14:paraId="2D0D0F1D"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(16)</w:t>
            </w:r>
          </w:p>
        </w:tc>
        <w:tc>
          <w:tcPr>
            <w:tcW w:w="1074" w:type="dxa"/>
            <w:tcBorders>
              <w:top w:val="nil"/>
              <w:left w:val="nil"/>
              <w:bottom w:val="nil"/>
              <w:right w:val="nil"/>
            </w:tcBorders>
            <w:noWrap/>
            <w:vAlign w:val="bottom"/>
            <w:hideMark/>
          </w:tcPr>
          <w:p w14:paraId="69099749"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(7,834)</w:t>
            </w:r>
          </w:p>
        </w:tc>
        <w:tc>
          <w:tcPr>
            <w:tcW w:w="1074" w:type="dxa"/>
            <w:tcBorders>
              <w:top w:val="nil"/>
              <w:left w:val="nil"/>
              <w:bottom w:val="nil"/>
              <w:right w:val="nil"/>
            </w:tcBorders>
            <w:noWrap/>
            <w:vAlign w:val="bottom"/>
            <w:hideMark/>
          </w:tcPr>
          <w:p w14:paraId="2FFDBDDD"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(206)</w:t>
            </w:r>
          </w:p>
        </w:tc>
        <w:tc>
          <w:tcPr>
            <w:tcW w:w="1333" w:type="dxa"/>
            <w:tcBorders>
              <w:top w:val="nil"/>
              <w:left w:val="nil"/>
              <w:bottom w:val="nil"/>
              <w:right w:val="nil"/>
            </w:tcBorders>
            <w:noWrap/>
            <w:vAlign w:val="bottom"/>
            <w:hideMark/>
          </w:tcPr>
          <w:p w14:paraId="346981CE"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136" w:type="dxa"/>
            <w:tcBorders>
              <w:top w:val="nil"/>
              <w:left w:val="nil"/>
              <w:bottom w:val="nil"/>
              <w:right w:val="nil"/>
            </w:tcBorders>
            <w:noWrap/>
            <w:vAlign w:val="bottom"/>
            <w:hideMark/>
          </w:tcPr>
          <w:p w14:paraId="4EA5905B"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147" w:type="dxa"/>
            <w:tcBorders>
              <w:top w:val="nil"/>
              <w:left w:val="nil"/>
              <w:bottom w:val="nil"/>
              <w:right w:val="nil"/>
            </w:tcBorders>
            <w:noWrap/>
            <w:vAlign w:val="bottom"/>
            <w:hideMark/>
          </w:tcPr>
          <w:p w14:paraId="409FC8B4"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229" w:type="dxa"/>
            <w:tcBorders>
              <w:top w:val="nil"/>
              <w:left w:val="nil"/>
              <w:bottom w:val="nil"/>
              <w:right w:val="nil"/>
            </w:tcBorders>
            <w:noWrap/>
            <w:vAlign w:val="bottom"/>
            <w:hideMark/>
          </w:tcPr>
          <w:p w14:paraId="4CE36C78"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(186)</w:t>
            </w:r>
          </w:p>
        </w:tc>
        <w:tc>
          <w:tcPr>
            <w:tcW w:w="1021" w:type="dxa"/>
            <w:tcBorders>
              <w:top w:val="nil"/>
              <w:left w:val="nil"/>
              <w:bottom w:val="nil"/>
              <w:right w:val="nil"/>
            </w:tcBorders>
            <w:noWrap/>
            <w:vAlign w:val="bottom"/>
            <w:hideMark/>
          </w:tcPr>
          <w:p w14:paraId="4BC51195"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952" w:type="dxa"/>
            <w:tcBorders>
              <w:top w:val="nil"/>
              <w:left w:val="nil"/>
              <w:bottom w:val="nil"/>
              <w:right w:val="nil"/>
            </w:tcBorders>
            <w:noWrap/>
            <w:vAlign w:val="bottom"/>
            <w:hideMark/>
          </w:tcPr>
          <w:p w14:paraId="624060BC"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(8,242)</w:t>
            </w:r>
          </w:p>
        </w:tc>
      </w:tr>
      <w:tr w:rsidR="00E91426" w:rsidRPr="00E91426" w14:paraId="2812459A" w14:textId="77777777" w:rsidTr="00E91426">
        <w:trPr>
          <w:trHeight w:val="255"/>
        </w:trPr>
        <w:tc>
          <w:tcPr>
            <w:tcW w:w="4988" w:type="dxa"/>
            <w:tcBorders>
              <w:top w:val="nil"/>
              <w:left w:val="nil"/>
              <w:bottom w:val="nil"/>
              <w:right w:val="nil"/>
            </w:tcBorders>
            <w:vAlign w:val="bottom"/>
            <w:hideMark/>
          </w:tcPr>
          <w:p w14:paraId="5FBAEB2C"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Reversals of impairments</w:t>
            </w:r>
          </w:p>
        </w:tc>
        <w:tc>
          <w:tcPr>
            <w:tcW w:w="952" w:type="dxa"/>
            <w:tcBorders>
              <w:top w:val="nil"/>
              <w:left w:val="nil"/>
              <w:bottom w:val="nil"/>
              <w:right w:val="nil"/>
            </w:tcBorders>
            <w:noWrap/>
            <w:vAlign w:val="bottom"/>
            <w:hideMark/>
          </w:tcPr>
          <w:p w14:paraId="20DCE20F"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w:t>
            </w:r>
          </w:p>
        </w:tc>
        <w:tc>
          <w:tcPr>
            <w:tcW w:w="1074" w:type="dxa"/>
            <w:tcBorders>
              <w:top w:val="nil"/>
              <w:left w:val="nil"/>
              <w:bottom w:val="nil"/>
              <w:right w:val="nil"/>
            </w:tcBorders>
            <w:noWrap/>
            <w:vAlign w:val="bottom"/>
            <w:hideMark/>
          </w:tcPr>
          <w:p w14:paraId="54D92294"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(22)</w:t>
            </w:r>
          </w:p>
        </w:tc>
        <w:tc>
          <w:tcPr>
            <w:tcW w:w="1074" w:type="dxa"/>
            <w:tcBorders>
              <w:top w:val="nil"/>
              <w:left w:val="nil"/>
              <w:bottom w:val="nil"/>
              <w:right w:val="nil"/>
            </w:tcBorders>
            <w:noWrap/>
            <w:vAlign w:val="bottom"/>
            <w:hideMark/>
          </w:tcPr>
          <w:p w14:paraId="29106C65"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333" w:type="dxa"/>
            <w:tcBorders>
              <w:top w:val="nil"/>
              <w:left w:val="nil"/>
              <w:bottom w:val="nil"/>
              <w:right w:val="nil"/>
            </w:tcBorders>
            <w:noWrap/>
            <w:vAlign w:val="bottom"/>
            <w:hideMark/>
          </w:tcPr>
          <w:p w14:paraId="761B365B"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136" w:type="dxa"/>
            <w:tcBorders>
              <w:top w:val="nil"/>
              <w:left w:val="nil"/>
              <w:bottom w:val="nil"/>
              <w:right w:val="nil"/>
            </w:tcBorders>
            <w:noWrap/>
            <w:vAlign w:val="bottom"/>
            <w:hideMark/>
          </w:tcPr>
          <w:p w14:paraId="0D012ED5"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147" w:type="dxa"/>
            <w:tcBorders>
              <w:top w:val="nil"/>
              <w:left w:val="nil"/>
              <w:bottom w:val="nil"/>
              <w:right w:val="nil"/>
            </w:tcBorders>
            <w:noWrap/>
            <w:vAlign w:val="bottom"/>
            <w:hideMark/>
          </w:tcPr>
          <w:p w14:paraId="016E58E8"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229" w:type="dxa"/>
            <w:tcBorders>
              <w:top w:val="nil"/>
              <w:left w:val="nil"/>
              <w:bottom w:val="nil"/>
              <w:right w:val="nil"/>
            </w:tcBorders>
            <w:noWrap/>
            <w:vAlign w:val="bottom"/>
            <w:hideMark/>
          </w:tcPr>
          <w:p w14:paraId="01556040"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021" w:type="dxa"/>
            <w:tcBorders>
              <w:top w:val="nil"/>
              <w:left w:val="nil"/>
              <w:bottom w:val="nil"/>
              <w:right w:val="nil"/>
            </w:tcBorders>
            <w:noWrap/>
            <w:vAlign w:val="bottom"/>
            <w:hideMark/>
          </w:tcPr>
          <w:p w14:paraId="435A31EC"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952" w:type="dxa"/>
            <w:tcBorders>
              <w:top w:val="nil"/>
              <w:left w:val="nil"/>
              <w:bottom w:val="nil"/>
              <w:right w:val="nil"/>
            </w:tcBorders>
            <w:noWrap/>
            <w:vAlign w:val="bottom"/>
            <w:hideMark/>
          </w:tcPr>
          <w:p w14:paraId="7639F253"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(21)</w:t>
            </w:r>
          </w:p>
        </w:tc>
      </w:tr>
      <w:tr w:rsidR="00E91426" w:rsidRPr="00E91426" w14:paraId="691F68C8" w14:textId="77777777" w:rsidTr="00E91426">
        <w:trPr>
          <w:trHeight w:val="255"/>
        </w:trPr>
        <w:tc>
          <w:tcPr>
            <w:tcW w:w="4988" w:type="dxa"/>
            <w:tcBorders>
              <w:top w:val="nil"/>
              <w:left w:val="nil"/>
              <w:bottom w:val="nil"/>
              <w:right w:val="nil"/>
            </w:tcBorders>
            <w:vAlign w:val="bottom"/>
            <w:hideMark/>
          </w:tcPr>
          <w:p w14:paraId="6004EAB4"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Revaluations</w:t>
            </w:r>
          </w:p>
        </w:tc>
        <w:tc>
          <w:tcPr>
            <w:tcW w:w="952" w:type="dxa"/>
            <w:tcBorders>
              <w:top w:val="nil"/>
              <w:left w:val="nil"/>
              <w:bottom w:val="nil"/>
              <w:right w:val="nil"/>
            </w:tcBorders>
            <w:noWrap/>
            <w:vAlign w:val="bottom"/>
            <w:hideMark/>
          </w:tcPr>
          <w:p w14:paraId="37ACD95A"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610</w:t>
            </w:r>
          </w:p>
        </w:tc>
        <w:tc>
          <w:tcPr>
            <w:tcW w:w="1074" w:type="dxa"/>
            <w:tcBorders>
              <w:top w:val="nil"/>
              <w:left w:val="nil"/>
              <w:bottom w:val="nil"/>
              <w:right w:val="nil"/>
            </w:tcBorders>
            <w:noWrap/>
            <w:vAlign w:val="bottom"/>
            <w:hideMark/>
          </w:tcPr>
          <w:p w14:paraId="7D1B22FD"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(216)</w:t>
            </w:r>
          </w:p>
        </w:tc>
        <w:tc>
          <w:tcPr>
            <w:tcW w:w="1074" w:type="dxa"/>
            <w:tcBorders>
              <w:top w:val="nil"/>
              <w:left w:val="nil"/>
              <w:bottom w:val="nil"/>
              <w:right w:val="nil"/>
            </w:tcBorders>
            <w:noWrap/>
            <w:vAlign w:val="bottom"/>
            <w:hideMark/>
          </w:tcPr>
          <w:p w14:paraId="151A4730"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1,037</w:t>
            </w:r>
          </w:p>
        </w:tc>
        <w:tc>
          <w:tcPr>
            <w:tcW w:w="1333" w:type="dxa"/>
            <w:tcBorders>
              <w:top w:val="nil"/>
              <w:left w:val="nil"/>
              <w:bottom w:val="nil"/>
              <w:right w:val="nil"/>
            </w:tcBorders>
            <w:noWrap/>
            <w:vAlign w:val="bottom"/>
            <w:hideMark/>
          </w:tcPr>
          <w:p w14:paraId="2C29B8E8"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136" w:type="dxa"/>
            <w:tcBorders>
              <w:top w:val="nil"/>
              <w:left w:val="nil"/>
              <w:bottom w:val="nil"/>
              <w:right w:val="nil"/>
            </w:tcBorders>
            <w:noWrap/>
            <w:vAlign w:val="bottom"/>
            <w:hideMark/>
          </w:tcPr>
          <w:p w14:paraId="57A76629"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147" w:type="dxa"/>
            <w:tcBorders>
              <w:top w:val="nil"/>
              <w:left w:val="nil"/>
              <w:bottom w:val="nil"/>
              <w:right w:val="nil"/>
            </w:tcBorders>
            <w:noWrap/>
            <w:vAlign w:val="bottom"/>
            <w:hideMark/>
          </w:tcPr>
          <w:p w14:paraId="4C07107B"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229" w:type="dxa"/>
            <w:tcBorders>
              <w:top w:val="nil"/>
              <w:left w:val="nil"/>
              <w:bottom w:val="nil"/>
              <w:right w:val="nil"/>
            </w:tcBorders>
            <w:noWrap/>
            <w:vAlign w:val="bottom"/>
            <w:hideMark/>
          </w:tcPr>
          <w:p w14:paraId="46101381"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021" w:type="dxa"/>
            <w:tcBorders>
              <w:top w:val="nil"/>
              <w:left w:val="nil"/>
              <w:bottom w:val="nil"/>
              <w:right w:val="nil"/>
            </w:tcBorders>
            <w:noWrap/>
            <w:vAlign w:val="bottom"/>
            <w:hideMark/>
          </w:tcPr>
          <w:p w14:paraId="71C90703"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952" w:type="dxa"/>
            <w:tcBorders>
              <w:top w:val="nil"/>
              <w:left w:val="nil"/>
              <w:bottom w:val="nil"/>
              <w:right w:val="nil"/>
            </w:tcBorders>
            <w:noWrap/>
            <w:vAlign w:val="bottom"/>
            <w:hideMark/>
          </w:tcPr>
          <w:p w14:paraId="481F056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1,431</w:t>
            </w:r>
          </w:p>
        </w:tc>
      </w:tr>
      <w:tr w:rsidR="00E91426" w:rsidRPr="00E91426" w14:paraId="6CD8BDCB" w14:textId="77777777" w:rsidTr="00E91426">
        <w:trPr>
          <w:trHeight w:val="255"/>
        </w:trPr>
        <w:tc>
          <w:tcPr>
            <w:tcW w:w="4988" w:type="dxa"/>
            <w:tcBorders>
              <w:top w:val="nil"/>
              <w:left w:val="nil"/>
              <w:bottom w:val="nil"/>
              <w:right w:val="nil"/>
            </w:tcBorders>
            <w:vAlign w:val="bottom"/>
            <w:hideMark/>
          </w:tcPr>
          <w:p w14:paraId="7503A01D"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 xml:space="preserve">Reclassifications </w:t>
            </w:r>
          </w:p>
        </w:tc>
        <w:tc>
          <w:tcPr>
            <w:tcW w:w="952" w:type="dxa"/>
            <w:tcBorders>
              <w:top w:val="nil"/>
              <w:left w:val="nil"/>
              <w:bottom w:val="nil"/>
              <w:right w:val="nil"/>
            </w:tcBorders>
            <w:noWrap/>
            <w:vAlign w:val="bottom"/>
            <w:hideMark/>
          </w:tcPr>
          <w:p w14:paraId="2722621C"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074" w:type="dxa"/>
            <w:tcBorders>
              <w:top w:val="nil"/>
              <w:left w:val="nil"/>
              <w:bottom w:val="nil"/>
              <w:right w:val="nil"/>
            </w:tcBorders>
            <w:noWrap/>
            <w:vAlign w:val="bottom"/>
            <w:hideMark/>
          </w:tcPr>
          <w:p w14:paraId="6D1AA376"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4,764</w:t>
            </w:r>
          </w:p>
        </w:tc>
        <w:tc>
          <w:tcPr>
            <w:tcW w:w="1074" w:type="dxa"/>
            <w:tcBorders>
              <w:top w:val="nil"/>
              <w:left w:val="nil"/>
              <w:bottom w:val="nil"/>
              <w:right w:val="nil"/>
            </w:tcBorders>
            <w:noWrap/>
            <w:vAlign w:val="bottom"/>
            <w:hideMark/>
          </w:tcPr>
          <w:p w14:paraId="31FDD729"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43</w:t>
            </w:r>
          </w:p>
        </w:tc>
        <w:tc>
          <w:tcPr>
            <w:tcW w:w="1333" w:type="dxa"/>
            <w:tcBorders>
              <w:top w:val="nil"/>
              <w:left w:val="nil"/>
              <w:bottom w:val="nil"/>
              <w:right w:val="nil"/>
            </w:tcBorders>
            <w:noWrap/>
            <w:vAlign w:val="bottom"/>
            <w:hideMark/>
          </w:tcPr>
          <w:p w14:paraId="72340BF2"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(22,050)</w:t>
            </w:r>
          </w:p>
        </w:tc>
        <w:tc>
          <w:tcPr>
            <w:tcW w:w="1136" w:type="dxa"/>
            <w:tcBorders>
              <w:top w:val="nil"/>
              <w:left w:val="nil"/>
              <w:bottom w:val="nil"/>
              <w:right w:val="nil"/>
            </w:tcBorders>
            <w:noWrap/>
            <w:vAlign w:val="bottom"/>
            <w:hideMark/>
          </w:tcPr>
          <w:p w14:paraId="51BB2AC4"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10,707</w:t>
            </w:r>
          </w:p>
        </w:tc>
        <w:tc>
          <w:tcPr>
            <w:tcW w:w="1147" w:type="dxa"/>
            <w:tcBorders>
              <w:top w:val="nil"/>
              <w:left w:val="nil"/>
              <w:bottom w:val="nil"/>
              <w:right w:val="nil"/>
            </w:tcBorders>
            <w:noWrap/>
            <w:vAlign w:val="bottom"/>
            <w:hideMark/>
          </w:tcPr>
          <w:p w14:paraId="146471C1"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229" w:type="dxa"/>
            <w:tcBorders>
              <w:top w:val="nil"/>
              <w:left w:val="nil"/>
              <w:bottom w:val="nil"/>
              <w:right w:val="nil"/>
            </w:tcBorders>
            <w:noWrap/>
            <w:vAlign w:val="bottom"/>
            <w:hideMark/>
          </w:tcPr>
          <w:p w14:paraId="6C6CB6B4"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6,279</w:t>
            </w:r>
          </w:p>
        </w:tc>
        <w:tc>
          <w:tcPr>
            <w:tcW w:w="1021" w:type="dxa"/>
            <w:tcBorders>
              <w:top w:val="nil"/>
              <w:left w:val="nil"/>
              <w:bottom w:val="nil"/>
              <w:right w:val="nil"/>
            </w:tcBorders>
            <w:noWrap/>
            <w:vAlign w:val="bottom"/>
            <w:hideMark/>
          </w:tcPr>
          <w:p w14:paraId="21A9FD12"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257</w:t>
            </w:r>
          </w:p>
        </w:tc>
        <w:tc>
          <w:tcPr>
            <w:tcW w:w="952" w:type="dxa"/>
            <w:tcBorders>
              <w:top w:val="nil"/>
              <w:left w:val="nil"/>
              <w:bottom w:val="nil"/>
              <w:right w:val="nil"/>
            </w:tcBorders>
            <w:noWrap/>
            <w:vAlign w:val="bottom"/>
            <w:hideMark/>
          </w:tcPr>
          <w:p w14:paraId="115E61C0"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0</w:t>
            </w:r>
          </w:p>
        </w:tc>
      </w:tr>
      <w:tr w:rsidR="00E91426" w:rsidRPr="00E91426" w14:paraId="579EB968" w14:textId="77777777" w:rsidTr="00E91426">
        <w:trPr>
          <w:trHeight w:val="255"/>
        </w:trPr>
        <w:tc>
          <w:tcPr>
            <w:tcW w:w="4988" w:type="dxa"/>
            <w:tcBorders>
              <w:top w:val="nil"/>
              <w:left w:val="nil"/>
              <w:bottom w:val="nil"/>
              <w:right w:val="nil"/>
            </w:tcBorders>
            <w:vAlign w:val="bottom"/>
            <w:hideMark/>
          </w:tcPr>
          <w:p w14:paraId="51F5F3AE"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Transfers to / from assets held for sale</w:t>
            </w:r>
          </w:p>
        </w:tc>
        <w:tc>
          <w:tcPr>
            <w:tcW w:w="952" w:type="dxa"/>
            <w:tcBorders>
              <w:top w:val="nil"/>
              <w:left w:val="nil"/>
              <w:bottom w:val="nil"/>
              <w:right w:val="nil"/>
            </w:tcBorders>
            <w:noWrap/>
            <w:vAlign w:val="bottom"/>
            <w:hideMark/>
          </w:tcPr>
          <w:p w14:paraId="63923971"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(195)</w:t>
            </w:r>
          </w:p>
        </w:tc>
        <w:tc>
          <w:tcPr>
            <w:tcW w:w="1074" w:type="dxa"/>
            <w:tcBorders>
              <w:top w:val="nil"/>
              <w:left w:val="nil"/>
              <w:bottom w:val="nil"/>
              <w:right w:val="nil"/>
            </w:tcBorders>
            <w:noWrap/>
            <w:vAlign w:val="bottom"/>
            <w:hideMark/>
          </w:tcPr>
          <w:p w14:paraId="7BB29F14"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074" w:type="dxa"/>
            <w:tcBorders>
              <w:top w:val="nil"/>
              <w:left w:val="nil"/>
              <w:bottom w:val="nil"/>
              <w:right w:val="nil"/>
            </w:tcBorders>
            <w:noWrap/>
            <w:vAlign w:val="bottom"/>
            <w:hideMark/>
          </w:tcPr>
          <w:p w14:paraId="0E8DCC36"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(230)</w:t>
            </w:r>
          </w:p>
        </w:tc>
        <w:tc>
          <w:tcPr>
            <w:tcW w:w="1333" w:type="dxa"/>
            <w:tcBorders>
              <w:top w:val="nil"/>
              <w:left w:val="nil"/>
              <w:bottom w:val="nil"/>
              <w:right w:val="nil"/>
            </w:tcBorders>
            <w:noWrap/>
            <w:vAlign w:val="bottom"/>
            <w:hideMark/>
          </w:tcPr>
          <w:p w14:paraId="70DFF687"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136" w:type="dxa"/>
            <w:tcBorders>
              <w:top w:val="nil"/>
              <w:left w:val="nil"/>
              <w:bottom w:val="nil"/>
              <w:right w:val="nil"/>
            </w:tcBorders>
            <w:noWrap/>
            <w:vAlign w:val="bottom"/>
            <w:hideMark/>
          </w:tcPr>
          <w:p w14:paraId="5B017AC0"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147" w:type="dxa"/>
            <w:tcBorders>
              <w:top w:val="nil"/>
              <w:left w:val="nil"/>
              <w:bottom w:val="nil"/>
              <w:right w:val="nil"/>
            </w:tcBorders>
            <w:noWrap/>
            <w:vAlign w:val="bottom"/>
            <w:hideMark/>
          </w:tcPr>
          <w:p w14:paraId="62CEEC31"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229" w:type="dxa"/>
            <w:tcBorders>
              <w:top w:val="nil"/>
              <w:left w:val="nil"/>
              <w:bottom w:val="nil"/>
              <w:right w:val="nil"/>
            </w:tcBorders>
            <w:noWrap/>
            <w:vAlign w:val="bottom"/>
            <w:hideMark/>
          </w:tcPr>
          <w:p w14:paraId="374808D7"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021" w:type="dxa"/>
            <w:tcBorders>
              <w:top w:val="nil"/>
              <w:left w:val="nil"/>
              <w:bottom w:val="nil"/>
              <w:right w:val="nil"/>
            </w:tcBorders>
            <w:noWrap/>
            <w:vAlign w:val="bottom"/>
            <w:hideMark/>
          </w:tcPr>
          <w:p w14:paraId="6187EF4E"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952" w:type="dxa"/>
            <w:tcBorders>
              <w:top w:val="nil"/>
              <w:left w:val="nil"/>
              <w:bottom w:val="nil"/>
              <w:right w:val="nil"/>
            </w:tcBorders>
            <w:noWrap/>
            <w:vAlign w:val="bottom"/>
            <w:hideMark/>
          </w:tcPr>
          <w:p w14:paraId="36F45CF3"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(425)</w:t>
            </w:r>
          </w:p>
        </w:tc>
      </w:tr>
      <w:tr w:rsidR="00E91426" w:rsidRPr="00E91426" w14:paraId="0205EAD4" w14:textId="77777777" w:rsidTr="00E91426">
        <w:trPr>
          <w:trHeight w:val="255"/>
        </w:trPr>
        <w:tc>
          <w:tcPr>
            <w:tcW w:w="4988" w:type="dxa"/>
            <w:tcBorders>
              <w:top w:val="nil"/>
              <w:left w:val="nil"/>
              <w:bottom w:val="nil"/>
              <w:right w:val="nil"/>
            </w:tcBorders>
            <w:vAlign w:val="bottom"/>
            <w:hideMark/>
          </w:tcPr>
          <w:p w14:paraId="7F3BB088"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Disposals / derecognition</w:t>
            </w:r>
          </w:p>
        </w:tc>
        <w:tc>
          <w:tcPr>
            <w:tcW w:w="952" w:type="dxa"/>
            <w:tcBorders>
              <w:top w:val="nil"/>
              <w:left w:val="nil"/>
              <w:bottom w:val="nil"/>
              <w:right w:val="nil"/>
            </w:tcBorders>
            <w:noWrap/>
            <w:vAlign w:val="bottom"/>
            <w:hideMark/>
          </w:tcPr>
          <w:p w14:paraId="2FF044DF"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074" w:type="dxa"/>
            <w:tcBorders>
              <w:top w:val="nil"/>
              <w:left w:val="nil"/>
              <w:bottom w:val="nil"/>
              <w:right w:val="nil"/>
            </w:tcBorders>
            <w:noWrap/>
            <w:vAlign w:val="bottom"/>
            <w:hideMark/>
          </w:tcPr>
          <w:p w14:paraId="2F8EF568"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074" w:type="dxa"/>
            <w:tcBorders>
              <w:top w:val="nil"/>
              <w:left w:val="nil"/>
              <w:bottom w:val="nil"/>
              <w:right w:val="nil"/>
            </w:tcBorders>
            <w:noWrap/>
            <w:vAlign w:val="bottom"/>
            <w:hideMark/>
          </w:tcPr>
          <w:p w14:paraId="1A695AD2"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333" w:type="dxa"/>
            <w:tcBorders>
              <w:top w:val="nil"/>
              <w:left w:val="nil"/>
              <w:bottom w:val="nil"/>
              <w:right w:val="nil"/>
            </w:tcBorders>
            <w:noWrap/>
            <w:vAlign w:val="bottom"/>
            <w:hideMark/>
          </w:tcPr>
          <w:p w14:paraId="56CDDB11"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136" w:type="dxa"/>
            <w:tcBorders>
              <w:top w:val="nil"/>
              <w:left w:val="nil"/>
              <w:bottom w:val="nil"/>
              <w:right w:val="nil"/>
            </w:tcBorders>
            <w:noWrap/>
            <w:vAlign w:val="bottom"/>
            <w:hideMark/>
          </w:tcPr>
          <w:p w14:paraId="3259FE88"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(17,230)</w:t>
            </w:r>
          </w:p>
        </w:tc>
        <w:tc>
          <w:tcPr>
            <w:tcW w:w="1147" w:type="dxa"/>
            <w:tcBorders>
              <w:top w:val="nil"/>
              <w:left w:val="nil"/>
              <w:bottom w:val="nil"/>
              <w:right w:val="nil"/>
            </w:tcBorders>
            <w:noWrap/>
            <w:vAlign w:val="bottom"/>
            <w:hideMark/>
          </w:tcPr>
          <w:p w14:paraId="41867BB3"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(85)</w:t>
            </w:r>
          </w:p>
        </w:tc>
        <w:tc>
          <w:tcPr>
            <w:tcW w:w="1229" w:type="dxa"/>
            <w:tcBorders>
              <w:top w:val="nil"/>
              <w:left w:val="nil"/>
              <w:bottom w:val="nil"/>
              <w:right w:val="nil"/>
            </w:tcBorders>
            <w:noWrap/>
            <w:vAlign w:val="bottom"/>
            <w:hideMark/>
          </w:tcPr>
          <w:p w14:paraId="5F446921"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(9,523)</w:t>
            </w:r>
          </w:p>
        </w:tc>
        <w:tc>
          <w:tcPr>
            <w:tcW w:w="1021" w:type="dxa"/>
            <w:tcBorders>
              <w:top w:val="nil"/>
              <w:left w:val="nil"/>
              <w:bottom w:val="nil"/>
              <w:right w:val="nil"/>
            </w:tcBorders>
            <w:noWrap/>
            <w:vAlign w:val="bottom"/>
            <w:hideMark/>
          </w:tcPr>
          <w:p w14:paraId="5E81EE6E"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(1,975)</w:t>
            </w:r>
          </w:p>
        </w:tc>
        <w:tc>
          <w:tcPr>
            <w:tcW w:w="952" w:type="dxa"/>
            <w:tcBorders>
              <w:top w:val="nil"/>
              <w:left w:val="nil"/>
              <w:bottom w:val="nil"/>
              <w:right w:val="nil"/>
            </w:tcBorders>
            <w:noWrap/>
            <w:vAlign w:val="bottom"/>
            <w:hideMark/>
          </w:tcPr>
          <w:p w14:paraId="39A4CAD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(28,813)</w:t>
            </w:r>
          </w:p>
        </w:tc>
      </w:tr>
      <w:tr w:rsidR="00E91426" w:rsidRPr="00E91426" w14:paraId="54D8C358" w14:textId="77777777" w:rsidTr="00E91426">
        <w:trPr>
          <w:trHeight w:val="255"/>
        </w:trPr>
        <w:tc>
          <w:tcPr>
            <w:tcW w:w="4988" w:type="dxa"/>
            <w:tcBorders>
              <w:top w:val="nil"/>
              <w:left w:val="nil"/>
              <w:bottom w:val="nil"/>
              <w:right w:val="nil"/>
            </w:tcBorders>
            <w:noWrap/>
            <w:vAlign w:val="bottom"/>
            <w:hideMark/>
          </w:tcPr>
          <w:p w14:paraId="380E8941"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Valuation/gross cost at 31 March 2025</w:t>
            </w:r>
          </w:p>
        </w:tc>
        <w:tc>
          <w:tcPr>
            <w:tcW w:w="952" w:type="dxa"/>
            <w:tcBorders>
              <w:top w:val="single" w:sz="4" w:space="0" w:color="auto"/>
              <w:left w:val="nil"/>
              <w:bottom w:val="double" w:sz="6" w:space="0" w:color="auto"/>
              <w:right w:val="nil"/>
            </w:tcBorders>
            <w:noWrap/>
            <w:vAlign w:val="bottom"/>
            <w:hideMark/>
          </w:tcPr>
          <w:p w14:paraId="20B44BF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8,122</w:t>
            </w:r>
          </w:p>
        </w:tc>
        <w:tc>
          <w:tcPr>
            <w:tcW w:w="1074" w:type="dxa"/>
            <w:tcBorders>
              <w:top w:val="single" w:sz="4" w:space="0" w:color="auto"/>
              <w:left w:val="nil"/>
              <w:bottom w:val="double" w:sz="6" w:space="0" w:color="auto"/>
              <w:right w:val="nil"/>
            </w:tcBorders>
            <w:noWrap/>
            <w:vAlign w:val="bottom"/>
            <w:hideMark/>
          </w:tcPr>
          <w:p w14:paraId="3FD3534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194,289</w:t>
            </w:r>
          </w:p>
        </w:tc>
        <w:tc>
          <w:tcPr>
            <w:tcW w:w="1074" w:type="dxa"/>
            <w:tcBorders>
              <w:top w:val="single" w:sz="4" w:space="0" w:color="auto"/>
              <w:left w:val="nil"/>
              <w:bottom w:val="double" w:sz="6" w:space="0" w:color="auto"/>
              <w:right w:val="nil"/>
            </w:tcBorders>
            <w:noWrap/>
            <w:vAlign w:val="bottom"/>
            <w:hideMark/>
          </w:tcPr>
          <w:p w14:paraId="292E404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6,508</w:t>
            </w:r>
          </w:p>
        </w:tc>
        <w:tc>
          <w:tcPr>
            <w:tcW w:w="1333" w:type="dxa"/>
            <w:tcBorders>
              <w:top w:val="single" w:sz="4" w:space="0" w:color="auto"/>
              <w:left w:val="nil"/>
              <w:bottom w:val="double" w:sz="6" w:space="0" w:color="auto"/>
              <w:right w:val="nil"/>
            </w:tcBorders>
            <w:noWrap/>
            <w:vAlign w:val="bottom"/>
            <w:hideMark/>
          </w:tcPr>
          <w:p w14:paraId="6E65B9B0"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22,701</w:t>
            </w:r>
          </w:p>
        </w:tc>
        <w:tc>
          <w:tcPr>
            <w:tcW w:w="1136" w:type="dxa"/>
            <w:tcBorders>
              <w:top w:val="single" w:sz="4" w:space="0" w:color="auto"/>
              <w:left w:val="nil"/>
              <w:bottom w:val="double" w:sz="6" w:space="0" w:color="auto"/>
              <w:right w:val="nil"/>
            </w:tcBorders>
            <w:noWrap/>
            <w:vAlign w:val="bottom"/>
            <w:hideMark/>
          </w:tcPr>
          <w:p w14:paraId="4F918E78"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54,490</w:t>
            </w:r>
          </w:p>
        </w:tc>
        <w:tc>
          <w:tcPr>
            <w:tcW w:w="1147" w:type="dxa"/>
            <w:tcBorders>
              <w:top w:val="single" w:sz="4" w:space="0" w:color="auto"/>
              <w:left w:val="nil"/>
              <w:bottom w:val="double" w:sz="6" w:space="0" w:color="auto"/>
              <w:right w:val="nil"/>
            </w:tcBorders>
            <w:noWrap/>
            <w:vAlign w:val="bottom"/>
            <w:hideMark/>
          </w:tcPr>
          <w:p w14:paraId="1E13836A"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37</w:t>
            </w:r>
          </w:p>
        </w:tc>
        <w:tc>
          <w:tcPr>
            <w:tcW w:w="1229" w:type="dxa"/>
            <w:tcBorders>
              <w:top w:val="single" w:sz="4" w:space="0" w:color="auto"/>
              <w:left w:val="nil"/>
              <w:bottom w:val="double" w:sz="6" w:space="0" w:color="auto"/>
              <w:right w:val="nil"/>
            </w:tcBorders>
            <w:noWrap/>
            <w:vAlign w:val="bottom"/>
            <w:hideMark/>
          </w:tcPr>
          <w:p w14:paraId="6DA5299C"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49,154</w:t>
            </w:r>
          </w:p>
        </w:tc>
        <w:tc>
          <w:tcPr>
            <w:tcW w:w="1021" w:type="dxa"/>
            <w:tcBorders>
              <w:top w:val="single" w:sz="4" w:space="0" w:color="auto"/>
              <w:left w:val="nil"/>
              <w:bottom w:val="double" w:sz="6" w:space="0" w:color="auto"/>
              <w:right w:val="nil"/>
            </w:tcBorders>
            <w:noWrap/>
            <w:vAlign w:val="bottom"/>
            <w:hideMark/>
          </w:tcPr>
          <w:p w14:paraId="743A370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861</w:t>
            </w:r>
          </w:p>
        </w:tc>
        <w:tc>
          <w:tcPr>
            <w:tcW w:w="952" w:type="dxa"/>
            <w:tcBorders>
              <w:top w:val="single" w:sz="4" w:space="0" w:color="auto"/>
              <w:left w:val="nil"/>
              <w:bottom w:val="double" w:sz="6" w:space="0" w:color="auto"/>
              <w:right w:val="nil"/>
            </w:tcBorders>
            <w:noWrap/>
            <w:vAlign w:val="bottom"/>
            <w:hideMark/>
          </w:tcPr>
          <w:p w14:paraId="785E4DBA"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336,162</w:t>
            </w:r>
          </w:p>
        </w:tc>
      </w:tr>
      <w:tr w:rsidR="00E91426" w:rsidRPr="00E91426" w14:paraId="0C09910D" w14:textId="77777777" w:rsidTr="00E91426">
        <w:trPr>
          <w:trHeight w:val="93"/>
        </w:trPr>
        <w:tc>
          <w:tcPr>
            <w:tcW w:w="4988" w:type="dxa"/>
            <w:tcBorders>
              <w:top w:val="nil"/>
              <w:left w:val="nil"/>
              <w:bottom w:val="nil"/>
              <w:right w:val="nil"/>
            </w:tcBorders>
            <w:vAlign w:val="bottom"/>
            <w:hideMark/>
          </w:tcPr>
          <w:p w14:paraId="1ACADAAB"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52" w:type="dxa"/>
            <w:tcBorders>
              <w:top w:val="nil"/>
              <w:left w:val="nil"/>
              <w:bottom w:val="nil"/>
              <w:right w:val="nil"/>
            </w:tcBorders>
            <w:noWrap/>
            <w:vAlign w:val="center"/>
            <w:hideMark/>
          </w:tcPr>
          <w:p w14:paraId="73338179" w14:textId="77777777" w:rsidR="00E91426" w:rsidRPr="00E91426" w:rsidRDefault="00E91426" w:rsidP="00E91426">
            <w:pPr>
              <w:widowControl/>
              <w:rPr>
                <w:rFonts w:ascii="Arial" w:eastAsia="Times New Roman" w:hAnsi="Arial" w:cs="Arial"/>
                <w:sz w:val="20"/>
                <w:szCs w:val="20"/>
                <w:lang w:val="en-GB" w:eastAsia="en-GB"/>
              </w:rPr>
            </w:pPr>
          </w:p>
        </w:tc>
        <w:tc>
          <w:tcPr>
            <w:tcW w:w="1074" w:type="dxa"/>
            <w:tcBorders>
              <w:top w:val="nil"/>
              <w:left w:val="nil"/>
              <w:bottom w:val="nil"/>
              <w:right w:val="nil"/>
            </w:tcBorders>
            <w:noWrap/>
            <w:vAlign w:val="center"/>
            <w:hideMark/>
          </w:tcPr>
          <w:p w14:paraId="19FAF75F" w14:textId="77777777" w:rsidR="00E91426" w:rsidRPr="00E91426" w:rsidRDefault="00E91426" w:rsidP="00E91426">
            <w:pPr>
              <w:widowControl/>
              <w:rPr>
                <w:rFonts w:ascii="Arial" w:eastAsia="Times New Roman" w:hAnsi="Arial" w:cs="Arial"/>
                <w:sz w:val="20"/>
                <w:szCs w:val="20"/>
                <w:lang w:val="en-GB" w:eastAsia="en-GB"/>
              </w:rPr>
            </w:pPr>
          </w:p>
        </w:tc>
        <w:tc>
          <w:tcPr>
            <w:tcW w:w="1074" w:type="dxa"/>
            <w:tcBorders>
              <w:top w:val="nil"/>
              <w:left w:val="nil"/>
              <w:bottom w:val="nil"/>
              <w:right w:val="nil"/>
            </w:tcBorders>
            <w:noWrap/>
            <w:vAlign w:val="center"/>
            <w:hideMark/>
          </w:tcPr>
          <w:p w14:paraId="4BF0A717" w14:textId="77777777" w:rsidR="00E91426" w:rsidRPr="00E91426" w:rsidRDefault="00E91426" w:rsidP="00E91426">
            <w:pPr>
              <w:widowControl/>
              <w:rPr>
                <w:rFonts w:ascii="Arial" w:eastAsia="Times New Roman" w:hAnsi="Arial" w:cs="Arial"/>
                <w:sz w:val="20"/>
                <w:szCs w:val="20"/>
                <w:lang w:val="en-GB" w:eastAsia="en-GB"/>
              </w:rPr>
            </w:pPr>
          </w:p>
        </w:tc>
        <w:tc>
          <w:tcPr>
            <w:tcW w:w="1333" w:type="dxa"/>
            <w:tcBorders>
              <w:top w:val="nil"/>
              <w:left w:val="nil"/>
              <w:bottom w:val="nil"/>
              <w:right w:val="nil"/>
            </w:tcBorders>
            <w:noWrap/>
            <w:vAlign w:val="center"/>
            <w:hideMark/>
          </w:tcPr>
          <w:p w14:paraId="6A47044E" w14:textId="77777777" w:rsidR="00E91426" w:rsidRPr="00E91426" w:rsidRDefault="00E91426" w:rsidP="00E91426">
            <w:pPr>
              <w:widowControl/>
              <w:rPr>
                <w:rFonts w:ascii="Arial" w:eastAsia="Times New Roman" w:hAnsi="Arial" w:cs="Arial"/>
                <w:sz w:val="20"/>
                <w:szCs w:val="20"/>
                <w:lang w:val="en-GB" w:eastAsia="en-GB"/>
              </w:rPr>
            </w:pPr>
          </w:p>
        </w:tc>
        <w:tc>
          <w:tcPr>
            <w:tcW w:w="1136" w:type="dxa"/>
            <w:tcBorders>
              <w:top w:val="nil"/>
              <w:left w:val="nil"/>
              <w:bottom w:val="nil"/>
              <w:right w:val="nil"/>
            </w:tcBorders>
            <w:noWrap/>
            <w:vAlign w:val="center"/>
            <w:hideMark/>
          </w:tcPr>
          <w:p w14:paraId="417D1434" w14:textId="77777777" w:rsidR="00E91426" w:rsidRPr="00E91426" w:rsidRDefault="00E91426" w:rsidP="00E91426">
            <w:pPr>
              <w:widowControl/>
              <w:rPr>
                <w:rFonts w:ascii="Arial" w:eastAsia="Times New Roman" w:hAnsi="Arial" w:cs="Arial"/>
                <w:sz w:val="20"/>
                <w:szCs w:val="20"/>
                <w:lang w:val="en-GB" w:eastAsia="en-GB"/>
              </w:rPr>
            </w:pPr>
          </w:p>
        </w:tc>
        <w:tc>
          <w:tcPr>
            <w:tcW w:w="1147" w:type="dxa"/>
            <w:tcBorders>
              <w:top w:val="nil"/>
              <w:left w:val="nil"/>
              <w:bottom w:val="nil"/>
              <w:right w:val="nil"/>
            </w:tcBorders>
            <w:noWrap/>
            <w:vAlign w:val="center"/>
            <w:hideMark/>
          </w:tcPr>
          <w:p w14:paraId="767CEFFF" w14:textId="77777777" w:rsidR="00E91426" w:rsidRPr="00E91426" w:rsidRDefault="00E91426" w:rsidP="00E91426">
            <w:pPr>
              <w:widowControl/>
              <w:rPr>
                <w:rFonts w:ascii="Arial" w:eastAsia="Times New Roman" w:hAnsi="Arial" w:cs="Arial"/>
                <w:sz w:val="20"/>
                <w:szCs w:val="20"/>
                <w:lang w:val="en-GB" w:eastAsia="en-GB"/>
              </w:rPr>
            </w:pPr>
          </w:p>
        </w:tc>
        <w:tc>
          <w:tcPr>
            <w:tcW w:w="1229" w:type="dxa"/>
            <w:tcBorders>
              <w:top w:val="nil"/>
              <w:left w:val="nil"/>
              <w:bottom w:val="nil"/>
              <w:right w:val="nil"/>
            </w:tcBorders>
            <w:noWrap/>
            <w:vAlign w:val="center"/>
            <w:hideMark/>
          </w:tcPr>
          <w:p w14:paraId="320FF310" w14:textId="77777777" w:rsidR="00E91426" w:rsidRPr="00E91426" w:rsidRDefault="00E91426" w:rsidP="00E91426">
            <w:pPr>
              <w:widowControl/>
              <w:rPr>
                <w:rFonts w:ascii="Arial" w:eastAsia="Times New Roman" w:hAnsi="Arial" w:cs="Arial"/>
                <w:sz w:val="20"/>
                <w:szCs w:val="20"/>
                <w:lang w:val="en-GB" w:eastAsia="en-GB"/>
              </w:rPr>
            </w:pPr>
          </w:p>
        </w:tc>
        <w:tc>
          <w:tcPr>
            <w:tcW w:w="1021" w:type="dxa"/>
            <w:tcBorders>
              <w:top w:val="nil"/>
              <w:left w:val="nil"/>
              <w:bottom w:val="nil"/>
              <w:right w:val="nil"/>
            </w:tcBorders>
            <w:noWrap/>
            <w:vAlign w:val="center"/>
            <w:hideMark/>
          </w:tcPr>
          <w:p w14:paraId="28EC762B" w14:textId="77777777" w:rsidR="00E91426" w:rsidRPr="00E91426" w:rsidRDefault="00E91426" w:rsidP="00E91426">
            <w:pPr>
              <w:widowControl/>
              <w:rPr>
                <w:rFonts w:ascii="Arial" w:eastAsia="Times New Roman" w:hAnsi="Arial" w:cs="Arial"/>
                <w:sz w:val="20"/>
                <w:szCs w:val="20"/>
                <w:lang w:val="en-GB" w:eastAsia="en-GB"/>
              </w:rPr>
            </w:pPr>
          </w:p>
        </w:tc>
        <w:tc>
          <w:tcPr>
            <w:tcW w:w="952" w:type="dxa"/>
            <w:tcBorders>
              <w:top w:val="nil"/>
              <w:left w:val="nil"/>
              <w:bottom w:val="nil"/>
              <w:right w:val="nil"/>
            </w:tcBorders>
            <w:noWrap/>
            <w:vAlign w:val="center"/>
            <w:hideMark/>
          </w:tcPr>
          <w:p w14:paraId="127E22CB"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3421867B" w14:textId="77777777" w:rsidTr="00E91426">
        <w:trPr>
          <w:trHeight w:val="469"/>
        </w:trPr>
        <w:tc>
          <w:tcPr>
            <w:tcW w:w="4988" w:type="dxa"/>
            <w:tcBorders>
              <w:top w:val="nil"/>
              <w:left w:val="nil"/>
              <w:bottom w:val="nil"/>
              <w:right w:val="nil"/>
            </w:tcBorders>
            <w:vAlign w:val="bottom"/>
            <w:hideMark/>
          </w:tcPr>
          <w:p w14:paraId="660E6840"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Accumulated depreciation at 1 April 2024 - brought forward</w:t>
            </w:r>
          </w:p>
        </w:tc>
        <w:tc>
          <w:tcPr>
            <w:tcW w:w="952" w:type="dxa"/>
            <w:tcBorders>
              <w:top w:val="single" w:sz="4" w:space="0" w:color="auto"/>
              <w:left w:val="nil"/>
              <w:bottom w:val="single" w:sz="4" w:space="0" w:color="auto"/>
              <w:right w:val="nil"/>
            </w:tcBorders>
            <w:noWrap/>
            <w:vAlign w:val="center"/>
            <w:hideMark/>
          </w:tcPr>
          <w:p w14:paraId="51C258DC"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0</w:t>
            </w:r>
          </w:p>
        </w:tc>
        <w:tc>
          <w:tcPr>
            <w:tcW w:w="1074" w:type="dxa"/>
            <w:tcBorders>
              <w:top w:val="single" w:sz="4" w:space="0" w:color="auto"/>
              <w:left w:val="nil"/>
              <w:bottom w:val="single" w:sz="4" w:space="0" w:color="auto"/>
              <w:right w:val="nil"/>
            </w:tcBorders>
            <w:noWrap/>
            <w:vAlign w:val="center"/>
            <w:hideMark/>
          </w:tcPr>
          <w:p w14:paraId="27D7C232"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0</w:t>
            </w:r>
          </w:p>
        </w:tc>
        <w:tc>
          <w:tcPr>
            <w:tcW w:w="1074" w:type="dxa"/>
            <w:tcBorders>
              <w:top w:val="single" w:sz="4" w:space="0" w:color="auto"/>
              <w:left w:val="nil"/>
              <w:bottom w:val="single" w:sz="4" w:space="0" w:color="auto"/>
              <w:right w:val="nil"/>
            </w:tcBorders>
            <w:noWrap/>
            <w:vAlign w:val="center"/>
            <w:hideMark/>
          </w:tcPr>
          <w:p w14:paraId="1B41BC93"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0</w:t>
            </w:r>
          </w:p>
        </w:tc>
        <w:tc>
          <w:tcPr>
            <w:tcW w:w="1333" w:type="dxa"/>
            <w:tcBorders>
              <w:top w:val="single" w:sz="4" w:space="0" w:color="auto"/>
              <w:left w:val="nil"/>
              <w:bottom w:val="single" w:sz="4" w:space="0" w:color="auto"/>
              <w:right w:val="nil"/>
            </w:tcBorders>
            <w:noWrap/>
            <w:vAlign w:val="center"/>
            <w:hideMark/>
          </w:tcPr>
          <w:p w14:paraId="43EC270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0</w:t>
            </w:r>
          </w:p>
        </w:tc>
        <w:tc>
          <w:tcPr>
            <w:tcW w:w="1136" w:type="dxa"/>
            <w:tcBorders>
              <w:top w:val="single" w:sz="4" w:space="0" w:color="auto"/>
              <w:left w:val="nil"/>
              <w:bottom w:val="single" w:sz="4" w:space="0" w:color="auto"/>
              <w:right w:val="nil"/>
            </w:tcBorders>
            <w:noWrap/>
            <w:vAlign w:val="center"/>
            <w:hideMark/>
          </w:tcPr>
          <w:p w14:paraId="55A1DFE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38,952</w:t>
            </w:r>
          </w:p>
        </w:tc>
        <w:tc>
          <w:tcPr>
            <w:tcW w:w="1147" w:type="dxa"/>
            <w:tcBorders>
              <w:top w:val="single" w:sz="4" w:space="0" w:color="auto"/>
              <w:left w:val="nil"/>
              <w:bottom w:val="single" w:sz="4" w:space="0" w:color="auto"/>
              <w:right w:val="nil"/>
            </w:tcBorders>
            <w:noWrap/>
            <w:vAlign w:val="center"/>
            <w:hideMark/>
          </w:tcPr>
          <w:p w14:paraId="3E1883A1"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86</w:t>
            </w:r>
          </w:p>
        </w:tc>
        <w:tc>
          <w:tcPr>
            <w:tcW w:w="1229" w:type="dxa"/>
            <w:tcBorders>
              <w:top w:val="single" w:sz="4" w:space="0" w:color="auto"/>
              <w:left w:val="nil"/>
              <w:bottom w:val="single" w:sz="4" w:space="0" w:color="auto"/>
              <w:right w:val="nil"/>
            </w:tcBorders>
            <w:noWrap/>
            <w:vAlign w:val="center"/>
            <w:hideMark/>
          </w:tcPr>
          <w:p w14:paraId="4D7E8CFB"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25,755</w:t>
            </w:r>
          </w:p>
        </w:tc>
        <w:tc>
          <w:tcPr>
            <w:tcW w:w="1021" w:type="dxa"/>
            <w:tcBorders>
              <w:top w:val="single" w:sz="4" w:space="0" w:color="auto"/>
              <w:left w:val="nil"/>
              <w:bottom w:val="single" w:sz="4" w:space="0" w:color="auto"/>
              <w:right w:val="nil"/>
            </w:tcBorders>
            <w:noWrap/>
            <w:vAlign w:val="center"/>
            <w:hideMark/>
          </w:tcPr>
          <w:p w14:paraId="0AF35CB1"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2,407</w:t>
            </w:r>
          </w:p>
        </w:tc>
        <w:tc>
          <w:tcPr>
            <w:tcW w:w="952" w:type="dxa"/>
            <w:tcBorders>
              <w:top w:val="single" w:sz="4" w:space="0" w:color="auto"/>
              <w:left w:val="nil"/>
              <w:bottom w:val="single" w:sz="4" w:space="0" w:color="auto"/>
              <w:right w:val="nil"/>
            </w:tcBorders>
            <w:noWrap/>
            <w:vAlign w:val="center"/>
            <w:hideMark/>
          </w:tcPr>
          <w:p w14:paraId="3537AE2B"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67,200</w:t>
            </w:r>
          </w:p>
        </w:tc>
      </w:tr>
      <w:tr w:rsidR="00E91426" w:rsidRPr="00E91426" w14:paraId="462C43DD" w14:textId="77777777" w:rsidTr="00E91426">
        <w:trPr>
          <w:trHeight w:val="234"/>
        </w:trPr>
        <w:tc>
          <w:tcPr>
            <w:tcW w:w="4988" w:type="dxa"/>
            <w:tcBorders>
              <w:top w:val="nil"/>
              <w:left w:val="nil"/>
              <w:bottom w:val="nil"/>
              <w:right w:val="nil"/>
            </w:tcBorders>
            <w:vAlign w:val="bottom"/>
            <w:hideMark/>
          </w:tcPr>
          <w:p w14:paraId="0530F4E1"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 xml:space="preserve">Provided during the year </w:t>
            </w:r>
          </w:p>
        </w:tc>
        <w:tc>
          <w:tcPr>
            <w:tcW w:w="952" w:type="dxa"/>
            <w:tcBorders>
              <w:top w:val="nil"/>
              <w:left w:val="nil"/>
              <w:bottom w:val="nil"/>
              <w:right w:val="nil"/>
            </w:tcBorders>
            <w:noWrap/>
            <w:vAlign w:val="bottom"/>
            <w:hideMark/>
          </w:tcPr>
          <w:p w14:paraId="422F0732"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074" w:type="dxa"/>
            <w:tcBorders>
              <w:top w:val="nil"/>
              <w:left w:val="nil"/>
              <w:bottom w:val="nil"/>
              <w:right w:val="nil"/>
            </w:tcBorders>
            <w:noWrap/>
            <w:vAlign w:val="bottom"/>
            <w:hideMark/>
          </w:tcPr>
          <w:p w14:paraId="2133F07E"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8,715</w:t>
            </w:r>
          </w:p>
        </w:tc>
        <w:tc>
          <w:tcPr>
            <w:tcW w:w="1074" w:type="dxa"/>
            <w:tcBorders>
              <w:top w:val="nil"/>
              <w:left w:val="nil"/>
              <w:bottom w:val="nil"/>
              <w:right w:val="nil"/>
            </w:tcBorders>
            <w:noWrap/>
            <w:vAlign w:val="bottom"/>
            <w:hideMark/>
          </w:tcPr>
          <w:p w14:paraId="609DD7C1"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355</w:t>
            </w:r>
          </w:p>
        </w:tc>
        <w:tc>
          <w:tcPr>
            <w:tcW w:w="1333" w:type="dxa"/>
            <w:tcBorders>
              <w:top w:val="nil"/>
              <w:left w:val="nil"/>
              <w:bottom w:val="nil"/>
              <w:right w:val="nil"/>
            </w:tcBorders>
            <w:noWrap/>
            <w:vAlign w:val="bottom"/>
            <w:hideMark/>
          </w:tcPr>
          <w:p w14:paraId="226AF9FB"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136" w:type="dxa"/>
            <w:tcBorders>
              <w:top w:val="nil"/>
              <w:left w:val="nil"/>
              <w:bottom w:val="nil"/>
              <w:right w:val="nil"/>
            </w:tcBorders>
            <w:noWrap/>
            <w:vAlign w:val="bottom"/>
            <w:hideMark/>
          </w:tcPr>
          <w:p w14:paraId="7D04D71D"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4,684</w:t>
            </w:r>
          </w:p>
        </w:tc>
        <w:tc>
          <w:tcPr>
            <w:tcW w:w="1147" w:type="dxa"/>
            <w:tcBorders>
              <w:top w:val="nil"/>
              <w:left w:val="nil"/>
              <w:bottom w:val="nil"/>
              <w:right w:val="nil"/>
            </w:tcBorders>
            <w:noWrap/>
            <w:vAlign w:val="bottom"/>
            <w:hideMark/>
          </w:tcPr>
          <w:p w14:paraId="3DBD77EF"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5</w:t>
            </w:r>
          </w:p>
        </w:tc>
        <w:tc>
          <w:tcPr>
            <w:tcW w:w="1229" w:type="dxa"/>
            <w:tcBorders>
              <w:top w:val="nil"/>
              <w:left w:val="nil"/>
              <w:bottom w:val="nil"/>
              <w:right w:val="nil"/>
            </w:tcBorders>
            <w:noWrap/>
            <w:vAlign w:val="bottom"/>
            <w:hideMark/>
          </w:tcPr>
          <w:p w14:paraId="28AEE42B"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5,682</w:t>
            </w:r>
          </w:p>
        </w:tc>
        <w:tc>
          <w:tcPr>
            <w:tcW w:w="1021" w:type="dxa"/>
            <w:tcBorders>
              <w:top w:val="nil"/>
              <w:left w:val="nil"/>
              <w:bottom w:val="nil"/>
              <w:right w:val="nil"/>
            </w:tcBorders>
            <w:noWrap/>
            <w:vAlign w:val="bottom"/>
            <w:hideMark/>
          </w:tcPr>
          <w:p w14:paraId="5873FF04"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74</w:t>
            </w:r>
          </w:p>
        </w:tc>
        <w:tc>
          <w:tcPr>
            <w:tcW w:w="952" w:type="dxa"/>
            <w:tcBorders>
              <w:top w:val="nil"/>
              <w:left w:val="nil"/>
              <w:bottom w:val="nil"/>
              <w:right w:val="nil"/>
            </w:tcBorders>
            <w:noWrap/>
            <w:vAlign w:val="bottom"/>
            <w:hideMark/>
          </w:tcPr>
          <w:p w14:paraId="750B1B8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19,515</w:t>
            </w:r>
          </w:p>
        </w:tc>
      </w:tr>
      <w:tr w:rsidR="00E91426" w:rsidRPr="00E91426" w14:paraId="57569096" w14:textId="77777777" w:rsidTr="00E91426">
        <w:trPr>
          <w:trHeight w:val="234"/>
        </w:trPr>
        <w:tc>
          <w:tcPr>
            <w:tcW w:w="4988" w:type="dxa"/>
            <w:tcBorders>
              <w:top w:val="nil"/>
              <w:left w:val="nil"/>
              <w:bottom w:val="nil"/>
              <w:right w:val="nil"/>
            </w:tcBorders>
            <w:vAlign w:val="bottom"/>
            <w:hideMark/>
          </w:tcPr>
          <w:p w14:paraId="2B34611C"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Impairments</w:t>
            </w:r>
          </w:p>
        </w:tc>
        <w:tc>
          <w:tcPr>
            <w:tcW w:w="952" w:type="dxa"/>
            <w:tcBorders>
              <w:top w:val="nil"/>
              <w:left w:val="nil"/>
              <w:bottom w:val="nil"/>
              <w:right w:val="nil"/>
            </w:tcBorders>
            <w:noWrap/>
            <w:vAlign w:val="bottom"/>
            <w:hideMark/>
          </w:tcPr>
          <w:p w14:paraId="137E3143"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074" w:type="dxa"/>
            <w:tcBorders>
              <w:top w:val="nil"/>
              <w:left w:val="nil"/>
              <w:bottom w:val="nil"/>
              <w:right w:val="nil"/>
            </w:tcBorders>
            <w:noWrap/>
            <w:vAlign w:val="bottom"/>
            <w:hideMark/>
          </w:tcPr>
          <w:p w14:paraId="6B3492C1"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(3,527)</w:t>
            </w:r>
          </w:p>
        </w:tc>
        <w:tc>
          <w:tcPr>
            <w:tcW w:w="1074" w:type="dxa"/>
            <w:tcBorders>
              <w:top w:val="nil"/>
              <w:left w:val="nil"/>
              <w:bottom w:val="nil"/>
              <w:right w:val="nil"/>
            </w:tcBorders>
            <w:noWrap/>
            <w:vAlign w:val="bottom"/>
            <w:hideMark/>
          </w:tcPr>
          <w:p w14:paraId="5AEEF7E3"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333" w:type="dxa"/>
            <w:tcBorders>
              <w:top w:val="nil"/>
              <w:left w:val="nil"/>
              <w:bottom w:val="nil"/>
              <w:right w:val="nil"/>
            </w:tcBorders>
            <w:noWrap/>
            <w:vAlign w:val="bottom"/>
            <w:hideMark/>
          </w:tcPr>
          <w:p w14:paraId="1CA8B062"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136" w:type="dxa"/>
            <w:tcBorders>
              <w:top w:val="nil"/>
              <w:left w:val="nil"/>
              <w:bottom w:val="nil"/>
              <w:right w:val="nil"/>
            </w:tcBorders>
            <w:noWrap/>
            <w:vAlign w:val="bottom"/>
            <w:hideMark/>
          </w:tcPr>
          <w:p w14:paraId="0E836F2E"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147" w:type="dxa"/>
            <w:tcBorders>
              <w:top w:val="nil"/>
              <w:left w:val="nil"/>
              <w:bottom w:val="nil"/>
              <w:right w:val="nil"/>
            </w:tcBorders>
            <w:noWrap/>
            <w:vAlign w:val="bottom"/>
            <w:hideMark/>
          </w:tcPr>
          <w:p w14:paraId="634CE770"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229" w:type="dxa"/>
            <w:tcBorders>
              <w:top w:val="nil"/>
              <w:left w:val="nil"/>
              <w:bottom w:val="nil"/>
              <w:right w:val="nil"/>
            </w:tcBorders>
            <w:noWrap/>
            <w:vAlign w:val="bottom"/>
            <w:hideMark/>
          </w:tcPr>
          <w:p w14:paraId="1857A894"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021" w:type="dxa"/>
            <w:tcBorders>
              <w:top w:val="nil"/>
              <w:left w:val="nil"/>
              <w:bottom w:val="nil"/>
              <w:right w:val="nil"/>
            </w:tcBorders>
            <w:noWrap/>
            <w:vAlign w:val="bottom"/>
            <w:hideMark/>
          </w:tcPr>
          <w:p w14:paraId="75EAF706"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952" w:type="dxa"/>
            <w:tcBorders>
              <w:top w:val="nil"/>
              <w:left w:val="nil"/>
              <w:bottom w:val="nil"/>
              <w:right w:val="nil"/>
            </w:tcBorders>
            <w:noWrap/>
            <w:vAlign w:val="bottom"/>
            <w:hideMark/>
          </w:tcPr>
          <w:p w14:paraId="5213A96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(3,527)</w:t>
            </w:r>
          </w:p>
        </w:tc>
      </w:tr>
      <w:tr w:rsidR="00E91426" w:rsidRPr="00E91426" w14:paraId="7233FF40" w14:textId="77777777" w:rsidTr="00E91426">
        <w:trPr>
          <w:trHeight w:val="234"/>
        </w:trPr>
        <w:tc>
          <w:tcPr>
            <w:tcW w:w="4988" w:type="dxa"/>
            <w:tcBorders>
              <w:top w:val="nil"/>
              <w:left w:val="nil"/>
              <w:bottom w:val="nil"/>
              <w:right w:val="nil"/>
            </w:tcBorders>
            <w:vAlign w:val="bottom"/>
            <w:hideMark/>
          </w:tcPr>
          <w:p w14:paraId="2EF59EDD"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Reversals of impairments</w:t>
            </w:r>
          </w:p>
        </w:tc>
        <w:tc>
          <w:tcPr>
            <w:tcW w:w="952" w:type="dxa"/>
            <w:tcBorders>
              <w:top w:val="nil"/>
              <w:left w:val="nil"/>
              <w:bottom w:val="nil"/>
              <w:right w:val="nil"/>
            </w:tcBorders>
            <w:noWrap/>
            <w:vAlign w:val="bottom"/>
            <w:hideMark/>
          </w:tcPr>
          <w:p w14:paraId="1FDC4BFE"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074" w:type="dxa"/>
            <w:tcBorders>
              <w:top w:val="nil"/>
              <w:left w:val="nil"/>
              <w:bottom w:val="nil"/>
              <w:right w:val="nil"/>
            </w:tcBorders>
            <w:noWrap/>
            <w:vAlign w:val="bottom"/>
            <w:hideMark/>
          </w:tcPr>
          <w:p w14:paraId="615C2298"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(45)</w:t>
            </w:r>
          </w:p>
        </w:tc>
        <w:tc>
          <w:tcPr>
            <w:tcW w:w="1074" w:type="dxa"/>
            <w:tcBorders>
              <w:top w:val="nil"/>
              <w:left w:val="nil"/>
              <w:bottom w:val="nil"/>
              <w:right w:val="nil"/>
            </w:tcBorders>
            <w:noWrap/>
            <w:vAlign w:val="bottom"/>
            <w:hideMark/>
          </w:tcPr>
          <w:p w14:paraId="26A7FA76"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333" w:type="dxa"/>
            <w:tcBorders>
              <w:top w:val="nil"/>
              <w:left w:val="nil"/>
              <w:bottom w:val="nil"/>
              <w:right w:val="nil"/>
            </w:tcBorders>
            <w:noWrap/>
            <w:vAlign w:val="bottom"/>
            <w:hideMark/>
          </w:tcPr>
          <w:p w14:paraId="15404129"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136" w:type="dxa"/>
            <w:tcBorders>
              <w:top w:val="nil"/>
              <w:left w:val="nil"/>
              <w:bottom w:val="nil"/>
              <w:right w:val="nil"/>
            </w:tcBorders>
            <w:noWrap/>
            <w:vAlign w:val="bottom"/>
            <w:hideMark/>
          </w:tcPr>
          <w:p w14:paraId="5D106F86"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147" w:type="dxa"/>
            <w:tcBorders>
              <w:top w:val="nil"/>
              <w:left w:val="nil"/>
              <w:bottom w:val="nil"/>
              <w:right w:val="nil"/>
            </w:tcBorders>
            <w:noWrap/>
            <w:vAlign w:val="bottom"/>
            <w:hideMark/>
          </w:tcPr>
          <w:p w14:paraId="5A935945"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229" w:type="dxa"/>
            <w:tcBorders>
              <w:top w:val="nil"/>
              <w:left w:val="nil"/>
              <w:bottom w:val="nil"/>
              <w:right w:val="nil"/>
            </w:tcBorders>
            <w:noWrap/>
            <w:vAlign w:val="bottom"/>
            <w:hideMark/>
          </w:tcPr>
          <w:p w14:paraId="61D493FD"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021" w:type="dxa"/>
            <w:tcBorders>
              <w:top w:val="nil"/>
              <w:left w:val="nil"/>
              <w:bottom w:val="nil"/>
              <w:right w:val="nil"/>
            </w:tcBorders>
            <w:noWrap/>
            <w:vAlign w:val="bottom"/>
            <w:hideMark/>
          </w:tcPr>
          <w:p w14:paraId="333E4EA4"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952" w:type="dxa"/>
            <w:tcBorders>
              <w:top w:val="nil"/>
              <w:left w:val="nil"/>
              <w:bottom w:val="nil"/>
              <w:right w:val="nil"/>
            </w:tcBorders>
            <w:noWrap/>
            <w:vAlign w:val="bottom"/>
            <w:hideMark/>
          </w:tcPr>
          <w:p w14:paraId="785BBB7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(45)</w:t>
            </w:r>
          </w:p>
        </w:tc>
      </w:tr>
      <w:tr w:rsidR="00E91426" w:rsidRPr="00E91426" w14:paraId="52B7EAED" w14:textId="77777777" w:rsidTr="00E91426">
        <w:trPr>
          <w:trHeight w:val="234"/>
        </w:trPr>
        <w:tc>
          <w:tcPr>
            <w:tcW w:w="4988" w:type="dxa"/>
            <w:tcBorders>
              <w:top w:val="nil"/>
              <w:left w:val="nil"/>
              <w:bottom w:val="nil"/>
              <w:right w:val="nil"/>
            </w:tcBorders>
            <w:vAlign w:val="bottom"/>
            <w:hideMark/>
          </w:tcPr>
          <w:p w14:paraId="4FD4227A"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Revaluations</w:t>
            </w:r>
          </w:p>
        </w:tc>
        <w:tc>
          <w:tcPr>
            <w:tcW w:w="952" w:type="dxa"/>
            <w:tcBorders>
              <w:top w:val="nil"/>
              <w:left w:val="nil"/>
              <w:bottom w:val="nil"/>
              <w:right w:val="nil"/>
            </w:tcBorders>
            <w:noWrap/>
            <w:vAlign w:val="bottom"/>
            <w:hideMark/>
          </w:tcPr>
          <w:p w14:paraId="183B6F46"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074" w:type="dxa"/>
            <w:tcBorders>
              <w:top w:val="nil"/>
              <w:left w:val="nil"/>
              <w:bottom w:val="nil"/>
              <w:right w:val="nil"/>
            </w:tcBorders>
            <w:noWrap/>
            <w:vAlign w:val="bottom"/>
            <w:hideMark/>
          </w:tcPr>
          <w:p w14:paraId="3B2898D0"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(5,143)</w:t>
            </w:r>
          </w:p>
        </w:tc>
        <w:tc>
          <w:tcPr>
            <w:tcW w:w="1074" w:type="dxa"/>
            <w:tcBorders>
              <w:top w:val="nil"/>
              <w:left w:val="nil"/>
              <w:bottom w:val="nil"/>
              <w:right w:val="nil"/>
            </w:tcBorders>
            <w:noWrap/>
            <w:vAlign w:val="bottom"/>
            <w:hideMark/>
          </w:tcPr>
          <w:p w14:paraId="1F7B28E0"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(355)</w:t>
            </w:r>
          </w:p>
        </w:tc>
        <w:tc>
          <w:tcPr>
            <w:tcW w:w="1333" w:type="dxa"/>
            <w:tcBorders>
              <w:top w:val="nil"/>
              <w:left w:val="nil"/>
              <w:bottom w:val="nil"/>
              <w:right w:val="nil"/>
            </w:tcBorders>
            <w:noWrap/>
            <w:vAlign w:val="bottom"/>
            <w:hideMark/>
          </w:tcPr>
          <w:p w14:paraId="52DBCD86"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136" w:type="dxa"/>
            <w:tcBorders>
              <w:top w:val="nil"/>
              <w:left w:val="nil"/>
              <w:bottom w:val="nil"/>
              <w:right w:val="nil"/>
            </w:tcBorders>
            <w:noWrap/>
            <w:vAlign w:val="bottom"/>
            <w:hideMark/>
          </w:tcPr>
          <w:p w14:paraId="556877B4"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147" w:type="dxa"/>
            <w:tcBorders>
              <w:top w:val="nil"/>
              <w:left w:val="nil"/>
              <w:bottom w:val="nil"/>
              <w:right w:val="nil"/>
            </w:tcBorders>
            <w:noWrap/>
            <w:vAlign w:val="bottom"/>
            <w:hideMark/>
          </w:tcPr>
          <w:p w14:paraId="23C50F0E"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229" w:type="dxa"/>
            <w:tcBorders>
              <w:top w:val="nil"/>
              <w:left w:val="nil"/>
              <w:bottom w:val="nil"/>
              <w:right w:val="nil"/>
            </w:tcBorders>
            <w:noWrap/>
            <w:vAlign w:val="bottom"/>
            <w:hideMark/>
          </w:tcPr>
          <w:p w14:paraId="59DF5DAE"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021" w:type="dxa"/>
            <w:tcBorders>
              <w:top w:val="nil"/>
              <w:left w:val="nil"/>
              <w:bottom w:val="nil"/>
              <w:right w:val="nil"/>
            </w:tcBorders>
            <w:noWrap/>
            <w:vAlign w:val="bottom"/>
            <w:hideMark/>
          </w:tcPr>
          <w:p w14:paraId="6919D4FE"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952" w:type="dxa"/>
            <w:tcBorders>
              <w:top w:val="nil"/>
              <w:left w:val="nil"/>
              <w:bottom w:val="nil"/>
              <w:right w:val="nil"/>
            </w:tcBorders>
            <w:noWrap/>
            <w:vAlign w:val="bottom"/>
            <w:hideMark/>
          </w:tcPr>
          <w:p w14:paraId="1F0D0CFC"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(5,498)</w:t>
            </w:r>
          </w:p>
        </w:tc>
      </w:tr>
      <w:tr w:rsidR="00E91426" w:rsidRPr="00E91426" w14:paraId="3CD9265A" w14:textId="77777777" w:rsidTr="00E91426">
        <w:trPr>
          <w:trHeight w:val="234"/>
        </w:trPr>
        <w:tc>
          <w:tcPr>
            <w:tcW w:w="4988" w:type="dxa"/>
            <w:tcBorders>
              <w:top w:val="nil"/>
              <w:left w:val="nil"/>
              <w:bottom w:val="nil"/>
              <w:right w:val="nil"/>
            </w:tcBorders>
            <w:vAlign w:val="bottom"/>
            <w:hideMark/>
          </w:tcPr>
          <w:p w14:paraId="74BC5598"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Disposals / derecognition</w:t>
            </w:r>
          </w:p>
        </w:tc>
        <w:tc>
          <w:tcPr>
            <w:tcW w:w="952" w:type="dxa"/>
            <w:tcBorders>
              <w:top w:val="nil"/>
              <w:left w:val="nil"/>
              <w:bottom w:val="nil"/>
              <w:right w:val="nil"/>
            </w:tcBorders>
            <w:noWrap/>
            <w:vAlign w:val="bottom"/>
            <w:hideMark/>
          </w:tcPr>
          <w:p w14:paraId="782C9DB4"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074" w:type="dxa"/>
            <w:tcBorders>
              <w:top w:val="nil"/>
              <w:left w:val="nil"/>
              <w:bottom w:val="nil"/>
              <w:right w:val="nil"/>
            </w:tcBorders>
            <w:noWrap/>
            <w:vAlign w:val="bottom"/>
            <w:hideMark/>
          </w:tcPr>
          <w:p w14:paraId="62AAFB66"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074" w:type="dxa"/>
            <w:tcBorders>
              <w:top w:val="nil"/>
              <w:left w:val="nil"/>
              <w:bottom w:val="nil"/>
              <w:right w:val="nil"/>
            </w:tcBorders>
            <w:noWrap/>
            <w:vAlign w:val="bottom"/>
            <w:hideMark/>
          </w:tcPr>
          <w:p w14:paraId="547B5F61"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333" w:type="dxa"/>
            <w:tcBorders>
              <w:top w:val="nil"/>
              <w:left w:val="nil"/>
              <w:bottom w:val="nil"/>
              <w:right w:val="nil"/>
            </w:tcBorders>
            <w:noWrap/>
            <w:vAlign w:val="bottom"/>
            <w:hideMark/>
          </w:tcPr>
          <w:p w14:paraId="1C06F896"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136" w:type="dxa"/>
            <w:tcBorders>
              <w:top w:val="nil"/>
              <w:left w:val="nil"/>
              <w:bottom w:val="nil"/>
              <w:right w:val="nil"/>
            </w:tcBorders>
            <w:noWrap/>
            <w:vAlign w:val="bottom"/>
            <w:hideMark/>
          </w:tcPr>
          <w:p w14:paraId="527B5EFE"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(17,230)</w:t>
            </w:r>
          </w:p>
        </w:tc>
        <w:tc>
          <w:tcPr>
            <w:tcW w:w="1147" w:type="dxa"/>
            <w:tcBorders>
              <w:top w:val="nil"/>
              <w:left w:val="nil"/>
              <w:bottom w:val="nil"/>
              <w:right w:val="nil"/>
            </w:tcBorders>
            <w:noWrap/>
            <w:vAlign w:val="bottom"/>
            <w:hideMark/>
          </w:tcPr>
          <w:p w14:paraId="61F82192"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(85)</w:t>
            </w:r>
          </w:p>
        </w:tc>
        <w:tc>
          <w:tcPr>
            <w:tcW w:w="1229" w:type="dxa"/>
            <w:tcBorders>
              <w:top w:val="nil"/>
              <w:left w:val="nil"/>
              <w:bottom w:val="nil"/>
              <w:right w:val="nil"/>
            </w:tcBorders>
            <w:noWrap/>
            <w:vAlign w:val="bottom"/>
            <w:hideMark/>
          </w:tcPr>
          <w:p w14:paraId="072CBC14"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(9,523)</w:t>
            </w:r>
          </w:p>
        </w:tc>
        <w:tc>
          <w:tcPr>
            <w:tcW w:w="1021" w:type="dxa"/>
            <w:tcBorders>
              <w:top w:val="nil"/>
              <w:left w:val="nil"/>
              <w:bottom w:val="nil"/>
              <w:right w:val="nil"/>
            </w:tcBorders>
            <w:noWrap/>
            <w:vAlign w:val="bottom"/>
            <w:hideMark/>
          </w:tcPr>
          <w:p w14:paraId="5A37FD2B"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(1,975)</w:t>
            </w:r>
          </w:p>
        </w:tc>
        <w:tc>
          <w:tcPr>
            <w:tcW w:w="952" w:type="dxa"/>
            <w:tcBorders>
              <w:top w:val="nil"/>
              <w:left w:val="nil"/>
              <w:bottom w:val="nil"/>
              <w:right w:val="nil"/>
            </w:tcBorders>
            <w:noWrap/>
            <w:vAlign w:val="bottom"/>
            <w:hideMark/>
          </w:tcPr>
          <w:p w14:paraId="30F8336A"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(28,813)</w:t>
            </w:r>
          </w:p>
        </w:tc>
      </w:tr>
      <w:tr w:rsidR="00E91426" w:rsidRPr="00E91426" w14:paraId="22F4F496" w14:textId="77777777" w:rsidTr="00E91426">
        <w:trPr>
          <w:trHeight w:val="255"/>
        </w:trPr>
        <w:tc>
          <w:tcPr>
            <w:tcW w:w="4988" w:type="dxa"/>
            <w:tcBorders>
              <w:top w:val="nil"/>
              <w:left w:val="nil"/>
              <w:bottom w:val="nil"/>
              <w:right w:val="nil"/>
            </w:tcBorders>
            <w:noWrap/>
            <w:vAlign w:val="bottom"/>
            <w:hideMark/>
          </w:tcPr>
          <w:p w14:paraId="71A1110D"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Accumulated depreciation at 31 March 2025</w:t>
            </w:r>
          </w:p>
        </w:tc>
        <w:tc>
          <w:tcPr>
            <w:tcW w:w="952" w:type="dxa"/>
            <w:tcBorders>
              <w:top w:val="single" w:sz="4" w:space="0" w:color="auto"/>
              <w:left w:val="nil"/>
              <w:bottom w:val="double" w:sz="6" w:space="0" w:color="auto"/>
              <w:right w:val="nil"/>
            </w:tcBorders>
            <w:noWrap/>
            <w:vAlign w:val="bottom"/>
            <w:hideMark/>
          </w:tcPr>
          <w:p w14:paraId="4B180F11"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0</w:t>
            </w:r>
          </w:p>
        </w:tc>
        <w:tc>
          <w:tcPr>
            <w:tcW w:w="1074" w:type="dxa"/>
            <w:tcBorders>
              <w:top w:val="single" w:sz="4" w:space="0" w:color="auto"/>
              <w:left w:val="nil"/>
              <w:bottom w:val="double" w:sz="6" w:space="0" w:color="auto"/>
              <w:right w:val="nil"/>
            </w:tcBorders>
            <w:noWrap/>
            <w:vAlign w:val="bottom"/>
            <w:hideMark/>
          </w:tcPr>
          <w:p w14:paraId="7506D60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0</w:t>
            </w:r>
          </w:p>
        </w:tc>
        <w:tc>
          <w:tcPr>
            <w:tcW w:w="1074" w:type="dxa"/>
            <w:tcBorders>
              <w:top w:val="single" w:sz="4" w:space="0" w:color="auto"/>
              <w:left w:val="nil"/>
              <w:bottom w:val="double" w:sz="6" w:space="0" w:color="auto"/>
              <w:right w:val="nil"/>
            </w:tcBorders>
            <w:noWrap/>
            <w:vAlign w:val="bottom"/>
            <w:hideMark/>
          </w:tcPr>
          <w:p w14:paraId="224D454D"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0</w:t>
            </w:r>
          </w:p>
        </w:tc>
        <w:tc>
          <w:tcPr>
            <w:tcW w:w="1333" w:type="dxa"/>
            <w:tcBorders>
              <w:top w:val="single" w:sz="4" w:space="0" w:color="auto"/>
              <w:left w:val="nil"/>
              <w:bottom w:val="double" w:sz="6" w:space="0" w:color="auto"/>
              <w:right w:val="nil"/>
            </w:tcBorders>
            <w:noWrap/>
            <w:vAlign w:val="bottom"/>
            <w:hideMark/>
          </w:tcPr>
          <w:p w14:paraId="0968598B"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0</w:t>
            </w:r>
          </w:p>
        </w:tc>
        <w:tc>
          <w:tcPr>
            <w:tcW w:w="1136" w:type="dxa"/>
            <w:tcBorders>
              <w:top w:val="single" w:sz="4" w:space="0" w:color="auto"/>
              <w:left w:val="nil"/>
              <w:bottom w:val="double" w:sz="6" w:space="0" w:color="auto"/>
              <w:right w:val="nil"/>
            </w:tcBorders>
            <w:noWrap/>
            <w:vAlign w:val="bottom"/>
            <w:hideMark/>
          </w:tcPr>
          <w:p w14:paraId="033FD050"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26,406</w:t>
            </w:r>
          </w:p>
        </w:tc>
        <w:tc>
          <w:tcPr>
            <w:tcW w:w="1147" w:type="dxa"/>
            <w:tcBorders>
              <w:top w:val="single" w:sz="4" w:space="0" w:color="auto"/>
              <w:left w:val="nil"/>
              <w:bottom w:val="double" w:sz="6" w:space="0" w:color="auto"/>
              <w:right w:val="nil"/>
            </w:tcBorders>
            <w:noWrap/>
            <w:vAlign w:val="bottom"/>
            <w:hideMark/>
          </w:tcPr>
          <w:p w14:paraId="422743FC"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6</w:t>
            </w:r>
          </w:p>
        </w:tc>
        <w:tc>
          <w:tcPr>
            <w:tcW w:w="1229" w:type="dxa"/>
            <w:tcBorders>
              <w:top w:val="single" w:sz="4" w:space="0" w:color="auto"/>
              <w:left w:val="nil"/>
              <w:bottom w:val="double" w:sz="6" w:space="0" w:color="auto"/>
              <w:right w:val="nil"/>
            </w:tcBorders>
            <w:noWrap/>
            <w:vAlign w:val="bottom"/>
            <w:hideMark/>
          </w:tcPr>
          <w:p w14:paraId="7767F9DB"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21,914</w:t>
            </w:r>
          </w:p>
        </w:tc>
        <w:tc>
          <w:tcPr>
            <w:tcW w:w="1021" w:type="dxa"/>
            <w:tcBorders>
              <w:top w:val="single" w:sz="4" w:space="0" w:color="auto"/>
              <w:left w:val="nil"/>
              <w:bottom w:val="double" w:sz="6" w:space="0" w:color="auto"/>
              <w:right w:val="nil"/>
            </w:tcBorders>
            <w:noWrap/>
            <w:vAlign w:val="bottom"/>
            <w:hideMark/>
          </w:tcPr>
          <w:p w14:paraId="6AE93932"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506</w:t>
            </w:r>
          </w:p>
        </w:tc>
        <w:tc>
          <w:tcPr>
            <w:tcW w:w="952" w:type="dxa"/>
            <w:tcBorders>
              <w:top w:val="single" w:sz="4" w:space="0" w:color="auto"/>
              <w:left w:val="nil"/>
              <w:bottom w:val="double" w:sz="6" w:space="0" w:color="auto"/>
              <w:right w:val="nil"/>
            </w:tcBorders>
            <w:noWrap/>
            <w:vAlign w:val="bottom"/>
            <w:hideMark/>
          </w:tcPr>
          <w:p w14:paraId="10443013"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48,832</w:t>
            </w:r>
          </w:p>
        </w:tc>
      </w:tr>
      <w:tr w:rsidR="00E91426" w:rsidRPr="00E91426" w14:paraId="53476760" w14:textId="77777777" w:rsidTr="00E91426">
        <w:trPr>
          <w:trHeight w:val="93"/>
        </w:trPr>
        <w:tc>
          <w:tcPr>
            <w:tcW w:w="4988" w:type="dxa"/>
            <w:tcBorders>
              <w:top w:val="nil"/>
              <w:left w:val="nil"/>
              <w:bottom w:val="nil"/>
              <w:right w:val="nil"/>
            </w:tcBorders>
            <w:vAlign w:val="bottom"/>
            <w:hideMark/>
          </w:tcPr>
          <w:p w14:paraId="2A57F45D"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52" w:type="dxa"/>
            <w:tcBorders>
              <w:top w:val="nil"/>
              <w:left w:val="nil"/>
              <w:bottom w:val="nil"/>
              <w:right w:val="nil"/>
            </w:tcBorders>
            <w:noWrap/>
            <w:vAlign w:val="center"/>
            <w:hideMark/>
          </w:tcPr>
          <w:p w14:paraId="0B464D69" w14:textId="77777777" w:rsidR="00E91426" w:rsidRPr="00E91426" w:rsidRDefault="00E91426" w:rsidP="00E91426">
            <w:pPr>
              <w:widowControl/>
              <w:rPr>
                <w:rFonts w:ascii="Arial" w:eastAsia="Times New Roman" w:hAnsi="Arial" w:cs="Arial"/>
                <w:sz w:val="20"/>
                <w:szCs w:val="20"/>
                <w:lang w:val="en-GB" w:eastAsia="en-GB"/>
              </w:rPr>
            </w:pPr>
          </w:p>
        </w:tc>
        <w:tc>
          <w:tcPr>
            <w:tcW w:w="1074" w:type="dxa"/>
            <w:tcBorders>
              <w:top w:val="nil"/>
              <w:left w:val="nil"/>
              <w:bottom w:val="nil"/>
              <w:right w:val="nil"/>
            </w:tcBorders>
            <w:noWrap/>
            <w:vAlign w:val="center"/>
            <w:hideMark/>
          </w:tcPr>
          <w:p w14:paraId="23145C69" w14:textId="77777777" w:rsidR="00E91426" w:rsidRPr="00E91426" w:rsidRDefault="00E91426" w:rsidP="00E91426">
            <w:pPr>
              <w:widowControl/>
              <w:rPr>
                <w:rFonts w:ascii="Arial" w:eastAsia="Times New Roman" w:hAnsi="Arial" w:cs="Arial"/>
                <w:sz w:val="20"/>
                <w:szCs w:val="20"/>
                <w:lang w:val="en-GB" w:eastAsia="en-GB"/>
              </w:rPr>
            </w:pPr>
          </w:p>
        </w:tc>
        <w:tc>
          <w:tcPr>
            <w:tcW w:w="1074" w:type="dxa"/>
            <w:tcBorders>
              <w:top w:val="nil"/>
              <w:left w:val="nil"/>
              <w:bottom w:val="nil"/>
              <w:right w:val="nil"/>
            </w:tcBorders>
            <w:noWrap/>
            <w:vAlign w:val="center"/>
            <w:hideMark/>
          </w:tcPr>
          <w:p w14:paraId="5F29E283" w14:textId="77777777" w:rsidR="00E91426" w:rsidRPr="00E91426" w:rsidRDefault="00E91426" w:rsidP="00E91426">
            <w:pPr>
              <w:widowControl/>
              <w:rPr>
                <w:rFonts w:ascii="Arial" w:eastAsia="Times New Roman" w:hAnsi="Arial" w:cs="Arial"/>
                <w:sz w:val="20"/>
                <w:szCs w:val="20"/>
                <w:lang w:val="en-GB" w:eastAsia="en-GB"/>
              </w:rPr>
            </w:pPr>
          </w:p>
        </w:tc>
        <w:tc>
          <w:tcPr>
            <w:tcW w:w="1333" w:type="dxa"/>
            <w:tcBorders>
              <w:top w:val="nil"/>
              <w:left w:val="nil"/>
              <w:bottom w:val="nil"/>
              <w:right w:val="nil"/>
            </w:tcBorders>
            <w:noWrap/>
            <w:vAlign w:val="center"/>
            <w:hideMark/>
          </w:tcPr>
          <w:p w14:paraId="64E3A889" w14:textId="77777777" w:rsidR="00E91426" w:rsidRPr="00E91426" w:rsidRDefault="00E91426" w:rsidP="00E91426">
            <w:pPr>
              <w:widowControl/>
              <w:rPr>
                <w:rFonts w:ascii="Arial" w:eastAsia="Times New Roman" w:hAnsi="Arial" w:cs="Arial"/>
                <w:sz w:val="20"/>
                <w:szCs w:val="20"/>
                <w:lang w:val="en-GB" w:eastAsia="en-GB"/>
              </w:rPr>
            </w:pPr>
          </w:p>
        </w:tc>
        <w:tc>
          <w:tcPr>
            <w:tcW w:w="1136" w:type="dxa"/>
            <w:tcBorders>
              <w:top w:val="nil"/>
              <w:left w:val="nil"/>
              <w:bottom w:val="nil"/>
              <w:right w:val="nil"/>
            </w:tcBorders>
            <w:noWrap/>
            <w:vAlign w:val="center"/>
            <w:hideMark/>
          </w:tcPr>
          <w:p w14:paraId="0CC56DA8" w14:textId="77777777" w:rsidR="00E91426" w:rsidRPr="00E91426" w:rsidRDefault="00E91426" w:rsidP="00E91426">
            <w:pPr>
              <w:widowControl/>
              <w:rPr>
                <w:rFonts w:ascii="Arial" w:eastAsia="Times New Roman" w:hAnsi="Arial" w:cs="Arial"/>
                <w:sz w:val="20"/>
                <w:szCs w:val="20"/>
                <w:lang w:val="en-GB" w:eastAsia="en-GB"/>
              </w:rPr>
            </w:pPr>
          </w:p>
        </w:tc>
        <w:tc>
          <w:tcPr>
            <w:tcW w:w="1147" w:type="dxa"/>
            <w:tcBorders>
              <w:top w:val="nil"/>
              <w:left w:val="nil"/>
              <w:bottom w:val="nil"/>
              <w:right w:val="nil"/>
            </w:tcBorders>
            <w:noWrap/>
            <w:vAlign w:val="center"/>
            <w:hideMark/>
          </w:tcPr>
          <w:p w14:paraId="0D0C905D" w14:textId="77777777" w:rsidR="00E91426" w:rsidRPr="00E91426" w:rsidRDefault="00E91426" w:rsidP="00E91426">
            <w:pPr>
              <w:widowControl/>
              <w:rPr>
                <w:rFonts w:ascii="Arial" w:eastAsia="Times New Roman" w:hAnsi="Arial" w:cs="Arial"/>
                <w:sz w:val="20"/>
                <w:szCs w:val="20"/>
                <w:lang w:val="en-GB" w:eastAsia="en-GB"/>
              </w:rPr>
            </w:pPr>
          </w:p>
        </w:tc>
        <w:tc>
          <w:tcPr>
            <w:tcW w:w="1229" w:type="dxa"/>
            <w:tcBorders>
              <w:top w:val="nil"/>
              <w:left w:val="nil"/>
              <w:bottom w:val="nil"/>
              <w:right w:val="nil"/>
            </w:tcBorders>
            <w:noWrap/>
            <w:vAlign w:val="center"/>
            <w:hideMark/>
          </w:tcPr>
          <w:p w14:paraId="360AFA74" w14:textId="77777777" w:rsidR="00E91426" w:rsidRPr="00E91426" w:rsidRDefault="00E91426" w:rsidP="00E91426">
            <w:pPr>
              <w:widowControl/>
              <w:rPr>
                <w:rFonts w:ascii="Arial" w:eastAsia="Times New Roman" w:hAnsi="Arial" w:cs="Arial"/>
                <w:sz w:val="20"/>
                <w:szCs w:val="20"/>
                <w:lang w:val="en-GB" w:eastAsia="en-GB"/>
              </w:rPr>
            </w:pPr>
          </w:p>
        </w:tc>
        <w:tc>
          <w:tcPr>
            <w:tcW w:w="1021" w:type="dxa"/>
            <w:tcBorders>
              <w:top w:val="nil"/>
              <w:left w:val="nil"/>
              <w:bottom w:val="nil"/>
              <w:right w:val="nil"/>
            </w:tcBorders>
            <w:noWrap/>
            <w:vAlign w:val="center"/>
            <w:hideMark/>
          </w:tcPr>
          <w:p w14:paraId="5E371698" w14:textId="77777777" w:rsidR="00E91426" w:rsidRPr="00E91426" w:rsidRDefault="00E91426" w:rsidP="00E91426">
            <w:pPr>
              <w:widowControl/>
              <w:rPr>
                <w:rFonts w:ascii="Arial" w:eastAsia="Times New Roman" w:hAnsi="Arial" w:cs="Arial"/>
                <w:sz w:val="20"/>
                <w:szCs w:val="20"/>
                <w:lang w:val="en-GB" w:eastAsia="en-GB"/>
              </w:rPr>
            </w:pPr>
          </w:p>
        </w:tc>
        <w:tc>
          <w:tcPr>
            <w:tcW w:w="952" w:type="dxa"/>
            <w:tcBorders>
              <w:top w:val="nil"/>
              <w:left w:val="nil"/>
              <w:bottom w:val="nil"/>
              <w:right w:val="nil"/>
            </w:tcBorders>
            <w:noWrap/>
            <w:vAlign w:val="center"/>
            <w:hideMark/>
          </w:tcPr>
          <w:p w14:paraId="026AB8FD"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7E2EAD00" w14:textId="77777777" w:rsidTr="00E91426">
        <w:trPr>
          <w:trHeight w:val="255"/>
        </w:trPr>
        <w:tc>
          <w:tcPr>
            <w:tcW w:w="4988" w:type="dxa"/>
            <w:tcBorders>
              <w:top w:val="nil"/>
              <w:left w:val="nil"/>
              <w:bottom w:val="nil"/>
              <w:right w:val="nil"/>
            </w:tcBorders>
            <w:vAlign w:val="bottom"/>
            <w:hideMark/>
          </w:tcPr>
          <w:p w14:paraId="7555A0D2"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Net book value at 31 March 2025</w:t>
            </w:r>
          </w:p>
        </w:tc>
        <w:tc>
          <w:tcPr>
            <w:tcW w:w="952" w:type="dxa"/>
            <w:tcBorders>
              <w:top w:val="nil"/>
              <w:left w:val="nil"/>
              <w:bottom w:val="nil"/>
              <w:right w:val="nil"/>
            </w:tcBorders>
            <w:noWrap/>
            <w:vAlign w:val="bottom"/>
            <w:hideMark/>
          </w:tcPr>
          <w:p w14:paraId="71078C0D"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8,122</w:t>
            </w:r>
          </w:p>
        </w:tc>
        <w:tc>
          <w:tcPr>
            <w:tcW w:w="1074" w:type="dxa"/>
            <w:tcBorders>
              <w:top w:val="nil"/>
              <w:left w:val="nil"/>
              <w:bottom w:val="nil"/>
              <w:right w:val="nil"/>
            </w:tcBorders>
            <w:noWrap/>
            <w:vAlign w:val="bottom"/>
            <w:hideMark/>
          </w:tcPr>
          <w:p w14:paraId="4994C0FD"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194,289</w:t>
            </w:r>
          </w:p>
        </w:tc>
        <w:tc>
          <w:tcPr>
            <w:tcW w:w="1074" w:type="dxa"/>
            <w:tcBorders>
              <w:top w:val="nil"/>
              <w:left w:val="nil"/>
              <w:bottom w:val="nil"/>
              <w:right w:val="nil"/>
            </w:tcBorders>
            <w:noWrap/>
            <w:vAlign w:val="bottom"/>
            <w:hideMark/>
          </w:tcPr>
          <w:p w14:paraId="6ABC83E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6,508</w:t>
            </w:r>
          </w:p>
        </w:tc>
        <w:tc>
          <w:tcPr>
            <w:tcW w:w="1333" w:type="dxa"/>
            <w:tcBorders>
              <w:top w:val="nil"/>
              <w:left w:val="nil"/>
              <w:bottom w:val="nil"/>
              <w:right w:val="nil"/>
            </w:tcBorders>
            <w:noWrap/>
            <w:vAlign w:val="bottom"/>
            <w:hideMark/>
          </w:tcPr>
          <w:p w14:paraId="5D1CEE2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22,701</w:t>
            </w:r>
          </w:p>
        </w:tc>
        <w:tc>
          <w:tcPr>
            <w:tcW w:w="1136" w:type="dxa"/>
            <w:tcBorders>
              <w:top w:val="nil"/>
              <w:left w:val="nil"/>
              <w:bottom w:val="nil"/>
              <w:right w:val="nil"/>
            </w:tcBorders>
            <w:noWrap/>
            <w:vAlign w:val="bottom"/>
            <w:hideMark/>
          </w:tcPr>
          <w:p w14:paraId="39E99268"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28,084</w:t>
            </w:r>
          </w:p>
        </w:tc>
        <w:tc>
          <w:tcPr>
            <w:tcW w:w="1147" w:type="dxa"/>
            <w:tcBorders>
              <w:top w:val="nil"/>
              <w:left w:val="nil"/>
              <w:bottom w:val="nil"/>
              <w:right w:val="nil"/>
            </w:tcBorders>
            <w:noWrap/>
            <w:vAlign w:val="bottom"/>
            <w:hideMark/>
          </w:tcPr>
          <w:p w14:paraId="50A26EC1"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31</w:t>
            </w:r>
          </w:p>
        </w:tc>
        <w:tc>
          <w:tcPr>
            <w:tcW w:w="1229" w:type="dxa"/>
            <w:tcBorders>
              <w:top w:val="nil"/>
              <w:left w:val="nil"/>
              <w:bottom w:val="nil"/>
              <w:right w:val="nil"/>
            </w:tcBorders>
            <w:noWrap/>
            <w:vAlign w:val="bottom"/>
            <w:hideMark/>
          </w:tcPr>
          <w:p w14:paraId="027FCD31"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27,240</w:t>
            </w:r>
          </w:p>
        </w:tc>
        <w:tc>
          <w:tcPr>
            <w:tcW w:w="1021" w:type="dxa"/>
            <w:tcBorders>
              <w:top w:val="nil"/>
              <w:left w:val="nil"/>
              <w:bottom w:val="nil"/>
              <w:right w:val="nil"/>
            </w:tcBorders>
            <w:noWrap/>
            <w:vAlign w:val="bottom"/>
            <w:hideMark/>
          </w:tcPr>
          <w:p w14:paraId="7BEF7390"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355</w:t>
            </w:r>
          </w:p>
        </w:tc>
        <w:tc>
          <w:tcPr>
            <w:tcW w:w="952" w:type="dxa"/>
            <w:tcBorders>
              <w:top w:val="nil"/>
              <w:left w:val="nil"/>
              <w:bottom w:val="nil"/>
              <w:right w:val="nil"/>
            </w:tcBorders>
            <w:noWrap/>
            <w:vAlign w:val="bottom"/>
            <w:hideMark/>
          </w:tcPr>
          <w:p w14:paraId="2C31664F"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287,330</w:t>
            </w:r>
          </w:p>
        </w:tc>
      </w:tr>
      <w:tr w:rsidR="00E91426" w:rsidRPr="00E91426" w14:paraId="740A40A4" w14:textId="77777777" w:rsidTr="00E91426">
        <w:trPr>
          <w:trHeight w:val="255"/>
        </w:trPr>
        <w:tc>
          <w:tcPr>
            <w:tcW w:w="4988" w:type="dxa"/>
            <w:tcBorders>
              <w:top w:val="nil"/>
              <w:left w:val="nil"/>
              <w:bottom w:val="nil"/>
              <w:right w:val="nil"/>
            </w:tcBorders>
            <w:vAlign w:val="bottom"/>
            <w:hideMark/>
          </w:tcPr>
          <w:p w14:paraId="5FAFE411"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Net book value at 1 April 2024</w:t>
            </w:r>
          </w:p>
        </w:tc>
        <w:tc>
          <w:tcPr>
            <w:tcW w:w="952" w:type="dxa"/>
            <w:tcBorders>
              <w:top w:val="nil"/>
              <w:left w:val="nil"/>
              <w:bottom w:val="nil"/>
              <w:right w:val="nil"/>
            </w:tcBorders>
            <w:noWrap/>
            <w:vAlign w:val="bottom"/>
            <w:hideMark/>
          </w:tcPr>
          <w:p w14:paraId="79CD3ECF"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7,722</w:t>
            </w:r>
          </w:p>
        </w:tc>
        <w:tc>
          <w:tcPr>
            <w:tcW w:w="1074" w:type="dxa"/>
            <w:tcBorders>
              <w:top w:val="nil"/>
              <w:left w:val="nil"/>
              <w:bottom w:val="nil"/>
              <w:right w:val="nil"/>
            </w:tcBorders>
            <w:noWrap/>
            <w:vAlign w:val="bottom"/>
            <w:hideMark/>
          </w:tcPr>
          <w:p w14:paraId="51EF74D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193,696</w:t>
            </w:r>
          </w:p>
        </w:tc>
        <w:tc>
          <w:tcPr>
            <w:tcW w:w="1074" w:type="dxa"/>
            <w:tcBorders>
              <w:top w:val="nil"/>
              <w:left w:val="nil"/>
              <w:bottom w:val="nil"/>
              <w:right w:val="nil"/>
            </w:tcBorders>
            <w:noWrap/>
            <w:vAlign w:val="bottom"/>
            <w:hideMark/>
          </w:tcPr>
          <w:p w14:paraId="6A62872A"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5,783</w:t>
            </w:r>
          </w:p>
        </w:tc>
        <w:tc>
          <w:tcPr>
            <w:tcW w:w="1333" w:type="dxa"/>
            <w:tcBorders>
              <w:top w:val="nil"/>
              <w:left w:val="nil"/>
              <w:bottom w:val="nil"/>
              <w:right w:val="nil"/>
            </w:tcBorders>
            <w:noWrap/>
            <w:vAlign w:val="bottom"/>
            <w:hideMark/>
          </w:tcPr>
          <w:p w14:paraId="60E84A65"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27,488</w:t>
            </w:r>
          </w:p>
        </w:tc>
        <w:tc>
          <w:tcPr>
            <w:tcW w:w="1136" w:type="dxa"/>
            <w:tcBorders>
              <w:top w:val="nil"/>
              <w:left w:val="nil"/>
              <w:bottom w:val="nil"/>
              <w:right w:val="nil"/>
            </w:tcBorders>
            <w:noWrap/>
            <w:vAlign w:val="bottom"/>
            <w:hideMark/>
          </w:tcPr>
          <w:p w14:paraId="4A7AF35C"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20,203</w:t>
            </w:r>
          </w:p>
        </w:tc>
        <w:tc>
          <w:tcPr>
            <w:tcW w:w="1147" w:type="dxa"/>
            <w:tcBorders>
              <w:top w:val="nil"/>
              <w:left w:val="nil"/>
              <w:bottom w:val="nil"/>
              <w:right w:val="nil"/>
            </w:tcBorders>
            <w:noWrap/>
            <w:vAlign w:val="bottom"/>
            <w:hideMark/>
          </w:tcPr>
          <w:p w14:paraId="69D6F520"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36</w:t>
            </w:r>
          </w:p>
        </w:tc>
        <w:tc>
          <w:tcPr>
            <w:tcW w:w="1229" w:type="dxa"/>
            <w:tcBorders>
              <w:top w:val="nil"/>
              <w:left w:val="nil"/>
              <w:bottom w:val="nil"/>
              <w:right w:val="nil"/>
            </w:tcBorders>
            <w:noWrap/>
            <w:vAlign w:val="bottom"/>
            <w:hideMark/>
          </w:tcPr>
          <w:p w14:paraId="7686AB42"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24,065</w:t>
            </w:r>
          </w:p>
        </w:tc>
        <w:tc>
          <w:tcPr>
            <w:tcW w:w="1021" w:type="dxa"/>
            <w:tcBorders>
              <w:top w:val="nil"/>
              <w:left w:val="nil"/>
              <w:bottom w:val="nil"/>
              <w:right w:val="nil"/>
            </w:tcBorders>
            <w:noWrap/>
            <w:vAlign w:val="bottom"/>
            <w:hideMark/>
          </w:tcPr>
          <w:p w14:paraId="2764ECA1"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172</w:t>
            </w:r>
          </w:p>
        </w:tc>
        <w:tc>
          <w:tcPr>
            <w:tcW w:w="952" w:type="dxa"/>
            <w:tcBorders>
              <w:top w:val="nil"/>
              <w:left w:val="nil"/>
              <w:bottom w:val="nil"/>
              <w:right w:val="nil"/>
            </w:tcBorders>
            <w:noWrap/>
            <w:vAlign w:val="bottom"/>
            <w:hideMark/>
          </w:tcPr>
          <w:p w14:paraId="65D69475"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279,165</w:t>
            </w:r>
          </w:p>
        </w:tc>
      </w:tr>
    </w:tbl>
    <w:p w14:paraId="485EC23F" w14:textId="77777777" w:rsidR="00E91426" w:rsidRPr="00E91426" w:rsidRDefault="00E91426" w:rsidP="00E91426">
      <w:pPr>
        <w:widowControl/>
        <w:spacing w:after="160" w:line="259" w:lineRule="auto"/>
        <w:rPr>
          <w:rFonts w:ascii="Arial" w:eastAsia="Calibri" w:hAnsi="Arial" w:cs="Arial"/>
          <w:sz w:val="20"/>
          <w:szCs w:val="20"/>
          <w:lang w:val="en-GB"/>
        </w:rPr>
      </w:pPr>
    </w:p>
    <w:p w14:paraId="764ECFAA" w14:textId="77777777" w:rsidR="00E91426" w:rsidRPr="00E91426" w:rsidRDefault="00E91426" w:rsidP="00E91426">
      <w:pPr>
        <w:widowControl/>
        <w:spacing w:after="160" w:line="259" w:lineRule="auto"/>
        <w:rPr>
          <w:rFonts w:ascii="Arial" w:eastAsia="Calibri" w:hAnsi="Arial" w:cs="Arial"/>
          <w:sz w:val="20"/>
          <w:szCs w:val="20"/>
          <w:lang w:val="en-GB"/>
        </w:rPr>
      </w:pPr>
    </w:p>
    <w:p w14:paraId="4881925C" w14:textId="77777777" w:rsidR="00E91426" w:rsidRPr="00E91426" w:rsidRDefault="00E91426" w:rsidP="00E91426">
      <w:pPr>
        <w:widowControl/>
        <w:spacing w:after="160" w:line="259" w:lineRule="auto"/>
        <w:rPr>
          <w:rFonts w:ascii="Arial" w:eastAsia="Calibri" w:hAnsi="Arial" w:cs="Arial"/>
          <w:sz w:val="20"/>
          <w:szCs w:val="20"/>
          <w:lang w:val="en-GB"/>
        </w:rPr>
      </w:pPr>
    </w:p>
    <w:p w14:paraId="2DD8B8F3" w14:textId="77777777" w:rsidR="00E91426" w:rsidRPr="00E91426" w:rsidRDefault="00E91426" w:rsidP="00E91426">
      <w:pPr>
        <w:widowControl/>
        <w:spacing w:after="160" w:line="259" w:lineRule="auto"/>
        <w:rPr>
          <w:rFonts w:ascii="Arial" w:eastAsia="Calibri" w:hAnsi="Arial" w:cs="Arial"/>
          <w:sz w:val="20"/>
          <w:szCs w:val="20"/>
          <w:lang w:val="en-GB"/>
        </w:rPr>
      </w:pPr>
    </w:p>
    <w:p w14:paraId="6E3C20D6" w14:textId="77777777" w:rsidR="00E91426" w:rsidRPr="00E91426" w:rsidRDefault="00E91426" w:rsidP="00E91426">
      <w:pPr>
        <w:widowControl/>
        <w:spacing w:after="160" w:line="259" w:lineRule="auto"/>
        <w:jc w:val="both"/>
        <w:rPr>
          <w:rFonts w:ascii="Arial" w:eastAsia="Calibri" w:hAnsi="Arial" w:cs="Arial"/>
          <w:sz w:val="20"/>
          <w:szCs w:val="20"/>
          <w:lang w:val="en-GB"/>
        </w:rPr>
      </w:pPr>
    </w:p>
    <w:p w14:paraId="13C4946D" w14:textId="77777777" w:rsidR="00E91426" w:rsidRPr="00E91426" w:rsidRDefault="00E91426" w:rsidP="00E91426">
      <w:pPr>
        <w:widowControl/>
        <w:spacing w:after="160" w:line="259" w:lineRule="auto"/>
        <w:jc w:val="both"/>
        <w:rPr>
          <w:rFonts w:ascii="Arial" w:eastAsia="Calibri" w:hAnsi="Arial" w:cs="Arial"/>
          <w:sz w:val="20"/>
          <w:szCs w:val="20"/>
          <w:lang w:val="en-GB"/>
        </w:rPr>
      </w:pPr>
    </w:p>
    <w:p w14:paraId="777ED59D" w14:textId="77777777" w:rsidR="00E91426" w:rsidRPr="00E91426" w:rsidRDefault="00E91426" w:rsidP="00E91426">
      <w:pPr>
        <w:widowControl/>
        <w:spacing w:after="160" w:line="259" w:lineRule="auto"/>
        <w:jc w:val="both"/>
        <w:rPr>
          <w:rFonts w:ascii="Arial" w:eastAsia="Calibri" w:hAnsi="Arial" w:cs="Arial"/>
          <w:sz w:val="20"/>
          <w:szCs w:val="20"/>
          <w:lang w:val="en-GB"/>
        </w:rPr>
      </w:pPr>
    </w:p>
    <w:tbl>
      <w:tblPr>
        <w:tblW w:w="15382" w:type="dxa"/>
        <w:tblLook w:val="04A0" w:firstRow="1" w:lastRow="0" w:firstColumn="1" w:lastColumn="0" w:noHBand="0" w:noVBand="1"/>
      </w:tblPr>
      <w:tblGrid>
        <w:gridCol w:w="4979"/>
        <w:gridCol w:w="950"/>
        <w:gridCol w:w="1150"/>
        <w:gridCol w:w="1150"/>
        <w:gridCol w:w="1428"/>
        <w:gridCol w:w="1217"/>
        <w:gridCol w:w="1228"/>
        <w:gridCol w:w="1316"/>
        <w:gridCol w:w="1094"/>
        <w:gridCol w:w="950"/>
      </w:tblGrid>
      <w:tr w:rsidR="00E91426" w:rsidRPr="00E91426" w14:paraId="45166644" w14:textId="77777777" w:rsidTr="00E91426">
        <w:trPr>
          <w:trHeight w:val="240"/>
        </w:trPr>
        <w:tc>
          <w:tcPr>
            <w:tcW w:w="4979" w:type="dxa"/>
            <w:tcBorders>
              <w:top w:val="nil"/>
              <w:left w:val="nil"/>
              <w:bottom w:val="nil"/>
              <w:right w:val="nil"/>
            </w:tcBorders>
            <w:noWrap/>
            <w:vAlign w:val="bottom"/>
            <w:hideMark/>
          </w:tcPr>
          <w:p w14:paraId="57D5D4D4"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Note 10.2 Property, plant and equipment - 2023/24</w:t>
            </w:r>
          </w:p>
        </w:tc>
        <w:tc>
          <w:tcPr>
            <w:tcW w:w="950" w:type="dxa"/>
            <w:tcBorders>
              <w:top w:val="nil"/>
              <w:left w:val="nil"/>
              <w:bottom w:val="nil"/>
              <w:right w:val="nil"/>
            </w:tcBorders>
            <w:vAlign w:val="bottom"/>
            <w:hideMark/>
          </w:tcPr>
          <w:p w14:paraId="4152BF54"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1139" w:type="dxa"/>
            <w:tcBorders>
              <w:top w:val="nil"/>
              <w:left w:val="nil"/>
              <w:bottom w:val="nil"/>
              <w:right w:val="nil"/>
            </w:tcBorders>
            <w:vAlign w:val="bottom"/>
            <w:hideMark/>
          </w:tcPr>
          <w:p w14:paraId="1E82CC17" w14:textId="77777777" w:rsidR="00E91426" w:rsidRPr="00E91426" w:rsidRDefault="00E91426" w:rsidP="00E91426">
            <w:pPr>
              <w:widowControl/>
              <w:rPr>
                <w:rFonts w:ascii="Arial" w:eastAsia="Times New Roman" w:hAnsi="Arial" w:cs="Arial"/>
                <w:sz w:val="20"/>
                <w:szCs w:val="20"/>
                <w:lang w:val="en-GB" w:eastAsia="en-GB"/>
              </w:rPr>
            </w:pPr>
          </w:p>
        </w:tc>
        <w:tc>
          <w:tcPr>
            <w:tcW w:w="1139" w:type="dxa"/>
            <w:tcBorders>
              <w:top w:val="nil"/>
              <w:left w:val="nil"/>
              <w:bottom w:val="nil"/>
              <w:right w:val="nil"/>
            </w:tcBorders>
            <w:vAlign w:val="bottom"/>
            <w:hideMark/>
          </w:tcPr>
          <w:p w14:paraId="1ADC4847" w14:textId="77777777" w:rsidR="00E91426" w:rsidRPr="00E91426" w:rsidRDefault="00E91426" w:rsidP="00E91426">
            <w:pPr>
              <w:widowControl/>
              <w:rPr>
                <w:rFonts w:ascii="Arial" w:eastAsia="Times New Roman" w:hAnsi="Arial" w:cs="Arial"/>
                <w:sz w:val="20"/>
                <w:szCs w:val="20"/>
                <w:lang w:val="en-GB" w:eastAsia="en-GB"/>
              </w:rPr>
            </w:pPr>
          </w:p>
        </w:tc>
        <w:tc>
          <w:tcPr>
            <w:tcW w:w="1415" w:type="dxa"/>
            <w:tcBorders>
              <w:top w:val="nil"/>
              <w:left w:val="nil"/>
              <w:bottom w:val="nil"/>
              <w:right w:val="nil"/>
            </w:tcBorders>
            <w:vAlign w:val="bottom"/>
            <w:hideMark/>
          </w:tcPr>
          <w:p w14:paraId="0FCD8EEF" w14:textId="77777777" w:rsidR="00E91426" w:rsidRPr="00E91426" w:rsidRDefault="00E91426" w:rsidP="00E91426">
            <w:pPr>
              <w:widowControl/>
              <w:rPr>
                <w:rFonts w:ascii="Arial" w:eastAsia="Times New Roman" w:hAnsi="Arial" w:cs="Arial"/>
                <w:sz w:val="20"/>
                <w:szCs w:val="20"/>
                <w:lang w:val="en-GB" w:eastAsia="en-GB"/>
              </w:rPr>
            </w:pPr>
          </w:p>
        </w:tc>
        <w:tc>
          <w:tcPr>
            <w:tcW w:w="1206" w:type="dxa"/>
            <w:tcBorders>
              <w:top w:val="nil"/>
              <w:left w:val="nil"/>
              <w:bottom w:val="nil"/>
              <w:right w:val="nil"/>
            </w:tcBorders>
            <w:vAlign w:val="bottom"/>
            <w:hideMark/>
          </w:tcPr>
          <w:p w14:paraId="5BF110B5" w14:textId="77777777" w:rsidR="00E91426" w:rsidRPr="00E91426" w:rsidRDefault="00E91426" w:rsidP="00E91426">
            <w:pPr>
              <w:widowControl/>
              <w:rPr>
                <w:rFonts w:ascii="Arial" w:eastAsia="Times New Roman" w:hAnsi="Arial" w:cs="Arial"/>
                <w:sz w:val="20"/>
                <w:szCs w:val="20"/>
                <w:lang w:val="en-GB" w:eastAsia="en-GB"/>
              </w:rPr>
            </w:pPr>
          </w:p>
        </w:tc>
        <w:tc>
          <w:tcPr>
            <w:tcW w:w="1216" w:type="dxa"/>
            <w:tcBorders>
              <w:top w:val="nil"/>
              <w:left w:val="nil"/>
              <w:bottom w:val="nil"/>
              <w:right w:val="nil"/>
            </w:tcBorders>
            <w:vAlign w:val="bottom"/>
            <w:hideMark/>
          </w:tcPr>
          <w:p w14:paraId="4A1ADE33"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304" w:type="dxa"/>
            <w:tcBorders>
              <w:top w:val="nil"/>
              <w:left w:val="nil"/>
              <w:bottom w:val="nil"/>
              <w:right w:val="nil"/>
            </w:tcBorders>
            <w:vAlign w:val="bottom"/>
            <w:hideMark/>
          </w:tcPr>
          <w:p w14:paraId="03CB1A54"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084" w:type="dxa"/>
            <w:tcBorders>
              <w:top w:val="nil"/>
              <w:left w:val="nil"/>
              <w:bottom w:val="nil"/>
              <w:right w:val="nil"/>
            </w:tcBorders>
            <w:vAlign w:val="bottom"/>
            <w:hideMark/>
          </w:tcPr>
          <w:p w14:paraId="21BDCD27" w14:textId="77777777" w:rsidR="00E91426" w:rsidRPr="00E91426" w:rsidRDefault="00E91426" w:rsidP="00E91426">
            <w:pPr>
              <w:widowControl/>
              <w:jc w:val="right"/>
              <w:rPr>
                <w:rFonts w:ascii="Arial" w:eastAsia="Times New Roman" w:hAnsi="Arial" w:cs="Arial"/>
                <w:sz w:val="20"/>
                <w:szCs w:val="20"/>
                <w:lang w:val="en-GB" w:eastAsia="en-GB"/>
              </w:rPr>
            </w:pPr>
          </w:p>
        </w:tc>
        <w:tc>
          <w:tcPr>
            <w:tcW w:w="950" w:type="dxa"/>
            <w:tcBorders>
              <w:top w:val="nil"/>
              <w:left w:val="nil"/>
              <w:bottom w:val="nil"/>
              <w:right w:val="nil"/>
            </w:tcBorders>
            <w:vAlign w:val="bottom"/>
            <w:hideMark/>
          </w:tcPr>
          <w:p w14:paraId="09741355" w14:textId="77777777" w:rsidR="00E91426" w:rsidRPr="00E91426" w:rsidRDefault="00E91426" w:rsidP="00E91426">
            <w:pPr>
              <w:widowControl/>
              <w:jc w:val="right"/>
              <w:rPr>
                <w:rFonts w:ascii="Arial" w:eastAsia="Times New Roman" w:hAnsi="Arial" w:cs="Arial"/>
                <w:sz w:val="20"/>
                <w:szCs w:val="20"/>
                <w:lang w:val="en-GB" w:eastAsia="en-GB"/>
              </w:rPr>
            </w:pPr>
          </w:p>
        </w:tc>
      </w:tr>
      <w:tr w:rsidR="00E91426" w:rsidRPr="00E91426" w14:paraId="71A8A9AF" w14:textId="77777777" w:rsidTr="00E91426">
        <w:trPr>
          <w:trHeight w:val="624"/>
        </w:trPr>
        <w:tc>
          <w:tcPr>
            <w:tcW w:w="4979" w:type="dxa"/>
            <w:tcBorders>
              <w:top w:val="nil"/>
              <w:left w:val="nil"/>
              <w:bottom w:val="nil"/>
              <w:right w:val="nil"/>
            </w:tcBorders>
            <w:vAlign w:val="bottom"/>
            <w:hideMark/>
          </w:tcPr>
          <w:p w14:paraId="075E1600" w14:textId="77777777" w:rsidR="00E91426" w:rsidRPr="00E91426" w:rsidRDefault="00E91426" w:rsidP="00E91426">
            <w:pPr>
              <w:widowControl/>
              <w:jc w:val="right"/>
              <w:rPr>
                <w:rFonts w:ascii="Arial" w:eastAsia="Times New Roman" w:hAnsi="Arial" w:cs="Arial"/>
                <w:sz w:val="20"/>
                <w:szCs w:val="20"/>
                <w:lang w:val="en-GB" w:eastAsia="en-GB"/>
              </w:rPr>
            </w:pPr>
          </w:p>
        </w:tc>
        <w:tc>
          <w:tcPr>
            <w:tcW w:w="950" w:type="dxa"/>
            <w:tcBorders>
              <w:top w:val="nil"/>
              <w:left w:val="nil"/>
              <w:bottom w:val="nil"/>
              <w:right w:val="nil"/>
            </w:tcBorders>
            <w:hideMark/>
          </w:tcPr>
          <w:p w14:paraId="3F7EA291"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Land</w:t>
            </w:r>
          </w:p>
        </w:tc>
        <w:tc>
          <w:tcPr>
            <w:tcW w:w="1139" w:type="dxa"/>
            <w:tcBorders>
              <w:top w:val="nil"/>
              <w:left w:val="nil"/>
              <w:bottom w:val="nil"/>
              <w:right w:val="nil"/>
            </w:tcBorders>
            <w:hideMark/>
          </w:tcPr>
          <w:p w14:paraId="782F60BA"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Buildings excluding dwellings</w:t>
            </w:r>
          </w:p>
        </w:tc>
        <w:tc>
          <w:tcPr>
            <w:tcW w:w="1139" w:type="dxa"/>
            <w:tcBorders>
              <w:top w:val="nil"/>
              <w:left w:val="nil"/>
              <w:bottom w:val="nil"/>
              <w:right w:val="nil"/>
            </w:tcBorders>
            <w:hideMark/>
          </w:tcPr>
          <w:p w14:paraId="4C9EA76C"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Dwellings</w:t>
            </w:r>
          </w:p>
        </w:tc>
        <w:tc>
          <w:tcPr>
            <w:tcW w:w="1415" w:type="dxa"/>
            <w:tcBorders>
              <w:top w:val="nil"/>
              <w:left w:val="nil"/>
              <w:bottom w:val="nil"/>
              <w:right w:val="nil"/>
            </w:tcBorders>
            <w:hideMark/>
          </w:tcPr>
          <w:p w14:paraId="7D89AAC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Assets under construction</w:t>
            </w:r>
          </w:p>
        </w:tc>
        <w:tc>
          <w:tcPr>
            <w:tcW w:w="1206" w:type="dxa"/>
            <w:tcBorders>
              <w:top w:val="nil"/>
              <w:left w:val="nil"/>
              <w:bottom w:val="nil"/>
              <w:right w:val="nil"/>
            </w:tcBorders>
            <w:hideMark/>
          </w:tcPr>
          <w:p w14:paraId="25699E9D"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Plant &amp; machinery</w:t>
            </w:r>
          </w:p>
        </w:tc>
        <w:tc>
          <w:tcPr>
            <w:tcW w:w="1216" w:type="dxa"/>
            <w:tcBorders>
              <w:top w:val="nil"/>
              <w:left w:val="nil"/>
              <w:bottom w:val="nil"/>
              <w:right w:val="nil"/>
            </w:tcBorders>
            <w:hideMark/>
          </w:tcPr>
          <w:p w14:paraId="5FF6AC7F"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Transport equipment</w:t>
            </w:r>
          </w:p>
        </w:tc>
        <w:tc>
          <w:tcPr>
            <w:tcW w:w="1304" w:type="dxa"/>
            <w:tcBorders>
              <w:top w:val="nil"/>
              <w:left w:val="nil"/>
              <w:bottom w:val="nil"/>
              <w:right w:val="nil"/>
            </w:tcBorders>
            <w:hideMark/>
          </w:tcPr>
          <w:p w14:paraId="15447E93"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Information technology</w:t>
            </w:r>
          </w:p>
        </w:tc>
        <w:tc>
          <w:tcPr>
            <w:tcW w:w="1084" w:type="dxa"/>
            <w:tcBorders>
              <w:top w:val="nil"/>
              <w:left w:val="nil"/>
              <w:bottom w:val="nil"/>
              <w:right w:val="nil"/>
            </w:tcBorders>
            <w:hideMark/>
          </w:tcPr>
          <w:p w14:paraId="7FB8793B"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Furniture &amp; fittings</w:t>
            </w:r>
          </w:p>
        </w:tc>
        <w:tc>
          <w:tcPr>
            <w:tcW w:w="950" w:type="dxa"/>
            <w:tcBorders>
              <w:top w:val="nil"/>
              <w:left w:val="nil"/>
              <w:bottom w:val="nil"/>
              <w:right w:val="nil"/>
            </w:tcBorders>
            <w:hideMark/>
          </w:tcPr>
          <w:p w14:paraId="630FD69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Total </w:t>
            </w:r>
          </w:p>
        </w:tc>
      </w:tr>
      <w:tr w:rsidR="00E91426" w:rsidRPr="00E91426" w14:paraId="1CA31CBA" w14:textId="77777777" w:rsidTr="00E91426">
        <w:trPr>
          <w:trHeight w:val="240"/>
        </w:trPr>
        <w:tc>
          <w:tcPr>
            <w:tcW w:w="4979" w:type="dxa"/>
            <w:tcBorders>
              <w:top w:val="nil"/>
              <w:left w:val="nil"/>
              <w:bottom w:val="nil"/>
              <w:right w:val="nil"/>
            </w:tcBorders>
            <w:vAlign w:val="bottom"/>
            <w:hideMark/>
          </w:tcPr>
          <w:p w14:paraId="6E82934F"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50" w:type="dxa"/>
            <w:tcBorders>
              <w:top w:val="nil"/>
              <w:left w:val="nil"/>
              <w:bottom w:val="nil"/>
              <w:right w:val="nil"/>
            </w:tcBorders>
            <w:vAlign w:val="bottom"/>
            <w:hideMark/>
          </w:tcPr>
          <w:p w14:paraId="225A3DE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1139" w:type="dxa"/>
            <w:tcBorders>
              <w:top w:val="nil"/>
              <w:left w:val="nil"/>
              <w:bottom w:val="nil"/>
              <w:right w:val="nil"/>
            </w:tcBorders>
            <w:vAlign w:val="bottom"/>
            <w:hideMark/>
          </w:tcPr>
          <w:p w14:paraId="7B0598A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1139" w:type="dxa"/>
            <w:tcBorders>
              <w:top w:val="nil"/>
              <w:left w:val="nil"/>
              <w:bottom w:val="nil"/>
              <w:right w:val="nil"/>
            </w:tcBorders>
            <w:vAlign w:val="bottom"/>
            <w:hideMark/>
          </w:tcPr>
          <w:p w14:paraId="20BE921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£000</w:t>
            </w:r>
          </w:p>
        </w:tc>
        <w:tc>
          <w:tcPr>
            <w:tcW w:w="1415" w:type="dxa"/>
            <w:tcBorders>
              <w:top w:val="nil"/>
              <w:left w:val="nil"/>
              <w:bottom w:val="nil"/>
              <w:right w:val="nil"/>
            </w:tcBorders>
            <w:vAlign w:val="bottom"/>
            <w:hideMark/>
          </w:tcPr>
          <w:p w14:paraId="49F8532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£000</w:t>
            </w:r>
          </w:p>
        </w:tc>
        <w:tc>
          <w:tcPr>
            <w:tcW w:w="1206" w:type="dxa"/>
            <w:tcBorders>
              <w:top w:val="nil"/>
              <w:left w:val="nil"/>
              <w:bottom w:val="nil"/>
              <w:right w:val="nil"/>
            </w:tcBorders>
            <w:vAlign w:val="bottom"/>
            <w:hideMark/>
          </w:tcPr>
          <w:p w14:paraId="569AD93B"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£000</w:t>
            </w:r>
          </w:p>
        </w:tc>
        <w:tc>
          <w:tcPr>
            <w:tcW w:w="1216" w:type="dxa"/>
            <w:tcBorders>
              <w:top w:val="nil"/>
              <w:left w:val="nil"/>
              <w:bottom w:val="nil"/>
              <w:right w:val="nil"/>
            </w:tcBorders>
            <w:vAlign w:val="bottom"/>
            <w:hideMark/>
          </w:tcPr>
          <w:p w14:paraId="0D8C930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£000</w:t>
            </w:r>
          </w:p>
        </w:tc>
        <w:tc>
          <w:tcPr>
            <w:tcW w:w="1304" w:type="dxa"/>
            <w:tcBorders>
              <w:top w:val="nil"/>
              <w:left w:val="nil"/>
              <w:bottom w:val="nil"/>
              <w:right w:val="nil"/>
            </w:tcBorders>
            <w:vAlign w:val="bottom"/>
            <w:hideMark/>
          </w:tcPr>
          <w:p w14:paraId="64F0A71D"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£000</w:t>
            </w:r>
          </w:p>
        </w:tc>
        <w:tc>
          <w:tcPr>
            <w:tcW w:w="1084" w:type="dxa"/>
            <w:tcBorders>
              <w:top w:val="nil"/>
              <w:left w:val="nil"/>
              <w:bottom w:val="nil"/>
              <w:right w:val="nil"/>
            </w:tcBorders>
            <w:vAlign w:val="bottom"/>
            <w:hideMark/>
          </w:tcPr>
          <w:p w14:paraId="7F47F93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£000</w:t>
            </w:r>
          </w:p>
        </w:tc>
        <w:tc>
          <w:tcPr>
            <w:tcW w:w="950" w:type="dxa"/>
            <w:tcBorders>
              <w:top w:val="nil"/>
              <w:left w:val="nil"/>
              <w:bottom w:val="nil"/>
              <w:right w:val="nil"/>
            </w:tcBorders>
            <w:vAlign w:val="bottom"/>
            <w:hideMark/>
          </w:tcPr>
          <w:p w14:paraId="0731CD71"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r>
      <w:tr w:rsidR="00E91426" w:rsidRPr="00E91426" w14:paraId="48178371" w14:textId="77777777" w:rsidTr="00E91426">
        <w:trPr>
          <w:trHeight w:val="220"/>
        </w:trPr>
        <w:tc>
          <w:tcPr>
            <w:tcW w:w="4979" w:type="dxa"/>
            <w:tcBorders>
              <w:top w:val="nil"/>
              <w:left w:val="nil"/>
              <w:bottom w:val="nil"/>
              <w:right w:val="nil"/>
            </w:tcBorders>
            <w:vAlign w:val="bottom"/>
            <w:hideMark/>
          </w:tcPr>
          <w:p w14:paraId="3891D9A5"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Valuation / gross cost at 1 April 2023 - brought forward</w:t>
            </w:r>
          </w:p>
        </w:tc>
        <w:tc>
          <w:tcPr>
            <w:tcW w:w="950" w:type="dxa"/>
            <w:tcBorders>
              <w:top w:val="single" w:sz="4" w:space="0" w:color="auto"/>
              <w:left w:val="nil"/>
              <w:bottom w:val="single" w:sz="4" w:space="0" w:color="auto"/>
              <w:right w:val="nil"/>
            </w:tcBorders>
            <w:noWrap/>
            <w:vAlign w:val="center"/>
            <w:hideMark/>
          </w:tcPr>
          <w:p w14:paraId="4E57731F"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7,997</w:t>
            </w:r>
          </w:p>
        </w:tc>
        <w:tc>
          <w:tcPr>
            <w:tcW w:w="1139" w:type="dxa"/>
            <w:tcBorders>
              <w:top w:val="single" w:sz="4" w:space="0" w:color="auto"/>
              <w:left w:val="nil"/>
              <w:bottom w:val="single" w:sz="4" w:space="0" w:color="auto"/>
              <w:right w:val="nil"/>
            </w:tcBorders>
            <w:noWrap/>
            <w:vAlign w:val="center"/>
            <w:hideMark/>
          </w:tcPr>
          <w:p w14:paraId="0BE8407C"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196,668</w:t>
            </w:r>
          </w:p>
        </w:tc>
        <w:tc>
          <w:tcPr>
            <w:tcW w:w="1139" w:type="dxa"/>
            <w:tcBorders>
              <w:top w:val="single" w:sz="4" w:space="0" w:color="auto"/>
              <w:left w:val="nil"/>
              <w:bottom w:val="single" w:sz="4" w:space="0" w:color="auto"/>
              <w:right w:val="nil"/>
            </w:tcBorders>
            <w:noWrap/>
            <w:vAlign w:val="center"/>
            <w:hideMark/>
          </w:tcPr>
          <w:p w14:paraId="67FE8ED1"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5,833</w:t>
            </w:r>
          </w:p>
        </w:tc>
        <w:tc>
          <w:tcPr>
            <w:tcW w:w="1415" w:type="dxa"/>
            <w:tcBorders>
              <w:top w:val="single" w:sz="4" w:space="0" w:color="auto"/>
              <w:left w:val="nil"/>
              <w:bottom w:val="single" w:sz="4" w:space="0" w:color="auto"/>
              <w:right w:val="nil"/>
            </w:tcBorders>
            <w:noWrap/>
            <w:vAlign w:val="center"/>
            <w:hideMark/>
          </w:tcPr>
          <w:p w14:paraId="2BB9C37D"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18,869</w:t>
            </w:r>
          </w:p>
        </w:tc>
        <w:tc>
          <w:tcPr>
            <w:tcW w:w="1206" w:type="dxa"/>
            <w:tcBorders>
              <w:top w:val="single" w:sz="4" w:space="0" w:color="auto"/>
              <w:left w:val="nil"/>
              <w:bottom w:val="single" w:sz="4" w:space="0" w:color="auto"/>
              <w:right w:val="nil"/>
            </w:tcBorders>
            <w:noWrap/>
            <w:vAlign w:val="center"/>
            <w:hideMark/>
          </w:tcPr>
          <w:p w14:paraId="108D6AE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52,594</w:t>
            </w:r>
          </w:p>
        </w:tc>
        <w:tc>
          <w:tcPr>
            <w:tcW w:w="1216" w:type="dxa"/>
            <w:tcBorders>
              <w:top w:val="single" w:sz="4" w:space="0" w:color="auto"/>
              <w:left w:val="nil"/>
              <w:bottom w:val="single" w:sz="4" w:space="0" w:color="auto"/>
              <w:right w:val="nil"/>
            </w:tcBorders>
            <w:noWrap/>
            <w:vAlign w:val="center"/>
            <w:hideMark/>
          </w:tcPr>
          <w:p w14:paraId="1C4AE741"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86</w:t>
            </w:r>
          </w:p>
        </w:tc>
        <w:tc>
          <w:tcPr>
            <w:tcW w:w="1304" w:type="dxa"/>
            <w:tcBorders>
              <w:top w:val="single" w:sz="4" w:space="0" w:color="auto"/>
              <w:left w:val="nil"/>
              <w:bottom w:val="single" w:sz="4" w:space="0" w:color="auto"/>
              <w:right w:val="nil"/>
            </w:tcBorders>
            <w:noWrap/>
            <w:vAlign w:val="center"/>
            <w:hideMark/>
          </w:tcPr>
          <w:p w14:paraId="0096591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47,400</w:t>
            </w:r>
          </w:p>
        </w:tc>
        <w:tc>
          <w:tcPr>
            <w:tcW w:w="1084" w:type="dxa"/>
            <w:tcBorders>
              <w:top w:val="single" w:sz="4" w:space="0" w:color="auto"/>
              <w:left w:val="nil"/>
              <w:bottom w:val="single" w:sz="4" w:space="0" w:color="auto"/>
              <w:right w:val="nil"/>
            </w:tcBorders>
            <w:noWrap/>
            <w:vAlign w:val="center"/>
            <w:hideMark/>
          </w:tcPr>
          <w:p w14:paraId="22E4B53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2,579</w:t>
            </w:r>
          </w:p>
        </w:tc>
        <w:tc>
          <w:tcPr>
            <w:tcW w:w="950" w:type="dxa"/>
            <w:tcBorders>
              <w:top w:val="single" w:sz="4" w:space="0" w:color="auto"/>
              <w:left w:val="nil"/>
              <w:bottom w:val="single" w:sz="4" w:space="0" w:color="auto"/>
              <w:right w:val="nil"/>
            </w:tcBorders>
            <w:noWrap/>
            <w:vAlign w:val="center"/>
            <w:hideMark/>
          </w:tcPr>
          <w:p w14:paraId="3B084A4F"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332,026</w:t>
            </w:r>
          </w:p>
        </w:tc>
      </w:tr>
      <w:tr w:rsidR="00E91426" w:rsidRPr="00E91426" w14:paraId="258F115E" w14:textId="77777777" w:rsidTr="00E91426">
        <w:trPr>
          <w:trHeight w:val="220"/>
        </w:trPr>
        <w:tc>
          <w:tcPr>
            <w:tcW w:w="4979" w:type="dxa"/>
            <w:tcBorders>
              <w:top w:val="nil"/>
              <w:left w:val="nil"/>
              <w:bottom w:val="nil"/>
              <w:right w:val="nil"/>
            </w:tcBorders>
            <w:noWrap/>
            <w:vAlign w:val="bottom"/>
            <w:hideMark/>
          </w:tcPr>
          <w:p w14:paraId="491A53D3"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Additions</w:t>
            </w:r>
          </w:p>
        </w:tc>
        <w:tc>
          <w:tcPr>
            <w:tcW w:w="950" w:type="dxa"/>
            <w:tcBorders>
              <w:top w:val="nil"/>
              <w:left w:val="nil"/>
              <w:bottom w:val="nil"/>
              <w:right w:val="nil"/>
            </w:tcBorders>
            <w:noWrap/>
            <w:vAlign w:val="bottom"/>
            <w:hideMark/>
          </w:tcPr>
          <w:p w14:paraId="120EB453"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139" w:type="dxa"/>
            <w:tcBorders>
              <w:top w:val="nil"/>
              <w:left w:val="nil"/>
              <w:bottom w:val="nil"/>
              <w:right w:val="nil"/>
            </w:tcBorders>
            <w:noWrap/>
            <w:vAlign w:val="bottom"/>
            <w:hideMark/>
          </w:tcPr>
          <w:p w14:paraId="5928927E"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3,785</w:t>
            </w:r>
          </w:p>
        </w:tc>
        <w:tc>
          <w:tcPr>
            <w:tcW w:w="1139" w:type="dxa"/>
            <w:tcBorders>
              <w:top w:val="nil"/>
              <w:left w:val="nil"/>
              <w:bottom w:val="nil"/>
              <w:right w:val="nil"/>
            </w:tcBorders>
            <w:noWrap/>
            <w:vAlign w:val="bottom"/>
            <w:hideMark/>
          </w:tcPr>
          <w:p w14:paraId="0488CA69"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415" w:type="dxa"/>
            <w:tcBorders>
              <w:top w:val="nil"/>
              <w:left w:val="nil"/>
              <w:bottom w:val="nil"/>
              <w:right w:val="nil"/>
            </w:tcBorders>
            <w:noWrap/>
            <w:vAlign w:val="bottom"/>
            <w:hideMark/>
          </w:tcPr>
          <w:p w14:paraId="0EC9E16F"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21,107</w:t>
            </w:r>
          </w:p>
        </w:tc>
        <w:tc>
          <w:tcPr>
            <w:tcW w:w="1206" w:type="dxa"/>
            <w:tcBorders>
              <w:top w:val="nil"/>
              <w:left w:val="nil"/>
              <w:bottom w:val="nil"/>
              <w:right w:val="nil"/>
            </w:tcBorders>
            <w:noWrap/>
            <w:vAlign w:val="bottom"/>
            <w:hideMark/>
          </w:tcPr>
          <w:p w14:paraId="71DA1725"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2,823</w:t>
            </w:r>
          </w:p>
        </w:tc>
        <w:tc>
          <w:tcPr>
            <w:tcW w:w="1216" w:type="dxa"/>
            <w:tcBorders>
              <w:top w:val="nil"/>
              <w:left w:val="nil"/>
              <w:bottom w:val="nil"/>
              <w:right w:val="nil"/>
            </w:tcBorders>
            <w:noWrap/>
            <w:vAlign w:val="bottom"/>
            <w:hideMark/>
          </w:tcPr>
          <w:p w14:paraId="56B6CCA4"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304" w:type="dxa"/>
            <w:tcBorders>
              <w:top w:val="nil"/>
              <w:left w:val="nil"/>
              <w:bottom w:val="nil"/>
              <w:right w:val="nil"/>
            </w:tcBorders>
            <w:noWrap/>
            <w:vAlign w:val="bottom"/>
            <w:hideMark/>
          </w:tcPr>
          <w:p w14:paraId="3DD5A67D"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571</w:t>
            </w:r>
          </w:p>
        </w:tc>
        <w:tc>
          <w:tcPr>
            <w:tcW w:w="1084" w:type="dxa"/>
            <w:tcBorders>
              <w:top w:val="nil"/>
              <w:left w:val="nil"/>
              <w:bottom w:val="nil"/>
              <w:right w:val="nil"/>
            </w:tcBorders>
            <w:noWrap/>
            <w:vAlign w:val="bottom"/>
            <w:hideMark/>
          </w:tcPr>
          <w:p w14:paraId="4860ED5D"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950" w:type="dxa"/>
            <w:tcBorders>
              <w:top w:val="nil"/>
              <w:left w:val="nil"/>
              <w:bottom w:val="nil"/>
              <w:right w:val="nil"/>
            </w:tcBorders>
            <w:noWrap/>
            <w:vAlign w:val="bottom"/>
            <w:hideMark/>
          </w:tcPr>
          <w:p w14:paraId="497EEE7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28,286</w:t>
            </w:r>
          </w:p>
        </w:tc>
      </w:tr>
      <w:tr w:rsidR="00E91426" w:rsidRPr="00E91426" w14:paraId="6FAF2B0A" w14:textId="77777777" w:rsidTr="00E91426">
        <w:trPr>
          <w:trHeight w:val="240"/>
        </w:trPr>
        <w:tc>
          <w:tcPr>
            <w:tcW w:w="4979" w:type="dxa"/>
            <w:tcBorders>
              <w:top w:val="nil"/>
              <w:left w:val="nil"/>
              <w:bottom w:val="nil"/>
              <w:right w:val="nil"/>
            </w:tcBorders>
            <w:vAlign w:val="bottom"/>
            <w:hideMark/>
          </w:tcPr>
          <w:p w14:paraId="7C99F738"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Impairments</w:t>
            </w:r>
          </w:p>
        </w:tc>
        <w:tc>
          <w:tcPr>
            <w:tcW w:w="950" w:type="dxa"/>
            <w:tcBorders>
              <w:top w:val="nil"/>
              <w:left w:val="nil"/>
              <w:bottom w:val="nil"/>
              <w:right w:val="nil"/>
            </w:tcBorders>
            <w:noWrap/>
            <w:vAlign w:val="bottom"/>
            <w:hideMark/>
          </w:tcPr>
          <w:p w14:paraId="39AE28C3"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(399)</w:t>
            </w:r>
          </w:p>
        </w:tc>
        <w:tc>
          <w:tcPr>
            <w:tcW w:w="1139" w:type="dxa"/>
            <w:tcBorders>
              <w:top w:val="nil"/>
              <w:left w:val="nil"/>
              <w:bottom w:val="nil"/>
              <w:right w:val="nil"/>
            </w:tcBorders>
            <w:noWrap/>
            <w:vAlign w:val="bottom"/>
            <w:hideMark/>
          </w:tcPr>
          <w:p w14:paraId="695E9FC6"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(8,169)</w:t>
            </w:r>
          </w:p>
        </w:tc>
        <w:tc>
          <w:tcPr>
            <w:tcW w:w="1139" w:type="dxa"/>
            <w:tcBorders>
              <w:top w:val="nil"/>
              <w:left w:val="nil"/>
              <w:bottom w:val="nil"/>
              <w:right w:val="nil"/>
            </w:tcBorders>
            <w:noWrap/>
            <w:vAlign w:val="bottom"/>
            <w:hideMark/>
          </w:tcPr>
          <w:p w14:paraId="6E244E16"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(111)</w:t>
            </w:r>
          </w:p>
        </w:tc>
        <w:tc>
          <w:tcPr>
            <w:tcW w:w="1415" w:type="dxa"/>
            <w:tcBorders>
              <w:top w:val="nil"/>
              <w:left w:val="nil"/>
              <w:bottom w:val="nil"/>
              <w:right w:val="nil"/>
            </w:tcBorders>
            <w:noWrap/>
            <w:vAlign w:val="bottom"/>
            <w:hideMark/>
          </w:tcPr>
          <w:p w14:paraId="01D4960F"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206" w:type="dxa"/>
            <w:tcBorders>
              <w:top w:val="nil"/>
              <w:left w:val="nil"/>
              <w:bottom w:val="nil"/>
              <w:right w:val="nil"/>
            </w:tcBorders>
            <w:noWrap/>
            <w:vAlign w:val="bottom"/>
            <w:hideMark/>
          </w:tcPr>
          <w:p w14:paraId="538D7EDC"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216" w:type="dxa"/>
            <w:tcBorders>
              <w:top w:val="nil"/>
              <w:left w:val="nil"/>
              <w:bottom w:val="nil"/>
              <w:right w:val="nil"/>
            </w:tcBorders>
            <w:noWrap/>
            <w:vAlign w:val="bottom"/>
            <w:hideMark/>
          </w:tcPr>
          <w:p w14:paraId="7648ADB7"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304" w:type="dxa"/>
            <w:tcBorders>
              <w:top w:val="nil"/>
              <w:left w:val="nil"/>
              <w:bottom w:val="nil"/>
              <w:right w:val="nil"/>
            </w:tcBorders>
            <w:noWrap/>
            <w:vAlign w:val="bottom"/>
            <w:hideMark/>
          </w:tcPr>
          <w:p w14:paraId="5D3D369F"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(165)</w:t>
            </w:r>
          </w:p>
        </w:tc>
        <w:tc>
          <w:tcPr>
            <w:tcW w:w="1084" w:type="dxa"/>
            <w:tcBorders>
              <w:top w:val="nil"/>
              <w:left w:val="nil"/>
              <w:bottom w:val="nil"/>
              <w:right w:val="nil"/>
            </w:tcBorders>
            <w:noWrap/>
            <w:vAlign w:val="bottom"/>
            <w:hideMark/>
          </w:tcPr>
          <w:p w14:paraId="10655665"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950" w:type="dxa"/>
            <w:tcBorders>
              <w:top w:val="nil"/>
              <w:left w:val="nil"/>
              <w:bottom w:val="nil"/>
              <w:right w:val="nil"/>
            </w:tcBorders>
            <w:noWrap/>
            <w:vAlign w:val="bottom"/>
            <w:hideMark/>
          </w:tcPr>
          <w:p w14:paraId="1AB011FF"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(8,844)</w:t>
            </w:r>
          </w:p>
        </w:tc>
      </w:tr>
      <w:tr w:rsidR="00E91426" w:rsidRPr="00E91426" w14:paraId="4F717FEF" w14:textId="77777777" w:rsidTr="00E91426">
        <w:trPr>
          <w:trHeight w:val="220"/>
        </w:trPr>
        <w:tc>
          <w:tcPr>
            <w:tcW w:w="4979" w:type="dxa"/>
            <w:tcBorders>
              <w:top w:val="nil"/>
              <w:left w:val="nil"/>
              <w:bottom w:val="nil"/>
              <w:right w:val="nil"/>
            </w:tcBorders>
            <w:vAlign w:val="bottom"/>
            <w:hideMark/>
          </w:tcPr>
          <w:p w14:paraId="2E1322CF"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Reversals of impairments</w:t>
            </w:r>
          </w:p>
        </w:tc>
        <w:tc>
          <w:tcPr>
            <w:tcW w:w="950" w:type="dxa"/>
            <w:tcBorders>
              <w:top w:val="nil"/>
              <w:left w:val="nil"/>
              <w:bottom w:val="nil"/>
              <w:right w:val="nil"/>
            </w:tcBorders>
            <w:noWrap/>
            <w:vAlign w:val="bottom"/>
            <w:hideMark/>
          </w:tcPr>
          <w:p w14:paraId="2F2B2290"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5</w:t>
            </w:r>
          </w:p>
        </w:tc>
        <w:tc>
          <w:tcPr>
            <w:tcW w:w="1139" w:type="dxa"/>
            <w:tcBorders>
              <w:top w:val="nil"/>
              <w:left w:val="nil"/>
              <w:bottom w:val="nil"/>
              <w:right w:val="nil"/>
            </w:tcBorders>
            <w:noWrap/>
            <w:vAlign w:val="bottom"/>
            <w:hideMark/>
          </w:tcPr>
          <w:p w14:paraId="24D9AD1B"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45</w:t>
            </w:r>
          </w:p>
        </w:tc>
        <w:tc>
          <w:tcPr>
            <w:tcW w:w="1139" w:type="dxa"/>
            <w:tcBorders>
              <w:top w:val="nil"/>
              <w:left w:val="nil"/>
              <w:bottom w:val="nil"/>
              <w:right w:val="nil"/>
            </w:tcBorders>
            <w:noWrap/>
            <w:vAlign w:val="bottom"/>
            <w:hideMark/>
          </w:tcPr>
          <w:p w14:paraId="4DD2A087"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415" w:type="dxa"/>
            <w:tcBorders>
              <w:top w:val="nil"/>
              <w:left w:val="nil"/>
              <w:bottom w:val="nil"/>
              <w:right w:val="nil"/>
            </w:tcBorders>
            <w:noWrap/>
            <w:vAlign w:val="bottom"/>
            <w:hideMark/>
          </w:tcPr>
          <w:p w14:paraId="24652BF8"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206" w:type="dxa"/>
            <w:tcBorders>
              <w:top w:val="nil"/>
              <w:left w:val="nil"/>
              <w:bottom w:val="nil"/>
              <w:right w:val="nil"/>
            </w:tcBorders>
            <w:noWrap/>
            <w:vAlign w:val="bottom"/>
            <w:hideMark/>
          </w:tcPr>
          <w:p w14:paraId="58548329"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216" w:type="dxa"/>
            <w:tcBorders>
              <w:top w:val="nil"/>
              <w:left w:val="nil"/>
              <w:bottom w:val="nil"/>
              <w:right w:val="nil"/>
            </w:tcBorders>
            <w:noWrap/>
            <w:vAlign w:val="bottom"/>
            <w:hideMark/>
          </w:tcPr>
          <w:p w14:paraId="3D38B355"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304" w:type="dxa"/>
            <w:tcBorders>
              <w:top w:val="nil"/>
              <w:left w:val="nil"/>
              <w:bottom w:val="nil"/>
              <w:right w:val="nil"/>
            </w:tcBorders>
            <w:noWrap/>
            <w:vAlign w:val="bottom"/>
            <w:hideMark/>
          </w:tcPr>
          <w:p w14:paraId="43448BE3"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084" w:type="dxa"/>
            <w:tcBorders>
              <w:top w:val="nil"/>
              <w:left w:val="nil"/>
              <w:bottom w:val="nil"/>
              <w:right w:val="nil"/>
            </w:tcBorders>
            <w:noWrap/>
            <w:vAlign w:val="bottom"/>
            <w:hideMark/>
          </w:tcPr>
          <w:p w14:paraId="37B74C4C"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950" w:type="dxa"/>
            <w:tcBorders>
              <w:top w:val="nil"/>
              <w:left w:val="nil"/>
              <w:bottom w:val="nil"/>
              <w:right w:val="nil"/>
            </w:tcBorders>
            <w:noWrap/>
            <w:vAlign w:val="bottom"/>
            <w:hideMark/>
          </w:tcPr>
          <w:p w14:paraId="0DF6C85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50</w:t>
            </w:r>
          </w:p>
        </w:tc>
      </w:tr>
      <w:tr w:rsidR="00E91426" w:rsidRPr="00E91426" w14:paraId="5D10DB46" w14:textId="77777777" w:rsidTr="00E91426">
        <w:trPr>
          <w:trHeight w:val="240"/>
        </w:trPr>
        <w:tc>
          <w:tcPr>
            <w:tcW w:w="4979" w:type="dxa"/>
            <w:tcBorders>
              <w:top w:val="nil"/>
              <w:left w:val="nil"/>
              <w:bottom w:val="nil"/>
              <w:right w:val="nil"/>
            </w:tcBorders>
            <w:vAlign w:val="bottom"/>
            <w:hideMark/>
          </w:tcPr>
          <w:p w14:paraId="5045E018"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Revaluations</w:t>
            </w:r>
          </w:p>
        </w:tc>
        <w:tc>
          <w:tcPr>
            <w:tcW w:w="950" w:type="dxa"/>
            <w:tcBorders>
              <w:top w:val="nil"/>
              <w:left w:val="nil"/>
              <w:bottom w:val="nil"/>
              <w:right w:val="nil"/>
            </w:tcBorders>
            <w:noWrap/>
            <w:vAlign w:val="bottom"/>
            <w:hideMark/>
          </w:tcPr>
          <w:p w14:paraId="23B2E49E"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119</w:t>
            </w:r>
          </w:p>
        </w:tc>
        <w:tc>
          <w:tcPr>
            <w:tcW w:w="1139" w:type="dxa"/>
            <w:tcBorders>
              <w:top w:val="nil"/>
              <w:left w:val="nil"/>
              <w:bottom w:val="nil"/>
              <w:right w:val="nil"/>
            </w:tcBorders>
            <w:noWrap/>
            <w:vAlign w:val="bottom"/>
            <w:hideMark/>
          </w:tcPr>
          <w:p w14:paraId="20F94A75"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(3,777)</w:t>
            </w:r>
          </w:p>
        </w:tc>
        <w:tc>
          <w:tcPr>
            <w:tcW w:w="1139" w:type="dxa"/>
            <w:tcBorders>
              <w:top w:val="nil"/>
              <w:left w:val="nil"/>
              <w:bottom w:val="nil"/>
              <w:right w:val="nil"/>
            </w:tcBorders>
            <w:noWrap/>
            <w:vAlign w:val="bottom"/>
            <w:hideMark/>
          </w:tcPr>
          <w:p w14:paraId="16AA21CE"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61</w:t>
            </w:r>
          </w:p>
        </w:tc>
        <w:tc>
          <w:tcPr>
            <w:tcW w:w="1415" w:type="dxa"/>
            <w:tcBorders>
              <w:top w:val="nil"/>
              <w:left w:val="nil"/>
              <w:bottom w:val="nil"/>
              <w:right w:val="nil"/>
            </w:tcBorders>
            <w:noWrap/>
            <w:vAlign w:val="bottom"/>
            <w:hideMark/>
          </w:tcPr>
          <w:p w14:paraId="17DF9143"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206" w:type="dxa"/>
            <w:tcBorders>
              <w:top w:val="nil"/>
              <w:left w:val="nil"/>
              <w:bottom w:val="nil"/>
              <w:right w:val="nil"/>
            </w:tcBorders>
            <w:noWrap/>
            <w:vAlign w:val="bottom"/>
            <w:hideMark/>
          </w:tcPr>
          <w:p w14:paraId="76D47E5E"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216" w:type="dxa"/>
            <w:tcBorders>
              <w:top w:val="nil"/>
              <w:left w:val="nil"/>
              <w:bottom w:val="nil"/>
              <w:right w:val="nil"/>
            </w:tcBorders>
            <w:noWrap/>
            <w:vAlign w:val="bottom"/>
            <w:hideMark/>
          </w:tcPr>
          <w:p w14:paraId="5100E3D8"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304" w:type="dxa"/>
            <w:tcBorders>
              <w:top w:val="nil"/>
              <w:left w:val="nil"/>
              <w:bottom w:val="nil"/>
              <w:right w:val="nil"/>
            </w:tcBorders>
            <w:noWrap/>
            <w:vAlign w:val="bottom"/>
            <w:hideMark/>
          </w:tcPr>
          <w:p w14:paraId="2A31AD83"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084" w:type="dxa"/>
            <w:tcBorders>
              <w:top w:val="nil"/>
              <w:left w:val="nil"/>
              <w:bottom w:val="nil"/>
              <w:right w:val="nil"/>
            </w:tcBorders>
            <w:noWrap/>
            <w:vAlign w:val="bottom"/>
            <w:hideMark/>
          </w:tcPr>
          <w:p w14:paraId="4EDA3E79"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950" w:type="dxa"/>
            <w:tcBorders>
              <w:top w:val="nil"/>
              <w:left w:val="nil"/>
              <w:bottom w:val="nil"/>
              <w:right w:val="nil"/>
            </w:tcBorders>
            <w:noWrap/>
            <w:vAlign w:val="bottom"/>
            <w:hideMark/>
          </w:tcPr>
          <w:p w14:paraId="259B978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(3,597)</w:t>
            </w:r>
          </w:p>
        </w:tc>
      </w:tr>
      <w:tr w:rsidR="00E91426" w:rsidRPr="00E91426" w14:paraId="3ADE0AC4" w14:textId="77777777" w:rsidTr="00E91426">
        <w:trPr>
          <w:trHeight w:val="240"/>
        </w:trPr>
        <w:tc>
          <w:tcPr>
            <w:tcW w:w="4979" w:type="dxa"/>
            <w:tcBorders>
              <w:top w:val="nil"/>
              <w:left w:val="nil"/>
              <w:bottom w:val="nil"/>
              <w:right w:val="nil"/>
            </w:tcBorders>
            <w:vAlign w:val="bottom"/>
            <w:hideMark/>
          </w:tcPr>
          <w:p w14:paraId="6AB90656"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 xml:space="preserve">Reclassifications </w:t>
            </w:r>
          </w:p>
        </w:tc>
        <w:tc>
          <w:tcPr>
            <w:tcW w:w="950" w:type="dxa"/>
            <w:tcBorders>
              <w:top w:val="nil"/>
              <w:left w:val="nil"/>
              <w:bottom w:val="nil"/>
              <w:right w:val="nil"/>
            </w:tcBorders>
            <w:noWrap/>
            <w:vAlign w:val="bottom"/>
            <w:hideMark/>
          </w:tcPr>
          <w:p w14:paraId="5734FF63"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139" w:type="dxa"/>
            <w:tcBorders>
              <w:top w:val="nil"/>
              <w:left w:val="nil"/>
              <w:bottom w:val="nil"/>
              <w:right w:val="nil"/>
            </w:tcBorders>
            <w:noWrap/>
            <w:vAlign w:val="bottom"/>
            <w:hideMark/>
          </w:tcPr>
          <w:p w14:paraId="27365341"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5,144</w:t>
            </w:r>
          </w:p>
        </w:tc>
        <w:tc>
          <w:tcPr>
            <w:tcW w:w="1139" w:type="dxa"/>
            <w:tcBorders>
              <w:top w:val="nil"/>
              <w:left w:val="nil"/>
              <w:bottom w:val="nil"/>
              <w:right w:val="nil"/>
            </w:tcBorders>
            <w:noWrap/>
            <w:vAlign w:val="bottom"/>
            <w:hideMark/>
          </w:tcPr>
          <w:p w14:paraId="6A24B9BB"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415" w:type="dxa"/>
            <w:tcBorders>
              <w:top w:val="nil"/>
              <w:left w:val="nil"/>
              <w:bottom w:val="nil"/>
              <w:right w:val="nil"/>
            </w:tcBorders>
            <w:noWrap/>
            <w:vAlign w:val="bottom"/>
            <w:hideMark/>
          </w:tcPr>
          <w:p w14:paraId="1DF621F6"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(12,488)</w:t>
            </w:r>
          </w:p>
        </w:tc>
        <w:tc>
          <w:tcPr>
            <w:tcW w:w="1206" w:type="dxa"/>
            <w:tcBorders>
              <w:top w:val="nil"/>
              <w:left w:val="nil"/>
              <w:bottom w:val="nil"/>
              <w:right w:val="nil"/>
            </w:tcBorders>
            <w:noWrap/>
            <w:vAlign w:val="bottom"/>
            <w:hideMark/>
          </w:tcPr>
          <w:p w14:paraId="0681AAD8"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4,509</w:t>
            </w:r>
          </w:p>
        </w:tc>
        <w:tc>
          <w:tcPr>
            <w:tcW w:w="1216" w:type="dxa"/>
            <w:tcBorders>
              <w:top w:val="nil"/>
              <w:left w:val="nil"/>
              <w:bottom w:val="nil"/>
              <w:right w:val="nil"/>
            </w:tcBorders>
            <w:noWrap/>
            <w:vAlign w:val="bottom"/>
            <w:hideMark/>
          </w:tcPr>
          <w:p w14:paraId="3783D718"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36</w:t>
            </w:r>
          </w:p>
        </w:tc>
        <w:tc>
          <w:tcPr>
            <w:tcW w:w="1304" w:type="dxa"/>
            <w:tcBorders>
              <w:top w:val="nil"/>
              <w:left w:val="nil"/>
              <w:bottom w:val="nil"/>
              <w:right w:val="nil"/>
            </w:tcBorders>
            <w:noWrap/>
            <w:vAlign w:val="bottom"/>
            <w:hideMark/>
          </w:tcPr>
          <w:p w14:paraId="57DF7727"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2,799</w:t>
            </w:r>
          </w:p>
        </w:tc>
        <w:tc>
          <w:tcPr>
            <w:tcW w:w="1084" w:type="dxa"/>
            <w:tcBorders>
              <w:top w:val="nil"/>
              <w:left w:val="nil"/>
              <w:bottom w:val="nil"/>
              <w:right w:val="nil"/>
            </w:tcBorders>
            <w:noWrap/>
            <w:vAlign w:val="bottom"/>
            <w:hideMark/>
          </w:tcPr>
          <w:p w14:paraId="32EAFF4A"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950" w:type="dxa"/>
            <w:tcBorders>
              <w:top w:val="nil"/>
              <w:left w:val="nil"/>
              <w:bottom w:val="nil"/>
              <w:right w:val="nil"/>
            </w:tcBorders>
            <w:noWrap/>
            <w:vAlign w:val="bottom"/>
            <w:hideMark/>
          </w:tcPr>
          <w:p w14:paraId="7C5097D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0</w:t>
            </w:r>
          </w:p>
        </w:tc>
      </w:tr>
      <w:tr w:rsidR="00E91426" w:rsidRPr="00E91426" w14:paraId="4F442D9B" w14:textId="77777777" w:rsidTr="00E91426">
        <w:trPr>
          <w:trHeight w:val="240"/>
        </w:trPr>
        <w:tc>
          <w:tcPr>
            <w:tcW w:w="4979" w:type="dxa"/>
            <w:tcBorders>
              <w:top w:val="nil"/>
              <w:left w:val="nil"/>
              <w:bottom w:val="nil"/>
              <w:right w:val="nil"/>
            </w:tcBorders>
            <w:vAlign w:val="bottom"/>
            <w:hideMark/>
          </w:tcPr>
          <w:p w14:paraId="734FDE30"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Disposals / derecognition</w:t>
            </w:r>
          </w:p>
        </w:tc>
        <w:tc>
          <w:tcPr>
            <w:tcW w:w="950" w:type="dxa"/>
            <w:tcBorders>
              <w:top w:val="nil"/>
              <w:left w:val="nil"/>
              <w:bottom w:val="nil"/>
              <w:right w:val="nil"/>
            </w:tcBorders>
            <w:noWrap/>
            <w:vAlign w:val="bottom"/>
            <w:hideMark/>
          </w:tcPr>
          <w:p w14:paraId="5A0BC13C"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139" w:type="dxa"/>
            <w:tcBorders>
              <w:top w:val="nil"/>
              <w:left w:val="nil"/>
              <w:bottom w:val="nil"/>
              <w:right w:val="nil"/>
            </w:tcBorders>
            <w:noWrap/>
            <w:vAlign w:val="bottom"/>
            <w:hideMark/>
          </w:tcPr>
          <w:p w14:paraId="100106EC"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139" w:type="dxa"/>
            <w:tcBorders>
              <w:top w:val="nil"/>
              <w:left w:val="nil"/>
              <w:bottom w:val="nil"/>
              <w:right w:val="nil"/>
            </w:tcBorders>
            <w:noWrap/>
            <w:vAlign w:val="bottom"/>
            <w:hideMark/>
          </w:tcPr>
          <w:p w14:paraId="12734356"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415" w:type="dxa"/>
            <w:tcBorders>
              <w:top w:val="nil"/>
              <w:left w:val="nil"/>
              <w:bottom w:val="nil"/>
              <w:right w:val="nil"/>
            </w:tcBorders>
            <w:noWrap/>
            <w:vAlign w:val="bottom"/>
            <w:hideMark/>
          </w:tcPr>
          <w:p w14:paraId="6AEAE52C"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206" w:type="dxa"/>
            <w:tcBorders>
              <w:top w:val="nil"/>
              <w:left w:val="nil"/>
              <w:bottom w:val="nil"/>
              <w:right w:val="nil"/>
            </w:tcBorders>
            <w:noWrap/>
            <w:vAlign w:val="bottom"/>
            <w:hideMark/>
          </w:tcPr>
          <w:p w14:paraId="5066CC42"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(771)</w:t>
            </w:r>
          </w:p>
        </w:tc>
        <w:tc>
          <w:tcPr>
            <w:tcW w:w="1216" w:type="dxa"/>
            <w:tcBorders>
              <w:top w:val="nil"/>
              <w:left w:val="nil"/>
              <w:bottom w:val="nil"/>
              <w:right w:val="nil"/>
            </w:tcBorders>
            <w:noWrap/>
            <w:vAlign w:val="bottom"/>
            <w:hideMark/>
          </w:tcPr>
          <w:p w14:paraId="12B6E2CF"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304" w:type="dxa"/>
            <w:tcBorders>
              <w:top w:val="nil"/>
              <w:left w:val="nil"/>
              <w:bottom w:val="nil"/>
              <w:right w:val="nil"/>
            </w:tcBorders>
            <w:noWrap/>
            <w:vAlign w:val="bottom"/>
            <w:hideMark/>
          </w:tcPr>
          <w:p w14:paraId="0D27E915"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(785)</w:t>
            </w:r>
          </w:p>
        </w:tc>
        <w:tc>
          <w:tcPr>
            <w:tcW w:w="1084" w:type="dxa"/>
            <w:tcBorders>
              <w:top w:val="nil"/>
              <w:left w:val="nil"/>
              <w:bottom w:val="nil"/>
              <w:right w:val="nil"/>
            </w:tcBorders>
            <w:noWrap/>
            <w:vAlign w:val="bottom"/>
            <w:hideMark/>
          </w:tcPr>
          <w:p w14:paraId="4F2581DA"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950" w:type="dxa"/>
            <w:tcBorders>
              <w:top w:val="nil"/>
              <w:left w:val="nil"/>
              <w:bottom w:val="nil"/>
              <w:right w:val="nil"/>
            </w:tcBorders>
            <w:noWrap/>
            <w:vAlign w:val="bottom"/>
            <w:hideMark/>
          </w:tcPr>
          <w:p w14:paraId="6CF35D03"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(1,556)</w:t>
            </w:r>
          </w:p>
        </w:tc>
      </w:tr>
      <w:tr w:rsidR="00E91426" w:rsidRPr="00E91426" w14:paraId="71BF5681" w14:textId="77777777" w:rsidTr="00E91426">
        <w:trPr>
          <w:trHeight w:val="240"/>
        </w:trPr>
        <w:tc>
          <w:tcPr>
            <w:tcW w:w="4979" w:type="dxa"/>
            <w:tcBorders>
              <w:top w:val="nil"/>
              <w:left w:val="nil"/>
              <w:bottom w:val="nil"/>
              <w:right w:val="nil"/>
            </w:tcBorders>
            <w:noWrap/>
            <w:vAlign w:val="bottom"/>
            <w:hideMark/>
          </w:tcPr>
          <w:p w14:paraId="05967458"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Valuation/gross cost at 31 March 2024</w:t>
            </w:r>
          </w:p>
        </w:tc>
        <w:tc>
          <w:tcPr>
            <w:tcW w:w="950" w:type="dxa"/>
            <w:tcBorders>
              <w:top w:val="single" w:sz="4" w:space="0" w:color="auto"/>
              <w:left w:val="nil"/>
              <w:bottom w:val="double" w:sz="6" w:space="0" w:color="auto"/>
              <w:right w:val="nil"/>
            </w:tcBorders>
            <w:noWrap/>
            <w:vAlign w:val="bottom"/>
            <w:hideMark/>
          </w:tcPr>
          <w:p w14:paraId="77FA100F"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7,722</w:t>
            </w:r>
          </w:p>
        </w:tc>
        <w:tc>
          <w:tcPr>
            <w:tcW w:w="1139" w:type="dxa"/>
            <w:tcBorders>
              <w:top w:val="single" w:sz="4" w:space="0" w:color="auto"/>
              <w:left w:val="nil"/>
              <w:bottom w:val="double" w:sz="6" w:space="0" w:color="auto"/>
              <w:right w:val="nil"/>
            </w:tcBorders>
            <w:noWrap/>
            <w:vAlign w:val="bottom"/>
            <w:hideMark/>
          </w:tcPr>
          <w:p w14:paraId="4F47033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193,696</w:t>
            </w:r>
          </w:p>
        </w:tc>
        <w:tc>
          <w:tcPr>
            <w:tcW w:w="1139" w:type="dxa"/>
            <w:tcBorders>
              <w:top w:val="single" w:sz="4" w:space="0" w:color="auto"/>
              <w:left w:val="nil"/>
              <w:bottom w:val="double" w:sz="6" w:space="0" w:color="auto"/>
              <w:right w:val="nil"/>
            </w:tcBorders>
            <w:noWrap/>
            <w:vAlign w:val="bottom"/>
            <w:hideMark/>
          </w:tcPr>
          <w:p w14:paraId="725320E1"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5,783</w:t>
            </w:r>
          </w:p>
        </w:tc>
        <w:tc>
          <w:tcPr>
            <w:tcW w:w="1415" w:type="dxa"/>
            <w:tcBorders>
              <w:top w:val="single" w:sz="4" w:space="0" w:color="auto"/>
              <w:left w:val="nil"/>
              <w:bottom w:val="double" w:sz="6" w:space="0" w:color="auto"/>
              <w:right w:val="nil"/>
            </w:tcBorders>
            <w:noWrap/>
            <w:vAlign w:val="bottom"/>
            <w:hideMark/>
          </w:tcPr>
          <w:p w14:paraId="7A215803"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27,488</w:t>
            </w:r>
          </w:p>
        </w:tc>
        <w:tc>
          <w:tcPr>
            <w:tcW w:w="1206" w:type="dxa"/>
            <w:tcBorders>
              <w:top w:val="single" w:sz="4" w:space="0" w:color="auto"/>
              <w:left w:val="nil"/>
              <w:bottom w:val="double" w:sz="6" w:space="0" w:color="auto"/>
              <w:right w:val="nil"/>
            </w:tcBorders>
            <w:noWrap/>
            <w:vAlign w:val="bottom"/>
            <w:hideMark/>
          </w:tcPr>
          <w:p w14:paraId="6C3A6A1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59,155</w:t>
            </w:r>
          </w:p>
        </w:tc>
        <w:tc>
          <w:tcPr>
            <w:tcW w:w="1216" w:type="dxa"/>
            <w:tcBorders>
              <w:top w:val="single" w:sz="4" w:space="0" w:color="auto"/>
              <w:left w:val="nil"/>
              <w:bottom w:val="double" w:sz="6" w:space="0" w:color="auto"/>
              <w:right w:val="nil"/>
            </w:tcBorders>
            <w:noWrap/>
            <w:vAlign w:val="bottom"/>
            <w:hideMark/>
          </w:tcPr>
          <w:p w14:paraId="1804F011"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122</w:t>
            </w:r>
          </w:p>
        </w:tc>
        <w:tc>
          <w:tcPr>
            <w:tcW w:w="1304" w:type="dxa"/>
            <w:tcBorders>
              <w:top w:val="single" w:sz="4" w:space="0" w:color="auto"/>
              <w:left w:val="nil"/>
              <w:bottom w:val="double" w:sz="6" w:space="0" w:color="auto"/>
              <w:right w:val="nil"/>
            </w:tcBorders>
            <w:noWrap/>
            <w:vAlign w:val="bottom"/>
            <w:hideMark/>
          </w:tcPr>
          <w:p w14:paraId="107A6B75"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49,820</w:t>
            </w:r>
          </w:p>
        </w:tc>
        <w:tc>
          <w:tcPr>
            <w:tcW w:w="1084" w:type="dxa"/>
            <w:tcBorders>
              <w:top w:val="single" w:sz="4" w:space="0" w:color="auto"/>
              <w:left w:val="nil"/>
              <w:bottom w:val="double" w:sz="6" w:space="0" w:color="auto"/>
              <w:right w:val="nil"/>
            </w:tcBorders>
            <w:noWrap/>
            <w:vAlign w:val="bottom"/>
            <w:hideMark/>
          </w:tcPr>
          <w:p w14:paraId="43793295"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2,579</w:t>
            </w:r>
          </w:p>
        </w:tc>
        <w:tc>
          <w:tcPr>
            <w:tcW w:w="950" w:type="dxa"/>
            <w:tcBorders>
              <w:top w:val="single" w:sz="4" w:space="0" w:color="auto"/>
              <w:left w:val="nil"/>
              <w:bottom w:val="double" w:sz="6" w:space="0" w:color="auto"/>
              <w:right w:val="nil"/>
            </w:tcBorders>
            <w:noWrap/>
            <w:vAlign w:val="bottom"/>
            <w:hideMark/>
          </w:tcPr>
          <w:p w14:paraId="1B96581F"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346,365</w:t>
            </w:r>
          </w:p>
        </w:tc>
      </w:tr>
      <w:tr w:rsidR="00E91426" w:rsidRPr="00E91426" w14:paraId="43325193" w14:textId="77777777" w:rsidTr="00E91426">
        <w:trPr>
          <w:trHeight w:val="87"/>
        </w:trPr>
        <w:tc>
          <w:tcPr>
            <w:tcW w:w="4979" w:type="dxa"/>
            <w:tcBorders>
              <w:top w:val="nil"/>
              <w:left w:val="nil"/>
              <w:bottom w:val="nil"/>
              <w:right w:val="nil"/>
            </w:tcBorders>
            <w:vAlign w:val="bottom"/>
            <w:hideMark/>
          </w:tcPr>
          <w:p w14:paraId="54668A5F"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50" w:type="dxa"/>
            <w:tcBorders>
              <w:top w:val="nil"/>
              <w:left w:val="nil"/>
              <w:bottom w:val="nil"/>
              <w:right w:val="nil"/>
            </w:tcBorders>
            <w:noWrap/>
            <w:vAlign w:val="center"/>
            <w:hideMark/>
          </w:tcPr>
          <w:p w14:paraId="7CD753EC" w14:textId="77777777" w:rsidR="00E91426" w:rsidRPr="00E91426" w:rsidRDefault="00E91426" w:rsidP="00E91426">
            <w:pPr>
              <w:widowControl/>
              <w:rPr>
                <w:rFonts w:ascii="Arial" w:eastAsia="Times New Roman" w:hAnsi="Arial" w:cs="Arial"/>
                <w:sz w:val="20"/>
                <w:szCs w:val="20"/>
                <w:lang w:val="en-GB" w:eastAsia="en-GB"/>
              </w:rPr>
            </w:pPr>
          </w:p>
        </w:tc>
        <w:tc>
          <w:tcPr>
            <w:tcW w:w="1139" w:type="dxa"/>
            <w:tcBorders>
              <w:top w:val="nil"/>
              <w:left w:val="nil"/>
              <w:bottom w:val="nil"/>
              <w:right w:val="nil"/>
            </w:tcBorders>
            <w:noWrap/>
            <w:vAlign w:val="center"/>
            <w:hideMark/>
          </w:tcPr>
          <w:p w14:paraId="6BBB76C6" w14:textId="77777777" w:rsidR="00E91426" w:rsidRPr="00E91426" w:rsidRDefault="00E91426" w:rsidP="00E91426">
            <w:pPr>
              <w:widowControl/>
              <w:rPr>
                <w:rFonts w:ascii="Arial" w:eastAsia="Times New Roman" w:hAnsi="Arial" w:cs="Arial"/>
                <w:sz w:val="20"/>
                <w:szCs w:val="20"/>
                <w:lang w:val="en-GB" w:eastAsia="en-GB"/>
              </w:rPr>
            </w:pPr>
          </w:p>
        </w:tc>
        <w:tc>
          <w:tcPr>
            <w:tcW w:w="1139" w:type="dxa"/>
            <w:tcBorders>
              <w:top w:val="nil"/>
              <w:left w:val="nil"/>
              <w:bottom w:val="nil"/>
              <w:right w:val="nil"/>
            </w:tcBorders>
            <w:noWrap/>
            <w:vAlign w:val="center"/>
            <w:hideMark/>
          </w:tcPr>
          <w:p w14:paraId="11C87574" w14:textId="77777777" w:rsidR="00E91426" w:rsidRPr="00E91426" w:rsidRDefault="00E91426" w:rsidP="00E91426">
            <w:pPr>
              <w:widowControl/>
              <w:rPr>
                <w:rFonts w:ascii="Arial" w:eastAsia="Times New Roman" w:hAnsi="Arial" w:cs="Arial"/>
                <w:sz w:val="20"/>
                <w:szCs w:val="20"/>
                <w:lang w:val="en-GB" w:eastAsia="en-GB"/>
              </w:rPr>
            </w:pPr>
          </w:p>
        </w:tc>
        <w:tc>
          <w:tcPr>
            <w:tcW w:w="1415" w:type="dxa"/>
            <w:tcBorders>
              <w:top w:val="nil"/>
              <w:left w:val="nil"/>
              <w:bottom w:val="nil"/>
              <w:right w:val="nil"/>
            </w:tcBorders>
            <w:noWrap/>
            <w:vAlign w:val="center"/>
            <w:hideMark/>
          </w:tcPr>
          <w:p w14:paraId="524EAFCB" w14:textId="77777777" w:rsidR="00E91426" w:rsidRPr="00E91426" w:rsidRDefault="00E91426" w:rsidP="00E91426">
            <w:pPr>
              <w:widowControl/>
              <w:rPr>
                <w:rFonts w:ascii="Arial" w:eastAsia="Times New Roman" w:hAnsi="Arial" w:cs="Arial"/>
                <w:sz w:val="20"/>
                <w:szCs w:val="20"/>
                <w:lang w:val="en-GB" w:eastAsia="en-GB"/>
              </w:rPr>
            </w:pPr>
          </w:p>
        </w:tc>
        <w:tc>
          <w:tcPr>
            <w:tcW w:w="1206" w:type="dxa"/>
            <w:tcBorders>
              <w:top w:val="nil"/>
              <w:left w:val="nil"/>
              <w:bottom w:val="nil"/>
              <w:right w:val="nil"/>
            </w:tcBorders>
            <w:noWrap/>
            <w:vAlign w:val="center"/>
            <w:hideMark/>
          </w:tcPr>
          <w:p w14:paraId="2FBAD19E" w14:textId="77777777" w:rsidR="00E91426" w:rsidRPr="00E91426" w:rsidRDefault="00E91426" w:rsidP="00E91426">
            <w:pPr>
              <w:widowControl/>
              <w:rPr>
                <w:rFonts w:ascii="Arial" w:eastAsia="Times New Roman" w:hAnsi="Arial" w:cs="Arial"/>
                <w:sz w:val="20"/>
                <w:szCs w:val="20"/>
                <w:lang w:val="en-GB" w:eastAsia="en-GB"/>
              </w:rPr>
            </w:pPr>
          </w:p>
        </w:tc>
        <w:tc>
          <w:tcPr>
            <w:tcW w:w="1216" w:type="dxa"/>
            <w:tcBorders>
              <w:top w:val="nil"/>
              <w:left w:val="nil"/>
              <w:bottom w:val="nil"/>
              <w:right w:val="nil"/>
            </w:tcBorders>
            <w:noWrap/>
            <w:vAlign w:val="center"/>
            <w:hideMark/>
          </w:tcPr>
          <w:p w14:paraId="2D087031" w14:textId="77777777" w:rsidR="00E91426" w:rsidRPr="00E91426" w:rsidRDefault="00E91426" w:rsidP="00E91426">
            <w:pPr>
              <w:widowControl/>
              <w:rPr>
                <w:rFonts w:ascii="Arial" w:eastAsia="Times New Roman" w:hAnsi="Arial" w:cs="Arial"/>
                <w:sz w:val="20"/>
                <w:szCs w:val="20"/>
                <w:lang w:val="en-GB" w:eastAsia="en-GB"/>
              </w:rPr>
            </w:pPr>
          </w:p>
        </w:tc>
        <w:tc>
          <w:tcPr>
            <w:tcW w:w="1304" w:type="dxa"/>
            <w:tcBorders>
              <w:top w:val="nil"/>
              <w:left w:val="nil"/>
              <w:bottom w:val="nil"/>
              <w:right w:val="nil"/>
            </w:tcBorders>
            <w:noWrap/>
            <w:vAlign w:val="center"/>
            <w:hideMark/>
          </w:tcPr>
          <w:p w14:paraId="37C4E0D1" w14:textId="77777777" w:rsidR="00E91426" w:rsidRPr="00E91426" w:rsidRDefault="00E91426" w:rsidP="00E91426">
            <w:pPr>
              <w:widowControl/>
              <w:rPr>
                <w:rFonts w:ascii="Arial" w:eastAsia="Times New Roman" w:hAnsi="Arial" w:cs="Arial"/>
                <w:sz w:val="20"/>
                <w:szCs w:val="20"/>
                <w:lang w:val="en-GB" w:eastAsia="en-GB"/>
              </w:rPr>
            </w:pPr>
          </w:p>
        </w:tc>
        <w:tc>
          <w:tcPr>
            <w:tcW w:w="1084" w:type="dxa"/>
            <w:tcBorders>
              <w:top w:val="nil"/>
              <w:left w:val="nil"/>
              <w:bottom w:val="nil"/>
              <w:right w:val="nil"/>
            </w:tcBorders>
            <w:noWrap/>
            <w:vAlign w:val="center"/>
            <w:hideMark/>
          </w:tcPr>
          <w:p w14:paraId="16F183AD" w14:textId="77777777" w:rsidR="00E91426" w:rsidRPr="00E91426" w:rsidRDefault="00E91426" w:rsidP="00E91426">
            <w:pPr>
              <w:widowControl/>
              <w:rPr>
                <w:rFonts w:ascii="Arial" w:eastAsia="Times New Roman" w:hAnsi="Arial" w:cs="Arial"/>
                <w:sz w:val="20"/>
                <w:szCs w:val="20"/>
                <w:lang w:val="en-GB" w:eastAsia="en-GB"/>
              </w:rPr>
            </w:pPr>
          </w:p>
        </w:tc>
        <w:tc>
          <w:tcPr>
            <w:tcW w:w="950" w:type="dxa"/>
            <w:tcBorders>
              <w:top w:val="nil"/>
              <w:left w:val="nil"/>
              <w:bottom w:val="nil"/>
              <w:right w:val="nil"/>
            </w:tcBorders>
            <w:noWrap/>
            <w:vAlign w:val="center"/>
            <w:hideMark/>
          </w:tcPr>
          <w:p w14:paraId="4A553DD8"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2585EE9C" w14:textId="77777777" w:rsidTr="00E91426">
        <w:trPr>
          <w:trHeight w:val="442"/>
        </w:trPr>
        <w:tc>
          <w:tcPr>
            <w:tcW w:w="4979" w:type="dxa"/>
            <w:tcBorders>
              <w:top w:val="nil"/>
              <w:left w:val="nil"/>
              <w:bottom w:val="nil"/>
              <w:right w:val="nil"/>
            </w:tcBorders>
            <w:vAlign w:val="bottom"/>
            <w:hideMark/>
          </w:tcPr>
          <w:p w14:paraId="7C704087"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Accumulated depreciation at 1 April 2023 - brought forward</w:t>
            </w:r>
          </w:p>
        </w:tc>
        <w:tc>
          <w:tcPr>
            <w:tcW w:w="950" w:type="dxa"/>
            <w:tcBorders>
              <w:top w:val="single" w:sz="4" w:space="0" w:color="auto"/>
              <w:left w:val="nil"/>
              <w:bottom w:val="single" w:sz="4" w:space="0" w:color="auto"/>
              <w:right w:val="nil"/>
            </w:tcBorders>
            <w:noWrap/>
            <w:vAlign w:val="center"/>
            <w:hideMark/>
          </w:tcPr>
          <w:p w14:paraId="796869DC"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0</w:t>
            </w:r>
          </w:p>
        </w:tc>
        <w:tc>
          <w:tcPr>
            <w:tcW w:w="1139" w:type="dxa"/>
            <w:tcBorders>
              <w:top w:val="single" w:sz="4" w:space="0" w:color="auto"/>
              <w:left w:val="nil"/>
              <w:bottom w:val="single" w:sz="4" w:space="0" w:color="auto"/>
              <w:right w:val="nil"/>
            </w:tcBorders>
            <w:noWrap/>
            <w:vAlign w:val="center"/>
            <w:hideMark/>
          </w:tcPr>
          <w:p w14:paraId="35B20FA3"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0</w:t>
            </w:r>
          </w:p>
        </w:tc>
        <w:tc>
          <w:tcPr>
            <w:tcW w:w="1139" w:type="dxa"/>
            <w:tcBorders>
              <w:top w:val="single" w:sz="4" w:space="0" w:color="auto"/>
              <w:left w:val="nil"/>
              <w:bottom w:val="single" w:sz="4" w:space="0" w:color="auto"/>
              <w:right w:val="nil"/>
            </w:tcBorders>
            <w:noWrap/>
            <w:vAlign w:val="center"/>
            <w:hideMark/>
          </w:tcPr>
          <w:p w14:paraId="0B0EBDA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0</w:t>
            </w:r>
          </w:p>
        </w:tc>
        <w:tc>
          <w:tcPr>
            <w:tcW w:w="1415" w:type="dxa"/>
            <w:tcBorders>
              <w:top w:val="single" w:sz="4" w:space="0" w:color="auto"/>
              <w:left w:val="nil"/>
              <w:bottom w:val="single" w:sz="4" w:space="0" w:color="auto"/>
              <w:right w:val="nil"/>
            </w:tcBorders>
            <w:noWrap/>
            <w:vAlign w:val="center"/>
            <w:hideMark/>
          </w:tcPr>
          <w:p w14:paraId="4F8E768D"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0</w:t>
            </w:r>
          </w:p>
        </w:tc>
        <w:tc>
          <w:tcPr>
            <w:tcW w:w="1206" w:type="dxa"/>
            <w:tcBorders>
              <w:top w:val="single" w:sz="4" w:space="0" w:color="auto"/>
              <w:left w:val="nil"/>
              <w:bottom w:val="single" w:sz="4" w:space="0" w:color="auto"/>
              <w:right w:val="nil"/>
            </w:tcBorders>
            <w:noWrap/>
            <w:vAlign w:val="center"/>
            <w:hideMark/>
          </w:tcPr>
          <w:p w14:paraId="2766D29F"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36,267</w:t>
            </w:r>
          </w:p>
        </w:tc>
        <w:tc>
          <w:tcPr>
            <w:tcW w:w="1216" w:type="dxa"/>
            <w:tcBorders>
              <w:top w:val="single" w:sz="4" w:space="0" w:color="auto"/>
              <w:left w:val="nil"/>
              <w:bottom w:val="single" w:sz="4" w:space="0" w:color="auto"/>
              <w:right w:val="nil"/>
            </w:tcBorders>
            <w:noWrap/>
            <w:vAlign w:val="center"/>
            <w:hideMark/>
          </w:tcPr>
          <w:p w14:paraId="2EAAD79C"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86</w:t>
            </w:r>
          </w:p>
        </w:tc>
        <w:tc>
          <w:tcPr>
            <w:tcW w:w="1304" w:type="dxa"/>
            <w:tcBorders>
              <w:top w:val="single" w:sz="4" w:space="0" w:color="auto"/>
              <w:left w:val="nil"/>
              <w:bottom w:val="single" w:sz="4" w:space="0" w:color="auto"/>
              <w:right w:val="nil"/>
            </w:tcBorders>
            <w:noWrap/>
            <w:vAlign w:val="center"/>
            <w:hideMark/>
          </w:tcPr>
          <w:p w14:paraId="6B1E37D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21,537</w:t>
            </w:r>
          </w:p>
        </w:tc>
        <w:tc>
          <w:tcPr>
            <w:tcW w:w="1084" w:type="dxa"/>
            <w:tcBorders>
              <w:top w:val="single" w:sz="4" w:space="0" w:color="auto"/>
              <w:left w:val="nil"/>
              <w:bottom w:val="single" w:sz="4" w:space="0" w:color="auto"/>
              <w:right w:val="nil"/>
            </w:tcBorders>
            <w:noWrap/>
            <w:vAlign w:val="center"/>
            <w:hideMark/>
          </w:tcPr>
          <w:p w14:paraId="0151077B"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2,326</w:t>
            </w:r>
          </w:p>
        </w:tc>
        <w:tc>
          <w:tcPr>
            <w:tcW w:w="950" w:type="dxa"/>
            <w:tcBorders>
              <w:top w:val="single" w:sz="4" w:space="0" w:color="auto"/>
              <w:left w:val="nil"/>
              <w:bottom w:val="single" w:sz="4" w:space="0" w:color="auto"/>
              <w:right w:val="nil"/>
            </w:tcBorders>
            <w:noWrap/>
            <w:vAlign w:val="center"/>
            <w:hideMark/>
          </w:tcPr>
          <w:p w14:paraId="1C989B2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60,216</w:t>
            </w:r>
          </w:p>
        </w:tc>
      </w:tr>
      <w:tr w:rsidR="00E91426" w:rsidRPr="00E91426" w14:paraId="75D1F781" w14:textId="77777777" w:rsidTr="00E91426">
        <w:trPr>
          <w:trHeight w:val="220"/>
        </w:trPr>
        <w:tc>
          <w:tcPr>
            <w:tcW w:w="4979" w:type="dxa"/>
            <w:tcBorders>
              <w:top w:val="nil"/>
              <w:left w:val="nil"/>
              <w:bottom w:val="nil"/>
              <w:right w:val="nil"/>
            </w:tcBorders>
            <w:vAlign w:val="bottom"/>
            <w:hideMark/>
          </w:tcPr>
          <w:p w14:paraId="1E1F8CCF"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 xml:space="preserve">Provided during the year </w:t>
            </w:r>
          </w:p>
        </w:tc>
        <w:tc>
          <w:tcPr>
            <w:tcW w:w="950" w:type="dxa"/>
            <w:tcBorders>
              <w:top w:val="nil"/>
              <w:left w:val="nil"/>
              <w:bottom w:val="nil"/>
              <w:right w:val="nil"/>
            </w:tcBorders>
            <w:noWrap/>
            <w:vAlign w:val="bottom"/>
            <w:hideMark/>
          </w:tcPr>
          <w:p w14:paraId="3B69B0E3"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139" w:type="dxa"/>
            <w:tcBorders>
              <w:top w:val="nil"/>
              <w:left w:val="nil"/>
              <w:bottom w:val="nil"/>
              <w:right w:val="nil"/>
            </w:tcBorders>
            <w:noWrap/>
            <w:vAlign w:val="bottom"/>
            <w:hideMark/>
          </w:tcPr>
          <w:p w14:paraId="60B3C1D4"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8,654</w:t>
            </w:r>
          </w:p>
        </w:tc>
        <w:tc>
          <w:tcPr>
            <w:tcW w:w="1139" w:type="dxa"/>
            <w:tcBorders>
              <w:top w:val="nil"/>
              <w:left w:val="nil"/>
              <w:bottom w:val="nil"/>
              <w:right w:val="nil"/>
            </w:tcBorders>
            <w:noWrap/>
            <w:vAlign w:val="bottom"/>
            <w:hideMark/>
          </w:tcPr>
          <w:p w14:paraId="6B1FBD93"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341</w:t>
            </w:r>
          </w:p>
        </w:tc>
        <w:tc>
          <w:tcPr>
            <w:tcW w:w="1415" w:type="dxa"/>
            <w:tcBorders>
              <w:top w:val="nil"/>
              <w:left w:val="nil"/>
              <w:bottom w:val="nil"/>
              <w:right w:val="nil"/>
            </w:tcBorders>
            <w:noWrap/>
            <w:vAlign w:val="bottom"/>
            <w:hideMark/>
          </w:tcPr>
          <w:p w14:paraId="3BB8AF42"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206" w:type="dxa"/>
            <w:tcBorders>
              <w:top w:val="nil"/>
              <w:left w:val="nil"/>
              <w:bottom w:val="nil"/>
              <w:right w:val="nil"/>
            </w:tcBorders>
            <w:noWrap/>
            <w:vAlign w:val="bottom"/>
            <w:hideMark/>
          </w:tcPr>
          <w:p w14:paraId="37283E62"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3,456</w:t>
            </w:r>
          </w:p>
        </w:tc>
        <w:tc>
          <w:tcPr>
            <w:tcW w:w="1216" w:type="dxa"/>
            <w:tcBorders>
              <w:top w:val="nil"/>
              <w:left w:val="nil"/>
              <w:bottom w:val="nil"/>
              <w:right w:val="nil"/>
            </w:tcBorders>
            <w:noWrap/>
            <w:vAlign w:val="bottom"/>
            <w:hideMark/>
          </w:tcPr>
          <w:p w14:paraId="1DEE136A"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304" w:type="dxa"/>
            <w:tcBorders>
              <w:top w:val="nil"/>
              <w:left w:val="nil"/>
              <w:bottom w:val="nil"/>
              <w:right w:val="nil"/>
            </w:tcBorders>
            <w:noWrap/>
            <w:vAlign w:val="bottom"/>
            <w:hideMark/>
          </w:tcPr>
          <w:p w14:paraId="516B8CDE"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5,003</w:t>
            </w:r>
          </w:p>
        </w:tc>
        <w:tc>
          <w:tcPr>
            <w:tcW w:w="1084" w:type="dxa"/>
            <w:tcBorders>
              <w:top w:val="nil"/>
              <w:left w:val="nil"/>
              <w:bottom w:val="nil"/>
              <w:right w:val="nil"/>
            </w:tcBorders>
            <w:noWrap/>
            <w:vAlign w:val="bottom"/>
            <w:hideMark/>
          </w:tcPr>
          <w:p w14:paraId="260805CE"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81</w:t>
            </w:r>
          </w:p>
        </w:tc>
        <w:tc>
          <w:tcPr>
            <w:tcW w:w="950" w:type="dxa"/>
            <w:tcBorders>
              <w:top w:val="nil"/>
              <w:left w:val="nil"/>
              <w:bottom w:val="nil"/>
              <w:right w:val="nil"/>
            </w:tcBorders>
            <w:noWrap/>
            <w:vAlign w:val="bottom"/>
            <w:hideMark/>
          </w:tcPr>
          <w:p w14:paraId="1CD36B8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17,535</w:t>
            </w:r>
          </w:p>
        </w:tc>
      </w:tr>
      <w:tr w:rsidR="00E91426" w:rsidRPr="00E91426" w14:paraId="361E4132" w14:textId="77777777" w:rsidTr="00E91426">
        <w:trPr>
          <w:trHeight w:val="220"/>
        </w:trPr>
        <w:tc>
          <w:tcPr>
            <w:tcW w:w="4979" w:type="dxa"/>
            <w:tcBorders>
              <w:top w:val="nil"/>
              <w:left w:val="nil"/>
              <w:bottom w:val="nil"/>
              <w:right w:val="nil"/>
            </w:tcBorders>
            <w:vAlign w:val="bottom"/>
            <w:hideMark/>
          </w:tcPr>
          <w:p w14:paraId="131116AA"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Revaluations</w:t>
            </w:r>
          </w:p>
        </w:tc>
        <w:tc>
          <w:tcPr>
            <w:tcW w:w="950" w:type="dxa"/>
            <w:tcBorders>
              <w:top w:val="nil"/>
              <w:left w:val="nil"/>
              <w:bottom w:val="nil"/>
              <w:right w:val="nil"/>
            </w:tcBorders>
            <w:noWrap/>
            <w:vAlign w:val="bottom"/>
            <w:hideMark/>
          </w:tcPr>
          <w:p w14:paraId="119F228C"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139" w:type="dxa"/>
            <w:tcBorders>
              <w:top w:val="nil"/>
              <w:left w:val="nil"/>
              <w:bottom w:val="nil"/>
              <w:right w:val="nil"/>
            </w:tcBorders>
            <w:noWrap/>
            <w:vAlign w:val="bottom"/>
            <w:hideMark/>
          </w:tcPr>
          <w:p w14:paraId="20FCFD79"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(8,654)</w:t>
            </w:r>
          </w:p>
        </w:tc>
        <w:tc>
          <w:tcPr>
            <w:tcW w:w="1139" w:type="dxa"/>
            <w:tcBorders>
              <w:top w:val="nil"/>
              <w:left w:val="nil"/>
              <w:bottom w:val="nil"/>
              <w:right w:val="nil"/>
            </w:tcBorders>
            <w:noWrap/>
            <w:vAlign w:val="bottom"/>
            <w:hideMark/>
          </w:tcPr>
          <w:p w14:paraId="2494CFAB"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(341)</w:t>
            </w:r>
          </w:p>
        </w:tc>
        <w:tc>
          <w:tcPr>
            <w:tcW w:w="1415" w:type="dxa"/>
            <w:tcBorders>
              <w:top w:val="nil"/>
              <w:left w:val="nil"/>
              <w:bottom w:val="nil"/>
              <w:right w:val="nil"/>
            </w:tcBorders>
            <w:noWrap/>
            <w:vAlign w:val="bottom"/>
            <w:hideMark/>
          </w:tcPr>
          <w:p w14:paraId="7BEF9C3F"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206" w:type="dxa"/>
            <w:tcBorders>
              <w:top w:val="nil"/>
              <w:left w:val="nil"/>
              <w:bottom w:val="nil"/>
              <w:right w:val="nil"/>
            </w:tcBorders>
            <w:noWrap/>
            <w:vAlign w:val="bottom"/>
            <w:hideMark/>
          </w:tcPr>
          <w:p w14:paraId="324A27E1"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216" w:type="dxa"/>
            <w:tcBorders>
              <w:top w:val="nil"/>
              <w:left w:val="nil"/>
              <w:bottom w:val="nil"/>
              <w:right w:val="nil"/>
            </w:tcBorders>
            <w:noWrap/>
            <w:vAlign w:val="bottom"/>
            <w:hideMark/>
          </w:tcPr>
          <w:p w14:paraId="61E8BA7A"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304" w:type="dxa"/>
            <w:tcBorders>
              <w:top w:val="nil"/>
              <w:left w:val="nil"/>
              <w:bottom w:val="nil"/>
              <w:right w:val="nil"/>
            </w:tcBorders>
            <w:noWrap/>
            <w:vAlign w:val="bottom"/>
            <w:hideMark/>
          </w:tcPr>
          <w:p w14:paraId="3846CF0F"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084" w:type="dxa"/>
            <w:tcBorders>
              <w:top w:val="nil"/>
              <w:left w:val="nil"/>
              <w:bottom w:val="nil"/>
              <w:right w:val="nil"/>
            </w:tcBorders>
            <w:noWrap/>
            <w:vAlign w:val="bottom"/>
            <w:hideMark/>
          </w:tcPr>
          <w:p w14:paraId="0F824C24"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950" w:type="dxa"/>
            <w:tcBorders>
              <w:top w:val="nil"/>
              <w:left w:val="nil"/>
              <w:bottom w:val="nil"/>
              <w:right w:val="nil"/>
            </w:tcBorders>
            <w:noWrap/>
            <w:vAlign w:val="bottom"/>
            <w:hideMark/>
          </w:tcPr>
          <w:p w14:paraId="14AFC4D1"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(8,995)</w:t>
            </w:r>
          </w:p>
        </w:tc>
      </w:tr>
      <w:tr w:rsidR="00E91426" w:rsidRPr="00E91426" w14:paraId="553B1D63" w14:textId="77777777" w:rsidTr="00E91426">
        <w:trPr>
          <w:trHeight w:val="220"/>
        </w:trPr>
        <w:tc>
          <w:tcPr>
            <w:tcW w:w="4979" w:type="dxa"/>
            <w:tcBorders>
              <w:top w:val="nil"/>
              <w:left w:val="nil"/>
              <w:bottom w:val="nil"/>
              <w:right w:val="nil"/>
            </w:tcBorders>
            <w:vAlign w:val="bottom"/>
            <w:hideMark/>
          </w:tcPr>
          <w:p w14:paraId="41B7E8A4"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Disposals / derecognition</w:t>
            </w:r>
          </w:p>
        </w:tc>
        <w:tc>
          <w:tcPr>
            <w:tcW w:w="950" w:type="dxa"/>
            <w:tcBorders>
              <w:top w:val="nil"/>
              <w:left w:val="nil"/>
              <w:bottom w:val="nil"/>
              <w:right w:val="nil"/>
            </w:tcBorders>
            <w:noWrap/>
            <w:vAlign w:val="bottom"/>
            <w:hideMark/>
          </w:tcPr>
          <w:p w14:paraId="4764AE60"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139" w:type="dxa"/>
            <w:tcBorders>
              <w:top w:val="nil"/>
              <w:left w:val="nil"/>
              <w:bottom w:val="nil"/>
              <w:right w:val="nil"/>
            </w:tcBorders>
            <w:noWrap/>
            <w:vAlign w:val="bottom"/>
            <w:hideMark/>
          </w:tcPr>
          <w:p w14:paraId="7C8267B2"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139" w:type="dxa"/>
            <w:tcBorders>
              <w:top w:val="nil"/>
              <w:left w:val="nil"/>
              <w:bottom w:val="nil"/>
              <w:right w:val="nil"/>
            </w:tcBorders>
            <w:noWrap/>
            <w:vAlign w:val="bottom"/>
            <w:hideMark/>
          </w:tcPr>
          <w:p w14:paraId="31D11B2A"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415" w:type="dxa"/>
            <w:tcBorders>
              <w:top w:val="nil"/>
              <w:left w:val="nil"/>
              <w:bottom w:val="nil"/>
              <w:right w:val="nil"/>
            </w:tcBorders>
            <w:noWrap/>
            <w:vAlign w:val="bottom"/>
            <w:hideMark/>
          </w:tcPr>
          <w:p w14:paraId="3E0BEBB5"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206" w:type="dxa"/>
            <w:tcBorders>
              <w:top w:val="nil"/>
              <w:left w:val="nil"/>
              <w:bottom w:val="nil"/>
              <w:right w:val="nil"/>
            </w:tcBorders>
            <w:noWrap/>
            <w:vAlign w:val="bottom"/>
            <w:hideMark/>
          </w:tcPr>
          <w:p w14:paraId="6A5E433C"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(771)</w:t>
            </w:r>
          </w:p>
        </w:tc>
        <w:tc>
          <w:tcPr>
            <w:tcW w:w="1216" w:type="dxa"/>
            <w:tcBorders>
              <w:top w:val="nil"/>
              <w:left w:val="nil"/>
              <w:bottom w:val="nil"/>
              <w:right w:val="nil"/>
            </w:tcBorders>
            <w:noWrap/>
            <w:vAlign w:val="bottom"/>
            <w:hideMark/>
          </w:tcPr>
          <w:p w14:paraId="3D4655C0"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304" w:type="dxa"/>
            <w:tcBorders>
              <w:top w:val="nil"/>
              <w:left w:val="nil"/>
              <w:bottom w:val="nil"/>
              <w:right w:val="nil"/>
            </w:tcBorders>
            <w:noWrap/>
            <w:vAlign w:val="bottom"/>
            <w:hideMark/>
          </w:tcPr>
          <w:p w14:paraId="4E547161"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(785)</w:t>
            </w:r>
          </w:p>
        </w:tc>
        <w:tc>
          <w:tcPr>
            <w:tcW w:w="1084" w:type="dxa"/>
            <w:tcBorders>
              <w:top w:val="nil"/>
              <w:left w:val="nil"/>
              <w:bottom w:val="nil"/>
              <w:right w:val="nil"/>
            </w:tcBorders>
            <w:noWrap/>
            <w:vAlign w:val="bottom"/>
            <w:hideMark/>
          </w:tcPr>
          <w:p w14:paraId="188E6CC8"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950" w:type="dxa"/>
            <w:tcBorders>
              <w:top w:val="nil"/>
              <w:left w:val="nil"/>
              <w:bottom w:val="nil"/>
              <w:right w:val="nil"/>
            </w:tcBorders>
            <w:noWrap/>
            <w:vAlign w:val="bottom"/>
            <w:hideMark/>
          </w:tcPr>
          <w:p w14:paraId="2AF006A1"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(1,556)</w:t>
            </w:r>
          </w:p>
        </w:tc>
      </w:tr>
      <w:tr w:rsidR="00E91426" w:rsidRPr="00E91426" w14:paraId="0E8BC32C" w14:textId="77777777" w:rsidTr="00E91426">
        <w:trPr>
          <w:trHeight w:val="240"/>
        </w:trPr>
        <w:tc>
          <w:tcPr>
            <w:tcW w:w="4979" w:type="dxa"/>
            <w:tcBorders>
              <w:top w:val="nil"/>
              <w:left w:val="nil"/>
              <w:bottom w:val="nil"/>
              <w:right w:val="nil"/>
            </w:tcBorders>
            <w:noWrap/>
            <w:vAlign w:val="bottom"/>
            <w:hideMark/>
          </w:tcPr>
          <w:p w14:paraId="57E34311"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Accumulated depreciation at 31 March 2024</w:t>
            </w:r>
          </w:p>
        </w:tc>
        <w:tc>
          <w:tcPr>
            <w:tcW w:w="950" w:type="dxa"/>
            <w:tcBorders>
              <w:top w:val="single" w:sz="4" w:space="0" w:color="auto"/>
              <w:left w:val="nil"/>
              <w:bottom w:val="double" w:sz="6" w:space="0" w:color="auto"/>
              <w:right w:val="nil"/>
            </w:tcBorders>
            <w:noWrap/>
            <w:vAlign w:val="bottom"/>
            <w:hideMark/>
          </w:tcPr>
          <w:p w14:paraId="4490D6CA"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0</w:t>
            </w:r>
          </w:p>
        </w:tc>
        <w:tc>
          <w:tcPr>
            <w:tcW w:w="1139" w:type="dxa"/>
            <w:tcBorders>
              <w:top w:val="single" w:sz="4" w:space="0" w:color="auto"/>
              <w:left w:val="nil"/>
              <w:bottom w:val="double" w:sz="6" w:space="0" w:color="auto"/>
              <w:right w:val="nil"/>
            </w:tcBorders>
            <w:noWrap/>
            <w:vAlign w:val="bottom"/>
            <w:hideMark/>
          </w:tcPr>
          <w:p w14:paraId="038CE7A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0</w:t>
            </w:r>
          </w:p>
        </w:tc>
        <w:tc>
          <w:tcPr>
            <w:tcW w:w="1139" w:type="dxa"/>
            <w:tcBorders>
              <w:top w:val="single" w:sz="4" w:space="0" w:color="auto"/>
              <w:left w:val="nil"/>
              <w:bottom w:val="double" w:sz="6" w:space="0" w:color="auto"/>
              <w:right w:val="nil"/>
            </w:tcBorders>
            <w:noWrap/>
            <w:vAlign w:val="bottom"/>
            <w:hideMark/>
          </w:tcPr>
          <w:p w14:paraId="4F9F336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0</w:t>
            </w:r>
          </w:p>
        </w:tc>
        <w:tc>
          <w:tcPr>
            <w:tcW w:w="1415" w:type="dxa"/>
            <w:tcBorders>
              <w:top w:val="single" w:sz="4" w:space="0" w:color="auto"/>
              <w:left w:val="nil"/>
              <w:bottom w:val="double" w:sz="6" w:space="0" w:color="auto"/>
              <w:right w:val="nil"/>
            </w:tcBorders>
            <w:noWrap/>
            <w:vAlign w:val="bottom"/>
            <w:hideMark/>
          </w:tcPr>
          <w:p w14:paraId="2983D26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0</w:t>
            </w:r>
          </w:p>
        </w:tc>
        <w:tc>
          <w:tcPr>
            <w:tcW w:w="1206" w:type="dxa"/>
            <w:tcBorders>
              <w:top w:val="single" w:sz="4" w:space="0" w:color="auto"/>
              <w:left w:val="nil"/>
              <w:bottom w:val="double" w:sz="6" w:space="0" w:color="auto"/>
              <w:right w:val="nil"/>
            </w:tcBorders>
            <w:noWrap/>
            <w:vAlign w:val="bottom"/>
            <w:hideMark/>
          </w:tcPr>
          <w:p w14:paraId="412CA1E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38,952</w:t>
            </w:r>
          </w:p>
        </w:tc>
        <w:tc>
          <w:tcPr>
            <w:tcW w:w="1216" w:type="dxa"/>
            <w:tcBorders>
              <w:top w:val="single" w:sz="4" w:space="0" w:color="auto"/>
              <w:left w:val="nil"/>
              <w:bottom w:val="double" w:sz="6" w:space="0" w:color="auto"/>
              <w:right w:val="nil"/>
            </w:tcBorders>
            <w:noWrap/>
            <w:vAlign w:val="bottom"/>
            <w:hideMark/>
          </w:tcPr>
          <w:p w14:paraId="684BC985"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86</w:t>
            </w:r>
          </w:p>
        </w:tc>
        <w:tc>
          <w:tcPr>
            <w:tcW w:w="1304" w:type="dxa"/>
            <w:tcBorders>
              <w:top w:val="single" w:sz="4" w:space="0" w:color="auto"/>
              <w:left w:val="nil"/>
              <w:bottom w:val="double" w:sz="6" w:space="0" w:color="auto"/>
              <w:right w:val="nil"/>
            </w:tcBorders>
            <w:noWrap/>
            <w:vAlign w:val="bottom"/>
            <w:hideMark/>
          </w:tcPr>
          <w:p w14:paraId="3E7EF2C5"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25,755</w:t>
            </w:r>
          </w:p>
        </w:tc>
        <w:tc>
          <w:tcPr>
            <w:tcW w:w="1084" w:type="dxa"/>
            <w:tcBorders>
              <w:top w:val="single" w:sz="4" w:space="0" w:color="auto"/>
              <w:left w:val="nil"/>
              <w:bottom w:val="double" w:sz="6" w:space="0" w:color="auto"/>
              <w:right w:val="nil"/>
            </w:tcBorders>
            <w:noWrap/>
            <w:vAlign w:val="bottom"/>
            <w:hideMark/>
          </w:tcPr>
          <w:p w14:paraId="2734484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2,407</w:t>
            </w:r>
          </w:p>
        </w:tc>
        <w:tc>
          <w:tcPr>
            <w:tcW w:w="950" w:type="dxa"/>
            <w:tcBorders>
              <w:top w:val="single" w:sz="4" w:space="0" w:color="auto"/>
              <w:left w:val="nil"/>
              <w:bottom w:val="double" w:sz="6" w:space="0" w:color="auto"/>
              <w:right w:val="nil"/>
            </w:tcBorders>
            <w:noWrap/>
            <w:vAlign w:val="bottom"/>
            <w:hideMark/>
          </w:tcPr>
          <w:p w14:paraId="1BC5CE65"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67,200</w:t>
            </w:r>
          </w:p>
        </w:tc>
      </w:tr>
      <w:tr w:rsidR="00E91426" w:rsidRPr="00E91426" w14:paraId="724A7AF7" w14:textId="77777777" w:rsidTr="00E91426">
        <w:trPr>
          <w:trHeight w:val="87"/>
        </w:trPr>
        <w:tc>
          <w:tcPr>
            <w:tcW w:w="4979" w:type="dxa"/>
            <w:tcBorders>
              <w:top w:val="nil"/>
              <w:left w:val="nil"/>
              <w:bottom w:val="nil"/>
              <w:right w:val="nil"/>
            </w:tcBorders>
            <w:vAlign w:val="bottom"/>
            <w:hideMark/>
          </w:tcPr>
          <w:p w14:paraId="22CB3798"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50" w:type="dxa"/>
            <w:tcBorders>
              <w:top w:val="nil"/>
              <w:left w:val="nil"/>
              <w:bottom w:val="nil"/>
              <w:right w:val="nil"/>
            </w:tcBorders>
            <w:vAlign w:val="bottom"/>
            <w:hideMark/>
          </w:tcPr>
          <w:p w14:paraId="69207611" w14:textId="77777777" w:rsidR="00E91426" w:rsidRPr="00E91426" w:rsidRDefault="00E91426" w:rsidP="00E91426">
            <w:pPr>
              <w:widowControl/>
              <w:rPr>
                <w:rFonts w:ascii="Arial" w:eastAsia="Times New Roman" w:hAnsi="Arial" w:cs="Arial"/>
                <w:sz w:val="20"/>
                <w:szCs w:val="20"/>
                <w:lang w:val="en-GB" w:eastAsia="en-GB"/>
              </w:rPr>
            </w:pPr>
          </w:p>
        </w:tc>
        <w:tc>
          <w:tcPr>
            <w:tcW w:w="1139" w:type="dxa"/>
            <w:tcBorders>
              <w:top w:val="nil"/>
              <w:left w:val="nil"/>
              <w:bottom w:val="nil"/>
              <w:right w:val="nil"/>
            </w:tcBorders>
            <w:vAlign w:val="bottom"/>
            <w:hideMark/>
          </w:tcPr>
          <w:p w14:paraId="1D5E5EB1" w14:textId="77777777" w:rsidR="00E91426" w:rsidRPr="00E91426" w:rsidRDefault="00E91426" w:rsidP="00E91426">
            <w:pPr>
              <w:widowControl/>
              <w:rPr>
                <w:rFonts w:ascii="Arial" w:eastAsia="Times New Roman" w:hAnsi="Arial" w:cs="Arial"/>
                <w:sz w:val="20"/>
                <w:szCs w:val="20"/>
                <w:lang w:val="en-GB" w:eastAsia="en-GB"/>
              </w:rPr>
            </w:pPr>
          </w:p>
        </w:tc>
        <w:tc>
          <w:tcPr>
            <w:tcW w:w="1139" w:type="dxa"/>
            <w:tcBorders>
              <w:top w:val="nil"/>
              <w:left w:val="nil"/>
              <w:bottom w:val="nil"/>
              <w:right w:val="nil"/>
            </w:tcBorders>
            <w:vAlign w:val="bottom"/>
            <w:hideMark/>
          </w:tcPr>
          <w:p w14:paraId="48637116" w14:textId="77777777" w:rsidR="00E91426" w:rsidRPr="00E91426" w:rsidRDefault="00E91426" w:rsidP="00E91426">
            <w:pPr>
              <w:widowControl/>
              <w:rPr>
                <w:rFonts w:ascii="Arial" w:eastAsia="Times New Roman" w:hAnsi="Arial" w:cs="Arial"/>
                <w:sz w:val="20"/>
                <w:szCs w:val="20"/>
                <w:lang w:val="en-GB" w:eastAsia="en-GB"/>
              </w:rPr>
            </w:pPr>
          </w:p>
        </w:tc>
        <w:tc>
          <w:tcPr>
            <w:tcW w:w="1415" w:type="dxa"/>
            <w:tcBorders>
              <w:top w:val="nil"/>
              <w:left w:val="nil"/>
              <w:bottom w:val="nil"/>
              <w:right w:val="nil"/>
            </w:tcBorders>
            <w:vAlign w:val="bottom"/>
            <w:hideMark/>
          </w:tcPr>
          <w:p w14:paraId="29F62918" w14:textId="77777777" w:rsidR="00E91426" w:rsidRPr="00E91426" w:rsidRDefault="00E91426" w:rsidP="00E91426">
            <w:pPr>
              <w:widowControl/>
              <w:rPr>
                <w:rFonts w:ascii="Arial" w:eastAsia="Times New Roman" w:hAnsi="Arial" w:cs="Arial"/>
                <w:sz w:val="20"/>
                <w:szCs w:val="20"/>
                <w:lang w:val="en-GB" w:eastAsia="en-GB"/>
              </w:rPr>
            </w:pPr>
          </w:p>
        </w:tc>
        <w:tc>
          <w:tcPr>
            <w:tcW w:w="1206" w:type="dxa"/>
            <w:tcBorders>
              <w:top w:val="nil"/>
              <w:left w:val="nil"/>
              <w:bottom w:val="nil"/>
              <w:right w:val="nil"/>
            </w:tcBorders>
            <w:vAlign w:val="bottom"/>
            <w:hideMark/>
          </w:tcPr>
          <w:p w14:paraId="639337DC" w14:textId="77777777" w:rsidR="00E91426" w:rsidRPr="00E91426" w:rsidRDefault="00E91426" w:rsidP="00E91426">
            <w:pPr>
              <w:widowControl/>
              <w:rPr>
                <w:rFonts w:ascii="Arial" w:eastAsia="Times New Roman" w:hAnsi="Arial" w:cs="Arial"/>
                <w:sz w:val="20"/>
                <w:szCs w:val="20"/>
                <w:lang w:val="en-GB" w:eastAsia="en-GB"/>
              </w:rPr>
            </w:pPr>
          </w:p>
        </w:tc>
        <w:tc>
          <w:tcPr>
            <w:tcW w:w="1216" w:type="dxa"/>
            <w:tcBorders>
              <w:top w:val="nil"/>
              <w:left w:val="nil"/>
              <w:bottom w:val="nil"/>
              <w:right w:val="nil"/>
            </w:tcBorders>
            <w:vAlign w:val="bottom"/>
            <w:hideMark/>
          </w:tcPr>
          <w:p w14:paraId="21D2F154" w14:textId="77777777" w:rsidR="00E91426" w:rsidRPr="00E91426" w:rsidRDefault="00E91426" w:rsidP="00E91426">
            <w:pPr>
              <w:widowControl/>
              <w:rPr>
                <w:rFonts w:ascii="Arial" w:eastAsia="Times New Roman" w:hAnsi="Arial" w:cs="Arial"/>
                <w:sz w:val="20"/>
                <w:szCs w:val="20"/>
                <w:lang w:val="en-GB" w:eastAsia="en-GB"/>
              </w:rPr>
            </w:pPr>
          </w:p>
        </w:tc>
        <w:tc>
          <w:tcPr>
            <w:tcW w:w="1304" w:type="dxa"/>
            <w:tcBorders>
              <w:top w:val="nil"/>
              <w:left w:val="nil"/>
              <w:bottom w:val="nil"/>
              <w:right w:val="nil"/>
            </w:tcBorders>
            <w:vAlign w:val="bottom"/>
            <w:hideMark/>
          </w:tcPr>
          <w:p w14:paraId="3480E767" w14:textId="77777777" w:rsidR="00E91426" w:rsidRPr="00E91426" w:rsidRDefault="00E91426" w:rsidP="00E91426">
            <w:pPr>
              <w:widowControl/>
              <w:rPr>
                <w:rFonts w:ascii="Arial" w:eastAsia="Times New Roman" w:hAnsi="Arial" w:cs="Arial"/>
                <w:sz w:val="20"/>
                <w:szCs w:val="20"/>
                <w:lang w:val="en-GB" w:eastAsia="en-GB"/>
              </w:rPr>
            </w:pPr>
          </w:p>
        </w:tc>
        <w:tc>
          <w:tcPr>
            <w:tcW w:w="1084" w:type="dxa"/>
            <w:tcBorders>
              <w:top w:val="nil"/>
              <w:left w:val="nil"/>
              <w:bottom w:val="nil"/>
              <w:right w:val="nil"/>
            </w:tcBorders>
            <w:vAlign w:val="bottom"/>
            <w:hideMark/>
          </w:tcPr>
          <w:p w14:paraId="503A239F" w14:textId="77777777" w:rsidR="00E91426" w:rsidRPr="00E91426" w:rsidRDefault="00E91426" w:rsidP="00E91426">
            <w:pPr>
              <w:widowControl/>
              <w:rPr>
                <w:rFonts w:ascii="Arial" w:eastAsia="Times New Roman" w:hAnsi="Arial" w:cs="Arial"/>
                <w:sz w:val="20"/>
                <w:szCs w:val="20"/>
                <w:lang w:val="en-GB" w:eastAsia="en-GB"/>
              </w:rPr>
            </w:pPr>
          </w:p>
        </w:tc>
        <w:tc>
          <w:tcPr>
            <w:tcW w:w="950" w:type="dxa"/>
            <w:tcBorders>
              <w:top w:val="nil"/>
              <w:left w:val="nil"/>
              <w:bottom w:val="nil"/>
              <w:right w:val="nil"/>
            </w:tcBorders>
            <w:vAlign w:val="bottom"/>
            <w:hideMark/>
          </w:tcPr>
          <w:p w14:paraId="6175765B"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455D3569" w14:textId="77777777" w:rsidTr="00E91426">
        <w:trPr>
          <w:trHeight w:val="240"/>
        </w:trPr>
        <w:tc>
          <w:tcPr>
            <w:tcW w:w="4979" w:type="dxa"/>
            <w:tcBorders>
              <w:top w:val="nil"/>
              <w:left w:val="nil"/>
              <w:bottom w:val="nil"/>
              <w:right w:val="nil"/>
            </w:tcBorders>
            <w:vAlign w:val="bottom"/>
            <w:hideMark/>
          </w:tcPr>
          <w:p w14:paraId="2E5C43E0"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Net book value at 31 March 2024</w:t>
            </w:r>
          </w:p>
        </w:tc>
        <w:tc>
          <w:tcPr>
            <w:tcW w:w="950" w:type="dxa"/>
            <w:tcBorders>
              <w:top w:val="nil"/>
              <w:left w:val="nil"/>
              <w:bottom w:val="nil"/>
              <w:right w:val="nil"/>
            </w:tcBorders>
            <w:noWrap/>
            <w:vAlign w:val="bottom"/>
            <w:hideMark/>
          </w:tcPr>
          <w:p w14:paraId="24A4C2D1"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7,722</w:t>
            </w:r>
          </w:p>
        </w:tc>
        <w:tc>
          <w:tcPr>
            <w:tcW w:w="1139" w:type="dxa"/>
            <w:tcBorders>
              <w:top w:val="nil"/>
              <w:left w:val="nil"/>
              <w:bottom w:val="nil"/>
              <w:right w:val="nil"/>
            </w:tcBorders>
            <w:noWrap/>
            <w:vAlign w:val="bottom"/>
            <w:hideMark/>
          </w:tcPr>
          <w:p w14:paraId="5FD2889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193,696</w:t>
            </w:r>
          </w:p>
        </w:tc>
        <w:tc>
          <w:tcPr>
            <w:tcW w:w="1139" w:type="dxa"/>
            <w:tcBorders>
              <w:top w:val="nil"/>
              <w:left w:val="nil"/>
              <w:bottom w:val="nil"/>
              <w:right w:val="nil"/>
            </w:tcBorders>
            <w:noWrap/>
            <w:vAlign w:val="bottom"/>
            <w:hideMark/>
          </w:tcPr>
          <w:p w14:paraId="2ACFF42F"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5,783</w:t>
            </w:r>
          </w:p>
        </w:tc>
        <w:tc>
          <w:tcPr>
            <w:tcW w:w="1415" w:type="dxa"/>
            <w:tcBorders>
              <w:top w:val="nil"/>
              <w:left w:val="nil"/>
              <w:bottom w:val="nil"/>
              <w:right w:val="nil"/>
            </w:tcBorders>
            <w:noWrap/>
            <w:vAlign w:val="bottom"/>
            <w:hideMark/>
          </w:tcPr>
          <w:p w14:paraId="06D7804D"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27,488</w:t>
            </w:r>
          </w:p>
        </w:tc>
        <w:tc>
          <w:tcPr>
            <w:tcW w:w="1206" w:type="dxa"/>
            <w:tcBorders>
              <w:top w:val="nil"/>
              <w:left w:val="nil"/>
              <w:bottom w:val="nil"/>
              <w:right w:val="nil"/>
            </w:tcBorders>
            <w:noWrap/>
            <w:vAlign w:val="bottom"/>
            <w:hideMark/>
          </w:tcPr>
          <w:p w14:paraId="1461B98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20,203</w:t>
            </w:r>
          </w:p>
        </w:tc>
        <w:tc>
          <w:tcPr>
            <w:tcW w:w="1216" w:type="dxa"/>
            <w:tcBorders>
              <w:top w:val="nil"/>
              <w:left w:val="nil"/>
              <w:bottom w:val="nil"/>
              <w:right w:val="nil"/>
            </w:tcBorders>
            <w:noWrap/>
            <w:vAlign w:val="bottom"/>
            <w:hideMark/>
          </w:tcPr>
          <w:p w14:paraId="04183D2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36</w:t>
            </w:r>
          </w:p>
        </w:tc>
        <w:tc>
          <w:tcPr>
            <w:tcW w:w="1304" w:type="dxa"/>
            <w:tcBorders>
              <w:top w:val="nil"/>
              <w:left w:val="nil"/>
              <w:bottom w:val="nil"/>
              <w:right w:val="nil"/>
            </w:tcBorders>
            <w:noWrap/>
            <w:vAlign w:val="bottom"/>
            <w:hideMark/>
          </w:tcPr>
          <w:p w14:paraId="30EFB0DB"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24,065</w:t>
            </w:r>
          </w:p>
        </w:tc>
        <w:tc>
          <w:tcPr>
            <w:tcW w:w="1084" w:type="dxa"/>
            <w:tcBorders>
              <w:top w:val="nil"/>
              <w:left w:val="nil"/>
              <w:bottom w:val="nil"/>
              <w:right w:val="nil"/>
            </w:tcBorders>
            <w:noWrap/>
            <w:vAlign w:val="bottom"/>
            <w:hideMark/>
          </w:tcPr>
          <w:p w14:paraId="76607C4D"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172</w:t>
            </w:r>
          </w:p>
        </w:tc>
        <w:tc>
          <w:tcPr>
            <w:tcW w:w="950" w:type="dxa"/>
            <w:tcBorders>
              <w:top w:val="nil"/>
              <w:left w:val="nil"/>
              <w:bottom w:val="nil"/>
              <w:right w:val="nil"/>
            </w:tcBorders>
            <w:noWrap/>
            <w:vAlign w:val="bottom"/>
            <w:hideMark/>
          </w:tcPr>
          <w:p w14:paraId="6E8D7F65"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279,165</w:t>
            </w:r>
          </w:p>
        </w:tc>
      </w:tr>
      <w:tr w:rsidR="00E91426" w:rsidRPr="00E91426" w14:paraId="30E1A21F" w14:textId="77777777" w:rsidTr="00E91426">
        <w:trPr>
          <w:trHeight w:val="240"/>
        </w:trPr>
        <w:tc>
          <w:tcPr>
            <w:tcW w:w="4979" w:type="dxa"/>
            <w:tcBorders>
              <w:top w:val="nil"/>
              <w:left w:val="nil"/>
              <w:bottom w:val="nil"/>
              <w:right w:val="nil"/>
            </w:tcBorders>
            <w:vAlign w:val="bottom"/>
            <w:hideMark/>
          </w:tcPr>
          <w:p w14:paraId="23D6D064"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Net book value at 1 April 2023</w:t>
            </w:r>
          </w:p>
        </w:tc>
        <w:tc>
          <w:tcPr>
            <w:tcW w:w="950" w:type="dxa"/>
            <w:tcBorders>
              <w:top w:val="nil"/>
              <w:left w:val="nil"/>
              <w:bottom w:val="nil"/>
              <w:right w:val="nil"/>
            </w:tcBorders>
            <w:noWrap/>
            <w:vAlign w:val="bottom"/>
            <w:hideMark/>
          </w:tcPr>
          <w:p w14:paraId="03055E9A"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7,997</w:t>
            </w:r>
          </w:p>
        </w:tc>
        <w:tc>
          <w:tcPr>
            <w:tcW w:w="1139" w:type="dxa"/>
            <w:tcBorders>
              <w:top w:val="nil"/>
              <w:left w:val="nil"/>
              <w:bottom w:val="nil"/>
              <w:right w:val="nil"/>
            </w:tcBorders>
            <w:noWrap/>
            <w:vAlign w:val="bottom"/>
            <w:hideMark/>
          </w:tcPr>
          <w:p w14:paraId="000AFE5C"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196,668</w:t>
            </w:r>
          </w:p>
        </w:tc>
        <w:tc>
          <w:tcPr>
            <w:tcW w:w="1139" w:type="dxa"/>
            <w:tcBorders>
              <w:top w:val="nil"/>
              <w:left w:val="nil"/>
              <w:bottom w:val="nil"/>
              <w:right w:val="nil"/>
            </w:tcBorders>
            <w:noWrap/>
            <w:vAlign w:val="bottom"/>
            <w:hideMark/>
          </w:tcPr>
          <w:p w14:paraId="40CCBCA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5,833</w:t>
            </w:r>
          </w:p>
        </w:tc>
        <w:tc>
          <w:tcPr>
            <w:tcW w:w="1415" w:type="dxa"/>
            <w:tcBorders>
              <w:top w:val="nil"/>
              <w:left w:val="nil"/>
              <w:bottom w:val="nil"/>
              <w:right w:val="nil"/>
            </w:tcBorders>
            <w:noWrap/>
            <w:vAlign w:val="bottom"/>
            <w:hideMark/>
          </w:tcPr>
          <w:p w14:paraId="096F44F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18,869</w:t>
            </w:r>
          </w:p>
        </w:tc>
        <w:tc>
          <w:tcPr>
            <w:tcW w:w="1206" w:type="dxa"/>
            <w:tcBorders>
              <w:top w:val="nil"/>
              <w:left w:val="nil"/>
              <w:bottom w:val="nil"/>
              <w:right w:val="nil"/>
            </w:tcBorders>
            <w:noWrap/>
            <w:vAlign w:val="bottom"/>
            <w:hideMark/>
          </w:tcPr>
          <w:p w14:paraId="0CB54D8A"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16,327</w:t>
            </w:r>
          </w:p>
        </w:tc>
        <w:tc>
          <w:tcPr>
            <w:tcW w:w="1216" w:type="dxa"/>
            <w:tcBorders>
              <w:top w:val="nil"/>
              <w:left w:val="nil"/>
              <w:bottom w:val="nil"/>
              <w:right w:val="nil"/>
            </w:tcBorders>
            <w:noWrap/>
            <w:vAlign w:val="bottom"/>
            <w:hideMark/>
          </w:tcPr>
          <w:p w14:paraId="226C552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0</w:t>
            </w:r>
          </w:p>
        </w:tc>
        <w:tc>
          <w:tcPr>
            <w:tcW w:w="1304" w:type="dxa"/>
            <w:tcBorders>
              <w:top w:val="nil"/>
              <w:left w:val="nil"/>
              <w:bottom w:val="nil"/>
              <w:right w:val="nil"/>
            </w:tcBorders>
            <w:noWrap/>
            <w:vAlign w:val="bottom"/>
            <w:hideMark/>
          </w:tcPr>
          <w:p w14:paraId="310B0DC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25,863</w:t>
            </w:r>
          </w:p>
        </w:tc>
        <w:tc>
          <w:tcPr>
            <w:tcW w:w="1084" w:type="dxa"/>
            <w:tcBorders>
              <w:top w:val="nil"/>
              <w:left w:val="nil"/>
              <w:bottom w:val="nil"/>
              <w:right w:val="nil"/>
            </w:tcBorders>
            <w:noWrap/>
            <w:vAlign w:val="bottom"/>
            <w:hideMark/>
          </w:tcPr>
          <w:p w14:paraId="101CAB58"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253</w:t>
            </w:r>
          </w:p>
        </w:tc>
        <w:tc>
          <w:tcPr>
            <w:tcW w:w="950" w:type="dxa"/>
            <w:tcBorders>
              <w:top w:val="nil"/>
              <w:left w:val="nil"/>
              <w:bottom w:val="nil"/>
              <w:right w:val="nil"/>
            </w:tcBorders>
            <w:noWrap/>
            <w:vAlign w:val="bottom"/>
            <w:hideMark/>
          </w:tcPr>
          <w:p w14:paraId="36E601D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271,810</w:t>
            </w:r>
          </w:p>
        </w:tc>
      </w:tr>
    </w:tbl>
    <w:p w14:paraId="5B155341" w14:textId="77777777" w:rsidR="00E91426" w:rsidRPr="00E91426" w:rsidRDefault="00E91426" w:rsidP="00E91426">
      <w:pPr>
        <w:widowControl/>
        <w:spacing w:after="160" w:line="259" w:lineRule="auto"/>
        <w:rPr>
          <w:rFonts w:ascii="Arial" w:eastAsia="Calibri" w:hAnsi="Arial" w:cs="Arial"/>
          <w:sz w:val="20"/>
          <w:szCs w:val="20"/>
          <w:lang w:val="en-GB"/>
        </w:rPr>
      </w:pPr>
    </w:p>
    <w:tbl>
      <w:tblPr>
        <w:tblW w:w="14834" w:type="dxa"/>
        <w:tblLook w:val="04A0" w:firstRow="1" w:lastRow="0" w:firstColumn="1" w:lastColumn="0" w:noHBand="0" w:noVBand="1"/>
      </w:tblPr>
      <w:tblGrid>
        <w:gridCol w:w="4745"/>
        <w:gridCol w:w="896"/>
        <w:gridCol w:w="1150"/>
        <w:gridCol w:w="1150"/>
        <w:gridCol w:w="1428"/>
        <w:gridCol w:w="1217"/>
        <w:gridCol w:w="1228"/>
        <w:gridCol w:w="1316"/>
        <w:gridCol w:w="1094"/>
        <w:gridCol w:w="1061"/>
      </w:tblGrid>
      <w:tr w:rsidR="00E91426" w:rsidRPr="00E91426" w14:paraId="4CEBC9B8" w14:textId="77777777" w:rsidTr="00E91426">
        <w:trPr>
          <w:trHeight w:val="321"/>
        </w:trPr>
        <w:tc>
          <w:tcPr>
            <w:tcW w:w="5641" w:type="dxa"/>
            <w:gridSpan w:val="2"/>
            <w:tcBorders>
              <w:top w:val="nil"/>
              <w:left w:val="nil"/>
              <w:bottom w:val="nil"/>
              <w:right w:val="nil"/>
            </w:tcBorders>
            <w:noWrap/>
            <w:vAlign w:val="bottom"/>
            <w:hideMark/>
          </w:tcPr>
          <w:p w14:paraId="5C27D634"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Note 10.3 Property, plant and equipment financing- 2024/25</w:t>
            </w:r>
          </w:p>
        </w:tc>
        <w:tc>
          <w:tcPr>
            <w:tcW w:w="1096" w:type="dxa"/>
            <w:tcBorders>
              <w:top w:val="nil"/>
              <w:left w:val="nil"/>
              <w:bottom w:val="nil"/>
              <w:right w:val="nil"/>
            </w:tcBorders>
            <w:noWrap/>
            <w:vAlign w:val="center"/>
            <w:hideMark/>
          </w:tcPr>
          <w:p w14:paraId="7F5170D0"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1096" w:type="dxa"/>
            <w:tcBorders>
              <w:top w:val="nil"/>
              <w:left w:val="nil"/>
              <w:bottom w:val="nil"/>
              <w:right w:val="nil"/>
            </w:tcBorders>
            <w:vAlign w:val="bottom"/>
            <w:hideMark/>
          </w:tcPr>
          <w:p w14:paraId="7261D94A" w14:textId="77777777" w:rsidR="00E91426" w:rsidRPr="00E91426" w:rsidRDefault="00E91426" w:rsidP="00E91426">
            <w:pPr>
              <w:widowControl/>
              <w:rPr>
                <w:rFonts w:ascii="Arial" w:eastAsia="Times New Roman" w:hAnsi="Arial" w:cs="Arial"/>
                <w:sz w:val="20"/>
                <w:szCs w:val="20"/>
                <w:lang w:val="en-GB" w:eastAsia="en-GB"/>
              </w:rPr>
            </w:pPr>
          </w:p>
        </w:tc>
        <w:tc>
          <w:tcPr>
            <w:tcW w:w="1361" w:type="dxa"/>
            <w:tcBorders>
              <w:top w:val="nil"/>
              <w:left w:val="nil"/>
              <w:bottom w:val="nil"/>
              <w:right w:val="nil"/>
            </w:tcBorders>
            <w:vAlign w:val="bottom"/>
            <w:hideMark/>
          </w:tcPr>
          <w:p w14:paraId="2ED9E44B" w14:textId="77777777" w:rsidR="00E91426" w:rsidRPr="00E91426" w:rsidRDefault="00E91426" w:rsidP="00E91426">
            <w:pPr>
              <w:widowControl/>
              <w:rPr>
                <w:rFonts w:ascii="Arial" w:eastAsia="Times New Roman" w:hAnsi="Arial" w:cs="Arial"/>
                <w:sz w:val="20"/>
                <w:szCs w:val="20"/>
                <w:lang w:val="en-GB" w:eastAsia="en-GB"/>
              </w:rPr>
            </w:pPr>
          </w:p>
        </w:tc>
        <w:tc>
          <w:tcPr>
            <w:tcW w:w="1160" w:type="dxa"/>
            <w:tcBorders>
              <w:top w:val="nil"/>
              <w:left w:val="nil"/>
              <w:bottom w:val="nil"/>
              <w:right w:val="nil"/>
            </w:tcBorders>
            <w:vAlign w:val="bottom"/>
            <w:hideMark/>
          </w:tcPr>
          <w:p w14:paraId="7817E730" w14:textId="77777777" w:rsidR="00E91426" w:rsidRPr="00E91426" w:rsidRDefault="00E91426" w:rsidP="00E91426">
            <w:pPr>
              <w:widowControl/>
              <w:rPr>
                <w:rFonts w:ascii="Arial" w:eastAsia="Times New Roman" w:hAnsi="Arial" w:cs="Arial"/>
                <w:sz w:val="20"/>
                <w:szCs w:val="20"/>
                <w:lang w:val="en-GB" w:eastAsia="en-GB"/>
              </w:rPr>
            </w:pPr>
          </w:p>
        </w:tc>
        <w:tc>
          <w:tcPr>
            <w:tcW w:w="1171" w:type="dxa"/>
            <w:tcBorders>
              <w:top w:val="nil"/>
              <w:left w:val="nil"/>
              <w:bottom w:val="nil"/>
              <w:right w:val="nil"/>
            </w:tcBorders>
            <w:vAlign w:val="bottom"/>
            <w:hideMark/>
          </w:tcPr>
          <w:p w14:paraId="480D0364" w14:textId="77777777" w:rsidR="00E91426" w:rsidRPr="00E91426" w:rsidRDefault="00E91426" w:rsidP="00E91426">
            <w:pPr>
              <w:widowControl/>
              <w:rPr>
                <w:rFonts w:ascii="Arial" w:eastAsia="Times New Roman" w:hAnsi="Arial" w:cs="Arial"/>
                <w:sz w:val="20"/>
                <w:szCs w:val="20"/>
                <w:lang w:val="en-GB" w:eastAsia="en-GB"/>
              </w:rPr>
            </w:pPr>
          </w:p>
        </w:tc>
        <w:tc>
          <w:tcPr>
            <w:tcW w:w="1255" w:type="dxa"/>
            <w:tcBorders>
              <w:top w:val="nil"/>
              <w:left w:val="nil"/>
              <w:bottom w:val="nil"/>
              <w:right w:val="nil"/>
            </w:tcBorders>
            <w:vAlign w:val="bottom"/>
            <w:hideMark/>
          </w:tcPr>
          <w:p w14:paraId="3647DCFC" w14:textId="77777777" w:rsidR="00E91426" w:rsidRPr="00E91426" w:rsidRDefault="00E91426" w:rsidP="00E91426">
            <w:pPr>
              <w:widowControl/>
              <w:rPr>
                <w:rFonts w:ascii="Arial" w:eastAsia="Times New Roman" w:hAnsi="Arial" w:cs="Arial"/>
                <w:sz w:val="20"/>
                <w:szCs w:val="20"/>
                <w:lang w:val="en-GB" w:eastAsia="en-GB"/>
              </w:rPr>
            </w:pPr>
          </w:p>
        </w:tc>
        <w:tc>
          <w:tcPr>
            <w:tcW w:w="1043" w:type="dxa"/>
            <w:tcBorders>
              <w:top w:val="nil"/>
              <w:left w:val="nil"/>
              <w:bottom w:val="nil"/>
              <w:right w:val="nil"/>
            </w:tcBorders>
            <w:vAlign w:val="bottom"/>
            <w:hideMark/>
          </w:tcPr>
          <w:p w14:paraId="7DF57839" w14:textId="77777777" w:rsidR="00E91426" w:rsidRPr="00E91426" w:rsidRDefault="00E91426" w:rsidP="00E91426">
            <w:pPr>
              <w:widowControl/>
              <w:rPr>
                <w:rFonts w:ascii="Arial" w:eastAsia="Times New Roman" w:hAnsi="Arial" w:cs="Arial"/>
                <w:sz w:val="20"/>
                <w:szCs w:val="20"/>
                <w:lang w:val="en-GB" w:eastAsia="en-GB"/>
              </w:rPr>
            </w:pPr>
          </w:p>
        </w:tc>
        <w:tc>
          <w:tcPr>
            <w:tcW w:w="1011" w:type="dxa"/>
            <w:tcBorders>
              <w:top w:val="nil"/>
              <w:left w:val="nil"/>
              <w:bottom w:val="nil"/>
              <w:right w:val="nil"/>
            </w:tcBorders>
            <w:vAlign w:val="bottom"/>
            <w:hideMark/>
          </w:tcPr>
          <w:p w14:paraId="4D122A40"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1E04687E" w14:textId="77777777" w:rsidTr="00E91426">
        <w:trPr>
          <w:trHeight w:val="991"/>
        </w:trPr>
        <w:tc>
          <w:tcPr>
            <w:tcW w:w="4745" w:type="dxa"/>
            <w:tcBorders>
              <w:top w:val="nil"/>
              <w:left w:val="nil"/>
              <w:bottom w:val="nil"/>
              <w:right w:val="nil"/>
            </w:tcBorders>
            <w:vAlign w:val="bottom"/>
            <w:hideMark/>
          </w:tcPr>
          <w:p w14:paraId="0CA663F9" w14:textId="77777777" w:rsidR="00E91426" w:rsidRPr="00E91426" w:rsidRDefault="00E91426" w:rsidP="00E91426">
            <w:pPr>
              <w:widowControl/>
              <w:rPr>
                <w:rFonts w:ascii="Arial" w:eastAsia="Times New Roman" w:hAnsi="Arial" w:cs="Arial"/>
                <w:sz w:val="20"/>
                <w:szCs w:val="20"/>
                <w:lang w:val="en-GB" w:eastAsia="en-GB"/>
              </w:rPr>
            </w:pPr>
          </w:p>
        </w:tc>
        <w:tc>
          <w:tcPr>
            <w:tcW w:w="896" w:type="dxa"/>
            <w:tcBorders>
              <w:top w:val="nil"/>
              <w:left w:val="nil"/>
              <w:bottom w:val="nil"/>
              <w:right w:val="nil"/>
            </w:tcBorders>
            <w:hideMark/>
          </w:tcPr>
          <w:p w14:paraId="66560FE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Land</w:t>
            </w:r>
          </w:p>
        </w:tc>
        <w:tc>
          <w:tcPr>
            <w:tcW w:w="1096" w:type="dxa"/>
            <w:tcBorders>
              <w:top w:val="nil"/>
              <w:left w:val="nil"/>
              <w:bottom w:val="nil"/>
              <w:right w:val="nil"/>
            </w:tcBorders>
            <w:hideMark/>
          </w:tcPr>
          <w:p w14:paraId="0EAD504A"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Buildings excluding dwellings</w:t>
            </w:r>
          </w:p>
        </w:tc>
        <w:tc>
          <w:tcPr>
            <w:tcW w:w="1096" w:type="dxa"/>
            <w:tcBorders>
              <w:top w:val="nil"/>
              <w:left w:val="nil"/>
              <w:bottom w:val="nil"/>
              <w:right w:val="nil"/>
            </w:tcBorders>
            <w:hideMark/>
          </w:tcPr>
          <w:p w14:paraId="29EDD6EA"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Dwellings</w:t>
            </w:r>
          </w:p>
        </w:tc>
        <w:tc>
          <w:tcPr>
            <w:tcW w:w="1361" w:type="dxa"/>
            <w:tcBorders>
              <w:top w:val="nil"/>
              <w:left w:val="nil"/>
              <w:bottom w:val="nil"/>
              <w:right w:val="nil"/>
            </w:tcBorders>
            <w:hideMark/>
          </w:tcPr>
          <w:p w14:paraId="245A930B"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Assets under construction</w:t>
            </w:r>
          </w:p>
        </w:tc>
        <w:tc>
          <w:tcPr>
            <w:tcW w:w="1160" w:type="dxa"/>
            <w:tcBorders>
              <w:top w:val="nil"/>
              <w:left w:val="nil"/>
              <w:bottom w:val="nil"/>
              <w:right w:val="nil"/>
            </w:tcBorders>
            <w:hideMark/>
          </w:tcPr>
          <w:p w14:paraId="41C7E423"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Plant &amp; machinery</w:t>
            </w:r>
          </w:p>
        </w:tc>
        <w:tc>
          <w:tcPr>
            <w:tcW w:w="1171" w:type="dxa"/>
            <w:tcBorders>
              <w:top w:val="nil"/>
              <w:left w:val="nil"/>
              <w:bottom w:val="nil"/>
              <w:right w:val="nil"/>
            </w:tcBorders>
            <w:hideMark/>
          </w:tcPr>
          <w:p w14:paraId="2C87F612"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Transport equipment</w:t>
            </w:r>
          </w:p>
        </w:tc>
        <w:tc>
          <w:tcPr>
            <w:tcW w:w="1255" w:type="dxa"/>
            <w:tcBorders>
              <w:top w:val="nil"/>
              <w:left w:val="nil"/>
              <w:bottom w:val="nil"/>
              <w:right w:val="nil"/>
            </w:tcBorders>
            <w:hideMark/>
          </w:tcPr>
          <w:p w14:paraId="76F7E4D5"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Information technology</w:t>
            </w:r>
          </w:p>
        </w:tc>
        <w:tc>
          <w:tcPr>
            <w:tcW w:w="1043" w:type="dxa"/>
            <w:tcBorders>
              <w:top w:val="nil"/>
              <w:left w:val="nil"/>
              <w:bottom w:val="nil"/>
              <w:right w:val="nil"/>
            </w:tcBorders>
            <w:hideMark/>
          </w:tcPr>
          <w:p w14:paraId="1F12A67C"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Furniture &amp; fittings</w:t>
            </w:r>
          </w:p>
        </w:tc>
        <w:tc>
          <w:tcPr>
            <w:tcW w:w="1011" w:type="dxa"/>
            <w:tcBorders>
              <w:top w:val="nil"/>
              <w:left w:val="nil"/>
              <w:bottom w:val="nil"/>
              <w:right w:val="nil"/>
            </w:tcBorders>
            <w:hideMark/>
          </w:tcPr>
          <w:p w14:paraId="29899420"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Total </w:t>
            </w:r>
          </w:p>
        </w:tc>
      </w:tr>
      <w:tr w:rsidR="00E91426" w:rsidRPr="00E91426" w14:paraId="6AD8156C" w14:textId="77777777" w:rsidTr="00E91426">
        <w:trPr>
          <w:trHeight w:val="321"/>
        </w:trPr>
        <w:tc>
          <w:tcPr>
            <w:tcW w:w="4745" w:type="dxa"/>
            <w:tcBorders>
              <w:top w:val="nil"/>
              <w:left w:val="nil"/>
              <w:bottom w:val="nil"/>
              <w:right w:val="nil"/>
            </w:tcBorders>
            <w:vAlign w:val="bottom"/>
            <w:hideMark/>
          </w:tcPr>
          <w:p w14:paraId="2A296D9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896" w:type="dxa"/>
            <w:tcBorders>
              <w:top w:val="nil"/>
              <w:left w:val="nil"/>
              <w:bottom w:val="nil"/>
              <w:right w:val="nil"/>
            </w:tcBorders>
            <w:vAlign w:val="bottom"/>
            <w:hideMark/>
          </w:tcPr>
          <w:p w14:paraId="125DD5BB"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1096" w:type="dxa"/>
            <w:tcBorders>
              <w:top w:val="nil"/>
              <w:left w:val="nil"/>
              <w:bottom w:val="nil"/>
              <w:right w:val="nil"/>
            </w:tcBorders>
            <w:vAlign w:val="bottom"/>
            <w:hideMark/>
          </w:tcPr>
          <w:p w14:paraId="34DD304A"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1096" w:type="dxa"/>
            <w:tcBorders>
              <w:top w:val="nil"/>
              <w:left w:val="nil"/>
              <w:bottom w:val="nil"/>
              <w:right w:val="nil"/>
            </w:tcBorders>
            <w:vAlign w:val="bottom"/>
            <w:hideMark/>
          </w:tcPr>
          <w:p w14:paraId="24925A0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1361" w:type="dxa"/>
            <w:tcBorders>
              <w:top w:val="nil"/>
              <w:left w:val="nil"/>
              <w:bottom w:val="nil"/>
              <w:right w:val="nil"/>
            </w:tcBorders>
            <w:vAlign w:val="bottom"/>
            <w:hideMark/>
          </w:tcPr>
          <w:p w14:paraId="1D95966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1160" w:type="dxa"/>
            <w:tcBorders>
              <w:top w:val="nil"/>
              <w:left w:val="nil"/>
              <w:bottom w:val="nil"/>
              <w:right w:val="nil"/>
            </w:tcBorders>
            <w:vAlign w:val="bottom"/>
            <w:hideMark/>
          </w:tcPr>
          <w:p w14:paraId="0EB742DD"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1171" w:type="dxa"/>
            <w:tcBorders>
              <w:top w:val="nil"/>
              <w:left w:val="nil"/>
              <w:bottom w:val="nil"/>
              <w:right w:val="nil"/>
            </w:tcBorders>
            <w:vAlign w:val="bottom"/>
            <w:hideMark/>
          </w:tcPr>
          <w:p w14:paraId="278CC52B"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1255" w:type="dxa"/>
            <w:tcBorders>
              <w:top w:val="nil"/>
              <w:left w:val="nil"/>
              <w:bottom w:val="nil"/>
              <w:right w:val="nil"/>
            </w:tcBorders>
            <w:vAlign w:val="bottom"/>
            <w:hideMark/>
          </w:tcPr>
          <w:p w14:paraId="5E74D4E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1043" w:type="dxa"/>
            <w:tcBorders>
              <w:top w:val="nil"/>
              <w:left w:val="nil"/>
              <w:bottom w:val="nil"/>
              <w:right w:val="nil"/>
            </w:tcBorders>
            <w:vAlign w:val="bottom"/>
            <w:hideMark/>
          </w:tcPr>
          <w:p w14:paraId="4318199A"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1011" w:type="dxa"/>
            <w:tcBorders>
              <w:top w:val="nil"/>
              <w:left w:val="nil"/>
              <w:bottom w:val="nil"/>
              <w:right w:val="nil"/>
            </w:tcBorders>
            <w:vAlign w:val="bottom"/>
            <w:hideMark/>
          </w:tcPr>
          <w:p w14:paraId="0E9AFC92"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r>
      <w:tr w:rsidR="00E91426" w:rsidRPr="00E91426" w14:paraId="5CE06E17" w14:textId="77777777" w:rsidTr="00E91426">
        <w:trPr>
          <w:trHeight w:val="289"/>
        </w:trPr>
        <w:tc>
          <w:tcPr>
            <w:tcW w:w="4745" w:type="dxa"/>
            <w:tcBorders>
              <w:top w:val="nil"/>
              <w:left w:val="nil"/>
              <w:bottom w:val="nil"/>
              <w:right w:val="nil"/>
            </w:tcBorders>
            <w:vAlign w:val="bottom"/>
            <w:hideMark/>
          </w:tcPr>
          <w:p w14:paraId="7EBACCC3"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Owned - purchased</w:t>
            </w:r>
          </w:p>
        </w:tc>
        <w:tc>
          <w:tcPr>
            <w:tcW w:w="896" w:type="dxa"/>
            <w:tcBorders>
              <w:top w:val="nil"/>
              <w:left w:val="nil"/>
              <w:bottom w:val="nil"/>
              <w:right w:val="nil"/>
            </w:tcBorders>
            <w:noWrap/>
            <w:vAlign w:val="bottom"/>
            <w:hideMark/>
          </w:tcPr>
          <w:p w14:paraId="5F4E50D8"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8,122</w:t>
            </w:r>
          </w:p>
        </w:tc>
        <w:tc>
          <w:tcPr>
            <w:tcW w:w="1096" w:type="dxa"/>
            <w:tcBorders>
              <w:top w:val="nil"/>
              <w:left w:val="nil"/>
              <w:bottom w:val="nil"/>
              <w:right w:val="nil"/>
            </w:tcBorders>
            <w:noWrap/>
            <w:vAlign w:val="bottom"/>
            <w:hideMark/>
          </w:tcPr>
          <w:p w14:paraId="5A805FFC"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194,289</w:t>
            </w:r>
          </w:p>
        </w:tc>
        <w:tc>
          <w:tcPr>
            <w:tcW w:w="1096" w:type="dxa"/>
            <w:tcBorders>
              <w:top w:val="nil"/>
              <w:left w:val="nil"/>
              <w:bottom w:val="nil"/>
              <w:right w:val="nil"/>
            </w:tcBorders>
            <w:noWrap/>
            <w:vAlign w:val="bottom"/>
            <w:hideMark/>
          </w:tcPr>
          <w:p w14:paraId="09EF2782"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6,508</w:t>
            </w:r>
          </w:p>
        </w:tc>
        <w:tc>
          <w:tcPr>
            <w:tcW w:w="1361" w:type="dxa"/>
            <w:tcBorders>
              <w:top w:val="nil"/>
              <w:left w:val="nil"/>
              <w:bottom w:val="nil"/>
              <w:right w:val="nil"/>
            </w:tcBorders>
            <w:noWrap/>
            <w:vAlign w:val="bottom"/>
            <w:hideMark/>
          </w:tcPr>
          <w:p w14:paraId="36CB5B5A"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17,253</w:t>
            </w:r>
          </w:p>
        </w:tc>
        <w:tc>
          <w:tcPr>
            <w:tcW w:w="1160" w:type="dxa"/>
            <w:tcBorders>
              <w:top w:val="nil"/>
              <w:left w:val="nil"/>
              <w:bottom w:val="nil"/>
              <w:right w:val="nil"/>
            </w:tcBorders>
            <w:noWrap/>
            <w:vAlign w:val="bottom"/>
            <w:hideMark/>
          </w:tcPr>
          <w:p w14:paraId="327C5D38"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26,778</w:t>
            </w:r>
          </w:p>
        </w:tc>
        <w:tc>
          <w:tcPr>
            <w:tcW w:w="1171" w:type="dxa"/>
            <w:tcBorders>
              <w:top w:val="nil"/>
              <w:left w:val="nil"/>
              <w:bottom w:val="nil"/>
              <w:right w:val="nil"/>
            </w:tcBorders>
            <w:noWrap/>
            <w:vAlign w:val="bottom"/>
            <w:hideMark/>
          </w:tcPr>
          <w:p w14:paraId="6810F8CB"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31</w:t>
            </w:r>
          </w:p>
        </w:tc>
        <w:tc>
          <w:tcPr>
            <w:tcW w:w="1255" w:type="dxa"/>
            <w:tcBorders>
              <w:top w:val="nil"/>
              <w:left w:val="nil"/>
              <w:bottom w:val="nil"/>
              <w:right w:val="nil"/>
            </w:tcBorders>
            <w:noWrap/>
            <w:vAlign w:val="bottom"/>
            <w:hideMark/>
          </w:tcPr>
          <w:p w14:paraId="6E258093"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27,240</w:t>
            </w:r>
          </w:p>
        </w:tc>
        <w:tc>
          <w:tcPr>
            <w:tcW w:w="1043" w:type="dxa"/>
            <w:tcBorders>
              <w:top w:val="nil"/>
              <w:left w:val="nil"/>
              <w:bottom w:val="nil"/>
              <w:right w:val="nil"/>
            </w:tcBorders>
            <w:noWrap/>
            <w:vAlign w:val="bottom"/>
            <w:hideMark/>
          </w:tcPr>
          <w:p w14:paraId="2FC278C5"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353</w:t>
            </w:r>
          </w:p>
        </w:tc>
        <w:tc>
          <w:tcPr>
            <w:tcW w:w="1011" w:type="dxa"/>
            <w:tcBorders>
              <w:top w:val="nil"/>
              <w:left w:val="nil"/>
              <w:bottom w:val="nil"/>
              <w:right w:val="nil"/>
            </w:tcBorders>
            <w:noWrap/>
            <w:vAlign w:val="bottom"/>
            <w:hideMark/>
          </w:tcPr>
          <w:p w14:paraId="529FF0A9"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280,574</w:t>
            </w:r>
          </w:p>
        </w:tc>
      </w:tr>
      <w:tr w:rsidR="00E91426" w:rsidRPr="00E91426" w14:paraId="36739CB9" w14:textId="77777777" w:rsidTr="00E91426">
        <w:trPr>
          <w:trHeight w:val="289"/>
        </w:trPr>
        <w:tc>
          <w:tcPr>
            <w:tcW w:w="4745" w:type="dxa"/>
            <w:tcBorders>
              <w:top w:val="nil"/>
              <w:left w:val="nil"/>
              <w:bottom w:val="nil"/>
              <w:right w:val="nil"/>
            </w:tcBorders>
            <w:vAlign w:val="bottom"/>
            <w:hideMark/>
          </w:tcPr>
          <w:p w14:paraId="28EC5B5F"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Owned - donated/granted</w:t>
            </w:r>
          </w:p>
        </w:tc>
        <w:tc>
          <w:tcPr>
            <w:tcW w:w="896" w:type="dxa"/>
            <w:tcBorders>
              <w:top w:val="nil"/>
              <w:left w:val="nil"/>
              <w:bottom w:val="nil"/>
              <w:right w:val="nil"/>
            </w:tcBorders>
            <w:noWrap/>
            <w:vAlign w:val="bottom"/>
            <w:hideMark/>
          </w:tcPr>
          <w:p w14:paraId="0E7A1E63"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096" w:type="dxa"/>
            <w:tcBorders>
              <w:top w:val="nil"/>
              <w:left w:val="nil"/>
              <w:bottom w:val="nil"/>
              <w:right w:val="nil"/>
            </w:tcBorders>
            <w:noWrap/>
            <w:vAlign w:val="bottom"/>
            <w:hideMark/>
          </w:tcPr>
          <w:p w14:paraId="7DEC6B64"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096" w:type="dxa"/>
            <w:tcBorders>
              <w:top w:val="nil"/>
              <w:left w:val="nil"/>
              <w:bottom w:val="nil"/>
              <w:right w:val="nil"/>
            </w:tcBorders>
            <w:noWrap/>
            <w:vAlign w:val="bottom"/>
            <w:hideMark/>
          </w:tcPr>
          <w:p w14:paraId="71E0DAB4"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361" w:type="dxa"/>
            <w:tcBorders>
              <w:top w:val="nil"/>
              <w:left w:val="nil"/>
              <w:bottom w:val="nil"/>
              <w:right w:val="nil"/>
            </w:tcBorders>
            <w:noWrap/>
            <w:vAlign w:val="bottom"/>
            <w:hideMark/>
          </w:tcPr>
          <w:p w14:paraId="5A332380"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5,448</w:t>
            </w:r>
          </w:p>
        </w:tc>
        <w:tc>
          <w:tcPr>
            <w:tcW w:w="1160" w:type="dxa"/>
            <w:tcBorders>
              <w:top w:val="nil"/>
              <w:left w:val="nil"/>
              <w:bottom w:val="nil"/>
              <w:right w:val="nil"/>
            </w:tcBorders>
            <w:noWrap/>
            <w:vAlign w:val="bottom"/>
            <w:hideMark/>
          </w:tcPr>
          <w:p w14:paraId="76E5C5EE"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1,306</w:t>
            </w:r>
          </w:p>
        </w:tc>
        <w:tc>
          <w:tcPr>
            <w:tcW w:w="1171" w:type="dxa"/>
            <w:tcBorders>
              <w:top w:val="nil"/>
              <w:left w:val="nil"/>
              <w:bottom w:val="nil"/>
              <w:right w:val="nil"/>
            </w:tcBorders>
            <w:noWrap/>
            <w:vAlign w:val="bottom"/>
            <w:hideMark/>
          </w:tcPr>
          <w:p w14:paraId="67E732E5"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255" w:type="dxa"/>
            <w:tcBorders>
              <w:top w:val="nil"/>
              <w:left w:val="nil"/>
              <w:bottom w:val="nil"/>
              <w:right w:val="nil"/>
            </w:tcBorders>
            <w:noWrap/>
            <w:vAlign w:val="bottom"/>
            <w:hideMark/>
          </w:tcPr>
          <w:p w14:paraId="2B9869B6"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043" w:type="dxa"/>
            <w:tcBorders>
              <w:top w:val="nil"/>
              <w:left w:val="nil"/>
              <w:bottom w:val="nil"/>
              <w:right w:val="nil"/>
            </w:tcBorders>
            <w:noWrap/>
            <w:vAlign w:val="bottom"/>
            <w:hideMark/>
          </w:tcPr>
          <w:p w14:paraId="111C41E3"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w:t>
            </w:r>
          </w:p>
        </w:tc>
        <w:tc>
          <w:tcPr>
            <w:tcW w:w="1011" w:type="dxa"/>
            <w:tcBorders>
              <w:top w:val="nil"/>
              <w:left w:val="nil"/>
              <w:bottom w:val="nil"/>
              <w:right w:val="nil"/>
            </w:tcBorders>
            <w:noWrap/>
            <w:vAlign w:val="bottom"/>
            <w:hideMark/>
          </w:tcPr>
          <w:p w14:paraId="041861FB"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6,756</w:t>
            </w:r>
          </w:p>
        </w:tc>
      </w:tr>
      <w:tr w:rsidR="00E91426" w:rsidRPr="00E91426" w14:paraId="3E74CDA0" w14:textId="77777777" w:rsidTr="00E91426">
        <w:trPr>
          <w:trHeight w:val="321"/>
        </w:trPr>
        <w:tc>
          <w:tcPr>
            <w:tcW w:w="4745" w:type="dxa"/>
            <w:tcBorders>
              <w:top w:val="nil"/>
              <w:left w:val="nil"/>
              <w:bottom w:val="nil"/>
              <w:right w:val="nil"/>
            </w:tcBorders>
            <w:vAlign w:val="bottom"/>
            <w:hideMark/>
          </w:tcPr>
          <w:p w14:paraId="0C502413"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lastRenderedPageBreak/>
              <w:t>Net book value at 31 March 2025</w:t>
            </w:r>
          </w:p>
        </w:tc>
        <w:tc>
          <w:tcPr>
            <w:tcW w:w="896" w:type="dxa"/>
            <w:tcBorders>
              <w:top w:val="single" w:sz="4" w:space="0" w:color="auto"/>
              <w:left w:val="nil"/>
              <w:bottom w:val="double" w:sz="6" w:space="0" w:color="auto"/>
              <w:right w:val="nil"/>
            </w:tcBorders>
            <w:noWrap/>
            <w:vAlign w:val="bottom"/>
            <w:hideMark/>
          </w:tcPr>
          <w:p w14:paraId="7984AF9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8,122</w:t>
            </w:r>
          </w:p>
        </w:tc>
        <w:tc>
          <w:tcPr>
            <w:tcW w:w="1096" w:type="dxa"/>
            <w:tcBorders>
              <w:top w:val="single" w:sz="4" w:space="0" w:color="auto"/>
              <w:left w:val="nil"/>
              <w:bottom w:val="double" w:sz="6" w:space="0" w:color="auto"/>
              <w:right w:val="nil"/>
            </w:tcBorders>
            <w:noWrap/>
            <w:vAlign w:val="bottom"/>
            <w:hideMark/>
          </w:tcPr>
          <w:p w14:paraId="725100A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194,289</w:t>
            </w:r>
          </w:p>
        </w:tc>
        <w:tc>
          <w:tcPr>
            <w:tcW w:w="1096" w:type="dxa"/>
            <w:tcBorders>
              <w:top w:val="single" w:sz="4" w:space="0" w:color="auto"/>
              <w:left w:val="nil"/>
              <w:bottom w:val="double" w:sz="6" w:space="0" w:color="auto"/>
              <w:right w:val="nil"/>
            </w:tcBorders>
            <w:noWrap/>
            <w:vAlign w:val="bottom"/>
            <w:hideMark/>
          </w:tcPr>
          <w:p w14:paraId="28930DEA"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6,508</w:t>
            </w:r>
          </w:p>
        </w:tc>
        <w:tc>
          <w:tcPr>
            <w:tcW w:w="1361" w:type="dxa"/>
            <w:tcBorders>
              <w:top w:val="single" w:sz="4" w:space="0" w:color="auto"/>
              <w:left w:val="nil"/>
              <w:bottom w:val="double" w:sz="6" w:space="0" w:color="auto"/>
              <w:right w:val="nil"/>
            </w:tcBorders>
            <w:noWrap/>
            <w:vAlign w:val="bottom"/>
            <w:hideMark/>
          </w:tcPr>
          <w:p w14:paraId="2C899E9A"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22,701</w:t>
            </w:r>
          </w:p>
        </w:tc>
        <w:tc>
          <w:tcPr>
            <w:tcW w:w="1160" w:type="dxa"/>
            <w:tcBorders>
              <w:top w:val="single" w:sz="4" w:space="0" w:color="auto"/>
              <w:left w:val="nil"/>
              <w:bottom w:val="double" w:sz="6" w:space="0" w:color="auto"/>
              <w:right w:val="nil"/>
            </w:tcBorders>
            <w:noWrap/>
            <w:vAlign w:val="bottom"/>
            <w:hideMark/>
          </w:tcPr>
          <w:p w14:paraId="3696568F"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28,084</w:t>
            </w:r>
          </w:p>
        </w:tc>
        <w:tc>
          <w:tcPr>
            <w:tcW w:w="1171" w:type="dxa"/>
            <w:tcBorders>
              <w:top w:val="single" w:sz="4" w:space="0" w:color="auto"/>
              <w:left w:val="nil"/>
              <w:bottom w:val="double" w:sz="6" w:space="0" w:color="auto"/>
              <w:right w:val="nil"/>
            </w:tcBorders>
            <w:noWrap/>
            <w:vAlign w:val="bottom"/>
            <w:hideMark/>
          </w:tcPr>
          <w:p w14:paraId="408372E8"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31</w:t>
            </w:r>
          </w:p>
        </w:tc>
        <w:tc>
          <w:tcPr>
            <w:tcW w:w="1255" w:type="dxa"/>
            <w:tcBorders>
              <w:top w:val="single" w:sz="4" w:space="0" w:color="auto"/>
              <w:left w:val="nil"/>
              <w:bottom w:val="double" w:sz="6" w:space="0" w:color="auto"/>
              <w:right w:val="nil"/>
            </w:tcBorders>
            <w:noWrap/>
            <w:vAlign w:val="bottom"/>
            <w:hideMark/>
          </w:tcPr>
          <w:p w14:paraId="0DDC08A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27,240</w:t>
            </w:r>
          </w:p>
        </w:tc>
        <w:tc>
          <w:tcPr>
            <w:tcW w:w="1043" w:type="dxa"/>
            <w:tcBorders>
              <w:top w:val="single" w:sz="4" w:space="0" w:color="auto"/>
              <w:left w:val="nil"/>
              <w:bottom w:val="double" w:sz="6" w:space="0" w:color="auto"/>
              <w:right w:val="nil"/>
            </w:tcBorders>
            <w:noWrap/>
            <w:vAlign w:val="bottom"/>
            <w:hideMark/>
          </w:tcPr>
          <w:p w14:paraId="4D447E0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355</w:t>
            </w:r>
          </w:p>
        </w:tc>
        <w:tc>
          <w:tcPr>
            <w:tcW w:w="1011" w:type="dxa"/>
            <w:tcBorders>
              <w:top w:val="single" w:sz="4" w:space="0" w:color="auto"/>
              <w:left w:val="nil"/>
              <w:bottom w:val="double" w:sz="6" w:space="0" w:color="auto"/>
              <w:right w:val="nil"/>
            </w:tcBorders>
            <w:noWrap/>
            <w:vAlign w:val="bottom"/>
            <w:hideMark/>
          </w:tcPr>
          <w:p w14:paraId="57A3B572"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287,330</w:t>
            </w:r>
          </w:p>
        </w:tc>
      </w:tr>
      <w:tr w:rsidR="00E91426" w:rsidRPr="00E91426" w14:paraId="09F763B1" w14:textId="77777777" w:rsidTr="00E91426">
        <w:trPr>
          <w:trHeight w:val="328"/>
        </w:trPr>
        <w:tc>
          <w:tcPr>
            <w:tcW w:w="4745" w:type="dxa"/>
            <w:tcBorders>
              <w:top w:val="nil"/>
              <w:left w:val="nil"/>
              <w:bottom w:val="nil"/>
              <w:right w:val="nil"/>
            </w:tcBorders>
            <w:vAlign w:val="bottom"/>
            <w:hideMark/>
          </w:tcPr>
          <w:p w14:paraId="22014C9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896" w:type="dxa"/>
            <w:tcBorders>
              <w:top w:val="nil"/>
              <w:left w:val="nil"/>
              <w:bottom w:val="nil"/>
              <w:right w:val="nil"/>
            </w:tcBorders>
            <w:noWrap/>
            <w:vAlign w:val="bottom"/>
            <w:hideMark/>
          </w:tcPr>
          <w:p w14:paraId="26E4120D" w14:textId="77777777" w:rsidR="00E91426" w:rsidRPr="00E91426" w:rsidRDefault="00E91426" w:rsidP="00E91426">
            <w:pPr>
              <w:widowControl/>
              <w:rPr>
                <w:rFonts w:ascii="Arial" w:eastAsia="Times New Roman" w:hAnsi="Arial" w:cs="Arial"/>
                <w:sz w:val="20"/>
                <w:szCs w:val="20"/>
                <w:lang w:val="en-GB" w:eastAsia="en-GB"/>
              </w:rPr>
            </w:pPr>
          </w:p>
        </w:tc>
        <w:tc>
          <w:tcPr>
            <w:tcW w:w="1096" w:type="dxa"/>
            <w:tcBorders>
              <w:top w:val="nil"/>
              <w:left w:val="nil"/>
              <w:bottom w:val="nil"/>
              <w:right w:val="nil"/>
            </w:tcBorders>
            <w:noWrap/>
            <w:vAlign w:val="bottom"/>
            <w:hideMark/>
          </w:tcPr>
          <w:p w14:paraId="1695445B"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096" w:type="dxa"/>
            <w:tcBorders>
              <w:top w:val="nil"/>
              <w:left w:val="nil"/>
              <w:bottom w:val="nil"/>
              <w:right w:val="nil"/>
            </w:tcBorders>
            <w:noWrap/>
            <w:vAlign w:val="bottom"/>
            <w:hideMark/>
          </w:tcPr>
          <w:p w14:paraId="776C2368"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361" w:type="dxa"/>
            <w:tcBorders>
              <w:top w:val="nil"/>
              <w:left w:val="nil"/>
              <w:bottom w:val="nil"/>
              <w:right w:val="nil"/>
            </w:tcBorders>
            <w:noWrap/>
            <w:vAlign w:val="bottom"/>
            <w:hideMark/>
          </w:tcPr>
          <w:p w14:paraId="0A975082"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160" w:type="dxa"/>
            <w:tcBorders>
              <w:top w:val="nil"/>
              <w:left w:val="nil"/>
              <w:bottom w:val="nil"/>
              <w:right w:val="nil"/>
            </w:tcBorders>
            <w:noWrap/>
            <w:vAlign w:val="bottom"/>
            <w:hideMark/>
          </w:tcPr>
          <w:p w14:paraId="69F84B4A"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171" w:type="dxa"/>
            <w:tcBorders>
              <w:top w:val="nil"/>
              <w:left w:val="nil"/>
              <w:bottom w:val="nil"/>
              <w:right w:val="nil"/>
            </w:tcBorders>
            <w:noWrap/>
            <w:vAlign w:val="bottom"/>
            <w:hideMark/>
          </w:tcPr>
          <w:p w14:paraId="756D3B55"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255" w:type="dxa"/>
            <w:tcBorders>
              <w:top w:val="nil"/>
              <w:left w:val="nil"/>
              <w:bottom w:val="nil"/>
              <w:right w:val="nil"/>
            </w:tcBorders>
            <w:noWrap/>
            <w:vAlign w:val="bottom"/>
            <w:hideMark/>
          </w:tcPr>
          <w:p w14:paraId="7A8A29D5"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043" w:type="dxa"/>
            <w:tcBorders>
              <w:top w:val="nil"/>
              <w:left w:val="nil"/>
              <w:bottom w:val="nil"/>
              <w:right w:val="nil"/>
            </w:tcBorders>
            <w:noWrap/>
            <w:vAlign w:val="bottom"/>
            <w:hideMark/>
          </w:tcPr>
          <w:p w14:paraId="2173B742"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011" w:type="dxa"/>
            <w:tcBorders>
              <w:top w:val="nil"/>
              <w:left w:val="nil"/>
              <w:bottom w:val="nil"/>
              <w:right w:val="nil"/>
            </w:tcBorders>
            <w:noWrap/>
            <w:vAlign w:val="bottom"/>
            <w:hideMark/>
          </w:tcPr>
          <w:p w14:paraId="6F4A2196" w14:textId="77777777" w:rsidR="00E91426" w:rsidRPr="00E91426" w:rsidRDefault="00E91426" w:rsidP="00E91426">
            <w:pPr>
              <w:widowControl/>
              <w:jc w:val="right"/>
              <w:rPr>
                <w:rFonts w:ascii="Arial" w:eastAsia="Times New Roman" w:hAnsi="Arial" w:cs="Arial"/>
                <w:sz w:val="20"/>
                <w:szCs w:val="20"/>
                <w:lang w:val="en-GB" w:eastAsia="en-GB"/>
              </w:rPr>
            </w:pPr>
          </w:p>
        </w:tc>
      </w:tr>
      <w:tr w:rsidR="00E91426" w:rsidRPr="00E91426" w14:paraId="6DCF63DC" w14:textId="77777777" w:rsidTr="00E91426">
        <w:trPr>
          <w:trHeight w:val="321"/>
        </w:trPr>
        <w:tc>
          <w:tcPr>
            <w:tcW w:w="5641" w:type="dxa"/>
            <w:gridSpan w:val="2"/>
            <w:tcBorders>
              <w:top w:val="nil"/>
              <w:left w:val="nil"/>
              <w:bottom w:val="nil"/>
              <w:right w:val="nil"/>
            </w:tcBorders>
            <w:noWrap/>
            <w:vAlign w:val="bottom"/>
            <w:hideMark/>
          </w:tcPr>
          <w:p w14:paraId="72B83BDD"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Note 10.4 Property, plant and equipment financing- 2023/24</w:t>
            </w:r>
          </w:p>
        </w:tc>
        <w:tc>
          <w:tcPr>
            <w:tcW w:w="1096" w:type="dxa"/>
            <w:tcBorders>
              <w:top w:val="nil"/>
              <w:left w:val="nil"/>
              <w:bottom w:val="nil"/>
              <w:right w:val="nil"/>
            </w:tcBorders>
            <w:noWrap/>
            <w:vAlign w:val="center"/>
            <w:hideMark/>
          </w:tcPr>
          <w:p w14:paraId="20DD80D4"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1096" w:type="dxa"/>
            <w:tcBorders>
              <w:top w:val="nil"/>
              <w:left w:val="nil"/>
              <w:bottom w:val="nil"/>
              <w:right w:val="nil"/>
            </w:tcBorders>
            <w:vAlign w:val="bottom"/>
            <w:hideMark/>
          </w:tcPr>
          <w:p w14:paraId="6CA3FC16" w14:textId="77777777" w:rsidR="00E91426" w:rsidRPr="00E91426" w:rsidRDefault="00E91426" w:rsidP="00E91426">
            <w:pPr>
              <w:widowControl/>
              <w:rPr>
                <w:rFonts w:ascii="Arial" w:eastAsia="Times New Roman" w:hAnsi="Arial" w:cs="Arial"/>
                <w:sz w:val="20"/>
                <w:szCs w:val="20"/>
                <w:lang w:val="en-GB" w:eastAsia="en-GB"/>
              </w:rPr>
            </w:pPr>
          </w:p>
        </w:tc>
        <w:tc>
          <w:tcPr>
            <w:tcW w:w="1361" w:type="dxa"/>
            <w:tcBorders>
              <w:top w:val="nil"/>
              <w:left w:val="nil"/>
              <w:bottom w:val="nil"/>
              <w:right w:val="nil"/>
            </w:tcBorders>
            <w:vAlign w:val="bottom"/>
            <w:hideMark/>
          </w:tcPr>
          <w:p w14:paraId="6A0AC53C" w14:textId="77777777" w:rsidR="00E91426" w:rsidRPr="00E91426" w:rsidRDefault="00E91426" w:rsidP="00E91426">
            <w:pPr>
              <w:widowControl/>
              <w:rPr>
                <w:rFonts w:ascii="Arial" w:eastAsia="Times New Roman" w:hAnsi="Arial" w:cs="Arial"/>
                <w:sz w:val="20"/>
                <w:szCs w:val="20"/>
                <w:lang w:val="en-GB" w:eastAsia="en-GB"/>
              </w:rPr>
            </w:pPr>
          </w:p>
        </w:tc>
        <w:tc>
          <w:tcPr>
            <w:tcW w:w="1160" w:type="dxa"/>
            <w:tcBorders>
              <w:top w:val="nil"/>
              <w:left w:val="nil"/>
              <w:bottom w:val="nil"/>
              <w:right w:val="nil"/>
            </w:tcBorders>
            <w:vAlign w:val="bottom"/>
            <w:hideMark/>
          </w:tcPr>
          <w:p w14:paraId="3A3D88B5" w14:textId="77777777" w:rsidR="00E91426" w:rsidRPr="00E91426" w:rsidRDefault="00E91426" w:rsidP="00E91426">
            <w:pPr>
              <w:widowControl/>
              <w:rPr>
                <w:rFonts w:ascii="Arial" w:eastAsia="Times New Roman" w:hAnsi="Arial" w:cs="Arial"/>
                <w:sz w:val="20"/>
                <w:szCs w:val="20"/>
                <w:lang w:val="en-GB" w:eastAsia="en-GB"/>
              </w:rPr>
            </w:pPr>
          </w:p>
        </w:tc>
        <w:tc>
          <w:tcPr>
            <w:tcW w:w="1171" w:type="dxa"/>
            <w:tcBorders>
              <w:top w:val="nil"/>
              <w:left w:val="nil"/>
              <w:bottom w:val="nil"/>
              <w:right w:val="nil"/>
            </w:tcBorders>
            <w:vAlign w:val="bottom"/>
            <w:hideMark/>
          </w:tcPr>
          <w:p w14:paraId="65B24F89" w14:textId="77777777" w:rsidR="00E91426" w:rsidRPr="00E91426" w:rsidRDefault="00E91426" w:rsidP="00E91426">
            <w:pPr>
              <w:widowControl/>
              <w:rPr>
                <w:rFonts w:ascii="Arial" w:eastAsia="Times New Roman" w:hAnsi="Arial" w:cs="Arial"/>
                <w:sz w:val="20"/>
                <w:szCs w:val="20"/>
                <w:lang w:val="en-GB" w:eastAsia="en-GB"/>
              </w:rPr>
            </w:pPr>
          </w:p>
        </w:tc>
        <w:tc>
          <w:tcPr>
            <w:tcW w:w="1255" w:type="dxa"/>
            <w:tcBorders>
              <w:top w:val="nil"/>
              <w:left w:val="nil"/>
              <w:bottom w:val="nil"/>
              <w:right w:val="nil"/>
            </w:tcBorders>
            <w:vAlign w:val="bottom"/>
            <w:hideMark/>
          </w:tcPr>
          <w:p w14:paraId="04A21510" w14:textId="77777777" w:rsidR="00E91426" w:rsidRPr="00E91426" w:rsidRDefault="00E91426" w:rsidP="00E91426">
            <w:pPr>
              <w:widowControl/>
              <w:rPr>
                <w:rFonts w:ascii="Arial" w:eastAsia="Times New Roman" w:hAnsi="Arial" w:cs="Arial"/>
                <w:sz w:val="20"/>
                <w:szCs w:val="20"/>
                <w:lang w:val="en-GB" w:eastAsia="en-GB"/>
              </w:rPr>
            </w:pPr>
          </w:p>
        </w:tc>
        <w:tc>
          <w:tcPr>
            <w:tcW w:w="1043" w:type="dxa"/>
            <w:tcBorders>
              <w:top w:val="nil"/>
              <w:left w:val="nil"/>
              <w:bottom w:val="nil"/>
              <w:right w:val="nil"/>
            </w:tcBorders>
            <w:vAlign w:val="bottom"/>
            <w:hideMark/>
          </w:tcPr>
          <w:p w14:paraId="590EB591" w14:textId="77777777" w:rsidR="00E91426" w:rsidRPr="00E91426" w:rsidRDefault="00E91426" w:rsidP="00E91426">
            <w:pPr>
              <w:widowControl/>
              <w:rPr>
                <w:rFonts w:ascii="Arial" w:eastAsia="Times New Roman" w:hAnsi="Arial" w:cs="Arial"/>
                <w:sz w:val="20"/>
                <w:szCs w:val="20"/>
                <w:lang w:val="en-GB" w:eastAsia="en-GB"/>
              </w:rPr>
            </w:pPr>
          </w:p>
        </w:tc>
        <w:tc>
          <w:tcPr>
            <w:tcW w:w="1011" w:type="dxa"/>
            <w:tcBorders>
              <w:top w:val="nil"/>
              <w:left w:val="nil"/>
              <w:bottom w:val="nil"/>
              <w:right w:val="nil"/>
            </w:tcBorders>
            <w:vAlign w:val="bottom"/>
            <w:hideMark/>
          </w:tcPr>
          <w:p w14:paraId="245862B4"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0D6F25C6" w14:textId="77777777" w:rsidTr="00E91426">
        <w:trPr>
          <w:trHeight w:val="1076"/>
        </w:trPr>
        <w:tc>
          <w:tcPr>
            <w:tcW w:w="4745" w:type="dxa"/>
            <w:tcBorders>
              <w:top w:val="nil"/>
              <w:left w:val="nil"/>
              <w:bottom w:val="nil"/>
              <w:right w:val="nil"/>
            </w:tcBorders>
            <w:vAlign w:val="bottom"/>
            <w:hideMark/>
          </w:tcPr>
          <w:p w14:paraId="4836F245" w14:textId="77777777" w:rsidR="00E91426" w:rsidRPr="00E91426" w:rsidRDefault="00E91426" w:rsidP="00E91426">
            <w:pPr>
              <w:widowControl/>
              <w:rPr>
                <w:rFonts w:ascii="Arial" w:eastAsia="Times New Roman" w:hAnsi="Arial" w:cs="Arial"/>
                <w:sz w:val="20"/>
                <w:szCs w:val="20"/>
                <w:lang w:val="en-GB" w:eastAsia="en-GB"/>
              </w:rPr>
            </w:pPr>
          </w:p>
        </w:tc>
        <w:tc>
          <w:tcPr>
            <w:tcW w:w="896" w:type="dxa"/>
            <w:tcBorders>
              <w:top w:val="nil"/>
              <w:left w:val="nil"/>
              <w:bottom w:val="nil"/>
              <w:right w:val="nil"/>
            </w:tcBorders>
            <w:hideMark/>
          </w:tcPr>
          <w:p w14:paraId="7EF92AF0"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Land</w:t>
            </w:r>
          </w:p>
        </w:tc>
        <w:tc>
          <w:tcPr>
            <w:tcW w:w="1096" w:type="dxa"/>
            <w:tcBorders>
              <w:top w:val="nil"/>
              <w:left w:val="nil"/>
              <w:bottom w:val="nil"/>
              <w:right w:val="nil"/>
            </w:tcBorders>
            <w:hideMark/>
          </w:tcPr>
          <w:p w14:paraId="37F12C4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Buildings excluding dwellings</w:t>
            </w:r>
          </w:p>
        </w:tc>
        <w:tc>
          <w:tcPr>
            <w:tcW w:w="1096" w:type="dxa"/>
            <w:tcBorders>
              <w:top w:val="nil"/>
              <w:left w:val="nil"/>
              <w:bottom w:val="nil"/>
              <w:right w:val="nil"/>
            </w:tcBorders>
            <w:hideMark/>
          </w:tcPr>
          <w:p w14:paraId="3A3C79A2"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Dwellings</w:t>
            </w:r>
          </w:p>
        </w:tc>
        <w:tc>
          <w:tcPr>
            <w:tcW w:w="1361" w:type="dxa"/>
            <w:tcBorders>
              <w:top w:val="nil"/>
              <w:left w:val="nil"/>
              <w:bottom w:val="nil"/>
              <w:right w:val="nil"/>
            </w:tcBorders>
            <w:hideMark/>
          </w:tcPr>
          <w:p w14:paraId="3D130D8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Assets under construction</w:t>
            </w:r>
          </w:p>
        </w:tc>
        <w:tc>
          <w:tcPr>
            <w:tcW w:w="1160" w:type="dxa"/>
            <w:tcBorders>
              <w:top w:val="nil"/>
              <w:left w:val="nil"/>
              <w:bottom w:val="nil"/>
              <w:right w:val="nil"/>
            </w:tcBorders>
            <w:hideMark/>
          </w:tcPr>
          <w:p w14:paraId="1EFAA712"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Plant &amp; machinery</w:t>
            </w:r>
          </w:p>
        </w:tc>
        <w:tc>
          <w:tcPr>
            <w:tcW w:w="1171" w:type="dxa"/>
            <w:tcBorders>
              <w:top w:val="nil"/>
              <w:left w:val="nil"/>
              <w:bottom w:val="nil"/>
              <w:right w:val="nil"/>
            </w:tcBorders>
            <w:hideMark/>
          </w:tcPr>
          <w:p w14:paraId="10E82BC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Transport equipment</w:t>
            </w:r>
          </w:p>
        </w:tc>
        <w:tc>
          <w:tcPr>
            <w:tcW w:w="1255" w:type="dxa"/>
            <w:tcBorders>
              <w:top w:val="nil"/>
              <w:left w:val="nil"/>
              <w:bottom w:val="nil"/>
              <w:right w:val="nil"/>
            </w:tcBorders>
            <w:hideMark/>
          </w:tcPr>
          <w:p w14:paraId="35E3C9F5"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Information technology</w:t>
            </w:r>
          </w:p>
        </w:tc>
        <w:tc>
          <w:tcPr>
            <w:tcW w:w="1043" w:type="dxa"/>
            <w:tcBorders>
              <w:top w:val="nil"/>
              <w:left w:val="nil"/>
              <w:bottom w:val="nil"/>
              <w:right w:val="nil"/>
            </w:tcBorders>
            <w:hideMark/>
          </w:tcPr>
          <w:p w14:paraId="7EC787FA"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Furniture &amp; fittings</w:t>
            </w:r>
          </w:p>
        </w:tc>
        <w:tc>
          <w:tcPr>
            <w:tcW w:w="1011" w:type="dxa"/>
            <w:tcBorders>
              <w:top w:val="nil"/>
              <w:left w:val="nil"/>
              <w:bottom w:val="nil"/>
              <w:right w:val="nil"/>
            </w:tcBorders>
            <w:hideMark/>
          </w:tcPr>
          <w:p w14:paraId="47B88911"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Restated Total </w:t>
            </w:r>
          </w:p>
        </w:tc>
      </w:tr>
      <w:tr w:rsidR="00E91426" w:rsidRPr="00E91426" w14:paraId="2BF25755" w14:textId="77777777" w:rsidTr="00E91426">
        <w:trPr>
          <w:trHeight w:val="321"/>
        </w:trPr>
        <w:tc>
          <w:tcPr>
            <w:tcW w:w="4745" w:type="dxa"/>
            <w:tcBorders>
              <w:top w:val="nil"/>
              <w:left w:val="nil"/>
              <w:bottom w:val="nil"/>
              <w:right w:val="nil"/>
            </w:tcBorders>
            <w:vAlign w:val="bottom"/>
            <w:hideMark/>
          </w:tcPr>
          <w:p w14:paraId="7C08D32D"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896" w:type="dxa"/>
            <w:tcBorders>
              <w:top w:val="nil"/>
              <w:left w:val="nil"/>
              <w:bottom w:val="nil"/>
              <w:right w:val="nil"/>
            </w:tcBorders>
            <w:vAlign w:val="bottom"/>
            <w:hideMark/>
          </w:tcPr>
          <w:p w14:paraId="799A52AA"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1096" w:type="dxa"/>
            <w:tcBorders>
              <w:top w:val="nil"/>
              <w:left w:val="nil"/>
              <w:bottom w:val="nil"/>
              <w:right w:val="nil"/>
            </w:tcBorders>
            <w:vAlign w:val="bottom"/>
            <w:hideMark/>
          </w:tcPr>
          <w:p w14:paraId="30624490"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1096" w:type="dxa"/>
            <w:tcBorders>
              <w:top w:val="nil"/>
              <w:left w:val="nil"/>
              <w:bottom w:val="nil"/>
              <w:right w:val="nil"/>
            </w:tcBorders>
            <w:vAlign w:val="bottom"/>
            <w:hideMark/>
          </w:tcPr>
          <w:p w14:paraId="44ED051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1361" w:type="dxa"/>
            <w:tcBorders>
              <w:top w:val="nil"/>
              <w:left w:val="nil"/>
              <w:bottom w:val="nil"/>
              <w:right w:val="nil"/>
            </w:tcBorders>
            <w:vAlign w:val="bottom"/>
            <w:hideMark/>
          </w:tcPr>
          <w:p w14:paraId="53E8B60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1160" w:type="dxa"/>
            <w:tcBorders>
              <w:top w:val="nil"/>
              <w:left w:val="nil"/>
              <w:bottom w:val="nil"/>
              <w:right w:val="nil"/>
            </w:tcBorders>
            <w:vAlign w:val="bottom"/>
            <w:hideMark/>
          </w:tcPr>
          <w:p w14:paraId="219BAAEB"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1171" w:type="dxa"/>
            <w:tcBorders>
              <w:top w:val="nil"/>
              <w:left w:val="nil"/>
              <w:bottom w:val="nil"/>
              <w:right w:val="nil"/>
            </w:tcBorders>
            <w:vAlign w:val="bottom"/>
            <w:hideMark/>
          </w:tcPr>
          <w:p w14:paraId="6BF8CFB0"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1255" w:type="dxa"/>
            <w:tcBorders>
              <w:top w:val="nil"/>
              <w:left w:val="nil"/>
              <w:bottom w:val="nil"/>
              <w:right w:val="nil"/>
            </w:tcBorders>
            <w:vAlign w:val="bottom"/>
            <w:hideMark/>
          </w:tcPr>
          <w:p w14:paraId="4344765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1043" w:type="dxa"/>
            <w:tcBorders>
              <w:top w:val="nil"/>
              <w:left w:val="nil"/>
              <w:bottom w:val="nil"/>
              <w:right w:val="nil"/>
            </w:tcBorders>
            <w:vAlign w:val="bottom"/>
            <w:hideMark/>
          </w:tcPr>
          <w:p w14:paraId="347DCF7D"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1011" w:type="dxa"/>
            <w:tcBorders>
              <w:top w:val="nil"/>
              <w:left w:val="nil"/>
              <w:bottom w:val="nil"/>
              <w:right w:val="nil"/>
            </w:tcBorders>
            <w:vAlign w:val="bottom"/>
            <w:hideMark/>
          </w:tcPr>
          <w:p w14:paraId="598DB1FF"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r>
      <w:tr w:rsidR="00E91426" w:rsidRPr="00E91426" w14:paraId="7ABCA1DB" w14:textId="77777777" w:rsidTr="00E91426">
        <w:trPr>
          <w:trHeight w:val="289"/>
        </w:trPr>
        <w:tc>
          <w:tcPr>
            <w:tcW w:w="4745" w:type="dxa"/>
            <w:tcBorders>
              <w:top w:val="nil"/>
              <w:left w:val="nil"/>
              <w:bottom w:val="nil"/>
              <w:right w:val="nil"/>
            </w:tcBorders>
            <w:vAlign w:val="bottom"/>
            <w:hideMark/>
          </w:tcPr>
          <w:p w14:paraId="0B0D2D9A"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Owned - purchased</w:t>
            </w:r>
          </w:p>
        </w:tc>
        <w:tc>
          <w:tcPr>
            <w:tcW w:w="896" w:type="dxa"/>
            <w:tcBorders>
              <w:top w:val="nil"/>
              <w:left w:val="nil"/>
              <w:bottom w:val="nil"/>
              <w:right w:val="nil"/>
            </w:tcBorders>
            <w:noWrap/>
            <w:vAlign w:val="bottom"/>
            <w:hideMark/>
          </w:tcPr>
          <w:p w14:paraId="139B18A2"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7,722</w:t>
            </w:r>
          </w:p>
        </w:tc>
        <w:tc>
          <w:tcPr>
            <w:tcW w:w="1096" w:type="dxa"/>
            <w:tcBorders>
              <w:top w:val="nil"/>
              <w:left w:val="nil"/>
              <w:bottom w:val="nil"/>
              <w:right w:val="nil"/>
            </w:tcBorders>
            <w:noWrap/>
            <w:vAlign w:val="bottom"/>
            <w:hideMark/>
          </w:tcPr>
          <w:p w14:paraId="400CAE5B"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193,696</w:t>
            </w:r>
          </w:p>
        </w:tc>
        <w:tc>
          <w:tcPr>
            <w:tcW w:w="1096" w:type="dxa"/>
            <w:tcBorders>
              <w:top w:val="nil"/>
              <w:left w:val="nil"/>
              <w:bottom w:val="nil"/>
              <w:right w:val="nil"/>
            </w:tcBorders>
            <w:noWrap/>
            <w:vAlign w:val="bottom"/>
            <w:hideMark/>
          </w:tcPr>
          <w:p w14:paraId="4189B90B"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5,783</w:t>
            </w:r>
          </w:p>
        </w:tc>
        <w:tc>
          <w:tcPr>
            <w:tcW w:w="1361" w:type="dxa"/>
            <w:tcBorders>
              <w:top w:val="nil"/>
              <w:left w:val="nil"/>
              <w:bottom w:val="nil"/>
              <w:right w:val="nil"/>
            </w:tcBorders>
            <w:noWrap/>
            <w:vAlign w:val="bottom"/>
            <w:hideMark/>
          </w:tcPr>
          <w:p w14:paraId="5B8CA89F"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27,488</w:t>
            </w:r>
          </w:p>
        </w:tc>
        <w:tc>
          <w:tcPr>
            <w:tcW w:w="1160" w:type="dxa"/>
            <w:tcBorders>
              <w:top w:val="nil"/>
              <w:left w:val="nil"/>
              <w:bottom w:val="nil"/>
              <w:right w:val="nil"/>
            </w:tcBorders>
            <w:noWrap/>
            <w:vAlign w:val="bottom"/>
            <w:hideMark/>
          </w:tcPr>
          <w:p w14:paraId="3E2DBC7F"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19,195</w:t>
            </w:r>
          </w:p>
        </w:tc>
        <w:tc>
          <w:tcPr>
            <w:tcW w:w="1171" w:type="dxa"/>
            <w:tcBorders>
              <w:top w:val="nil"/>
              <w:left w:val="nil"/>
              <w:bottom w:val="nil"/>
              <w:right w:val="nil"/>
            </w:tcBorders>
            <w:noWrap/>
            <w:vAlign w:val="bottom"/>
            <w:hideMark/>
          </w:tcPr>
          <w:p w14:paraId="7BA51AB7"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36</w:t>
            </w:r>
          </w:p>
        </w:tc>
        <w:tc>
          <w:tcPr>
            <w:tcW w:w="1255" w:type="dxa"/>
            <w:tcBorders>
              <w:top w:val="nil"/>
              <w:left w:val="nil"/>
              <w:bottom w:val="nil"/>
              <w:right w:val="nil"/>
            </w:tcBorders>
            <w:noWrap/>
            <w:vAlign w:val="bottom"/>
            <w:hideMark/>
          </w:tcPr>
          <w:p w14:paraId="07FEE2BC"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24,065</w:t>
            </w:r>
          </w:p>
        </w:tc>
        <w:tc>
          <w:tcPr>
            <w:tcW w:w="1043" w:type="dxa"/>
            <w:tcBorders>
              <w:top w:val="nil"/>
              <w:left w:val="nil"/>
              <w:bottom w:val="nil"/>
              <w:right w:val="nil"/>
            </w:tcBorders>
            <w:noWrap/>
            <w:vAlign w:val="bottom"/>
            <w:hideMark/>
          </w:tcPr>
          <w:p w14:paraId="584CEA56"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172</w:t>
            </w:r>
          </w:p>
        </w:tc>
        <w:tc>
          <w:tcPr>
            <w:tcW w:w="1011" w:type="dxa"/>
            <w:tcBorders>
              <w:top w:val="nil"/>
              <w:left w:val="nil"/>
              <w:bottom w:val="nil"/>
              <w:right w:val="nil"/>
            </w:tcBorders>
            <w:noWrap/>
            <w:vAlign w:val="bottom"/>
            <w:hideMark/>
          </w:tcPr>
          <w:p w14:paraId="19C6CD3F"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278,157</w:t>
            </w:r>
          </w:p>
        </w:tc>
      </w:tr>
      <w:tr w:rsidR="00E91426" w:rsidRPr="00E91426" w14:paraId="71FCF0CD" w14:textId="77777777" w:rsidTr="00E91426">
        <w:trPr>
          <w:trHeight w:val="289"/>
        </w:trPr>
        <w:tc>
          <w:tcPr>
            <w:tcW w:w="4745" w:type="dxa"/>
            <w:tcBorders>
              <w:top w:val="nil"/>
              <w:left w:val="nil"/>
              <w:bottom w:val="nil"/>
              <w:right w:val="nil"/>
            </w:tcBorders>
            <w:vAlign w:val="bottom"/>
            <w:hideMark/>
          </w:tcPr>
          <w:p w14:paraId="319A42B3"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Owned - donated/granted</w:t>
            </w:r>
          </w:p>
        </w:tc>
        <w:tc>
          <w:tcPr>
            <w:tcW w:w="896" w:type="dxa"/>
            <w:tcBorders>
              <w:top w:val="nil"/>
              <w:left w:val="nil"/>
              <w:bottom w:val="nil"/>
              <w:right w:val="nil"/>
            </w:tcBorders>
            <w:noWrap/>
            <w:vAlign w:val="bottom"/>
            <w:hideMark/>
          </w:tcPr>
          <w:p w14:paraId="05FD957D"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096" w:type="dxa"/>
            <w:tcBorders>
              <w:top w:val="nil"/>
              <w:left w:val="nil"/>
              <w:bottom w:val="nil"/>
              <w:right w:val="nil"/>
            </w:tcBorders>
            <w:noWrap/>
            <w:vAlign w:val="bottom"/>
            <w:hideMark/>
          </w:tcPr>
          <w:p w14:paraId="6C5C8252"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096" w:type="dxa"/>
            <w:tcBorders>
              <w:top w:val="nil"/>
              <w:left w:val="nil"/>
              <w:bottom w:val="nil"/>
              <w:right w:val="nil"/>
            </w:tcBorders>
            <w:noWrap/>
            <w:vAlign w:val="bottom"/>
            <w:hideMark/>
          </w:tcPr>
          <w:p w14:paraId="3400808C"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361" w:type="dxa"/>
            <w:tcBorders>
              <w:top w:val="nil"/>
              <w:left w:val="nil"/>
              <w:bottom w:val="nil"/>
              <w:right w:val="nil"/>
            </w:tcBorders>
            <w:noWrap/>
            <w:vAlign w:val="bottom"/>
            <w:hideMark/>
          </w:tcPr>
          <w:p w14:paraId="12503EF9"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160" w:type="dxa"/>
            <w:tcBorders>
              <w:top w:val="nil"/>
              <w:left w:val="nil"/>
              <w:bottom w:val="nil"/>
              <w:right w:val="nil"/>
            </w:tcBorders>
            <w:noWrap/>
            <w:vAlign w:val="bottom"/>
            <w:hideMark/>
          </w:tcPr>
          <w:p w14:paraId="2B8C8E35"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1,008</w:t>
            </w:r>
          </w:p>
        </w:tc>
        <w:tc>
          <w:tcPr>
            <w:tcW w:w="1171" w:type="dxa"/>
            <w:tcBorders>
              <w:top w:val="nil"/>
              <w:left w:val="nil"/>
              <w:bottom w:val="nil"/>
              <w:right w:val="nil"/>
            </w:tcBorders>
            <w:noWrap/>
            <w:vAlign w:val="bottom"/>
            <w:hideMark/>
          </w:tcPr>
          <w:p w14:paraId="4A384020"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255" w:type="dxa"/>
            <w:tcBorders>
              <w:top w:val="nil"/>
              <w:left w:val="nil"/>
              <w:bottom w:val="nil"/>
              <w:right w:val="nil"/>
            </w:tcBorders>
            <w:noWrap/>
            <w:vAlign w:val="bottom"/>
            <w:hideMark/>
          </w:tcPr>
          <w:p w14:paraId="6B00E04B"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043" w:type="dxa"/>
            <w:tcBorders>
              <w:top w:val="nil"/>
              <w:left w:val="nil"/>
              <w:bottom w:val="nil"/>
              <w:right w:val="nil"/>
            </w:tcBorders>
            <w:noWrap/>
            <w:vAlign w:val="bottom"/>
            <w:hideMark/>
          </w:tcPr>
          <w:p w14:paraId="1BA980D4"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011" w:type="dxa"/>
            <w:tcBorders>
              <w:top w:val="nil"/>
              <w:left w:val="nil"/>
              <w:bottom w:val="nil"/>
              <w:right w:val="nil"/>
            </w:tcBorders>
            <w:noWrap/>
            <w:vAlign w:val="bottom"/>
            <w:hideMark/>
          </w:tcPr>
          <w:p w14:paraId="50C007ED"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1,008</w:t>
            </w:r>
          </w:p>
        </w:tc>
      </w:tr>
      <w:tr w:rsidR="00E91426" w:rsidRPr="00E91426" w14:paraId="415FB4D4" w14:textId="77777777" w:rsidTr="00E91426">
        <w:trPr>
          <w:trHeight w:val="321"/>
        </w:trPr>
        <w:tc>
          <w:tcPr>
            <w:tcW w:w="4745" w:type="dxa"/>
            <w:tcBorders>
              <w:top w:val="nil"/>
              <w:left w:val="nil"/>
              <w:bottom w:val="nil"/>
              <w:right w:val="nil"/>
            </w:tcBorders>
            <w:vAlign w:val="bottom"/>
            <w:hideMark/>
          </w:tcPr>
          <w:p w14:paraId="0FAEE349"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Net book value at 31 March 2024</w:t>
            </w:r>
          </w:p>
        </w:tc>
        <w:tc>
          <w:tcPr>
            <w:tcW w:w="896" w:type="dxa"/>
            <w:tcBorders>
              <w:top w:val="single" w:sz="4" w:space="0" w:color="auto"/>
              <w:left w:val="nil"/>
              <w:bottom w:val="double" w:sz="6" w:space="0" w:color="auto"/>
              <w:right w:val="nil"/>
            </w:tcBorders>
            <w:noWrap/>
            <w:vAlign w:val="bottom"/>
            <w:hideMark/>
          </w:tcPr>
          <w:p w14:paraId="43520FE8"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7,722</w:t>
            </w:r>
          </w:p>
        </w:tc>
        <w:tc>
          <w:tcPr>
            <w:tcW w:w="1096" w:type="dxa"/>
            <w:tcBorders>
              <w:top w:val="single" w:sz="4" w:space="0" w:color="auto"/>
              <w:left w:val="nil"/>
              <w:bottom w:val="double" w:sz="6" w:space="0" w:color="auto"/>
              <w:right w:val="nil"/>
            </w:tcBorders>
            <w:noWrap/>
            <w:vAlign w:val="bottom"/>
            <w:hideMark/>
          </w:tcPr>
          <w:p w14:paraId="3E390D73"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193,696</w:t>
            </w:r>
          </w:p>
        </w:tc>
        <w:tc>
          <w:tcPr>
            <w:tcW w:w="1096" w:type="dxa"/>
            <w:tcBorders>
              <w:top w:val="single" w:sz="4" w:space="0" w:color="auto"/>
              <w:left w:val="nil"/>
              <w:bottom w:val="double" w:sz="6" w:space="0" w:color="auto"/>
              <w:right w:val="nil"/>
            </w:tcBorders>
            <w:noWrap/>
            <w:vAlign w:val="bottom"/>
            <w:hideMark/>
          </w:tcPr>
          <w:p w14:paraId="2DC5CA4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5,783</w:t>
            </w:r>
          </w:p>
        </w:tc>
        <w:tc>
          <w:tcPr>
            <w:tcW w:w="1361" w:type="dxa"/>
            <w:tcBorders>
              <w:top w:val="single" w:sz="4" w:space="0" w:color="auto"/>
              <w:left w:val="nil"/>
              <w:bottom w:val="double" w:sz="6" w:space="0" w:color="auto"/>
              <w:right w:val="nil"/>
            </w:tcBorders>
            <w:noWrap/>
            <w:vAlign w:val="bottom"/>
            <w:hideMark/>
          </w:tcPr>
          <w:p w14:paraId="17ED9C93"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27,488</w:t>
            </w:r>
          </w:p>
        </w:tc>
        <w:tc>
          <w:tcPr>
            <w:tcW w:w="1160" w:type="dxa"/>
            <w:tcBorders>
              <w:top w:val="single" w:sz="4" w:space="0" w:color="auto"/>
              <w:left w:val="nil"/>
              <w:bottom w:val="double" w:sz="6" w:space="0" w:color="auto"/>
              <w:right w:val="nil"/>
            </w:tcBorders>
            <w:noWrap/>
            <w:vAlign w:val="bottom"/>
            <w:hideMark/>
          </w:tcPr>
          <w:p w14:paraId="119C6F4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20,203</w:t>
            </w:r>
          </w:p>
        </w:tc>
        <w:tc>
          <w:tcPr>
            <w:tcW w:w="1171" w:type="dxa"/>
            <w:tcBorders>
              <w:top w:val="single" w:sz="4" w:space="0" w:color="auto"/>
              <w:left w:val="nil"/>
              <w:bottom w:val="double" w:sz="6" w:space="0" w:color="auto"/>
              <w:right w:val="nil"/>
            </w:tcBorders>
            <w:noWrap/>
            <w:vAlign w:val="bottom"/>
            <w:hideMark/>
          </w:tcPr>
          <w:p w14:paraId="396588ED"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36</w:t>
            </w:r>
          </w:p>
        </w:tc>
        <w:tc>
          <w:tcPr>
            <w:tcW w:w="1255" w:type="dxa"/>
            <w:tcBorders>
              <w:top w:val="single" w:sz="4" w:space="0" w:color="auto"/>
              <w:left w:val="nil"/>
              <w:bottom w:val="double" w:sz="6" w:space="0" w:color="auto"/>
              <w:right w:val="nil"/>
            </w:tcBorders>
            <w:noWrap/>
            <w:vAlign w:val="bottom"/>
            <w:hideMark/>
          </w:tcPr>
          <w:p w14:paraId="0742C44B"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24,065</w:t>
            </w:r>
          </w:p>
        </w:tc>
        <w:tc>
          <w:tcPr>
            <w:tcW w:w="1043" w:type="dxa"/>
            <w:tcBorders>
              <w:top w:val="single" w:sz="4" w:space="0" w:color="auto"/>
              <w:left w:val="nil"/>
              <w:bottom w:val="double" w:sz="6" w:space="0" w:color="auto"/>
              <w:right w:val="nil"/>
            </w:tcBorders>
            <w:noWrap/>
            <w:vAlign w:val="bottom"/>
            <w:hideMark/>
          </w:tcPr>
          <w:p w14:paraId="27711CB5"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172</w:t>
            </w:r>
          </w:p>
        </w:tc>
        <w:tc>
          <w:tcPr>
            <w:tcW w:w="1011" w:type="dxa"/>
            <w:tcBorders>
              <w:top w:val="single" w:sz="4" w:space="0" w:color="auto"/>
              <w:left w:val="nil"/>
              <w:bottom w:val="double" w:sz="6" w:space="0" w:color="auto"/>
              <w:right w:val="nil"/>
            </w:tcBorders>
            <w:noWrap/>
            <w:vAlign w:val="bottom"/>
            <w:hideMark/>
          </w:tcPr>
          <w:p w14:paraId="39670CB8"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279,165</w:t>
            </w:r>
          </w:p>
        </w:tc>
      </w:tr>
    </w:tbl>
    <w:p w14:paraId="0FA8F585" w14:textId="77777777" w:rsidR="00E91426" w:rsidRPr="00E91426" w:rsidRDefault="00E91426" w:rsidP="00E91426">
      <w:pPr>
        <w:widowControl/>
        <w:spacing w:after="160" w:line="259" w:lineRule="auto"/>
        <w:rPr>
          <w:rFonts w:ascii="Arial" w:eastAsia="Calibri" w:hAnsi="Arial" w:cs="Arial"/>
          <w:sz w:val="20"/>
          <w:szCs w:val="20"/>
          <w:lang w:val="en-GB"/>
        </w:rPr>
        <w:sectPr w:rsidR="00E91426" w:rsidRPr="00E91426" w:rsidSect="00E91426">
          <w:pgSz w:w="16838" w:h="11906" w:orient="landscape"/>
          <w:pgMar w:top="1418" w:right="1440" w:bottom="284" w:left="993" w:header="708" w:footer="708" w:gutter="0"/>
          <w:cols w:space="708"/>
          <w:docGrid w:linePitch="360"/>
        </w:sectPr>
      </w:pPr>
    </w:p>
    <w:p w14:paraId="5FDFB440" w14:textId="77777777" w:rsidR="00E91426" w:rsidRPr="00E91426" w:rsidRDefault="00E91426" w:rsidP="00E91426">
      <w:pPr>
        <w:keepNext/>
        <w:keepLines/>
        <w:widowControl/>
        <w:spacing w:before="40" w:line="259" w:lineRule="auto"/>
        <w:outlineLvl w:val="1"/>
        <w:rPr>
          <w:rFonts w:ascii="Arial" w:eastAsia="Times New Roman" w:hAnsi="Arial" w:cs="Arial"/>
          <w:b/>
          <w:color w:val="000000"/>
          <w:sz w:val="20"/>
          <w:szCs w:val="20"/>
          <w:lang w:val="en-GB"/>
        </w:rPr>
      </w:pPr>
      <w:bookmarkStart w:id="70" w:name="_Toc195698708"/>
      <w:r w:rsidRPr="00E91426">
        <w:rPr>
          <w:rFonts w:ascii="Arial" w:eastAsia="Times New Roman" w:hAnsi="Arial" w:cs="Arial"/>
          <w:b/>
          <w:color w:val="000000"/>
          <w:sz w:val="20"/>
          <w:szCs w:val="20"/>
          <w:lang w:val="en-GB"/>
        </w:rPr>
        <w:lastRenderedPageBreak/>
        <w:t>Note 11 Donations of property, plant and equipment</w:t>
      </w:r>
      <w:bookmarkEnd w:id="70"/>
    </w:p>
    <w:p w14:paraId="2412D949" w14:textId="77777777" w:rsidR="00E91426" w:rsidRPr="00E91426" w:rsidRDefault="00E91426" w:rsidP="00E91426">
      <w:pPr>
        <w:widowControl/>
        <w:spacing w:after="160" w:line="259" w:lineRule="auto"/>
        <w:rPr>
          <w:rFonts w:ascii="Arial" w:eastAsia="Calibri" w:hAnsi="Arial" w:cs="Arial"/>
          <w:sz w:val="20"/>
          <w:szCs w:val="20"/>
          <w:lang w:val="en-GB"/>
        </w:rPr>
      </w:pPr>
    </w:p>
    <w:tbl>
      <w:tblPr>
        <w:tblW w:w="8400" w:type="dxa"/>
        <w:tblLook w:val="04A0" w:firstRow="1" w:lastRow="0" w:firstColumn="1" w:lastColumn="0" w:noHBand="0" w:noVBand="1"/>
      </w:tblPr>
      <w:tblGrid>
        <w:gridCol w:w="6300"/>
        <w:gridCol w:w="939"/>
        <w:gridCol w:w="222"/>
        <w:gridCol w:w="939"/>
      </w:tblGrid>
      <w:tr w:rsidR="00E91426" w:rsidRPr="00E91426" w14:paraId="1DBB3A5C" w14:textId="77777777" w:rsidTr="00E91426">
        <w:trPr>
          <w:trHeight w:val="282"/>
        </w:trPr>
        <w:tc>
          <w:tcPr>
            <w:tcW w:w="6300" w:type="dxa"/>
            <w:tcBorders>
              <w:top w:val="nil"/>
              <w:left w:val="nil"/>
              <w:bottom w:val="nil"/>
              <w:right w:val="nil"/>
            </w:tcBorders>
            <w:noWrap/>
            <w:vAlign w:val="bottom"/>
            <w:hideMark/>
          </w:tcPr>
          <w:p w14:paraId="02269DCA"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Note 11.1 Donations</w:t>
            </w:r>
          </w:p>
        </w:tc>
        <w:tc>
          <w:tcPr>
            <w:tcW w:w="939" w:type="dxa"/>
            <w:tcBorders>
              <w:top w:val="nil"/>
              <w:left w:val="nil"/>
              <w:bottom w:val="nil"/>
              <w:right w:val="nil"/>
            </w:tcBorders>
            <w:vAlign w:val="bottom"/>
            <w:hideMark/>
          </w:tcPr>
          <w:p w14:paraId="1E8000D0"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222" w:type="dxa"/>
            <w:tcBorders>
              <w:top w:val="nil"/>
              <w:left w:val="nil"/>
              <w:bottom w:val="nil"/>
              <w:right w:val="nil"/>
            </w:tcBorders>
            <w:vAlign w:val="bottom"/>
            <w:hideMark/>
          </w:tcPr>
          <w:p w14:paraId="2FABE868" w14:textId="77777777" w:rsidR="00E91426" w:rsidRPr="00E91426" w:rsidRDefault="00E91426" w:rsidP="00E91426">
            <w:pPr>
              <w:widowControl/>
              <w:rPr>
                <w:rFonts w:ascii="Arial" w:eastAsia="Times New Roman" w:hAnsi="Arial" w:cs="Arial"/>
                <w:sz w:val="20"/>
                <w:szCs w:val="20"/>
                <w:lang w:val="en-GB" w:eastAsia="en-GB"/>
              </w:rPr>
            </w:pPr>
          </w:p>
        </w:tc>
        <w:tc>
          <w:tcPr>
            <w:tcW w:w="939" w:type="dxa"/>
            <w:tcBorders>
              <w:top w:val="nil"/>
              <w:left w:val="nil"/>
              <w:bottom w:val="nil"/>
              <w:right w:val="nil"/>
            </w:tcBorders>
            <w:vAlign w:val="bottom"/>
            <w:hideMark/>
          </w:tcPr>
          <w:p w14:paraId="70FFBB24"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33084567" w14:textId="77777777" w:rsidTr="00E91426">
        <w:trPr>
          <w:trHeight w:val="282"/>
        </w:trPr>
        <w:tc>
          <w:tcPr>
            <w:tcW w:w="6300" w:type="dxa"/>
            <w:tcBorders>
              <w:top w:val="nil"/>
              <w:left w:val="nil"/>
              <w:bottom w:val="nil"/>
              <w:right w:val="nil"/>
            </w:tcBorders>
            <w:vAlign w:val="bottom"/>
            <w:hideMark/>
          </w:tcPr>
          <w:p w14:paraId="32BA8CA7" w14:textId="77777777" w:rsidR="00E91426" w:rsidRPr="00E91426" w:rsidRDefault="00E91426" w:rsidP="00E91426">
            <w:pPr>
              <w:widowControl/>
              <w:rPr>
                <w:rFonts w:ascii="Arial" w:eastAsia="Times New Roman" w:hAnsi="Arial" w:cs="Arial"/>
                <w:sz w:val="20"/>
                <w:szCs w:val="20"/>
                <w:lang w:val="en-GB" w:eastAsia="en-GB"/>
              </w:rPr>
            </w:pPr>
          </w:p>
        </w:tc>
        <w:tc>
          <w:tcPr>
            <w:tcW w:w="939" w:type="dxa"/>
            <w:tcBorders>
              <w:top w:val="nil"/>
              <w:left w:val="nil"/>
              <w:bottom w:val="nil"/>
              <w:right w:val="nil"/>
            </w:tcBorders>
            <w:vAlign w:val="bottom"/>
            <w:hideMark/>
          </w:tcPr>
          <w:p w14:paraId="39B2A31B"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2024/25</w:t>
            </w:r>
          </w:p>
        </w:tc>
        <w:tc>
          <w:tcPr>
            <w:tcW w:w="222" w:type="dxa"/>
            <w:tcBorders>
              <w:top w:val="nil"/>
              <w:left w:val="nil"/>
              <w:bottom w:val="nil"/>
              <w:right w:val="nil"/>
            </w:tcBorders>
            <w:noWrap/>
            <w:vAlign w:val="bottom"/>
            <w:hideMark/>
          </w:tcPr>
          <w:p w14:paraId="152824B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39" w:type="dxa"/>
            <w:tcBorders>
              <w:top w:val="nil"/>
              <w:left w:val="nil"/>
              <w:bottom w:val="nil"/>
              <w:right w:val="nil"/>
            </w:tcBorders>
            <w:vAlign w:val="bottom"/>
            <w:hideMark/>
          </w:tcPr>
          <w:p w14:paraId="40165002"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2023/24</w:t>
            </w:r>
          </w:p>
        </w:tc>
      </w:tr>
      <w:tr w:rsidR="00E91426" w:rsidRPr="00E91426" w14:paraId="0AAEB4B9" w14:textId="77777777" w:rsidTr="00E91426">
        <w:trPr>
          <w:trHeight w:val="282"/>
        </w:trPr>
        <w:tc>
          <w:tcPr>
            <w:tcW w:w="6300" w:type="dxa"/>
            <w:tcBorders>
              <w:top w:val="nil"/>
              <w:left w:val="nil"/>
              <w:bottom w:val="nil"/>
              <w:right w:val="nil"/>
            </w:tcBorders>
            <w:vAlign w:val="bottom"/>
            <w:hideMark/>
          </w:tcPr>
          <w:p w14:paraId="5F5B50BD"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Donations</w:t>
            </w:r>
          </w:p>
        </w:tc>
        <w:tc>
          <w:tcPr>
            <w:tcW w:w="939" w:type="dxa"/>
            <w:tcBorders>
              <w:top w:val="nil"/>
              <w:left w:val="nil"/>
              <w:bottom w:val="nil"/>
              <w:right w:val="nil"/>
            </w:tcBorders>
            <w:vAlign w:val="bottom"/>
            <w:hideMark/>
          </w:tcPr>
          <w:p w14:paraId="4D355813"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222" w:type="dxa"/>
            <w:tcBorders>
              <w:top w:val="nil"/>
              <w:left w:val="nil"/>
              <w:bottom w:val="nil"/>
              <w:right w:val="nil"/>
            </w:tcBorders>
            <w:noWrap/>
            <w:vAlign w:val="bottom"/>
            <w:hideMark/>
          </w:tcPr>
          <w:p w14:paraId="12809C95"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39" w:type="dxa"/>
            <w:tcBorders>
              <w:top w:val="nil"/>
              <w:left w:val="nil"/>
              <w:bottom w:val="nil"/>
              <w:right w:val="nil"/>
            </w:tcBorders>
            <w:vAlign w:val="bottom"/>
            <w:hideMark/>
          </w:tcPr>
          <w:p w14:paraId="6B03C523"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r>
      <w:tr w:rsidR="00E91426" w:rsidRPr="00E91426" w14:paraId="5228FA4E" w14:textId="77777777" w:rsidTr="00E91426">
        <w:trPr>
          <w:trHeight w:val="255"/>
        </w:trPr>
        <w:tc>
          <w:tcPr>
            <w:tcW w:w="6300" w:type="dxa"/>
            <w:tcBorders>
              <w:top w:val="nil"/>
              <w:left w:val="nil"/>
              <w:bottom w:val="nil"/>
              <w:right w:val="nil"/>
            </w:tcBorders>
            <w:vAlign w:val="bottom"/>
            <w:hideMark/>
          </w:tcPr>
          <w:p w14:paraId="6B57CAFC"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Additions - donations of physical assets (non-cash)</w:t>
            </w:r>
          </w:p>
        </w:tc>
        <w:tc>
          <w:tcPr>
            <w:tcW w:w="939" w:type="dxa"/>
            <w:tcBorders>
              <w:top w:val="nil"/>
              <w:left w:val="nil"/>
              <w:bottom w:val="nil"/>
              <w:right w:val="nil"/>
            </w:tcBorders>
            <w:vAlign w:val="bottom"/>
            <w:hideMark/>
          </w:tcPr>
          <w:p w14:paraId="22132514"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222" w:type="dxa"/>
            <w:tcBorders>
              <w:top w:val="nil"/>
              <w:left w:val="nil"/>
              <w:bottom w:val="nil"/>
              <w:right w:val="nil"/>
            </w:tcBorders>
            <w:vAlign w:val="bottom"/>
            <w:hideMark/>
          </w:tcPr>
          <w:p w14:paraId="538229BC"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939" w:type="dxa"/>
            <w:tcBorders>
              <w:top w:val="nil"/>
              <w:left w:val="nil"/>
              <w:bottom w:val="nil"/>
              <w:right w:val="nil"/>
            </w:tcBorders>
            <w:vAlign w:val="bottom"/>
            <w:hideMark/>
          </w:tcPr>
          <w:p w14:paraId="4387F759"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r>
      <w:tr w:rsidR="00E91426" w:rsidRPr="00E91426" w14:paraId="1E8AC7D8" w14:textId="77777777" w:rsidTr="00E91426">
        <w:trPr>
          <w:trHeight w:val="282"/>
        </w:trPr>
        <w:tc>
          <w:tcPr>
            <w:tcW w:w="6300" w:type="dxa"/>
            <w:tcBorders>
              <w:top w:val="nil"/>
              <w:left w:val="nil"/>
              <w:bottom w:val="nil"/>
              <w:right w:val="nil"/>
            </w:tcBorders>
            <w:vAlign w:val="bottom"/>
            <w:hideMark/>
          </w:tcPr>
          <w:p w14:paraId="09176E89"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Additions - assets purchased from cash donations/grants</w:t>
            </w:r>
            <w:r w:rsidRPr="00E91426">
              <w:rPr>
                <w:rFonts w:ascii="Arial" w:eastAsia="Times New Roman" w:hAnsi="Arial" w:cs="Arial"/>
                <w:color w:val="000000"/>
                <w:sz w:val="20"/>
                <w:szCs w:val="20"/>
                <w:vertAlign w:val="superscript"/>
                <w:lang w:val="en-GB" w:eastAsia="en-GB"/>
              </w:rPr>
              <w:t>1</w:t>
            </w:r>
          </w:p>
        </w:tc>
        <w:tc>
          <w:tcPr>
            <w:tcW w:w="939" w:type="dxa"/>
            <w:tcBorders>
              <w:top w:val="nil"/>
              <w:left w:val="nil"/>
              <w:bottom w:val="nil"/>
              <w:right w:val="nil"/>
            </w:tcBorders>
            <w:vAlign w:val="bottom"/>
            <w:hideMark/>
          </w:tcPr>
          <w:p w14:paraId="62F83C55"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5,813</w:t>
            </w:r>
          </w:p>
        </w:tc>
        <w:tc>
          <w:tcPr>
            <w:tcW w:w="222" w:type="dxa"/>
            <w:tcBorders>
              <w:top w:val="nil"/>
              <w:left w:val="nil"/>
              <w:bottom w:val="nil"/>
              <w:right w:val="nil"/>
            </w:tcBorders>
            <w:vAlign w:val="bottom"/>
            <w:hideMark/>
          </w:tcPr>
          <w:p w14:paraId="682F7C6B"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939" w:type="dxa"/>
            <w:tcBorders>
              <w:top w:val="nil"/>
              <w:left w:val="nil"/>
              <w:bottom w:val="nil"/>
              <w:right w:val="nil"/>
            </w:tcBorders>
            <w:vAlign w:val="bottom"/>
            <w:hideMark/>
          </w:tcPr>
          <w:p w14:paraId="00C4F229"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228</w:t>
            </w:r>
          </w:p>
        </w:tc>
      </w:tr>
      <w:tr w:rsidR="00E91426" w:rsidRPr="00E91426" w14:paraId="6E69A160" w14:textId="77777777" w:rsidTr="00E91426">
        <w:trPr>
          <w:trHeight w:val="214"/>
        </w:trPr>
        <w:tc>
          <w:tcPr>
            <w:tcW w:w="6300" w:type="dxa"/>
            <w:tcBorders>
              <w:top w:val="nil"/>
              <w:left w:val="nil"/>
              <w:bottom w:val="nil"/>
              <w:right w:val="nil"/>
            </w:tcBorders>
            <w:vAlign w:val="bottom"/>
          </w:tcPr>
          <w:p w14:paraId="4D215EBE"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Total Donations</w:t>
            </w:r>
          </w:p>
        </w:tc>
        <w:tc>
          <w:tcPr>
            <w:tcW w:w="939" w:type="dxa"/>
            <w:tcBorders>
              <w:top w:val="single" w:sz="4" w:space="0" w:color="auto"/>
              <w:left w:val="nil"/>
              <w:bottom w:val="double" w:sz="6" w:space="0" w:color="auto"/>
              <w:right w:val="nil"/>
            </w:tcBorders>
            <w:noWrap/>
            <w:vAlign w:val="bottom"/>
          </w:tcPr>
          <w:p w14:paraId="143C89FD"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    5,813</w:t>
            </w:r>
          </w:p>
        </w:tc>
        <w:tc>
          <w:tcPr>
            <w:tcW w:w="222" w:type="dxa"/>
            <w:tcBorders>
              <w:top w:val="nil"/>
              <w:left w:val="nil"/>
              <w:bottom w:val="nil"/>
              <w:right w:val="nil"/>
            </w:tcBorders>
            <w:vAlign w:val="bottom"/>
          </w:tcPr>
          <w:p w14:paraId="71865A5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39" w:type="dxa"/>
            <w:tcBorders>
              <w:top w:val="single" w:sz="4" w:space="0" w:color="auto"/>
              <w:left w:val="nil"/>
              <w:bottom w:val="double" w:sz="6" w:space="0" w:color="auto"/>
              <w:right w:val="nil"/>
            </w:tcBorders>
            <w:noWrap/>
            <w:vAlign w:val="bottom"/>
          </w:tcPr>
          <w:p w14:paraId="4A45AF7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228</w:t>
            </w:r>
          </w:p>
        </w:tc>
      </w:tr>
    </w:tbl>
    <w:p w14:paraId="6560D9B5" w14:textId="77777777" w:rsidR="00E91426" w:rsidRPr="00E91426" w:rsidRDefault="00E91426" w:rsidP="00E91426">
      <w:pPr>
        <w:widowControl/>
        <w:spacing w:after="160" w:line="259" w:lineRule="auto"/>
        <w:rPr>
          <w:rFonts w:ascii="Arial" w:eastAsia="Calibri" w:hAnsi="Arial" w:cs="Arial"/>
          <w:sz w:val="18"/>
          <w:szCs w:val="18"/>
          <w:vertAlign w:val="superscript"/>
          <w:lang w:val="en-GB"/>
        </w:rPr>
      </w:pPr>
    </w:p>
    <w:p w14:paraId="4F8CDC14" w14:textId="77777777" w:rsidR="00E91426" w:rsidRPr="00E91426" w:rsidRDefault="00E91426" w:rsidP="00E91426">
      <w:pPr>
        <w:widowControl/>
        <w:spacing w:after="160" w:line="259" w:lineRule="auto"/>
        <w:rPr>
          <w:rFonts w:ascii="Arial" w:eastAsia="Calibri" w:hAnsi="Arial" w:cs="Arial"/>
          <w:sz w:val="18"/>
          <w:szCs w:val="18"/>
          <w:lang w:val="en-GB"/>
        </w:rPr>
      </w:pPr>
      <w:r w:rsidRPr="00E91426">
        <w:rPr>
          <w:rFonts w:ascii="Arial" w:eastAsia="Calibri" w:hAnsi="Arial" w:cs="Arial"/>
          <w:sz w:val="18"/>
          <w:szCs w:val="18"/>
          <w:vertAlign w:val="superscript"/>
          <w:lang w:val="en-GB"/>
        </w:rPr>
        <w:t>1</w:t>
      </w:r>
      <w:r w:rsidRPr="00E91426">
        <w:rPr>
          <w:rFonts w:ascii="Arial" w:eastAsia="Calibri" w:hAnsi="Arial" w:cs="Arial"/>
          <w:sz w:val="18"/>
          <w:szCs w:val="18"/>
          <w:lang w:val="en-GB"/>
        </w:rPr>
        <w:t>All grants and donations were restricted to fund specific equipment or outcomes including £5,319k for decarbonisation works only.</w:t>
      </w:r>
    </w:p>
    <w:p w14:paraId="69E3D79C" w14:textId="77777777" w:rsidR="00E91426" w:rsidRPr="00E91426" w:rsidRDefault="00E91426" w:rsidP="00E91426">
      <w:pPr>
        <w:keepNext/>
        <w:keepLines/>
        <w:widowControl/>
        <w:spacing w:before="40" w:line="259" w:lineRule="auto"/>
        <w:outlineLvl w:val="1"/>
        <w:rPr>
          <w:rFonts w:ascii="Arial" w:eastAsia="Times New Roman" w:hAnsi="Arial" w:cs="Arial"/>
          <w:b/>
          <w:color w:val="000000"/>
          <w:sz w:val="20"/>
          <w:szCs w:val="20"/>
          <w:lang w:val="en-GB"/>
        </w:rPr>
      </w:pPr>
      <w:bookmarkStart w:id="71" w:name="_Toc195698709"/>
      <w:r w:rsidRPr="00E91426">
        <w:rPr>
          <w:rFonts w:ascii="Arial" w:eastAsia="Times New Roman" w:hAnsi="Arial" w:cs="Arial"/>
          <w:b/>
          <w:color w:val="000000"/>
          <w:sz w:val="20"/>
          <w:szCs w:val="20"/>
          <w:lang w:val="en-GB"/>
        </w:rPr>
        <w:t>Note 12 Revaluations and impairments of property, plant and equipment</w:t>
      </w:r>
      <w:bookmarkEnd w:id="71"/>
    </w:p>
    <w:p w14:paraId="64D36E89" w14:textId="77777777" w:rsidR="00E91426" w:rsidRPr="00E91426" w:rsidRDefault="00E91426" w:rsidP="00E91426">
      <w:pPr>
        <w:widowControl/>
        <w:spacing w:after="160" w:line="259" w:lineRule="auto"/>
        <w:rPr>
          <w:rFonts w:ascii="Arial" w:eastAsia="Calibri" w:hAnsi="Arial" w:cs="Arial"/>
          <w:sz w:val="20"/>
          <w:szCs w:val="20"/>
          <w:lang w:val="en-GB"/>
        </w:rPr>
      </w:pPr>
    </w:p>
    <w:tbl>
      <w:tblPr>
        <w:tblW w:w="8931" w:type="dxa"/>
        <w:tblLook w:val="04A0" w:firstRow="1" w:lastRow="0" w:firstColumn="1" w:lastColumn="0" w:noHBand="0" w:noVBand="1"/>
      </w:tblPr>
      <w:tblGrid>
        <w:gridCol w:w="6300"/>
        <w:gridCol w:w="939"/>
        <w:gridCol w:w="222"/>
        <w:gridCol w:w="1470"/>
      </w:tblGrid>
      <w:tr w:rsidR="00E91426" w:rsidRPr="00E91426" w14:paraId="417F8F36" w14:textId="77777777" w:rsidTr="00E91426">
        <w:trPr>
          <w:trHeight w:val="2400"/>
        </w:trPr>
        <w:tc>
          <w:tcPr>
            <w:tcW w:w="8931" w:type="dxa"/>
            <w:gridSpan w:val="4"/>
            <w:tcBorders>
              <w:top w:val="nil"/>
              <w:left w:val="nil"/>
              <w:bottom w:val="nil"/>
              <w:right w:val="nil"/>
            </w:tcBorders>
            <w:hideMark/>
          </w:tcPr>
          <w:p w14:paraId="1E446912" w14:textId="77777777" w:rsidR="00E91426" w:rsidRPr="00E91426" w:rsidRDefault="00E91426" w:rsidP="00E91426">
            <w:pPr>
              <w:widowControl/>
              <w:rPr>
                <w:rFonts w:ascii="Arial" w:eastAsia="Times New Roman" w:hAnsi="Arial" w:cs="Arial"/>
                <w:sz w:val="20"/>
                <w:szCs w:val="20"/>
                <w:lang w:val="en-GB" w:eastAsia="en-GB"/>
              </w:rPr>
            </w:pPr>
            <w:r w:rsidRPr="00E91426">
              <w:rPr>
                <w:rFonts w:ascii="Arial" w:eastAsia="Times New Roman" w:hAnsi="Arial" w:cs="Arial"/>
                <w:sz w:val="20"/>
                <w:szCs w:val="20"/>
                <w:lang w:val="en-GB" w:eastAsia="en-GB"/>
              </w:rPr>
              <w:t xml:space="preserve">The date of the latest valuation of land, buildings and dwellings was 31 March 2025. </w:t>
            </w:r>
            <w:r w:rsidRPr="00E91426">
              <w:rPr>
                <w:rFonts w:ascii="Arial" w:eastAsia="Times New Roman" w:hAnsi="Arial" w:cs="Arial"/>
                <w:sz w:val="20"/>
                <w:szCs w:val="20"/>
                <w:lang w:val="en-GB" w:eastAsia="en-GB"/>
              </w:rPr>
              <w:br/>
              <w:t>The valuation was carried out by an externally appointed independent RICS qualified valuer.  Land and non-specialised buildings have been valued at market value for existing use and specialised buildings at depreciated replacement cost on a modern equivalent asset basis.</w:t>
            </w:r>
            <w:r w:rsidRPr="00E91426">
              <w:rPr>
                <w:rFonts w:ascii="Arial" w:eastAsia="Times New Roman" w:hAnsi="Arial" w:cs="Arial"/>
                <w:sz w:val="20"/>
                <w:szCs w:val="20"/>
                <w:lang w:val="en-GB" w:eastAsia="en-GB"/>
              </w:rPr>
              <w:br/>
              <w:t>See note 1.6.2 for more detail. Information on the economic life of property, plant and equipment is included in the accounting policies.</w:t>
            </w:r>
            <w:r w:rsidRPr="00E91426">
              <w:rPr>
                <w:rFonts w:ascii="Arial" w:eastAsia="Times New Roman" w:hAnsi="Arial" w:cs="Arial"/>
                <w:sz w:val="20"/>
                <w:szCs w:val="20"/>
                <w:lang w:val="en-GB" w:eastAsia="en-GB"/>
              </w:rPr>
              <w:br/>
            </w:r>
            <w:r w:rsidRPr="00E91426">
              <w:rPr>
                <w:rFonts w:ascii="Arial" w:eastAsia="Times New Roman" w:hAnsi="Arial" w:cs="Arial"/>
                <w:sz w:val="20"/>
                <w:szCs w:val="20"/>
                <w:lang w:val="en-GB" w:eastAsia="en-GB"/>
              </w:rPr>
              <w:br/>
              <w:t>The overall impact of the valuation exercise was an increase of £2,630k, £6,929k revaluation net of £4,299k impairments.</w:t>
            </w:r>
          </w:p>
        </w:tc>
      </w:tr>
      <w:tr w:rsidR="00E91426" w:rsidRPr="00E91426" w14:paraId="019D3A79" w14:textId="77777777" w:rsidTr="00E91426">
        <w:trPr>
          <w:trHeight w:val="282"/>
        </w:trPr>
        <w:tc>
          <w:tcPr>
            <w:tcW w:w="6300" w:type="dxa"/>
            <w:tcBorders>
              <w:top w:val="nil"/>
              <w:left w:val="nil"/>
              <w:bottom w:val="nil"/>
              <w:right w:val="nil"/>
            </w:tcBorders>
            <w:noWrap/>
            <w:vAlign w:val="bottom"/>
            <w:hideMark/>
          </w:tcPr>
          <w:p w14:paraId="55A5E2E2"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Note 12.1 Revaluations</w:t>
            </w:r>
          </w:p>
        </w:tc>
        <w:tc>
          <w:tcPr>
            <w:tcW w:w="939" w:type="dxa"/>
            <w:tcBorders>
              <w:top w:val="nil"/>
              <w:left w:val="nil"/>
              <w:bottom w:val="nil"/>
              <w:right w:val="nil"/>
            </w:tcBorders>
            <w:vAlign w:val="bottom"/>
            <w:hideMark/>
          </w:tcPr>
          <w:p w14:paraId="57FDD0E4"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222" w:type="dxa"/>
            <w:tcBorders>
              <w:top w:val="nil"/>
              <w:left w:val="nil"/>
              <w:bottom w:val="nil"/>
              <w:right w:val="nil"/>
            </w:tcBorders>
            <w:vAlign w:val="bottom"/>
            <w:hideMark/>
          </w:tcPr>
          <w:p w14:paraId="3F439E09" w14:textId="77777777" w:rsidR="00E91426" w:rsidRPr="00E91426" w:rsidRDefault="00E91426" w:rsidP="00E91426">
            <w:pPr>
              <w:widowControl/>
              <w:rPr>
                <w:rFonts w:ascii="Arial" w:eastAsia="Times New Roman" w:hAnsi="Arial" w:cs="Arial"/>
                <w:sz w:val="20"/>
                <w:szCs w:val="20"/>
                <w:lang w:val="en-GB" w:eastAsia="en-GB"/>
              </w:rPr>
            </w:pPr>
          </w:p>
        </w:tc>
        <w:tc>
          <w:tcPr>
            <w:tcW w:w="1470" w:type="dxa"/>
            <w:tcBorders>
              <w:top w:val="nil"/>
              <w:left w:val="nil"/>
              <w:bottom w:val="nil"/>
              <w:right w:val="nil"/>
            </w:tcBorders>
            <w:vAlign w:val="bottom"/>
            <w:hideMark/>
          </w:tcPr>
          <w:p w14:paraId="201285A1"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63BC1200" w14:textId="77777777" w:rsidTr="00E91426">
        <w:trPr>
          <w:trHeight w:val="282"/>
        </w:trPr>
        <w:tc>
          <w:tcPr>
            <w:tcW w:w="6300" w:type="dxa"/>
            <w:tcBorders>
              <w:top w:val="nil"/>
              <w:left w:val="nil"/>
              <w:bottom w:val="nil"/>
              <w:right w:val="nil"/>
            </w:tcBorders>
            <w:vAlign w:val="bottom"/>
            <w:hideMark/>
          </w:tcPr>
          <w:p w14:paraId="07D8E44A" w14:textId="77777777" w:rsidR="00E91426" w:rsidRPr="00E91426" w:rsidRDefault="00E91426" w:rsidP="00E91426">
            <w:pPr>
              <w:widowControl/>
              <w:rPr>
                <w:rFonts w:ascii="Arial" w:eastAsia="Times New Roman" w:hAnsi="Arial" w:cs="Arial"/>
                <w:sz w:val="20"/>
                <w:szCs w:val="20"/>
                <w:lang w:val="en-GB" w:eastAsia="en-GB"/>
              </w:rPr>
            </w:pPr>
          </w:p>
        </w:tc>
        <w:tc>
          <w:tcPr>
            <w:tcW w:w="939" w:type="dxa"/>
            <w:tcBorders>
              <w:top w:val="nil"/>
              <w:left w:val="nil"/>
              <w:bottom w:val="nil"/>
              <w:right w:val="nil"/>
            </w:tcBorders>
            <w:vAlign w:val="bottom"/>
            <w:hideMark/>
          </w:tcPr>
          <w:p w14:paraId="26BAA46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2024/25</w:t>
            </w:r>
          </w:p>
        </w:tc>
        <w:tc>
          <w:tcPr>
            <w:tcW w:w="222" w:type="dxa"/>
            <w:tcBorders>
              <w:top w:val="nil"/>
              <w:left w:val="nil"/>
              <w:bottom w:val="nil"/>
              <w:right w:val="nil"/>
            </w:tcBorders>
            <w:noWrap/>
            <w:vAlign w:val="bottom"/>
            <w:hideMark/>
          </w:tcPr>
          <w:p w14:paraId="6142E21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470" w:type="dxa"/>
            <w:tcBorders>
              <w:top w:val="nil"/>
              <w:left w:val="nil"/>
              <w:bottom w:val="nil"/>
              <w:right w:val="nil"/>
            </w:tcBorders>
            <w:vAlign w:val="bottom"/>
            <w:hideMark/>
          </w:tcPr>
          <w:p w14:paraId="5DE98C6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2023/24</w:t>
            </w:r>
          </w:p>
        </w:tc>
      </w:tr>
      <w:tr w:rsidR="00E91426" w:rsidRPr="00E91426" w14:paraId="441CA006" w14:textId="77777777" w:rsidTr="00E91426">
        <w:trPr>
          <w:trHeight w:val="282"/>
        </w:trPr>
        <w:tc>
          <w:tcPr>
            <w:tcW w:w="6300" w:type="dxa"/>
            <w:tcBorders>
              <w:top w:val="nil"/>
              <w:left w:val="nil"/>
              <w:bottom w:val="nil"/>
              <w:right w:val="nil"/>
            </w:tcBorders>
            <w:vAlign w:val="bottom"/>
            <w:hideMark/>
          </w:tcPr>
          <w:p w14:paraId="410B67E3"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Changes in market price</w:t>
            </w:r>
          </w:p>
        </w:tc>
        <w:tc>
          <w:tcPr>
            <w:tcW w:w="939" w:type="dxa"/>
            <w:tcBorders>
              <w:top w:val="nil"/>
              <w:left w:val="nil"/>
              <w:bottom w:val="nil"/>
              <w:right w:val="nil"/>
            </w:tcBorders>
            <w:vAlign w:val="bottom"/>
            <w:hideMark/>
          </w:tcPr>
          <w:p w14:paraId="6D9D39CB"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222" w:type="dxa"/>
            <w:tcBorders>
              <w:top w:val="nil"/>
              <w:left w:val="nil"/>
              <w:bottom w:val="nil"/>
              <w:right w:val="nil"/>
            </w:tcBorders>
            <w:noWrap/>
            <w:vAlign w:val="bottom"/>
            <w:hideMark/>
          </w:tcPr>
          <w:p w14:paraId="43BF01C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470" w:type="dxa"/>
            <w:tcBorders>
              <w:top w:val="nil"/>
              <w:left w:val="nil"/>
              <w:bottom w:val="nil"/>
              <w:right w:val="nil"/>
            </w:tcBorders>
            <w:vAlign w:val="bottom"/>
            <w:hideMark/>
          </w:tcPr>
          <w:p w14:paraId="11B411D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r>
      <w:tr w:rsidR="00E91426" w:rsidRPr="00E91426" w14:paraId="49E77E5A" w14:textId="77777777" w:rsidTr="00E91426">
        <w:trPr>
          <w:trHeight w:val="282"/>
        </w:trPr>
        <w:tc>
          <w:tcPr>
            <w:tcW w:w="6300" w:type="dxa"/>
            <w:tcBorders>
              <w:top w:val="nil"/>
              <w:left w:val="nil"/>
              <w:bottom w:val="nil"/>
              <w:right w:val="nil"/>
            </w:tcBorders>
            <w:vAlign w:val="bottom"/>
            <w:hideMark/>
          </w:tcPr>
          <w:p w14:paraId="1933CDE4"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Land</w:t>
            </w:r>
          </w:p>
        </w:tc>
        <w:tc>
          <w:tcPr>
            <w:tcW w:w="939" w:type="dxa"/>
            <w:tcBorders>
              <w:top w:val="nil"/>
              <w:left w:val="nil"/>
              <w:bottom w:val="nil"/>
              <w:right w:val="nil"/>
            </w:tcBorders>
            <w:vAlign w:val="bottom"/>
            <w:hideMark/>
          </w:tcPr>
          <w:p w14:paraId="736E50C8"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610</w:t>
            </w:r>
          </w:p>
        </w:tc>
        <w:tc>
          <w:tcPr>
            <w:tcW w:w="222" w:type="dxa"/>
            <w:tcBorders>
              <w:top w:val="nil"/>
              <w:left w:val="nil"/>
              <w:bottom w:val="nil"/>
              <w:right w:val="nil"/>
            </w:tcBorders>
            <w:vAlign w:val="bottom"/>
            <w:hideMark/>
          </w:tcPr>
          <w:p w14:paraId="6A1E0842"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470" w:type="dxa"/>
            <w:tcBorders>
              <w:top w:val="nil"/>
              <w:left w:val="nil"/>
              <w:bottom w:val="nil"/>
              <w:right w:val="nil"/>
            </w:tcBorders>
            <w:vAlign w:val="bottom"/>
            <w:hideMark/>
          </w:tcPr>
          <w:p w14:paraId="1D2FB2B5"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119</w:t>
            </w:r>
          </w:p>
        </w:tc>
      </w:tr>
      <w:tr w:rsidR="00E91426" w:rsidRPr="00E91426" w14:paraId="1FBA243A" w14:textId="77777777" w:rsidTr="00E91426">
        <w:trPr>
          <w:trHeight w:val="282"/>
        </w:trPr>
        <w:tc>
          <w:tcPr>
            <w:tcW w:w="6300" w:type="dxa"/>
            <w:tcBorders>
              <w:top w:val="nil"/>
              <w:left w:val="nil"/>
              <w:bottom w:val="nil"/>
              <w:right w:val="nil"/>
            </w:tcBorders>
            <w:vAlign w:val="bottom"/>
            <w:hideMark/>
          </w:tcPr>
          <w:p w14:paraId="50E7302A"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Buildings including dwellings</w:t>
            </w:r>
          </w:p>
        </w:tc>
        <w:tc>
          <w:tcPr>
            <w:tcW w:w="939" w:type="dxa"/>
            <w:tcBorders>
              <w:top w:val="nil"/>
              <w:left w:val="nil"/>
              <w:bottom w:val="nil"/>
              <w:right w:val="nil"/>
            </w:tcBorders>
            <w:vAlign w:val="bottom"/>
            <w:hideMark/>
          </w:tcPr>
          <w:p w14:paraId="502FA38F"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6,319</w:t>
            </w:r>
          </w:p>
        </w:tc>
        <w:tc>
          <w:tcPr>
            <w:tcW w:w="222" w:type="dxa"/>
            <w:tcBorders>
              <w:top w:val="nil"/>
              <w:left w:val="nil"/>
              <w:bottom w:val="nil"/>
              <w:right w:val="nil"/>
            </w:tcBorders>
            <w:vAlign w:val="bottom"/>
            <w:hideMark/>
          </w:tcPr>
          <w:p w14:paraId="4EA278CB"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470" w:type="dxa"/>
            <w:tcBorders>
              <w:top w:val="nil"/>
              <w:left w:val="nil"/>
              <w:bottom w:val="nil"/>
              <w:right w:val="nil"/>
            </w:tcBorders>
            <w:vAlign w:val="bottom"/>
            <w:hideMark/>
          </w:tcPr>
          <w:p w14:paraId="4A00E767"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5,279</w:t>
            </w:r>
          </w:p>
        </w:tc>
      </w:tr>
      <w:tr w:rsidR="00E91426" w:rsidRPr="00E91426" w14:paraId="3C7EE021" w14:textId="77777777" w:rsidTr="00E91426">
        <w:trPr>
          <w:trHeight w:val="270"/>
        </w:trPr>
        <w:tc>
          <w:tcPr>
            <w:tcW w:w="6300" w:type="dxa"/>
            <w:tcBorders>
              <w:top w:val="nil"/>
              <w:left w:val="nil"/>
              <w:bottom w:val="nil"/>
              <w:right w:val="nil"/>
            </w:tcBorders>
            <w:vAlign w:val="bottom"/>
            <w:hideMark/>
          </w:tcPr>
          <w:p w14:paraId="430C7553"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Total Revaluations</w:t>
            </w:r>
          </w:p>
        </w:tc>
        <w:tc>
          <w:tcPr>
            <w:tcW w:w="939" w:type="dxa"/>
            <w:tcBorders>
              <w:top w:val="single" w:sz="4" w:space="0" w:color="auto"/>
              <w:left w:val="nil"/>
              <w:bottom w:val="double" w:sz="6" w:space="0" w:color="auto"/>
              <w:right w:val="nil"/>
            </w:tcBorders>
            <w:noWrap/>
            <w:vAlign w:val="bottom"/>
            <w:hideMark/>
          </w:tcPr>
          <w:p w14:paraId="4FFDCA1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6,929</w:t>
            </w:r>
          </w:p>
        </w:tc>
        <w:tc>
          <w:tcPr>
            <w:tcW w:w="222" w:type="dxa"/>
            <w:tcBorders>
              <w:top w:val="nil"/>
              <w:left w:val="nil"/>
              <w:bottom w:val="nil"/>
              <w:right w:val="nil"/>
            </w:tcBorders>
            <w:vAlign w:val="bottom"/>
            <w:hideMark/>
          </w:tcPr>
          <w:p w14:paraId="563EC57F"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470" w:type="dxa"/>
            <w:tcBorders>
              <w:top w:val="single" w:sz="4" w:space="0" w:color="auto"/>
              <w:left w:val="nil"/>
              <w:bottom w:val="double" w:sz="6" w:space="0" w:color="auto"/>
              <w:right w:val="nil"/>
            </w:tcBorders>
            <w:noWrap/>
            <w:vAlign w:val="bottom"/>
            <w:hideMark/>
          </w:tcPr>
          <w:p w14:paraId="412B7D9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5,398</w:t>
            </w:r>
          </w:p>
        </w:tc>
      </w:tr>
      <w:tr w:rsidR="00E91426" w:rsidRPr="00E91426" w14:paraId="0FE0F899" w14:textId="77777777" w:rsidTr="00E91426">
        <w:trPr>
          <w:trHeight w:val="282"/>
        </w:trPr>
        <w:tc>
          <w:tcPr>
            <w:tcW w:w="6300" w:type="dxa"/>
            <w:tcBorders>
              <w:top w:val="nil"/>
              <w:left w:val="nil"/>
              <w:bottom w:val="nil"/>
              <w:right w:val="nil"/>
            </w:tcBorders>
            <w:vAlign w:val="bottom"/>
            <w:hideMark/>
          </w:tcPr>
          <w:p w14:paraId="6A6921A3"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39" w:type="dxa"/>
            <w:tcBorders>
              <w:top w:val="nil"/>
              <w:left w:val="nil"/>
              <w:bottom w:val="nil"/>
              <w:right w:val="nil"/>
            </w:tcBorders>
            <w:vAlign w:val="bottom"/>
            <w:hideMark/>
          </w:tcPr>
          <w:p w14:paraId="5E3C4746" w14:textId="77777777" w:rsidR="00E91426" w:rsidRPr="00E91426" w:rsidRDefault="00E91426" w:rsidP="00E91426">
            <w:pPr>
              <w:widowControl/>
              <w:rPr>
                <w:rFonts w:ascii="Arial" w:eastAsia="Times New Roman" w:hAnsi="Arial" w:cs="Arial"/>
                <w:sz w:val="20"/>
                <w:szCs w:val="20"/>
                <w:lang w:val="en-GB" w:eastAsia="en-GB"/>
              </w:rPr>
            </w:pPr>
          </w:p>
        </w:tc>
        <w:tc>
          <w:tcPr>
            <w:tcW w:w="222" w:type="dxa"/>
            <w:tcBorders>
              <w:top w:val="nil"/>
              <w:left w:val="nil"/>
              <w:bottom w:val="nil"/>
              <w:right w:val="nil"/>
            </w:tcBorders>
            <w:vAlign w:val="bottom"/>
            <w:hideMark/>
          </w:tcPr>
          <w:p w14:paraId="49873932" w14:textId="77777777" w:rsidR="00E91426" w:rsidRPr="00E91426" w:rsidRDefault="00E91426" w:rsidP="00E91426">
            <w:pPr>
              <w:widowControl/>
              <w:rPr>
                <w:rFonts w:ascii="Arial" w:eastAsia="Times New Roman" w:hAnsi="Arial" w:cs="Arial"/>
                <w:sz w:val="20"/>
                <w:szCs w:val="20"/>
                <w:lang w:val="en-GB" w:eastAsia="en-GB"/>
              </w:rPr>
            </w:pPr>
          </w:p>
        </w:tc>
        <w:tc>
          <w:tcPr>
            <w:tcW w:w="1470" w:type="dxa"/>
            <w:tcBorders>
              <w:top w:val="nil"/>
              <w:left w:val="nil"/>
              <w:bottom w:val="nil"/>
              <w:right w:val="nil"/>
            </w:tcBorders>
            <w:vAlign w:val="bottom"/>
            <w:hideMark/>
          </w:tcPr>
          <w:p w14:paraId="63AA1B2A"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7DD5FA88" w14:textId="77777777" w:rsidTr="00E91426">
        <w:trPr>
          <w:trHeight w:val="282"/>
        </w:trPr>
        <w:tc>
          <w:tcPr>
            <w:tcW w:w="6300" w:type="dxa"/>
            <w:tcBorders>
              <w:top w:val="nil"/>
              <w:left w:val="nil"/>
              <w:bottom w:val="nil"/>
              <w:right w:val="nil"/>
            </w:tcBorders>
            <w:vAlign w:val="bottom"/>
            <w:hideMark/>
          </w:tcPr>
          <w:p w14:paraId="44ADACFF" w14:textId="77777777" w:rsidR="00E91426" w:rsidRPr="00E91426" w:rsidRDefault="00E91426" w:rsidP="00E91426">
            <w:pPr>
              <w:widowControl/>
              <w:rPr>
                <w:rFonts w:ascii="Arial" w:eastAsia="Times New Roman" w:hAnsi="Arial" w:cs="Arial"/>
                <w:sz w:val="20"/>
                <w:szCs w:val="20"/>
                <w:lang w:val="en-GB" w:eastAsia="en-GB"/>
              </w:rPr>
            </w:pPr>
          </w:p>
        </w:tc>
        <w:tc>
          <w:tcPr>
            <w:tcW w:w="939" w:type="dxa"/>
            <w:tcBorders>
              <w:top w:val="nil"/>
              <w:left w:val="nil"/>
              <w:bottom w:val="nil"/>
              <w:right w:val="nil"/>
            </w:tcBorders>
            <w:vAlign w:val="bottom"/>
            <w:hideMark/>
          </w:tcPr>
          <w:p w14:paraId="55D27AF1" w14:textId="77777777" w:rsidR="00E91426" w:rsidRPr="00E91426" w:rsidRDefault="00E91426" w:rsidP="00E91426">
            <w:pPr>
              <w:widowControl/>
              <w:rPr>
                <w:rFonts w:ascii="Arial" w:eastAsia="Times New Roman" w:hAnsi="Arial" w:cs="Arial"/>
                <w:sz w:val="20"/>
                <w:szCs w:val="20"/>
                <w:lang w:val="en-GB" w:eastAsia="en-GB"/>
              </w:rPr>
            </w:pPr>
          </w:p>
        </w:tc>
        <w:tc>
          <w:tcPr>
            <w:tcW w:w="222" w:type="dxa"/>
            <w:tcBorders>
              <w:top w:val="nil"/>
              <w:left w:val="nil"/>
              <w:bottom w:val="nil"/>
              <w:right w:val="nil"/>
            </w:tcBorders>
            <w:vAlign w:val="bottom"/>
            <w:hideMark/>
          </w:tcPr>
          <w:p w14:paraId="06C35442" w14:textId="77777777" w:rsidR="00E91426" w:rsidRPr="00E91426" w:rsidRDefault="00E91426" w:rsidP="00E91426">
            <w:pPr>
              <w:widowControl/>
              <w:rPr>
                <w:rFonts w:ascii="Arial" w:eastAsia="Times New Roman" w:hAnsi="Arial" w:cs="Arial"/>
                <w:sz w:val="20"/>
                <w:szCs w:val="20"/>
                <w:lang w:val="en-GB" w:eastAsia="en-GB"/>
              </w:rPr>
            </w:pPr>
          </w:p>
        </w:tc>
        <w:tc>
          <w:tcPr>
            <w:tcW w:w="1470" w:type="dxa"/>
            <w:tcBorders>
              <w:top w:val="nil"/>
              <w:left w:val="nil"/>
              <w:bottom w:val="nil"/>
              <w:right w:val="nil"/>
            </w:tcBorders>
            <w:vAlign w:val="bottom"/>
            <w:hideMark/>
          </w:tcPr>
          <w:p w14:paraId="0E842040"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68C850A9" w14:textId="77777777" w:rsidTr="00E91426">
        <w:trPr>
          <w:trHeight w:val="282"/>
        </w:trPr>
        <w:tc>
          <w:tcPr>
            <w:tcW w:w="6300" w:type="dxa"/>
            <w:tcBorders>
              <w:top w:val="nil"/>
              <w:left w:val="nil"/>
              <w:bottom w:val="nil"/>
              <w:right w:val="nil"/>
            </w:tcBorders>
            <w:noWrap/>
            <w:vAlign w:val="bottom"/>
            <w:hideMark/>
          </w:tcPr>
          <w:p w14:paraId="14F937F5"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Note 12.2 Impairments</w:t>
            </w:r>
          </w:p>
        </w:tc>
        <w:tc>
          <w:tcPr>
            <w:tcW w:w="939" w:type="dxa"/>
            <w:tcBorders>
              <w:top w:val="nil"/>
              <w:left w:val="nil"/>
              <w:bottom w:val="nil"/>
              <w:right w:val="nil"/>
            </w:tcBorders>
            <w:vAlign w:val="bottom"/>
            <w:hideMark/>
          </w:tcPr>
          <w:p w14:paraId="37E471EB"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222" w:type="dxa"/>
            <w:tcBorders>
              <w:top w:val="nil"/>
              <w:left w:val="nil"/>
              <w:bottom w:val="nil"/>
              <w:right w:val="nil"/>
            </w:tcBorders>
            <w:vAlign w:val="bottom"/>
            <w:hideMark/>
          </w:tcPr>
          <w:p w14:paraId="51F31BE3" w14:textId="77777777" w:rsidR="00E91426" w:rsidRPr="00E91426" w:rsidRDefault="00E91426" w:rsidP="00E91426">
            <w:pPr>
              <w:widowControl/>
              <w:rPr>
                <w:rFonts w:ascii="Arial" w:eastAsia="Times New Roman" w:hAnsi="Arial" w:cs="Arial"/>
                <w:sz w:val="20"/>
                <w:szCs w:val="20"/>
                <w:lang w:val="en-GB" w:eastAsia="en-GB"/>
              </w:rPr>
            </w:pPr>
          </w:p>
        </w:tc>
        <w:tc>
          <w:tcPr>
            <w:tcW w:w="1470" w:type="dxa"/>
            <w:tcBorders>
              <w:top w:val="nil"/>
              <w:left w:val="nil"/>
              <w:bottom w:val="nil"/>
              <w:right w:val="nil"/>
            </w:tcBorders>
            <w:vAlign w:val="bottom"/>
            <w:hideMark/>
          </w:tcPr>
          <w:p w14:paraId="7681B34C"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5092EFD4" w14:textId="77777777" w:rsidTr="00E91426">
        <w:trPr>
          <w:trHeight w:val="270"/>
        </w:trPr>
        <w:tc>
          <w:tcPr>
            <w:tcW w:w="6300" w:type="dxa"/>
            <w:tcBorders>
              <w:top w:val="nil"/>
              <w:left w:val="nil"/>
              <w:bottom w:val="nil"/>
              <w:right w:val="nil"/>
            </w:tcBorders>
            <w:vAlign w:val="bottom"/>
            <w:hideMark/>
          </w:tcPr>
          <w:p w14:paraId="67CB4C84" w14:textId="77777777" w:rsidR="00E91426" w:rsidRPr="00E91426" w:rsidRDefault="00E91426" w:rsidP="00E91426">
            <w:pPr>
              <w:widowControl/>
              <w:rPr>
                <w:rFonts w:ascii="Arial" w:eastAsia="Times New Roman" w:hAnsi="Arial" w:cs="Arial"/>
                <w:sz w:val="20"/>
                <w:szCs w:val="20"/>
                <w:lang w:val="en-GB" w:eastAsia="en-GB"/>
              </w:rPr>
            </w:pPr>
          </w:p>
        </w:tc>
        <w:tc>
          <w:tcPr>
            <w:tcW w:w="939" w:type="dxa"/>
            <w:tcBorders>
              <w:top w:val="nil"/>
              <w:left w:val="nil"/>
              <w:bottom w:val="nil"/>
              <w:right w:val="nil"/>
            </w:tcBorders>
            <w:vAlign w:val="bottom"/>
            <w:hideMark/>
          </w:tcPr>
          <w:p w14:paraId="7D435E15" w14:textId="77777777" w:rsidR="00E91426" w:rsidRPr="00E91426" w:rsidRDefault="00E91426" w:rsidP="00E91426">
            <w:pPr>
              <w:widowControl/>
              <w:rPr>
                <w:rFonts w:ascii="Arial" w:eastAsia="Times New Roman" w:hAnsi="Arial" w:cs="Arial"/>
                <w:sz w:val="20"/>
                <w:szCs w:val="20"/>
                <w:lang w:val="en-GB" w:eastAsia="en-GB"/>
              </w:rPr>
            </w:pPr>
          </w:p>
        </w:tc>
        <w:tc>
          <w:tcPr>
            <w:tcW w:w="222" w:type="dxa"/>
            <w:tcBorders>
              <w:top w:val="nil"/>
              <w:left w:val="nil"/>
              <w:bottom w:val="nil"/>
              <w:right w:val="nil"/>
            </w:tcBorders>
            <w:noWrap/>
            <w:vAlign w:val="bottom"/>
            <w:hideMark/>
          </w:tcPr>
          <w:p w14:paraId="1C7D4EAE"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470" w:type="dxa"/>
            <w:tcBorders>
              <w:top w:val="nil"/>
              <w:left w:val="nil"/>
              <w:bottom w:val="nil"/>
              <w:right w:val="nil"/>
            </w:tcBorders>
            <w:vAlign w:val="bottom"/>
            <w:hideMark/>
          </w:tcPr>
          <w:p w14:paraId="0E403737" w14:textId="77777777" w:rsidR="00E91426" w:rsidRPr="00E91426" w:rsidRDefault="00E91426" w:rsidP="00E91426">
            <w:pPr>
              <w:widowControl/>
              <w:jc w:val="right"/>
              <w:rPr>
                <w:rFonts w:ascii="Arial" w:eastAsia="Times New Roman" w:hAnsi="Arial" w:cs="Arial"/>
                <w:sz w:val="20"/>
                <w:szCs w:val="20"/>
                <w:lang w:val="en-GB" w:eastAsia="en-GB"/>
              </w:rPr>
            </w:pPr>
          </w:p>
        </w:tc>
      </w:tr>
      <w:tr w:rsidR="00E91426" w:rsidRPr="00E91426" w14:paraId="286E32D2" w14:textId="77777777" w:rsidTr="00E91426">
        <w:trPr>
          <w:trHeight w:val="642"/>
        </w:trPr>
        <w:tc>
          <w:tcPr>
            <w:tcW w:w="8931" w:type="dxa"/>
            <w:gridSpan w:val="4"/>
            <w:tcBorders>
              <w:top w:val="nil"/>
              <w:left w:val="nil"/>
              <w:bottom w:val="nil"/>
              <w:right w:val="nil"/>
            </w:tcBorders>
            <w:hideMark/>
          </w:tcPr>
          <w:p w14:paraId="3007705B" w14:textId="77777777" w:rsidR="00E91426" w:rsidRPr="00E91426" w:rsidRDefault="00E91426" w:rsidP="00E91426">
            <w:pPr>
              <w:widowControl/>
              <w:spacing w:after="240"/>
              <w:rPr>
                <w:rFonts w:ascii="Arial" w:eastAsia="Times New Roman" w:hAnsi="Arial" w:cs="Arial"/>
                <w:sz w:val="20"/>
                <w:szCs w:val="20"/>
                <w:lang w:val="en-GB" w:eastAsia="en-GB"/>
              </w:rPr>
            </w:pPr>
            <w:r w:rsidRPr="00E91426">
              <w:rPr>
                <w:rFonts w:ascii="Arial" w:eastAsia="Times New Roman" w:hAnsi="Arial" w:cs="Arial"/>
                <w:sz w:val="20"/>
                <w:szCs w:val="20"/>
                <w:lang w:val="en-GB" w:eastAsia="en-GB"/>
              </w:rPr>
              <w:t>In 2024/25 a net impairment of £4,691k has occurred, this is net of £24k of impairment reversals relating to the revaluation of The Trust Estate.</w:t>
            </w:r>
          </w:p>
        </w:tc>
      </w:tr>
      <w:tr w:rsidR="00E91426" w:rsidRPr="00E91426" w14:paraId="7639F369" w14:textId="77777777" w:rsidTr="00E91426">
        <w:trPr>
          <w:trHeight w:val="255"/>
        </w:trPr>
        <w:tc>
          <w:tcPr>
            <w:tcW w:w="6300" w:type="dxa"/>
            <w:tcBorders>
              <w:top w:val="nil"/>
              <w:left w:val="nil"/>
              <w:bottom w:val="nil"/>
              <w:right w:val="nil"/>
            </w:tcBorders>
            <w:hideMark/>
          </w:tcPr>
          <w:p w14:paraId="26A05B03" w14:textId="77777777" w:rsidR="00E91426" w:rsidRPr="00E91426" w:rsidRDefault="00E91426" w:rsidP="00E91426">
            <w:pPr>
              <w:widowControl/>
              <w:spacing w:after="240"/>
              <w:rPr>
                <w:rFonts w:ascii="Arial" w:eastAsia="Times New Roman" w:hAnsi="Arial" w:cs="Arial"/>
                <w:sz w:val="20"/>
                <w:szCs w:val="20"/>
                <w:lang w:val="en-GB" w:eastAsia="en-GB"/>
              </w:rPr>
            </w:pPr>
          </w:p>
        </w:tc>
        <w:tc>
          <w:tcPr>
            <w:tcW w:w="939" w:type="dxa"/>
            <w:tcBorders>
              <w:top w:val="nil"/>
              <w:left w:val="nil"/>
              <w:bottom w:val="nil"/>
              <w:right w:val="nil"/>
            </w:tcBorders>
            <w:vAlign w:val="bottom"/>
            <w:hideMark/>
          </w:tcPr>
          <w:p w14:paraId="70D048D2"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2024/25</w:t>
            </w:r>
          </w:p>
        </w:tc>
        <w:tc>
          <w:tcPr>
            <w:tcW w:w="222" w:type="dxa"/>
            <w:tcBorders>
              <w:top w:val="nil"/>
              <w:left w:val="nil"/>
              <w:bottom w:val="nil"/>
              <w:right w:val="nil"/>
            </w:tcBorders>
            <w:noWrap/>
            <w:vAlign w:val="bottom"/>
            <w:hideMark/>
          </w:tcPr>
          <w:p w14:paraId="01868C1D"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470" w:type="dxa"/>
            <w:tcBorders>
              <w:top w:val="nil"/>
              <w:left w:val="nil"/>
              <w:bottom w:val="nil"/>
              <w:right w:val="nil"/>
            </w:tcBorders>
            <w:vAlign w:val="bottom"/>
            <w:hideMark/>
          </w:tcPr>
          <w:p w14:paraId="21B9F6B3"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2023/24</w:t>
            </w:r>
          </w:p>
        </w:tc>
      </w:tr>
      <w:tr w:rsidR="00E91426" w:rsidRPr="00E91426" w14:paraId="6B52DA54" w14:textId="77777777" w:rsidTr="00E91426">
        <w:trPr>
          <w:trHeight w:val="255"/>
        </w:trPr>
        <w:tc>
          <w:tcPr>
            <w:tcW w:w="6300" w:type="dxa"/>
            <w:tcBorders>
              <w:top w:val="nil"/>
              <w:left w:val="nil"/>
              <w:bottom w:val="nil"/>
              <w:right w:val="nil"/>
            </w:tcBorders>
            <w:hideMark/>
          </w:tcPr>
          <w:p w14:paraId="283C0C4D"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39" w:type="dxa"/>
            <w:tcBorders>
              <w:top w:val="nil"/>
              <w:left w:val="nil"/>
              <w:bottom w:val="nil"/>
              <w:right w:val="nil"/>
            </w:tcBorders>
            <w:vAlign w:val="bottom"/>
            <w:hideMark/>
          </w:tcPr>
          <w:p w14:paraId="22B0BFAA"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222" w:type="dxa"/>
            <w:tcBorders>
              <w:top w:val="nil"/>
              <w:left w:val="nil"/>
              <w:bottom w:val="nil"/>
              <w:right w:val="nil"/>
            </w:tcBorders>
            <w:noWrap/>
            <w:vAlign w:val="bottom"/>
            <w:hideMark/>
          </w:tcPr>
          <w:p w14:paraId="71B5A07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470" w:type="dxa"/>
            <w:tcBorders>
              <w:top w:val="nil"/>
              <w:left w:val="nil"/>
              <w:bottom w:val="nil"/>
              <w:right w:val="nil"/>
            </w:tcBorders>
            <w:vAlign w:val="bottom"/>
            <w:hideMark/>
          </w:tcPr>
          <w:p w14:paraId="5FDAE36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r>
      <w:tr w:rsidR="00E91426" w:rsidRPr="00E91426" w14:paraId="5E9FFDF4" w14:textId="77777777" w:rsidTr="00E91426">
        <w:trPr>
          <w:trHeight w:val="285"/>
        </w:trPr>
        <w:tc>
          <w:tcPr>
            <w:tcW w:w="6300" w:type="dxa"/>
            <w:tcBorders>
              <w:top w:val="nil"/>
              <w:left w:val="nil"/>
              <w:bottom w:val="nil"/>
              <w:right w:val="nil"/>
            </w:tcBorders>
            <w:hideMark/>
          </w:tcPr>
          <w:p w14:paraId="648EC8A4" w14:textId="77777777" w:rsidR="00E91426" w:rsidRPr="00E91426" w:rsidRDefault="00E91426" w:rsidP="00E91426">
            <w:pPr>
              <w:widowControl/>
              <w:rPr>
                <w:rFonts w:ascii="Arial" w:eastAsia="Times New Roman" w:hAnsi="Arial" w:cs="Arial"/>
                <w:sz w:val="20"/>
                <w:szCs w:val="20"/>
                <w:lang w:val="en-GB" w:eastAsia="en-GB"/>
              </w:rPr>
            </w:pPr>
            <w:r w:rsidRPr="00E91426">
              <w:rPr>
                <w:rFonts w:ascii="Arial" w:eastAsia="Times New Roman" w:hAnsi="Arial" w:cs="Arial"/>
                <w:sz w:val="20"/>
                <w:szCs w:val="20"/>
                <w:lang w:val="en-GB" w:eastAsia="en-GB"/>
              </w:rPr>
              <w:t>Impairment - dwellings</w:t>
            </w:r>
            <w:r w:rsidRPr="00E91426">
              <w:rPr>
                <w:rFonts w:ascii="Arial" w:eastAsia="Times New Roman" w:hAnsi="Arial" w:cs="Arial"/>
                <w:sz w:val="20"/>
                <w:szCs w:val="20"/>
                <w:vertAlign w:val="superscript"/>
                <w:lang w:val="en-GB" w:eastAsia="en-GB"/>
              </w:rPr>
              <w:t>1</w:t>
            </w:r>
          </w:p>
        </w:tc>
        <w:tc>
          <w:tcPr>
            <w:tcW w:w="939" w:type="dxa"/>
            <w:tcBorders>
              <w:top w:val="nil"/>
              <w:left w:val="nil"/>
              <w:bottom w:val="nil"/>
              <w:right w:val="nil"/>
            </w:tcBorders>
            <w:vAlign w:val="bottom"/>
            <w:hideMark/>
          </w:tcPr>
          <w:p w14:paraId="54B42CCB"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206</w:t>
            </w:r>
          </w:p>
        </w:tc>
        <w:tc>
          <w:tcPr>
            <w:tcW w:w="222" w:type="dxa"/>
            <w:tcBorders>
              <w:top w:val="nil"/>
              <w:left w:val="nil"/>
              <w:bottom w:val="nil"/>
              <w:right w:val="nil"/>
            </w:tcBorders>
            <w:vAlign w:val="bottom"/>
            <w:hideMark/>
          </w:tcPr>
          <w:p w14:paraId="1F275332"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470" w:type="dxa"/>
            <w:tcBorders>
              <w:top w:val="nil"/>
              <w:left w:val="nil"/>
              <w:bottom w:val="nil"/>
              <w:right w:val="nil"/>
            </w:tcBorders>
            <w:vAlign w:val="bottom"/>
            <w:hideMark/>
          </w:tcPr>
          <w:p w14:paraId="42AF6AC6"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r>
      <w:tr w:rsidR="00E91426" w:rsidRPr="00E91426" w14:paraId="3DCC7583" w14:textId="77777777" w:rsidTr="00E91426">
        <w:trPr>
          <w:trHeight w:val="255"/>
        </w:trPr>
        <w:tc>
          <w:tcPr>
            <w:tcW w:w="6300" w:type="dxa"/>
            <w:tcBorders>
              <w:top w:val="nil"/>
              <w:left w:val="nil"/>
              <w:bottom w:val="nil"/>
              <w:right w:val="nil"/>
            </w:tcBorders>
            <w:hideMark/>
          </w:tcPr>
          <w:p w14:paraId="3ADE532E" w14:textId="77777777" w:rsidR="00E91426" w:rsidRPr="00E91426" w:rsidRDefault="00E91426" w:rsidP="00E91426">
            <w:pPr>
              <w:widowControl/>
              <w:rPr>
                <w:rFonts w:ascii="Arial" w:eastAsia="Times New Roman" w:hAnsi="Arial" w:cs="Arial"/>
                <w:sz w:val="20"/>
                <w:szCs w:val="20"/>
                <w:lang w:val="en-GB" w:eastAsia="en-GB"/>
              </w:rPr>
            </w:pPr>
            <w:r w:rsidRPr="00E91426">
              <w:rPr>
                <w:rFonts w:ascii="Arial" w:eastAsia="Times New Roman" w:hAnsi="Arial" w:cs="Arial"/>
                <w:sz w:val="20"/>
                <w:szCs w:val="20"/>
                <w:lang w:val="en-GB" w:eastAsia="en-GB"/>
              </w:rPr>
              <w:t>Impairment - revaluation</w:t>
            </w:r>
          </w:p>
        </w:tc>
        <w:tc>
          <w:tcPr>
            <w:tcW w:w="939" w:type="dxa"/>
            <w:tcBorders>
              <w:top w:val="nil"/>
              <w:left w:val="nil"/>
              <w:bottom w:val="nil"/>
              <w:right w:val="nil"/>
            </w:tcBorders>
            <w:vAlign w:val="bottom"/>
            <w:hideMark/>
          </w:tcPr>
          <w:p w14:paraId="7E29E7DF"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4,307</w:t>
            </w:r>
          </w:p>
        </w:tc>
        <w:tc>
          <w:tcPr>
            <w:tcW w:w="222" w:type="dxa"/>
            <w:tcBorders>
              <w:top w:val="nil"/>
              <w:left w:val="nil"/>
              <w:bottom w:val="nil"/>
              <w:right w:val="nil"/>
            </w:tcBorders>
            <w:vAlign w:val="bottom"/>
            <w:hideMark/>
          </w:tcPr>
          <w:p w14:paraId="28B13FE3"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470" w:type="dxa"/>
            <w:tcBorders>
              <w:top w:val="nil"/>
              <w:left w:val="nil"/>
              <w:bottom w:val="nil"/>
              <w:right w:val="nil"/>
            </w:tcBorders>
            <w:vAlign w:val="bottom"/>
            <w:hideMark/>
          </w:tcPr>
          <w:p w14:paraId="32ECB444"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8,623</w:t>
            </w:r>
          </w:p>
        </w:tc>
      </w:tr>
      <w:tr w:rsidR="00E91426" w:rsidRPr="00E91426" w14:paraId="6F6CADFC" w14:textId="77777777" w:rsidTr="00E91426">
        <w:trPr>
          <w:trHeight w:val="282"/>
        </w:trPr>
        <w:tc>
          <w:tcPr>
            <w:tcW w:w="6300" w:type="dxa"/>
            <w:tcBorders>
              <w:top w:val="nil"/>
              <w:left w:val="nil"/>
              <w:bottom w:val="nil"/>
              <w:right w:val="nil"/>
            </w:tcBorders>
            <w:vAlign w:val="bottom"/>
            <w:hideMark/>
          </w:tcPr>
          <w:p w14:paraId="67C4F023"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Impairments charged to revaluation reserve</w:t>
            </w:r>
          </w:p>
        </w:tc>
        <w:tc>
          <w:tcPr>
            <w:tcW w:w="939" w:type="dxa"/>
            <w:tcBorders>
              <w:top w:val="single" w:sz="4" w:space="0" w:color="auto"/>
              <w:left w:val="nil"/>
              <w:bottom w:val="single" w:sz="4" w:space="0" w:color="auto"/>
              <w:right w:val="nil"/>
            </w:tcBorders>
            <w:noWrap/>
            <w:vAlign w:val="bottom"/>
            <w:hideMark/>
          </w:tcPr>
          <w:p w14:paraId="093D6ED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4,513</w:t>
            </w:r>
          </w:p>
        </w:tc>
        <w:tc>
          <w:tcPr>
            <w:tcW w:w="222" w:type="dxa"/>
            <w:tcBorders>
              <w:top w:val="nil"/>
              <w:left w:val="nil"/>
              <w:bottom w:val="nil"/>
              <w:right w:val="nil"/>
            </w:tcBorders>
            <w:vAlign w:val="bottom"/>
            <w:hideMark/>
          </w:tcPr>
          <w:p w14:paraId="14D21F2D"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470" w:type="dxa"/>
            <w:tcBorders>
              <w:top w:val="single" w:sz="4" w:space="0" w:color="auto"/>
              <w:left w:val="nil"/>
              <w:bottom w:val="single" w:sz="4" w:space="0" w:color="auto"/>
              <w:right w:val="nil"/>
            </w:tcBorders>
            <w:noWrap/>
            <w:vAlign w:val="bottom"/>
            <w:hideMark/>
          </w:tcPr>
          <w:p w14:paraId="5C02B87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8,623</w:t>
            </w:r>
          </w:p>
        </w:tc>
      </w:tr>
      <w:tr w:rsidR="00E91426" w:rsidRPr="00E91426" w14:paraId="063288D4" w14:textId="77777777" w:rsidTr="00E91426">
        <w:trPr>
          <w:trHeight w:val="282"/>
        </w:trPr>
        <w:tc>
          <w:tcPr>
            <w:tcW w:w="6300" w:type="dxa"/>
            <w:tcBorders>
              <w:top w:val="nil"/>
              <w:left w:val="nil"/>
              <w:bottom w:val="nil"/>
              <w:right w:val="nil"/>
            </w:tcBorders>
            <w:vAlign w:val="bottom"/>
            <w:hideMark/>
          </w:tcPr>
          <w:p w14:paraId="375B922F"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39" w:type="dxa"/>
            <w:tcBorders>
              <w:top w:val="nil"/>
              <w:left w:val="nil"/>
              <w:bottom w:val="nil"/>
              <w:right w:val="nil"/>
            </w:tcBorders>
            <w:vAlign w:val="bottom"/>
            <w:hideMark/>
          </w:tcPr>
          <w:p w14:paraId="4F03F5CE" w14:textId="77777777" w:rsidR="00E91426" w:rsidRPr="00E91426" w:rsidRDefault="00E91426" w:rsidP="00E91426">
            <w:pPr>
              <w:widowControl/>
              <w:rPr>
                <w:rFonts w:ascii="Arial" w:eastAsia="Times New Roman" w:hAnsi="Arial" w:cs="Arial"/>
                <w:sz w:val="20"/>
                <w:szCs w:val="20"/>
                <w:lang w:val="en-GB" w:eastAsia="en-GB"/>
              </w:rPr>
            </w:pPr>
          </w:p>
        </w:tc>
        <w:tc>
          <w:tcPr>
            <w:tcW w:w="222" w:type="dxa"/>
            <w:tcBorders>
              <w:top w:val="nil"/>
              <w:left w:val="nil"/>
              <w:bottom w:val="nil"/>
              <w:right w:val="nil"/>
            </w:tcBorders>
            <w:vAlign w:val="bottom"/>
            <w:hideMark/>
          </w:tcPr>
          <w:p w14:paraId="65F9CCC8" w14:textId="77777777" w:rsidR="00E91426" w:rsidRPr="00E91426" w:rsidRDefault="00E91426" w:rsidP="00E91426">
            <w:pPr>
              <w:widowControl/>
              <w:rPr>
                <w:rFonts w:ascii="Arial" w:eastAsia="Times New Roman" w:hAnsi="Arial" w:cs="Arial"/>
                <w:sz w:val="20"/>
                <w:szCs w:val="20"/>
                <w:lang w:val="en-GB" w:eastAsia="en-GB"/>
              </w:rPr>
            </w:pPr>
          </w:p>
        </w:tc>
        <w:tc>
          <w:tcPr>
            <w:tcW w:w="1470" w:type="dxa"/>
            <w:tcBorders>
              <w:top w:val="nil"/>
              <w:left w:val="nil"/>
              <w:bottom w:val="nil"/>
              <w:right w:val="nil"/>
            </w:tcBorders>
            <w:vAlign w:val="bottom"/>
            <w:hideMark/>
          </w:tcPr>
          <w:p w14:paraId="3B31F28B"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17D60AFE" w14:textId="77777777" w:rsidTr="00E91426">
        <w:trPr>
          <w:trHeight w:val="282"/>
        </w:trPr>
        <w:tc>
          <w:tcPr>
            <w:tcW w:w="6300" w:type="dxa"/>
            <w:tcBorders>
              <w:top w:val="nil"/>
              <w:left w:val="nil"/>
              <w:bottom w:val="nil"/>
              <w:right w:val="nil"/>
            </w:tcBorders>
            <w:vAlign w:val="bottom"/>
            <w:hideMark/>
          </w:tcPr>
          <w:p w14:paraId="5BB7E7AF"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Unforeseen obsolescence</w:t>
            </w:r>
          </w:p>
        </w:tc>
        <w:tc>
          <w:tcPr>
            <w:tcW w:w="939" w:type="dxa"/>
            <w:tcBorders>
              <w:top w:val="nil"/>
              <w:left w:val="nil"/>
              <w:bottom w:val="nil"/>
              <w:right w:val="nil"/>
            </w:tcBorders>
            <w:vAlign w:val="bottom"/>
            <w:hideMark/>
          </w:tcPr>
          <w:p w14:paraId="39400708"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186</w:t>
            </w:r>
          </w:p>
        </w:tc>
        <w:tc>
          <w:tcPr>
            <w:tcW w:w="222" w:type="dxa"/>
            <w:tcBorders>
              <w:top w:val="nil"/>
              <w:left w:val="nil"/>
              <w:bottom w:val="nil"/>
              <w:right w:val="nil"/>
            </w:tcBorders>
            <w:vAlign w:val="bottom"/>
            <w:hideMark/>
          </w:tcPr>
          <w:p w14:paraId="685A8B4E"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470" w:type="dxa"/>
            <w:tcBorders>
              <w:top w:val="nil"/>
              <w:left w:val="nil"/>
              <w:bottom w:val="nil"/>
              <w:right w:val="nil"/>
            </w:tcBorders>
            <w:vAlign w:val="bottom"/>
            <w:hideMark/>
          </w:tcPr>
          <w:p w14:paraId="749F2186"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165</w:t>
            </w:r>
          </w:p>
        </w:tc>
      </w:tr>
      <w:tr w:rsidR="00E91426" w:rsidRPr="00E91426" w14:paraId="2F294736" w14:textId="77777777" w:rsidTr="00E91426">
        <w:trPr>
          <w:trHeight w:val="282"/>
        </w:trPr>
        <w:tc>
          <w:tcPr>
            <w:tcW w:w="6300" w:type="dxa"/>
            <w:tcBorders>
              <w:top w:val="nil"/>
              <w:left w:val="nil"/>
              <w:bottom w:val="nil"/>
              <w:right w:val="nil"/>
            </w:tcBorders>
            <w:vAlign w:val="bottom"/>
            <w:hideMark/>
          </w:tcPr>
          <w:p w14:paraId="097068C0"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Changes in market price - revaluation</w:t>
            </w:r>
          </w:p>
        </w:tc>
        <w:tc>
          <w:tcPr>
            <w:tcW w:w="939" w:type="dxa"/>
            <w:tcBorders>
              <w:top w:val="nil"/>
              <w:left w:val="nil"/>
              <w:bottom w:val="nil"/>
              <w:right w:val="nil"/>
            </w:tcBorders>
            <w:vAlign w:val="bottom"/>
            <w:hideMark/>
          </w:tcPr>
          <w:p w14:paraId="386F4340"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(8)</w:t>
            </w:r>
          </w:p>
        </w:tc>
        <w:tc>
          <w:tcPr>
            <w:tcW w:w="222" w:type="dxa"/>
            <w:tcBorders>
              <w:top w:val="nil"/>
              <w:left w:val="nil"/>
              <w:bottom w:val="nil"/>
              <w:right w:val="nil"/>
            </w:tcBorders>
            <w:vAlign w:val="bottom"/>
            <w:hideMark/>
          </w:tcPr>
          <w:p w14:paraId="1F73BC41"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470" w:type="dxa"/>
            <w:tcBorders>
              <w:top w:val="nil"/>
              <w:left w:val="nil"/>
              <w:bottom w:val="nil"/>
              <w:right w:val="nil"/>
            </w:tcBorders>
            <w:vAlign w:val="bottom"/>
            <w:hideMark/>
          </w:tcPr>
          <w:p w14:paraId="3609C076"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6</w:t>
            </w:r>
          </w:p>
        </w:tc>
      </w:tr>
      <w:tr w:rsidR="00E91426" w:rsidRPr="00E91426" w14:paraId="10020D73" w14:textId="77777777" w:rsidTr="00E91426">
        <w:trPr>
          <w:trHeight w:val="282"/>
        </w:trPr>
        <w:tc>
          <w:tcPr>
            <w:tcW w:w="6300" w:type="dxa"/>
            <w:tcBorders>
              <w:top w:val="nil"/>
              <w:left w:val="nil"/>
              <w:bottom w:val="nil"/>
              <w:right w:val="nil"/>
            </w:tcBorders>
            <w:vAlign w:val="bottom"/>
            <w:hideMark/>
          </w:tcPr>
          <w:p w14:paraId="5D9D9C03"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Total net impairments charged to operating expenditure</w:t>
            </w:r>
          </w:p>
        </w:tc>
        <w:tc>
          <w:tcPr>
            <w:tcW w:w="939" w:type="dxa"/>
            <w:tcBorders>
              <w:top w:val="single" w:sz="4" w:space="0" w:color="auto"/>
              <w:left w:val="nil"/>
              <w:bottom w:val="single" w:sz="4" w:space="0" w:color="auto"/>
              <w:right w:val="nil"/>
            </w:tcBorders>
            <w:noWrap/>
            <w:vAlign w:val="bottom"/>
            <w:hideMark/>
          </w:tcPr>
          <w:p w14:paraId="0276FE2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178</w:t>
            </w:r>
          </w:p>
        </w:tc>
        <w:tc>
          <w:tcPr>
            <w:tcW w:w="222" w:type="dxa"/>
            <w:tcBorders>
              <w:top w:val="nil"/>
              <w:left w:val="nil"/>
              <w:bottom w:val="nil"/>
              <w:right w:val="nil"/>
            </w:tcBorders>
            <w:vAlign w:val="bottom"/>
            <w:hideMark/>
          </w:tcPr>
          <w:p w14:paraId="2A01CB15"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470" w:type="dxa"/>
            <w:tcBorders>
              <w:top w:val="single" w:sz="4" w:space="0" w:color="auto"/>
              <w:left w:val="nil"/>
              <w:bottom w:val="single" w:sz="4" w:space="0" w:color="auto"/>
              <w:right w:val="nil"/>
            </w:tcBorders>
            <w:noWrap/>
            <w:vAlign w:val="bottom"/>
            <w:hideMark/>
          </w:tcPr>
          <w:p w14:paraId="21D8AA18"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171</w:t>
            </w:r>
          </w:p>
        </w:tc>
      </w:tr>
      <w:tr w:rsidR="00E91426" w:rsidRPr="00E91426" w14:paraId="35AD343B" w14:textId="77777777" w:rsidTr="00E91426">
        <w:trPr>
          <w:trHeight w:val="282"/>
        </w:trPr>
        <w:tc>
          <w:tcPr>
            <w:tcW w:w="6300" w:type="dxa"/>
            <w:tcBorders>
              <w:top w:val="nil"/>
              <w:left w:val="nil"/>
              <w:bottom w:val="nil"/>
              <w:right w:val="nil"/>
            </w:tcBorders>
            <w:vAlign w:val="bottom"/>
            <w:hideMark/>
          </w:tcPr>
          <w:p w14:paraId="39CAA721"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39" w:type="dxa"/>
            <w:tcBorders>
              <w:top w:val="nil"/>
              <w:left w:val="nil"/>
              <w:bottom w:val="double" w:sz="6" w:space="0" w:color="auto"/>
              <w:right w:val="nil"/>
            </w:tcBorders>
            <w:noWrap/>
            <w:vAlign w:val="bottom"/>
            <w:hideMark/>
          </w:tcPr>
          <w:p w14:paraId="2E7A793A"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w:t>
            </w:r>
          </w:p>
        </w:tc>
        <w:tc>
          <w:tcPr>
            <w:tcW w:w="222" w:type="dxa"/>
            <w:tcBorders>
              <w:top w:val="nil"/>
              <w:left w:val="nil"/>
              <w:bottom w:val="nil"/>
              <w:right w:val="nil"/>
            </w:tcBorders>
            <w:vAlign w:val="bottom"/>
            <w:hideMark/>
          </w:tcPr>
          <w:p w14:paraId="2B89708D"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470" w:type="dxa"/>
            <w:tcBorders>
              <w:top w:val="nil"/>
              <w:left w:val="nil"/>
              <w:bottom w:val="double" w:sz="6" w:space="0" w:color="auto"/>
              <w:right w:val="nil"/>
            </w:tcBorders>
            <w:noWrap/>
            <w:vAlign w:val="bottom"/>
            <w:hideMark/>
          </w:tcPr>
          <w:p w14:paraId="52AF99D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w:t>
            </w:r>
          </w:p>
        </w:tc>
      </w:tr>
      <w:tr w:rsidR="00E91426" w:rsidRPr="00E91426" w14:paraId="04A5F928" w14:textId="77777777" w:rsidTr="00E91426">
        <w:trPr>
          <w:trHeight w:val="282"/>
        </w:trPr>
        <w:tc>
          <w:tcPr>
            <w:tcW w:w="6300" w:type="dxa"/>
            <w:tcBorders>
              <w:top w:val="nil"/>
              <w:left w:val="nil"/>
              <w:bottom w:val="nil"/>
              <w:right w:val="nil"/>
            </w:tcBorders>
            <w:vAlign w:val="bottom"/>
            <w:hideMark/>
          </w:tcPr>
          <w:p w14:paraId="50B98995"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Total Net Impairments</w:t>
            </w:r>
          </w:p>
        </w:tc>
        <w:tc>
          <w:tcPr>
            <w:tcW w:w="939" w:type="dxa"/>
            <w:tcBorders>
              <w:top w:val="single" w:sz="4" w:space="0" w:color="auto"/>
              <w:left w:val="nil"/>
              <w:bottom w:val="double" w:sz="6" w:space="0" w:color="auto"/>
              <w:right w:val="nil"/>
            </w:tcBorders>
            <w:noWrap/>
            <w:vAlign w:val="bottom"/>
            <w:hideMark/>
          </w:tcPr>
          <w:p w14:paraId="78E0044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4,691</w:t>
            </w:r>
          </w:p>
        </w:tc>
        <w:tc>
          <w:tcPr>
            <w:tcW w:w="222" w:type="dxa"/>
            <w:tcBorders>
              <w:top w:val="nil"/>
              <w:left w:val="nil"/>
              <w:bottom w:val="nil"/>
              <w:right w:val="nil"/>
            </w:tcBorders>
            <w:vAlign w:val="bottom"/>
            <w:hideMark/>
          </w:tcPr>
          <w:p w14:paraId="4510E7E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470" w:type="dxa"/>
            <w:tcBorders>
              <w:top w:val="single" w:sz="4" w:space="0" w:color="auto"/>
              <w:left w:val="nil"/>
              <w:bottom w:val="double" w:sz="6" w:space="0" w:color="auto"/>
              <w:right w:val="nil"/>
            </w:tcBorders>
            <w:noWrap/>
            <w:vAlign w:val="bottom"/>
            <w:hideMark/>
          </w:tcPr>
          <w:p w14:paraId="349CF66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8,794</w:t>
            </w:r>
          </w:p>
        </w:tc>
      </w:tr>
      <w:tr w:rsidR="00E91426" w:rsidRPr="00E91426" w14:paraId="2F40B431" w14:textId="77777777" w:rsidTr="00E91426">
        <w:trPr>
          <w:trHeight w:val="540"/>
        </w:trPr>
        <w:tc>
          <w:tcPr>
            <w:tcW w:w="8931" w:type="dxa"/>
            <w:gridSpan w:val="4"/>
            <w:tcBorders>
              <w:top w:val="nil"/>
              <w:left w:val="nil"/>
              <w:bottom w:val="nil"/>
              <w:right w:val="nil"/>
            </w:tcBorders>
            <w:vAlign w:val="bottom"/>
            <w:hideMark/>
          </w:tcPr>
          <w:p w14:paraId="6E54334B" w14:textId="77777777" w:rsidR="00E91426" w:rsidRPr="00E91426" w:rsidRDefault="00E91426" w:rsidP="00E91426">
            <w:pPr>
              <w:widowControl/>
              <w:rPr>
                <w:rFonts w:ascii="Arial" w:eastAsia="Times New Roman" w:hAnsi="Arial" w:cs="Arial"/>
                <w:color w:val="000000"/>
                <w:sz w:val="18"/>
                <w:szCs w:val="18"/>
                <w:lang w:val="en-GB" w:eastAsia="en-GB"/>
              </w:rPr>
            </w:pPr>
            <w:r w:rsidRPr="00E91426">
              <w:rPr>
                <w:rFonts w:ascii="Arial" w:eastAsia="Times New Roman" w:hAnsi="Arial" w:cs="Arial"/>
                <w:color w:val="000000"/>
                <w:sz w:val="18"/>
                <w:szCs w:val="18"/>
                <w:vertAlign w:val="superscript"/>
                <w:lang w:val="en-GB" w:eastAsia="en-GB"/>
              </w:rPr>
              <w:t>1</w:t>
            </w:r>
            <w:r w:rsidRPr="00E91426">
              <w:rPr>
                <w:rFonts w:ascii="Arial" w:eastAsia="Times New Roman" w:hAnsi="Arial" w:cs="Arial"/>
                <w:color w:val="000000"/>
                <w:sz w:val="18"/>
                <w:szCs w:val="18"/>
                <w:lang w:val="en-GB" w:eastAsia="en-GB"/>
              </w:rPr>
              <w:t>Properties revalued in year at market value by Estate Agent before being reclassified as held for sale.</w:t>
            </w:r>
          </w:p>
        </w:tc>
      </w:tr>
    </w:tbl>
    <w:p w14:paraId="604D7DA9" w14:textId="77777777" w:rsidR="00E91426" w:rsidRPr="00E91426" w:rsidRDefault="00E91426" w:rsidP="00E91426">
      <w:pPr>
        <w:widowControl/>
        <w:spacing w:after="160" w:line="259" w:lineRule="auto"/>
        <w:rPr>
          <w:rFonts w:ascii="Arial" w:eastAsia="Calibri" w:hAnsi="Arial" w:cs="Arial"/>
          <w:sz w:val="20"/>
          <w:szCs w:val="20"/>
          <w:lang w:val="en-GB"/>
        </w:rPr>
      </w:pPr>
    </w:p>
    <w:p w14:paraId="17DAAFA3" w14:textId="77777777" w:rsidR="00E91426" w:rsidRPr="00E91426" w:rsidRDefault="00E91426" w:rsidP="00E91426">
      <w:pPr>
        <w:keepNext/>
        <w:keepLines/>
        <w:widowControl/>
        <w:spacing w:before="40" w:line="259" w:lineRule="auto"/>
        <w:outlineLvl w:val="1"/>
        <w:rPr>
          <w:rFonts w:ascii="Arial" w:eastAsia="Times New Roman" w:hAnsi="Arial" w:cs="Arial"/>
          <w:b/>
          <w:color w:val="000000"/>
          <w:sz w:val="20"/>
          <w:szCs w:val="20"/>
          <w:lang w:val="en-GB"/>
        </w:rPr>
      </w:pPr>
      <w:bookmarkStart w:id="72" w:name="_Toc195698710"/>
      <w:r w:rsidRPr="00E91426">
        <w:rPr>
          <w:rFonts w:ascii="Arial" w:eastAsia="Times New Roman" w:hAnsi="Arial" w:cs="Arial"/>
          <w:b/>
          <w:color w:val="000000"/>
          <w:sz w:val="20"/>
          <w:szCs w:val="20"/>
          <w:lang w:val="en-GB"/>
        </w:rPr>
        <w:lastRenderedPageBreak/>
        <w:t>Note 13 Right of use assets</w:t>
      </w:r>
      <w:bookmarkEnd w:id="72"/>
    </w:p>
    <w:p w14:paraId="3B90C1A1" w14:textId="77777777" w:rsidR="00E91426" w:rsidRPr="00E91426" w:rsidRDefault="00E91426" w:rsidP="00E91426">
      <w:pPr>
        <w:keepNext/>
        <w:keepLines/>
        <w:widowControl/>
        <w:spacing w:before="40" w:line="259" w:lineRule="auto"/>
        <w:outlineLvl w:val="1"/>
        <w:rPr>
          <w:rFonts w:ascii="Arial" w:eastAsia="Calibri" w:hAnsi="Arial" w:cs="Arial"/>
          <w:sz w:val="20"/>
          <w:szCs w:val="20"/>
          <w:lang w:val="en-GB"/>
        </w:rPr>
      </w:pPr>
    </w:p>
    <w:tbl>
      <w:tblPr>
        <w:tblW w:w="10077" w:type="dxa"/>
        <w:tblLook w:val="04A0" w:firstRow="1" w:lastRow="0" w:firstColumn="1" w:lastColumn="0" w:noHBand="0" w:noVBand="1"/>
      </w:tblPr>
      <w:tblGrid>
        <w:gridCol w:w="6189"/>
        <w:gridCol w:w="1296"/>
        <w:gridCol w:w="1296"/>
        <w:gridCol w:w="1296"/>
      </w:tblGrid>
      <w:tr w:rsidR="00E91426" w:rsidRPr="00E91426" w14:paraId="73E2E877" w14:textId="77777777" w:rsidTr="00E91426">
        <w:trPr>
          <w:trHeight w:val="295"/>
        </w:trPr>
        <w:tc>
          <w:tcPr>
            <w:tcW w:w="6189" w:type="dxa"/>
            <w:tcBorders>
              <w:top w:val="nil"/>
              <w:left w:val="nil"/>
              <w:bottom w:val="nil"/>
              <w:right w:val="nil"/>
            </w:tcBorders>
            <w:noWrap/>
            <w:vAlign w:val="bottom"/>
            <w:hideMark/>
          </w:tcPr>
          <w:p w14:paraId="3B6106EB"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Note 13.1 Right of use assets - 2024/25</w:t>
            </w:r>
          </w:p>
        </w:tc>
        <w:tc>
          <w:tcPr>
            <w:tcW w:w="1296" w:type="dxa"/>
            <w:tcBorders>
              <w:top w:val="nil"/>
              <w:left w:val="nil"/>
              <w:bottom w:val="nil"/>
              <w:right w:val="nil"/>
            </w:tcBorders>
            <w:vAlign w:val="bottom"/>
            <w:hideMark/>
          </w:tcPr>
          <w:p w14:paraId="14533F83"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1296" w:type="dxa"/>
            <w:tcBorders>
              <w:top w:val="nil"/>
              <w:left w:val="nil"/>
              <w:bottom w:val="nil"/>
              <w:right w:val="nil"/>
            </w:tcBorders>
            <w:vAlign w:val="bottom"/>
            <w:hideMark/>
          </w:tcPr>
          <w:p w14:paraId="58B84BC5"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296" w:type="dxa"/>
            <w:tcBorders>
              <w:top w:val="nil"/>
              <w:left w:val="nil"/>
              <w:bottom w:val="nil"/>
              <w:right w:val="nil"/>
            </w:tcBorders>
            <w:noWrap/>
            <w:vAlign w:val="bottom"/>
            <w:hideMark/>
          </w:tcPr>
          <w:p w14:paraId="313FB3D6" w14:textId="77777777" w:rsidR="00E91426" w:rsidRPr="00E91426" w:rsidRDefault="00E91426" w:rsidP="00E91426">
            <w:pPr>
              <w:widowControl/>
              <w:jc w:val="right"/>
              <w:rPr>
                <w:rFonts w:ascii="Arial" w:eastAsia="Times New Roman" w:hAnsi="Arial" w:cs="Arial"/>
                <w:sz w:val="20"/>
                <w:szCs w:val="20"/>
                <w:lang w:val="en-GB" w:eastAsia="en-GB"/>
              </w:rPr>
            </w:pPr>
          </w:p>
        </w:tc>
      </w:tr>
      <w:tr w:rsidR="00E91426" w:rsidRPr="00E91426" w14:paraId="5C40FCC7" w14:textId="77777777" w:rsidTr="00E91426">
        <w:trPr>
          <w:trHeight w:val="798"/>
        </w:trPr>
        <w:tc>
          <w:tcPr>
            <w:tcW w:w="6189" w:type="dxa"/>
            <w:tcBorders>
              <w:top w:val="nil"/>
              <w:left w:val="nil"/>
              <w:bottom w:val="nil"/>
              <w:right w:val="nil"/>
            </w:tcBorders>
            <w:vAlign w:val="bottom"/>
            <w:hideMark/>
          </w:tcPr>
          <w:p w14:paraId="62FD0142" w14:textId="77777777" w:rsidR="00E91426" w:rsidRPr="00E91426" w:rsidRDefault="00E91426" w:rsidP="00E91426">
            <w:pPr>
              <w:widowControl/>
              <w:rPr>
                <w:rFonts w:ascii="Arial" w:eastAsia="Times New Roman" w:hAnsi="Arial" w:cs="Arial"/>
                <w:sz w:val="20"/>
                <w:szCs w:val="20"/>
                <w:lang w:val="en-GB" w:eastAsia="en-GB"/>
              </w:rPr>
            </w:pPr>
          </w:p>
        </w:tc>
        <w:tc>
          <w:tcPr>
            <w:tcW w:w="1296" w:type="dxa"/>
            <w:tcBorders>
              <w:top w:val="nil"/>
              <w:left w:val="nil"/>
              <w:bottom w:val="nil"/>
              <w:right w:val="nil"/>
            </w:tcBorders>
            <w:hideMark/>
          </w:tcPr>
          <w:p w14:paraId="1F262DB3" w14:textId="77777777" w:rsidR="00E91426" w:rsidRPr="00E91426" w:rsidRDefault="00E91426" w:rsidP="00E91426">
            <w:pPr>
              <w:widowControl/>
              <w:jc w:val="center"/>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Property </w:t>
            </w:r>
            <w:r w:rsidRPr="00E91426">
              <w:rPr>
                <w:rFonts w:ascii="Arial" w:eastAsia="Times New Roman" w:hAnsi="Arial" w:cs="Arial"/>
                <w:b/>
                <w:bCs/>
                <w:color w:val="000000"/>
                <w:sz w:val="20"/>
                <w:szCs w:val="20"/>
                <w:lang w:val="en-GB" w:eastAsia="en-GB"/>
              </w:rPr>
              <w:br/>
              <w:t>(land and buildings)</w:t>
            </w:r>
          </w:p>
        </w:tc>
        <w:tc>
          <w:tcPr>
            <w:tcW w:w="1296" w:type="dxa"/>
            <w:tcBorders>
              <w:top w:val="nil"/>
              <w:left w:val="nil"/>
              <w:bottom w:val="nil"/>
              <w:right w:val="nil"/>
            </w:tcBorders>
            <w:hideMark/>
          </w:tcPr>
          <w:p w14:paraId="16B3F503" w14:textId="77777777" w:rsidR="00E91426" w:rsidRPr="00E91426" w:rsidRDefault="00E91426" w:rsidP="00E91426">
            <w:pPr>
              <w:widowControl/>
              <w:jc w:val="center"/>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Plant &amp; machinery</w:t>
            </w:r>
          </w:p>
        </w:tc>
        <w:tc>
          <w:tcPr>
            <w:tcW w:w="1296" w:type="dxa"/>
            <w:tcBorders>
              <w:top w:val="nil"/>
              <w:left w:val="nil"/>
              <w:bottom w:val="nil"/>
              <w:right w:val="nil"/>
            </w:tcBorders>
            <w:hideMark/>
          </w:tcPr>
          <w:p w14:paraId="10CB246C" w14:textId="77777777" w:rsidR="00E91426" w:rsidRPr="00E91426" w:rsidRDefault="00E91426" w:rsidP="00E91426">
            <w:pPr>
              <w:widowControl/>
              <w:jc w:val="center"/>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Total</w:t>
            </w:r>
          </w:p>
        </w:tc>
      </w:tr>
      <w:tr w:rsidR="00E91426" w:rsidRPr="00E91426" w14:paraId="48BD2EEB" w14:textId="77777777" w:rsidTr="00E91426">
        <w:trPr>
          <w:trHeight w:val="207"/>
        </w:trPr>
        <w:tc>
          <w:tcPr>
            <w:tcW w:w="6189" w:type="dxa"/>
            <w:tcBorders>
              <w:top w:val="nil"/>
              <w:left w:val="nil"/>
              <w:bottom w:val="nil"/>
              <w:right w:val="nil"/>
            </w:tcBorders>
            <w:vAlign w:val="bottom"/>
            <w:hideMark/>
          </w:tcPr>
          <w:p w14:paraId="442E4B50" w14:textId="77777777" w:rsidR="00E91426" w:rsidRPr="00E91426" w:rsidRDefault="00E91426" w:rsidP="00E91426">
            <w:pPr>
              <w:widowControl/>
              <w:jc w:val="center"/>
              <w:rPr>
                <w:rFonts w:ascii="Arial" w:eastAsia="Times New Roman" w:hAnsi="Arial" w:cs="Arial"/>
                <w:b/>
                <w:bCs/>
                <w:color w:val="000000"/>
                <w:sz w:val="20"/>
                <w:szCs w:val="20"/>
                <w:lang w:val="en-GB" w:eastAsia="en-GB"/>
              </w:rPr>
            </w:pPr>
          </w:p>
        </w:tc>
        <w:tc>
          <w:tcPr>
            <w:tcW w:w="1296" w:type="dxa"/>
            <w:tcBorders>
              <w:top w:val="nil"/>
              <w:left w:val="nil"/>
              <w:bottom w:val="nil"/>
              <w:right w:val="nil"/>
            </w:tcBorders>
            <w:vAlign w:val="bottom"/>
            <w:hideMark/>
          </w:tcPr>
          <w:p w14:paraId="3F0C20EB"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1296" w:type="dxa"/>
            <w:tcBorders>
              <w:top w:val="nil"/>
              <w:left w:val="nil"/>
              <w:bottom w:val="nil"/>
              <w:right w:val="nil"/>
            </w:tcBorders>
            <w:vAlign w:val="bottom"/>
            <w:hideMark/>
          </w:tcPr>
          <w:p w14:paraId="4F579D9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1296" w:type="dxa"/>
            <w:tcBorders>
              <w:top w:val="nil"/>
              <w:left w:val="nil"/>
              <w:bottom w:val="nil"/>
              <w:right w:val="nil"/>
            </w:tcBorders>
            <w:vAlign w:val="bottom"/>
            <w:hideMark/>
          </w:tcPr>
          <w:p w14:paraId="6F45182B"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r>
      <w:tr w:rsidR="00E91426" w:rsidRPr="00E91426" w14:paraId="61673E5A" w14:textId="77777777" w:rsidTr="00E91426">
        <w:trPr>
          <w:trHeight w:val="521"/>
        </w:trPr>
        <w:tc>
          <w:tcPr>
            <w:tcW w:w="6189" w:type="dxa"/>
            <w:tcBorders>
              <w:top w:val="nil"/>
              <w:left w:val="nil"/>
              <w:bottom w:val="nil"/>
              <w:right w:val="nil"/>
            </w:tcBorders>
            <w:vAlign w:val="bottom"/>
            <w:hideMark/>
          </w:tcPr>
          <w:p w14:paraId="1CBDCC9C"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Valuation/gross cost at 1 April 2024 - brought forward</w:t>
            </w:r>
          </w:p>
        </w:tc>
        <w:tc>
          <w:tcPr>
            <w:tcW w:w="1296" w:type="dxa"/>
            <w:tcBorders>
              <w:top w:val="nil"/>
              <w:left w:val="nil"/>
              <w:bottom w:val="nil"/>
              <w:right w:val="nil"/>
            </w:tcBorders>
            <w:noWrap/>
            <w:vAlign w:val="center"/>
            <w:hideMark/>
          </w:tcPr>
          <w:p w14:paraId="385F2AFA"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2,235</w:t>
            </w:r>
          </w:p>
        </w:tc>
        <w:tc>
          <w:tcPr>
            <w:tcW w:w="1296" w:type="dxa"/>
            <w:tcBorders>
              <w:top w:val="nil"/>
              <w:left w:val="nil"/>
              <w:bottom w:val="nil"/>
              <w:right w:val="nil"/>
            </w:tcBorders>
            <w:noWrap/>
            <w:vAlign w:val="center"/>
            <w:hideMark/>
          </w:tcPr>
          <w:p w14:paraId="36009C6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1,654</w:t>
            </w:r>
          </w:p>
        </w:tc>
        <w:tc>
          <w:tcPr>
            <w:tcW w:w="1296" w:type="dxa"/>
            <w:tcBorders>
              <w:top w:val="nil"/>
              <w:left w:val="nil"/>
              <w:bottom w:val="nil"/>
              <w:right w:val="nil"/>
            </w:tcBorders>
            <w:noWrap/>
            <w:vAlign w:val="center"/>
            <w:hideMark/>
          </w:tcPr>
          <w:p w14:paraId="507CDE41"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3,889</w:t>
            </w:r>
          </w:p>
        </w:tc>
      </w:tr>
      <w:tr w:rsidR="00E91426" w:rsidRPr="00E91426" w14:paraId="78B42C45" w14:textId="77777777" w:rsidTr="00E91426">
        <w:trPr>
          <w:trHeight w:val="251"/>
        </w:trPr>
        <w:tc>
          <w:tcPr>
            <w:tcW w:w="6189" w:type="dxa"/>
            <w:tcBorders>
              <w:top w:val="nil"/>
              <w:left w:val="nil"/>
              <w:bottom w:val="nil"/>
              <w:right w:val="nil"/>
            </w:tcBorders>
            <w:vAlign w:val="bottom"/>
            <w:hideMark/>
          </w:tcPr>
          <w:p w14:paraId="50CFDB43"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Additions</w:t>
            </w:r>
          </w:p>
        </w:tc>
        <w:tc>
          <w:tcPr>
            <w:tcW w:w="1296" w:type="dxa"/>
            <w:tcBorders>
              <w:top w:val="nil"/>
              <w:left w:val="nil"/>
              <w:bottom w:val="nil"/>
              <w:right w:val="nil"/>
            </w:tcBorders>
            <w:noWrap/>
            <w:vAlign w:val="bottom"/>
            <w:hideMark/>
          </w:tcPr>
          <w:p w14:paraId="511B67A4"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296" w:type="dxa"/>
            <w:tcBorders>
              <w:top w:val="nil"/>
              <w:left w:val="nil"/>
              <w:bottom w:val="nil"/>
              <w:right w:val="nil"/>
            </w:tcBorders>
            <w:noWrap/>
            <w:vAlign w:val="bottom"/>
            <w:hideMark/>
          </w:tcPr>
          <w:p w14:paraId="2363D14D"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296" w:type="dxa"/>
            <w:tcBorders>
              <w:top w:val="nil"/>
              <w:left w:val="nil"/>
              <w:bottom w:val="nil"/>
              <w:right w:val="nil"/>
            </w:tcBorders>
            <w:noWrap/>
            <w:vAlign w:val="bottom"/>
            <w:hideMark/>
          </w:tcPr>
          <w:p w14:paraId="47613ED4"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r>
      <w:tr w:rsidR="00E91426" w:rsidRPr="00E91426" w14:paraId="11E517B2" w14:textId="77777777" w:rsidTr="00E91426">
        <w:trPr>
          <w:trHeight w:val="251"/>
        </w:trPr>
        <w:tc>
          <w:tcPr>
            <w:tcW w:w="6189" w:type="dxa"/>
            <w:tcBorders>
              <w:top w:val="nil"/>
              <w:left w:val="nil"/>
              <w:bottom w:val="nil"/>
              <w:right w:val="nil"/>
            </w:tcBorders>
            <w:vAlign w:val="bottom"/>
            <w:hideMark/>
          </w:tcPr>
          <w:p w14:paraId="33134A6E"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Disposals / derecognition</w:t>
            </w:r>
          </w:p>
        </w:tc>
        <w:tc>
          <w:tcPr>
            <w:tcW w:w="1296" w:type="dxa"/>
            <w:tcBorders>
              <w:top w:val="nil"/>
              <w:left w:val="nil"/>
              <w:bottom w:val="nil"/>
              <w:right w:val="nil"/>
            </w:tcBorders>
            <w:noWrap/>
            <w:vAlign w:val="bottom"/>
            <w:hideMark/>
          </w:tcPr>
          <w:p w14:paraId="061B1F14"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(208)</w:t>
            </w:r>
          </w:p>
        </w:tc>
        <w:tc>
          <w:tcPr>
            <w:tcW w:w="1296" w:type="dxa"/>
            <w:tcBorders>
              <w:top w:val="nil"/>
              <w:left w:val="nil"/>
              <w:bottom w:val="nil"/>
              <w:right w:val="nil"/>
            </w:tcBorders>
            <w:noWrap/>
            <w:vAlign w:val="bottom"/>
            <w:hideMark/>
          </w:tcPr>
          <w:p w14:paraId="5983EFD2"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(1,654)</w:t>
            </w:r>
          </w:p>
        </w:tc>
        <w:tc>
          <w:tcPr>
            <w:tcW w:w="1296" w:type="dxa"/>
            <w:tcBorders>
              <w:top w:val="nil"/>
              <w:left w:val="nil"/>
              <w:bottom w:val="nil"/>
              <w:right w:val="nil"/>
            </w:tcBorders>
            <w:noWrap/>
            <w:vAlign w:val="bottom"/>
            <w:hideMark/>
          </w:tcPr>
          <w:p w14:paraId="359435EA"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(1,862)</w:t>
            </w:r>
          </w:p>
        </w:tc>
      </w:tr>
      <w:tr w:rsidR="00E91426" w:rsidRPr="00E91426" w14:paraId="0DC29B12" w14:textId="77777777" w:rsidTr="00E91426">
        <w:trPr>
          <w:trHeight w:val="278"/>
        </w:trPr>
        <w:tc>
          <w:tcPr>
            <w:tcW w:w="6189" w:type="dxa"/>
            <w:tcBorders>
              <w:top w:val="nil"/>
              <w:left w:val="nil"/>
              <w:bottom w:val="nil"/>
              <w:right w:val="nil"/>
            </w:tcBorders>
            <w:noWrap/>
            <w:vAlign w:val="bottom"/>
            <w:hideMark/>
          </w:tcPr>
          <w:p w14:paraId="1CCAB84C"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Valuation/gross cost at 31 March 2025</w:t>
            </w:r>
          </w:p>
        </w:tc>
        <w:tc>
          <w:tcPr>
            <w:tcW w:w="1296" w:type="dxa"/>
            <w:tcBorders>
              <w:top w:val="single" w:sz="4" w:space="0" w:color="auto"/>
              <w:left w:val="nil"/>
              <w:bottom w:val="double" w:sz="6" w:space="0" w:color="auto"/>
              <w:right w:val="nil"/>
            </w:tcBorders>
            <w:noWrap/>
            <w:vAlign w:val="bottom"/>
            <w:hideMark/>
          </w:tcPr>
          <w:p w14:paraId="280CEAAB"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2,027</w:t>
            </w:r>
          </w:p>
        </w:tc>
        <w:tc>
          <w:tcPr>
            <w:tcW w:w="1296" w:type="dxa"/>
            <w:tcBorders>
              <w:top w:val="single" w:sz="4" w:space="0" w:color="auto"/>
              <w:left w:val="nil"/>
              <w:bottom w:val="double" w:sz="6" w:space="0" w:color="auto"/>
              <w:right w:val="nil"/>
            </w:tcBorders>
            <w:noWrap/>
            <w:vAlign w:val="bottom"/>
            <w:hideMark/>
          </w:tcPr>
          <w:p w14:paraId="1293584C"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0</w:t>
            </w:r>
          </w:p>
        </w:tc>
        <w:tc>
          <w:tcPr>
            <w:tcW w:w="1296" w:type="dxa"/>
            <w:tcBorders>
              <w:top w:val="single" w:sz="4" w:space="0" w:color="auto"/>
              <w:left w:val="nil"/>
              <w:bottom w:val="double" w:sz="6" w:space="0" w:color="auto"/>
              <w:right w:val="nil"/>
            </w:tcBorders>
            <w:noWrap/>
            <w:vAlign w:val="bottom"/>
            <w:hideMark/>
          </w:tcPr>
          <w:p w14:paraId="39AF1B9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2,027</w:t>
            </w:r>
          </w:p>
        </w:tc>
      </w:tr>
      <w:tr w:rsidR="00E91426" w:rsidRPr="00E91426" w14:paraId="216B253B" w14:textId="77777777" w:rsidTr="00E91426">
        <w:trPr>
          <w:trHeight w:val="310"/>
        </w:trPr>
        <w:tc>
          <w:tcPr>
            <w:tcW w:w="6189" w:type="dxa"/>
            <w:tcBorders>
              <w:top w:val="nil"/>
              <w:left w:val="nil"/>
              <w:bottom w:val="nil"/>
              <w:right w:val="nil"/>
            </w:tcBorders>
            <w:noWrap/>
            <w:vAlign w:val="bottom"/>
            <w:hideMark/>
          </w:tcPr>
          <w:p w14:paraId="7DC3B6E2"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296" w:type="dxa"/>
            <w:tcBorders>
              <w:top w:val="nil"/>
              <w:left w:val="nil"/>
              <w:bottom w:val="nil"/>
              <w:right w:val="nil"/>
            </w:tcBorders>
            <w:noWrap/>
            <w:vAlign w:val="bottom"/>
            <w:hideMark/>
          </w:tcPr>
          <w:p w14:paraId="584C08E4" w14:textId="77777777" w:rsidR="00E91426" w:rsidRPr="00E91426" w:rsidRDefault="00E91426" w:rsidP="00E91426">
            <w:pPr>
              <w:widowControl/>
              <w:rPr>
                <w:rFonts w:ascii="Arial" w:eastAsia="Times New Roman" w:hAnsi="Arial" w:cs="Arial"/>
                <w:sz w:val="20"/>
                <w:szCs w:val="20"/>
                <w:lang w:val="en-GB" w:eastAsia="en-GB"/>
              </w:rPr>
            </w:pPr>
          </w:p>
        </w:tc>
        <w:tc>
          <w:tcPr>
            <w:tcW w:w="1296" w:type="dxa"/>
            <w:tcBorders>
              <w:top w:val="nil"/>
              <w:left w:val="nil"/>
              <w:bottom w:val="nil"/>
              <w:right w:val="nil"/>
            </w:tcBorders>
            <w:noWrap/>
            <w:vAlign w:val="bottom"/>
            <w:hideMark/>
          </w:tcPr>
          <w:p w14:paraId="77FDF85A" w14:textId="77777777" w:rsidR="00E91426" w:rsidRPr="00E91426" w:rsidRDefault="00E91426" w:rsidP="00E91426">
            <w:pPr>
              <w:widowControl/>
              <w:rPr>
                <w:rFonts w:ascii="Arial" w:eastAsia="Times New Roman" w:hAnsi="Arial" w:cs="Arial"/>
                <w:sz w:val="20"/>
                <w:szCs w:val="20"/>
                <w:lang w:val="en-GB" w:eastAsia="en-GB"/>
              </w:rPr>
            </w:pPr>
          </w:p>
        </w:tc>
        <w:tc>
          <w:tcPr>
            <w:tcW w:w="1296" w:type="dxa"/>
            <w:tcBorders>
              <w:top w:val="nil"/>
              <w:left w:val="nil"/>
              <w:bottom w:val="nil"/>
              <w:right w:val="nil"/>
            </w:tcBorders>
            <w:noWrap/>
            <w:vAlign w:val="bottom"/>
            <w:hideMark/>
          </w:tcPr>
          <w:p w14:paraId="652D999E"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14A74241" w14:textId="77777777" w:rsidTr="00E91426">
        <w:trPr>
          <w:trHeight w:val="521"/>
        </w:trPr>
        <w:tc>
          <w:tcPr>
            <w:tcW w:w="6189" w:type="dxa"/>
            <w:tcBorders>
              <w:top w:val="nil"/>
              <w:left w:val="nil"/>
              <w:bottom w:val="nil"/>
              <w:right w:val="nil"/>
            </w:tcBorders>
            <w:vAlign w:val="bottom"/>
            <w:hideMark/>
          </w:tcPr>
          <w:p w14:paraId="26801251"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Accumulated depreciation at 1 April 2024 - brought forward</w:t>
            </w:r>
          </w:p>
        </w:tc>
        <w:tc>
          <w:tcPr>
            <w:tcW w:w="1296" w:type="dxa"/>
            <w:tcBorders>
              <w:top w:val="nil"/>
              <w:left w:val="nil"/>
              <w:bottom w:val="nil"/>
              <w:right w:val="nil"/>
            </w:tcBorders>
            <w:noWrap/>
            <w:vAlign w:val="center"/>
            <w:hideMark/>
          </w:tcPr>
          <w:p w14:paraId="1A4B64A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336</w:t>
            </w:r>
          </w:p>
        </w:tc>
        <w:tc>
          <w:tcPr>
            <w:tcW w:w="1296" w:type="dxa"/>
            <w:tcBorders>
              <w:top w:val="nil"/>
              <w:left w:val="nil"/>
              <w:bottom w:val="nil"/>
              <w:right w:val="nil"/>
            </w:tcBorders>
            <w:noWrap/>
            <w:vAlign w:val="center"/>
            <w:hideMark/>
          </w:tcPr>
          <w:p w14:paraId="5961091F"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1,587</w:t>
            </w:r>
          </w:p>
        </w:tc>
        <w:tc>
          <w:tcPr>
            <w:tcW w:w="1296" w:type="dxa"/>
            <w:tcBorders>
              <w:top w:val="nil"/>
              <w:left w:val="nil"/>
              <w:bottom w:val="nil"/>
              <w:right w:val="nil"/>
            </w:tcBorders>
            <w:noWrap/>
            <w:vAlign w:val="center"/>
            <w:hideMark/>
          </w:tcPr>
          <w:p w14:paraId="7AA7DBC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1,923</w:t>
            </w:r>
          </w:p>
        </w:tc>
      </w:tr>
      <w:tr w:rsidR="00E91426" w:rsidRPr="00E91426" w14:paraId="6678021C" w14:textId="77777777" w:rsidTr="00E91426">
        <w:trPr>
          <w:trHeight w:val="251"/>
        </w:trPr>
        <w:tc>
          <w:tcPr>
            <w:tcW w:w="6189" w:type="dxa"/>
            <w:tcBorders>
              <w:top w:val="nil"/>
              <w:left w:val="nil"/>
              <w:bottom w:val="nil"/>
              <w:right w:val="nil"/>
            </w:tcBorders>
            <w:vAlign w:val="bottom"/>
            <w:hideMark/>
          </w:tcPr>
          <w:p w14:paraId="6FA56CE2"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Provided during the year</w:t>
            </w:r>
          </w:p>
        </w:tc>
        <w:tc>
          <w:tcPr>
            <w:tcW w:w="1296" w:type="dxa"/>
            <w:tcBorders>
              <w:top w:val="nil"/>
              <w:left w:val="nil"/>
              <w:bottom w:val="nil"/>
              <w:right w:val="nil"/>
            </w:tcBorders>
            <w:noWrap/>
            <w:vAlign w:val="bottom"/>
            <w:hideMark/>
          </w:tcPr>
          <w:p w14:paraId="384F1FED"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307</w:t>
            </w:r>
          </w:p>
        </w:tc>
        <w:tc>
          <w:tcPr>
            <w:tcW w:w="1296" w:type="dxa"/>
            <w:tcBorders>
              <w:top w:val="nil"/>
              <w:left w:val="nil"/>
              <w:bottom w:val="nil"/>
              <w:right w:val="nil"/>
            </w:tcBorders>
            <w:noWrap/>
            <w:vAlign w:val="bottom"/>
            <w:hideMark/>
          </w:tcPr>
          <w:p w14:paraId="4E888A75"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67</w:t>
            </w:r>
          </w:p>
        </w:tc>
        <w:tc>
          <w:tcPr>
            <w:tcW w:w="1296" w:type="dxa"/>
            <w:tcBorders>
              <w:top w:val="nil"/>
              <w:left w:val="nil"/>
              <w:bottom w:val="nil"/>
              <w:right w:val="nil"/>
            </w:tcBorders>
            <w:noWrap/>
            <w:vAlign w:val="bottom"/>
            <w:hideMark/>
          </w:tcPr>
          <w:p w14:paraId="67348FA8"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374</w:t>
            </w:r>
          </w:p>
        </w:tc>
      </w:tr>
      <w:tr w:rsidR="00E91426" w:rsidRPr="00E91426" w14:paraId="6670CC29" w14:textId="77777777" w:rsidTr="00E91426">
        <w:trPr>
          <w:trHeight w:val="251"/>
        </w:trPr>
        <w:tc>
          <w:tcPr>
            <w:tcW w:w="6189" w:type="dxa"/>
            <w:tcBorders>
              <w:top w:val="nil"/>
              <w:left w:val="nil"/>
              <w:bottom w:val="nil"/>
              <w:right w:val="nil"/>
            </w:tcBorders>
            <w:vAlign w:val="bottom"/>
            <w:hideMark/>
          </w:tcPr>
          <w:p w14:paraId="24F5E376"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Disposals / derecognition</w:t>
            </w:r>
          </w:p>
        </w:tc>
        <w:tc>
          <w:tcPr>
            <w:tcW w:w="1296" w:type="dxa"/>
            <w:tcBorders>
              <w:top w:val="nil"/>
              <w:left w:val="nil"/>
              <w:bottom w:val="nil"/>
              <w:right w:val="nil"/>
            </w:tcBorders>
            <w:noWrap/>
            <w:vAlign w:val="bottom"/>
            <w:hideMark/>
          </w:tcPr>
          <w:p w14:paraId="0823DFF1"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(208)</w:t>
            </w:r>
          </w:p>
        </w:tc>
        <w:tc>
          <w:tcPr>
            <w:tcW w:w="1296" w:type="dxa"/>
            <w:tcBorders>
              <w:top w:val="nil"/>
              <w:left w:val="nil"/>
              <w:bottom w:val="nil"/>
              <w:right w:val="nil"/>
            </w:tcBorders>
            <w:noWrap/>
            <w:vAlign w:val="bottom"/>
            <w:hideMark/>
          </w:tcPr>
          <w:p w14:paraId="6352CB42"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(1,654)</w:t>
            </w:r>
          </w:p>
        </w:tc>
        <w:tc>
          <w:tcPr>
            <w:tcW w:w="1296" w:type="dxa"/>
            <w:tcBorders>
              <w:top w:val="nil"/>
              <w:left w:val="nil"/>
              <w:bottom w:val="nil"/>
              <w:right w:val="nil"/>
            </w:tcBorders>
            <w:noWrap/>
            <w:vAlign w:val="bottom"/>
            <w:hideMark/>
          </w:tcPr>
          <w:p w14:paraId="7A4C9158"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(1,862)</w:t>
            </w:r>
          </w:p>
        </w:tc>
      </w:tr>
      <w:tr w:rsidR="00E91426" w:rsidRPr="00E91426" w14:paraId="637FB2FA" w14:textId="77777777" w:rsidTr="00E91426">
        <w:trPr>
          <w:trHeight w:val="278"/>
        </w:trPr>
        <w:tc>
          <w:tcPr>
            <w:tcW w:w="6189" w:type="dxa"/>
            <w:tcBorders>
              <w:top w:val="nil"/>
              <w:left w:val="nil"/>
              <w:bottom w:val="nil"/>
              <w:right w:val="nil"/>
            </w:tcBorders>
            <w:noWrap/>
            <w:vAlign w:val="bottom"/>
            <w:hideMark/>
          </w:tcPr>
          <w:p w14:paraId="10553004"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Accumulated depreciation at 31 March 2025</w:t>
            </w:r>
          </w:p>
        </w:tc>
        <w:tc>
          <w:tcPr>
            <w:tcW w:w="1296" w:type="dxa"/>
            <w:tcBorders>
              <w:top w:val="single" w:sz="4" w:space="0" w:color="auto"/>
              <w:left w:val="nil"/>
              <w:bottom w:val="double" w:sz="6" w:space="0" w:color="auto"/>
              <w:right w:val="nil"/>
            </w:tcBorders>
            <w:noWrap/>
            <w:vAlign w:val="bottom"/>
            <w:hideMark/>
          </w:tcPr>
          <w:p w14:paraId="2F1FCB3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435</w:t>
            </w:r>
          </w:p>
        </w:tc>
        <w:tc>
          <w:tcPr>
            <w:tcW w:w="1296" w:type="dxa"/>
            <w:tcBorders>
              <w:top w:val="single" w:sz="4" w:space="0" w:color="auto"/>
              <w:left w:val="nil"/>
              <w:bottom w:val="double" w:sz="6" w:space="0" w:color="auto"/>
              <w:right w:val="nil"/>
            </w:tcBorders>
            <w:noWrap/>
            <w:vAlign w:val="bottom"/>
            <w:hideMark/>
          </w:tcPr>
          <w:p w14:paraId="71C4CF6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0</w:t>
            </w:r>
          </w:p>
        </w:tc>
        <w:tc>
          <w:tcPr>
            <w:tcW w:w="1296" w:type="dxa"/>
            <w:tcBorders>
              <w:top w:val="single" w:sz="4" w:space="0" w:color="auto"/>
              <w:left w:val="nil"/>
              <w:bottom w:val="double" w:sz="6" w:space="0" w:color="auto"/>
              <w:right w:val="nil"/>
            </w:tcBorders>
            <w:noWrap/>
            <w:vAlign w:val="bottom"/>
            <w:hideMark/>
          </w:tcPr>
          <w:p w14:paraId="26569ADC"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435</w:t>
            </w:r>
          </w:p>
        </w:tc>
      </w:tr>
      <w:tr w:rsidR="00E91426" w:rsidRPr="00E91426" w14:paraId="0676D97E" w14:textId="77777777" w:rsidTr="00E91426">
        <w:trPr>
          <w:trHeight w:val="59"/>
        </w:trPr>
        <w:tc>
          <w:tcPr>
            <w:tcW w:w="6189" w:type="dxa"/>
            <w:tcBorders>
              <w:top w:val="nil"/>
              <w:left w:val="nil"/>
              <w:bottom w:val="nil"/>
              <w:right w:val="nil"/>
            </w:tcBorders>
            <w:noWrap/>
            <w:vAlign w:val="bottom"/>
            <w:hideMark/>
          </w:tcPr>
          <w:p w14:paraId="3501FE7B"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296" w:type="dxa"/>
            <w:tcBorders>
              <w:top w:val="nil"/>
              <w:left w:val="nil"/>
              <w:bottom w:val="nil"/>
              <w:right w:val="nil"/>
            </w:tcBorders>
            <w:noWrap/>
            <w:vAlign w:val="bottom"/>
            <w:hideMark/>
          </w:tcPr>
          <w:p w14:paraId="288C9079" w14:textId="77777777" w:rsidR="00E91426" w:rsidRPr="00E91426" w:rsidRDefault="00E91426" w:rsidP="00E91426">
            <w:pPr>
              <w:widowControl/>
              <w:rPr>
                <w:rFonts w:ascii="Arial" w:eastAsia="Times New Roman" w:hAnsi="Arial" w:cs="Arial"/>
                <w:sz w:val="20"/>
                <w:szCs w:val="20"/>
                <w:lang w:val="en-GB" w:eastAsia="en-GB"/>
              </w:rPr>
            </w:pPr>
          </w:p>
        </w:tc>
        <w:tc>
          <w:tcPr>
            <w:tcW w:w="1296" w:type="dxa"/>
            <w:tcBorders>
              <w:top w:val="nil"/>
              <w:left w:val="nil"/>
              <w:bottom w:val="nil"/>
              <w:right w:val="nil"/>
            </w:tcBorders>
            <w:noWrap/>
            <w:vAlign w:val="bottom"/>
            <w:hideMark/>
          </w:tcPr>
          <w:p w14:paraId="338F38FD" w14:textId="77777777" w:rsidR="00E91426" w:rsidRPr="00E91426" w:rsidRDefault="00E91426" w:rsidP="00E91426">
            <w:pPr>
              <w:widowControl/>
              <w:rPr>
                <w:rFonts w:ascii="Arial" w:eastAsia="Times New Roman" w:hAnsi="Arial" w:cs="Arial"/>
                <w:sz w:val="20"/>
                <w:szCs w:val="20"/>
                <w:lang w:val="en-GB" w:eastAsia="en-GB"/>
              </w:rPr>
            </w:pPr>
          </w:p>
        </w:tc>
        <w:tc>
          <w:tcPr>
            <w:tcW w:w="1296" w:type="dxa"/>
            <w:tcBorders>
              <w:top w:val="nil"/>
              <w:left w:val="nil"/>
              <w:bottom w:val="nil"/>
              <w:right w:val="nil"/>
            </w:tcBorders>
            <w:noWrap/>
            <w:vAlign w:val="bottom"/>
            <w:hideMark/>
          </w:tcPr>
          <w:p w14:paraId="188A233F"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46B6CD71" w14:textId="77777777" w:rsidTr="00E91426">
        <w:trPr>
          <w:trHeight w:val="251"/>
        </w:trPr>
        <w:tc>
          <w:tcPr>
            <w:tcW w:w="6189" w:type="dxa"/>
            <w:tcBorders>
              <w:top w:val="nil"/>
              <w:left w:val="nil"/>
              <w:bottom w:val="nil"/>
              <w:right w:val="nil"/>
            </w:tcBorders>
            <w:vAlign w:val="bottom"/>
            <w:hideMark/>
          </w:tcPr>
          <w:p w14:paraId="188273B1"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Net book value at 31 March 2025</w:t>
            </w:r>
          </w:p>
        </w:tc>
        <w:tc>
          <w:tcPr>
            <w:tcW w:w="1296" w:type="dxa"/>
            <w:tcBorders>
              <w:top w:val="nil"/>
              <w:left w:val="nil"/>
              <w:bottom w:val="nil"/>
              <w:right w:val="nil"/>
            </w:tcBorders>
            <w:noWrap/>
            <w:vAlign w:val="center"/>
            <w:hideMark/>
          </w:tcPr>
          <w:p w14:paraId="5F9D1AA0"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1,592</w:t>
            </w:r>
          </w:p>
        </w:tc>
        <w:tc>
          <w:tcPr>
            <w:tcW w:w="1296" w:type="dxa"/>
            <w:tcBorders>
              <w:top w:val="nil"/>
              <w:left w:val="nil"/>
              <w:bottom w:val="nil"/>
              <w:right w:val="nil"/>
            </w:tcBorders>
            <w:noWrap/>
            <w:vAlign w:val="center"/>
            <w:hideMark/>
          </w:tcPr>
          <w:p w14:paraId="2913575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0</w:t>
            </w:r>
          </w:p>
        </w:tc>
        <w:tc>
          <w:tcPr>
            <w:tcW w:w="1296" w:type="dxa"/>
            <w:tcBorders>
              <w:top w:val="nil"/>
              <w:left w:val="nil"/>
              <w:bottom w:val="nil"/>
              <w:right w:val="nil"/>
            </w:tcBorders>
            <w:noWrap/>
            <w:vAlign w:val="center"/>
            <w:hideMark/>
          </w:tcPr>
          <w:p w14:paraId="660AC86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1,592</w:t>
            </w:r>
          </w:p>
        </w:tc>
      </w:tr>
      <w:tr w:rsidR="00E91426" w:rsidRPr="00E91426" w14:paraId="2A1743DF" w14:textId="77777777" w:rsidTr="00E91426">
        <w:trPr>
          <w:trHeight w:val="251"/>
        </w:trPr>
        <w:tc>
          <w:tcPr>
            <w:tcW w:w="6189" w:type="dxa"/>
            <w:tcBorders>
              <w:top w:val="nil"/>
              <w:left w:val="nil"/>
              <w:bottom w:val="nil"/>
              <w:right w:val="nil"/>
            </w:tcBorders>
            <w:vAlign w:val="bottom"/>
            <w:hideMark/>
          </w:tcPr>
          <w:p w14:paraId="6DF44077"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Net book value at 1 April 2024</w:t>
            </w:r>
          </w:p>
        </w:tc>
        <w:tc>
          <w:tcPr>
            <w:tcW w:w="1296" w:type="dxa"/>
            <w:tcBorders>
              <w:top w:val="nil"/>
              <w:left w:val="nil"/>
              <w:bottom w:val="nil"/>
              <w:right w:val="nil"/>
            </w:tcBorders>
            <w:noWrap/>
            <w:vAlign w:val="center"/>
            <w:hideMark/>
          </w:tcPr>
          <w:p w14:paraId="4E59FBF5"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1,899</w:t>
            </w:r>
          </w:p>
        </w:tc>
        <w:tc>
          <w:tcPr>
            <w:tcW w:w="1296" w:type="dxa"/>
            <w:tcBorders>
              <w:top w:val="nil"/>
              <w:left w:val="nil"/>
              <w:bottom w:val="nil"/>
              <w:right w:val="nil"/>
            </w:tcBorders>
            <w:noWrap/>
            <w:vAlign w:val="center"/>
            <w:hideMark/>
          </w:tcPr>
          <w:p w14:paraId="6D23C10A"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67</w:t>
            </w:r>
          </w:p>
        </w:tc>
        <w:tc>
          <w:tcPr>
            <w:tcW w:w="1296" w:type="dxa"/>
            <w:tcBorders>
              <w:top w:val="nil"/>
              <w:left w:val="nil"/>
              <w:bottom w:val="nil"/>
              <w:right w:val="nil"/>
            </w:tcBorders>
            <w:noWrap/>
            <w:vAlign w:val="center"/>
            <w:hideMark/>
          </w:tcPr>
          <w:p w14:paraId="0FB19113"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1,966</w:t>
            </w:r>
          </w:p>
        </w:tc>
      </w:tr>
      <w:tr w:rsidR="00E91426" w:rsidRPr="00E91426" w14:paraId="1BD9E6C9" w14:textId="77777777" w:rsidTr="00E91426">
        <w:trPr>
          <w:trHeight w:val="251"/>
        </w:trPr>
        <w:tc>
          <w:tcPr>
            <w:tcW w:w="6189" w:type="dxa"/>
            <w:tcBorders>
              <w:top w:val="nil"/>
              <w:left w:val="nil"/>
              <w:bottom w:val="nil"/>
              <w:right w:val="nil"/>
            </w:tcBorders>
            <w:vAlign w:val="bottom"/>
            <w:hideMark/>
          </w:tcPr>
          <w:p w14:paraId="59937DC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296" w:type="dxa"/>
            <w:tcBorders>
              <w:top w:val="nil"/>
              <w:left w:val="nil"/>
              <w:bottom w:val="nil"/>
              <w:right w:val="nil"/>
            </w:tcBorders>
            <w:noWrap/>
            <w:vAlign w:val="center"/>
            <w:hideMark/>
          </w:tcPr>
          <w:p w14:paraId="0A4E1FBB" w14:textId="77777777" w:rsidR="00E91426" w:rsidRPr="00E91426" w:rsidRDefault="00E91426" w:rsidP="00E91426">
            <w:pPr>
              <w:widowControl/>
              <w:rPr>
                <w:rFonts w:ascii="Arial" w:eastAsia="Times New Roman" w:hAnsi="Arial" w:cs="Arial"/>
                <w:sz w:val="20"/>
                <w:szCs w:val="20"/>
                <w:lang w:val="en-GB" w:eastAsia="en-GB"/>
              </w:rPr>
            </w:pPr>
          </w:p>
        </w:tc>
        <w:tc>
          <w:tcPr>
            <w:tcW w:w="1296" w:type="dxa"/>
            <w:tcBorders>
              <w:top w:val="nil"/>
              <w:left w:val="nil"/>
              <w:bottom w:val="nil"/>
              <w:right w:val="nil"/>
            </w:tcBorders>
            <w:noWrap/>
            <w:vAlign w:val="center"/>
            <w:hideMark/>
          </w:tcPr>
          <w:p w14:paraId="7223FEE1"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296" w:type="dxa"/>
            <w:tcBorders>
              <w:top w:val="nil"/>
              <w:left w:val="nil"/>
              <w:bottom w:val="nil"/>
              <w:right w:val="nil"/>
            </w:tcBorders>
            <w:noWrap/>
            <w:vAlign w:val="center"/>
            <w:hideMark/>
          </w:tcPr>
          <w:p w14:paraId="69F5F58C" w14:textId="77777777" w:rsidR="00E91426" w:rsidRPr="00E91426" w:rsidRDefault="00E91426" w:rsidP="00E91426">
            <w:pPr>
              <w:widowControl/>
              <w:jc w:val="right"/>
              <w:rPr>
                <w:rFonts w:ascii="Arial" w:eastAsia="Times New Roman" w:hAnsi="Arial" w:cs="Arial"/>
                <w:sz w:val="20"/>
                <w:szCs w:val="20"/>
                <w:lang w:val="en-GB" w:eastAsia="en-GB"/>
              </w:rPr>
            </w:pPr>
          </w:p>
        </w:tc>
      </w:tr>
      <w:tr w:rsidR="00E91426" w:rsidRPr="00E91426" w14:paraId="4CB3D663" w14:textId="77777777" w:rsidTr="00E91426">
        <w:trPr>
          <w:trHeight w:val="251"/>
        </w:trPr>
        <w:tc>
          <w:tcPr>
            <w:tcW w:w="6189" w:type="dxa"/>
            <w:tcBorders>
              <w:top w:val="nil"/>
              <w:left w:val="nil"/>
              <w:bottom w:val="nil"/>
              <w:right w:val="nil"/>
            </w:tcBorders>
            <w:vAlign w:val="bottom"/>
            <w:hideMark/>
          </w:tcPr>
          <w:p w14:paraId="11776837" w14:textId="77777777" w:rsidR="00E91426" w:rsidRPr="00E91426" w:rsidRDefault="00E91426" w:rsidP="00E91426">
            <w:pPr>
              <w:widowControl/>
              <w:rPr>
                <w:rFonts w:ascii="Arial" w:eastAsia="Times New Roman" w:hAnsi="Arial" w:cs="Arial"/>
                <w:b/>
                <w:bCs/>
                <w:i/>
                <w:iCs/>
                <w:color w:val="000000"/>
                <w:sz w:val="20"/>
                <w:szCs w:val="20"/>
                <w:lang w:val="en-GB" w:eastAsia="en-GB"/>
              </w:rPr>
            </w:pPr>
            <w:r w:rsidRPr="00E91426">
              <w:rPr>
                <w:rFonts w:ascii="Arial" w:eastAsia="Times New Roman" w:hAnsi="Arial" w:cs="Arial"/>
                <w:b/>
                <w:bCs/>
                <w:i/>
                <w:iCs/>
                <w:color w:val="000000"/>
                <w:sz w:val="20"/>
                <w:szCs w:val="20"/>
                <w:lang w:val="en-GB" w:eastAsia="en-GB"/>
              </w:rPr>
              <w:t>of which</w:t>
            </w:r>
          </w:p>
        </w:tc>
        <w:tc>
          <w:tcPr>
            <w:tcW w:w="1296" w:type="dxa"/>
            <w:tcBorders>
              <w:top w:val="nil"/>
              <w:left w:val="nil"/>
              <w:bottom w:val="nil"/>
              <w:right w:val="nil"/>
            </w:tcBorders>
            <w:noWrap/>
            <w:vAlign w:val="center"/>
            <w:hideMark/>
          </w:tcPr>
          <w:p w14:paraId="2CE5CC7D" w14:textId="77777777" w:rsidR="00E91426" w:rsidRPr="00E91426" w:rsidRDefault="00E91426" w:rsidP="00E91426">
            <w:pPr>
              <w:widowControl/>
              <w:rPr>
                <w:rFonts w:ascii="Arial" w:eastAsia="Times New Roman" w:hAnsi="Arial" w:cs="Arial"/>
                <w:b/>
                <w:bCs/>
                <w:i/>
                <w:iCs/>
                <w:color w:val="000000"/>
                <w:sz w:val="20"/>
                <w:szCs w:val="20"/>
                <w:lang w:val="en-GB" w:eastAsia="en-GB"/>
              </w:rPr>
            </w:pPr>
          </w:p>
        </w:tc>
        <w:tc>
          <w:tcPr>
            <w:tcW w:w="1296" w:type="dxa"/>
            <w:tcBorders>
              <w:top w:val="nil"/>
              <w:left w:val="nil"/>
              <w:bottom w:val="nil"/>
              <w:right w:val="nil"/>
            </w:tcBorders>
            <w:noWrap/>
            <w:vAlign w:val="center"/>
            <w:hideMark/>
          </w:tcPr>
          <w:p w14:paraId="06E2AE55"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296" w:type="dxa"/>
            <w:tcBorders>
              <w:top w:val="nil"/>
              <w:left w:val="nil"/>
              <w:bottom w:val="nil"/>
              <w:right w:val="nil"/>
            </w:tcBorders>
            <w:noWrap/>
            <w:vAlign w:val="center"/>
            <w:hideMark/>
          </w:tcPr>
          <w:p w14:paraId="41469AF7" w14:textId="77777777" w:rsidR="00E91426" w:rsidRPr="00E91426" w:rsidRDefault="00E91426" w:rsidP="00E91426">
            <w:pPr>
              <w:widowControl/>
              <w:jc w:val="right"/>
              <w:rPr>
                <w:rFonts w:ascii="Arial" w:eastAsia="Times New Roman" w:hAnsi="Arial" w:cs="Arial"/>
                <w:sz w:val="20"/>
                <w:szCs w:val="20"/>
                <w:lang w:val="en-GB" w:eastAsia="en-GB"/>
              </w:rPr>
            </w:pPr>
          </w:p>
        </w:tc>
      </w:tr>
      <w:tr w:rsidR="00E91426" w:rsidRPr="00E91426" w14:paraId="4FD81FA7" w14:textId="77777777" w:rsidTr="00E91426">
        <w:trPr>
          <w:trHeight w:val="278"/>
        </w:trPr>
        <w:tc>
          <w:tcPr>
            <w:tcW w:w="6189" w:type="dxa"/>
            <w:tcBorders>
              <w:top w:val="nil"/>
              <w:left w:val="nil"/>
              <w:bottom w:val="nil"/>
              <w:right w:val="nil"/>
            </w:tcBorders>
            <w:vAlign w:val="bottom"/>
            <w:hideMark/>
          </w:tcPr>
          <w:p w14:paraId="2A3479F2" w14:textId="77777777" w:rsidR="00E91426" w:rsidRPr="00E91426" w:rsidRDefault="00E91426" w:rsidP="00E91426">
            <w:pPr>
              <w:widowControl/>
              <w:rPr>
                <w:rFonts w:ascii="Arial" w:eastAsia="Times New Roman" w:hAnsi="Arial" w:cs="Arial"/>
                <w:i/>
                <w:iCs/>
                <w:color w:val="000000"/>
                <w:sz w:val="20"/>
                <w:szCs w:val="20"/>
                <w:lang w:val="en-GB" w:eastAsia="en-GB"/>
              </w:rPr>
            </w:pPr>
            <w:r w:rsidRPr="00E91426">
              <w:rPr>
                <w:rFonts w:ascii="Arial" w:eastAsia="Times New Roman" w:hAnsi="Arial" w:cs="Arial"/>
                <w:i/>
                <w:iCs/>
                <w:color w:val="000000"/>
                <w:sz w:val="20"/>
                <w:szCs w:val="20"/>
                <w:lang w:val="en-GB" w:eastAsia="en-GB"/>
              </w:rPr>
              <w:t>Net book value of right of use assets leased from other DHSC group bodies</w:t>
            </w:r>
          </w:p>
        </w:tc>
        <w:tc>
          <w:tcPr>
            <w:tcW w:w="1296" w:type="dxa"/>
            <w:tcBorders>
              <w:top w:val="nil"/>
              <w:left w:val="nil"/>
              <w:bottom w:val="nil"/>
              <w:right w:val="nil"/>
            </w:tcBorders>
            <w:noWrap/>
            <w:vAlign w:val="bottom"/>
            <w:hideMark/>
          </w:tcPr>
          <w:p w14:paraId="3A36F48F" w14:textId="77777777" w:rsidR="00E91426" w:rsidRPr="00E91426" w:rsidRDefault="00E91426" w:rsidP="00E91426">
            <w:pPr>
              <w:widowControl/>
              <w:jc w:val="right"/>
              <w:rPr>
                <w:rFonts w:ascii="Arial" w:eastAsia="Times New Roman" w:hAnsi="Arial" w:cs="Arial"/>
                <w:i/>
                <w:iCs/>
                <w:color w:val="000000"/>
                <w:sz w:val="20"/>
                <w:szCs w:val="20"/>
                <w:lang w:val="en-GB" w:eastAsia="en-GB"/>
              </w:rPr>
            </w:pPr>
            <w:r w:rsidRPr="00E91426">
              <w:rPr>
                <w:rFonts w:ascii="Arial" w:eastAsia="Times New Roman" w:hAnsi="Arial" w:cs="Arial"/>
                <w:i/>
                <w:iCs/>
                <w:color w:val="000000"/>
                <w:sz w:val="20"/>
                <w:szCs w:val="20"/>
                <w:lang w:val="en-GB" w:eastAsia="en-GB"/>
              </w:rPr>
              <w:t>810</w:t>
            </w:r>
          </w:p>
        </w:tc>
        <w:tc>
          <w:tcPr>
            <w:tcW w:w="1296" w:type="dxa"/>
            <w:tcBorders>
              <w:top w:val="nil"/>
              <w:left w:val="nil"/>
              <w:bottom w:val="nil"/>
              <w:right w:val="nil"/>
            </w:tcBorders>
            <w:noWrap/>
            <w:vAlign w:val="bottom"/>
            <w:hideMark/>
          </w:tcPr>
          <w:p w14:paraId="6950DBE7" w14:textId="77777777" w:rsidR="00E91426" w:rsidRPr="00E91426" w:rsidRDefault="00E91426" w:rsidP="00E91426">
            <w:pPr>
              <w:widowControl/>
              <w:jc w:val="right"/>
              <w:rPr>
                <w:rFonts w:ascii="Arial" w:eastAsia="Times New Roman" w:hAnsi="Arial" w:cs="Arial"/>
                <w:i/>
                <w:iCs/>
                <w:color w:val="000000"/>
                <w:sz w:val="20"/>
                <w:szCs w:val="20"/>
                <w:lang w:val="en-GB" w:eastAsia="en-GB"/>
              </w:rPr>
            </w:pPr>
            <w:r w:rsidRPr="00E91426">
              <w:rPr>
                <w:rFonts w:ascii="Arial" w:eastAsia="Times New Roman" w:hAnsi="Arial" w:cs="Arial"/>
                <w:i/>
                <w:iCs/>
                <w:color w:val="000000"/>
                <w:sz w:val="20"/>
                <w:szCs w:val="20"/>
                <w:lang w:val="en-GB" w:eastAsia="en-GB"/>
              </w:rPr>
              <w:t>0</w:t>
            </w:r>
          </w:p>
        </w:tc>
        <w:tc>
          <w:tcPr>
            <w:tcW w:w="1296" w:type="dxa"/>
            <w:tcBorders>
              <w:top w:val="nil"/>
              <w:left w:val="nil"/>
              <w:bottom w:val="nil"/>
              <w:right w:val="nil"/>
            </w:tcBorders>
            <w:noWrap/>
            <w:vAlign w:val="bottom"/>
            <w:hideMark/>
          </w:tcPr>
          <w:p w14:paraId="5E111178" w14:textId="77777777" w:rsidR="00E91426" w:rsidRPr="00E91426" w:rsidRDefault="00E91426" w:rsidP="00E91426">
            <w:pPr>
              <w:widowControl/>
              <w:jc w:val="right"/>
              <w:rPr>
                <w:rFonts w:ascii="Arial" w:eastAsia="Times New Roman" w:hAnsi="Arial" w:cs="Arial"/>
                <w:i/>
                <w:iCs/>
                <w:color w:val="000000"/>
                <w:sz w:val="20"/>
                <w:szCs w:val="20"/>
                <w:lang w:val="en-GB" w:eastAsia="en-GB"/>
              </w:rPr>
            </w:pPr>
            <w:r w:rsidRPr="00E91426">
              <w:rPr>
                <w:rFonts w:ascii="Arial" w:eastAsia="Times New Roman" w:hAnsi="Arial" w:cs="Arial"/>
                <w:i/>
                <w:iCs/>
                <w:color w:val="000000"/>
                <w:sz w:val="20"/>
                <w:szCs w:val="20"/>
                <w:lang w:val="en-GB" w:eastAsia="en-GB"/>
              </w:rPr>
              <w:t>810</w:t>
            </w:r>
          </w:p>
        </w:tc>
      </w:tr>
      <w:tr w:rsidR="00E91426" w:rsidRPr="00E91426" w14:paraId="0C616706" w14:textId="77777777" w:rsidTr="00E91426">
        <w:trPr>
          <w:trHeight w:val="295"/>
        </w:trPr>
        <w:tc>
          <w:tcPr>
            <w:tcW w:w="6189" w:type="dxa"/>
            <w:tcBorders>
              <w:top w:val="nil"/>
              <w:left w:val="nil"/>
              <w:bottom w:val="nil"/>
              <w:right w:val="nil"/>
            </w:tcBorders>
            <w:vAlign w:val="bottom"/>
            <w:hideMark/>
          </w:tcPr>
          <w:p w14:paraId="31433B8F" w14:textId="77777777" w:rsidR="00E91426" w:rsidRPr="00E91426" w:rsidRDefault="00E91426" w:rsidP="00E91426">
            <w:pPr>
              <w:widowControl/>
              <w:jc w:val="right"/>
              <w:rPr>
                <w:rFonts w:ascii="Arial" w:eastAsia="Times New Roman" w:hAnsi="Arial" w:cs="Arial"/>
                <w:i/>
                <w:iCs/>
                <w:color w:val="000000"/>
                <w:sz w:val="20"/>
                <w:szCs w:val="20"/>
                <w:lang w:val="en-GB" w:eastAsia="en-GB"/>
              </w:rPr>
            </w:pPr>
          </w:p>
        </w:tc>
        <w:tc>
          <w:tcPr>
            <w:tcW w:w="1296" w:type="dxa"/>
            <w:tcBorders>
              <w:top w:val="nil"/>
              <w:left w:val="nil"/>
              <w:bottom w:val="nil"/>
              <w:right w:val="nil"/>
            </w:tcBorders>
            <w:noWrap/>
            <w:vAlign w:val="center"/>
            <w:hideMark/>
          </w:tcPr>
          <w:p w14:paraId="7B50BA62" w14:textId="77777777" w:rsidR="00E91426" w:rsidRPr="00E91426" w:rsidRDefault="00E91426" w:rsidP="00E91426">
            <w:pPr>
              <w:widowControl/>
              <w:rPr>
                <w:rFonts w:ascii="Arial" w:eastAsia="Times New Roman" w:hAnsi="Arial" w:cs="Arial"/>
                <w:sz w:val="20"/>
                <w:szCs w:val="20"/>
                <w:lang w:val="en-GB" w:eastAsia="en-GB"/>
              </w:rPr>
            </w:pPr>
          </w:p>
        </w:tc>
        <w:tc>
          <w:tcPr>
            <w:tcW w:w="1296" w:type="dxa"/>
            <w:tcBorders>
              <w:top w:val="nil"/>
              <w:left w:val="nil"/>
              <w:bottom w:val="nil"/>
              <w:right w:val="nil"/>
            </w:tcBorders>
            <w:noWrap/>
            <w:vAlign w:val="center"/>
            <w:hideMark/>
          </w:tcPr>
          <w:p w14:paraId="630B2ED8"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296" w:type="dxa"/>
            <w:tcBorders>
              <w:top w:val="nil"/>
              <w:left w:val="nil"/>
              <w:bottom w:val="nil"/>
              <w:right w:val="nil"/>
            </w:tcBorders>
            <w:noWrap/>
            <w:vAlign w:val="center"/>
            <w:hideMark/>
          </w:tcPr>
          <w:p w14:paraId="3F110E61" w14:textId="77777777" w:rsidR="00E91426" w:rsidRPr="00E91426" w:rsidRDefault="00E91426" w:rsidP="00E91426">
            <w:pPr>
              <w:widowControl/>
              <w:jc w:val="right"/>
              <w:rPr>
                <w:rFonts w:ascii="Arial" w:eastAsia="Times New Roman" w:hAnsi="Arial" w:cs="Arial"/>
                <w:sz w:val="20"/>
                <w:szCs w:val="20"/>
                <w:lang w:val="en-GB" w:eastAsia="en-GB"/>
              </w:rPr>
            </w:pPr>
          </w:p>
        </w:tc>
      </w:tr>
      <w:tr w:rsidR="00E91426" w:rsidRPr="00E91426" w14:paraId="1FD99FF1" w14:textId="77777777" w:rsidTr="00E91426">
        <w:trPr>
          <w:trHeight w:val="295"/>
        </w:trPr>
        <w:tc>
          <w:tcPr>
            <w:tcW w:w="6189" w:type="dxa"/>
            <w:tcBorders>
              <w:top w:val="nil"/>
              <w:left w:val="nil"/>
              <w:bottom w:val="nil"/>
              <w:right w:val="nil"/>
            </w:tcBorders>
            <w:noWrap/>
            <w:vAlign w:val="bottom"/>
            <w:hideMark/>
          </w:tcPr>
          <w:p w14:paraId="0FBA051C"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Note 13.2 Right of use assets - 2023/24</w:t>
            </w:r>
          </w:p>
        </w:tc>
        <w:tc>
          <w:tcPr>
            <w:tcW w:w="1296" w:type="dxa"/>
            <w:tcBorders>
              <w:top w:val="nil"/>
              <w:left w:val="nil"/>
              <w:bottom w:val="nil"/>
              <w:right w:val="nil"/>
            </w:tcBorders>
            <w:vAlign w:val="bottom"/>
            <w:hideMark/>
          </w:tcPr>
          <w:p w14:paraId="6E62B1ED"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1296" w:type="dxa"/>
            <w:tcBorders>
              <w:top w:val="nil"/>
              <w:left w:val="nil"/>
              <w:bottom w:val="nil"/>
              <w:right w:val="nil"/>
            </w:tcBorders>
            <w:vAlign w:val="bottom"/>
            <w:hideMark/>
          </w:tcPr>
          <w:p w14:paraId="5B50B81F"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296" w:type="dxa"/>
            <w:tcBorders>
              <w:top w:val="nil"/>
              <w:left w:val="nil"/>
              <w:bottom w:val="nil"/>
              <w:right w:val="nil"/>
            </w:tcBorders>
            <w:noWrap/>
            <w:vAlign w:val="bottom"/>
            <w:hideMark/>
          </w:tcPr>
          <w:p w14:paraId="42B4742C" w14:textId="77777777" w:rsidR="00E91426" w:rsidRPr="00E91426" w:rsidRDefault="00E91426" w:rsidP="00E91426">
            <w:pPr>
              <w:widowControl/>
              <w:jc w:val="right"/>
              <w:rPr>
                <w:rFonts w:ascii="Arial" w:eastAsia="Times New Roman" w:hAnsi="Arial" w:cs="Arial"/>
                <w:sz w:val="20"/>
                <w:szCs w:val="20"/>
                <w:lang w:val="en-GB" w:eastAsia="en-GB"/>
              </w:rPr>
            </w:pPr>
          </w:p>
        </w:tc>
      </w:tr>
      <w:tr w:rsidR="00E91426" w:rsidRPr="00E91426" w14:paraId="3A29E5B7" w14:textId="77777777" w:rsidTr="00E91426">
        <w:trPr>
          <w:trHeight w:val="754"/>
        </w:trPr>
        <w:tc>
          <w:tcPr>
            <w:tcW w:w="6189" w:type="dxa"/>
            <w:tcBorders>
              <w:top w:val="nil"/>
              <w:left w:val="nil"/>
              <w:bottom w:val="nil"/>
              <w:right w:val="nil"/>
            </w:tcBorders>
            <w:vAlign w:val="bottom"/>
            <w:hideMark/>
          </w:tcPr>
          <w:p w14:paraId="7AD99FDD" w14:textId="77777777" w:rsidR="00E91426" w:rsidRPr="00E91426" w:rsidRDefault="00E91426" w:rsidP="00E91426">
            <w:pPr>
              <w:widowControl/>
              <w:rPr>
                <w:rFonts w:ascii="Arial" w:eastAsia="Times New Roman" w:hAnsi="Arial" w:cs="Arial"/>
                <w:sz w:val="20"/>
                <w:szCs w:val="20"/>
                <w:lang w:val="en-GB" w:eastAsia="en-GB"/>
              </w:rPr>
            </w:pPr>
          </w:p>
        </w:tc>
        <w:tc>
          <w:tcPr>
            <w:tcW w:w="1296" w:type="dxa"/>
            <w:tcBorders>
              <w:top w:val="nil"/>
              <w:left w:val="nil"/>
              <w:bottom w:val="nil"/>
              <w:right w:val="nil"/>
            </w:tcBorders>
            <w:hideMark/>
          </w:tcPr>
          <w:p w14:paraId="09D6CDC9" w14:textId="77777777" w:rsidR="00E91426" w:rsidRPr="00E91426" w:rsidRDefault="00E91426" w:rsidP="00E91426">
            <w:pPr>
              <w:widowControl/>
              <w:jc w:val="center"/>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Property </w:t>
            </w:r>
            <w:r w:rsidRPr="00E91426">
              <w:rPr>
                <w:rFonts w:ascii="Arial" w:eastAsia="Times New Roman" w:hAnsi="Arial" w:cs="Arial"/>
                <w:b/>
                <w:bCs/>
                <w:color w:val="000000"/>
                <w:sz w:val="20"/>
                <w:szCs w:val="20"/>
                <w:lang w:val="en-GB" w:eastAsia="en-GB"/>
              </w:rPr>
              <w:br/>
              <w:t>(land and buildings)</w:t>
            </w:r>
          </w:p>
        </w:tc>
        <w:tc>
          <w:tcPr>
            <w:tcW w:w="1296" w:type="dxa"/>
            <w:tcBorders>
              <w:top w:val="nil"/>
              <w:left w:val="nil"/>
              <w:bottom w:val="nil"/>
              <w:right w:val="nil"/>
            </w:tcBorders>
            <w:hideMark/>
          </w:tcPr>
          <w:p w14:paraId="10A14C19" w14:textId="77777777" w:rsidR="00E91426" w:rsidRPr="00E91426" w:rsidRDefault="00E91426" w:rsidP="00E91426">
            <w:pPr>
              <w:widowControl/>
              <w:jc w:val="center"/>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Plant &amp; machinery</w:t>
            </w:r>
          </w:p>
        </w:tc>
        <w:tc>
          <w:tcPr>
            <w:tcW w:w="1296" w:type="dxa"/>
            <w:tcBorders>
              <w:top w:val="nil"/>
              <w:left w:val="nil"/>
              <w:bottom w:val="nil"/>
              <w:right w:val="nil"/>
            </w:tcBorders>
            <w:hideMark/>
          </w:tcPr>
          <w:p w14:paraId="16F117C7" w14:textId="77777777" w:rsidR="00E91426" w:rsidRPr="00E91426" w:rsidRDefault="00E91426" w:rsidP="00E91426">
            <w:pPr>
              <w:widowControl/>
              <w:jc w:val="center"/>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Total</w:t>
            </w:r>
          </w:p>
        </w:tc>
      </w:tr>
      <w:tr w:rsidR="00E91426" w:rsidRPr="00E91426" w14:paraId="5ABB6119" w14:textId="77777777" w:rsidTr="00E91426">
        <w:trPr>
          <w:trHeight w:val="251"/>
        </w:trPr>
        <w:tc>
          <w:tcPr>
            <w:tcW w:w="6189" w:type="dxa"/>
            <w:tcBorders>
              <w:top w:val="nil"/>
              <w:left w:val="nil"/>
              <w:bottom w:val="nil"/>
              <w:right w:val="nil"/>
            </w:tcBorders>
            <w:vAlign w:val="bottom"/>
            <w:hideMark/>
          </w:tcPr>
          <w:p w14:paraId="745E6EB3" w14:textId="77777777" w:rsidR="00E91426" w:rsidRPr="00E91426" w:rsidRDefault="00E91426" w:rsidP="00E91426">
            <w:pPr>
              <w:widowControl/>
              <w:jc w:val="center"/>
              <w:rPr>
                <w:rFonts w:ascii="Arial" w:eastAsia="Times New Roman" w:hAnsi="Arial" w:cs="Arial"/>
                <w:b/>
                <w:bCs/>
                <w:color w:val="000000"/>
                <w:sz w:val="20"/>
                <w:szCs w:val="20"/>
                <w:lang w:val="en-GB" w:eastAsia="en-GB"/>
              </w:rPr>
            </w:pPr>
          </w:p>
        </w:tc>
        <w:tc>
          <w:tcPr>
            <w:tcW w:w="1296" w:type="dxa"/>
            <w:tcBorders>
              <w:top w:val="nil"/>
              <w:left w:val="nil"/>
              <w:bottom w:val="nil"/>
              <w:right w:val="nil"/>
            </w:tcBorders>
            <w:vAlign w:val="bottom"/>
            <w:hideMark/>
          </w:tcPr>
          <w:p w14:paraId="65C9C555"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1296" w:type="dxa"/>
            <w:tcBorders>
              <w:top w:val="nil"/>
              <w:left w:val="nil"/>
              <w:bottom w:val="nil"/>
              <w:right w:val="nil"/>
            </w:tcBorders>
            <w:vAlign w:val="bottom"/>
            <w:hideMark/>
          </w:tcPr>
          <w:p w14:paraId="08A434E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1296" w:type="dxa"/>
            <w:tcBorders>
              <w:top w:val="nil"/>
              <w:left w:val="nil"/>
              <w:bottom w:val="nil"/>
              <w:right w:val="nil"/>
            </w:tcBorders>
            <w:vAlign w:val="bottom"/>
            <w:hideMark/>
          </w:tcPr>
          <w:p w14:paraId="1E8E78C2"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r>
      <w:tr w:rsidR="00E91426" w:rsidRPr="00E91426" w14:paraId="267019F8" w14:textId="77777777" w:rsidTr="00E91426">
        <w:trPr>
          <w:trHeight w:val="251"/>
        </w:trPr>
        <w:tc>
          <w:tcPr>
            <w:tcW w:w="6189" w:type="dxa"/>
            <w:tcBorders>
              <w:top w:val="nil"/>
              <w:left w:val="nil"/>
              <w:bottom w:val="nil"/>
              <w:right w:val="nil"/>
            </w:tcBorders>
            <w:vAlign w:val="bottom"/>
            <w:hideMark/>
          </w:tcPr>
          <w:p w14:paraId="6188E5E1"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Valuation/gross cost at 1 April 2023 - brought forward</w:t>
            </w:r>
          </w:p>
        </w:tc>
        <w:tc>
          <w:tcPr>
            <w:tcW w:w="1296" w:type="dxa"/>
            <w:tcBorders>
              <w:top w:val="nil"/>
              <w:left w:val="nil"/>
              <w:bottom w:val="nil"/>
              <w:right w:val="nil"/>
            </w:tcBorders>
            <w:noWrap/>
            <w:vAlign w:val="center"/>
            <w:hideMark/>
          </w:tcPr>
          <w:p w14:paraId="5BE7D4DC"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208</w:t>
            </w:r>
          </w:p>
        </w:tc>
        <w:tc>
          <w:tcPr>
            <w:tcW w:w="1296" w:type="dxa"/>
            <w:tcBorders>
              <w:top w:val="nil"/>
              <w:left w:val="nil"/>
              <w:bottom w:val="nil"/>
              <w:right w:val="nil"/>
            </w:tcBorders>
            <w:noWrap/>
            <w:vAlign w:val="center"/>
            <w:hideMark/>
          </w:tcPr>
          <w:p w14:paraId="67DDD9E1"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1,618</w:t>
            </w:r>
          </w:p>
        </w:tc>
        <w:tc>
          <w:tcPr>
            <w:tcW w:w="1296" w:type="dxa"/>
            <w:tcBorders>
              <w:top w:val="nil"/>
              <w:left w:val="nil"/>
              <w:bottom w:val="nil"/>
              <w:right w:val="nil"/>
            </w:tcBorders>
            <w:noWrap/>
            <w:vAlign w:val="center"/>
            <w:hideMark/>
          </w:tcPr>
          <w:p w14:paraId="44FC846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1,826</w:t>
            </w:r>
          </w:p>
        </w:tc>
      </w:tr>
      <w:tr w:rsidR="00E91426" w:rsidRPr="00E91426" w14:paraId="10FAEA0C" w14:textId="77777777" w:rsidTr="00E91426">
        <w:trPr>
          <w:trHeight w:val="295"/>
        </w:trPr>
        <w:tc>
          <w:tcPr>
            <w:tcW w:w="6189" w:type="dxa"/>
            <w:tcBorders>
              <w:top w:val="nil"/>
              <w:left w:val="nil"/>
              <w:bottom w:val="nil"/>
              <w:right w:val="nil"/>
            </w:tcBorders>
            <w:vAlign w:val="bottom"/>
            <w:hideMark/>
          </w:tcPr>
          <w:p w14:paraId="35A0FB90"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Additions</w:t>
            </w:r>
          </w:p>
        </w:tc>
        <w:tc>
          <w:tcPr>
            <w:tcW w:w="1296" w:type="dxa"/>
            <w:tcBorders>
              <w:top w:val="nil"/>
              <w:left w:val="nil"/>
              <w:bottom w:val="nil"/>
              <w:right w:val="nil"/>
            </w:tcBorders>
            <w:noWrap/>
            <w:vAlign w:val="bottom"/>
            <w:hideMark/>
          </w:tcPr>
          <w:p w14:paraId="7BDF8D30"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1,602</w:t>
            </w:r>
          </w:p>
        </w:tc>
        <w:tc>
          <w:tcPr>
            <w:tcW w:w="1296" w:type="dxa"/>
            <w:tcBorders>
              <w:top w:val="nil"/>
              <w:left w:val="nil"/>
              <w:bottom w:val="nil"/>
              <w:right w:val="nil"/>
            </w:tcBorders>
            <w:noWrap/>
            <w:vAlign w:val="bottom"/>
            <w:hideMark/>
          </w:tcPr>
          <w:p w14:paraId="4A386E63"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36</w:t>
            </w:r>
          </w:p>
        </w:tc>
        <w:tc>
          <w:tcPr>
            <w:tcW w:w="1296" w:type="dxa"/>
            <w:tcBorders>
              <w:top w:val="nil"/>
              <w:left w:val="nil"/>
              <w:bottom w:val="nil"/>
              <w:right w:val="nil"/>
            </w:tcBorders>
            <w:noWrap/>
            <w:vAlign w:val="bottom"/>
            <w:hideMark/>
          </w:tcPr>
          <w:p w14:paraId="71EFA0DB"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1,638</w:t>
            </w:r>
          </w:p>
        </w:tc>
      </w:tr>
      <w:tr w:rsidR="00E91426" w:rsidRPr="00E91426" w14:paraId="139E0F2C" w14:textId="77777777" w:rsidTr="00E91426">
        <w:trPr>
          <w:trHeight w:val="295"/>
        </w:trPr>
        <w:tc>
          <w:tcPr>
            <w:tcW w:w="6189" w:type="dxa"/>
            <w:tcBorders>
              <w:top w:val="nil"/>
              <w:left w:val="nil"/>
              <w:bottom w:val="nil"/>
              <w:right w:val="nil"/>
            </w:tcBorders>
            <w:vAlign w:val="bottom"/>
            <w:hideMark/>
          </w:tcPr>
          <w:p w14:paraId="04F184D6"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Movements in provisions for restoration / removal costs</w:t>
            </w:r>
          </w:p>
        </w:tc>
        <w:tc>
          <w:tcPr>
            <w:tcW w:w="1296" w:type="dxa"/>
            <w:tcBorders>
              <w:top w:val="nil"/>
              <w:left w:val="nil"/>
              <w:bottom w:val="nil"/>
              <w:right w:val="nil"/>
            </w:tcBorders>
            <w:noWrap/>
            <w:vAlign w:val="bottom"/>
            <w:hideMark/>
          </w:tcPr>
          <w:p w14:paraId="4081BB3E"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425</w:t>
            </w:r>
          </w:p>
        </w:tc>
        <w:tc>
          <w:tcPr>
            <w:tcW w:w="1296" w:type="dxa"/>
            <w:tcBorders>
              <w:top w:val="nil"/>
              <w:left w:val="nil"/>
              <w:bottom w:val="nil"/>
              <w:right w:val="nil"/>
            </w:tcBorders>
            <w:noWrap/>
            <w:vAlign w:val="bottom"/>
            <w:hideMark/>
          </w:tcPr>
          <w:p w14:paraId="4BF90786"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296" w:type="dxa"/>
            <w:tcBorders>
              <w:top w:val="nil"/>
              <w:left w:val="nil"/>
              <w:bottom w:val="nil"/>
              <w:right w:val="nil"/>
            </w:tcBorders>
            <w:noWrap/>
            <w:vAlign w:val="bottom"/>
            <w:hideMark/>
          </w:tcPr>
          <w:p w14:paraId="2BA27CE4"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425</w:t>
            </w:r>
          </w:p>
        </w:tc>
      </w:tr>
      <w:tr w:rsidR="00E91426" w:rsidRPr="00E91426" w14:paraId="322BBD30" w14:textId="77777777" w:rsidTr="00E91426">
        <w:trPr>
          <w:trHeight w:val="295"/>
        </w:trPr>
        <w:tc>
          <w:tcPr>
            <w:tcW w:w="6189" w:type="dxa"/>
            <w:tcBorders>
              <w:top w:val="nil"/>
              <w:left w:val="nil"/>
              <w:bottom w:val="nil"/>
              <w:right w:val="nil"/>
            </w:tcBorders>
            <w:vAlign w:val="bottom"/>
            <w:hideMark/>
          </w:tcPr>
          <w:p w14:paraId="31B8C461"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Disposals / derecognition</w:t>
            </w:r>
          </w:p>
        </w:tc>
        <w:tc>
          <w:tcPr>
            <w:tcW w:w="1296" w:type="dxa"/>
            <w:tcBorders>
              <w:top w:val="nil"/>
              <w:left w:val="nil"/>
              <w:bottom w:val="nil"/>
              <w:right w:val="nil"/>
            </w:tcBorders>
            <w:noWrap/>
            <w:vAlign w:val="bottom"/>
            <w:hideMark/>
          </w:tcPr>
          <w:p w14:paraId="18529C53"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296" w:type="dxa"/>
            <w:tcBorders>
              <w:top w:val="nil"/>
              <w:left w:val="nil"/>
              <w:bottom w:val="nil"/>
              <w:right w:val="nil"/>
            </w:tcBorders>
            <w:noWrap/>
            <w:vAlign w:val="bottom"/>
            <w:hideMark/>
          </w:tcPr>
          <w:p w14:paraId="3443E2E3"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296" w:type="dxa"/>
            <w:tcBorders>
              <w:top w:val="nil"/>
              <w:left w:val="nil"/>
              <w:bottom w:val="nil"/>
              <w:right w:val="nil"/>
            </w:tcBorders>
            <w:noWrap/>
            <w:vAlign w:val="bottom"/>
            <w:hideMark/>
          </w:tcPr>
          <w:p w14:paraId="2B63E3ED"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r>
      <w:tr w:rsidR="00E91426" w:rsidRPr="00E91426" w14:paraId="04CF7DDB" w14:textId="77777777" w:rsidTr="00E91426">
        <w:trPr>
          <w:trHeight w:val="310"/>
        </w:trPr>
        <w:tc>
          <w:tcPr>
            <w:tcW w:w="6189" w:type="dxa"/>
            <w:tcBorders>
              <w:top w:val="nil"/>
              <w:left w:val="nil"/>
              <w:bottom w:val="nil"/>
              <w:right w:val="nil"/>
            </w:tcBorders>
            <w:noWrap/>
            <w:vAlign w:val="bottom"/>
            <w:hideMark/>
          </w:tcPr>
          <w:p w14:paraId="530595DB"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Valuation/gross cost at 31 March 2024</w:t>
            </w:r>
          </w:p>
        </w:tc>
        <w:tc>
          <w:tcPr>
            <w:tcW w:w="1296" w:type="dxa"/>
            <w:tcBorders>
              <w:top w:val="single" w:sz="4" w:space="0" w:color="auto"/>
              <w:left w:val="nil"/>
              <w:bottom w:val="double" w:sz="6" w:space="0" w:color="auto"/>
              <w:right w:val="nil"/>
            </w:tcBorders>
            <w:noWrap/>
            <w:vAlign w:val="bottom"/>
            <w:hideMark/>
          </w:tcPr>
          <w:p w14:paraId="1852CDF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2,235</w:t>
            </w:r>
          </w:p>
        </w:tc>
        <w:tc>
          <w:tcPr>
            <w:tcW w:w="1296" w:type="dxa"/>
            <w:tcBorders>
              <w:top w:val="single" w:sz="4" w:space="0" w:color="auto"/>
              <w:left w:val="nil"/>
              <w:bottom w:val="double" w:sz="6" w:space="0" w:color="auto"/>
              <w:right w:val="nil"/>
            </w:tcBorders>
            <w:noWrap/>
            <w:vAlign w:val="bottom"/>
            <w:hideMark/>
          </w:tcPr>
          <w:p w14:paraId="3BB49403"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1,654</w:t>
            </w:r>
          </w:p>
        </w:tc>
        <w:tc>
          <w:tcPr>
            <w:tcW w:w="1296" w:type="dxa"/>
            <w:tcBorders>
              <w:top w:val="single" w:sz="4" w:space="0" w:color="auto"/>
              <w:left w:val="nil"/>
              <w:bottom w:val="double" w:sz="6" w:space="0" w:color="auto"/>
              <w:right w:val="nil"/>
            </w:tcBorders>
            <w:noWrap/>
            <w:vAlign w:val="bottom"/>
            <w:hideMark/>
          </w:tcPr>
          <w:p w14:paraId="199F06AB"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3,889</w:t>
            </w:r>
          </w:p>
        </w:tc>
      </w:tr>
      <w:tr w:rsidR="00E91426" w:rsidRPr="00E91426" w14:paraId="7FADFA11" w14:textId="77777777" w:rsidTr="00E91426">
        <w:trPr>
          <w:trHeight w:val="310"/>
        </w:trPr>
        <w:tc>
          <w:tcPr>
            <w:tcW w:w="6189" w:type="dxa"/>
            <w:tcBorders>
              <w:top w:val="nil"/>
              <w:left w:val="nil"/>
              <w:bottom w:val="nil"/>
              <w:right w:val="nil"/>
            </w:tcBorders>
            <w:noWrap/>
            <w:vAlign w:val="bottom"/>
            <w:hideMark/>
          </w:tcPr>
          <w:p w14:paraId="271BE2B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296" w:type="dxa"/>
            <w:tcBorders>
              <w:top w:val="nil"/>
              <w:left w:val="nil"/>
              <w:bottom w:val="nil"/>
              <w:right w:val="nil"/>
            </w:tcBorders>
            <w:noWrap/>
            <w:vAlign w:val="bottom"/>
            <w:hideMark/>
          </w:tcPr>
          <w:p w14:paraId="73D59477" w14:textId="77777777" w:rsidR="00E91426" w:rsidRPr="00E91426" w:rsidRDefault="00E91426" w:rsidP="00E91426">
            <w:pPr>
              <w:widowControl/>
              <w:rPr>
                <w:rFonts w:ascii="Arial" w:eastAsia="Times New Roman" w:hAnsi="Arial" w:cs="Arial"/>
                <w:sz w:val="20"/>
                <w:szCs w:val="20"/>
                <w:lang w:val="en-GB" w:eastAsia="en-GB"/>
              </w:rPr>
            </w:pPr>
          </w:p>
        </w:tc>
        <w:tc>
          <w:tcPr>
            <w:tcW w:w="1296" w:type="dxa"/>
            <w:tcBorders>
              <w:top w:val="nil"/>
              <w:left w:val="nil"/>
              <w:bottom w:val="nil"/>
              <w:right w:val="nil"/>
            </w:tcBorders>
            <w:noWrap/>
            <w:vAlign w:val="bottom"/>
            <w:hideMark/>
          </w:tcPr>
          <w:p w14:paraId="63ADA173" w14:textId="77777777" w:rsidR="00E91426" w:rsidRPr="00E91426" w:rsidRDefault="00E91426" w:rsidP="00E91426">
            <w:pPr>
              <w:widowControl/>
              <w:rPr>
                <w:rFonts w:ascii="Arial" w:eastAsia="Times New Roman" w:hAnsi="Arial" w:cs="Arial"/>
                <w:sz w:val="20"/>
                <w:szCs w:val="20"/>
                <w:lang w:val="en-GB" w:eastAsia="en-GB"/>
              </w:rPr>
            </w:pPr>
          </w:p>
        </w:tc>
        <w:tc>
          <w:tcPr>
            <w:tcW w:w="1296" w:type="dxa"/>
            <w:tcBorders>
              <w:top w:val="nil"/>
              <w:left w:val="nil"/>
              <w:bottom w:val="nil"/>
              <w:right w:val="nil"/>
            </w:tcBorders>
            <w:noWrap/>
            <w:vAlign w:val="bottom"/>
            <w:hideMark/>
          </w:tcPr>
          <w:p w14:paraId="17179B50"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710A1BCB" w14:textId="77777777" w:rsidTr="00E91426">
        <w:trPr>
          <w:trHeight w:val="754"/>
        </w:trPr>
        <w:tc>
          <w:tcPr>
            <w:tcW w:w="6189" w:type="dxa"/>
            <w:tcBorders>
              <w:top w:val="nil"/>
              <w:left w:val="nil"/>
              <w:bottom w:val="nil"/>
              <w:right w:val="nil"/>
            </w:tcBorders>
            <w:noWrap/>
            <w:vAlign w:val="bottom"/>
            <w:hideMark/>
          </w:tcPr>
          <w:p w14:paraId="505F4C3F" w14:textId="77777777" w:rsidR="00E91426" w:rsidRPr="00E91426" w:rsidRDefault="00E91426" w:rsidP="00E91426">
            <w:pPr>
              <w:widowControl/>
              <w:rPr>
                <w:rFonts w:ascii="Arial" w:eastAsia="Times New Roman" w:hAnsi="Arial" w:cs="Arial"/>
                <w:sz w:val="20"/>
                <w:szCs w:val="20"/>
                <w:lang w:val="en-GB" w:eastAsia="en-GB"/>
              </w:rPr>
            </w:pPr>
          </w:p>
        </w:tc>
        <w:tc>
          <w:tcPr>
            <w:tcW w:w="1296" w:type="dxa"/>
            <w:tcBorders>
              <w:top w:val="nil"/>
              <w:left w:val="nil"/>
              <w:bottom w:val="nil"/>
              <w:right w:val="nil"/>
            </w:tcBorders>
            <w:hideMark/>
          </w:tcPr>
          <w:p w14:paraId="72FCE047" w14:textId="77777777" w:rsidR="00E91426" w:rsidRPr="00E91426" w:rsidRDefault="00E91426" w:rsidP="00E91426">
            <w:pPr>
              <w:widowControl/>
              <w:jc w:val="center"/>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Property </w:t>
            </w:r>
            <w:r w:rsidRPr="00E91426">
              <w:rPr>
                <w:rFonts w:ascii="Arial" w:eastAsia="Times New Roman" w:hAnsi="Arial" w:cs="Arial"/>
                <w:b/>
                <w:bCs/>
                <w:color w:val="000000"/>
                <w:sz w:val="20"/>
                <w:szCs w:val="20"/>
                <w:lang w:val="en-GB" w:eastAsia="en-GB"/>
              </w:rPr>
              <w:br/>
              <w:t>(land and buildings)</w:t>
            </w:r>
          </w:p>
        </w:tc>
        <w:tc>
          <w:tcPr>
            <w:tcW w:w="1296" w:type="dxa"/>
            <w:tcBorders>
              <w:top w:val="nil"/>
              <w:left w:val="nil"/>
              <w:bottom w:val="nil"/>
              <w:right w:val="nil"/>
            </w:tcBorders>
            <w:hideMark/>
          </w:tcPr>
          <w:p w14:paraId="6A350A5D" w14:textId="77777777" w:rsidR="00E91426" w:rsidRPr="00E91426" w:rsidRDefault="00E91426" w:rsidP="00E91426">
            <w:pPr>
              <w:widowControl/>
              <w:jc w:val="center"/>
              <w:rPr>
                <w:rFonts w:ascii="Arial" w:eastAsia="Times New Roman" w:hAnsi="Arial" w:cs="Arial"/>
                <w:b/>
                <w:bCs/>
                <w:color w:val="000000"/>
                <w:sz w:val="20"/>
                <w:szCs w:val="20"/>
                <w:lang w:val="en-GB" w:eastAsia="en-GB"/>
              </w:rPr>
            </w:pPr>
            <w:proofErr w:type="gramStart"/>
            <w:r w:rsidRPr="00E91426">
              <w:rPr>
                <w:rFonts w:ascii="Arial" w:eastAsia="Times New Roman" w:hAnsi="Arial" w:cs="Arial"/>
                <w:b/>
                <w:bCs/>
                <w:color w:val="000000"/>
                <w:sz w:val="20"/>
                <w:szCs w:val="20"/>
                <w:lang w:val="en-GB" w:eastAsia="en-GB"/>
              </w:rPr>
              <w:t>Plant  &amp;</w:t>
            </w:r>
            <w:proofErr w:type="gramEnd"/>
            <w:r w:rsidRPr="00E91426">
              <w:rPr>
                <w:rFonts w:ascii="Arial" w:eastAsia="Times New Roman" w:hAnsi="Arial" w:cs="Arial"/>
                <w:b/>
                <w:bCs/>
                <w:color w:val="000000"/>
                <w:sz w:val="20"/>
                <w:szCs w:val="20"/>
                <w:lang w:val="en-GB" w:eastAsia="en-GB"/>
              </w:rPr>
              <w:t xml:space="preserve"> machinery</w:t>
            </w:r>
          </w:p>
        </w:tc>
        <w:tc>
          <w:tcPr>
            <w:tcW w:w="1296" w:type="dxa"/>
            <w:tcBorders>
              <w:top w:val="nil"/>
              <w:left w:val="nil"/>
              <w:bottom w:val="nil"/>
              <w:right w:val="nil"/>
            </w:tcBorders>
            <w:hideMark/>
          </w:tcPr>
          <w:p w14:paraId="0FDB7452" w14:textId="77777777" w:rsidR="00E91426" w:rsidRPr="00E91426" w:rsidRDefault="00E91426" w:rsidP="00E91426">
            <w:pPr>
              <w:widowControl/>
              <w:jc w:val="center"/>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Total</w:t>
            </w:r>
          </w:p>
        </w:tc>
      </w:tr>
      <w:tr w:rsidR="00E91426" w:rsidRPr="00E91426" w14:paraId="3285ECFE" w14:textId="77777777" w:rsidTr="00E91426">
        <w:trPr>
          <w:trHeight w:val="295"/>
        </w:trPr>
        <w:tc>
          <w:tcPr>
            <w:tcW w:w="6189" w:type="dxa"/>
            <w:tcBorders>
              <w:top w:val="nil"/>
              <w:left w:val="nil"/>
              <w:bottom w:val="nil"/>
              <w:right w:val="nil"/>
            </w:tcBorders>
            <w:vAlign w:val="bottom"/>
            <w:hideMark/>
          </w:tcPr>
          <w:p w14:paraId="2BD928D1"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Accumulated depreciation at 1 April 2023 - brought forward</w:t>
            </w:r>
          </w:p>
        </w:tc>
        <w:tc>
          <w:tcPr>
            <w:tcW w:w="1296" w:type="dxa"/>
            <w:tcBorders>
              <w:top w:val="nil"/>
              <w:left w:val="nil"/>
              <w:bottom w:val="nil"/>
              <w:right w:val="nil"/>
            </w:tcBorders>
            <w:noWrap/>
            <w:vAlign w:val="bottom"/>
            <w:hideMark/>
          </w:tcPr>
          <w:p w14:paraId="44FFAD52"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119</w:t>
            </w:r>
          </w:p>
        </w:tc>
        <w:tc>
          <w:tcPr>
            <w:tcW w:w="1296" w:type="dxa"/>
            <w:tcBorders>
              <w:top w:val="nil"/>
              <w:left w:val="nil"/>
              <w:bottom w:val="nil"/>
              <w:right w:val="nil"/>
            </w:tcBorders>
            <w:noWrap/>
            <w:vAlign w:val="bottom"/>
            <w:hideMark/>
          </w:tcPr>
          <w:p w14:paraId="1FA90300"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779</w:t>
            </w:r>
          </w:p>
        </w:tc>
        <w:tc>
          <w:tcPr>
            <w:tcW w:w="1296" w:type="dxa"/>
            <w:tcBorders>
              <w:top w:val="nil"/>
              <w:left w:val="nil"/>
              <w:bottom w:val="nil"/>
              <w:right w:val="nil"/>
            </w:tcBorders>
            <w:noWrap/>
            <w:vAlign w:val="bottom"/>
            <w:hideMark/>
          </w:tcPr>
          <w:p w14:paraId="31E4D32B"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898</w:t>
            </w:r>
          </w:p>
        </w:tc>
      </w:tr>
      <w:tr w:rsidR="00E91426" w:rsidRPr="00E91426" w14:paraId="1E770014" w14:textId="77777777" w:rsidTr="00E91426">
        <w:trPr>
          <w:trHeight w:val="295"/>
        </w:trPr>
        <w:tc>
          <w:tcPr>
            <w:tcW w:w="6189" w:type="dxa"/>
            <w:tcBorders>
              <w:top w:val="nil"/>
              <w:left w:val="nil"/>
              <w:bottom w:val="nil"/>
              <w:right w:val="nil"/>
            </w:tcBorders>
            <w:vAlign w:val="bottom"/>
            <w:hideMark/>
          </w:tcPr>
          <w:p w14:paraId="56E193FB"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Provided during the year</w:t>
            </w:r>
          </w:p>
        </w:tc>
        <w:tc>
          <w:tcPr>
            <w:tcW w:w="1296" w:type="dxa"/>
            <w:tcBorders>
              <w:top w:val="nil"/>
              <w:left w:val="nil"/>
              <w:bottom w:val="nil"/>
              <w:right w:val="nil"/>
            </w:tcBorders>
            <w:noWrap/>
            <w:vAlign w:val="bottom"/>
            <w:hideMark/>
          </w:tcPr>
          <w:p w14:paraId="26F6D781"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217</w:t>
            </w:r>
          </w:p>
        </w:tc>
        <w:tc>
          <w:tcPr>
            <w:tcW w:w="1296" w:type="dxa"/>
            <w:tcBorders>
              <w:top w:val="nil"/>
              <w:left w:val="nil"/>
              <w:bottom w:val="nil"/>
              <w:right w:val="nil"/>
            </w:tcBorders>
            <w:noWrap/>
            <w:vAlign w:val="bottom"/>
            <w:hideMark/>
          </w:tcPr>
          <w:p w14:paraId="66B6491A"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808</w:t>
            </w:r>
          </w:p>
        </w:tc>
        <w:tc>
          <w:tcPr>
            <w:tcW w:w="1296" w:type="dxa"/>
            <w:tcBorders>
              <w:top w:val="nil"/>
              <w:left w:val="nil"/>
              <w:bottom w:val="nil"/>
              <w:right w:val="nil"/>
            </w:tcBorders>
            <w:noWrap/>
            <w:vAlign w:val="bottom"/>
            <w:hideMark/>
          </w:tcPr>
          <w:p w14:paraId="7A1F5118"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1,025</w:t>
            </w:r>
          </w:p>
        </w:tc>
      </w:tr>
      <w:tr w:rsidR="00E91426" w:rsidRPr="00E91426" w14:paraId="63C63527" w14:textId="77777777" w:rsidTr="00E91426">
        <w:trPr>
          <w:trHeight w:val="295"/>
        </w:trPr>
        <w:tc>
          <w:tcPr>
            <w:tcW w:w="6189" w:type="dxa"/>
            <w:tcBorders>
              <w:top w:val="nil"/>
              <w:left w:val="nil"/>
              <w:bottom w:val="nil"/>
              <w:right w:val="nil"/>
            </w:tcBorders>
            <w:vAlign w:val="bottom"/>
            <w:hideMark/>
          </w:tcPr>
          <w:p w14:paraId="564ACA91"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Disposals / derecognition</w:t>
            </w:r>
          </w:p>
        </w:tc>
        <w:tc>
          <w:tcPr>
            <w:tcW w:w="1296" w:type="dxa"/>
            <w:tcBorders>
              <w:top w:val="nil"/>
              <w:left w:val="nil"/>
              <w:bottom w:val="nil"/>
              <w:right w:val="nil"/>
            </w:tcBorders>
            <w:noWrap/>
            <w:vAlign w:val="bottom"/>
            <w:hideMark/>
          </w:tcPr>
          <w:p w14:paraId="0E4A0B93"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296" w:type="dxa"/>
            <w:tcBorders>
              <w:top w:val="nil"/>
              <w:left w:val="nil"/>
              <w:bottom w:val="nil"/>
              <w:right w:val="nil"/>
            </w:tcBorders>
            <w:noWrap/>
            <w:vAlign w:val="bottom"/>
            <w:hideMark/>
          </w:tcPr>
          <w:p w14:paraId="49AAB349"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296" w:type="dxa"/>
            <w:tcBorders>
              <w:top w:val="nil"/>
              <w:left w:val="nil"/>
              <w:bottom w:val="nil"/>
              <w:right w:val="nil"/>
            </w:tcBorders>
            <w:noWrap/>
            <w:vAlign w:val="bottom"/>
            <w:hideMark/>
          </w:tcPr>
          <w:p w14:paraId="34ACC9CB"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r>
      <w:tr w:rsidR="00E91426" w:rsidRPr="00E91426" w14:paraId="40702A5F" w14:textId="77777777" w:rsidTr="00E91426">
        <w:trPr>
          <w:trHeight w:val="310"/>
        </w:trPr>
        <w:tc>
          <w:tcPr>
            <w:tcW w:w="6189" w:type="dxa"/>
            <w:tcBorders>
              <w:top w:val="nil"/>
              <w:left w:val="nil"/>
              <w:bottom w:val="nil"/>
              <w:right w:val="nil"/>
            </w:tcBorders>
            <w:noWrap/>
            <w:vAlign w:val="bottom"/>
            <w:hideMark/>
          </w:tcPr>
          <w:p w14:paraId="45F21327"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Accumulated depreciation at 31 March 2024</w:t>
            </w:r>
          </w:p>
        </w:tc>
        <w:tc>
          <w:tcPr>
            <w:tcW w:w="1296" w:type="dxa"/>
            <w:tcBorders>
              <w:top w:val="single" w:sz="4" w:space="0" w:color="auto"/>
              <w:left w:val="nil"/>
              <w:bottom w:val="double" w:sz="6" w:space="0" w:color="auto"/>
              <w:right w:val="nil"/>
            </w:tcBorders>
            <w:noWrap/>
            <w:vAlign w:val="bottom"/>
            <w:hideMark/>
          </w:tcPr>
          <w:p w14:paraId="72D58DEA"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336</w:t>
            </w:r>
          </w:p>
        </w:tc>
        <w:tc>
          <w:tcPr>
            <w:tcW w:w="1296" w:type="dxa"/>
            <w:tcBorders>
              <w:top w:val="single" w:sz="4" w:space="0" w:color="auto"/>
              <w:left w:val="nil"/>
              <w:bottom w:val="double" w:sz="6" w:space="0" w:color="auto"/>
              <w:right w:val="nil"/>
            </w:tcBorders>
            <w:noWrap/>
            <w:vAlign w:val="bottom"/>
            <w:hideMark/>
          </w:tcPr>
          <w:p w14:paraId="05B2468B"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1,587</w:t>
            </w:r>
          </w:p>
        </w:tc>
        <w:tc>
          <w:tcPr>
            <w:tcW w:w="1296" w:type="dxa"/>
            <w:tcBorders>
              <w:top w:val="single" w:sz="4" w:space="0" w:color="auto"/>
              <w:left w:val="nil"/>
              <w:bottom w:val="double" w:sz="6" w:space="0" w:color="auto"/>
              <w:right w:val="nil"/>
            </w:tcBorders>
            <w:noWrap/>
            <w:vAlign w:val="bottom"/>
            <w:hideMark/>
          </w:tcPr>
          <w:p w14:paraId="2348F1C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1,923</w:t>
            </w:r>
          </w:p>
        </w:tc>
      </w:tr>
      <w:tr w:rsidR="00E91426" w:rsidRPr="00E91426" w14:paraId="2FA054EA" w14:textId="77777777" w:rsidTr="00E91426">
        <w:trPr>
          <w:trHeight w:val="59"/>
        </w:trPr>
        <w:tc>
          <w:tcPr>
            <w:tcW w:w="6189" w:type="dxa"/>
            <w:tcBorders>
              <w:top w:val="nil"/>
              <w:left w:val="nil"/>
              <w:bottom w:val="nil"/>
              <w:right w:val="nil"/>
            </w:tcBorders>
            <w:noWrap/>
            <w:vAlign w:val="bottom"/>
            <w:hideMark/>
          </w:tcPr>
          <w:p w14:paraId="2A165881"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296" w:type="dxa"/>
            <w:tcBorders>
              <w:top w:val="nil"/>
              <w:left w:val="nil"/>
              <w:bottom w:val="nil"/>
              <w:right w:val="nil"/>
            </w:tcBorders>
            <w:noWrap/>
            <w:vAlign w:val="bottom"/>
            <w:hideMark/>
          </w:tcPr>
          <w:p w14:paraId="364E061C" w14:textId="77777777" w:rsidR="00E91426" w:rsidRPr="00E91426" w:rsidRDefault="00E91426" w:rsidP="00E91426">
            <w:pPr>
              <w:widowControl/>
              <w:rPr>
                <w:rFonts w:ascii="Arial" w:eastAsia="Times New Roman" w:hAnsi="Arial" w:cs="Arial"/>
                <w:sz w:val="20"/>
                <w:szCs w:val="20"/>
                <w:lang w:val="en-GB" w:eastAsia="en-GB"/>
              </w:rPr>
            </w:pPr>
          </w:p>
        </w:tc>
        <w:tc>
          <w:tcPr>
            <w:tcW w:w="1296" w:type="dxa"/>
            <w:tcBorders>
              <w:top w:val="nil"/>
              <w:left w:val="nil"/>
              <w:bottom w:val="nil"/>
              <w:right w:val="nil"/>
            </w:tcBorders>
            <w:noWrap/>
            <w:vAlign w:val="bottom"/>
            <w:hideMark/>
          </w:tcPr>
          <w:p w14:paraId="6A4D3151" w14:textId="77777777" w:rsidR="00E91426" w:rsidRPr="00E91426" w:rsidRDefault="00E91426" w:rsidP="00E91426">
            <w:pPr>
              <w:widowControl/>
              <w:rPr>
                <w:rFonts w:ascii="Arial" w:eastAsia="Times New Roman" w:hAnsi="Arial" w:cs="Arial"/>
                <w:sz w:val="20"/>
                <w:szCs w:val="20"/>
                <w:lang w:val="en-GB" w:eastAsia="en-GB"/>
              </w:rPr>
            </w:pPr>
          </w:p>
        </w:tc>
        <w:tc>
          <w:tcPr>
            <w:tcW w:w="1296" w:type="dxa"/>
            <w:tcBorders>
              <w:top w:val="nil"/>
              <w:left w:val="nil"/>
              <w:bottom w:val="nil"/>
              <w:right w:val="nil"/>
            </w:tcBorders>
            <w:noWrap/>
            <w:vAlign w:val="bottom"/>
            <w:hideMark/>
          </w:tcPr>
          <w:p w14:paraId="2E69E5C4"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60928192" w14:textId="77777777" w:rsidTr="00E91426">
        <w:trPr>
          <w:trHeight w:val="295"/>
        </w:trPr>
        <w:tc>
          <w:tcPr>
            <w:tcW w:w="6189" w:type="dxa"/>
            <w:tcBorders>
              <w:top w:val="nil"/>
              <w:left w:val="nil"/>
              <w:bottom w:val="nil"/>
              <w:right w:val="nil"/>
            </w:tcBorders>
            <w:vAlign w:val="bottom"/>
            <w:hideMark/>
          </w:tcPr>
          <w:p w14:paraId="34E65E24"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Net book value at 31 March 2024</w:t>
            </w:r>
          </w:p>
        </w:tc>
        <w:tc>
          <w:tcPr>
            <w:tcW w:w="1296" w:type="dxa"/>
            <w:tcBorders>
              <w:top w:val="nil"/>
              <w:left w:val="nil"/>
              <w:bottom w:val="nil"/>
              <w:right w:val="nil"/>
            </w:tcBorders>
            <w:noWrap/>
            <w:vAlign w:val="center"/>
            <w:hideMark/>
          </w:tcPr>
          <w:p w14:paraId="04B6495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1,899</w:t>
            </w:r>
          </w:p>
        </w:tc>
        <w:tc>
          <w:tcPr>
            <w:tcW w:w="1296" w:type="dxa"/>
            <w:tcBorders>
              <w:top w:val="nil"/>
              <w:left w:val="nil"/>
              <w:bottom w:val="nil"/>
              <w:right w:val="nil"/>
            </w:tcBorders>
            <w:noWrap/>
            <w:vAlign w:val="center"/>
            <w:hideMark/>
          </w:tcPr>
          <w:p w14:paraId="60288CA2"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67</w:t>
            </w:r>
          </w:p>
        </w:tc>
        <w:tc>
          <w:tcPr>
            <w:tcW w:w="1296" w:type="dxa"/>
            <w:tcBorders>
              <w:top w:val="nil"/>
              <w:left w:val="nil"/>
              <w:bottom w:val="nil"/>
              <w:right w:val="nil"/>
            </w:tcBorders>
            <w:noWrap/>
            <w:vAlign w:val="center"/>
            <w:hideMark/>
          </w:tcPr>
          <w:p w14:paraId="0EA810A0"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1,966</w:t>
            </w:r>
          </w:p>
        </w:tc>
      </w:tr>
      <w:tr w:rsidR="00E91426" w:rsidRPr="00E91426" w14:paraId="2B9C0266" w14:textId="77777777" w:rsidTr="00E91426">
        <w:trPr>
          <w:trHeight w:val="295"/>
        </w:trPr>
        <w:tc>
          <w:tcPr>
            <w:tcW w:w="6189" w:type="dxa"/>
            <w:tcBorders>
              <w:top w:val="nil"/>
              <w:left w:val="nil"/>
              <w:bottom w:val="nil"/>
              <w:right w:val="nil"/>
            </w:tcBorders>
            <w:vAlign w:val="bottom"/>
            <w:hideMark/>
          </w:tcPr>
          <w:p w14:paraId="6F81A7C3"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Net book value at 1 April 2023</w:t>
            </w:r>
          </w:p>
        </w:tc>
        <w:tc>
          <w:tcPr>
            <w:tcW w:w="1296" w:type="dxa"/>
            <w:tcBorders>
              <w:top w:val="nil"/>
              <w:left w:val="nil"/>
              <w:bottom w:val="nil"/>
              <w:right w:val="nil"/>
            </w:tcBorders>
            <w:noWrap/>
            <w:vAlign w:val="center"/>
            <w:hideMark/>
          </w:tcPr>
          <w:p w14:paraId="5C0DC8F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89</w:t>
            </w:r>
          </w:p>
        </w:tc>
        <w:tc>
          <w:tcPr>
            <w:tcW w:w="1296" w:type="dxa"/>
            <w:tcBorders>
              <w:top w:val="nil"/>
              <w:left w:val="nil"/>
              <w:bottom w:val="nil"/>
              <w:right w:val="nil"/>
            </w:tcBorders>
            <w:noWrap/>
            <w:vAlign w:val="center"/>
            <w:hideMark/>
          </w:tcPr>
          <w:p w14:paraId="17E49A82"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839</w:t>
            </w:r>
          </w:p>
        </w:tc>
        <w:tc>
          <w:tcPr>
            <w:tcW w:w="1296" w:type="dxa"/>
            <w:tcBorders>
              <w:top w:val="nil"/>
              <w:left w:val="nil"/>
              <w:bottom w:val="nil"/>
              <w:right w:val="nil"/>
            </w:tcBorders>
            <w:noWrap/>
            <w:vAlign w:val="center"/>
            <w:hideMark/>
          </w:tcPr>
          <w:p w14:paraId="380825B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928</w:t>
            </w:r>
          </w:p>
        </w:tc>
      </w:tr>
      <w:tr w:rsidR="00E91426" w:rsidRPr="00E91426" w14:paraId="6322C42C" w14:textId="77777777" w:rsidTr="00E91426">
        <w:trPr>
          <w:trHeight w:val="295"/>
        </w:trPr>
        <w:tc>
          <w:tcPr>
            <w:tcW w:w="6189" w:type="dxa"/>
            <w:tcBorders>
              <w:top w:val="nil"/>
              <w:left w:val="nil"/>
              <w:bottom w:val="nil"/>
              <w:right w:val="nil"/>
            </w:tcBorders>
            <w:noWrap/>
            <w:vAlign w:val="bottom"/>
            <w:hideMark/>
          </w:tcPr>
          <w:p w14:paraId="1B14D4E1"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296" w:type="dxa"/>
            <w:tcBorders>
              <w:top w:val="nil"/>
              <w:left w:val="nil"/>
              <w:bottom w:val="nil"/>
              <w:right w:val="nil"/>
            </w:tcBorders>
            <w:noWrap/>
            <w:vAlign w:val="bottom"/>
            <w:hideMark/>
          </w:tcPr>
          <w:p w14:paraId="09377CB4" w14:textId="77777777" w:rsidR="00E91426" w:rsidRPr="00E91426" w:rsidRDefault="00E91426" w:rsidP="00E91426">
            <w:pPr>
              <w:widowControl/>
              <w:rPr>
                <w:rFonts w:ascii="Arial" w:eastAsia="Times New Roman" w:hAnsi="Arial" w:cs="Arial"/>
                <w:sz w:val="20"/>
                <w:szCs w:val="20"/>
                <w:lang w:val="en-GB" w:eastAsia="en-GB"/>
              </w:rPr>
            </w:pPr>
          </w:p>
        </w:tc>
        <w:tc>
          <w:tcPr>
            <w:tcW w:w="1296" w:type="dxa"/>
            <w:tcBorders>
              <w:top w:val="nil"/>
              <w:left w:val="nil"/>
              <w:bottom w:val="nil"/>
              <w:right w:val="nil"/>
            </w:tcBorders>
            <w:noWrap/>
            <w:vAlign w:val="bottom"/>
            <w:hideMark/>
          </w:tcPr>
          <w:p w14:paraId="30B7CB60" w14:textId="77777777" w:rsidR="00E91426" w:rsidRPr="00E91426" w:rsidRDefault="00E91426" w:rsidP="00E91426">
            <w:pPr>
              <w:widowControl/>
              <w:rPr>
                <w:rFonts w:ascii="Arial" w:eastAsia="Times New Roman" w:hAnsi="Arial" w:cs="Arial"/>
                <w:sz w:val="20"/>
                <w:szCs w:val="20"/>
                <w:lang w:val="en-GB" w:eastAsia="en-GB"/>
              </w:rPr>
            </w:pPr>
          </w:p>
        </w:tc>
        <w:tc>
          <w:tcPr>
            <w:tcW w:w="1296" w:type="dxa"/>
            <w:tcBorders>
              <w:top w:val="nil"/>
              <w:left w:val="nil"/>
              <w:bottom w:val="nil"/>
              <w:right w:val="nil"/>
            </w:tcBorders>
            <w:noWrap/>
            <w:vAlign w:val="bottom"/>
            <w:hideMark/>
          </w:tcPr>
          <w:p w14:paraId="1601EE61"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742EB19F" w14:textId="77777777" w:rsidTr="00E91426">
        <w:trPr>
          <w:trHeight w:val="251"/>
        </w:trPr>
        <w:tc>
          <w:tcPr>
            <w:tcW w:w="6189" w:type="dxa"/>
            <w:tcBorders>
              <w:top w:val="nil"/>
              <w:left w:val="nil"/>
              <w:bottom w:val="nil"/>
              <w:right w:val="nil"/>
            </w:tcBorders>
            <w:vAlign w:val="bottom"/>
            <w:hideMark/>
          </w:tcPr>
          <w:p w14:paraId="47CCAA05" w14:textId="77777777" w:rsidR="00E91426" w:rsidRPr="00E91426" w:rsidRDefault="00E91426" w:rsidP="00E91426">
            <w:pPr>
              <w:widowControl/>
              <w:rPr>
                <w:rFonts w:ascii="Arial" w:eastAsia="Times New Roman" w:hAnsi="Arial" w:cs="Arial"/>
                <w:b/>
                <w:bCs/>
                <w:i/>
                <w:iCs/>
                <w:color w:val="000000"/>
                <w:sz w:val="20"/>
                <w:szCs w:val="20"/>
                <w:lang w:val="en-GB" w:eastAsia="en-GB"/>
              </w:rPr>
            </w:pPr>
            <w:r w:rsidRPr="00E91426">
              <w:rPr>
                <w:rFonts w:ascii="Arial" w:eastAsia="Times New Roman" w:hAnsi="Arial" w:cs="Arial"/>
                <w:b/>
                <w:bCs/>
                <w:i/>
                <w:iCs/>
                <w:color w:val="000000"/>
                <w:sz w:val="20"/>
                <w:szCs w:val="20"/>
                <w:lang w:val="en-GB" w:eastAsia="en-GB"/>
              </w:rPr>
              <w:t>of which</w:t>
            </w:r>
          </w:p>
        </w:tc>
        <w:tc>
          <w:tcPr>
            <w:tcW w:w="1296" w:type="dxa"/>
            <w:tcBorders>
              <w:top w:val="nil"/>
              <w:left w:val="nil"/>
              <w:bottom w:val="nil"/>
              <w:right w:val="nil"/>
            </w:tcBorders>
            <w:noWrap/>
            <w:vAlign w:val="center"/>
            <w:hideMark/>
          </w:tcPr>
          <w:p w14:paraId="11A35A16" w14:textId="77777777" w:rsidR="00E91426" w:rsidRPr="00E91426" w:rsidRDefault="00E91426" w:rsidP="00E91426">
            <w:pPr>
              <w:widowControl/>
              <w:rPr>
                <w:rFonts w:ascii="Arial" w:eastAsia="Times New Roman" w:hAnsi="Arial" w:cs="Arial"/>
                <w:b/>
                <w:bCs/>
                <w:i/>
                <w:iCs/>
                <w:color w:val="000000"/>
                <w:sz w:val="20"/>
                <w:szCs w:val="20"/>
                <w:lang w:val="en-GB" w:eastAsia="en-GB"/>
              </w:rPr>
            </w:pPr>
          </w:p>
        </w:tc>
        <w:tc>
          <w:tcPr>
            <w:tcW w:w="1296" w:type="dxa"/>
            <w:tcBorders>
              <w:top w:val="nil"/>
              <w:left w:val="nil"/>
              <w:bottom w:val="nil"/>
              <w:right w:val="nil"/>
            </w:tcBorders>
            <w:noWrap/>
            <w:vAlign w:val="center"/>
            <w:hideMark/>
          </w:tcPr>
          <w:p w14:paraId="42C3B06B"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296" w:type="dxa"/>
            <w:tcBorders>
              <w:top w:val="nil"/>
              <w:left w:val="nil"/>
              <w:bottom w:val="nil"/>
              <w:right w:val="nil"/>
            </w:tcBorders>
            <w:noWrap/>
            <w:vAlign w:val="center"/>
            <w:hideMark/>
          </w:tcPr>
          <w:p w14:paraId="6853DC13" w14:textId="77777777" w:rsidR="00E91426" w:rsidRPr="00E91426" w:rsidRDefault="00E91426" w:rsidP="00E91426">
            <w:pPr>
              <w:widowControl/>
              <w:jc w:val="right"/>
              <w:rPr>
                <w:rFonts w:ascii="Arial" w:eastAsia="Times New Roman" w:hAnsi="Arial" w:cs="Arial"/>
                <w:sz w:val="20"/>
                <w:szCs w:val="20"/>
                <w:lang w:val="en-GB" w:eastAsia="en-GB"/>
              </w:rPr>
            </w:pPr>
          </w:p>
        </w:tc>
      </w:tr>
      <w:tr w:rsidR="00E91426" w:rsidRPr="00E91426" w14:paraId="177EEFBC" w14:textId="77777777" w:rsidTr="00E91426">
        <w:trPr>
          <w:trHeight w:val="278"/>
        </w:trPr>
        <w:tc>
          <w:tcPr>
            <w:tcW w:w="6189" w:type="dxa"/>
            <w:tcBorders>
              <w:top w:val="nil"/>
              <w:left w:val="nil"/>
              <w:bottom w:val="nil"/>
              <w:right w:val="nil"/>
            </w:tcBorders>
            <w:vAlign w:val="bottom"/>
            <w:hideMark/>
          </w:tcPr>
          <w:p w14:paraId="3E61101B" w14:textId="77777777" w:rsidR="00E91426" w:rsidRPr="00E91426" w:rsidRDefault="00E91426" w:rsidP="00E91426">
            <w:pPr>
              <w:widowControl/>
              <w:rPr>
                <w:rFonts w:ascii="Arial" w:eastAsia="Times New Roman" w:hAnsi="Arial" w:cs="Arial"/>
                <w:i/>
                <w:iCs/>
                <w:color w:val="000000"/>
                <w:sz w:val="20"/>
                <w:szCs w:val="20"/>
                <w:lang w:val="en-GB" w:eastAsia="en-GB"/>
              </w:rPr>
            </w:pPr>
            <w:r w:rsidRPr="00E91426">
              <w:rPr>
                <w:rFonts w:ascii="Arial" w:eastAsia="Times New Roman" w:hAnsi="Arial" w:cs="Arial"/>
                <w:i/>
                <w:iCs/>
                <w:color w:val="000000"/>
                <w:sz w:val="20"/>
                <w:szCs w:val="20"/>
                <w:lang w:val="en-GB" w:eastAsia="en-GB"/>
              </w:rPr>
              <w:t>Net book value of right of use assets leased from other DHSC group bodies</w:t>
            </w:r>
          </w:p>
        </w:tc>
        <w:tc>
          <w:tcPr>
            <w:tcW w:w="1296" w:type="dxa"/>
            <w:tcBorders>
              <w:top w:val="nil"/>
              <w:left w:val="nil"/>
              <w:bottom w:val="nil"/>
              <w:right w:val="nil"/>
            </w:tcBorders>
            <w:noWrap/>
            <w:vAlign w:val="bottom"/>
            <w:hideMark/>
          </w:tcPr>
          <w:p w14:paraId="2CB3B2A7" w14:textId="77777777" w:rsidR="00E91426" w:rsidRPr="00E91426" w:rsidRDefault="00E91426" w:rsidP="00E91426">
            <w:pPr>
              <w:widowControl/>
              <w:jc w:val="right"/>
              <w:rPr>
                <w:rFonts w:ascii="Arial" w:eastAsia="Times New Roman" w:hAnsi="Arial" w:cs="Arial"/>
                <w:i/>
                <w:iCs/>
                <w:color w:val="000000"/>
                <w:sz w:val="20"/>
                <w:szCs w:val="20"/>
                <w:lang w:val="en-GB" w:eastAsia="en-GB"/>
              </w:rPr>
            </w:pPr>
            <w:r w:rsidRPr="00E91426">
              <w:rPr>
                <w:rFonts w:ascii="Arial" w:eastAsia="Times New Roman" w:hAnsi="Arial" w:cs="Arial"/>
                <w:i/>
                <w:iCs/>
                <w:color w:val="000000"/>
                <w:sz w:val="20"/>
                <w:szCs w:val="20"/>
                <w:lang w:val="en-GB" w:eastAsia="en-GB"/>
              </w:rPr>
              <w:t>909</w:t>
            </w:r>
          </w:p>
        </w:tc>
        <w:tc>
          <w:tcPr>
            <w:tcW w:w="1296" w:type="dxa"/>
            <w:tcBorders>
              <w:top w:val="nil"/>
              <w:left w:val="nil"/>
              <w:bottom w:val="nil"/>
              <w:right w:val="nil"/>
            </w:tcBorders>
            <w:noWrap/>
            <w:vAlign w:val="bottom"/>
            <w:hideMark/>
          </w:tcPr>
          <w:p w14:paraId="04D97827" w14:textId="77777777" w:rsidR="00E91426" w:rsidRPr="00E91426" w:rsidRDefault="00E91426" w:rsidP="00E91426">
            <w:pPr>
              <w:widowControl/>
              <w:jc w:val="right"/>
              <w:rPr>
                <w:rFonts w:ascii="Arial" w:eastAsia="Times New Roman" w:hAnsi="Arial" w:cs="Arial"/>
                <w:i/>
                <w:iCs/>
                <w:color w:val="000000"/>
                <w:sz w:val="20"/>
                <w:szCs w:val="20"/>
                <w:lang w:val="en-GB" w:eastAsia="en-GB"/>
              </w:rPr>
            </w:pPr>
            <w:r w:rsidRPr="00E91426">
              <w:rPr>
                <w:rFonts w:ascii="Arial" w:eastAsia="Times New Roman" w:hAnsi="Arial" w:cs="Arial"/>
                <w:i/>
                <w:iCs/>
                <w:color w:val="000000"/>
                <w:sz w:val="20"/>
                <w:szCs w:val="20"/>
                <w:lang w:val="en-GB" w:eastAsia="en-GB"/>
              </w:rPr>
              <w:t>0</w:t>
            </w:r>
          </w:p>
        </w:tc>
        <w:tc>
          <w:tcPr>
            <w:tcW w:w="1296" w:type="dxa"/>
            <w:tcBorders>
              <w:top w:val="nil"/>
              <w:left w:val="nil"/>
              <w:bottom w:val="nil"/>
              <w:right w:val="nil"/>
            </w:tcBorders>
            <w:noWrap/>
            <w:vAlign w:val="bottom"/>
            <w:hideMark/>
          </w:tcPr>
          <w:p w14:paraId="25E32E96" w14:textId="77777777" w:rsidR="00E91426" w:rsidRPr="00E91426" w:rsidRDefault="00E91426" w:rsidP="00E91426">
            <w:pPr>
              <w:widowControl/>
              <w:jc w:val="right"/>
              <w:rPr>
                <w:rFonts w:ascii="Arial" w:eastAsia="Times New Roman" w:hAnsi="Arial" w:cs="Arial"/>
                <w:i/>
                <w:iCs/>
                <w:color w:val="000000"/>
                <w:sz w:val="20"/>
                <w:szCs w:val="20"/>
                <w:lang w:val="en-GB" w:eastAsia="en-GB"/>
              </w:rPr>
            </w:pPr>
            <w:r w:rsidRPr="00E91426">
              <w:rPr>
                <w:rFonts w:ascii="Arial" w:eastAsia="Times New Roman" w:hAnsi="Arial" w:cs="Arial"/>
                <w:i/>
                <w:iCs/>
                <w:color w:val="000000"/>
                <w:sz w:val="20"/>
                <w:szCs w:val="20"/>
                <w:lang w:val="en-GB" w:eastAsia="en-GB"/>
              </w:rPr>
              <w:t>909</w:t>
            </w:r>
          </w:p>
        </w:tc>
      </w:tr>
    </w:tbl>
    <w:p w14:paraId="7BBFBE75" w14:textId="77777777" w:rsidR="00E91426" w:rsidRPr="00E91426" w:rsidRDefault="00E91426" w:rsidP="00E91426">
      <w:pPr>
        <w:keepNext/>
        <w:keepLines/>
        <w:widowControl/>
        <w:spacing w:before="40" w:line="259" w:lineRule="auto"/>
        <w:outlineLvl w:val="1"/>
        <w:rPr>
          <w:rFonts w:ascii="Arial" w:eastAsia="Calibri" w:hAnsi="Arial" w:cs="Arial"/>
          <w:sz w:val="20"/>
          <w:szCs w:val="20"/>
          <w:lang w:val="en-GB"/>
        </w:rPr>
      </w:pPr>
      <w:bookmarkStart w:id="73" w:name="RANGE!B1:I32"/>
      <w:bookmarkStart w:id="74" w:name="RANGE!B1:I33"/>
    </w:p>
    <w:tbl>
      <w:tblPr>
        <w:tblW w:w="9983" w:type="dxa"/>
        <w:tblLook w:val="04A0" w:firstRow="1" w:lastRow="0" w:firstColumn="1" w:lastColumn="0" w:noHBand="0" w:noVBand="1"/>
      </w:tblPr>
      <w:tblGrid>
        <w:gridCol w:w="4396"/>
        <w:gridCol w:w="424"/>
        <w:gridCol w:w="762"/>
        <w:gridCol w:w="222"/>
        <w:gridCol w:w="396"/>
        <w:gridCol w:w="222"/>
        <w:gridCol w:w="467"/>
        <w:gridCol w:w="222"/>
        <w:gridCol w:w="565"/>
        <w:gridCol w:w="241"/>
        <w:gridCol w:w="222"/>
        <w:gridCol w:w="824"/>
        <w:gridCol w:w="37"/>
        <w:gridCol w:w="188"/>
        <w:gridCol w:w="960"/>
      </w:tblGrid>
      <w:tr w:rsidR="00E91426" w:rsidRPr="00E91426" w14:paraId="284F08D8" w14:textId="77777777" w:rsidTr="00E91426">
        <w:trPr>
          <w:trHeight w:val="300"/>
        </w:trPr>
        <w:tc>
          <w:tcPr>
            <w:tcW w:w="9983" w:type="dxa"/>
            <w:gridSpan w:val="15"/>
            <w:tcBorders>
              <w:top w:val="nil"/>
              <w:left w:val="nil"/>
              <w:bottom w:val="nil"/>
              <w:right w:val="nil"/>
            </w:tcBorders>
            <w:vAlign w:val="bottom"/>
            <w:hideMark/>
          </w:tcPr>
          <w:p w14:paraId="05FA936E" w14:textId="77777777" w:rsidR="00E91426" w:rsidRPr="00E91426" w:rsidRDefault="00E91426" w:rsidP="00E91426">
            <w:pPr>
              <w:widowControl/>
              <w:spacing w:after="160" w:line="259" w:lineRule="auto"/>
              <w:rPr>
                <w:rFonts w:ascii="Arial" w:eastAsia="Times New Roman" w:hAnsi="Arial" w:cs="Arial"/>
                <w:b/>
                <w:bCs/>
                <w:color w:val="000000"/>
                <w:sz w:val="20"/>
                <w:szCs w:val="20"/>
                <w:lang w:val="en-GB" w:eastAsia="en-GB"/>
              </w:rPr>
            </w:pPr>
          </w:p>
          <w:p w14:paraId="78F69F6D" w14:textId="77777777" w:rsidR="00E91426" w:rsidRPr="00E91426" w:rsidRDefault="00E91426" w:rsidP="00E91426">
            <w:pPr>
              <w:widowControl/>
              <w:spacing w:after="160" w:line="259" w:lineRule="auto"/>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lastRenderedPageBreak/>
              <w:t>Note 13.3 Reconciliation of the carrying value of lease liabilities</w:t>
            </w:r>
          </w:p>
        </w:tc>
      </w:tr>
      <w:tr w:rsidR="00E91426" w:rsidRPr="00E91426" w14:paraId="22A103DD" w14:textId="77777777" w:rsidTr="00E91426">
        <w:trPr>
          <w:trHeight w:val="555"/>
        </w:trPr>
        <w:tc>
          <w:tcPr>
            <w:tcW w:w="9983" w:type="dxa"/>
            <w:gridSpan w:val="15"/>
            <w:tcBorders>
              <w:top w:val="nil"/>
              <w:left w:val="nil"/>
              <w:bottom w:val="nil"/>
              <w:right w:val="nil"/>
            </w:tcBorders>
            <w:vAlign w:val="bottom"/>
            <w:hideMark/>
          </w:tcPr>
          <w:p w14:paraId="7B12FDD6"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lastRenderedPageBreak/>
              <w:t>Lease liabilities are included within borrowings in the statement of financial position. A breakdown of borrowings is disclosed in note 20.</w:t>
            </w:r>
          </w:p>
        </w:tc>
      </w:tr>
      <w:tr w:rsidR="00E91426" w:rsidRPr="00E91426" w14:paraId="67846502" w14:textId="77777777" w:rsidTr="00E91426">
        <w:trPr>
          <w:trHeight w:val="270"/>
        </w:trPr>
        <w:tc>
          <w:tcPr>
            <w:tcW w:w="4820" w:type="dxa"/>
            <w:gridSpan w:val="2"/>
            <w:tcBorders>
              <w:top w:val="nil"/>
              <w:left w:val="nil"/>
              <w:bottom w:val="nil"/>
              <w:right w:val="nil"/>
            </w:tcBorders>
            <w:vAlign w:val="bottom"/>
            <w:hideMark/>
          </w:tcPr>
          <w:p w14:paraId="161DF859"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1360" w:type="dxa"/>
            <w:gridSpan w:val="3"/>
            <w:tcBorders>
              <w:top w:val="nil"/>
              <w:left w:val="nil"/>
              <w:bottom w:val="nil"/>
              <w:right w:val="nil"/>
            </w:tcBorders>
            <w:vAlign w:val="bottom"/>
            <w:hideMark/>
          </w:tcPr>
          <w:p w14:paraId="16CD379D"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2024/25</w:t>
            </w:r>
          </w:p>
        </w:tc>
        <w:tc>
          <w:tcPr>
            <w:tcW w:w="222" w:type="dxa"/>
            <w:tcBorders>
              <w:top w:val="nil"/>
              <w:left w:val="nil"/>
              <w:bottom w:val="nil"/>
              <w:right w:val="nil"/>
            </w:tcBorders>
            <w:vAlign w:val="bottom"/>
            <w:hideMark/>
          </w:tcPr>
          <w:p w14:paraId="59DB4E3C"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200" w:type="dxa"/>
            <w:gridSpan w:val="3"/>
            <w:tcBorders>
              <w:top w:val="nil"/>
              <w:left w:val="nil"/>
              <w:bottom w:val="nil"/>
              <w:right w:val="nil"/>
            </w:tcBorders>
            <w:vAlign w:val="bottom"/>
            <w:hideMark/>
          </w:tcPr>
          <w:p w14:paraId="4D554995"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2023/24</w:t>
            </w:r>
          </w:p>
        </w:tc>
        <w:tc>
          <w:tcPr>
            <w:tcW w:w="222" w:type="dxa"/>
            <w:tcBorders>
              <w:top w:val="nil"/>
              <w:left w:val="nil"/>
              <w:bottom w:val="nil"/>
              <w:right w:val="nil"/>
            </w:tcBorders>
            <w:vAlign w:val="bottom"/>
            <w:hideMark/>
          </w:tcPr>
          <w:p w14:paraId="5BF4C7A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77" w:type="dxa"/>
            <w:gridSpan w:val="2"/>
            <w:tcBorders>
              <w:top w:val="nil"/>
              <w:left w:val="nil"/>
              <w:bottom w:val="nil"/>
              <w:right w:val="nil"/>
            </w:tcBorders>
            <w:vAlign w:val="bottom"/>
            <w:hideMark/>
          </w:tcPr>
          <w:p w14:paraId="589C0212" w14:textId="77777777" w:rsidR="00E91426" w:rsidRPr="00E91426" w:rsidRDefault="00E91426" w:rsidP="00E91426">
            <w:pPr>
              <w:widowControl/>
              <w:rPr>
                <w:rFonts w:ascii="Arial" w:eastAsia="Times New Roman" w:hAnsi="Arial" w:cs="Arial"/>
                <w:sz w:val="20"/>
                <w:szCs w:val="20"/>
                <w:lang w:val="en-GB" w:eastAsia="en-GB"/>
              </w:rPr>
            </w:pPr>
          </w:p>
        </w:tc>
        <w:tc>
          <w:tcPr>
            <w:tcW w:w="222" w:type="dxa"/>
            <w:gridSpan w:val="2"/>
            <w:tcBorders>
              <w:top w:val="nil"/>
              <w:left w:val="nil"/>
              <w:bottom w:val="nil"/>
              <w:right w:val="nil"/>
            </w:tcBorders>
            <w:vAlign w:val="bottom"/>
            <w:hideMark/>
          </w:tcPr>
          <w:p w14:paraId="7408536A"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vAlign w:val="bottom"/>
            <w:hideMark/>
          </w:tcPr>
          <w:p w14:paraId="7E74F267"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29EAAD3F" w14:textId="77777777" w:rsidTr="00E91426">
        <w:trPr>
          <w:trHeight w:val="270"/>
        </w:trPr>
        <w:tc>
          <w:tcPr>
            <w:tcW w:w="4820" w:type="dxa"/>
            <w:gridSpan w:val="2"/>
            <w:tcBorders>
              <w:top w:val="nil"/>
              <w:left w:val="nil"/>
              <w:bottom w:val="nil"/>
              <w:right w:val="nil"/>
            </w:tcBorders>
            <w:vAlign w:val="bottom"/>
            <w:hideMark/>
          </w:tcPr>
          <w:p w14:paraId="5D23E6D9" w14:textId="77777777" w:rsidR="00E91426" w:rsidRPr="00E91426" w:rsidRDefault="00E91426" w:rsidP="00E91426">
            <w:pPr>
              <w:widowControl/>
              <w:rPr>
                <w:rFonts w:ascii="Arial" w:eastAsia="Times New Roman" w:hAnsi="Arial" w:cs="Arial"/>
                <w:sz w:val="20"/>
                <w:szCs w:val="20"/>
                <w:lang w:val="en-GB" w:eastAsia="en-GB"/>
              </w:rPr>
            </w:pPr>
          </w:p>
        </w:tc>
        <w:tc>
          <w:tcPr>
            <w:tcW w:w="1360" w:type="dxa"/>
            <w:gridSpan w:val="3"/>
            <w:tcBorders>
              <w:top w:val="nil"/>
              <w:left w:val="nil"/>
              <w:bottom w:val="nil"/>
              <w:right w:val="nil"/>
            </w:tcBorders>
            <w:vAlign w:val="bottom"/>
            <w:hideMark/>
          </w:tcPr>
          <w:p w14:paraId="455C0CF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222" w:type="dxa"/>
            <w:tcBorders>
              <w:top w:val="nil"/>
              <w:left w:val="nil"/>
              <w:bottom w:val="nil"/>
              <w:right w:val="nil"/>
            </w:tcBorders>
            <w:vAlign w:val="bottom"/>
            <w:hideMark/>
          </w:tcPr>
          <w:p w14:paraId="776A3C6A"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200" w:type="dxa"/>
            <w:gridSpan w:val="3"/>
            <w:tcBorders>
              <w:top w:val="nil"/>
              <w:left w:val="nil"/>
              <w:bottom w:val="nil"/>
              <w:right w:val="nil"/>
            </w:tcBorders>
            <w:vAlign w:val="bottom"/>
            <w:hideMark/>
          </w:tcPr>
          <w:p w14:paraId="419CA2CC"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222" w:type="dxa"/>
            <w:tcBorders>
              <w:top w:val="nil"/>
              <w:left w:val="nil"/>
              <w:bottom w:val="nil"/>
              <w:right w:val="nil"/>
            </w:tcBorders>
            <w:vAlign w:val="bottom"/>
            <w:hideMark/>
          </w:tcPr>
          <w:p w14:paraId="311E425A"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77" w:type="dxa"/>
            <w:gridSpan w:val="2"/>
            <w:tcBorders>
              <w:top w:val="nil"/>
              <w:left w:val="nil"/>
              <w:bottom w:val="nil"/>
              <w:right w:val="nil"/>
            </w:tcBorders>
            <w:vAlign w:val="bottom"/>
            <w:hideMark/>
          </w:tcPr>
          <w:p w14:paraId="70E45327" w14:textId="77777777" w:rsidR="00E91426" w:rsidRPr="00E91426" w:rsidRDefault="00E91426" w:rsidP="00E91426">
            <w:pPr>
              <w:widowControl/>
              <w:rPr>
                <w:rFonts w:ascii="Arial" w:eastAsia="Times New Roman" w:hAnsi="Arial" w:cs="Arial"/>
                <w:sz w:val="20"/>
                <w:szCs w:val="20"/>
                <w:lang w:val="en-GB" w:eastAsia="en-GB"/>
              </w:rPr>
            </w:pPr>
          </w:p>
        </w:tc>
        <w:tc>
          <w:tcPr>
            <w:tcW w:w="222" w:type="dxa"/>
            <w:gridSpan w:val="2"/>
            <w:tcBorders>
              <w:top w:val="nil"/>
              <w:left w:val="nil"/>
              <w:bottom w:val="nil"/>
              <w:right w:val="nil"/>
            </w:tcBorders>
            <w:vAlign w:val="bottom"/>
            <w:hideMark/>
          </w:tcPr>
          <w:p w14:paraId="025704EB"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vAlign w:val="bottom"/>
            <w:hideMark/>
          </w:tcPr>
          <w:p w14:paraId="5F6467B0"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6A073163" w14:textId="77777777" w:rsidTr="00E91426">
        <w:trPr>
          <w:trHeight w:val="270"/>
        </w:trPr>
        <w:tc>
          <w:tcPr>
            <w:tcW w:w="4820" w:type="dxa"/>
            <w:gridSpan w:val="2"/>
            <w:tcBorders>
              <w:top w:val="nil"/>
              <w:left w:val="nil"/>
              <w:bottom w:val="nil"/>
              <w:right w:val="nil"/>
            </w:tcBorders>
            <w:noWrap/>
            <w:vAlign w:val="center"/>
            <w:hideMark/>
          </w:tcPr>
          <w:p w14:paraId="2B05205B"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Carrying value at 1 April - brought forward</w:t>
            </w:r>
          </w:p>
        </w:tc>
        <w:tc>
          <w:tcPr>
            <w:tcW w:w="1360" w:type="dxa"/>
            <w:gridSpan w:val="3"/>
            <w:tcBorders>
              <w:top w:val="nil"/>
              <w:left w:val="nil"/>
              <w:bottom w:val="nil"/>
              <w:right w:val="nil"/>
            </w:tcBorders>
            <w:noWrap/>
            <w:vAlign w:val="center"/>
            <w:hideMark/>
          </w:tcPr>
          <w:p w14:paraId="7EB70E0F"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1,523</w:t>
            </w:r>
          </w:p>
        </w:tc>
        <w:tc>
          <w:tcPr>
            <w:tcW w:w="222" w:type="dxa"/>
            <w:tcBorders>
              <w:top w:val="nil"/>
              <w:left w:val="nil"/>
              <w:bottom w:val="nil"/>
              <w:right w:val="nil"/>
            </w:tcBorders>
            <w:noWrap/>
            <w:vAlign w:val="bottom"/>
            <w:hideMark/>
          </w:tcPr>
          <w:p w14:paraId="4FA34ED5"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200" w:type="dxa"/>
            <w:gridSpan w:val="3"/>
            <w:tcBorders>
              <w:top w:val="nil"/>
              <w:left w:val="nil"/>
              <w:bottom w:val="nil"/>
              <w:right w:val="nil"/>
            </w:tcBorders>
            <w:noWrap/>
            <w:vAlign w:val="center"/>
            <w:hideMark/>
          </w:tcPr>
          <w:p w14:paraId="4714251C"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869</w:t>
            </w:r>
          </w:p>
        </w:tc>
        <w:tc>
          <w:tcPr>
            <w:tcW w:w="222" w:type="dxa"/>
            <w:tcBorders>
              <w:top w:val="nil"/>
              <w:left w:val="nil"/>
              <w:bottom w:val="nil"/>
              <w:right w:val="nil"/>
            </w:tcBorders>
            <w:noWrap/>
            <w:vAlign w:val="bottom"/>
            <w:hideMark/>
          </w:tcPr>
          <w:p w14:paraId="6AE073F1"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77" w:type="dxa"/>
            <w:gridSpan w:val="2"/>
            <w:tcBorders>
              <w:top w:val="nil"/>
              <w:left w:val="nil"/>
              <w:bottom w:val="nil"/>
              <w:right w:val="nil"/>
            </w:tcBorders>
            <w:noWrap/>
            <w:vAlign w:val="bottom"/>
            <w:hideMark/>
          </w:tcPr>
          <w:p w14:paraId="3FCCDD69" w14:textId="77777777" w:rsidR="00E91426" w:rsidRPr="00E91426" w:rsidRDefault="00E91426" w:rsidP="00E91426">
            <w:pPr>
              <w:widowControl/>
              <w:rPr>
                <w:rFonts w:ascii="Arial" w:eastAsia="Times New Roman" w:hAnsi="Arial" w:cs="Arial"/>
                <w:sz w:val="20"/>
                <w:szCs w:val="20"/>
                <w:lang w:val="en-GB" w:eastAsia="en-GB"/>
              </w:rPr>
            </w:pPr>
          </w:p>
        </w:tc>
        <w:tc>
          <w:tcPr>
            <w:tcW w:w="222" w:type="dxa"/>
            <w:gridSpan w:val="2"/>
            <w:tcBorders>
              <w:top w:val="nil"/>
              <w:left w:val="nil"/>
              <w:bottom w:val="nil"/>
              <w:right w:val="nil"/>
            </w:tcBorders>
            <w:noWrap/>
            <w:vAlign w:val="bottom"/>
            <w:hideMark/>
          </w:tcPr>
          <w:p w14:paraId="3156DE89"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noWrap/>
            <w:vAlign w:val="bottom"/>
            <w:hideMark/>
          </w:tcPr>
          <w:p w14:paraId="6CA3FBFE"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04098B36" w14:textId="77777777" w:rsidTr="00E91426">
        <w:trPr>
          <w:trHeight w:val="270"/>
        </w:trPr>
        <w:tc>
          <w:tcPr>
            <w:tcW w:w="4820" w:type="dxa"/>
            <w:gridSpan w:val="2"/>
            <w:tcBorders>
              <w:top w:val="nil"/>
              <w:left w:val="nil"/>
              <w:bottom w:val="nil"/>
              <w:right w:val="nil"/>
            </w:tcBorders>
            <w:vAlign w:val="center"/>
            <w:hideMark/>
          </w:tcPr>
          <w:p w14:paraId="30FE9562"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Lease additions</w:t>
            </w:r>
          </w:p>
        </w:tc>
        <w:tc>
          <w:tcPr>
            <w:tcW w:w="1360" w:type="dxa"/>
            <w:gridSpan w:val="3"/>
            <w:tcBorders>
              <w:top w:val="nil"/>
              <w:left w:val="nil"/>
              <w:bottom w:val="nil"/>
              <w:right w:val="nil"/>
            </w:tcBorders>
            <w:noWrap/>
            <w:vAlign w:val="bottom"/>
            <w:hideMark/>
          </w:tcPr>
          <w:p w14:paraId="31B59217"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222" w:type="dxa"/>
            <w:tcBorders>
              <w:top w:val="nil"/>
              <w:left w:val="nil"/>
              <w:bottom w:val="nil"/>
              <w:right w:val="nil"/>
            </w:tcBorders>
            <w:noWrap/>
            <w:vAlign w:val="bottom"/>
            <w:hideMark/>
          </w:tcPr>
          <w:p w14:paraId="1DB24CC2"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00" w:type="dxa"/>
            <w:gridSpan w:val="3"/>
            <w:tcBorders>
              <w:top w:val="nil"/>
              <w:left w:val="nil"/>
              <w:bottom w:val="nil"/>
              <w:right w:val="nil"/>
            </w:tcBorders>
            <w:noWrap/>
            <w:vAlign w:val="bottom"/>
            <w:hideMark/>
          </w:tcPr>
          <w:p w14:paraId="5C375E21"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1,638</w:t>
            </w:r>
          </w:p>
        </w:tc>
        <w:tc>
          <w:tcPr>
            <w:tcW w:w="222" w:type="dxa"/>
            <w:tcBorders>
              <w:top w:val="nil"/>
              <w:left w:val="nil"/>
              <w:bottom w:val="nil"/>
              <w:right w:val="nil"/>
            </w:tcBorders>
            <w:noWrap/>
            <w:vAlign w:val="bottom"/>
            <w:hideMark/>
          </w:tcPr>
          <w:p w14:paraId="532305E8"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977" w:type="dxa"/>
            <w:gridSpan w:val="2"/>
            <w:tcBorders>
              <w:top w:val="nil"/>
              <w:left w:val="nil"/>
              <w:bottom w:val="nil"/>
              <w:right w:val="nil"/>
            </w:tcBorders>
            <w:noWrap/>
            <w:vAlign w:val="bottom"/>
            <w:hideMark/>
          </w:tcPr>
          <w:p w14:paraId="01A68108" w14:textId="77777777" w:rsidR="00E91426" w:rsidRPr="00E91426" w:rsidRDefault="00E91426" w:rsidP="00E91426">
            <w:pPr>
              <w:widowControl/>
              <w:rPr>
                <w:rFonts w:ascii="Arial" w:eastAsia="Times New Roman" w:hAnsi="Arial" w:cs="Arial"/>
                <w:sz w:val="20"/>
                <w:szCs w:val="20"/>
                <w:lang w:val="en-GB" w:eastAsia="en-GB"/>
              </w:rPr>
            </w:pPr>
          </w:p>
        </w:tc>
        <w:tc>
          <w:tcPr>
            <w:tcW w:w="222" w:type="dxa"/>
            <w:gridSpan w:val="2"/>
            <w:tcBorders>
              <w:top w:val="nil"/>
              <w:left w:val="nil"/>
              <w:bottom w:val="nil"/>
              <w:right w:val="nil"/>
            </w:tcBorders>
            <w:noWrap/>
            <w:vAlign w:val="bottom"/>
            <w:hideMark/>
          </w:tcPr>
          <w:p w14:paraId="6BB0CB06"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noWrap/>
            <w:vAlign w:val="bottom"/>
            <w:hideMark/>
          </w:tcPr>
          <w:p w14:paraId="78698B15"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0251E734" w14:textId="77777777" w:rsidTr="00E91426">
        <w:trPr>
          <w:trHeight w:val="270"/>
        </w:trPr>
        <w:tc>
          <w:tcPr>
            <w:tcW w:w="4820" w:type="dxa"/>
            <w:gridSpan w:val="2"/>
            <w:tcBorders>
              <w:top w:val="nil"/>
              <w:left w:val="nil"/>
              <w:bottom w:val="nil"/>
              <w:right w:val="nil"/>
            </w:tcBorders>
            <w:vAlign w:val="center"/>
            <w:hideMark/>
          </w:tcPr>
          <w:p w14:paraId="7D2E3D5A"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Lease liability remeasurements</w:t>
            </w:r>
          </w:p>
        </w:tc>
        <w:tc>
          <w:tcPr>
            <w:tcW w:w="1360" w:type="dxa"/>
            <w:gridSpan w:val="3"/>
            <w:tcBorders>
              <w:top w:val="nil"/>
              <w:left w:val="nil"/>
              <w:bottom w:val="nil"/>
              <w:right w:val="nil"/>
            </w:tcBorders>
            <w:noWrap/>
            <w:vAlign w:val="bottom"/>
            <w:hideMark/>
          </w:tcPr>
          <w:p w14:paraId="71F4A260"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222" w:type="dxa"/>
            <w:tcBorders>
              <w:top w:val="nil"/>
              <w:left w:val="nil"/>
              <w:bottom w:val="nil"/>
              <w:right w:val="nil"/>
            </w:tcBorders>
            <w:noWrap/>
            <w:vAlign w:val="bottom"/>
            <w:hideMark/>
          </w:tcPr>
          <w:p w14:paraId="5106204E"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00" w:type="dxa"/>
            <w:gridSpan w:val="3"/>
            <w:tcBorders>
              <w:top w:val="nil"/>
              <w:left w:val="nil"/>
              <w:bottom w:val="nil"/>
              <w:right w:val="nil"/>
            </w:tcBorders>
            <w:noWrap/>
            <w:vAlign w:val="bottom"/>
            <w:hideMark/>
          </w:tcPr>
          <w:p w14:paraId="73122BAC"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222" w:type="dxa"/>
            <w:tcBorders>
              <w:top w:val="nil"/>
              <w:left w:val="nil"/>
              <w:bottom w:val="nil"/>
              <w:right w:val="nil"/>
            </w:tcBorders>
            <w:noWrap/>
            <w:vAlign w:val="bottom"/>
            <w:hideMark/>
          </w:tcPr>
          <w:p w14:paraId="1B224F70"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977" w:type="dxa"/>
            <w:gridSpan w:val="2"/>
            <w:tcBorders>
              <w:top w:val="nil"/>
              <w:left w:val="nil"/>
              <w:bottom w:val="nil"/>
              <w:right w:val="nil"/>
            </w:tcBorders>
            <w:noWrap/>
            <w:vAlign w:val="bottom"/>
            <w:hideMark/>
          </w:tcPr>
          <w:p w14:paraId="0E4E292C" w14:textId="77777777" w:rsidR="00E91426" w:rsidRPr="00E91426" w:rsidRDefault="00E91426" w:rsidP="00E91426">
            <w:pPr>
              <w:widowControl/>
              <w:rPr>
                <w:rFonts w:ascii="Arial" w:eastAsia="Times New Roman" w:hAnsi="Arial" w:cs="Arial"/>
                <w:sz w:val="20"/>
                <w:szCs w:val="20"/>
                <w:lang w:val="en-GB" w:eastAsia="en-GB"/>
              </w:rPr>
            </w:pPr>
          </w:p>
        </w:tc>
        <w:tc>
          <w:tcPr>
            <w:tcW w:w="222" w:type="dxa"/>
            <w:gridSpan w:val="2"/>
            <w:tcBorders>
              <w:top w:val="nil"/>
              <w:left w:val="nil"/>
              <w:bottom w:val="nil"/>
              <w:right w:val="nil"/>
            </w:tcBorders>
            <w:noWrap/>
            <w:vAlign w:val="bottom"/>
            <w:hideMark/>
          </w:tcPr>
          <w:p w14:paraId="678E3A46"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noWrap/>
            <w:vAlign w:val="bottom"/>
            <w:hideMark/>
          </w:tcPr>
          <w:p w14:paraId="565E7F99"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7A5B7AAE" w14:textId="77777777" w:rsidTr="00E91426">
        <w:trPr>
          <w:trHeight w:val="270"/>
        </w:trPr>
        <w:tc>
          <w:tcPr>
            <w:tcW w:w="4820" w:type="dxa"/>
            <w:gridSpan w:val="2"/>
            <w:tcBorders>
              <w:top w:val="nil"/>
              <w:left w:val="nil"/>
              <w:bottom w:val="nil"/>
              <w:right w:val="nil"/>
            </w:tcBorders>
            <w:vAlign w:val="center"/>
            <w:hideMark/>
          </w:tcPr>
          <w:p w14:paraId="1B1F6878"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Interest charge arising in year</w:t>
            </w:r>
          </w:p>
        </w:tc>
        <w:tc>
          <w:tcPr>
            <w:tcW w:w="1360" w:type="dxa"/>
            <w:gridSpan w:val="3"/>
            <w:tcBorders>
              <w:top w:val="nil"/>
              <w:left w:val="nil"/>
              <w:bottom w:val="nil"/>
              <w:right w:val="nil"/>
            </w:tcBorders>
            <w:noWrap/>
            <w:vAlign w:val="bottom"/>
            <w:hideMark/>
          </w:tcPr>
          <w:p w14:paraId="1EF78E60"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49</w:t>
            </w:r>
          </w:p>
        </w:tc>
        <w:tc>
          <w:tcPr>
            <w:tcW w:w="222" w:type="dxa"/>
            <w:tcBorders>
              <w:top w:val="nil"/>
              <w:left w:val="nil"/>
              <w:bottom w:val="nil"/>
              <w:right w:val="nil"/>
            </w:tcBorders>
            <w:noWrap/>
            <w:vAlign w:val="bottom"/>
            <w:hideMark/>
          </w:tcPr>
          <w:p w14:paraId="1A1DCDFF"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00" w:type="dxa"/>
            <w:gridSpan w:val="3"/>
            <w:tcBorders>
              <w:top w:val="nil"/>
              <w:left w:val="nil"/>
              <w:bottom w:val="nil"/>
              <w:right w:val="nil"/>
            </w:tcBorders>
            <w:noWrap/>
            <w:vAlign w:val="bottom"/>
            <w:hideMark/>
          </w:tcPr>
          <w:p w14:paraId="0474704E"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38</w:t>
            </w:r>
          </w:p>
        </w:tc>
        <w:tc>
          <w:tcPr>
            <w:tcW w:w="222" w:type="dxa"/>
            <w:tcBorders>
              <w:top w:val="nil"/>
              <w:left w:val="nil"/>
              <w:bottom w:val="nil"/>
              <w:right w:val="nil"/>
            </w:tcBorders>
            <w:noWrap/>
            <w:vAlign w:val="bottom"/>
            <w:hideMark/>
          </w:tcPr>
          <w:p w14:paraId="02050A73"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977" w:type="dxa"/>
            <w:gridSpan w:val="2"/>
            <w:tcBorders>
              <w:top w:val="nil"/>
              <w:left w:val="nil"/>
              <w:bottom w:val="nil"/>
              <w:right w:val="nil"/>
            </w:tcBorders>
            <w:noWrap/>
            <w:vAlign w:val="bottom"/>
            <w:hideMark/>
          </w:tcPr>
          <w:p w14:paraId="166E9467" w14:textId="77777777" w:rsidR="00E91426" w:rsidRPr="00E91426" w:rsidRDefault="00E91426" w:rsidP="00E91426">
            <w:pPr>
              <w:widowControl/>
              <w:rPr>
                <w:rFonts w:ascii="Arial" w:eastAsia="Times New Roman" w:hAnsi="Arial" w:cs="Arial"/>
                <w:sz w:val="20"/>
                <w:szCs w:val="20"/>
                <w:lang w:val="en-GB" w:eastAsia="en-GB"/>
              </w:rPr>
            </w:pPr>
          </w:p>
        </w:tc>
        <w:tc>
          <w:tcPr>
            <w:tcW w:w="222" w:type="dxa"/>
            <w:gridSpan w:val="2"/>
            <w:tcBorders>
              <w:top w:val="nil"/>
              <w:left w:val="nil"/>
              <w:bottom w:val="nil"/>
              <w:right w:val="nil"/>
            </w:tcBorders>
            <w:noWrap/>
            <w:vAlign w:val="bottom"/>
            <w:hideMark/>
          </w:tcPr>
          <w:p w14:paraId="2B3FF6DB"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noWrap/>
            <w:vAlign w:val="bottom"/>
            <w:hideMark/>
          </w:tcPr>
          <w:p w14:paraId="4FEE0C52"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0F9386EA" w14:textId="77777777" w:rsidTr="00E91426">
        <w:trPr>
          <w:trHeight w:val="270"/>
        </w:trPr>
        <w:tc>
          <w:tcPr>
            <w:tcW w:w="4820" w:type="dxa"/>
            <w:gridSpan w:val="2"/>
            <w:tcBorders>
              <w:top w:val="nil"/>
              <w:left w:val="nil"/>
              <w:bottom w:val="nil"/>
              <w:right w:val="nil"/>
            </w:tcBorders>
            <w:vAlign w:val="center"/>
            <w:hideMark/>
          </w:tcPr>
          <w:p w14:paraId="227E5DB3"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Early terminations</w:t>
            </w:r>
          </w:p>
        </w:tc>
        <w:tc>
          <w:tcPr>
            <w:tcW w:w="1360" w:type="dxa"/>
            <w:gridSpan w:val="3"/>
            <w:tcBorders>
              <w:top w:val="nil"/>
              <w:left w:val="nil"/>
              <w:bottom w:val="nil"/>
              <w:right w:val="nil"/>
            </w:tcBorders>
            <w:noWrap/>
            <w:vAlign w:val="bottom"/>
            <w:hideMark/>
          </w:tcPr>
          <w:p w14:paraId="64DD5280"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222" w:type="dxa"/>
            <w:tcBorders>
              <w:top w:val="nil"/>
              <w:left w:val="nil"/>
              <w:bottom w:val="nil"/>
              <w:right w:val="nil"/>
            </w:tcBorders>
            <w:noWrap/>
            <w:vAlign w:val="bottom"/>
            <w:hideMark/>
          </w:tcPr>
          <w:p w14:paraId="19B2D45D"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00" w:type="dxa"/>
            <w:gridSpan w:val="3"/>
            <w:tcBorders>
              <w:top w:val="nil"/>
              <w:left w:val="nil"/>
              <w:bottom w:val="nil"/>
              <w:right w:val="nil"/>
            </w:tcBorders>
            <w:noWrap/>
            <w:vAlign w:val="bottom"/>
            <w:hideMark/>
          </w:tcPr>
          <w:p w14:paraId="7C89C1C8"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222" w:type="dxa"/>
            <w:tcBorders>
              <w:top w:val="nil"/>
              <w:left w:val="nil"/>
              <w:bottom w:val="nil"/>
              <w:right w:val="nil"/>
            </w:tcBorders>
            <w:noWrap/>
            <w:vAlign w:val="bottom"/>
            <w:hideMark/>
          </w:tcPr>
          <w:p w14:paraId="4BDC193B"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977" w:type="dxa"/>
            <w:gridSpan w:val="2"/>
            <w:tcBorders>
              <w:top w:val="nil"/>
              <w:left w:val="nil"/>
              <w:bottom w:val="nil"/>
              <w:right w:val="nil"/>
            </w:tcBorders>
            <w:noWrap/>
            <w:vAlign w:val="bottom"/>
            <w:hideMark/>
          </w:tcPr>
          <w:p w14:paraId="55C0C4C6" w14:textId="77777777" w:rsidR="00E91426" w:rsidRPr="00E91426" w:rsidRDefault="00E91426" w:rsidP="00E91426">
            <w:pPr>
              <w:widowControl/>
              <w:rPr>
                <w:rFonts w:ascii="Arial" w:eastAsia="Times New Roman" w:hAnsi="Arial" w:cs="Arial"/>
                <w:sz w:val="20"/>
                <w:szCs w:val="20"/>
                <w:lang w:val="en-GB" w:eastAsia="en-GB"/>
              </w:rPr>
            </w:pPr>
          </w:p>
        </w:tc>
        <w:tc>
          <w:tcPr>
            <w:tcW w:w="222" w:type="dxa"/>
            <w:gridSpan w:val="2"/>
            <w:tcBorders>
              <w:top w:val="nil"/>
              <w:left w:val="nil"/>
              <w:bottom w:val="nil"/>
              <w:right w:val="nil"/>
            </w:tcBorders>
            <w:noWrap/>
            <w:vAlign w:val="bottom"/>
            <w:hideMark/>
          </w:tcPr>
          <w:p w14:paraId="5F49BFB0"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noWrap/>
            <w:vAlign w:val="bottom"/>
            <w:hideMark/>
          </w:tcPr>
          <w:p w14:paraId="2B4BA206"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73A9D3E2" w14:textId="77777777" w:rsidTr="00E91426">
        <w:trPr>
          <w:trHeight w:val="270"/>
        </w:trPr>
        <w:tc>
          <w:tcPr>
            <w:tcW w:w="4820" w:type="dxa"/>
            <w:gridSpan w:val="2"/>
            <w:tcBorders>
              <w:top w:val="nil"/>
              <w:left w:val="nil"/>
              <w:bottom w:val="nil"/>
              <w:right w:val="nil"/>
            </w:tcBorders>
            <w:vAlign w:val="center"/>
            <w:hideMark/>
          </w:tcPr>
          <w:p w14:paraId="29AB8478"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Lease payments (cash outflows)</w:t>
            </w:r>
          </w:p>
        </w:tc>
        <w:tc>
          <w:tcPr>
            <w:tcW w:w="1360" w:type="dxa"/>
            <w:gridSpan w:val="3"/>
            <w:tcBorders>
              <w:top w:val="nil"/>
              <w:left w:val="nil"/>
              <w:bottom w:val="nil"/>
              <w:right w:val="nil"/>
            </w:tcBorders>
            <w:noWrap/>
            <w:vAlign w:val="bottom"/>
            <w:hideMark/>
          </w:tcPr>
          <w:p w14:paraId="3405B1AE"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(305)</w:t>
            </w:r>
          </w:p>
        </w:tc>
        <w:tc>
          <w:tcPr>
            <w:tcW w:w="222" w:type="dxa"/>
            <w:tcBorders>
              <w:top w:val="nil"/>
              <w:left w:val="nil"/>
              <w:bottom w:val="nil"/>
              <w:right w:val="nil"/>
            </w:tcBorders>
            <w:noWrap/>
            <w:vAlign w:val="bottom"/>
            <w:hideMark/>
          </w:tcPr>
          <w:p w14:paraId="597E41FE"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00" w:type="dxa"/>
            <w:gridSpan w:val="3"/>
            <w:tcBorders>
              <w:top w:val="nil"/>
              <w:left w:val="nil"/>
              <w:bottom w:val="nil"/>
              <w:right w:val="nil"/>
            </w:tcBorders>
            <w:noWrap/>
            <w:vAlign w:val="bottom"/>
            <w:hideMark/>
          </w:tcPr>
          <w:p w14:paraId="5BB688AF"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(1,022)</w:t>
            </w:r>
          </w:p>
        </w:tc>
        <w:tc>
          <w:tcPr>
            <w:tcW w:w="222" w:type="dxa"/>
            <w:tcBorders>
              <w:top w:val="nil"/>
              <w:left w:val="nil"/>
              <w:bottom w:val="nil"/>
              <w:right w:val="nil"/>
            </w:tcBorders>
            <w:noWrap/>
            <w:vAlign w:val="bottom"/>
            <w:hideMark/>
          </w:tcPr>
          <w:p w14:paraId="04A6927F"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977" w:type="dxa"/>
            <w:gridSpan w:val="2"/>
            <w:tcBorders>
              <w:top w:val="nil"/>
              <w:left w:val="nil"/>
              <w:bottom w:val="nil"/>
              <w:right w:val="nil"/>
            </w:tcBorders>
            <w:noWrap/>
            <w:vAlign w:val="bottom"/>
            <w:hideMark/>
          </w:tcPr>
          <w:p w14:paraId="054EBB5A" w14:textId="77777777" w:rsidR="00E91426" w:rsidRPr="00E91426" w:rsidRDefault="00E91426" w:rsidP="00E91426">
            <w:pPr>
              <w:widowControl/>
              <w:rPr>
                <w:rFonts w:ascii="Arial" w:eastAsia="Times New Roman" w:hAnsi="Arial" w:cs="Arial"/>
                <w:sz w:val="20"/>
                <w:szCs w:val="20"/>
                <w:lang w:val="en-GB" w:eastAsia="en-GB"/>
              </w:rPr>
            </w:pPr>
          </w:p>
        </w:tc>
        <w:tc>
          <w:tcPr>
            <w:tcW w:w="222" w:type="dxa"/>
            <w:gridSpan w:val="2"/>
            <w:tcBorders>
              <w:top w:val="nil"/>
              <w:left w:val="nil"/>
              <w:bottom w:val="nil"/>
              <w:right w:val="nil"/>
            </w:tcBorders>
            <w:noWrap/>
            <w:vAlign w:val="bottom"/>
            <w:hideMark/>
          </w:tcPr>
          <w:p w14:paraId="38761B6D"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noWrap/>
            <w:vAlign w:val="bottom"/>
            <w:hideMark/>
          </w:tcPr>
          <w:p w14:paraId="2606F320"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20A23ABC" w14:textId="77777777" w:rsidTr="00E91426">
        <w:trPr>
          <w:trHeight w:val="270"/>
        </w:trPr>
        <w:tc>
          <w:tcPr>
            <w:tcW w:w="4820" w:type="dxa"/>
            <w:gridSpan w:val="2"/>
            <w:tcBorders>
              <w:top w:val="nil"/>
              <w:left w:val="nil"/>
              <w:bottom w:val="nil"/>
              <w:right w:val="nil"/>
            </w:tcBorders>
            <w:vAlign w:val="center"/>
            <w:hideMark/>
          </w:tcPr>
          <w:p w14:paraId="55328D52"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Other changes</w:t>
            </w:r>
          </w:p>
        </w:tc>
        <w:tc>
          <w:tcPr>
            <w:tcW w:w="1360" w:type="dxa"/>
            <w:gridSpan w:val="3"/>
            <w:tcBorders>
              <w:top w:val="nil"/>
              <w:left w:val="nil"/>
              <w:bottom w:val="nil"/>
              <w:right w:val="nil"/>
            </w:tcBorders>
            <w:noWrap/>
            <w:vAlign w:val="bottom"/>
            <w:hideMark/>
          </w:tcPr>
          <w:p w14:paraId="0F646553"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222" w:type="dxa"/>
            <w:tcBorders>
              <w:top w:val="nil"/>
              <w:left w:val="nil"/>
              <w:bottom w:val="nil"/>
              <w:right w:val="nil"/>
            </w:tcBorders>
            <w:noWrap/>
            <w:vAlign w:val="bottom"/>
            <w:hideMark/>
          </w:tcPr>
          <w:p w14:paraId="198FCF29"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00" w:type="dxa"/>
            <w:gridSpan w:val="3"/>
            <w:tcBorders>
              <w:top w:val="nil"/>
              <w:left w:val="nil"/>
              <w:bottom w:val="nil"/>
              <w:right w:val="nil"/>
            </w:tcBorders>
            <w:noWrap/>
            <w:vAlign w:val="bottom"/>
            <w:hideMark/>
          </w:tcPr>
          <w:p w14:paraId="3D0B1F9A"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222" w:type="dxa"/>
            <w:tcBorders>
              <w:top w:val="nil"/>
              <w:left w:val="nil"/>
              <w:bottom w:val="nil"/>
              <w:right w:val="nil"/>
            </w:tcBorders>
            <w:noWrap/>
            <w:vAlign w:val="bottom"/>
            <w:hideMark/>
          </w:tcPr>
          <w:p w14:paraId="6EC82A43"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977" w:type="dxa"/>
            <w:gridSpan w:val="2"/>
            <w:tcBorders>
              <w:top w:val="nil"/>
              <w:left w:val="nil"/>
              <w:bottom w:val="nil"/>
              <w:right w:val="nil"/>
            </w:tcBorders>
            <w:noWrap/>
            <w:vAlign w:val="bottom"/>
            <w:hideMark/>
          </w:tcPr>
          <w:p w14:paraId="100A4BF2" w14:textId="77777777" w:rsidR="00E91426" w:rsidRPr="00E91426" w:rsidRDefault="00E91426" w:rsidP="00E91426">
            <w:pPr>
              <w:widowControl/>
              <w:rPr>
                <w:rFonts w:ascii="Arial" w:eastAsia="Times New Roman" w:hAnsi="Arial" w:cs="Arial"/>
                <w:sz w:val="20"/>
                <w:szCs w:val="20"/>
                <w:lang w:val="en-GB" w:eastAsia="en-GB"/>
              </w:rPr>
            </w:pPr>
          </w:p>
        </w:tc>
        <w:tc>
          <w:tcPr>
            <w:tcW w:w="222" w:type="dxa"/>
            <w:gridSpan w:val="2"/>
            <w:tcBorders>
              <w:top w:val="nil"/>
              <w:left w:val="nil"/>
              <w:bottom w:val="nil"/>
              <w:right w:val="nil"/>
            </w:tcBorders>
            <w:noWrap/>
            <w:vAlign w:val="bottom"/>
            <w:hideMark/>
          </w:tcPr>
          <w:p w14:paraId="76104346"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noWrap/>
            <w:vAlign w:val="bottom"/>
            <w:hideMark/>
          </w:tcPr>
          <w:p w14:paraId="68F1D5C1"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16931754" w14:textId="77777777" w:rsidTr="00E91426">
        <w:trPr>
          <w:trHeight w:val="270"/>
        </w:trPr>
        <w:tc>
          <w:tcPr>
            <w:tcW w:w="4820" w:type="dxa"/>
            <w:gridSpan w:val="2"/>
            <w:tcBorders>
              <w:top w:val="nil"/>
              <w:left w:val="nil"/>
              <w:bottom w:val="nil"/>
              <w:right w:val="nil"/>
            </w:tcBorders>
            <w:noWrap/>
            <w:vAlign w:val="center"/>
            <w:hideMark/>
          </w:tcPr>
          <w:p w14:paraId="0AB40E2D"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Carrying value at 31 March</w:t>
            </w:r>
          </w:p>
        </w:tc>
        <w:tc>
          <w:tcPr>
            <w:tcW w:w="1360" w:type="dxa"/>
            <w:gridSpan w:val="3"/>
            <w:tcBorders>
              <w:top w:val="single" w:sz="4" w:space="0" w:color="auto"/>
              <w:left w:val="nil"/>
              <w:bottom w:val="double" w:sz="6" w:space="0" w:color="auto"/>
              <w:right w:val="nil"/>
            </w:tcBorders>
            <w:noWrap/>
            <w:vAlign w:val="bottom"/>
            <w:hideMark/>
          </w:tcPr>
          <w:p w14:paraId="3890799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1,267 </w:t>
            </w:r>
          </w:p>
        </w:tc>
        <w:tc>
          <w:tcPr>
            <w:tcW w:w="222" w:type="dxa"/>
            <w:tcBorders>
              <w:top w:val="nil"/>
              <w:left w:val="nil"/>
              <w:bottom w:val="nil"/>
              <w:right w:val="nil"/>
            </w:tcBorders>
            <w:noWrap/>
            <w:vAlign w:val="bottom"/>
            <w:hideMark/>
          </w:tcPr>
          <w:p w14:paraId="199553E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200" w:type="dxa"/>
            <w:gridSpan w:val="3"/>
            <w:tcBorders>
              <w:top w:val="single" w:sz="4" w:space="0" w:color="auto"/>
              <w:left w:val="nil"/>
              <w:bottom w:val="double" w:sz="6" w:space="0" w:color="auto"/>
              <w:right w:val="nil"/>
            </w:tcBorders>
            <w:noWrap/>
            <w:vAlign w:val="bottom"/>
            <w:hideMark/>
          </w:tcPr>
          <w:p w14:paraId="10C06152"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1,523 </w:t>
            </w:r>
          </w:p>
        </w:tc>
        <w:tc>
          <w:tcPr>
            <w:tcW w:w="222" w:type="dxa"/>
            <w:tcBorders>
              <w:top w:val="nil"/>
              <w:left w:val="nil"/>
              <w:bottom w:val="nil"/>
              <w:right w:val="nil"/>
            </w:tcBorders>
            <w:noWrap/>
            <w:vAlign w:val="bottom"/>
            <w:hideMark/>
          </w:tcPr>
          <w:p w14:paraId="3F623432"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77" w:type="dxa"/>
            <w:gridSpan w:val="2"/>
            <w:tcBorders>
              <w:top w:val="nil"/>
              <w:left w:val="nil"/>
              <w:bottom w:val="nil"/>
              <w:right w:val="nil"/>
            </w:tcBorders>
            <w:noWrap/>
            <w:vAlign w:val="bottom"/>
            <w:hideMark/>
          </w:tcPr>
          <w:p w14:paraId="35793EDA" w14:textId="77777777" w:rsidR="00E91426" w:rsidRPr="00E91426" w:rsidRDefault="00E91426" w:rsidP="00E91426">
            <w:pPr>
              <w:widowControl/>
              <w:rPr>
                <w:rFonts w:ascii="Arial" w:eastAsia="Times New Roman" w:hAnsi="Arial" w:cs="Arial"/>
                <w:sz w:val="20"/>
                <w:szCs w:val="20"/>
                <w:lang w:val="en-GB" w:eastAsia="en-GB"/>
              </w:rPr>
            </w:pPr>
          </w:p>
        </w:tc>
        <w:tc>
          <w:tcPr>
            <w:tcW w:w="222" w:type="dxa"/>
            <w:gridSpan w:val="2"/>
            <w:tcBorders>
              <w:top w:val="nil"/>
              <w:left w:val="nil"/>
              <w:bottom w:val="nil"/>
              <w:right w:val="nil"/>
            </w:tcBorders>
            <w:noWrap/>
            <w:vAlign w:val="bottom"/>
            <w:hideMark/>
          </w:tcPr>
          <w:p w14:paraId="076CFF20"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noWrap/>
            <w:vAlign w:val="bottom"/>
            <w:hideMark/>
          </w:tcPr>
          <w:p w14:paraId="7B841E80"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24314840" w14:textId="77777777" w:rsidTr="00E91426">
        <w:trPr>
          <w:trHeight w:val="270"/>
        </w:trPr>
        <w:tc>
          <w:tcPr>
            <w:tcW w:w="4820" w:type="dxa"/>
            <w:gridSpan w:val="2"/>
            <w:tcBorders>
              <w:top w:val="nil"/>
              <w:left w:val="nil"/>
              <w:bottom w:val="nil"/>
              <w:right w:val="nil"/>
            </w:tcBorders>
            <w:noWrap/>
            <w:vAlign w:val="center"/>
            <w:hideMark/>
          </w:tcPr>
          <w:p w14:paraId="23F2AAB0" w14:textId="77777777" w:rsidR="00E91426" w:rsidRPr="00E91426" w:rsidRDefault="00E91426" w:rsidP="00E91426">
            <w:pPr>
              <w:widowControl/>
              <w:rPr>
                <w:rFonts w:ascii="Arial" w:eastAsia="Times New Roman" w:hAnsi="Arial" w:cs="Arial"/>
                <w:sz w:val="20"/>
                <w:szCs w:val="20"/>
                <w:lang w:val="en-GB" w:eastAsia="en-GB"/>
              </w:rPr>
            </w:pPr>
          </w:p>
        </w:tc>
        <w:tc>
          <w:tcPr>
            <w:tcW w:w="1360" w:type="dxa"/>
            <w:gridSpan w:val="3"/>
            <w:tcBorders>
              <w:top w:val="nil"/>
              <w:left w:val="nil"/>
              <w:bottom w:val="nil"/>
              <w:right w:val="nil"/>
            </w:tcBorders>
            <w:noWrap/>
            <w:vAlign w:val="bottom"/>
            <w:hideMark/>
          </w:tcPr>
          <w:p w14:paraId="2F8AEC1E" w14:textId="77777777" w:rsidR="00E91426" w:rsidRPr="00E91426" w:rsidRDefault="00E91426" w:rsidP="00E91426">
            <w:pPr>
              <w:widowControl/>
              <w:rPr>
                <w:rFonts w:ascii="Arial" w:eastAsia="Times New Roman" w:hAnsi="Arial" w:cs="Arial"/>
                <w:sz w:val="20"/>
                <w:szCs w:val="20"/>
                <w:lang w:val="en-GB" w:eastAsia="en-GB"/>
              </w:rPr>
            </w:pPr>
          </w:p>
        </w:tc>
        <w:tc>
          <w:tcPr>
            <w:tcW w:w="222" w:type="dxa"/>
            <w:tcBorders>
              <w:top w:val="nil"/>
              <w:left w:val="nil"/>
              <w:bottom w:val="nil"/>
              <w:right w:val="nil"/>
            </w:tcBorders>
            <w:noWrap/>
            <w:vAlign w:val="bottom"/>
            <w:hideMark/>
          </w:tcPr>
          <w:p w14:paraId="7F910DFE" w14:textId="77777777" w:rsidR="00E91426" w:rsidRPr="00E91426" w:rsidRDefault="00E91426" w:rsidP="00E91426">
            <w:pPr>
              <w:widowControl/>
              <w:rPr>
                <w:rFonts w:ascii="Arial" w:eastAsia="Times New Roman" w:hAnsi="Arial" w:cs="Arial"/>
                <w:sz w:val="20"/>
                <w:szCs w:val="20"/>
                <w:lang w:val="en-GB" w:eastAsia="en-GB"/>
              </w:rPr>
            </w:pPr>
          </w:p>
        </w:tc>
        <w:tc>
          <w:tcPr>
            <w:tcW w:w="1200" w:type="dxa"/>
            <w:gridSpan w:val="3"/>
            <w:tcBorders>
              <w:top w:val="nil"/>
              <w:left w:val="nil"/>
              <w:bottom w:val="nil"/>
              <w:right w:val="nil"/>
            </w:tcBorders>
            <w:noWrap/>
            <w:vAlign w:val="bottom"/>
            <w:hideMark/>
          </w:tcPr>
          <w:p w14:paraId="7AD2B3F8" w14:textId="77777777" w:rsidR="00E91426" w:rsidRPr="00E91426" w:rsidRDefault="00E91426" w:rsidP="00E91426">
            <w:pPr>
              <w:widowControl/>
              <w:rPr>
                <w:rFonts w:ascii="Arial" w:eastAsia="Times New Roman" w:hAnsi="Arial" w:cs="Arial"/>
                <w:sz w:val="20"/>
                <w:szCs w:val="20"/>
                <w:lang w:val="en-GB" w:eastAsia="en-GB"/>
              </w:rPr>
            </w:pPr>
          </w:p>
        </w:tc>
        <w:tc>
          <w:tcPr>
            <w:tcW w:w="222" w:type="dxa"/>
            <w:tcBorders>
              <w:top w:val="nil"/>
              <w:left w:val="nil"/>
              <w:bottom w:val="nil"/>
              <w:right w:val="nil"/>
            </w:tcBorders>
            <w:noWrap/>
            <w:vAlign w:val="bottom"/>
            <w:hideMark/>
          </w:tcPr>
          <w:p w14:paraId="004F241D" w14:textId="77777777" w:rsidR="00E91426" w:rsidRPr="00E91426" w:rsidRDefault="00E91426" w:rsidP="00E91426">
            <w:pPr>
              <w:widowControl/>
              <w:rPr>
                <w:rFonts w:ascii="Arial" w:eastAsia="Times New Roman" w:hAnsi="Arial" w:cs="Arial"/>
                <w:sz w:val="20"/>
                <w:szCs w:val="20"/>
                <w:lang w:val="en-GB" w:eastAsia="en-GB"/>
              </w:rPr>
            </w:pPr>
          </w:p>
        </w:tc>
        <w:tc>
          <w:tcPr>
            <w:tcW w:w="977" w:type="dxa"/>
            <w:gridSpan w:val="2"/>
            <w:tcBorders>
              <w:top w:val="nil"/>
              <w:left w:val="nil"/>
              <w:bottom w:val="nil"/>
              <w:right w:val="nil"/>
            </w:tcBorders>
            <w:noWrap/>
            <w:vAlign w:val="bottom"/>
            <w:hideMark/>
          </w:tcPr>
          <w:p w14:paraId="7729191D" w14:textId="77777777" w:rsidR="00E91426" w:rsidRPr="00E91426" w:rsidRDefault="00E91426" w:rsidP="00E91426">
            <w:pPr>
              <w:widowControl/>
              <w:rPr>
                <w:rFonts w:ascii="Arial" w:eastAsia="Times New Roman" w:hAnsi="Arial" w:cs="Arial"/>
                <w:sz w:val="20"/>
                <w:szCs w:val="20"/>
                <w:lang w:val="en-GB" w:eastAsia="en-GB"/>
              </w:rPr>
            </w:pPr>
          </w:p>
        </w:tc>
        <w:tc>
          <w:tcPr>
            <w:tcW w:w="222" w:type="dxa"/>
            <w:gridSpan w:val="2"/>
            <w:tcBorders>
              <w:top w:val="nil"/>
              <w:left w:val="nil"/>
              <w:bottom w:val="nil"/>
              <w:right w:val="nil"/>
            </w:tcBorders>
            <w:noWrap/>
            <w:vAlign w:val="bottom"/>
            <w:hideMark/>
          </w:tcPr>
          <w:p w14:paraId="7EB570A8"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noWrap/>
            <w:vAlign w:val="bottom"/>
            <w:hideMark/>
          </w:tcPr>
          <w:p w14:paraId="11AFE6AD"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49BD5136" w14:textId="77777777" w:rsidTr="00E91426">
        <w:trPr>
          <w:trHeight w:val="462"/>
        </w:trPr>
        <w:tc>
          <w:tcPr>
            <w:tcW w:w="9983" w:type="dxa"/>
            <w:gridSpan w:val="15"/>
            <w:tcBorders>
              <w:top w:val="nil"/>
              <w:left w:val="nil"/>
              <w:bottom w:val="nil"/>
              <w:right w:val="nil"/>
            </w:tcBorders>
            <w:vAlign w:val="bottom"/>
            <w:hideMark/>
          </w:tcPr>
          <w:p w14:paraId="11AD8B15"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Lease payments for short term leases</w:t>
            </w:r>
            <w:r w:rsidRPr="00E91426">
              <w:rPr>
                <w:rFonts w:ascii="Arial" w:eastAsia="Times New Roman" w:hAnsi="Arial" w:cs="Arial"/>
                <w:color w:val="0070C0"/>
                <w:sz w:val="20"/>
                <w:szCs w:val="20"/>
                <w:lang w:val="en-GB" w:eastAsia="en-GB"/>
              </w:rPr>
              <w:t xml:space="preserve">, </w:t>
            </w:r>
            <w:r w:rsidRPr="00E91426">
              <w:rPr>
                <w:rFonts w:ascii="Arial" w:eastAsia="Times New Roman" w:hAnsi="Arial" w:cs="Arial"/>
                <w:sz w:val="20"/>
                <w:szCs w:val="20"/>
                <w:lang w:val="en-GB" w:eastAsia="en-GB"/>
              </w:rPr>
              <w:t>leases of low value underlying assets</w:t>
            </w:r>
            <w:r w:rsidRPr="00E91426">
              <w:rPr>
                <w:rFonts w:ascii="Arial" w:eastAsia="Times New Roman" w:hAnsi="Arial" w:cs="Arial"/>
                <w:color w:val="000000"/>
                <w:sz w:val="20"/>
                <w:szCs w:val="20"/>
                <w:lang w:val="en-GB" w:eastAsia="en-GB"/>
              </w:rPr>
              <w:t xml:space="preserve"> and variable lease payments not dependent on an index or rate are recognised in operating expenditure.</w:t>
            </w:r>
          </w:p>
        </w:tc>
      </w:tr>
      <w:tr w:rsidR="00E91426" w:rsidRPr="00E91426" w14:paraId="27619B22" w14:textId="77777777" w:rsidTr="00E91426">
        <w:trPr>
          <w:trHeight w:val="870"/>
        </w:trPr>
        <w:tc>
          <w:tcPr>
            <w:tcW w:w="9983" w:type="dxa"/>
            <w:gridSpan w:val="15"/>
            <w:tcBorders>
              <w:top w:val="nil"/>
              <w:left w:val="nil"/>
              <w:bottom w:val="nil"/>
              <w:right w:val="nil"/>
            </w:tcBorders>
            <w:hideMark/>
          </w:tcPr>
          <w:p w14:paraId="7EE16160"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 xml:space="preserve">These payments are disclosed in Note 5 Operating expenses. </w:t>
            </w:r>
            <w:r w:rsidRPr="00E91426">
              <w:rPr>
                <w:rFonts w:ascii="Arial" w:eastAsia="Times New Roman" w:hAnsi="Arial" w:cs="Arial"/>
                <w:color w:val="000000"/>
                <w:sz w:val="20"/>
                <w:szCs w:val="20"/>
                <w:lang w:val="en-GB" w:eastAsia="en-GB"/>
              </w:rPr>
              <w:br/>
              <w:t>Cash outflows in respect of leases recognised on statement of financial position are disclosed in the reconciliation above.</w:t>
            </w:r>
          </w:p>
        </w:tc>
      </w:tr>
      <w:tr w:rsidR="00E91426" w:rsidRPr="00E91426" w14:paraId="1D666CBC" w14:textId="77777777" w:rsidTr="00E91426">
        <w:trPr>
          <w:trHeight w:val="270"/>
        </w:trPr>
        <w:tc>
          <w:tcPr>
            <w:tcW w:w="4820" w:type="dxa"/>
            <w:gridSpan w:val="2"/>
            <w:tcBorders>
              <w:top w:val="nil"/>
              <w:left w:val="nil"/>
              <w:bottom w:val="nil"/>
              <w:right w:val="nil"/>
            </w:tcBorders>
            <w:noWrap/>
            <w:vAlign w:val="center"/>
            <w:hideMark/>
          </w:tcPr>
          <w:p w14:paraId="6689398C"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1360" w:type="dxa"/>
            <w:gridSpan w:val="3"/>
            <w:tcBorders>
              <w:top w:val="nil"/>
              <w:left w:val="nil"/>
              <w:bottom w:val="nil"/>
              <w:right w:val="nil"/>
            </w:tcBorders>
            <w:noWrap/>
            <w:vAlign w:val="bottom"/>
            <w:hideMark/>
          </w:tcPr>
          <w:p w14:paraId="397193AA" w14:textId="77777777" w:rsidR="00E91426" w:rsidRPr="00E91426" w:rsidRDefault="00E91426" w:rsidP="00E91426">
            <w:pPr>
              <w:widowControl/>
              <w:rPr>
                <w:rFonts w:ascii="Arial" w:eastAsia="Times New Roman" w:hAnsi="Arial" w:cs="Arial"/>
                <w:sz w:val="20"/>
                <w:szCs w:val="20"/>
                <w:lang w:val="en-GB" w:eastAsia="en-GB"/>
              </w:rPr>
            </w:pPr>
          </w:p>
        </w:tc>
        <w:tc>
          <w:tcPr>
            <w:tcW w:w="222" w:type="dxa"/>
            <w:tcBorders>
              <w:top w:val="nil"/>
              <w:left w:val="nil"/>
              <w:bottom w:val="nil"/>
              <w:right w:val="nil"/>
            </w:tcBorders>
            <w:noWrap/>
            <w:vAlign w:val="bottom"/>
            <w:hideMark/>
          </w:tcPr>
          <w:p w14:paraId="553AB87F" w14:textId="77777777" w:rsidR="00E91426" w:rsidRPr="00E91426" w:rsidRDefault="00E91426" w:rsidP="00E91426">
            <w:pPr>
              <w:widowControl/>
              <w:rPr>
                <w:rFonts w:ascii="Arial" w:eastAsia="Times New Roman" w:hAnsi="Arial" w:cs="Arial"/>
                <w:sz w:val="20"/>
                <w:szCs w:val="20"/>
                <w:lang w:val="en-GB" w:eastAsia="en-GB"/>
              </w:rPr>
            </w:pPr>
          </w:p>
        </w:tc>
        <w:tc>
          <w:tcPr>
            <w:tcW w:w="1200" w:type="dxa"/>
            <w:gridSpan w:val="3"/>
            <w:tcBorders>
              <w:top w:val="nil"/>
              <w:left w:val="nil"/>
              <w:bottom w:val="nil"/>
              <w:right w:val="nil"/>
            </w:tcBorders>
            <w:noWrap/>
            <w:vAlign w:val="bottom"/>
            <w:hideMark/>
          </w:tcPr>
          <w:p w14:paraId="48C4D4E0" w14:textId="77777777" w:rsidR="00E91426" w:rsidRPr="00E91426" w:rsidRDefault="00E91426" w:rsidP="00E91426">
            <w:pPr>
              <w:widowControl/>
              <w:rPr>
                <w:rFonts w:ascii="Arial" w:eastAsia="Times New Roman" w:hAnsi="Arial" w:cs="Arial"/>
                <w:sz w:val="20"/>
                <w:szCs w:val="20"/>
                <w:lang w:val="en-GB" w:eastAsia="en-GB"/>
              </w:rPr>
            </w:pPr>
          </w:p>
        </w:tc>
        <w:tc>
          <w:tcPr>
            <w:tcW w:w="222" w:type="dxa"/>
            <w:tcBorders>
              <w:top w:val="nil"/>
              <w:left w:val="nil"/>
              <w:bottom w:val="nil"/>
              <w:right w:val="nil"/>
            </w:tcBorders>
            <w:noWrap/>
            <w:vAlign w:val="bottom"/>
            <w:hideMark/>
          </w:tcPr>
          <w:p w14:paraId="42276F10" w14:textId="77777777" w:rsidR="00E91426" w:rsidRPr="00E91426" w:rsidRDefault="00E91426" w:rsidP="00E91426">
            <w:pPr>
              <w:widowControl/>
              <w:rPr>
                <w:rFonts w:ascii="Arial" w:eastAsia="Times New Roman" w:hAnsi="Arial" w:cs="Arial"/>
                <w:sz w:val="20"/>
                <w:szCs w:val="20"/>
                <w:lang w:val="en-GB" w:eastAsia="en-GB"/>
              </w:rPr>
            </w:pPr>
          </w:p>
        </w:tc>
        <w:tc>
          <w:tcPr>
            <w:tcW w:w="977" w:type="dxa"/>
            <w:gridSpan w:val="2"/>
            <w:tcBorders>
              <w:top w:val="nil"/>
              <w:left w:val="nil"/>
              <w:bottom w:val="nil"/>
              <w:right w:val="nil"/>
            </w:tcBorders>
            <w:noWrap/>
            <w:vAlign w:val="bottom"/>
            <w:hideMark/>
          </w:tcPr>
          <w:p w14:paraId="7DDCA2E8" w14:textId="77777777" w:rsidR="00E91426" w:rsidRPr="00E91426" w:rsidRDefault="00E91426" w:rsidP="00E91426">
            <w:pPr>
              <w:widowControl/>
              <w:rPr>
                <w:rFonts w:ascii="Arial" w:eastAsia="Times New Roman" w:hAnsi="Arial" w:cs="Arial"/>
                <w:sz w:val="20"/>
                <w:szCs w:val="20"/>
                <w:lang w:val="en-GB" w:eastAsia="en-GB"/>
              </w:rPr>
            </w:pPr>
          </w:p>
        </w:tc>
        <w:tc>
          <w:tcPr>
            <w:tcW w:w="222" w:type="dxa"/>
            <w:gridSpan w:val="2"/>
            <w:tcBorders>
              <w:top w:val="nil"/>
              <w:left w:val="nil"/>
              <w:bottom w:val="nil"/>
              <w:right w:val="nil"/>
            </w:tcBorders>
            <w:noWrap/>
            <w:vAlign w:val="bottom"/>
            <w:hideMark/>
          </w:tcPr>
          <w:p w14:paraId="1462A647"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noWrap/>
            <w:vAlign w:val="bottom"/>
            <w:hideMark/>
          </w:tcPr>
          <w:p w14:paraId="2791BF58"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23DDF4D0" w14:textId="77777777" w:rsidTr="00E91426">
        <w:trPr>
          <w:trHeight w:val="270"/>
        </w:trPr>
        <w:tc>
          <w:tcPr>
            <w:tcW w:w="7602" w:type="dxa"/>
            <w:gridSpan w:val="9"/>
            <w:tcBorders>
              <w:top w:val="nil"/>
              <w:left w:val="nil"/>
              <w:bottom w:val="nil"/>
              <w:right w:val="nil"/>
            </w:tcBorders>
            <w:vAlign w:val="bottom"/>
            <w:hideMark/>
          </w:tcPr>
          <w:p w14:paraId="7D6632FF"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Note 13.4 Maturity analysis of future lease payments </w:t>
            </w:r>
          </w:p>
          <w:p w14:paraId="54BF6482" w14:textId="77777777" w:rsidR="00E91426" w:rsidRPr="00E91426" w:rsidRDefault="00E91426" w:rsidP="00E91426">
            <w:pPr>
              <w:widowControl/>
              <w:rPr>
                <w:rFonts w:ascii="Arial" w:eastAsia="Times New Roman" w:hAnsi="Arial" w:cs="Arial"/>
                <w:b/>
                <w:bCs/>
                <w:color w:val="000000"/>
                <w:sz w:val="20"/>
                <w:szCs w:val="20"/>
                <w:lang w:val="en-GB" w:eastAsia="en-GB"/>
              </w:rPr>
            </w:pPr>
          </w:p>
          <w:p w14:paraId="4D7FC371"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222" w:type="dxa"/>
            <w:tcBorders>
              <w:top w:val="nil"/>
              <w:left w:val="nil"/>
              <w:bottom w:val="nil"/>
              <w:right w:val="nil"/>
            </w:tcBorders>
            <w:vAlign w:val="bottom"/>
            <w:hideMark/>
          </w:tcPr>
          <w:p w14:paraId="39799553"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977" w:type="dxa"/>
            <w:gridSpan w:val="2"/>
            <w:tcBorders>
              <w:top w:val="nil"/>
              <w:left w:val="nil"/>
              <w:bottom w:val="nil"/>
              <w:right w:val="nil"/>
            </w:tcBorders>
            <w:vAlign w:val="bottom"/>
            <w:hideMark/>
          </w:tcPr>
          <w:p w14:paraId="086271BD" w14:textId="77777777" w:rsidR="00E91426" w:rsidRPr="00E91426" w:rsidRDefault="00E91426" w:rsidP="00E91426">
            <w:pPr>
              <w:widowControl/>
              <w:rPr>
                <w:rFonts w:ascii="Arial" w:eastAsia="Times New Roman" w:hAnsi="Arial" w:cs="Arial"/>
                <w:sz w:val="20"/>
                <w:szCs w:val="20"/>
                <w:lang w:val="en-GB" w:eastAsia="en-GB"/>
              </w:rPr>
            </w:pPr>
          </w:p>
        </w:tc>
        <w:tc>
          <w:tcPr>
            <w:tcW w:w="222" w:type="dxa"/>
            <w:gridSpan w:val="2"/>
            <w:tcBorders>
              <w:top w:val="nil"/>
              <w:left w:val="nil"/>
              <w:bottom w:val="nil"/>
              <w:right w:val="nil"/>
            </w:tcBorders>
            <w:vAlign w:val="bottom"/>
            <w:hideMark/>
          </w:tcPr>
          <w:p w14:paraId="43B2184E"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vAlign w:val="bottom"/>
            <w:hideMark/>
          </w:tcPr>
          <w:p w14:paraId="225B4E77"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29CB7B81" w14:textId="77777777" w:rsidTr="00E91426">
        <w:trPr>
          <w:trHeight w:val="270"/>
        </w:trPr>
        <w:tc>
          <w:tcPr>
            <w:tcW w:w="4820" w:type="dxa"/>
            <w:gridSpan w:val="2"/>
            <w:tcBorders>
              <w:top w:val="nil"/>
              <w:left w:val="nil"/>
              <w:bottom w:val="nil"/>
              <w:right w:val="nil"/>
            </w:tcBorders>
            <w:vAlign w:val="bottom"/>
            <w:hideMark/>
          </w:tcPr>
          <w:p w14:paraId="15059147" w14:textId="77777777" w:rsidR="00E91426" w:rsidRPr="00E91426" w:rsidRDefault="00E91426" w:rsidP="00E91426">
            <w:pPr>
              <w:widowControl/>
              <w:rPr>
                <w:rFonts w:ascii="Arial" w:eastAsia="Times New Roman" w:hAnsi="Arial" w:cs="Arial"/>
                <w:sz w:val="20"/>
                <w:szCs w:val="20"/>
                <w:lang w:val="en-GB" w:eastAsia="en-GB"/>
              </w:rPr>
            </w:pPr>
          </w:p>
        </w:tc>
        <w:tc>
          <w:tcPr>
            <w:tcW w:w="1360" w:type="dxa"/>
            <w:gridSpan w:val="3"/>
            <w:tcBorders>
              <w:top w:val="nil"/>
              <w:left w:val="nil"/>
              <w:bottom w:val="nil"/>
              <w:right w:val="nil"/>
            </w:tcBorders>
            <w:vAlign w:val="bottom"/>
            <w:hideMark/>
          </w:tcPr>
          <w:p w14:paraId="11A30FBC" w14:textId="77777777" w:rsidR="00E91426" w:rsidRPr="00E91426" w:rsidRDefault="00E91426" w:rsidP="00E91426">
            <w:pPr>
              <w:widowControl/>
              <w:rPr>
                <w:rFonts w:ascii="Arial" w:eastAsia="Times New Roman" w:hAnsi="Arial" w:cs="Arial"/>
                <w:sz w:val="20"/>
                <w:szCs w:val="20"/>
                <w:lang w:val="en-GB" w:eastAsia="en-GB"/>
              </w:rPr>
            </w:pPr>
          </w:p>
        </w:tc>
        <w:tc>
          <w:tcPr>
            <w:tcW w:w="222" w:type="dxa"/>
            <w:tcBorders>
              <w:top w:val="nil"/>
              <w:left w:val="nil"/>
              <w:bottom w:val="nil"/>
              <w:right w:val="nil"/>
            </w:tcBorders>
            <w:vAlign w:val="bottom"/>
            <w:hideMark/>
          </w:tcPr>
          <w:p w14:paraId="379F68F4" w14:textId="77777777" w:rsidR="00E91426" w:rsidRPr="00E91426" w:rsidRDefault="00E91426" w:rsidP="00E91426">
            <w:pPr>
              <w:widowControl/>
              <w:rPr>
                <w:rFonts w:ascii="Arial" w:eastAsia="Times New Roman" w:hAnsi="Arial" w:cs="Arial"/>
                <w:sz w:val="20"/>
                <w:szCs w:val="20"/>
                <w:lang w:val="en-GB" w:eastAsia="en-GB"/>
              </w:rPr>
            </w:pPr>
          </w:p>
        </w:tc>
        <w:tc>
          <w:tcPr>
            <w:tcW w:w="1200" w:type="dxa"/>
            <w:gridSpan w:val="3"/>
            <w:tcBorders>
              <w:top w:val="nil"/>
              <w:left w:val="nil"/>
              <w:bottom w:val="nil"/>
              <w:right w:val="nil"/>
            </w:tcBorders>
            <w:vAlign w:val="bottom"/>
            <w:hideMark/>
          </w:tcPr>
          <w:p w14:paraId="798A2151" w14:textId="77777777" w:rsidR="00E91426" w:rsidRPr="00E91426" w:rsidRDefault="00E91426" w:rsidP="00E91426">
            <w:pPr>
              <w:widowControl/>
              <w:rPr>
                <w:rFonts w:ascii="Arial" w:eastAsia="Times New Roman" w:hAnsi="Arial" w:cs="Arial"/>
                <w:sz w:val="20"/>
                <w:szCs w:val="20"/>
                <w:lang w:val="en-GB" w:eastAsia="en-GB"/>
              </w:rPr>
            </w:pPr>
          </w:p>
        </w:tc>
        <w:tc>
          <w:tcPr>
            <w:tcW w:w="222" w:type="dxa"/>
            <w:tcBorders>
              <w:top w:val="nil"/>
              <w:left w:val="nil"/>
              <w:bottom w:val="nil"/>
              <w:right w:val="nil"/>
            </w:tcBorders>
            <w:vAlign w:val="bottom"/>
            <w:hideMark/>
          </w:tcPr>
          <w:p w14:paraId="432D27F9" w14:textId="77777777" w:rsidR="00E91426" w:rsidRPr="00E91426" w:rsidRDefault="00E91426" w:rsidP="00E91426">
            <w:pPr>
              <w:widowControl/>
              <w:rPr>
                <w:rFonts w:ascii="Arial" w:eastAsia="Times New Roman" w:hAnsi="Arial" w:cs="Arial"/>
                <w:sz w:val="20"/>
                <w:szCs w:val="20"/>
                <w:lang w:val="en-GB" w:eastAsia="en-GB"/>
              </w:rPr>
            </w:pPr>
          </w:p>
        </w:tc>
        <w:tc>
          <w:tcPr>
            <w:tcW w:w="977" w:type="dxa"/>
            <w:gridSpan w:val="2"/>
            <w:tcBorders>
              <w:top w:val="nil"/>
              <w:left w:val="nil"/>
              <w:bottom w:val="nil"/>
              <w:right w:val="nil"/>
            </w:tcBorders>
            <w:vAlign w:val="bottom"/>
            <w:hideMark/>
          </w:tcPr>
          <w:p w14:paraId="36634590" w14:textId="77777777" w:rsidR="00E91426" w:rsidRPr="00E91426" w:rsidRDefault="00E91426" w:rsidP="00E91426">
            <w:pPr>
              <w:widowControl/>
              <w:rPr>
                <w:rFonts w:ascii="Arial" w:eastAsia="Times New Roman" w:hAnsi="Arial" w:cs="Arial"/>
                <w:sz w:val="20"/>
                <w:szCs w:val="20"/>
                <w:lang w:val="en-GB" w:eastAsia="en-GB"/>
              </w:rPr>
            </w:pPr>
          </w:p>
        </w:tc>
        <w:tc>
          <w:tcPr>
            <w:tcW w:w="222" w:type="dxa"/>
            <w:gridSpan w:val="2"/>
            <w:tcBorders>
              <w:top w:val="nil"/>
              <w:left w:val="nil"/>
              <w:bottom w:val="nil"/>
              <w:right w:val="nil"/>
            </w:tcBorders>
            <w:vAlign w:val="bottom"/>
            <w:hideMark/>
          </w:tcPr>
          <w:p w14:paraId="19707171"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vAlign w:val="bottom"/>
            <w:hideMark/>
          </w:tcPr>
          <w:p w14:paraId="09BCC483" w14:textId="77777777" w:rsidR="00E91426" w:rsidRPr="00E91426" w:rsidRDefault="00E91426" w:rsidP="00E91426">
            <w:pPr>
              <w:widowControl/>
              <w:rPr>
                <w:rFonts w:ascii="Arial" w:eastAsia="Times New Roman" w:hAnsi="Arial" w:cs="Arial"/>
                <w:sz w:val="20"/>
                <w:szCs w:val="20"/>
                <w:lang w:val="en-GB" w:eastAsia="en-GB"/>
              </w:rPr>
            </w:pPr>
          </w:p>
        </w:tc>
      </w:tr>
      <w:bookmarkEnd w:id="73"/>
      <w:bookmarkEnd w:id="74"/>
      <w:tr w:rsidR="00E91426" w:rsidRPr="00E91426" w14:paraId="465967B8" w14:textId="77777777" w:rsidTr="00E91426">
        <w:trPr>
          <w:gridAfter w:val="2"/>
          <w:wAfter w:w="983" w:type="dxa"/>
          <w:trHeight w:val="202"/>
        </w:trPr>
        <w:tc>
          <w:tcPr>
            <w:tcW w:w="4396" w:type="dxa"/>
            <w:tcBorders>
              <w:top w:val="nil"/>
              <w:left w:val="nil"/>
              <w:bottom w:val="nil"/>
              <w:right w:val="nil"/>
            </w:tcBorders>
            <w:vAlign w:val="bottom"/>
            <w:hideMark/>
          </w:tcPr>
          <w:p w14:paraId="7E4DDA41" w14:textId="77777777" w:rsidR="00E91426" w:rsidRPr="00E91426" w:rsidRDefault="00E91426" w:rsidP="00E91426">
            <w:pPr>
              <w:widowControl/>
              <w:rPr>
                <w:rFonts w:ascii="Arial" w:eastAsia="Times New Roman" w:hAnsi="Arial" w:cs="Arial"/>
                <w:sz w:val="20"/>
                <w:szCs w:val="20"/>
                <w:lang w:val="en-GB" w:eastAsia="en-GB"/>
              </w:rPr>
            </w:pPr>
          </w:p>
        </w:tc>
        <w:tc>
          <w:tcPr>
            <w:tcW w:w="1186" w:type="dxa"/>
            <w:gridSpan w:val="2"/>
            <w:tcBorders>
              <w:top w:val="nil"/>
              <w:left w:val="nil"/>
              <w:bottom w:val="nil"/>
              <w:right w:val="nil"/>
            </w:tcBorders>
            <w:vAlign w:val="bottom"/>
            <w:hideMark/>
          </w:tcPr>
          <w:p w14:paraId="0BBADA04" w14:textId="77777777" w:rsidR="00E91426" w:rsidRPr="00E91426" w:rsidRDefault="00E91426" w:rsidP="00E91426">
            <w:pPr>
              <w:widowControl/>
              <w:rPr>
                <w:rFonts w:ascii="Arial" w:eastAsia="Times New Roman" w:hAnsi="Arial" w:cs="Arial"/>
                <w:sz w:val="20"/>
                <w:szCs w:val="20"/>
                <w:lang w:val="en-GB" w:eastAsia="en-GB"/>
              </w:rPr>
            </w:pPr>
          </w:p>
        </w:tc>
        <w:tc>
          <w:tcPr>
            <w:tcW w:w="202" w:type="dxa"/>
            <w:tcBorders>
              <w:top w:val="nil"/>
              <w:left w:val="nil"/>
              <w:bottom w:val="nil"/>
              <w:right w:val="nil"/>
            </w:tcBorders>
            <w:vAlign w:val="bottom"/>
            <w:hideMark/>
          </w:tcPr>
          <w:p w14:paraId="1A4A7C3C" w14:textId="77777777" w:rsidR="00E91426" w:rsidRPr="00E91426" w:rsidRDefault="00E91426" w:rsidP="00E91426">
            <w:pPr>
              <w:widowControl/>
              <w:rPr>
                <w:rFonts w:ascii="Arial" w:eastAsia="Times New Roman" w:hAnsi="Arial" w:cs="Arial"/>
                <w:sz w:val="20"/>
                <w:szCs w:val="20"/>
                <w:lang w:val="en-GB" w:eastAsia="en-GB"/>
              </w:rPr>
            </w:pPr>
          </w:p>
        </w:tc>
        <w:tc>
          <w:tcPr>
            <w:tcW w:w="1085" w:type="dxa"/>
            <w:gridSpan w:val="3"/>
            <w:tcBorders>
              <w:top w:val="nil"/>
              <w:left w:val="nil"/>
              <w:bottom w:val="nil"/>
              <w:right w:val="nil"/>
            </w:tcBorders>
            <w:vAlign w:val="bottom"/>
            <w:hideMark/>
          </w:tcPr>
          <w:p w14:paraId="368CC6CA" w14:textId="77777777" w:rsidR="00E91426" w:rsidRPr="00E91426" w:rsidRDefault="00E91426" w:rsidP="00E91426">
            <w:pPr>
              <w:widowControl/>
              <w:rPr>
                <w:rFonts w:ascii="Arial" w:eastAsia="Times New Roman" w:hAnsi="Arial" w:cs="Arial"/>
                <w:sz w:val="20"/>
                <w:szCs w:val="20"/>
                <w:lang w:val="en-GB" w:eastAsia="en-GB"/>
              </w:rPr>
            </w:pPr>
          </w:p>
        </w:tc>
        <w:tc>
          <w:tcPr>
            <w:tcW w:w="202" w:type="dxa"/>
            <w:tcBorders>
              <w:top w:val="nil"/>
              <w:left w:val="nil"/>
              <w:bottom w:val="nil"/>
              <w:right w:val="nil"/>
            </w:tcBorders>
            <w:vAlign w:val="bottom"/>
            <w:hideMark/>
          </w:tcPr>
          <w:p w14:paraId="51B307AD" w14:textId="77777777" w:rsidR="00E91426" w:rsidRPr="00E91426" w:rsidRDefault="00E91426" w:rsidP="00E91426">
            <w:pPr>
              <w:widowControl/>
              <w:rPr>
                <w:rFonts w:ascii="Arial" w:eastAsia="Times New Roman" w:hAnsi="Arial" w:cs="Arial"/>
                <w:sz w:val="20"/>
                <w:szCs w:val="20"/>
                <w:lang w:val="en-GB" w:eastAsia="en-GB"/>
              </w:rPr>
            </w:pPr>
          </w:p>
        </w:tc>
        <w:tc>
          <w:tcPr>
            <w:tcW w:w="1753" w:type="dxa"/>
            <w:gridSpan w:val="5"/>
            <w:tcBorders>
              <w:top w:val="nil"/>
              <w:left w:val="nil"/>
              <w:bottom w:val="nil"/>
              <w:right w:val="nil"/>
            </w:tcBorders>
            <w:vAlign w:val="bottom"/>
            <w:hideMark/>
          </w:tcPr>
          <w:p w14:paraId="5C3A5EF3" w14:textId="77777777" w:rsidR="00E91426" w:rsidRPr="00E91426" w:rsidRDefault="00E91426" w:rsidP="00E91426">
            <w:pPr>
              <w:widowControl/>
              <w:jc w:val="center"/>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 xml:space="preserve">*Restated  </w:t>
            </w:r>
          </w:p>
        </w:tc>
      </w:tr>
      <w:tr w:rsidR="00E91426" w:rsidRPr="00E91426" w14:paraId="722E2643" w14:textId="77777777" w:rsidTr="00E91426">
        <w:trPr>
          <w:gridAfter w:val="2"/>
          <w:wAfter w:w="983" w:type="dxa"/>
          <w:trHeight w:val="1041"/>
        </w:trPr>
        <w:tc>
          <w:tcPr>
            <w:tcW w:w="4396" w:type="dxa"/>
            <w:tcBorders>
              <w:top w:val="nil"/>
              <w:left w:val="nil"/>
              <w:bottom w:val="nil"/>
              <w:right w:val="nil"/>
            </w:tcBorders>
            <w:vAlign w:val="bottom"/>
            <w:hideMark/>
          </w:tcPr>
          <w:p w14:paraId="6EECD6B5" w14:textId="77777777" w:rsidR="00E91426" w:rsidRPr="00E91426" w:rsidRDefault="00E91426" w:rsidP="00E91426">
            <w:pPr>
              <w:widowControl/>
              <w:jc w:val="center"/>
              <w:rPr>
                <w:rFonts w:ascii="Arial" w:eastAsia="Times New Roman" w:hAnsi="Arial" w:cs="Arial"/>
                <w:color w:val="000000"/>
                <w:sz w:val="20"/>
                <w:szCs w:val="20"/>
                <w:lang w:val="en-GB" w:eastAsia="en-GB"/>
              </w:rPr>
            </w:pPr>
          </w:p>
        </w:tc>
        <w:tc>
          <w:tcPr>
            <w:tcW w:w="1186" w:type="dxa"/>
            <w:gridSpan w:val="2"/>
            <w:tcBorders>
              <w:top w:val="nil"/>
              <w:left w:val="nil"/>
              <w:bottom w:val="nil"/>
              <w:right w:val="nil"/>
            </w:tcBorders>
            <w:vAlign w:val="center"/>
            <w:hideMark/>
          </w:tcPr>
          <w:p w14:paraId="0EF5C7E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Total</w:t>
            </w:r>
          </w:p>
        </w:tc>
        <w:tc>
          <w:tcPr>
            <w:tcW w:w="202" w:type="dxa"/>
            <w:tcBorders>
              <w:top w:val="nil"/>
              <w:left w:val="nil"/>
              <w:bottom w:val="nil"/>
              <w:right w:val="nil"/>
            </w:tcBorders>
            <w:vAlign w:val="bottom"/>
            <w:hideMark/>
          </w:tcPr>
          <w:p w14:paraId="0603B7C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085" w:type="dxa"/>
            <w:gridSpan w:val="3"/>
            <w:tcBorders>
              <w:top w:val="nil"/>
              <w:left w:val="nil"/>
              <w:bottom w:val="nil"/>
              <w:right w:val="nil"/>
            </w:tcBorders>
            <w:vAlign w:val="bottom"/>
            <w:hideMark/>
          </w:tcPr>
          <w:p w14:paraId="57ADF740"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Of which leased from DHSC group bodies:</w:t>
            </w:r>
          </w:p>
        </w:tc>
        <w:tc>
          <w:tcPr>
            <w:tcW w:w="202" w:type="dxa"/>
            <w:tcBorders>
              <w:top w:val="nil"/>
              <w:left w:val="nil"/>
              <w:bottom w:val="nil"/>
              <w:right w:val="nil"/>
            </w:tcBorders>
            <w:vAlign w:val="bottom"/>
            <w:hideMark/>
          </w:tcPr>
          <w:p w14:paraId="47F347AA"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740" w:type="dxa"/>
            <w:gridSpan w:val="2"/>
            <w:tcBorders>
              <w:top w:val="nil"/>
              <w:left w:val="nil"/>
              <w:bottom w:val="nil"/>
              <w:right w:val="nil"/>
            </w:tcBorders>
            <w:vAlign w:val="center"/>
            <w:hideMark/>
          </w:tcPr>
          <w:p w14:paraId="5B11106F"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Total</w:t>
            </w:r>
          </w:p>
        </w:tc>
        <w:tc>
          <w:tcPr>
            <w:tcW w:w="202" w:type="dxa"/>
            <w:tcBorders>
              <w:top w:val="nil"/>
              <w:left w:val="nil"/>
              <w:bottom w:val="nil"/>
              <w:right w:val="nil"/>
            </w:tcBorders>
            <w:vAlign w:val="bottom"/>
            <w:hideMark/>
          </w:tcPr>
          <w:p w14:paraId="38B05DB2"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809" w:type="dxa"/>
            <w:gridSpan w:val="2"/>
            <w:tcBorders>
              <w:top w:val="nil"/>
              <w:left w:val="nil"/>
              <w:bottom w:val="nil"/>
              <w:right w:val="nil"/>
            </w:tcBorders>
            <w:vAlign w:val="bottom"/>
            <w:hideMark/>
          </w:tcPr>
          <w:p w14:paraId="61075AAA"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Of which leased from DHSC group bodies:</w:t>
            </w:r>
          </w:p>
        </w:tc>
      </w:tr>
      <w:tr w:rsidR="00E91426" w:rsidRPr="00E91426" w14:paraId="35D05BF0" w14:textId="77777777" w:rsidTr="00E91426">
        <w:trPr>
          <w:gridAfter w:val="2"/>
          <w:wAfter w:w="983" w:type="dxa"/>
          <w:trHeight w:val="524"/>
        </w:trPr>
        <w:tc>
          <w:tcPr>
            <w:tcW w:w="4396" w:type="dxa"/>
            <w:tcBorders>
              <w:top w:val="nil"/>
              <w:left w:val="nil"/>
              <w:bottom w:val="nil"/>
              <w:right w:val="nil"/>
            </w:tcBorders>
            <w:noWrap/>
            <w:vAlign w:val="center"/>
            <w:hideMark/>
          </w:tcPr>
          <w:p w14:paraId="6F7ED7DE"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186" w:type="dxa"/>
            <w:gridSpan w:val="2"/>
            <w:tcBorders>
              <w:top w:val="nil"/>
              <w:left w:val="nil"/>
              <w:bottom w:val="nil"/>
              <w:right w:val="nil"/>
            </w:tcBorders>
            <w:vAlign w:val="bottom"/>
            <w:hideMark/>
          </w:tcPr>
          <w:p w14:paraId="702C3F7B"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31 March 2025</w:t>
            </w:r>
          </w:p>
        </w:tc>
        <w:tc>
          <w:tcPr>
            <w:tcW w:w="202" w:type="dxa"/>
            <w:tcBorders>
              <w:top w:val="nil"/>
              <w:left w:val="nil"/>
              <w:bottom w:val="nil"/>
              <w:right w:val="nil"/>
            </w:tcBorders>
            <w:noWrap/>
            <w:vAlign w:val="bottom"/>
            <w:hideMark/>
          </w:tcPr>
          <w:p w14:paraId="6C8C37CF"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085" w:type="dxa"/>
            <w:gridSpan w:val="3"/>
            <w:tcBorders>
              <w:top w:val="nil"/>
              <w:left w:val="nil"/>
              <w:bottom w:val="nil"/>
              <w:right w:val="nil"/>
            </w:tcBorders>
            <w:vAlign w:val="bottom"/>
            <w:hideMark/>
          </w:tcPr>
          <w:p w14:paraId="5A45F03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31 March 2025</w:t>
            </w:r>
          </w:p>
        </w:tc>
        <w:tc>
          <w:tcPr>
            <w:tcW w:w="202" w:type="dxa"/>
            <w:tcBorders>
              <w:top w:val="nil"/>
              <w:left w:val="nil"/>
              <w:bottom w:val="nil"/>
              <w:right w:val="nil"/>
            </w:tcBorders>
            <w:noWrap/>
            <w:vAlign w:val="bottom"/>
            <w:hideMark/>
          </w:tcPr>
          <w:p w14:paraId="481D5D1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740" w:type="dxa"/>
            <w:gridSpan w:val="2"/>
            <w:tcBorders>
              <w:top w:val="nil"/>
              <w:left w:val="nil"/>
              <w:bottom w:val="nil"/>
              <w:right w:val="nil"/>
            </w:tcBorders>
            <w:vAlign w:val="bottom"/>
            <w:hideMark/>
          </w:tcPr>
          <w:p w14:paraId="2989703C"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31 March 2024</w:t>
            </w:r>
          </w:p>
        </w:tc>
        <w:tc>
          <w:tcPr>
            <w:tcW w:w="202" w:type="dxa"/>
            <w:tcBorders>
              <w:top w:val="nil"/>
              <w:left w:val="nil"/>
              <w:bottom w:val="nil"/>
              <w:right w:val="nil"/>
            </w:tcBorders>
            <w:vAlign w:val="bottom"/>
            <w:hideMark/>
          </w:tcPr>
          <w:p w14:paraId="18A373B5"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809" w:type="dxa"/>
            <w:gridSpan w:val="2"/>
            <w:tcBorders>
              <w:top w:val="nil"/>
              <w:left w:val="nil"/>
              <w:bottom w:val="nil"/>
              <w:right w:val="nil"/>
            </w:tcBorders>
            <w:vAlign w:val="bottom"/>
            <w:hideMark/>
          </w:tcPr>
          <w:p w14:paraId="519AAC4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31 March 2024</w:t>
            </w:r>
          </w:p>
        </w:tc>
      </w:tr>
      <w:tr w:rsidR="00E91426" w:rsidRPr="00E91426" w14:paraId="3CD15884" w14:textId="77777777" w:rsidTr="00E91426">
        <w:trPr>
          <w:gridAfter w:val="2"/>
          <w:wAfter w:w="983" w:type="dxa"/>
          <w:trHeight w:val="202"/>
        </w:trPr>
        <w:tc>
          <w:tcPr>
            <w:tcW w:w="4396" w:type="dxa"/>
            <w:tcBorders>
              <w:top w:val="nil"/>
              <w:left w:val="nil"/>
              <w:bottom w:val="nil"/>
              <w:right w:val="nil"/>
            </w:tcBorders>
            <w:noWrap/>
            <w:vAlign w:val="center"/>
            <w:hideMark/>
          </w:tcPr>
          <w:p w14:paraId="1563E3DA"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186" w:type="dxa"/>
            <w:gridSpan w:val="2"/>
            <w:tcBorders>
              <w:top w:val="nil"/>
              <w:left w:val="nil"/>
              <w:bottom w:val="nil"/>
              <w:right w:val="nil"/>
            </w:tcBorders>
            <w:vAlign w:val="bottom"/>
            <w:hideMark/>
          </w:tcPr>
          <w:p w14:paraId="3428D79F"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 £000  </w:t>
            </w:r>
          </w:p>
        </w:tc>
        <w:tc>
          <w:tcPr>
            <w:tcW w:w="202" w:type="dxa"/>
            <w:tcBorders>
              <w:top w:val="nil"/>
              <w:left w:val="nil"/>
              <w:bottom w:val="nil"/>
              <w:right w:val="nil"/>
            </w:tcBorders>
            <w:noWrap/>
            <w:vAlign w:val="bottom"/>
            <w:hideMark/>
          </w:tcPr>
          <w:p w14:paraId="1DE4B5CC"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085" w:type="dxa"/>
            <w:gridSpan w:val="3"/>
            <w:tcBorders>
              <w:top w:val="nil"/>
              <w:left w:val="nil"/>
              <w:bottom w:val="nil"/>
              <w:right w:val="nil"/>
            </w:tcBorders>
            <w:vAlign w:val="bottom"/>
            <w:hideMark/>
          </w:tcPr>
          <w:p w14:paraId="6A1F0E13"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 £000  </w:t>
            </w:r>
          </w:p>
        </w:tc>
        <w:tc>
          <w:tcPr>
            <w:tcW w:w="202" w:type="dxa"/>
            <w:tcBorders>
              <w:top w:val="nil"/>
              <w:left w:val="nil"/>
              <w:bottom w:val="nil"/>
              <w:right w:val="nil"/>
            </w:tcBorders>
            <w:noWrap/>
            <w:vAlign w:val="bottom"/>
            <w:hideMark/>
          </w:tcPr>
          <w:p w14:paraId="446BED3B"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740" w:type="dxa"/>
            <w:gridSpan w:val="2"/>
            <w:tcBorders>
              <w:top w:val="nil"/>
              <w:left w:val="nil"/>
              <w:bottom w:val="nil"/>
              <w:right w:val="nil"/>
            </w:tcBorders>
            <w:vAlign w:val="bottom"/>
            <w:hideMark/>
          </w:tcPr>
          <w:p w14:paraId="7B78D3B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 £000  </w:t>
            </w:r>
          </w:p>
        </w:tc>
        <w:tc>
          <w:tcPr>
            <w:tcW w:w="202" w:type="dxa"/>
            <w:tcBorders>
              <w:top w:val="nil"/>
              <w:left w:val="nil"/>
              <w:bottom w:val="nil"/>
              <w:right w:val="nil"/>
            </w:tcBorders>
            <w:noWrap/>
            <w:vAlign w:val="bottom"/>
            <w:hideMark/>
          </w:tcPr>
          <w:p w14:paraId="655EE0C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809" w:type="dxa"/>
            <w:gridSpan w:val="2"/>
            <w:tcBorders>
              <w:top w:val="nil"/>
              <w:left w:val="nil"/>
              <w:bottom w:val="nil"/>
              <w:right w:val="nil"/>
            </w:tcBorders>
            <w:vAlign w:val="bottom"/>
            <w:hideMark/>
          </w:tcPr>
          <w:p w14:paraId="03E32A10"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 £000  </w:t>
            </w:r>
          </w:p>
        </w:tc>
      </w:tr>
      <w:tr w:rsidR="00E91426" w:rsidRPr="00E91426" w14:paraId="5D754A38" w14:textId="77777777" w:rsidTr="00E91426">
        <w:trPr>
          <w:gridAfter w:val="2"/>
          <w:wAfter w:w="983" w:type="dxa"/>
          <w:trHeight w:val="202"/>
        </w:trPr>
        <w:tc>
          <w:tcPr>
            <w:tcW w:w="4396" w:type="dxa"/>
            <w:tcBorders>
              <w:top w:val="nil"/>
              <w:left w:val="nil"/>
              <w:bottom w:val="nil"/>
              <w:right w:val="nil"/>
            </w:tcBorders>
            <w:noWrap/>
            <w:vAlign w:val="center"/>
            <w:hideMark/>
          </w:tcPr>
          <w:p w14:paraId="463D9C57"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Undiscounted future lease payments payable in:</w:t>
            </w:r>
          </w:p>
        </w:tc>
        <w:tc>
          <w:tcPr>
            <w:tcW w:w="1186" w:type="dxa"/>
            <w:gridSpan w:val="2"/>
            <w:tcBorders>
              <w:top w:val="nil"/>
              <w:left w:val="nil"/>
              <w:bottom w:val="nil"/>
              <w:right w:val="nil"/>
            </w:tcBorders>
            <w:noWrap/>
            <w:vAlign w:val="bottom"/>
            <w:hideMark/>
          </w:tcPr>
          <w:p w14:paraId="44A38E05"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202" w:type="dxa"/>
            <w:tcBorders>
              <w:top w:val="nil"/>
              <w:left w:val="nil"/>
              <w:bottom w:val="nil"/>
              <w:right w:val="nil"/>
            </w:tcBorders>
            <w:noWrap/>
            <w:vAlign w:val="bottom"/>
            <w:hideMark/>
          </w:tcPr>
          <w:p w14:paraId="518C3C8B" w14:textId="77777777" w:rsidR="00E91426" w:rsidRPr="00E91426" w:rsidRDefault="00E91426" w:rsidP="00E91426">
            <w:pPr>
              <w:widowControl/>
              <w:rPr>
                <w:rFonts w:ascii="Arial" w:eastAsia="Times New Roman" w:hAnsi="Arial" w:cs="Arial"/>
                <w:sz w:val="20"/>
                <w:szCs w:val="20"/>
                <w:lang w:val="en-GB" w:eastAsia="en-GB"/>
              </w:rPr>
            </w:pPr>
          </w:p>
        </w:tc>
        <w:tc>
          <w:tcPr>
            <w:tcW w:w="1085" w:type="dxa"/>
            <w:gridSpan w:val="3"/>
            <w:tcBorders>
              <w:top w:val="nil"/>
              <w:left w:val="nil"/>
              <w:bottom w:val="nil"/>
              <w:right w:val="nil"/>
            </w:tcBorders>
            <w:noWrap/>
            <w:vAlign w:val="bottom"/>
            <w:hideMark/>
          </w:tcPr>
          <w:p w14:paraId="0BFB7B76" w14:textId="77777777" w:rsidR="00E91426" w:rsidRPr="00E91426" w:rsidRDefault="00E91426" w:rsidP="00E91426">
            <w:pPr>
              <w:widowControl/>
              <w:rPr>
                <w:rFonts w:ascii="Arial" w:eastAsia="Times New Roman" w:hAnsi="Arial" w:cs="Arial"/>
                <w:sz w:val="20"/>
                <w:szCs w:val="20"/>
                <w:lang w:val="en-GB" w:eastAsia="en-GB"/>
              </w:rPr>
            </w:pPr>
          </w:p>
        </w:tc>
        <w:tc>
          <w:tcPr>
            <w:tcW w:w="202" w:type="dxa"/>
            <w:tcBorders>
              <w:top w:val="nil"/>
              <w:left w:val="nil"/>
              <w:bottom w:val="nil"/>
              <w:right w:val="nil"/>
            </w:tcBorders>
            <w:noWrap/>
            <w:vAlign w:val="bottom"/>
            <w:hideMark/>
          </w:tcPr>
          <w:p w14:paraId="49BC24F9" w14:textId="77777777" w:rsidR="00E91426" w:rsidRPr="00E91426" w:rsidRDefault="00E91426" w:rsidP="00E91426">
            <w:pPr>
              <w:widowControl/>
              <w:rPr>
                <w:rFonts w:ascii="Arial" w:eastAsia="Times New Roman" w:hAnsi="Arial" w:cs="Arial"/>
                <w:sz w:val="20"/>
                <w:szCs w:val="20"/>
                <w:lang w:val="en-GB" w:eastAsia="en-GB"/>
              </w:rPr>
            </w:pPr>
          </w:p>
        </w:tc>
        <w:tc>
          <w:tcPr>
            <w:tcW w:w="740" w:type="dxa"/>
            <w:gridSpan w:val="2"/>
            <w:tcBorders>
              <w:top w:val="nil"/>
              <w:left w:val="nil"/>
              <w:bottom w:val="nil"/>
              <w:right w:val="nil"/>
            </w:tcBorders>
            <w:noWrap/>
            <w:vAlign w:val="bottom"/>
            <w:hideMark/>
          </w:tcPr>
          <w:p w14:paraId="51E34CC2" w14:textId="77777777" w:rsidR="00E91426" w:rsidRPr="00E91426" w:rsidRDefault="00E91426" w:rsidP="00E91426">
            <w:pPr>
              <w:widowControl/>
              <w:rPr>
                <w:rFonts w:ascii="Arial" w:eastAsia="Times New Roman" w:hAnsi="Arial" w:cs="Arial"/>
                <w:sz w:val="20"/>
                <w:szCs w:val="20"/>
                <w:lang w:val="en-GB" w:eastAsia="en-GB"/>
              </w:rPr>
            </w:pPr>
          </w:p>
        </w:tc>
        <w:tc>
          <w:tcPr>
            <w:tcW w:w="202" w:type="dxa"/>
            <w:tcBorders>
              <w:top w:val="nil"/>
              <w:left w:val="nil"/>
              <w:bottom w:val="nil"/>
              <w:right w:val="nil"/>
            </w:tcBorders>
            <w:noWrap/>
            <w:vAlign w:val="bottom"/>
            <w:hideMark/>
          </w:tcPr>
          <w:p w14:paraId="18048253" w14:textId="77777777" w:rsidR="00E91426" w:rsidRPr="00E91426" w:rsidRDefault="00E91426" w:rsidP="00E91426">
            <w:pPr>
              <w:widowControl/>
              <w:rPr>
                <w:rFonts w:ascii="Arial" w:eastAsia="Times New Roman" w:hAnsi="Arial" w:cs="Arial"/>
                <w:sz w:val="20"/>
                <w:szCs w:val="20"/>
                <w:lang w:val="en-GB" w:eastAsia="en-GB"/>
              </w:rPr>
            </w:pPr>
          </w:p>
        </w:tc>
        <w:tc>
          <w:tcPr>
            <w:tcW w:w="809" w:type="dxa"/>
            <w:gridSpan w:val="2"/>
            <w:tcBorders>
              <w:top w:val="nil"/>
              <w:left w:val="nil"/>
              <w:bottom w:val="nil"/>
              <w:right w:val="nil"/>
            </w:tcBorders>
            <w:noWrap/>
            <w:vAlign w:val="bottom"/>
            <w:hideMark/>
          </w:tcPr>
          <w:p w14:paraId="00086773"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06423F0E" w14:textId="77777777" w:rsidTr="00E91426">
        <w:trPr>
          <w:gridAfter w:val="2"/>
          <w:wAfter w:w="983" w:type="dxa"/>
          <w:trHeight w:val="202"/>
        </w:trPr>
        <w:tc>
          <w:tcPr>
            <w:tcW w:w="4396" w:type="dxa"/>
            <w:tcBorders>
              <w:top w:val="nil"/>
              <w:left w:val="nil"/>
              <w:bottom w:val="nil"/>
              <w:right w:val="nil"/>
            </w:tcBorders>
            <w:noWrap/>
            <w:vAlign w:val="center"/>
            <w:hideMark/>
          </w:tcPr>
          <w:p w14:paraId="77AD1CF6"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 not later than one year;</w:t>
            </w:r>
          </w:p>
        </w:tc>
        <w:tc>
          <w:tcPr>
            <w:tcW w:w="1186" w:type="dxa"/>
            <w:gridSpan w:val="2"/>
            <w:tcBorders>
              <w:top w:val="nil"/>
              <w:left w:val="nil"/>
              <w:bottom w:val="nil"/>
              <w:right w:val="nil"/>
            </w:tcBorders>
            <w:noWrap/>
            <w:vAlign w:val="bottom"/>
            <w:hideMark/>
          </w:tcPr>
          <w:p w14:paraId="473CEFF2"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 xml:space="preserve">234 </w:t>
            </w:r>
          </w:p>
        </w:tc>
        <w:tc>
          <w:tcPr>
            <w:tcW w:w="202" w:type="dxa"/>
            <w:tcBorders>
              <w:top w:val="nil"/>
              <w:left w:val="nil"/>
              <w:bottom w:val="nil"/>
              <w:right w:val="nil"/>
            </w:tcBorders>
            <w:noWrap/>
            <w:vAlign w:val="bottom"/>
            <w:hideMark/>
          </w:tcPr>
          <w:p w14:paraId="07CDE405"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85" w:type="dxa"/>
            <w:gridSpan w:val="3"/>
            <w:tcBorders>
              <w:top w:val="nil"/>
              <w:left w:val="nil"/>
              <w:bottom w:val="nil"/>
              <w:right w:val="nil"/>
            </w:tcBorders>
            <w:noWrap/>
            <w:vAlign w:val="bottom"/>
            <w:hideMark/>
          </w:tcPr>
          <w:p w14:paraId="00B143C6"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 xml:space="preserve">103 </w:t>
            </w:r>
          </w:p>
        </w:tc>
        <w:tc>
          <w:tcPr>
            <w:tcW w:w="202" w:type="dxa"/>
            <w:tcBorders>
              <w:top w:val="nil"/>
              <w:left w:val="nil"/>
              <w:bottom w:val="nil"/>
              <w:right w:val="nil"/>
            </w:tcBorders>
            <w:noWrap/>
            <w:vAlign w:val="bottom"/>
            <w:hideMark/>
          </w:tcPr>
          <w:p w14:paraId="2B81BFFF"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740" w:type="dxa"/>
            <w:gridSpan w:val="2"/>
            <w:tcBorders>
              <w:top w:val="nil"/>
              <w:left w:val="nil"/>
              <w:bottom w:val="nil"/>
              <w:right w:val="nil"/>
            </w:tcBorders>
            <w:noWrap/>
            <w:vAlign w:val="bottom"/>
            <w:hideMark/>
          </w:tcPr>
          <w:p w14:paraId="2BAF74E7"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 xml:space="preserve">271 </w:t>
            </w:r>
          </w:p>
        </w:tc>
        <w:tc>
          <w:tcPr>
            <w:tcW w:w="202" w:type="dxa"/>
            <w:tcBorders>
              <w:top w:val="nil"/>
              <w:left w:val="nil"/>
              <w:bottom w:val="nil"/>
              <w:right w:val="nil"/>
            </w:tcBorders>
            <w:noWrap/>
            <w:vAlign w:val="bottom"/>
            <w:hideMark/>
          </w:tcPr>
          <w:p w14:paraId="05248A0A"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809" w:type="dxa"/>
            <w:gridSpan w:val="2"/>
            <w:tcBorders>
              <w:top w:val="nil"/>
              <w:left w:val="nil"/>
              <w:bottom w:val="nil"/>
              <w:right w:val="nil"/>
            </w:tcBorders>
            <w:noWrap/>
            <w:vAlign w:val="bottom"/>
            <w:hideMark/>
          </w:tcPr>
          <w:p w14:paraId="65D061BB"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113</w:t>
            </w:r>
          </w:p>
        </w:tc>
      </w:tr>
      <w:tr w:rsidR="00E91426" w:rsidRPr="00E91426" w14:paraId="3E2DE15E" w14:textId="77777777" w:rsidTr="00E91426">
        <w:trPr>
          <w:gridAfter w:val="2"/>
          <w:wAfter w:w="983" w:type="dxa"/>
          <w:trHeight w:val="202"/>
        </w:trPr>
        <w:tc>
          <w:tcPr>
            <w:tcW w:w="4396" w:type="dxa"/>
            <w:tcBorders>
              <w:top w:val="nil"/>
              <w:left w:val="nil"/>
              <w:bottom w:val="nil"/>
              <w:right w:val="nil"/>
            </w:tcBorders>
            <w:noWrap/>
            <w:vAlign w:val="center"/>
            <w:hideMark/>
          </w:tcPr>
          <w:p w14:paraId="3679BE79"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 later than one year and not later than five years;</w:t>
            </w:r>
          </w:p>
        </w:tc>
        <w:tc>
          <w:tcPr>
            <w:tcW w:w="1186" w:type="dxa"/>
            <w:gridSpan w:val="2"/>
            <w:tcBorders>
              <w:top w:val="nil"/>
              <w:left w:val="nil"/>
              <w:bottom w:val="nil"/>
              <w:right w:val="nil"/>
            </w:tcBorders>
            <w:noWrap/>
            <w:vAlign w:val="bottom"/>
            <w:hideMark/>
          </w:tcPr>
          <w:p w14:paraId="778CFF3F"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 xml:space="preserve">944 </w:t>
            </w:r>
          </w:p>
        </w:tc>
        <w:tc>
          <w:tcPr>
            <w:tcW w:w="202" w:type="dxa"/>
            <w:tcBorders>
              <w:top w:val="nil"/>
              <w:left w:val="nil"/>
              <w:bottom w:val="nil"/>
              <w:right w:val="nil"/>
            </w:tcBorders>
            <w:noWrap/>
            <w:vAlign w:val="bottom"/>
            <w:hideMark/>
          </w:tcPr>
          <w:p w14:paraId="7729052D"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85" w:type="dxa"/>
            <w:gridSpan w:val="3"/>
            <w:tcBorders>
              <w:top w:val="nil"/>
              <w:left w:val="nil"/>
              <w:bottom w:val="nil"/>
              <w:right w:val="nil"/>
            </w:tcBorders>
            <w:noWrap/>
            <w:vAlign w:val="bottom"/>
            <w:hideMark/>
          </w:tcPr>
          <w:p w14:paraId="7BB881C3"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 xml:space="preserve">575 </w:t>
            </w:r>
          </w:p>
        </w:tc>
        <w:tc>
          <w:tcPr>
            <w:tcW w:w="202" w:type="dxa"/>
            <w:tcBorders>
              <w:top w:val="nil"/>
              <w:left w:val="nil"/>
              <w:bottom w:val="nil"/>
              <w:right w:val="nil"/>
            </w:tcBorders>
            <w:noWrap/>
            <w:vAlign w:val="bottom"/>
            <w:hideMark/>
          </w:tcPr>
          <w:p w14:paraId="7056FDC3"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740" w:type="dxa"/>
            <w:gridSpan w:val="2"/>
            <w:tcBorders>
              <w:top w:val="nil"/>
              <w:left w:val="nil"/>
              <w:bottom w:val="nil"/>
              <w:right w:val="nil"/>
            </w:tcBorders>
            <w:noWrap/>
            <w:vAlign w:val="bottom"/>
            <w:hideMark/>
          </w:tcPr>
          <w:p w14:paraId="54521FA5"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 xml:space="preserve">1,102 </w:t>
            </w:r>
          </w:p>
        </w:tc>
        <w:tc>
          <w:tcPr>
            <w:tcW w:w="202" w:type="dxa"/>
            <w:tcBorders>
              <w:top w:val="nil"/>
              <w:left w:val="nil"/>
              <w:bottom w:val="nil"/>
              <w:right w:val="nil"/>
            </w:tcBorders>
            <w:noWrap/>
            <w:vAlign w:val="bottom"/>
            <w:hideMark/>
          </w:tcPr>
          <w:p w14:paraId="6D94D5E1"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809" w:type="dxa"/>
            <w:gridSpan w:val="2"/>
            <w:tcBorders>
              <w:top w:val="nil"/>
              <w:left w:val="nil"/>
              <w:bottom w:val="nil"/>
              <w:right w:val="nil"/>
            </w:tcBorders>
            <w:noWrap/>
            <w:vAlign w:val="bottom"/>
            <w:hideMark/>
          </w:tcPr>
          <w:p w14:paraId="01DE09E2"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566</w:t>
            </w:r>
          </w:p>
        </w:tc>
      </w:tr>
      <w:tr w:rsidR="00E91426" w:rsidRPr="00E91426" w14:paraId="138CC78D" w14:textId="77777777" w:rsidTr="00E91426">
        <w:trPr>
          <w:gridAfter w:val="2"/>
          <w:wAfter w:w="983" w:type="dxa"/>
          <w:trHeight w:val="202"/>
        </w:trPr>
        <w:tc>
          <w:tcPr>
            <w:tcW w:w="4396" w:type="dxa"/>
            <w:tcBorders>
              <w:top w:val="nil"/>
              <w:left w:val="nil"/>
              <w:bottom w:val="nil"/>
              <w:right w:val="nil"/>
            </w:tcBorders>
            <w:noWrap/>
            <w:vAlign w:val="center"/>
            <w:hideMark/>
          </w:tcPr>
          <w:p w14:paraId="012BAAD2"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 later than five years.</w:t>
            </w:r>
          </w:p>
        </w:tc>
        <w:tc>
          <w:tcPr>
            <w:tcW w:w="1186" w:type="dxa"/>
            <w:gridSpan w:val="2"/>
            <w:tcBorders>
              <w:top w:val="nil"/>
              <w:left w:val="nil"/>
              <w:bottom w:val="nil"/>
              <w:right w:val="nil"/>
            </w:tcBorders>
            <w:noWrap/>
            <w:vAlign w:val="bottom"/>
            <w:hideMark/>
          </w:tcPr>
          <w:p w14:paraId="0344F257"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 xml:space="preserve">248 </w:t>
            </w:r>
          </w:p>
        </w:tc>
        <w:tc>
          <w:tcPr>
            <w:tcW w:w="202" w:type="dxa"/>
            <w:tcBorders>
              <w:top w:val="nil"/>
              <w:left w:val="nil"/>
              <w:bottom w:val="nil"/>
              <w:right w:val="nil"/>
            </w:tcBorders>
            <w:noWrap/>
            <w:vAlign w:val="bottom"/>
            <w:hideMark/>
          </w:tcPr>
          <w:p w14:paraId="0711A1FE"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85" w:type="dxa"/>
            <w:gridSpan w:val="3"/>
            <w:tcBorders>
              <w:top w:val="nil"/>
              <w:left w:val="nil"/>
              <w:bottom w:val="nil"/>
              <w:right w:val="nil"/>
            </w:tcBorders>
            <w:noWrap/>
            <w:vAlign w:val="bottom"/>
            <w:hideMark/>
          </w:tcPr>
          <w:p w14:paraId="4A803698"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 xml:space="preserve">248 </w:t>
            </w:r>
          </w:p>
        </w:tc>
        <w:tc>
          <w:tcPr>
            <w:tcW w:w="202" w:type="dxa"/>
            <w:tcBorders>
              <w:top w:val="nil"/>
              <w:left w:val="nil"/>
              <w:bottom w:val="nil"/>
              <w:right w:val="nil"/>
            </w:tcBorders>
            <w:noWrap/>
            <w:vAlign w:val="bottom"/>
            <w:hideMark/>
          </w:tcPr>
          <w:p w14:paraId="33BB41F4"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740" w:type="dxa"/>
            <w:gridSpan w:val="2"/>
            <w:tcBorders>
              <w:top w:val="nil"/>
              <w:left w:val="nil"/>
              <w:bottom w:val="nil"/>
              <w:right w:val="nil"/>
            </w:tcBorders>
            <w:noWrap/>
            <w:vAlign w:val="bottom"/>
            <w:hideMark/>
          </w:tcPr>
          <w:p w14:paraId="31DDFB1E"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359</w:t>
            </w:r>
          </w:p>
        </w:tc>
        <w:tc>
          <w:tcPr>
            <w:tcW w:w="202" w:type="dxa"/>
            <w:tcBorders>
              <w:top w:val="nil"/>
              <w:left w:val="nil"/>
              <w:bottom w:val="nil"/>
              <w:right w:val="nil"/>
            </w:tcBorders>
            <w:noWrap/>
            <w:vAlign w:val="bottom"/>
            <w:hideMark/>
          </w:tcPr>
          <w:p w14:paraId="2BF780B2"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809" w:type="dxa"/>
            <w:gridSpan w:val="2"/>
            <w:tcBorders>
              <w:top w:val="nil"/>
              <w:left w:val="nil"/>
              <w:bottom w:val="nil"/>
              <w:right w:val="nil"/>
            </w:tcBorders>
            <w:noWrap/>
            <w:vAlign w:val="bottom"/>
            <w:hideMark/>
          </w:tcPr>
          <w:p w14:paraId="5110FB7D"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359</w:t>
            </w:r>
          </w:p>
        </w:tc>
      </w:tr>
      <w:tr w:rsidR="00E91426" w:rsidRPr="00E91426" w14:paraId="2E345D24" w14:textId="77777777" w:rsidTr="00E91426">
        <w:trPr>
          <w:gridAfter w:val="2"/>
          <w:wAfter w:w="983" w:type="dxa"/>
          <w:trHeight w:val="202"/>
        </w:trPr>
        <w:tc>
          <w:tcPr>
            <w:tcW w:w="4396" w:type="dxa"/>
            <w:tcBorders>
              <w:top w:val="nil"/>
              <w:left w:val="nil"/>
              <w:bottom w:val="nil"/>
              <w:right w:val="nil"/>
            </w:tcBorders>
            <w:noWrap/>
            <w:vAlign w:val="center"/>
            <w:hideMark/>
          </w:tcPr>
          <w:p w14:paraId="1AD0173C"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Total gross future lease payments</w:t>
            </w:r>
          </w:p>
        </w:tc>
        <w:tc>
          <w:tcPr>
            <w:tcW w:w="1186" w:type="dxa"/>
            <w:gridSpan w:val="2"/>
            <w:tcBorders>
              <w:top w:val="single" w:sz="4" w:space="0" w:color="auto"/>
              <w:left w:val="nil"/>
              <w:bottom w:val="single" w:sz="4" w:space="0" w:color="auto"/>
              <w:right w:val="nil"/>
            </w:tcBorders>
            <w:noWrap/>
            <w:vAlign w:val="bottom"/>
            <w:hideMark/>
          </w:tcPr>
          <w:p w14:paraId="3C181650"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1,426 </w:t>
            </w:r>
          </w:p>
        </w:tc>
        <w:tc>
          <w:tcPr>
            <w:tcW w:w="202" w:type="dxa"/>
            <w:tcBorders>
              <w:top w:val="nil"/>
              <w:left w:val="nil"/>
              <w:bottom w:val="nil"/>
              <w:right w:val="nil"/>
            </w:tcBorders>
            <w:noWrap/>
            <w:vAlign w:val="bottom"/>
            <w:hideMark/>
          </w:tcPr>
          <w:p w14:paraId="031CD9C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085" w:type="dxa"/>
            <w:gridSpan w:val="3"/>
            <w:tcBorders>
              <w:top w:val="single" w:sz="4" w:space="0" w:color="auto"/>
              <w:left w:val="nil"/>
              <w:bottom w:val="single" w:sz="4" w:space="0" w:color="auto"/>
              <w:right w:val="nil"/>
            </w:tcBorders>
            <w:noWrap/>
            <w:vAlign w:val="bottom"/>
            <w:hideMark/>
          </w:tcPr>
          <w:p w14:paraId="04DB4B30"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926 </w:t>
            </w:r>
          </w:p>
        </w:tc>
        <w:tc>
          <w:tcPr>
            <w:tcW w:w="202" w:type="dxa"/>
            <w:tcBorders>
              <w:top w:val="nil"/>
              <w:left w:val="nil"/>
              <w:bottom w:val="nil"/>
              <w:right w:val="nil"/>
            </w:tcBorders>
            <w:noWrap/>
            <w:vAlign w:val="bottom"/>
            <w:hideMark/>
          </w:tcPr>
          <w:p w14:paraId="6BE02423"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740" w:type="dxa"/>
            <w:gridSpan w:val="2"/>
            <w:tcBorders>
              <w:top w:val="single" w:sz="4" w:space="0" w:color="auto"/>
              <w:left w:val="nil"/>
              <w:bottom w:val="single" w:sz="4" w:space="0" w:color="auto"/>
              <w:right w:val="nil"/>
            </w:tcBorders>
            <w:noWrap/>
            <w:vAlign w:val="bottom"/>
            <w:hideMark/>
          </w:tcPr>
          <w:p w14:paraId="10D7504A"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1,732 </w:t>
            </w:r>
          </w:p>
        </w:tc>
        <w:tc>
          <w:tcPr>
            <w:tcW w:w="202" w:type="dxa"/>
            <w:tcBorders>
              <w:top w:val="nil"/>
              <w:left w:val="nil"/>
              <w:bottom w:val="nil"/>
              <w:right w:val="nil"/>
            </w:tcBorders>
            <w:noWrap/>
            <w:vAlign w:val="bottom"/>
            <w:hideMark/>
          </w:tcPr>
          <w:p w14:paraId="2F2FDBB5"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809" w:type="dxa"/>
            <w:gridSpan w:val="2"/>
            <w:tcBorders>
              <w:top w:val="single" w:sz="4" w:space="0" w:color="auto"/>
              <w:left w:val="nil"/>
              <w:bottom w:val="single" w:sz="4" w:space="0" w:color="auto"/>
              <w:right w:val="nil"/>
            </w:tcBorders>
            <w:noWrap/>
            <w:vAlign w:val="bottom"/>
            <w:hideMark/>
          </w:tcPr>
          <w:p w14:paraId="5A0C8AC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1,038</w:t>
            </w:r>
          </w:p>
        </w:tc>
      </w:tr>
      <w:tr w:rsidR="00E91426" w:rsidRPr="00E91426" w14:paraId="6480AE5B" w14:textId="77777777" w:rsidTr="00E91426">
        <w:trPr>
          <w:gridAfter w:val="2"/>
          <w:wAfter w:w="983" w:type="dxa"/>
          <w:trHeight w:val="202"/>
        </w:trPr>
        <w:tc>
          <w:tcPr>
            <w:tcW w:w="4396" w:type="dxa"/>
            <w:tcBorders>
              <w:top w:val="nil"/>
              <w:left w:val="nil"/>
              <w:bottom w:val="nil"/>
              <w:right w:val="nil"/>
            </w:tcBorders>
            <w:noWrap/>
            <w:vAlign w:val="center"/>
            <w:hideMark/>
          </w:tcPr>
          <w:p w14:paraId="29E6030C"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 xml:space="preserve">Finance charges allocated to future periods </w:t>
            </w:r>
          </w:p>
        </w:tc>
        <w:tc>
          <w:tcPr>
            <w:tcW w:w="1186" w:type="dxa"/>
            <w:gridSpan w:val="2"/>
            <w:tcBorders>
              <w:top w:val="nil"/>
              <w:left w:val="nil"/>
              <w:bottom w:val="nil"/>
              <w:right w:val="nil"/>
            </w:tcBorders>
            <w:noWrap/>
            <w:vAlign w:val="center"/>
            <w:hideMark/>
          </w:tcPr>
          <w:p w14:paraId="780FBC72"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(159)</w:t>
            </w:r>
          </w:p>
        </w:tc>
        <w:tc>
          <w:tcPr>
            <w:tcW w:w="202" w:type="dxa"/>
            <w:tcBorders>
              <w:top w:val="nil"/>
              <w:left w:val="nil"/>
              <w:bottom w:val="nil"/>
              <w:right w:val="nil"/>
            </w:tcBorders>
            <w:noWrap/>
            <w:vAlign w:val="bottom"/>
            <w:hideMark/>
          </w:tcPr>
          <w:p w14:paraId="0EBD607F"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85" w:type="dxa"/>
            <w:gridSpan w:val="3"/>
            <w:tcBorders>
              <w:top w:val="nil"/>
              <w:left w:val="nil"/>
              <w:bottom w:val="nil"/>
              <w:right w:val="nil"/>
            </w:tcBorders>
            <w:noWrap/>
            <w:vAlign w:val="center"/>
            <w:hideMark/>
          </w:tcPr>
          <w:p w14:paraId="122B9E03"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(126)</w:t>
            </w:r>
          </w:p>
        </w:tc>
        <w:tc>
          <w:tcPr>
            <w:tcW w:w="202" w:type="dxa"/>
            <w:tcBorders>
              <w:top w:val="nil"/>
              <w:left w:val="nil"/>
              <w:bottom w:val="nil"/>
              <w:right w:val="nil"/>
            </w:tcBorders>
            <w:noWrap/>
            <w:vAlign w:val="bottom"/>
            <w:hideMark/>
          </w:tcPr>
          <w:p w14:paraId="2E59A392"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740" w:type="dxa"/>
            <w:gridSpan w:val="2"/>
            <w:tcBorders>
              <w:top w:val="nil"/>
              <w:left w:val="nil"/>
              <w:bottom w:val="nil"/>
              <w:right w:val="nil"/>
            </w:tcBorders>
            <w:noWrap/>
            <w:vAlign w:val="center"/>
            <w:hideMark/>
          </w:tcPr>
          <w:p w14:paraId="3FE4E0A5"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(209)</w:t>
            </w:r>
          </w:p>
        </w:tc>
        <w:tc>
          <w:tcPr>
            <w:tcW w:w="202" w:type="dxa"/>
            <w:tcBorders>
              <w:top w:val="nil"/>
              <w:left w:val="nil"/>
              <w:bottom w:val="nil"/>
              <w:right w:val="nil"/>
            </w:tcBorders>
            <w:noWrap/>
            <w:vAlign w:val="bottom"/>
            <w:hideMark/>
          </w:tcPr>
          <w:p w14:paraId="4A8AF428"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809" w:type="dxa"/>
            <w:gridSpan w:val="2"/>
            <w:tcBorders>
              <w:top w:val="nil"/>
              <w:left w:val="nil"/>
              <w:bottom w:val="nil"/>
              <w:right w:val="nil"/>
            </w:tcBorders>
            <w:noWrap/>
            <w:vAlign w:val="center"/>
            <w:hideMark/>
          </w:tcPr>
          <w:p w14:paraId="4FC570AE"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(156)</w:t>
            </w:r>
          </w:p>
        </w:tc>
      </w:tr>
      <w:tr w:rsidR="00E91426" w:rsidRPr="00E91426" w14:paraId="67D21DB6" w14:textId="77777777" w:rsidTr="00E91426">
        <w:trPr>
          <w:gridAfter w:val="2"/>
          <w:wAfter w:w="983" w:type="dxa"/>
          <w:trHeight w:val="202"/>
        </w:trPr>
        <w:tc>
          <w:tcPr>
            <w:tcW w:w="4396" w:type="dxa"/>
            <w:tcBorders>
              <w:top w:val="nil"/>
              <w:left w:val="nil"/>
              <w:bottom w:val="nil"/>
              <w:right w:val="nil"/>
            </w:tcBorders>
            <w:noWrap/>
            <w:vAlign w:val="center"/>
            <w:hideMark/>
          </w:tcPr>
          <w:p w14:paraId="37ADCF85"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Net lease liabilities at 31 March</w:t>
            </w:r>
          </w:p>
        </w:tc>
        <w:tc>
          <w:tcPr>
            <w:tcW w:w="1186" w:type="dxa"/>
            <w:gridSpan w:val="2"/>
            <w:tcBorders>
              <w:top w:val="single" w:sz="4" w:space="0" w:color="auto"/>
              <w:left w:val="nil"/>
              <w:bottom w:val="double" w:sz="6" w:space="0" w:color="auto"/>
              <w:right w:val="nil"/>
            </w:tcBorders>
            <w:noWrap/>
            <w:vAlign w:val="bottom"/>
            <w:hideMark/>
          </w:tcPr>
          <w:p w14:paraId="21FF01D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1,267 </w:t>
            </w:r>
          </w:p>
        </w:tc>
        <w:tc>
          <w:tcPr>
            <w:tcW w:w="202" w:type="dxa"/>
            <w:tcBorders>
              <w:top w:val="nil"/>
              <w:left w:val="nil"/>
              <w:bottom w:val="nil"/>
              <w:right w:val="nil"/>
            </w:tcBorders>
            <w:noWrap/>
            <w:vAlign w:val="bottom"/>
            <w:hideMark/>
          </w:tcPr>
          <w:p w14:paraId="4EF5D3B1"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085" w:type="dxa"/>
            <w:gridSpan w:val="3"/>
            <w:tcBorders>
              <w:top w:val="single" w:sz="4" w:space="0" w:color="auto"/>
              <w:left w:val="nil"/>
              <w:bottom w:val="double" w:sz="6" w:space="0" w:color="auto"/>
              <w:right w:val="nil"/>
            </w:tcBorders>
            <w:noWrap/>
            <w:vAlign w:val="bottom"/>
            <w:hideMark/>
          </w:tcPr>
          <w:p w14:paraId="47C7178D"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800 </w:t>
            </w:r>
          </w:p>
        </w:tc>
        <w:tc>
          <w:tcPr>
            <w:tcW w:w="202" w:type="dxa"/>
            <w:tcBorders>
              <w:top w:val="nil"/>
              <w:left w:val="nil"/>
              <w:bottom w:val="nil"/>
              <w:right w:val="nil"/>
            </w:tcBorders>
            <w:noWrap/>
            <w:vAlign w:val="bottom"/>
            <w:hideMark/>
          </w:tcPr>
          <w:p w14:paraId="3BDF456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740" w:type="dxa"/>
            <w:gridSpan w:val="2"/>
            <w:tcBorders>
              <w:top w:val="single" w:sz="4" w:space="0" w:color="auto"/>
              <w:left w:val="nil"/>
              <w:bottom w:val="double" w:sz="6" w:space="0" w:color="auto"/>
              <w:right w:val="nil"/>
            </w:tcBorders>
            <w:noWrap/>
            <w:vAlign w:val="bottom"/>
            <w:hideMark/>
          </w:tcPr>
          <w:p w14:paraId="7F775231"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1,523 </w:t>
            </w:r>
          </w:p>
        </w:tc>
        <w:tc>
          <w:tcPr>
            <w:tcW w:w="202" w:type="dxa"/>
            <w:tcBorders>
              <w:top w:val="nil"/>
              <w:left w:val="nil"/>
              <w:bottom w:val="nil"/>
              <w:right w:val="nil"/>
            </w:tcBorders>
            <w:noWrap/>
            <w:vAlign w:val="bottom"/>
            <w:hideMark/>
          </w:tcPr>
          <w:p w14:paraId="1F991BB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809" w:type="dxa"/>
            <w:gridSpan w:val="2"/>
            <w:tcBorders>
              <w:top w:val="single" w:sz="4" w:space="0" w:color="auto"/>
              <w:left w:val="nil"/>
              <w:bottom w:val="double" w:sz="6" w:space="0" w:color="auto"/>
              <w:right w:val="nil"/>
            </w:tcBorders>
            <w:noWrap/>
            <w:vAlign w:val="bottom"/>
            <w:hideMark/>
          </w:tcPr>
          <w:p w14:paraId="4FC8DCF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882</w:t>
            </w:r>
          </w:p>
        </w:tc>
      </w:tr>
    </w:tbl>
    <w:p w14:paraId="02CAC67B" w14:textId="77777777" w:rsidR="00E91426" w:rsidRPr="00E91426" w:rsidRDefault="00E91426" w:rsidP="00E91426">
      <w:pPr>
        <w:keepNext/>
        <w:keepLines/>
        <w:widowControl/>
        <w:spacing w:before="40" w:line="259" w:lineRule="auto"/>
        <w:outlineLvl w:val="1"/>
        <w:rPr>
          <w:rFonts w:ascii="Arial" w:eastAsia="Times New Roman" w:hAnsi="Arial" w:cs="Arial"/>
          <w:b/>
          <w:color w:val="000000"/>
          <w:sz w:val="20"/>
          <w:szCs w:val="20"/>
          <w:lang w:val="en-GB"/>
        </w:rPr>
      </w:pPr>
    </w:p>
    <w:p w14:paraId="382D1DB9" w14:textId="77777777" w:rsidR="00E91426" w:rsidRPr="00E91426" w:rsidRDefault="00E91426" w:rsidP="00E91426">
      <w:pPr>
        <w:widowControl/>
        <w:spacing w:after="160" w:line="259" w:lineRule="auto"/>
        <w:rPr>
          <w:rFonts w:ascii="Arial" w:eastAsia="Times New Roman" w:hAnsi="Arial" w:cs="Arial"/>
          <w:b/>
          <w:color w:val="000000"/>
          <w:sz w:val="18"/>
          <w:szCs w:val="18"/>
          <w:lang w:val="en-GB"/>
        </w:rPr>
      </w:pPr>
      <w:r w:rsidRPr="00E91426">
        <w:rPr>
          <w:rFonts w:ascii="Arial" w:eastAsia="Calibri" w:hAnsi="Arial" w:cs="Arial"/>
          <w:sz w:val="18"/>
          <w:szCs w:val="18"/>
          <w:lang w:val="en-GB"/>
        </w:rPr>
        <w:t>*balances have been restated as maturity previously reported net with zero finance changes in error.</w:t>
      </w:r>
      <w:r w:rsidRPr="00E91426">
        <w:rPr>
          <w:rFonts w:ascii="Arial" w:eastAsia="Calibri" w:hAnsi="Arial" w:cs="Arial"/>
          <w:sz w:val="18"/>
          <w:szCs w:val="18"/>
          <w:lang w:val="en-GB"/>
        </w:rPr>
        <w:br w:type="page"/>
      </w:r>
    </w:p>
    <w:p w14:paraId="35DA0F29" w14:textId="77777777" w:rsidR="00E91426" w:rsidRPr="00E91426" w:rsidRDefault="00E91426" w:rsidP="00E91426">
      <w:pPr>
        <w:keepNext/>
        <w:keepLines/>
        <w:widowControl/>
        <w:spacing w:before="40" w:line="259" w:lineRule="auto"/>
        <w:outlineLvl w:val="1"/>
        <w:rPr>
          <w:rFonts w:ascii="Arial" w:eastAsia="Times New Roman" w:hAnsi="Arial" w:cs="Arial"/>
          <w:b/>
          <w:color w:val="000000"/>
          <w:sz w:val="20"/>
          <w:szCs w:val="20"/>
          <w:lang w:val="en-GB"/>
        </w:rPr>
      </w:pPr>
      <w:bookmarkStart w:id="75" w:name="_Toc195698711"/>
      <w:r w:rsidRPr="00E91426">
        <w:rPr>
          <w:rFonts w:ascii="Arial" w:eastAsia="Times New Roman" w:hAnsi="Arial" w:cs="Arial"/>
          <w:b/>
          <w:color w:val="000000"/>
          <w:sz w:val="20"/>
          <w:szCs w:val="20"/>
          <w:lang w:val="en-GB"/>
        </w:rPr>
        <w:lastRenderedPageBreak/>
        <w:t>Note 14 Non-current assets held for sale</w:t>
      </w:r>
      <w:bookmarkEnd w:id="75"/>
    </w:p>
    <w:p w14:paraId="09847748" w14:textId="77777777" w:rsidR="00E91426" w:rsidRPr="00E91426" w:rsidRDefault="00E91426" w:rsidP="00E91426">
      <w:pPr>
        <w:widowControl/>
        <w:spacing w:after="160" w:line="259" w:lineRule="auto"/>
        <w:rPr>
          <w:rFonts w:ascii="Arial" w:eastAsia="Calibri" w:hAnsi="Arial" w:cs="Arial"/>
          <w:sz w:val="20"/>
          <w:szCs w:val="20"/>
          <w:lang w:val="en-GB"/>
        </w:rPr>
      </w:pPr>
    </w:p>
    <w:tbl>
      <w:tblPr>
        <w:tblW w:w="9202" w:type="dxa"/>
        <w:tblLook w:val="04A0" w:firstRow="1" w:lastRow="0" w:firstColumn="1" w:lastColumn="0" w:noHBand="0" w:noVBand="1"/>
      </w:tblPr>
      <w:tblGrid>
        <w:gridCol w:w="6580"/>
        <w:gridCol w:w="1200"/>
        <w:gridCol w:w="222"/>
        <w:gridCol w:w="1200"/>
      </w:tblGrid>
      <w:tr w:rsidR="00E91426" w:rsidRPr="00E91426" w14:paraId="67DC66DE" w14:textId="77777777" w:rsidTr="00E91426">
        <w:trPr>
          <w:trHeight w:val="274"/>
        </w:trPr>
        <w:tc>
          <w:tcPr>
            <w:tcW w:w="6580" w:type="dxa"/>
            <w:tcBorders>
              <w:top w:val="nil"/>
              <w:left w:val="nil"/>
              <w:bottom w:val="nil"/>
              <w:right w:val="nil"/>
            </w:tcBorders>
            <w:vAlign w:val="bottom"/>
            <w:hideMark/>
          </w:tcPr>
          <w:p w14:paraId="39E0C166" w14:textId="77777777" w:rsidR="00E91426" w:rsidRPr="00E91426" w:rsidRDefault="00E91426" w:rsidP="00E91426">
            <w:pPr>
              <w:widowControl/>
              <w:rPr>
                <w:rFonts w:ascii="Arial" w:eastAsia="Times New Roman" w:hAnsi="Arial" w:cs="Arial"/>
                <w:sz w:val="20"/>
                <w:szCs w:val="20"/>
                <w:lang w:val="en-GB" w:eastAsia="en-GB"/>
              </w:rPr>
            </w:pPr>
          </w:p>
        </w:tc>
        <w:tc>
          <w:tcPr>
            <w:tcW w:w="1200" w:type="dxa"/>
            <w:tcBorders>
              <w:top w:val="nil"/>
              <w:left w:val="nil"/>
              <w:bottom w:val="nil"/>
              <w:right w:val="nil"/>
            </w:tcBorders>
            <w:vAlign w:val="bottom"/>
            <w:hideMark/>
          </w:tcPr>
          <w:p w14:paraId="7E68416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2024/25</w:t>
            </w:r>
          </w:p>
        </w:tc>
        <w:tc>
          <w:tcPr>
            <w:tcW w:w="222" w:type="dxa"/>
            <w:tcBorders>
              <w:top w:val="nil"/>
              <w:left w:val="nil"/>
              <w:bottom w:val="nil"/>
              <w:right w:val="nil"/>
            </w:tcBorders>
            <w:vAlign w:val="bottom"/>
            <w:hideMark/>
          </w:tcPr>
          <w:p w14:paraId="00A18348"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200" w:type="dxa"/>
            <w:tcBorders>
              <w:top w:val="nil"/>
              <w:left w:val="nil"/>
              <w:bottom w:val="nil"/>
              <w:right w:val="nil"/>
            </w:tcBorders>
            <w:vAlign w:val="bottom"/>
            <w:hideMark/>
          </w:tcPr>
          <w:p w14:paraId="4F360EA3"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2023/24</w:t>
            </w:r>
          </w:p>
        </w:tc>
      </w:tr>
      <w:tr w:rsidR="00E91426" w:rsidRPr="00E91426" w14:paraId="28AD573E" w14:textId="77777777" w:rsidTr="00E91426">
        <w:trPr>
          <w:trHeight w:val="282"/>
        </w:trPr>
        <w:tc>
          <w:tcPr>
            <w:tcW w:w="6580" w:type="dxa"/>
            <w:tcBorders>
              <w:top w:val="nil"/>
              <w:left w:val="nil"/>
              <w:bottom w:val="nil"/>
              <w:right w:val="nil"/>
            </w:tcBorders>
            <w:vAlign w:val="bottom"/>
            <w:hideMark/>
          </w:tcPr>
          <w:p w14:paraId="0D634E4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200" w:type="dxa"/>
            <w:tcBorders>
              <w:top w:val="nil"/>
              <w:left w:val="nil"/>
              <w:bottom w:val="nil"/>
              <w:right w:val="nil"/>
            </w:tcBorders>
            <w:vAlign w:val="bottom"/>
            <w:hideMark/>
          </w:tcPr>
          <w:p w14:paraId="35BEEEC2"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222" w:type="dxa"/>
            <w:tcBorders>
              <w:top w:val="nil"/>
              <w:left w:val="nil"/>
              <w:bottom w:val="nil"/>
              <w:right w:val="nil"/>
            </w:tcBorders>
            <w:vAlign w:val="bottom"/>
            <w:hideMark/>
          </w:tcPr>
          <w:p w14:paraId="78DA50B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200" w:type="dxa"/>
            <w:tcBorders>
              <w:top w:val="nil"/>
              <w:left w:val="nil"/>
              <w:bottom w:val="nil"/>
              <w:right w:val="nil"/>
            </w:tcBorders>
            <w:vAlign w:val="bottom"/>
            <w:hideMark/>
          </w:tcPr>
          <w:p w14:paraId="6A570D7D"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r>
      <w:tr w:rsidR="00E91426" w:rsidRPr="00E91426" w14:paraId="2AB3C307" w14:textId="77777777" w:rsidTr="00E91426">
        <w:trPr>
          <w:trHeight w:val="274"/>
        </w:trPr>
        <w:tc>
          <w:tcPr>
            <w:tcW w:w="6580" w:type="dxa"/>
            <w:tcBorders>
              <w:top w:val="nil"/>
              <w:left w:val="nil"/>
              <w:bottom w:val="nil"/>
              <w:right w:val="nil"/>
            </w:tcBorders>
            <w:hideMark/>
          </w:tcPr>
          <w:p w14:paraId="1CF8AF68"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NBV of non-current assets held for sale at 1 April</w:t>
            </w:r>
          </w:p>
        </w:tc>
        <w:tc>
          <w:tcPr>
            <w:tcW w:w="1200" w:type="dxa"/>
            <w:tcBorders>
              <w:top w:val="nil"/>
              <w:left w:val="nil"/>
              <w:bottom w:val="nil"/>
              <w:right w:val="nil"/>
            </w:tcBorders>
            <w:noWrap/>
            <w:vAlign w:val="bottom"/>
            <w:hideMark/>
          </w:tcPr>
          <w:p w14:paraId="0B6DE002"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222" w:type="dxa"/>
            <w:tcBorders>
              <w:top w:val="nil"/>
              <w:left w:val="nil"/>
              <w:bottom w:val="nil"/>
              <w:right w:val="nil"/>
            </w:tcBorders>
            <w:noWrap/>
            <w:vAlign w:val="bottom"/>
            <w:hideMark/>
          </w:tcPr>
          <w:p w14:paraId="11375B2F"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00" w:type="dxa"/>
            <w:tcBorders>
              <w:top w:val="nil"/>
              <w:left w:val="nil"/>
              <w:bottom w:val="nil"/>
              <w:right w:val="nil"/>
            </w:tcBorders>
            <w:noWrap/>
            <w:vAlign w:val="bottom"/>
            <w:hideMark/>
          </w:tcPr>
          <w:p w14:paraId="13B1E53B"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r>
      <w:tr w:rsidR="00E91426" w:rsidRPr="00E91426" w14:paraId="2310DBD3" w14:textId="77777777" w:rsidTr="00E91426">
        <w:trPr>
          <w:trHeight w:val="274"/>
        </w:trPr>
        <w:tc>
          <w:tcPr>
            <w:tcW w:w="6580" w:type="dxa"/>
            <w:tcBorders>
              <w:top w:val="nil"/>
              <w:left w:val="nil"/>
              <w:bottom w:val="nil"/>
              <w:right w:val="nil"/>
            </w:tcBorders>
            <w:vAlign w:val="bottom"/>
            <w:hideMark/>
          </w:tcPr>
          <w:p w14:paraId="4D4DBF08"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Assets classified as available for sale in the year</w:t>
            </w:r>
          </w:p>
        </w:tc>
        <w:tc>
          <w:tcPr>
            <w:tcW w:w="1200" w:type="dxa"/>
            <w:tcBorders>
              <w:top w:val="nil"/>
              <w:left w:val="nil"/>
              <w:bottom w:val="nil"/>
              <w:right w:val="nil"/>
            </w:tcBorders>
            <w:noWrap/>
            <w:vAlign w:val="bottom"/>
            <w:hideMark/>
          </w:tcPr>
          <w:p w14:paraId="3AA6676E"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425</w:t>
            </w:r>
          </w:p>
        </w:tc>
        <w:tc>
          <w:tcPr>
            <w:tcW w:w="222" w:type="dxa"/>
            <w:tcBorders>
              <w:top w:val="nil"/>
              <w:left w:val="nil"/>
              <w:bottom w:val="nil"/>
              <w:right w:val="nil"/>
            </w:tcBorders>
            <w:noWrap/>
            <w:vAlign w:val="bottom"/>
            <w:hideMark/>
          </w:tcPr>
          <w:p w14:paraId="1CDAB26B"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00" w:type="dxa"/>
            <w:tcBorders>
              <w:top w:val="nil"/>
              <w:left w:val="nil"/>
              <w:bottom w:val="nil"/>
              <w:right w:val="nil"/>
            </w:tcBorders>
            <w:noWrap/>
            <w:vAlign w:val="bottom"/>
            <w:hideMark/>
          </w:tcPr>
          <w:p w14:paraId="0CFB62FA"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r>
      <w:tr w:rsidR="00E91426" w:rsidRPr="00E91426" w14:paraId="29254FBB" w14:textId="77777777" w:rsidTr="00E91426">
        <w:trPr>
          <w:trHeight w:val="274"/>
        </w:trPr>
        <w:tc>
          <w:tcPr>
            <w:tcW w:w="6580" w:type="dxa"/>
            <w:tcBorders>
              <w:top w:val="nil"/>
              <w:left w:val="nil"/>
              <w:bottom w:val="nil"/>
              <w:right w:val="nil"/>
            </w:tcBorders>
            <w:noWrap/>
            <w:vAlign w:val="bottom"/>
            <w:hideMark/>
          </w:tcPr>
          <w:p w14:paraId="58CE00AC"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NBV of non-current assets held for sale at 31 March</w:t>
            </w:r>
          </w:p>
        </w:tc>
        <w:tc>
          <w:tcPr>
            <w:tcW w:w="1200" w:type="dxa"/>
            <w:tcBorders>
              <w:top w:val="single" w:sz="4" w:space="0" w:color="auto"/>
              <w:left w:val="nil"/>
              <w:bottom w:val="double" w:sz="6" w:space="0" w:color="auto"/>
              <w:right w:val="nil"/>
            </w:tcBorders>
            <w:noWrap/>
            <w:vAlign w:val="bottom"/>
            <w:hideMark/>
          </w:tcPr>
          <w:p w14:paraId="71FCAA3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425</w:t>
            </w:r>
          </w:p>
        </w:tc>
        <w:tc>
          <w:tcPr>
            <w:tcW w:w="222" w:type="dxa"/>
            <w:tcBorders>
              <w:top w:val="nil"/>
              <w:left w:val="nil"/>
              <w:bottom w:val="nil"/>
              <w:right w:val="nil"/>
            </w:tcBorders>
            <w:noWrap/>
            <w:vAlign w:val="bottom"/>
            <w:hideMark/>
          </w:tcPr>
          <w:p w14:paraId="051AD0C2"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200" w:type="dxa"/>
            <w:tcBorders>
              <w:top w:val="single" w:sz="4" w:space="0" w:color="auto"/>
              <w:left w:val="nil"/>
              <w:bottom w:val="double" w:sz="6" w:space="0" w:color="auto"/>
              <w:right w:val="nil"/>
            </w:tcBorders>
            <w:noWrap/>
            <w:vAlign w:val="bottom"/>
            <w:hideMark/>
          </w:tcPr>
          <w:p w14:paraId="70C74EC2"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0</w:t>
            </w:r>
          </w:p>
        </w:tc>
      </w:tr>
      <w:tr w:rsidR="00E91426" w:rsidRPr="00E91426" w14:paraId="225E4CFC" w14:textId="77777777" w:rsidTr="00E91426">
        <w:trPr>
          <w:trHeight w:val="282"/>
        </w:trPr>
        <w:tc>
          <w:tcPr>
            <w:tcW w:w="6580" w:type="dxa"/>
            <w:tcBorders>
              <w:top w:val="nil"/>
              <w:left w:val="nil"/>
              <w:bottom w:val="nil"/>
              <w:right w:val="nil"/>
            </w:tcBorders>
            <w:vAlign w:val="bottom"/>
            <w:hideMark/>
          </w:tcPr>
          <w:p w14:paraId="1770781A"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200" w:type="dxa"/>
            <w:tcBorders>
              <w:top w:val="nil"/>
              <w:left w:val="nil"/>
              <w:bottom w:val="nil"/>
              <w:right w:val="nil"/>
            </w:tcBorders>
            <w:vAlign w:val="bottom"/>
            <w:hideMark/>
          </w:tcPr>
          <w:p w14:paraId="50BC35A4" w14:textId="77777777" w:rsidR="00E91426" w:rsidRPr="00E91426" w:rsidRDefault="00E91426" w:rsidP="00E91426">
            <w:pPr>
              <w:widowControl/>
              <w:rPr>
                <w:rFonts w:ascii="Arial" w:eastAsia="Times New Roman" w:hAnsi="Arial" w:cs="Arial"/>
                <w:sz w:val="20"/>
                <w:szCs w:val="20"/>
                <w:lang w:val="en-GB" w:eastAsia="en-GB"/>
              </w:rPr>
            </w:pPr>
          </w:p>
        </w:tc>
        <w:tc>
          <w:tcPr>
            <w:tcW w:w="222" w:type="dxa"/>
            <w:tcBorders>
              <w:top w:val="nil"/>
              <w:left w:val="nil"/>
              <w:bottom w:val="nil"/>
              <w:right w:val="nil"/>
            </w:tcBorders>
            <w:vAlign w:val="bottom"/>
            <w:hideMark/>
          </w:tcPr>
          <w:p w14:paraId="5F62B742" w14:textId="77777777" w:rsidR="00E91426" w:rsidRPr="00E91426" w:rsidRDefault="00E91426" w:rsidP="00E91426">
            <w:pPr>
              <w:widowControl/>
              <w:rPr>
                <w:rFonts w:ascii="Arial" w:eastAsia="Times New Roman" w:hAnsi="Arial" w:cs="Arial"/>
                <w:sz w:val="20"/>
                <w:szCs w:val="20"/>
                <w:lang w:val="en-GB" w:eastAsia="en-GB"/>
              </w:rPr>
            </w:pPr>
          </w:p>
        </w:tc>
        <w:tc>
          <w:tcPr>
            <w:tcW w:w="1200" w:type="dxa"/>
            <w:tcBorders>
              <w:top w:val="nil"/>
              <w:left w:val="nil"/>
              <w:bottom w:val="nil"/>
              <w:right w:val="nil"/>
            </w:tcBorders>
            <w:vAlign w:val="bottom"/>
            <w:hideMark/>
          </w:tcPr>
          <w:p w14:paraId="691D4148"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4D150698" w14:textId="77777777" w:rsidTr="00E91426">
        <w:trPr>
          <w:trHeight w:val="2640"/>
        </w:trPr>
        <w:tc>
          <w:tcPr>
            <w:tcW w:w="9202" w:type="dxa"/>
            <w:gridSpan w:val="4"/>
            <w:tcBorders>
              <w:top w:val="nil"/>
              <w:left w:val="nil"/>
              <w:bottom w:val="nil"/>
              <w:right w:val="nil"/>
            </w:tcBorders>
            <w:hideMark/>
          </w:tcPr>
          <w:p w14:paraId="16BC339F"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24 Frederick Road, 32 Frederick Road and 12 Shakespeare Road previously held as land and buildings non-current assets have been reclassified in year as held for sale.</w:t>
            </w:r>
            <w:r w:rsidRPr="00E91426">
              <w:rPr>
                <w:rFonts w:ascii="Arial" w:eastAsia="Times New Roman" w:hAnsi="Arial" w:cs="Arial"/>
                <w:color w:val="000000"/>
                <w:sz w:val="20"/>
                <w:szCs w:val="20"/>
                <w:lang w:val="en-GB" w:eastAsia="en-GB"/>
              </w:rPr>
              <w:br/>
            </w:r>
            <w:r w:rsidRPr="00E91426">
              <w:rPr>
                <w:rFonts w:ascii="Arial" w:eastAsia="Times New Roman" w:hAnsi="Arial" w:cs="Arial"/>
                <w:color w:val="000000"/>
                <w:sz w:val="20"/>
                <w:szCs w:val="20"/>
                <w:lang w:val="en-GB" w:eastAsia="en-GB"/>
              </w:rPr>
              <w:br/>
              <w:t xml:space="preserve">The offsite properties used for staff accommodation have been vacant for some time with the condition deteriorating beyond reasonable use without the need for material investment. </w:t>
            </w:r>
            <w:r w:rsidRPr="00E91426">
              <w:rPr>
                <w:rFonts w:ascii="Arial" w:eastAsia="Times New Roman" w:hAnsi="Arial" w:cs="Arial"/>
                <w:color w:val="000000"/>
                <w:sz w:val="20"/>
                <w:szCs w:val="20"/>
                <w:lang w:val="en-GB" w:eastAsia="en-GB"/>
              </w:rPr>
              <w:br/>
              <w:t>The decision has been made to sell rather than invest.</w:t>
            </w:r>
            <w:r w:rsidRPr="00E91426">
              <w:rPr>
                <w:rFonts w:ascii="Arial" w:eastAsia="Times New Roman" w:hAnsi="Arial" w:cs="Arial"/>
                <w:color w:val="000000"/>
                <w:sz w:val="20"/>
                <w:szCs w:val="20"/>
                <w:lang w:val="en-GB" w:eastAsia="en-GB"/>
              </w:rPr>
              <w:br/>
            </w:r>
            <w:r w:rsidRPr="00E91426">
              <w:rPr>
                <w:rFonts w:ascii="Arial" w:eastAsia="Times New Roman" w:hAnsi="Arial" w:cs="Arial"/>
                <w:color w:val="000000"/>
                <w:sz w:val="20"/>
                <w:szCs w:val="20"/>
                <w:lang w:val="en-GB" w:eastAsia="en-GB"/>
              </w:rPr>
              <w:br/>
              <w:t xml:space="preserve">The properties condition limits sale by private treaty therefore each will be listed for sale at auction in 2025/26 with the expectation a sale will be finalised and proceeds received before that </w:t>
            </w:r>
            <w:proofErr w:type="gramStart"/>
            <w:r w:rsidRPr="00E91426">
              <w:rPr>
                <w:rFonts w:ascii="Arial" w:eastAsia="Times New Roman" w:hAnsi="Arial" w:cs="Arial"/>
                <w:color w:val="000000"/>
                <w:sz w:val="20"/>
                <w:szCs w:val="20"/>
                <w:lang w:val="en-GB" w:eastAsia="en-GB"/>
              </w:rPr>
              <w:t>years</w:t>
            </w:r>
            <w:proofErr w:type="gramEnd"/>
            <w:r w:rsidRPr="00E91426">
              <w:rPr>
                <w:rFonts w:ascii="Arial" w:eastAsia="Times New Roman" w:hAnsi="Arial" w:cs="Arial"/>
                <w:color w:val="000000"/>
                <w:sz w:val="20"/>
                <w:szCs w:val="20"/>
                <w:lang w:val="en-GB" w:eastAsia="en-GB"/>
              </w:rPr>
              <w:t xml:space="preserve"> financial end.</w:t>
            </w:r>
          </w:p>
        </w:tc>
      </w:tr>
      <w:tr w:rsidR="00E91426" w:rsidRPr="00E91426" w14:paraId="02064706" w14:textId="77777777" w:rsidTr="00E91426">
        <w:trPr>
          <w:trHeight w:val="282"/>
        </w:trPr>
        <w:tc>
          <w:tcPr>
            <w:tcW w:w="6580" w:type="dxa"/>
            <w:tcBorders>
              <w:top w:val="nil"/>
              <w:left w:val="nil"/>
              <w:bottom w:val="nil"/>
              <w:right w:val="nil"/>
            </w:tcBorders>
            <w:vAlign w:val="bottom"/>
            <w:hideMark/>
          </w:tcPr>
          <w:p w14:paraId="3AAAD906"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1200" w:type="dxa"/>
            <w:tcBorders>
              <w:top w:val="nil"/>
              <w:left w:val="nil"/>
              <w:bottom w:val="nil"/>
              <w:right w:val="nil"/>
            </w:tcBorders>
            <w:vAlign w:val="bottom"/>
            <w:hideMark/>
          </w:tcPr>
          <w:p w14:paraId="475492EC" w14:textId="77777777" w:rsidR="00E91426" w:rsidRPr="00E91426" w:rsidRDefault="00E91426" w:rsidP="00E91426">
            <w:pPr>
              <w:widowControl/>
              <w:rPr>
                <w:rFonts w:ascii="Arial" w:eastAsia="Times New Roman" w:hAnsi="Arial" w:cs="Arial"/>
                <w:sz w:val="20"/>
                <w:szCs w:val="20"/>
                <w:lang w:val="en-GB" w:eastAsia="en-GB"/>
              </w:rPr>
            </w:pPr>
          </w:p>
        </w:tc>
        <w:tc>
          <w:tcPr>
            <w:tcW w:w="222" w:type="dxa"/>
            <w:tcBorders>
              <w:top w:val="nil"/>
              <w:left w:val="nil"/>
              <w:bottom w:val="nil"/>
              <w:right w:val="nil"/>
            </w:tcBorders>
            <w:vAlign w:val="bottom"/>
            <w:hideMark/>
          </w:tcPr>
          <w:p w14:paraId="1295361D" w14:textId="77777777" w:rsidR="00E91426" w:rsidRPr="00E91426" w:rsidRDefault="00E91426" w:rsidP="00E91426">
            <w:pPr>
              <w:widowControl/>
              <w:rPr>
                <w:rFonts w:ascii="Arial" w:eastAsia="Times New Roman" w:hAnsi="Arial" w:cs="Arial"/>
                <w:sz w:val="20"/>
                <w:szCs w:val="20"/>
                <w:lang w:val="en-GB" w:eastAsia="en-GB"/>
              </w:rPr>
            </w:pPr>
          </w:p>
        </w:tc>
        <w:tc>
          <w:tcPr>
            <w:tcW w:w="1200" w:type="dxa"/>
            <w:tcBorders>
              <w:top w:val="nil"/>
              <w:left w:val="nil"/>
              <w:bottom w:val="nil"/>
              <w:right w:val="nil"/>
            </w:tcBorders>
            <w:vAlign w:val="bottom"/>
            <w:hideMark/>
          </w:tcPr>
          <w:p w14:paraId="0149A9DD" w14:textId="77777777" w:rsidR="00E91426" w:rsidRPr="00E91426" w:rsidRDefault="00E91426" w:rsidP="00E91426">
            <w:pPr>
              <w:widowControl/>
              <w:rPr>
                <w:rFonts w:ascii="Arial" w:eastAsia="Times New Roman" w:hAnsi="Arial" w:cs="Arial"/>
                <w:sz w:val="20"/>
                <w:szCs w:val="20"/>
                <w:lang w:val="en-GB" w:eastAsia="en-GB"/>
              </w:rPr>
            </w:pPr>
          </w:p>
        </w:tc>
      </w:tr>
    </w:tbl>
    <w:p w14:paraId="45DF6C73" w14:textId="77777777" w:rsidR="00E91426" w:rsidRPr="00E91426" w:rsidRDefault="00E91426" w:rsidP="00E91426">
      <w:pPr>
        <w:widowControl/>
        <w:spacing w:after="160" w:line="259" w:lineRule="auto"/>
        <w:rPr>
          <w:rFonts w:ascii="Arial" w:eastAsia="Calibri" w:hAnsi="Arial" w:cs="Arial"/>
          <w:sz w:val="20"/>
          <w:szCs w:val="20"/>
          <w:lang w:val="en-GB"/>
        </w:rPr>
      </w:pPr>
    </w:p>
    <w:p w14:paraId="275050C1" w14:textId="77777777" w:rsidR="00E91426" w:rsidRPr="00E91426" w:rsidRDefault="00E91426" w:rsidP="00E91426">
      <w:pPr>
        <w:widowControl/>
        <w:spacing w:after="160" w:line="259" w:lineRule="auto"/>
        <w:rPr>
          <w:rFonts w:ascii="Arial" w:eastAsia="Calibri" w:hAnsi="Arial" w:cs="Arial"/>
          <w:sz w:val="20"/>
          <w:szCs w:val="20"/>
          <w:lang w:val="en-GB"/>
        </w:rPr>
      </w:pPr>
      <w:r w:rsidRPr="00E91426">
        <w:rPr>
          <w:rFonts w:ascii="Arial" w:eastAsia="Calibri" w:hAnsi="Arial" w:cs="Arial"/>
          <w:b/>
          <w:sz w:val="20"/>
          <w:szCs w:val="20"/>
          <w:lang w:val="en-GB"/>
        </w:rPr>
        <w:br w:type="page"/>
      </w:r>
    </w:p>
    <w:p w14:paraId="4F36C697" w14:textId="77777777" w:rsidR="00E91426" w:rsidRPr="00E91426" w:rsidRDefault="00E91426" w:rsidP="00E91426">
      <w:pPr>
        <w:keepNext/>
        <w:keepLines/>
        <w:widowControl/>
        <w:spacing w:before="40" w:line="259" w:lineRule="auto"/>
        <w:outlineLvl w:val="1"/>
        <w:rPr>
          <w:rFonts w:ascii="Arial" w:eastAsia="Times New Roman" w:hAnsi="Arial" w:cs="Arial"/>
          <w:b/>
          <w:color w:val="000000"/>
          <w:sz w:val="20"/>
          <w:szCs w:val="20"/>
          <w:lang w:val="en-GB"/>
        </w:rPr>
      </w:pPr>
      <w:bookmarkStart w:id="76" w:name="_Toc195698712"/>
      <w:r w:rsidRPr="00E91426">
        <w:rPr>
          <w:rFonts w:ascii="Arial" w:eastAsia="Times New Roman" w:hAnsi="Arial" w:cs="Arial"/>
          <w:b/>
          <w:color w:val="000000"/>
          <w:sz w:val="20"/>
          <w:szCs w:val="20"/>
          <w:lang w:val="en-GB"/>
        </w:rPr>
        <w:lastRenderedPageBreak/>
        <w:t>Note 15 Trade and other receivables</w:t>
      </w:r>
      <w:bookmarkEnd w:id="76"/>
    </w:p>
    <w:tbl>
      <w:tblPr>
        <w:tblW w:w="8940" w:type="dxa"/>
        <w:tblLook w:val="04A0" w:firstRow="1" w:lastRow="0" w:firstColumn="1" w:lastColumn="0" w:noHBand="0" w:noVBand="1"/>
      </w:tblPr>
      <w:tblGrid>
        <w:gridCol w:w="6280"/>
        <w:gridCol w:w="1300"/>
        <w:gridCol w:w="222"/>
        <w:gridCol w:w="1300"/>
      </w:tblGrid>
      <w:tr w:rsidR="00E91426" w:rsidRPr="00E91426" w14:paraId="5E33A413" w14:textId="77777777" w:rsidTr="00E91426">
        <w:trPr>
          <w:trHeight w:val="567"/>
        </w:trPr>
        <w:tc>
          <w:tcPr>
            <w:tcW w:w="6280" w:type="dxa"/>
            <w:tcBorders>
              <w:top w:val="nil"/>
              <w:left w:val="nil"/>
              <w:bottom w:val="nil"/>
              <w:right w:val="nil"/>
            </w:tcBorders>
            <w:vAlign w:val="bottom"/>
            <w:hideMark/>
          </w:tcPr>
          <w:p w14:paraId="036D7DD4" w14:textId="77777777" w:rsidR="00E91426" w:rsidRPr="00E91426" w:rsidRDefault="00E91426" w:rsidP="00E91426">
            <w:pPr>
              <w:widowControl/>
              <w:rPr>
                <w:rFonts w:ascii="Arial" w:eastAsia="Times New Roman" w:hAnsi="Arial" w:cs="Arial"/>
                <w:sz w:val="20"/>
                <w:szCs w:val="20"/>
                <w:lang w:val="en-GB" w:eastAsia="en-GB"/>
              </w:rPr>
            </w:pPr>
          </w:p>
        </w:tc>
        <w:tc>
          <w:tcPr>
            <w:tcW w:w="1300" w:type="dxa"/>
            <w:tcBorders>
              <w:top w:val="nil"/>
              <w:left w:val="nil"/>
              <w:bottom w:val="nil"/>
              <w:right w:val="nil"/>
            </w:tcBorders>
            <w:vAlign w:val="bottom"/>
            <w:hideMark/>
          </w:tcPr>
          <w:p w14:paraId="1A80E1D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2024/25</w:t>
            </w:r>
          </w:p>
        </w:tc>
        <w:tc>
          <w:tcPr>
            <w:tcW w:w="60" w:type="dxa"/>
            <w:tcBorders>
              <w:top w:val="nil"/>
              <w:left w:val="nil"/>
              <w:bottom w:val="nil"/>
              <w:right w:val="nil"/>
            </w:tcBorders>
            <w:noWrap/>
            <w:vAlign w:val="bottom"/>
            <w:hideMark/>
          </w:tcPr>
          <w:p w14:paraId="5D65CFCC"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300" w:type="dxa"/>
            <w:tcBorders>
              <w:top w:val="nil"/>
              <w:left w:val="nil"/>
              <w:bottom w:val="nil"/>
              <w:right w:val="nil"/>
            </w:tcBorders>
            <w:vAlign w:val="bottom"/>
            <w:hideMark/>
          </w:tcPr>
          <w:p w14:paraId="25E1B042"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2023/24</w:t>
            </w:r>
          </w:p>
        </w:tc>
      </w:tr>
      <w:tr w:rsidR="00E91426" w:rsidRPr="00E91426" w14:paraId="663FCBB2" w14:textId="77777777" w:rsidTr="00E91426">
        <w:trPr>
          <w:trHeight w:val="282"/>
        </w:trPr>
        <w:tc>
          <w:tcPr>
            <w:tcW w:w="6280" w:type="dxa"/>
            <w:tcBorders>
              <w:top w:val="nil"/>
              <w:left w:val="nil"/>
              <w:bottom w:val="nil"/>
              <w:right w:val="nil"/>
            </w:tcBorders>
            <w:vAlign w:val="bottom"/>
            <w:hideMark/>
          </w:tcPr>
          <w:p w14:paraId="7E2A4D68"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300" w:type="dxa"/>
            <w:tcBorders>
              <w:top w:val="nil"/>
              <w:left w:val="nil"/>
              <w:bottom w:val="nil"/>
              <w:right w:val="nil"/>
            </w:tcBorders>
            <w:vAlign w:val="bottom"/>
            <w:hideMark/>
          </w:tcPr>
          <w:p w14:paraId="37E88D30"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60" w:type="dxa"/>
            <w:tcBorders>
              <w:top w:val="nil"/>
              <w:left w:val="nil"/>
              <w:bottom w:val="nil"/>
              <w:right w:val="nil"/>
            </w:tcBorders>
            <w:vAlign w:val="bottom"/>
            <w:hideMark/>
          </w:tcPr>
          <w:p w14:paraId="6F7D2E65"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300" w:type="dxa"/>
            <w:tcBorders>
              <w:top w:val="nil"/>
              <w:left w:val="nil"/>
              <w:bottom w:val="nil"/>
              <w:right w:val="nil"/>
            </w:tcBorders>
            <w:vAlign w:val="bottom"/>
            <w:hideMark/>
          </w:tcPr>
          <w:p w14:paraId="3069CF3B"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r>
      <w:tr w:rsidR="00E91426" w:rsidRPr="00E91426" w14:paraId="1CB3F893" w14:textId="77777777" w:rsidTr="00E91426">
        <w:trPr>
          <w:trHeight w:val="282"/>
        </w:trPr>
        <w:tc>
          <w:tcPr>
            <w:tcW w:w="6280" w:type="dxa"/>
            <w:tcBorders>
              <w:top w:val="nil"/>
              <w:left w:val="nil"/>
              <w:bottom w:val="nil"/>
              <w:right w:val="nil"/>
            </w:tcBorders>
            <w:vAlign w:val="bottom"/>
            <w:hideMark/>
          </w:tcPr>
          <w:p w14:paraId="38764D85"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Current</w:t>
            </w:r>
          </w:p>
        </w:tc>
        <w:tc>
          <w:tcPr>
            <w:tcW w:w="1300" w:type="dxa"/>
            <w:tcBorders>
              <w:top w:val="nil"/>
              <w:left w:val="nil"/>
              <w:bottom w:val="nil"/>
              <w:right w:val="nil"/>
            </w:tcBorders>
            <w:noWrap/>
            <w:vAlign w:val="center"/>
            <w:hideMark/>
          </w:tcPr>
          <w:p w14:paraId="2D88C9B3"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60" w:type="dxa"/>
            <w:tcBorders>
              <w:top w:val="nil"/>
              <w:left w:val="nil"/>
              <w:bottom w:val="nil"/>
              <w:right w:val="nil"/>
            </w:tcBorders>
            <w:noWrap/>
            <w:vAlign w:val="center"/>
            <w:hideMark/>
          </w:tcPr>
          <w:p w14:paraId="73AE9E75" w14:textId="77777777" w:rsidR="00E91426" w:rsidRPr="00E91426" w:rsidRDefault="00E91426" w:rsidP="00E91426">
            <w:pPr>
              <w:widowControl/>
              <w:rPr>
                <w:rFonts w:ascii="Arial" w:eastAsia="Times New Roman" w:hAnsi="Arial" w:cs="Arial"/>
                <w:sz w:val="20"/>
                <w:szCs w:val="20"/>
                <w:lang w:val="en-GB" w:eastAsia="en-GB"/>
              </w:rPr>
            </w:pPr>
          </w:p>
        </w:tc>
        <w:tc>
          <w:tcPr>
            <w:tcW w:w="1300" w:type="dxa"/>
            <w:tcBorders>
              <w:top w:val="nil"/>
              <w:left w:val="nil"/>
              <w:bottom w:val="nil"/>
              <w:right w:val="nil"/>
            </w:tcBorders>
            <w:noWrap/>
            <w:vAlign w:val="center"/>
            <w:hideMark/>
          </w:tcPr>
          <w:p w14:paraId="0D01E4D2"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14B29671" w14:textId="77777777" w:rsidTr="00E91426">
        <w:trPr>
          <w:trHeight w:val="282"/>
        </w:trPr>
        <w:tc>
          <w:tcPr>
            <w:tcW w:w="6280" w:type="dxa"/>
            <w:tcBorders>
              <w:top w:val="nil"/>
              <w:left w:val="nil"/>
              <w:bottom w:val="nil"/>
              <w:right w:val="nil"/>
            </w:tcBorders>
            <w:vAlign w:val="bottom"/>
            <w:hideMark/>
          </w:tcPr>
          <w:p w14:paraId="3F53E04A"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Contract receivables</w:t>
            </w:r>
            <w:r w:rsidRPr="00E91426">
              <w:rPr>
                <w:rFonts w:ascii="Arial" w:eastAsia="Times New Roman" w:hAnsi="Arial" w:cs="Arial"/>
                <w:color w:val="000000"/>
                <w:sz w:val="20"/>
                <w:szCs w:val="20"/>
                <w:vertAlign w:val="superscript"/>
                <w:lang w:val="en-GB" w:eastAsia="en-GB"/>
              </w:rPr>
              <w:t>1</w:t>
            </w:r>
          </w:p>
        </w:tc>
        <w:tc>
          <w:tcPr>
            <w:tcW w:w="1300" w:type="dxa"/>
            <w:tcBorders>
              <w:top w:val="nil"/>
              <w:left w:val="nil"/>
              <w:bottom w:val="nil"/>
              <w:right w:val="nil"/>
            </w:tcBorders>
            <w:noWrap/>
            <w:vAlign w:val="bottom"/>
            <w:hideMark/>
          </w:tcPr>
          <w:p w14:paraId="0FD05C44"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32,943</w:t>
            </w:r>
          </w:p>
        </w:tc>
        <w:tc>
          <w:tcPr>
            <w:tcW w:w="60" w:type="dxa"/>
            <w:tcBorders>
              <w:top w:val="nil"/>
              <w:left w:val="nil"/>
              <w:bottom w:val="nil"/>
              <w:right w:val="nil"/>
            </w:tcBorders>
            <w:noWrap/>
            <w:vAlign w:val="bottom"/>
            <w:hideMark/>
          </w:tcPr>
          <w:p w14:paraId="477046F6"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300" w:type="dxa"/>
            <w:tcBorders>
              <w:top w:val="nil"/>
              <w:left w:val="nil"/>
              <w:bottom w:val="nil"/>
              <w:right w:val="nil"/>
            </w:tcBorders>
            <w:noWrap/>
            <w:vAlign w:val="bottom"/>
            <w:hideMark/>
          </w:tcPr>
          <w:p w14:paraId="395F364A"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28,370</w:t>
            </w:r>
          </w:p>
        </w:tc>
      </w:tr>
      <w:tr w:rsidR="00E91426" w:rsidRPr="00E91426" w14:paraId="435CDDA3" w14:textId="77777777" w:rsidTr="00E91426">
        <w:trPr>
          <w:trHeight w:val="282"/>
        </w:trPr>
        <w:tc>
          <w:tcPr>
            <w:tcW w:w="6280" w:type="dxa"/>
            <w:tcBorders>
              <w:top w:val="nil"/>
              <w:left w:val="nil"/>
              <w:bottom w:val="nil"/>
              <w:right w:val="nil"/>
            </w:tcBorders>
            <w:vAlign w:val="bottom"/>
          </w:tcPr>
          <w:p w14:paraId="2242338F"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Capital receivables</w:t>
            </w:r>
            <w:r w:rsidRPr="00E91426">
              <w:rPr>
                <w:rFonts w:ascii="Arial" w:eastAsia="Times New Roman" w:hAnsi="Arial" w:cs="Arial"/>
                <w:color w:val="000000"/>
                <w:sz w:val="20"/>
                <w:szCs w:val="20"/>
                <w:vertAlign w:val="superscript"/>
                <w:lang w:val="en-GB" w:eastAsia="en-GB"/>
              </w:rPr>
              <w:t>2</w:t>
            </w:r>
          </w:p>
        </w:tc>
        <w:tc>
          <w:tcPr>
            <w:tcW w:w="1300" w:type="dxa"/>
            <w:tcBorders>
              <w:top w:val="nil"/>
              <w:left w:val="nil"/>
              <w:bottom w:val="nil"/>
              <w:right w:val="nil"/>
            </w:tcBorders>
            <w:noWrap/>
            <w:vAlign w:val="bottom"/>
          </w:tcPr>
          <w:p w14:paraId="60C0CBDD"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3,463</w:t>
            </w:r>
          </w:p>
        </w:tc>
        <w:tc>
          <w:tcPr>
            <w:tcW w:w="60" w:type="dxa"/>
            <w:tcBorders>
              <w:top w:val="nil"/>
              <w:left w:val="nil"/>
              <w:bottom w:val="nil"/>
              <w:right w:val="nil"/>
            </w:tcBorders>
            <w:noWrap/>
            <w:vAlign w:val="bottom"/>
          </w:tcPr>
          <w:p w14:paraId="5F59D219"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300" w:type="dxa"/>
            <w:tcBorders>
              <w:top w:val="nil"/>
              <w:left w:val="nil"/>
              <w:bottom w:val="nil"/>
              <w:right w:val="nil"/>
            </w:tcBorders>
            <w:noWrap/>
            <w:vAlign w:val="bottom"/>
          </w:tcPr>
          <w:p w14:paraId="13DDE9BE"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r>
      <w:tr w:rsidR="00E91426" w:rsidRPr="00E91426" w14:paraId="19DA3F6D" w14:textId="77777777" w:rsidTr="00E91426">
        <w:trPr>
          <w:trHeight w:val="282"/>
        </w:trPr>
        <w:tc>
          <w:tcPr>
            <w:tcW w:w="6280" w:type="dxa"/>
            <w:tcBorders>
              <w:top w:val="nil"/>
              <w:left w:val="nil"/>
              <w:bottom w:val="nil"/>
              <w:right w:val="nil"/>
            </w:tcBorders>
            <w:vAlign w:val="bottom"/>
            <w:hideMark/>
          </w:tcPr>
          <w:p w14:paraId="5CAF9838"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Allowance for impaired contract receivables</w:t>
            </w:r>
          </w:p>
        </w:tc>
        <w:tc>
          <w:tcPr>
            <w:tcW w:w="1300" w:type="dxa"/>
            <w:tcBorders>
              <w:top w:val="nil"/>
              <w:left w:val="nil"/>
              <w:bottom w:val="nil"/>
              <w:right w:val="nil"/>
            </w:tcBorders>
            <w:noWrap/>
            <w:vAlign w:val="bottom"/>
            <w:hideMark/>
          </w:tcPr>
          <w:p w14:paraId="576F8CA9"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(4,647)</w:t>
            </w:r>
          </w:p>
        </w:tc>
        <w:tc>
          <w:tcPr>
            <w:tcW w:w="60" w:type="dxa"/>
            <w:tcBorders>
              <w:top w:val="nil"/>
              <w:left w:val="nil"/>
              <w:bottom w:val="nil"/>
              <w:right w:val="nil"/>
            </w:tcBorders>
            <w:noWrap/>
            <w:vAlign w:val="bottom"/>
            <w:hideMark/>
          </w:tcPr>
          <w:p w14:paraId="6D7413F2"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300" w:type="dxa"/>
            <w:tcBorders>
              <w:top w:val="nil"/>
              <w:left w:val="nil"/>
              <w:bottom w:val="nil"/>
              <w:right w:val="nil"/>
            </w:tcBorders>
            <w:noWrap/>
            <w:vAlign w:val="bottom"/>
            <w:hideMark/>
          </w:tcPr>
          <w:p w14:paraId="192E21FA"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(4,401)</w:t>
            </w:r>
          </w:p>
        </w:tc>
      </w:tr>
      <w:tr w:rsidR="00E91426" w:rsidRPr="00E91426" w14:paraId="13764E3E" w14:textId="77777777" w:rsidTr="00E91426">
        <w:trPr>
          <w:trHeight w:val="282"/>
        </w:trPr>
        <w:tc>
          <w:tcPr>
            <w:tcW w:w="6280" w:type="dxa"/>
            <w:tcBorders>
              <w:top w:val="nil"/>
              <w:left w:val="nil"/>
              <w:bottom w:val="nil"/>
              <w:right w:val="nil"/>
            </w:tcBorders>
            <w:vAlign w:val="bottom"/>
            <w:hideMark/>
          </w:tcPr>
          <w:p w14:paraId="64BFF6A3"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Prepayments</w:t>
            </w:r>
            <w:r w:rsidRPr="00E91426">
              <w:rPr>
                <w:rFonts w:ascii="Arial" w:eastAsia="Times New Roman" w:hAnsi="Arial" w:cs="Arial"/>
                <w:color w:val="000000"/>
                <w:sz w:val="20"/>
                <w:szCs w:val="20"/>
                <w:vertAlign w:val="superscript"/>
                <w:lang w:val="en-GB" w:eastAsia="en-GB"/>
              </w:rPr>
              <w:t>3</w:t>
            </w:r>
          </w:p>
        </w:tc>
        <w:tc>
          <w:tcPr>
            <w:tcW w:w="1300" w:type="dxa"/>
            <w:tcBorders>
              <w:top w:val="nil"/>
              <w:left w:val="nil"/>
              <w:bottom w:val="nil"/>
              <w:right w:val="nil"/>
            </w:tcBorders>
            <w:noWrap/>
            <w:vAlign w:val="bottom"/>
            <w:hideMark/>
          </w:tcPr>
          <w:p w14:paraId="3365B457"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5,508</w:t>
            </w:r>
          </w:p>
        </w:tc>
        <w:tc>
          <w:tcPr>
            <w:tcW w:w="60" w:type="dxa"/>
            <w:tcBorders>
              <w:top w:val="nil"/>
              <w:left w:val="nil"/>
              <w:bottom w:val="nil"/>
              <w:right w:val="nil"/>
            </w:tcBorders>
            <w:noWrap/>
            <w:vAlign w:val="bottom"/>
            <w:hideMark/>
          </w:tcPr>
          <w:p w14:paraId="5FC44160"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300" w:type="dxa"/>
            <w:tcBorders>
              <w:top w:val="nil"/>
              <w:left w:val="nil"/>
              <w:bottom w:val="nil"/>
              <w:right w:val="nil"/>
            </w:tcBorders>
            <w:noWrap/>
            <w:vAlign w:val="bottom"/>
            <w:hideMark/>
          </w:tcPr>
          <w:p w14:paraId="070CDC91"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4,179</w:t>
            </w:r>
          </w:p>
        </w:tc>
      </w:tr>
      <w:tr w:rsidR="00E91426" w:rsidRPr="00E91426" w14:paraId="022080FD" w14:textId="77777777" w:rsidTr="00E91426">
        <w:trPr>
          <w:trHeight w:val="282"/>
        </w:trPr>
        <w:tc>
          <w:tcPr>
            <w:tcW w:w="6280" w:type="dxa"/>
            <w:tcBorders>
              <w:top w:val="nil"/>
              <w:left w:val="nil"/>
              <w:bottom w:val="nil"/>
              <w:right w:val="nil"/>
            </w:tcBorders>
            <w:vAlign w:val="bottom"/>
            <w:hideMark/>
          </w:tcPr>
          <w:p w14:paraId="3CA45067"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Interest receivable</w:t>
            </w:r>
          </w:p>
        </w:tc>
        <w:tc>
          <w:tcPr>
            <w:tcW w:w="1300" w:type="dxa"/>
            <w:tcBorders>
              <w:top w:val="nil"/>
              <w:left w:val="nil"/>
              <w:bottom w:val="nil"/>
              <w:right w:val="nil"/>
            </w:tcBorders>
            <w:noWrap/>
            <w:vAlign w:val="bottom"/>
            <w:hideMark/>
          </w:tcPr>
          <w:p w14:paraId="06AD5BE2"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85</w:t>
            </w:r>
          </w:p>
        </w:tc>
        <w:tc>
          <w:tcPr>
            <w:tcW w:w="60" w:type="dxa"/>
            <w:tcBorders>
              <w:top w:val="nil"/>
              <w:left w:val="nil"/>
              <w:bottom w:val="nil"/>
              <w:right w:val="nil"/>
            </w:tcBorders>
            <w:noWrap/>
            <w:vAlign w:val="bottom"/>
            <w:hideMark/>
          </w:tcPr>
          <w:p w14:paraId="43AAA61F"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300" w:type="dxa"/>
            <w:tcBorders>
              <w:top w:val="nil"/>
              <w:left w:val="nil"/>
              <w:bottom w:val="nil"/>
              <w:right w:val="nil"/>
            </w:tcBorders>
            <w:noWrap/>
            <w:vAlign w:val="bottom"/>
            <w:hideMark/>
          </w:tcPr>
          <w:p w14:paraId="04B3D5DF"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108</w:t>
            </w:r>
          </w:p>
        </w:tc>
      </w:tr>
      <w:tr w:rsidR="00E91426" w:rsidRPr="00E91426" w14:paraId="7D75FE70" w14:textId="77777777" w:rsidTr="00E91426">
        <w:trPr>
          <w:trHeight w:val="282"/>
        </w:trPr>
        <w:tc>
          <w:tcPr>
            <w:tcW w:w="6280" w:type="dxa"/>
            <w:tcBorders>
              <w:top w:val="nil"/>
              <w:left w:val="nil"/>
              <w:bottom w:val="nil"/>
              <w:right w:val="nil"/>
            </w:tcBorders>
            <w:vAlign w:val="bottom"/>
            <w:hideMark/>
          </w:tcPr>
          <w:p w14:paraId="34012D7F"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PDC dividend receivable</w:t>
            </w:r>
          </w:p>
        </w:tc>
        <w:tc>
          <w:tcPr>
            <w:tcW w:w="1300" w:type="dxa"/>
            <w:tcBorders>
              <w:top w:val="nil"/>
              <w:left w:val="nil"/>
              <w:bottom w:val="nil"/>
              <w:right w:val="nil"/>
            </w:tcBorders>
            <w:noWrap/>
            <w:vAlign w:val="bottom"/>
            <w:hideMark/>
          </w:tcPr>
          <w:p w14:paraId="2C3B34D6"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358</w:t>
            </w:r>
          </w:p>
        </w:tc>
        <w:tc>
          <w:tcPr>
            <w:tcW w:w="60" w:type="dxa"/>
            <w:tcBorders>
              <w:top w:val="nil"/>
              <w:left w:val="nil"/>
              <w:bottom w:val="nil"/>
              <w:right w:val="nil"/>
            </w:tcBorders>
            <w:noWrap/>
            <w:vAlign w:val="bottom"/>
            <w:hideMark/>
          </w:tcPr>
          <w:p w14:paraId="7666BC19"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300" w:type="dxa"/>
            <w:tcBorders>
              <w:top w:val="nil"/>
              <w:left w:val="nil"/>
              <w:bottom w:val="nil"/>
              <w:right w:val="nil"/>
            </w:tcBorders>
            <w:noWrap/>
            <w:vAlign w:val="bottom"/>
            <w:hideMark/>
          </w:tcPr>
          <w:p w14:paraId="5E4AFA6D"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16</w:t>
            </w:r>
          </w:p>
        </w:tc>
      </w:tr>
      <w:tr w:rsidR="00E91426" w:rsidRPr="00E91426" w14:paraId="4D6D7595" w14:textId="77777777" w:rsidTr="00E91426">
        <w:trPr>
          <w:trHeight w:val="282"/>
        </w:trPr>
        <w:tc>
          <w:tcPr>
            <w:tcW w:w="6280" w:type="dxa"/>
            <w:tcBorders>
              <w:top w:val="nil"/>
              <w:left w:val="nil"/>
              <w:bottom w:val="nil"/>
              <w:right w:val="nil"/>
            </w:tcBorders>
            <w:vAlign w:val="bottom"/>
            <w:hideMark/>
          </w:tcPr>
          <w:p w14:paraId="32AEFC89"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VAT receivable</w:t>
            </w:r>
          </w:p>
        </w:tc>
        <w:tc>
          <w:tcPr>
            <w:tcW w:w="1300" w:type="dxa"/>
            <w:tcBorders>
              <w:top w:val="nil"/>
              <w:left w:val="nil"/>
              <w:bottom w:val="nil"/>
              <w:right w:val="nil"/>
            </w:tcBorders>
            <w:noWrap/>
            <w:vAlign w:val="bottom"/>
            <w:hideMark/>
          </w:tcPr>
          <w:p w14:paraId="7E1AD255"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748</w:t>
            </w:r>
          </w:p>
        </w:tc>
        <w:tc>
          <w:tcPr>
            <w:tcW w:w="60" w:type="dxa"/>
            <w:tcBorders>
              <w:top w:val="nil"/>
              <w:left w:val="nil"/>
              <w:bottom w:val="nil"/>
              <w:right w:val="nil"/>
            </w:tcBorders>
            <w:noWrap/>
            <w:vAlign w:val="bottom"/>
            <w:hideMark/>
          </w:tcPr>
          <w:p w14:paraId="6603FA6B"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300" w:type="dxa"/>
            <w:tcBorders>
              <w:top w:val="nil"/>
              <w:left w:val="nil"/>
              <w:bottom w:val="nil"/>
              <w:right w:val="nil"/>
            </w:tcBorders>
            <w:noWrap/>
            <w:vAlign w:val="bottom"/>
            <w:hideMark/>
          </w:tcPr>
          <w:p w14:paraId="41AAB84F"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793</w:t>
            </w:r>
          </w:p>
        </w:tc>
      </w:tr>
      <w:tr w:rsidR="00E91426" w:rsidRPr="00E91426" w14:paraId="46C4956F" w14:textId="77777777" w:rsidTr="00E91426">
        <w:trPr>
          <w:trHeight w:val="255"/>
        </w:trPr>
        <w:tc>
          <w:tcPr>
            <w:tcW w:w="6280" w:type="dxa"/>
            <w:tcBorders>
              <w:top w:val="nil"/>
              <w:left w:val="nil"/>
              <w:bottom w:val="nil"/>
              <w:right w:val="nil"/>
            </w:tcBorders>
            <w:vAlign w:val="bottom"/>
            <w:hideMark/>
          </w:tcPr>
          <w:p w14:paraId="7B44A885"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Clinician pension tax provision reimbursement funding from NHSE</w:t>
            </w:r>
          </w:p>
        </w:tc>
        <w:tc>
          <w:tcPr>
            <w:tcW w:w="1300" w:type="dxa"/>
            <w:tcBorders>
              <w:top w:val="nil"/>
              <w:left w:val="nil"/>
              <w:bottom w:val="nil"/>
              <w:right w:val="nil"/>
            </w:tcBorders>
            <w:noWrap/>
            <w:vAlign w:val="bottom"/>
            <w:hideMark/>
          </w:tcPr>
          <w:p w14:paraId="1401FCE4"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10</w:t>
            </w:r>
          </w:p>
        </w:tc>
        <w:tc>
          <w:tcPr>
            <w:tcW w:w="60" w:type="dxa"/>
            <w:tcBorders>
              <w:top w:val="nil"/>
              <w:left w:val="nil"/>
              <w:bottom w:val="nil"/>
              <w:right w:val="nil"/>
            </w:tcBorders>
            <w:noWrap/>
            <w:vAlign w:val="bottom"/>
            <w:hideMark/>
          </w:tcPr>
          <w:p w14:paraId="2B4F72FF"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300" w:type="dxa"/>
            <w:tcBorders>
              <w:top w:val="nil"/>
              <w:left w:val="nil"/>
              <w:bottom w:val="nil"/>
              <w:right w:val="nil"/>
            </w:tcBorders>
            <w:noWrap/>
            <w:vAlign w:val="bottom"/>
            <w:hideMark/>
          </w:tcPr>
          <w:p w14:paraId="21FB7502"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6</w:t>
            </w:r>
          </w:p>
        </w:tc>
      </w:tr>
      <w:tr w:rsidR="00E91426" w:rsidRPr="00E91426" w14:paraId="7FA2BCC5" w14:textId="77777777" w:rsidTr="00E91426">
        <w:trPr>
          <w:trHeight w:val="282"/>
        </w:trPr>
        <w:tc>
          <w:tcPr>
            <w:tcW w:w="6280" w:type="dxa"/>
            <w:tcBorders>
              <w:top w:val="nil"/>
              <w:left w:val="nil"/>
              <w:bottom w:val="nil"/>
              <w:right w:val="nil"/>
            </w:tcBorders>
            <w:vAlign w:val="bottom"/>
            <w:hideMark/>
          </w:tcPr>
          <w:p w14:paraId="7EA596A4"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Other receivables</w:t>
            </w:r>
          </w:p>
        </w:tc>
        <w:tc>
          <w:tcPr>
            <w:tcW w:w="1300" w:type="dxa"/>
            <w:tcBorders>
              <w:top w:val="nil"/>
              <w:left w:val="nil"/>
              <w:bottom w:val="nil"/>
              <w:right w:val="nil"/>
            </w:tcBorders>
            <w:noWrap/>
            <w:vAlign w:val="bottom"/>
            <w:hideMark/>
          </w:tcPr>
          <w:p w14:paraId="3191112F"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190</w:t>
            </w:r>
          </w:p>
        </w:tc>
        <w:tc>
          <w:tcPr>
            <w:tcW w:w="60" w:type="dxa"/>
            <w:tcBorders>
              <w:top w:val="nil"/>
              <w:left w:val="nil"/>
              <w:bottom w:val="nil"/>
              <w:right w:val="nil"/>
            </w:tcBorders>
            <w:noWrap/>
            <w:vAlign w:val="bottom"/>
            <w:hideMark/>
          </w:tcPr>
          <w:p w14:paraId="254CF871"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300" w:type="dxa"/>
            <w:tcBorders>
              <w:top w:val="nil"/>
              <w:left w:val="nil"/>
              <w:bottom w:val="nil"/>
              <w:right w:val="nil"/>
            </w:tcBorders>
            <w:noWrap/>
            <w:vAlign w:val="bottom"/>
            <w:hideMark/>
          </w:tcPr>
          <w:p w14:paraId="14E3BBA7"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503</w:t>
            </w:r>
          </w:p>
        </w:tc>
      </w:tr>
      <w:tr w:rsidR="00E91426" w:rsidRPr="00E91426" w14:paraId="6FFDF18F" w14:textId="77777777" w:rsidTr="00E91426">
        <w:trPr>
          <w:trHeight w:val="282"/>
        </w:trPr>
        <w:tc>
          <w:tcPr>
            <w:tcW w:w="6280" w:type="dxa"/>
            <w:tcBorders>
              <w:top w:val="nil"/>
              <w:left w:val="nil"/>
              <w:bottom w:val="nil"/>
              <w:right w:val="nil"/>
            </w:tcBorders>
            <w:noWrap/>
            <w:vAlign w:val="bottom"/>
            <w:hideMark/>
          </w:tcPr>
          <w:p w14:paraId="2130E03B"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Total current trade and other receivables</w:t>
            </w:r>
          </w:p>
        </w:tc>
        <w:tc>
          <w:tcPr>
            <w:tcW w:w="1300" w:type="dxa"/>
            <w:tcBorders>
              <w:top w:val="single" w:sz="4" w:space="0" w:color="auto"/>
              <w:left w:val="nil"/>
              <w:bottom w:val="double" w:sz="6" w:space="0" w:color="auto"/>
              <w:right w:val="nil"/>
            </w:tcBorders>
            <w:noWrap/>
            <w:vAlign w:val="bottom"/>
            <w:hideMark/>
          </w:tcPr>
          <w:p w14:paraId="6B170B4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38,658</w:t>
            </w:r>
          </w:p>
        </w:tc>
        <w:tc>
          <w:tcPr>
            <w:tcW w:w="60" w:type="dxa"/>
            <w:tcBorders>
              <w:top w:val="nil"/>
              <w:left w:val="nil"/>
              <w:bottom w:val="nil"/>
              <w:right w:val="nil"/>
            </w:tcBorders>
            <w:noWrap/>
            <w:vAlign w:val="bottom"/>
            <w:hideMark/>
          </w:tcPr>
          <w:p w14:paraId="6E188672"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300" w:type="dxa"/>
            <w:tcBorders>
              <w:top w:val="single" w:sz="4" w:space="0" w:color="auto"/>
              <w:left w:val="nil"/>
              <w:bottom w:val="double" w:sz="6" w:space="0" w:color="auto"/>
              <w:right w:val="nil"/>
            </w:tcBorders>
            <w:noWrap/>
            <w:vAlign w:val="bottom"/>
            <w:hideMark/>
          </w:tcPr>
          <w:p w14:paraId="3DEAB3BB"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29,574</w:t>
            </w:r>
          </w:p>
        </w:tc>
      </w:tr>
      <w:tr w:rsidR="00E91426" w:rsidRPr="00E91426" w14:paraId="4FDCAF22" w14:textId="77777777" w:rsidTr="00E91426">
        <w:trPr>
          <w:trHeight w:val="282"/>
        </w:trPr>
        <w:tc>
          <w:tcPr>
            <w:tcW w:w="6280" w:type="dxa"/>
            <w:tcBorders>
              <w:top w:val="nil"/>
              <w:left w:val="nil"/>
              <w:bottom w:val="nil"/>
              <w:right w:val="nil"/>
            </w:tcBorders>
            <w:vAlign w:val="bottom"/>
            <w:hideMark/>
          </w:tcPr>
          <w:p w14:paraId="7C28F8FA"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300" w:type="dxa"/>
            <w:tcBorders>
              <w:top w:val="nil"/>
              <w:left w:val="nil"/>
              <w:bottom w:val="nil"/>
              <w:right w:val="nil"/>
            </w:tcBorders>
            <w:vAlign w:val="center"/>
            <w:hideMark/>
          </w:tcPr>
          <w:p w14:paraId="4AE47CBD" w14:textId="77777777" w:rsidR="00E91426" w:rsidRPr="00E91426" w:rsidRDefault="00E91426" w:rsidP="00E91426">
            <w:pPr>
              <w:widowControl/>
              <w:rPr>
                <w:rFonts w:ascii="Arial" w:eastAsia="Times New Roman" w:hAnsi="Arial" w:cs="Arial"/>
                <w:sz w:val="20"/>
                <w:szCs w:val="20"/>
                <w:lang w:val="en-GB" w:eastAsia="en-GB"/>
              </w:rPr>
            </w:pPr>
          </w:p>
        </w:tc>
        <w:tc>
          <w:tcPr>
            <w:tcW w:w="60" w:type="dxa"/>
            <w:tcBorders>
              <w:top w:val="nil"/>
              <w:left w:val="nil"/>
              <w:bottom w:val="nil"/>
              <w:right w:val="nil"/>
            </w:tcBorders>
            <w:vAlign w:val="center"/>
            <w:hideMark/>
          </w:tcPr>
          <w:p w14:paraId="3A924A7C" w14:textId="77777777" w:rsidR="00E91426" w:rsidRPr="00E91426" w:rsidRDefault="00E91426" w:rsidP="00E91426">
            <w:pPr>
              <w:widowControl/>
              <w:rPr>
                <w:rFonts w:ascii="Arial" w:eastAsia="Times New Roman" w:hAnsi="Arial" w:cs="Arial"/>
                <w:sz w:val="20"/>
                <w:szCs w:val="20"/>
                <w:lang w:val="en-GB" w:eastAsia="en-GB"/>
              </w:rPr>
            </w:pPr>
          </w:p>
        </w:tc>
        <w:tc>
          <w:tcPr>
            <w:tcW w:w="1300" w:type="dxa"/>
            <w:tcBorders>
              <w:top w:val="nil"/>
              <w:left w:val="nil"/>
              <w:bottom w:val="nil"/>
              <w:right w:val="nil"/>
            </w:tcBorders>
            <w:vAlign w:val="center"/>
            <w:hideMark/>
          </w:tcPr>
          <w:p w14:paraId="19403923"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66106D73" w14:textId="77777777" w:rsidTr="00E91426">
        <w:trPr>
          <w:trHeight w:val="282"/>
        </w:trPr>
        <w:tc>
          <w:tcPr>
            <w:tcW w:w="6280" w:type="dxa"/>
            <w:tcBorders>
              <w:top w:val="nil"/>
              <w:left w:val="nil"/>
              <w:bottom w:val="nil"/>
              <w:right w:val="nil"/>
            </w:tcBorders>
            <w:vAlign w:val="bottom"/>
            <w:hideMark/>
          </w:tcPr>
          <w:p w14:paraId="603786C3"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Non-current</w:t>
            </w:r>
          </w:p>
        </w:tc>
        <w:tc>
          <w:tcPr>
            <w:tcW w:w="1300" w:type="dxa"/>
            <w:tcBorders>
              <w:top w:val="nil"/>
              <w:left w:val="nil"/>
              <w:bottom w:val="nil"/>
              <w:right w:val="nil"/>
            </w:tcBorders>
            <w:noWrap/>
            <w:vAlign w:val="center"/>
            <w:hideMark/>
          </w:tcPr>
          <w:p w14:paraId="4D39D7C2"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60" w:type="dxa"/>
            <w:tcBorders>
              <w:top w:val="nil"/>
              <w:left w:val="nil"/>
              <w:bottom w:val="nil"/>
              <w:right w:val="nil"/>
            </w:tcBorders>
            <w:noWrap/>
            <w:vAlign w:val="center"/>
            <w:hideMark/>
          </w:tcPr>
          <w:p w14:paraId="3F16FD0D" w14:textId="77777777" w:rsidR="00E91426" w:rsidRPr="00E91426" w:rsidRDefault="00E91426" w:rsidP="00E91426">
            <w:pPr>
              <w:widowControl/>
              <w:rPr>
                <w:rFonts w:ascii="Arial" w:eastAsia="Times New Roman" w:hAnsi="Arial" w:cs="Arial"/>
                <w:sz w:val="20"/>
                <w:szCs w:val="20"/>
                <w:lang w:val="en-GB" w:eastAsia="en-GB"/>
              </w:rPr>
            </w:pPr>
          </w:p>
        </w:tc>
        <w:tc>
          <w:tcPr>
            <w:tcW w:w="1300" w:type="dxa"/>
            <w:tcBorders>
              <w:top w:val="nil"/>
              <w:left w:val="nil"/>
              <w:bottom w:val="nil"/>
              <w:right w:val="nil"/>
            </w:tcBorders>
            <w:noWrap/>
            <w:vAlign w:val="center"/>
            <w:hideMark/>
          </w:tcPr>
          <w:p w14:paraId="6FF6B1D0"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18323B97" w14:textId="77777777" w:rsidTr="00E91426">
        <w:trPr>
          <w:trHeight w:val="282"/>
        </w:trPr>
        <w:tc>
          <w:tcPr>
            <w:tcW w:w="6280" w:type="dxa"/>
            <w:tcBorders>
              <w:top w:val="nil"/>
              <w:left w:val="nil"/>
              <w:bottom w:val="nil"/>
              <w:right w:val="nil"/>
            </w:tcBorders>
            <w:vAlign w:val="bottom"/>
            <w:hideMark/>
          </w:tcPr>
          <w:p w14:paraId="1F43BC68"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Contract receivables</w:t>
            </w:r>
            <w:r w:rsidRPr="00E91426">
              <w:rPr>
                <w:rFonts w:ascii="Arial" w:eastAsia="Times New Roman" w:hAnsi="Arial" w:cs="Arial"/>
                <w:color w:val="000000"/>
                <w:sz w:val="20"/>
                <w:szCs w:val="20"/>
                <w:vertAlign w:val="superscript"/>
                <w:lang w:val="en-GB" w:eastAsia="en-GB"/>
              </w:rPr>
              <w:t>1</w:t>
            </w:r>
          </w:p>
        </w:tc>
        <w:tc>
          <w:tcPr>
            <w:tcW w:w="1300" w:type="dxa"/>
            <w:tcBorders>
              <w:top w:val="nil"/>
              <w:left w:val="nil"/>
              <w:bottom w:val="nil"/>
              <w:right w:val="nil"/>
            </w:tcBorders>
            <w:noWrap/>
            <w:vAlign w:val="bottom"/>
            <w:hideMark/>
          </w:tcPr>
          <w:p w14:paraId="049F9D47"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552</w:t>
            </w:r>
          </w:p>
        </w:tc>
        <w:tc>
          <w:tcPr>
            <w:tcW w:w="60" w:type="dxa"/>
            <w:tcBorders>
              <w:top w:val="nil"/>
              <w:left w:val="nil"/>
              <w:bottom w:val="nil"/>
              <w:right w:val="nil"/>
            </w:tcBorders>
            <w:noWrap/>
            <w:vAlign w:val="bottom"/>
            <w:hideMark/>
          </w:tcPr>
          <w:p w14:paraId="7A6168CF"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300" w:type="dxa"/>
            <w:tcBorders>
              <w:top w:val="nil"/>
              <w:left w:val="nil"/>
              <w:bottom w:val="nil"/>
              <w:right w:val="nil"/>
            </w:tcBorders>
            <w:noWrap/>
            <w:vAlign w:val="bottom"/>
            <w:hideMark/>
          </w:tcPr>
          <w:p w14:paraId="05FEBA00"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519</w:t>
            </w:r>
          </w:p>
        </w:tc>
      </w:tr>
      <w:tr w:rsidR="00E91426" w:rsidRPr="00E91426" w14:paraId="0D1D5F4E" w14:textId="77777777" w:rsidTr="00E91426">
        <w:trPr>
          <w:trHeight w:val="282"/>
        </w:trPr>
        <w:tc>
          <w:tcPr>
            <w:tcW w:w="6280" w:type="dxa"/>
            <w:tcBorders>
              <w:top w:val="nil"/>
              <w:left w:val="nil"/>
              <w:bottom w:val="nil"/>
              <w:right w:val="nil"/>
            </w:tcBorders>
            <w:vAlign w:val="bottom"/>
            <w:hideMark/>
          </w:tcPr>
          <w:p w14:paraId="5A24BC10"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Allowance for impaired contract receivables</w:t>
            </w:r>
          </w:p>
        </w:tc>
        <w:tc>
          <w:tcPr>
            <w:tcW w:w="1300" w:type="dxa"/>
            <w:tcBorders>
              <w:top w:val="nil"/>
              <w:left w:val="nil"/>
              <w:bottom w:val="nil"/>
              <w:right w:val="nil"/>
            </w:tcBorders>
            <w:noWrap/>
            <w:vAlign w:val="bottom"/>
            <w:hideMark/>
          </w:tcPr>
          <w:p w14:paraId="4E4F9218"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(135)</w:t>
            </w:r>
          </w:p>
        </w:tc>
        <w:tc>
          <w:tcPr>
            <w:tcW w:w="60" w:type="dxa"/>
            <w:tcBorders>
              <w:top w:val="nil"/>
              <w:left w:val="nil"/>
              <w:bottom w:val="nil"/>
              <w:right w:val="nil"/>
            </w:tcBorders>
            <w:noWrap/>
            <w:vAlign w:val="bottom"/>
            <w:hideMark/>
          </w:tcPr>
          <w:p w14:paraId="5DA48C37"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300" w:type="dxa"/>
            <w:tcBorders>
              <w:top w:val="nil"/>
              <w:left w:val="nil"/>
              <w:bottom w:val="nil"/>
              <w:right w:val="nil"/>
            </w:tcBorders>
            <w:noWrap/>
            <w:vAlign w:val="bottom"/>
            <w:hideMark/>
          </w:tcPr>
          <w:p w14:paraId="0CA41098"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(120)</w:t>
            </w:r>
          </w:p>
        </w:tc>
      </w:tr>
      <w:tr w:rsidR="00E91426" w:rsidRPr="00E91426" w14:paraId="412D9303" w14:textId="77777777" w:rsidTr="00E91426">
        <w:trPr>
          <w:trHeight w:val="282"/>
        </w:trPr>
        <w:tc>
          <w:tcPr>
            <w:tcW w:w="6280" w:type="dxa"/>
            <w:tcBorders>
              <w:top w:val="nil"/>
              <w:left w:val="nil"/>
              <w:bottom w:val="nil"/>
              <w:right w:val="nil"/>
            </w:tcBorders>
            <w:vAlign w:val="bottom"/>
            <w:hideMark/>
          </w:tcPr>
          <w:p w14:paraId="3ADDDCC6"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Clinician pension tax provision reimbursement funding from NHSE</w:t>
            </w:r>
          </w:p>
        </w:tc>
        <w:tc>
          <w:tcPr>
            <w:tcW w:w="1300" w:type="dxa"/>
            <w:tcBorders>
              <w:top w:val="nil"/>
              <w:left w:val="nil"/>
              <w:bottom w:val="nil"/>
              <w:right w:val="nil"/>
            </w:tcBorders>
            <w:noWrap/>
            <w:vAlign w:val="bottom"/>
            <w:hideMark/>
          </w:tcPr>
          <w:p w14:paraId="6C6B5C90"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374</w:t>
            </w:r>
          </w:p>
        </w:tc>
        <w:tc>
          <w:tcPr>
            <w:tcW w:w="60" w:type="dxa"/>
            <w:tcBorders>
              <w:top w:val="nil"/>
              <w:left w:val="nil"/>
              <w:bottom w:val="nil"/>
              <w:right w:val="nil"/>
            </w:tcBorders>
            <w:noWrap/>
            <w:vAlign w:val="bottom"/>
            <w:hideMark/>
          </w:tcPr>
          <w:p w14:paraId="6DCAE8D6"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300" w:type="dxa"/>
            <w:tcBorders>
              <w:top w:val="nil"/>
              <w:left w:val="nil"/>
              <w:bottom w:val="nil"/>
              <w:right w:val="nil"/>
            </w:tcBorders>
            <w:noWrap/>
            <w:vAlign w:val="bottom"/>
            <w:hideMark/>
          </w:tcPr>
          <w:p w14:paraId="1C534292"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358</w:t>
            </w:r>
          </w:p>
        </w:tc>
      </w:tr>
      <w:tr w:rsidR="00E91426" w:rsidRPr="00E91426" w14:paraId="02E18399" w14:textId="77777777" w:rsidTr="00E91426">
        <w:trPr>
          <w:trHeight w:val="282"/>
        </w:trPr>
        <w:tc>
          <w:tcPr>
            <w:tcW w:w="6280" w:type="dxa"/>
            <w:tcBorders>
              <w:top w:val="nil"/>
              <w:left w:val="nil"/>
              <w:bottom w:val="nil"/>
              <w:right w:val="nil"/>
            </w:tcBorders>
            <w:noWrap/>
            <w:vAlign w:val="bottom"/>
            <w:hideMark/>
          </w:tcPr>
          <w:p w14:paraId="0C6DA7DE"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Total non-current trade and other receivables</w:t>
            </w:r>
          </w:p>
        </w:tc>
        <w:tc>
          <w:tcPr>
            <w:tcW w:w="1300" w:type="dxa"/>
            <w:tcBorders>
              <w:top w:val="single" w:sz="4" w:space="0" w:color="auto"/>
              <w:left w:val="nil"/>
              <w:bottom w:val="double" w:sz="6" w:space="0" w:color="auto"/>
              <w:right w:val="nil"/>
            </w:tcBorders>
            <w:noWrap/>
            <w:vAlign w:val="bottom"/>
            <w:hideMark/>
          </w:tcPr>
          <w:p w14:paraId="65CDB7F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791</w:t>
            </w:r>
          </w:p>
        </w:tc>
        <w:tc>
          <w:tcPr>
            <w:tcW w:w="60" w:type="dxa"/>
            <w:tcBorders>
              <w:top w:val="nil"/>
              <w:left w:val="nil"/>
              <w:bottom w:val="nil"/>
              <w:right w:val="nil"/>
            </w:tcBorders>
            <w:noWrap/>
            <w:vAlign w:val="bottom"/>
            <w:hideMark/>
          </w:tcPr>
          <w:p w14:paraId="2016F05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300" w:type="dxa"/>
            <w:tcBorders>
              <w:top w:val="single" w:sz="4" w:space="0" w:color="auto"/>
              <w:left w:val="nil"/>
              <w:bottom w:val="double" w:sz="6" w:space="0" w:color="auto"/>
              <w:right w:val="nil"/>
            </w:tcBorders>
            <w:noWrap/>
            <w:vAlign w:val="bottom"/>
            <w:hideMark/>
          </w:tcPr>
          <w:p w14:paraId="2B0F3E9B"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757</w:t>
            </w:r>
          </w:p>
        </w:tc>
      </w:tr>
      <w:tr w:rsidR="00E91426" w:rsidRPr="00E91426" w14:paraId="3F73E3C8" w14:textId="77777777" w:rsidTr="00E91426">
        <w:trPr>
          <w:trHeight w:val="282"/>
        </w:trPr>
        <w:tc>
          <w:tcPr>
            <w:tcW w:w="6280" w:type="dxa"/>
            <w:tcBorders>
              <w:top w:val="nil"/>
              <w:left w:val="nil"/>
              <w:bottom w:val="nil"/>
              <w:right w:val="nil"/>
            </w:tcBorders>
            <w:noWrap/>
            <w:vAlign w:val="bottom"/>
            <w:hideMark/>
          </w:tcPr>
          <w:p w14:paraId="20823C68"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Total Receivables</w:t>
            </w:r>
          </w:p>
        </w:tc>
        <w:tc>
          <w:tcPr>
            <w:tcW w:w="1300" w:type="dxa"/>
            <w:tcBorders>
              <w:top w:val="nil"/>
              <w:left w:val="nil"/>
              <w:bottom w:val="double" w:sz="6" w:space="0" w:color="auto"/>
              <w:right w:val="nil"/>
            </w:tcBorders>
            <w:noWrap/>
            <w:vAlign w:val="bottom"/>
            <w:hideMark/>
          </w:tcPr>
          <w:p w14:paraId="3F54219F"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39,449</w:t>
            </w:r>
          </w:p>
        </w:tc>
        <w:tc>
          <w:tcPr>
            <w:tcW w:w="60" w:type="dxa"/>
            <w:tcBorders>
              <w:top w:val="nil"/>
              <w:left w:val="nil"/>
              <w:bottom w:val="nil"/>
              <w:right w:val="nil"/>
            </w:tcBorders>
            <w:noWrap/>
            <w:vAlign w:val="bottom"/>
            <w:hideMark/>
          </w:tcPr>
          <w:p w14:paraId="199AB851"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300" w:type="dxa"/>
            <w:tcBorders>
              <w:top w:val="nil"/>
              <w:left w:val="nil"/>
              <w:bottom w:val="double" w:sz="6" w:space="0" w:color="auto"/>
              <w:right w:val="nil"/>
            </w:tcBorders>
            <w:noWrap/>
            <w:vAlign w:val="bottom"/>
            <w:hideMark/>
          </w:tcPr>
          <w:p w14:paraId="5F9DAFF3"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30,331</w:t>
            </w:r>
          </w:p>
        </w:tc>
      </w:tr>
      <w:tr w:rsidR="00E91426" w:rsidRPr="00E91426" w14:paraId="4D7A4EF7" w14:textId="77777777" w:rsidTr="00E91426">
        <w:trPr>
          <w:trHeight w:val="109"/>
        </w:trPr>
        <w:tc>
          <w:tcPr>
            <w:tcW w:w="6280" w:type="dxa"/>
            <w:tcBorders>
              <w:top w:val="nil"/>
              <w:left w:val="nil"/>
              <w:bottom w:val="nil"/>
              <w:right w:val="nil"/>
            </w:tcBorders>
            <w:noWrap/>
            <w:vAlign w:val="bottom"/>
            <w:hideMark/>
          </w:tcPr>
          <w:p w14:paraId="5BF635B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300" w:type="dxa"/>
            <w:tcBorders>
              <w:top w:val="nil"/>
              <w:left w:val="nil"/>
              <w:bottom w:val="nil"/>
              <w:right w:val="nil"/>
            </w:tcBorders>
            <w:noWrap/>
            <w:vAlign w:val="bottom"/>
            <w:hideMark/>
          </w:tcPr>
          <w:p w14:paraId="0F7780F4" w14:textId="77777777" w:rsidR="00E91426" w:rsidRPr="00E91426" w:rsidRDefault="00E91426" w:rsidP="00E91426">
            <w:pPr>
              <w:widowControl/>
              <w:rPr>
                <w:rFonts w:ascii="Arial" w:eastAsia="Times New Roman" w:hAnsi="Arial" w:cs="Arial"/>
                <w:sz w:val="20"/>
                <w:szCs w:val="20"/>
                <w:lang w:val="en-GB" w:eastAsia="en-GB"/>
              </w:rPr>
            </w:pPr>
          </w:p>
        </w:tc>
        <w:tc>
          <w:tcPr>
            <w:tcW w:w="60" w:type="dxa"/>
            <w:tcBorders>
              <w:top w:val="nil"/>
              <w:left w:val="nil"/>
              <w:bottom w:val="nil"/>
              <w:right w:val="nil"/>
            </w:tcBorders>
            <w:noWrap/>
            <w:vAlign w:val="bottom"/>
            <w:hideMark/>
          </w:tcPr>
          <w:p w14:paraId="769AD173"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300" w:type="dxa"/>
            <w:tcBorders>
              <w:top w:val="nil"/>
              <w:left w:val="nil"/>
              <w:bottom w:val="nil"/>
              <w:right w:val="nil"/>
            </w:tcBorders>
            <w:noWrap/>
            <w:vAlign w:val="bottom"/>
            <w:hideMark/>
          </w:tcPr>
          <w:p w14:paraId="2C622D8D" w14:textId="77777777" w:rsidR="00E91426" w:rsidRPr="00E91426" w:rsidRDefault="00E91426" w:rsidP="00E91426">
            <w:pPr>
              <w:widowControl/>
              <w:jc w:val="right"/>
              <w:rPr>
                <w:rFonts w:ascii="Arial" w:eastAsia="Times New Roman" w:hAnsi="Arial" w:cs="Arial"/>
                <w:sz w:val="20"/>
                <w:szCs w:val="20"/>
                <w:lang w:val="en-GB" w:eastAsia="en-GB"/>
              </w:rPr>
            </w:pPr>
          </w:p>
        </w:tc>
      </w:tr>
      <w:tr w:rsidR="00E91426" w:rsidRPr="00E91426" w14:paraId="650DC22D" w14:textId="77777777" w:rsidTr="00E91426">
        <w:trPr>
          <w:trHeight w:val="282"/>
        </w:trPr>
        <w:tc>
          <w:tcPr>
            <w:tcW w:w="6280" w:type="dxa"/>
            <w:tcBorders>
              <w:top w:val="nil"/>
              <w:left w:val="nil"/>
              <w:bottom w:val="nil"/>
              <w:right w:val="nil"/>
            </w:tcBorders>
            <w:vAlign w:val="bottom"/>
            <w:hideMark/>
          </w:tcPr>
          <w:p w14:paraId="68344447"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Of which receivables from NHS and DHSC group bodies: </w:t>
            </w:r>
          </w:p>
        </w:tc>
        <w:tc>
          <w:tcPr>
            <w:tcW w:w="1300" w:type="dxa"/>
            <w:tcBorders>
              <w:top w:val="nil"/>
              <w:left w:val="nil"/>
              <w:bottom w:val="nil"/>
              <w:right w:val="nil"/>
            </w:tcBorders>
            <w:vAlign w:val="bottom"/>
            <w:hideMark/>
          </w:tcPr>
          <w:p w14:paraId="382C3CDF"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60" w:type="dxa"/>
            <w:tcBorders>
              <w:top w:val="nil"/>
              <w:left w:val="nil"/>
              <w:bottom w:val="nil"/>
              <w:right w:val="nil"/>
            </w:tcBorders>
            <w:vAlign w:val="bottom"/>
            <w:hideMark/>
          </w:tcPr>
          <w:p w14:paraId="14281221" w14:textId="77777777" w:rsidR="00E91426" w:rsidRPr="00E91426" w:rsidRDefault="00E91426" w:rsidP="00E91426">
            <w:pPr>
              <w:widowControl/>
              <w:rPr>
                <w:rFonts w:ascii="Arial" w:eastAsia="Times New Roman" w:hAnsi="Arial" w:cs="Arial"/>
                <w:sz w:val="20"/>
                <w:szCs w:val="20"/>
                <w:lang w:val="en-GB" w:eastAsia="en-GB"/>
              </w:rPr>
            </w:pPr>
          </w:p>
        </w:tc>
        <w:tc>
          <w:tcPr>
            <w:tcW w:w="1300" w:type="dxa"/>
            <w:tcBorders>
              <w:top w:val="nil"/>
              <w:left w:val="nil"/>
              <w:bottom w:val="nil"/>
              <w:right w:val="nil"/>
            </w:tcBorders>
            <w:vAlign w:val="bottom"/>
            <w:hideMark/>
          </w:tcPr>
          <w:p w14:paraId="604C2AAB"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317750FC" w14:textId="77777777" w:rsidTr="00E91426">
        <w:trPr>
          <w:trHeight w:val="282"/>
        </w:trPr>
        <w:tc>
          <w:tcPr>
            <w:tcW w:w="6280" w:type="dxa"/>
            <w:tcBorders>
              <w:top w:val="nil"/>
              <w:left w:val="nil"/>
              <w:bottom w:val="nil"/>
              <w:right w:val="nil"/>
            </w:tcBorders>
            <w:vAlign w:val="bottom"/>
            <w:hideMark/>
          </w:tcPr>
          <w:p w14:paraId="5BDF334E"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Current</w:t>
            </w:r>
          </w:p>
        </w:tc>
        <w:tc>
          <w:tcPr>
            <w:tcW w:w="1300" w:type="dxa"/>
            <w:tcBorders>
              <w:top w:val="nil"/>
              <w:left w:val="nil"/>
              <w:bottom w:val="nil"/>
              <w:right w:val="nil"/>
            </w:tcBorders>
            <w:noWrap/>
            <w:vAlign w:val="bottom"/>
            <w:hideMark/>
          </w:tcPr>
          <w:p w14:paraId="1CC013F3"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20,612</w:t>
            </w:r>
          </w:p>
        </w:tc>
        <w:tc>
          <w:tcPr>
            <w:tcW w:w="60" w:type="dxa"/>
            <w:tcBorders>
              <w:top w:val="nil"/>
              <w:left w:val="nil"/>
              <w:bottom w:val="nil"/>
              <w:right w:val="nil"/>
            </w:tcBorders>
            <w:noWrap/>
            <w:vAlign w:val="bottom"/>
            <w:hideMark/>
          </w:tcPr>
          <w:p w14:paraId="0FCA183D"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300" w:type="dxa"/>
            <w:tcBorders>
              <w:top w:val="nil"/>
              <w:left w:val="nil"/>
              <w:bottom w:val="nil"/>
              <w:right w:val="nil"/>
            </w:tcBorders>
            <w:noWrap/>
            <w:vAlign w:val="bottom"/>
            <w:hideMark/>
          </w:tcPr>
          <w:p w14:paraId="57109029"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20,154</w:t>
            </w:r>
          </w:p>
        </w:tc>
      </w:tr>
      <w:tr w:rsidR="00E91426" w:rsidRPr="00E91426" w14:paraId="0265C040" w14:textId="77777777" w:rsidTr="00E91426">
        <w:trPr>
          <w:trHeight w:val="282"/>
        </w:trPr>
        <w:tc>
          <w:tcPr>
            <w:tcW w:w="6280" w:type="dxa"/>
            <w:tcBorders>
              <w:top w:val="nil"/>
              <w:left w:val="nil"/>
              <w:bottom w:val="nil"/>
              <w:right w:val="nil"/>
            </w:tcBorders>
            <w:vAlign w:val="bottom"/>
            <w:hideMark/>
          </w:tcPr>
          <w:p w14:paraId="496A9017"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Non-current</w:t>
            </w:r>
          </w:p>
        </w:tc>
        <w:tc>
          <w:tcPr>
            <w:tcW w:w="1300" w:type="dxa"/>
            <w:tcBorders>
              <w:top w:val="nil"/>
              <w:left w:val="nil"/>
              <w:bottom w:val="nil"/>
              <w:right w:val="nil"/>
            </w:tcBorders>
            <w:noWrap/>
            <w:vAlign w:val="bottom"/>
            <w:hideMark/>
          </w:tcPr>
          <w:p w14:paraId="18269335"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374</w:t>
            </w:r>
          </w:p>
        </w:tc>
        <w:tc>
          <w:tcPr>
            <w:tcW w:w="60" w:type="dxa"/>
            <w:tcBorders>
              <w:top w:val="nil"/>
              <w:left w:val="nil"/>
              <w:bottom w:val="nil"/>
              <w:right w:val="nil"/>
            </w:tcBorders>
            <w:noWrap/>
            <w:vAlign w:val="bottom"/>
            <w:hideMark/>
          </w:tcPr>
          <w:p w14:paraId="1AEA0B5C"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300" w:type="dxa"/>
            <w:tcBorders>
              <w:top w:val="nil"/>
              <w:left w:val="nil"/>
              <w:bottom w:val="nil"/>
              <w:right w:val="nil"/>
            </w:tcBorders>
            <w:noWrap/>
            <w:vAlign w:val="bottom"/>
            <w:hideMark/>
          </w:tcPr>
          <w:p w14:paraId="1FC27741"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358</w:t>
            </w:r>
          </w:p>
        </w:tc>
      </w:tr>
      <w:tr w:rsidR="00E91426" w:rsidRPr="00E91426" w14:paraId="60647490" w14:textId="77777777" w:rsidTr="00E91426">
        <w:trPr>
          <w:trHeight w:val="282"/>
        </w:trPr>
        <w:tc>
          <w:tcPr>
            <w:tcW w:w="6280" w:type="dxa"/>
            <w:tcBorders>
              <w:top w:val="nil"/>
              <w:left w:val="nil"/>
              <w:bottom w:val="nil"/>
              <w:right w:val="nil"/>
            </w:tcBorders>
            <w:vAlign w:val="bottom"/>
            <w:hideMark/>
          </w:tcPr>
          <w:p w14:paraId="148CFD3E"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300" w:type="dxa"/>
            <w:tcBorders>
              <w:top w:val="nil"/>
              <w:left w:val="nil"/>
              <w:bottom w:val="nil"/>
              <w:right w:val="nil"/>
            </w:tcBorders>
            <w:vAlign w:val="bottom"/>
            <w:hideMark/>
          </w:tcPr>
          <w:p w14:paraId="7FDBEA85" w14:textId="77777777" w:rsidR="00E91426" w:rsidRPr="00E91426" w:rsidRDefault="00E91426" w:rsidP="00E91426">
            <w:pPr>
              <w:widowControl/>
              <w:rPr>
                <w:rFonts w:ascii="Arial" w:eastAsia="Times New Roman" w:hAnsi="Arial" w:cs="Arial"/>
                <w:sz w:val="20"/>
                <w:szCs w:val="20"/>
                <w:lang w:val="en-GB" w:eastAsia="en-GB"/>
              </w:rPr>
            </w:pPr>
          </w:p>
        </w:tc>
        <w:tc>
          <w:tcPr>
            <w:tcW w:w="60" w:type="dxa"/>
            <w:tcBorders>
              <w:top w:val="nil"/>
              <w:left w:val="nil"/>
              <w:bottom w:val="nil"/>
              <w:right w:val="nil"/>
            </w:tcBorders>
            <w:vAlign w:val="bottom"/>
            <w:hideMark/>
          </w:tcPr>
          <w:p w14:paraId="32C0ED99" w14:textId="77777777" w:rsidR="00E91426" w:rsidRPr="00E91426" w:rsidRDefault="00E91426" w:rsidP="00E91426">
            <w:pPr>
              <w:widowControl/>
              <w:rPr>
                <w:rFonts w:ascii="Arial" w:eastAsia="Times New Roman" w:hAnsi="Arial" w:cs="Arial"/>
                <w:sz w:val="20"/>
                <w:szCs w:val="20"/>
                <w:lang w:val="en-GB" w:eastAsia="en-GB"/>
              </w:rPr>
            </w:pPr>
          </w:p>
        </w:tc>
        <w:tc>
          <w:tcPr>
            <w:tcW w:w="1300" w:type="dxa"/>
            <w:tcBorders>
              <w:top w:val="nil"/>
              <w:left w:val="nil"/>
              <w:bottom w:val="nil"/>
              <w:right w:val="nil"/>
            </w:tcBorders>
            <w:vAlign w:val="bottom"/>
            <w:hideMark/>
          </w:tcPr>
          <w:p w14:paraId="2E67D509"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426E1AC8" w14:textId="77777777" w:rsidTr="00E91426">
        <w:trPr>
          <w:trHeight w:val="1020"/>
        </w:trPr>
        <w:tc>
          <w:tcPr>
            <w:tcW w:w="8940" w:type="dxa"/>
            <w:gridSpan w:val="4"/>
            <w:tcBorders>
              <w:top w:val="nil"/>
              <w:left w:val="nil"/>
              <w:bottom w:val="nil"/>
              <w:right w:val="nil"/>
            </w:tcBorders>
            <w:vAlign w:val="bottom"/>
            <w:hideMark/>
          </w:tcPr>
          <w:p w14:paraId="08D89E4B" w14:textId="77777777" w:rsidR="00E91426" w:rsidRPr="00E91426" w:rsidRDefault="00E91426" w:rsidP="00E91426">
            <w:pPr>
              <w:widowControl/>
              <w:rPr>
                <w:rFonts w:ascii="Arial" w:eastAsia="Times New Roman" w:hAnsi="Arial" w:cs="Arial"/>
                <w:color w:val="000000"/>
                <w:sz w:val="18"/>
                <w:szCs w:val="18"/>
                <w:lang w:val="en-GB" w:eastAsia="en-GB"/>
              </w:rPr>
            </w:pPr>
            <w:r w:rsidRPr="00E91426">
              <w:rPr>
                <w:rFonts w:ascii="Arial" w:eastAsia="Times New Roman" w:hAnsi="Arial" w:cs="Arial"/>
                <w:color w:val="000000"/>
                <w:sz w:val="18"/>
                <w:szCs w:val="18"/>
                <w:vertAlign w:val="superscript"/>
                <w:lang w:val="en-GB" w:eastAsia="en-GB"/>
              </w:rPr>
              <w:t>1</w:t>
            </w:r>
            <w:r w:rsidRPr="00E91426">
              <w:rPr>
                <w:rFonts w:ascii="Arial" w:eastAsia="Times New Roman" w:hAnsi="Arial" w:cs="Arial"/>
                <w:color w:val="000000"/>
                <w:sz w:val="18"/>
                <w:szCs w:val="18"/>
                <w:lang w:val="en-GB" w:eastAsia="en-GB"/>
              </w:rPr>
              <w:t>Contract receivables includes invoiced £20,674k (2023/24 £17,045k) and uninvoiced accruals of £12,269k (2023/24 £11,325k).  Included in uninvoiced is £3,508k HMRC anticipated settlement for Brockenhurst case appeal to be heard in the UK Supreme Court in April 2025</w:t>
            </w:r>
          </w:p>
          <w:p w14:paraId="793D5EE3" w14:textId="77777777" w:rsidR="00E91426" w:rsidRPr="00E91426" w:rsidRDefault="00E91426" w:rsidP="00E91426">
            <w:pPr>
              <w:widowControl/>
              <w:rPr>
                <w:rFonts w:ascii="Arial" w:eastAsia="Times New Roman" w:hAnsi="Arial" w:cs="Arial"/>
                <w:color w:val="000000"/>
                <w:sz w:val="18"/>
                <w:szCs w:val="18"/>
                <w:lang w:val="en-GB" w:eastAsia="en-GB"/>
              </w:rPr>
            </w:pPr>
            <w:r w:rsidRPr="00E91426">
              <w:rPr>
                <w:rFonts w:ascii="Arial" w:eastAsia="Times New Roman" w:hAnsi="Arial" w:cs="Arial"/>
                <w:color w:val="000000"/>
                <w:sz w:val="18"/>
                <w:szCs w:val="18"/>
                <w:vertAlign w:val="superscript"/>
                <w:lang w:val="en-GB" w:eastAsia="en-GB"/>
              </w:rPr>
              <w:t>2</w:t>
            </w:r>
            <w:r w:rsidRPr="00E91426">
              <w:rPr>
                <w:rFonts w:ascii="Arial" w:eastAsia="Times New Roman" w:hAnsi="Arial" w:cs="Arial"/>
                <w:color w:val="000000"/>
                <w:sz w:val="18"/>
                <w:szCs w:val="18"/>
                <w:lang w:val="en-GB" w:eastAsia="en-GB"/>
              </w:rPr>
              <w:t>Capital receivables relates to Salix grant for site decarbonisation.</w:t>
            </w:r>
          </w:p>
        </w:tc>
      </w:tr>
      <w:tr w:rsidR="00E91426" w:rsidRPr="00E91426" w14:paraId="2E1C7B30" w14:textId="77777777" w:rsidTr="00E91426">
        <w:trPr>
          <w:trHeight w:val="255"/>
        </w:trPr>
        <w:tc>
          <w:tcPr>
            <w:tcW w:w="8940" w:type="dxa"/>
            <w:gridSpan w:val="4"/>
            <w:tcBorders>
              <w:top w:val="nil"/>
              <w:left w:val="nil"/>
              <w:bottom w:val="nil"/>
              <w:right w:val="nil"/>
            </w:tcBorders>
            <w:vAlign w:val="bottom"/>
            <w:hideMark/>
          </w:tcPr>
          <w:p w14:paraId="15064F4A" w14:textId="77777777" w:rsidR="00E91426" w:rsidRPr="00E91426" w:rsidRDefault="00E91426" w:rsidP="00E91426">
            <w:pPr>
              <w:widowControl/>
              <w:rPr>
                <w:rFonts w:ascii="Arial" w:eastAsia="Times New Roman" w:hAnsi="Arial" w:cs="Arial"/>
                <w:color w:val="000000"/>
                <w:sz w:val="18"/>
                <w:szCs w:val="18"/>
                <w:lang w:val="en-GB" w:eastAsia="en-GB"/>
              </w:rPr>
            </w:pPr>
            <w:r w:rsidRPr="00E91426">
              <w:rPr>
                <w:rFonts w:ascii="Arial" w:eastAsia="Times New Roman" w:hAnsi="Arial" w:cs="Arial"/>
                <w:color w:val="000000"/>
                <w:sz w:val="18"/>
                <w:szCs w:val="18"/>
                <w:vertAlign w:val="superscript"/>
                <w:lang w:val="en-GB" w:eastAsia="en-GB"/>
              </w:rPr>
              <w:t>3</w:t>
            </w:r>
            <w:r w:rsidRPr="00E91426">
              <w:rPr>
                <w:rFonts w:ascii="Arial" w:eastAsia="Times New Roman" w:hAnsi="Arial" w:cs="Arial"/>
                <w:color w:val="000000"/>
                <w:sz w:val="18"/>
                <w:szCs w:val="18"/>
                <w:lang w:val="en-GB" w:eastAsia="en-GB"/>
              </w:rPr>
              <w:t>Prepayments includes £446k for the Trust Lease Car scheme launched in 2023/24 (2023/24 £227k).</w:t>
            </w:r>
          </w:p>
        </w:tc>
      </w:tr>
      <w:tr w:rsidR="00E91426" w:rsidRPr="00E91426" w14:paraId="56BDFEE4" w14:textId="77777777" w:rsidTr="00E91426">
        <w:trPr>
          <w:trHeight w:val="282"/>
        </w:trPr>
        <w:tc>
          <w:tcPr>
            <w:tcW w:w="6280" w:type="dxa"/>
            <w:tcBorders>
              <w:top w:val="nil"/>
              <w:left w:val="nil"/>
              <w:bottom w:val="nil"/>
              <w:right w:val="nil"/>
            </w:tcBorders>
            <w:vAlign w:val="bottom"/>
            <w:hideMark/>
          </w:tcPr>
          <w:p w14:paraId="15AEA7D9"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1300" w:type="dxa"/>
            <w:tcBorders>
              <w:top w:val="nil"/>
              <w:left w:val="nil"/>
              <w:bottom w:val="nil"/>
              <w:right w:val="nil"/>
            </w:tcBorders>
            <w:vAlign w:val="bottom"/>
            <w:hideMark/>
          </w:tcPr>
          <w:p w14:paraId="6869E747" w14:textId="77777777" w:rsidR="00E91426" w:rsidRPr="00E91426" w:rsidRDefault="00E91426" w:rsidP="00E91426">
            <w:pPr>
              <w:widowControl/>
              <w:rPr>
                <w:rFonts w:ascii="Arial" w:eastAsia="Times New Roman" w:hAnsi="Arial" w:cs="Arial"/>
                <w:sz w:val="20"/>
                <w:szCs w:val="20"/>
                <w:lang w:val="en-GB" w:eastAsia="en-GB"/>
              </w:rPr>
            </w:pPr>
          </w:p>
        </w:tc>
        <w:tc>
          <w:tcPr>
            <w:tcW w:w="60" w:type="dxa"/>
            <w:tcBorders>
              <w:top w:val="nil"/>
              <w:left w:val="nil"/>
              <w:bottom w:val="nil"/>
              <w:right w:val="nil"/>
            </w:tcBorders>
            <w:vAlign w:val="bottom"/>
            <w:hideMark/>
          </w:tcPr>
          <w:p w14:paraId="41DA7884" w14:textId="77777777" w:rsidR="00E91426" w:rsidRPr="00E91426" w:rsidRDefault="00E91426" w:rsidP="00E91426">
            <w:pPr>
              <w:widowControl/>
              <w:rPr>
                <w:rFonts w:ascii="Arial" w:eastAsia="Times New Roman" w:hAnsi="Arial" w:cs="Arial"/>
                <w:sz w:val="20"/>
                <w:szCs w:val="20"/>
                <w:lang w:val="en-GB" w:eastAsia="en-GB"/>
              </w:rPr>
            </w:pPr>
          </w:p>
        </w:tc>
        <w:tc>
          <w:tcPr>
            <w:tcW w:w="1300" w:type="dxa"/>
            <w:tcBorders>
              <w:top w:val="nil"/>
              <w:left w:val="nil"/>
              <w:bottom w:val="nil"/>
              <w:right w:val="nil"/>
            </w:tcBorders>
            <w:vAlign w:val="bottom"/>
            <w:hideMark/>
          </w:tcPr>
          <w:p w14:paraId="754E451A"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19C0CBC4" w14:textId="77777777" w:rsidTr="00E91426">
        <w:trPr>
          <w:trHeight w:val="282"/>
        </w:trPr>
        <w:tc>
          <w:tcPr>
            <w:tcW w:w="6280" w:type="dxa"/>
            <w:tcBorders>
              <w:top w:val="nil"/>
              <w:left w:val="nil"/>
              <w:bottom w:val="nil"/>
              <w:right w:val="nil"/>
            </w:tcBorders>
            <w:noWrap/>
            <w:vAlign w:val="bottom"/>
            <w:hideMark/>
          </w:tcPr>
          <w:p w14:paraId="51E841D3"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Note 15.1 Allowances for credit losses </w:t>
            </w:r>
          </w:p>
        </w:tc>
        <w:tc>
          <w:tcPr>
            <w:tcW w:w="1300" w:type="dxa"/>
            <w:tcBorders>
              <w:top w:val="nil"/>
              <w:left w:val="nil"/>
              <w:bottom w:val="nil"/>
              <w:right w:val="nil"/>
            </w:tcBorders>
            <w:vAlign w:val="bottom"/>
            <w:hideMark/>
          </w:tcPr>
          <w:p w14:paraId="5632230D"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60" w:type="dxa"/>
            <w:tcBorders>
              <w:top w:val="nil"/>
              <w:left w:val="nil"/>
              <w:bottom w:val="nil"/>
              <w:right w:val="nil"/>
            </w:tcBorders>
            <w:vAlign w:val="bottom"/>
            <w:hideMark/>
          </w:tcPr>
          <w:p w14:paraId="5C779D09" w14:textId="77777777" w:rsidR="00E91426" w:rsidRPr="00E91426" w:rsidRDefault="00E91426" w:rsidP="00E91426">
            <w:pPr>
              <w:widowControl/>
              <w:rPr>
                <w:rFonts w:ascii="Arial" w:eastAsia="Times New Roman" w:hAnsi="Arial" w:cs="Arial"/>
                <w:sz w:val="20"/>
                <w:szCs w:val="20"/>
                <w:lang w:val="en-GB" w:eastAsia="en-GB"/>
              </w:rPr>
            </w:pPr>
          </w:p>
        </w:tc>
        <w:tc>
          <w:tcPr>
            <w:tcW w:w="1300" w:type="dxa"/>
            <w:tcBorders>
              <w:top w:val="nil"/>
              <w:left w:val="nil"/>
              <w:bottom w:val="nil"/>
              <w:right w:val="nil"/>
            </w:tcBorders>
            <w:vAlign w:val="bottom"/>
            <w:hideMark/>
          </w:tcPr>
          <w:p w14:paraId="73D05103"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60C9E971" w14:textId="77777777" w:rsidTr="00E91426">
        <w:trPr>
          <w:trHeight w:val="282"/>
        </w:trPr>
        <w:tc>
          <w:tcPr>
            <w:tcW w:w="6280" w:type="dxa"/>
            <w:tcBorders>
              <w:top w:val="nil"/>
              <w:left w:val="nil"/>
              <w:bottom w:val="nil"/>
              <w:right w:val="nil"/>
            </w:tcBorders>
            <w:noWrap/>
            <w:vAlign w:val="bottom"/>
            <w:hideMark/>
          </w:tcPr>
          <w:p w14:paraId="1455D26E" w14:textId="77777777" w:rsidR="00E91426" w:rsidRPr="00E91426" w:rsidRDefault="00E91426" w:rsidP="00E91426">
            <w:pPr>
              <w:widowControl/>
              <w:rPr>
                <w:rFonts w:ascii="Arial" w:eastAsia="Times New Roman" w:hAnsi="Arial" w:cs="Arial"/>
                <w:sz w:val="20"/>
                <w:szCs w:val="20"/>
                <w:lang w:val="en-GB" w:eastAsia="en-GB"/>
              </w:rPr>
            </w:pPr>
          </w:p>
        </w:tc>
        <w:tc>
          <w:tcPr>
            <w:tcW w:w="1300" w:type="dxa"/>
            <w:tcBorders>
              <w:top w:val="nil"/>
              <w:left w:val="nil"/>
              <w:bottom w:val="nil"/>
              <w:right w:val="nil"/>
            </w:tcBorders>
            <w:vAlign w:val="bottom"/>
            <w:hideMark/>
          </w:tcPr>
          <w:p w14:paraId="3B769097" w14:textId="77777777" w:rsidR="00E91426" w:rsidRPr="00E91426" w:rsidRDefault="00E91426" w:rsidP="00E91426">
            <w:pPr>
              <w:widowControl/>
              <w:rPr>
                <w:rFonts w:ascii="Arial" w:eastAsia="Times New Roman" w:hAnsi="Arial" w:cs="Arial"/>
                <w:sz w:val="20"/>
                <w:szCs w:val="20"/>
                <w:lang w:val="en-GB" w:eastAsia="en-GB"/>
              </w:rPr>
            </w:pPr>
          </w:p>
        </w:tc>
        <w:tc>
          <w:tcPr>
            <w:tcW w:w="60" w:type="dxa"/>
            <w:tcBorders>
              <w:top w:val="nil"/>
              <w:left w:val="nil"/>
              <w:bottom w:val="nil"/>
              <w:right w:val="nil"/>
            </w:tcBorders>
            <w:vAlign w:val="bottom"/>
            <w:hideMark/>
          </w:tcPr>
          <w:p w14:paraId="4E95C766" w14:textId="77777777" w:rsidR="00E91426" w:rsidRPr="00E91426" w:rsidRDefault="00E91426" w:rsidP="00E91426">
            <w:pPr>
              <w:widowControl/>
              <w:rPr>
                <w:rFonts w:ascii="Arial" w:eastAsia="Times New Roman" w:hAnsi="Arial" w:cs="Arial"/>
                <w:sz w:val="20"/>
                <w:szCs w:val="20"/>
                <w:lang w:val="en-GB" w:eastAsia="en-GB"/>
              </w:rPr>
            </w:pPr>
          </w:p>
        </w:tc>
        <w:tc>
          <w:tcPr>
            <w:tcW w:w="1300" w:type="dxa"/>
            <w:tcBorders>
              <w:top w:val="nil"/>
              <w:left w:val="nil"/>
              <w:bottom w:val="nil"/>
              <w:right w:val="nil"/>
            </w:tcBorders>
            <w:vAlign w:val="bottom"/>
            <w:hideMark/>
          </w:tcPr>
          <w:p w14:paraId="630F6606"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244BD3EA" w14:textId="77777777" w:rsidTr="00E91426">
        <w:trPr>
          <w:trHeight w:val="540"/>
        </w:trPr>
        <w:tc>
          <w:tcPr>
            <w:tcW w:w="6280" w:type="dxa"/>
            <w:tcBorders>
              <w:top w:val="nil"/>
              <w:left w:val="nil"/>
              <w:bottom w:val="nil"/>
              <w:right w:val="nil"/>
            </w:tcBorders>
            <w:vAlign w:val="bottom"/>
            <w:hideMark/>
          </w:tcPr>
          <w:p w14:paraId="3D0D7828" w14:textId="77777777" w:rsidR="00E91426" w:rsidRPr="00E91426" w:rsidRDefault="00E91426" w:rsidP="00E91426">
            <w:pPr>
              <w:widowControl/>
              <w:rPr>
                <w:rFonts w:ascii="Arial" w:eastAsia="Times New Roman" w:hAnsi="Arial" w:cs="Arial"/>
                <w:sz w:val="20"/>
                <w:szCs w:val="20"/>
                <w:lang w:val="en-GB" w:eastAsia="en-GB"/>
              </w:rPr>
            </w:pPr>
          </w:p>
        </w:tc>
        <w:tc>
          <w:tcPr>
            <w:tcW w:w="2660" w:type="dxa"/>
            <w:gridSpan w:val="3"/>
            <w:tcBorders>
              <w:top w:val="nil"/>
              <w:left w:val="nil"/>
              <w:bottom w:val="nil"/>
              <w:right w:val="nil"/>
            </w:tcBorders>
            <w:hideMark/>
          </w:tcPr>
          <w:p w14:paraId="48C763C8" w14:textId="77777777" w:rsidR="00E91426" w:rsidRPr="00E91426" w:rsidRDefault="00E91426" w:rsidP="00E91426">
            <w:pPr>
              <w:widowControl/>
              <w:jc w:val="center"/>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Contract receivables and contract assets</w:t>
            </w:r>
          </w:p>
        </w:tc>
      </w:tr>
      <w:tr w:rsidR="00E91426" w:rsidRPr="00E91426" w14:paraId="2259F772" w14:textId="77777777" w:rsidTr="00E91426">
        <w:trPr>
          <w:trHeight w:val="567"/>
        </w:trPr>
        <w:tc>
          <w:tcPr>
            <w:tcW w:w="6280" w:type="dxa"/>
            <w:tcBorders>
              <w:top w:val="nil"/>
              <w:left w:val="nil"/>
              <w:bottom w:val="nil"/>
              <w:right w:val="nil"/>
            </w:tcBorders>
            <w:vAlign w:val="bottom"/>
            <w:hideMark/>
          </w:tcPr>
          <w:p w14:paraId="0C0D6CD6" w14:textId="77777777" w:rsidR="00E91426" w:rsidRPr="00E91426" w:rsidRDefault="00E91426" w:rsidP="00E91426">
            <w:pPr>
              <w:widowControl/>
              <w:jc w:val="center"/>
              <w:rPr>
                <w:rFonts w:ascii="Arial" w:eastAsia="Times New Roman" w:hAnsi="Arial" w:cs="Arial"/>
                <w:b/>
                <w:bCs/>
                <w:color w:val="000000"/>
                <w:sz w:val="20"/>
                <w:szCs w:val="20"/>
                <w:lang w:val="en-GB" w:eastAsia="en-GB"/>
              </w:rPr>
            </w:pPr>
          </w:p>
        </w:tc>
        <w:tc>
          <w:tcPr>
            <w:tcW w:w="1300" w:type="dxa"/>
            <w:tcBorders>
              <w:top w:val="nil"/>
              <w:left w:val="nil"/>
              <w:bottom w:val="nil"/>
              <w:right w:val="nil"/>
            </w:tcBorders>
            <w:vAlign w:val="bottom"/>
            <w:hideMark/>
          </w:tcPr>
          <w:p w14:paraId="7A150363"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2024/25</w:t>
            </w:r>
          </w:p>
        </w:tc>
        <w:tc>
          <w:tcPr>
            <w:tcW w:w="60" w:type="dxa"/>
            <w:tcBorders>
              <w:top w:val="nil"/>
              <w:left w:val="nil"/>
              <w:bottom w:val="nil"/>
              <w:right w:val="nil"/>
            </w:tcBorders>
            <w:noWrap/>
            <w:vAlign w:val="bottom"/>
            <w:hideMark/>
          </w:tcPr>
          <w:p w14:paraId="132FEF45"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300" w:type="dxa"/>
            <w:tcBorders>
              <w:top w:val="nil"/>
              <w:left w:val="nil"/>
              <w:bottom w:val="nil"/>
              <w:right w:val="nil"/>
            </w:tcBorders>
            <w:vAlign w:val="bottom"/>
            <w:hideMark/>
          </w:tcPr>
          <w:p w14:paraId="30FAD8BF"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2023/24</w:t>
            </w:r>
          </w:p>
        </w:tc>
      </w:tr>
      <w:tr w:rsidR="00E91426" w:rsidRPr="00E91426" w14:paraId="605A90EF" w14:textId="77777777" w:rsidTr="00E91426">
        <w:trPr>
          <w:trHeight w:val="282"/>
        </w:trPr>
        <w:tc>
          <w:tcPr>
            <w:tcW w:w="6280" w:type="dxa"/>
            <w:tcBorders>
              <w:top w:val="nil"/>
              <w:left w:val="nil"/>
              <w:bottom w:val="nil"/>
              <w:right w:val="nil"/>
            </w:tcBorders>
            <w:vAlign w:val="bottom"/>
            <w:hideMark/>
          </w:tcPr>
          <w:p w14:paraId="7076A501"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300" w:type="dxa"/>
            <w:tcBorders>
              <w:top w:val="nil"/>
              <w:left w:val="nil"/>
              <w:bottom w:val="nil"/>
              <w:right w:val="nil"/>
            </w:tcBorders>
            <w:vAlign w:val="bottom"/>
            <w:hideMark/>
          </w:tcPr>
          <w:p w14:paraId="12A51A5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60" w:type="dxa"/>
            <w:tcBorders>
              <w:top w:val="nil"/>
              <w:left w:val="nil"/>
              <w:bottom w:val="nil"/>
              <w:right w:val="nil"/>
            </w:tcBorders>
            <w:vAlign w:val="bottom"/>
            <w:hideMark/>
          </w:tcPr>
          <w:p w14:paraId="62F04290"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300" w:type="dxa"/>
            <w:tcBorders>
              <w:top w:val="nil"/>
              <w:left w:val="nil"/>
              <w:bottom w:val="nil"/>
              <w:right w:val="nil"/>
            </w:tcBorders>
            <w:vAlign w:val="bottom"/>
            <w:hideMark/>
          </w:tcPr>
          <w:p w14:paraId="363668AD"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r>
      <w:tr w:rsidR="00E91426" w:rsidRPr="00E91426" w14:paraId="39972523" w14:textId="77777777" w:rsidTr="00E91426">
        <w:trPr>
          <w:trHeight w:val="282"/>
        </w:trPr>
        <w:tc>
          <w:tcPr>
            <w:tcW w:w="6280" w:type="dxa"/>
            <w:tcBorders>
              <w:top w:val="nil"/>
              <w:left w:val="nil"/>
              <w:bottom w:val="nil"/>
              <w:right w:val="nil"/>
            </w:tcBorders>
            <w:vAlign w:val="bottom"/>
            <w:hideMark/>
          </w:tcPr>
          <w:p w14:paraId="0D7703BC"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Allowances as at 1 April - brought forward</w:t>
            </w:r>
          </w:p>
        </w:tc>
        <w:tc>
          <w:tcPr>
            <w:tcW w:w="1300" w:type="dxa"/>
            <w:tcBorders>
              <w:top w:val="nil"/>
              <w:left w:val="nil"/>
              <w:bottom w:val="nil"/>
              <w:right w:val="nil"/>
            </w:tcBorders>
            <w:noWrap/>
            <w:vAlign w:val="bottom"/>
            <w:hideMark/>
          </w:tcPr>
          <w:p w14:paraId="29D6EDC8"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4,521</w:t>
            </w:r>
          </w:p>
        </w:tc>
        <w:tc>
          <w:tcPr>
            <w:tcW w:w="60" w:type="dxa"/>
            <w:tcBorders>
              <w:top w:val="nil"/>
              <w:left w:val="nil"/>
              <w:bottom w:val="nil"/>
              <w:right w:val="nil"/>
            </w:tcBorders>
            <w:vAlign w:val="bottom"/>
            <w:hideMark/>
          </w:tcPr>
          <w:p w14:paraId="356CEB1F"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300" w:type="dxa"/>
            <w:tcBorders>
              <w:top w:val="nil"/>
              <w:left w:val="nil"/>
              <w:bottom w:val="nil"/>
              <w:right w:val="nil"/>
            </w:tcBorders>
            <w:noWrap/>
            <w:vAlign w:val="bottom"/>
            <w:hideMark/>
          </w:tcPr>
          <w:p w14:paraId="2E84D975"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4,203</w:t>
            </w:r>
          </w:p>
        </w:tc>
      </w:tr>
      <w:tr w:rsidR="00E91426" w:rsidRPr="00E91426" w14:paraId="544A22FD" w14:textId="77777777" w:rsidTr="00E91426">
        <w:trPr>
          <w:trHeight w:val="282"/>
        </w:trPr>
        <w:tc>
          <w:tcPr>
            <w:tcW w:w="6280" w:type="dxa"/>
            <w:tcBorders>
              <w:top w:val="nil"/>
              <w:left w:val="nil"/>
              <w:bottom w:val="nil"/>
              <w:right w:val="nil"/>
            </w:tcBorders>
            <w:vAlign w:val="bottom"/>
            <w:hideMark/>
          </w:tcPr>
          <w:p w14:paraId="76787C10"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New allowances arising</w:t>
            </w:r>
          </w:p>
        </w:tc>
        <w:tc>
          <w:tcPr>
            <w:tcW w:w="1300" w:type="dxa"/>
            <w:tcBorders>
              <w:top w:val="nil"/>
              <w:left w:val="nil"/>
              <w:bottom w:val="nil"/>
              <w:right w:val="nil"/>
            </w:tcBorders>
            <w:noWrap/>
            <w:vAlign w:val="bottom"/>
            <w:hideMark/>
          </w:tcPr>
          <w:p w14:paraId="073C758A"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1,331</w:t>
            </w:r>
          </w:p>
        </w:tc>
        <w:tc>
          <w:tcPr>
            <w:tcW w:w="60" w:type="dxa"/>
            <w:tcBorders>
              <w:top w:val="nil"/>
              <w:left w:val="nil"/>
              <w:bottom w:val="nil"/>
              <w:right w:val="nil"/>
            </w:tcBorders>
            <w:vAlign w:val="bottom"/>
            <w:hideMark/>
          </w:tcPr>
          <w:p w14:paraId="3575EF33"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300" w:type="dxa"/>
            <w:tcBorders>
              <w:top w:val="nil"/>
              <w:left w:val="nil"/>
              <w:bottom w:val="nil"/>
              <w:right w:val="nil"/>
            </w:tcBorders>
            <w:noWrap/>
            <w:vAlign w:val="bottom"/>
            <w:hideMark/>
          </w:tcPr>
          <w:p w14:paraId="0866369F"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1,349</w:t>
            </w:r>
          </w:p>
        </w:tc>
      </w:tr>
      <w:tr w:rsidR="00E91426" w:rsidRPr="00E91426" w14:paraId="29D36349" w14:textId="77777777" w:rsidTr="00E91426">
        <w:trPr>
          <w:trHeight w:val="282"/>
        </w:trPr>
        <w:tc>
          <w:tcPr>
            <w:tcW w:w="6280" w:type="dxa"/>
            <w:tcBorders>
              <w:top w:val="nil"/>
              <w:left w:val="nil"/>
              <w:bottom w:val="nil"/>
              <w:right w:val="nil"/>
            </w:tcBorders>
            <w:vAlign w:val="bottom"/>
            <w:hideMark/>
          </w:tcPr>
          <w:p w14:paraId="3B2D2AB6"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Reversals of allowances</w:t>
            </w:r>
          </w:p>
        </w:tc>
        <w:tc>
          <w:tcPr>
            <w:tcW w:w="1300" w:type="dxa"/>
            <w:tcBorders>
              <w:top w:val="nil"/>
              <w:left w:val="nil"/>
              <w:bottom w:val="nil"/>
              <w:right w:val="nil"/>
            </w:tcBorders>
            <w:noWrap/>
            <w:vAlign w:val="bottom"/>
            <w:hideMark/>
          </w:tcPr>
          <w:p w14:paraId="4ECC6A0C"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(522)</w:t>
            </w:r>
          </w:p>
        </w:tc>
        <w:tc>
          <w:tcPr>
            <w:tcW w:w="60" w:type="dxa"/>
            <w:tcBorders>
              <w:top w:val="nil"/>
              <w:left w:val="nil"/>
              <w:bottom w:val="nil"/>
              <w:right w:val="nil"/>
            </w:tcBorders>
            <w:vAlign w:val="bottom"/>
            <w:hideMark/>
          </w:tcPr>
          <w:p w14:paraId="130D37B6"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300" w:type="dxa"/>
            <w:tcBorders>
              <w:top w:val="nil"/>
              <w:left w:val="nil"/>
              <w:bottom w:val="nil"/>
              <w:right w:val="nil"/>
            </w:tcBorders>
            <w:noWrap/>
            <w:vAlign w:val="bottom"/>
            <w:hideMark/>
          </w:tcPr>
          <w:p w14:paraId="7D1F036D"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(507)</w:t>
            </w:r>
          </w:p>
        </w:tc>
      </w:tr>
      <w:tr w:rsidR="00E91426" w:rsidRPr="00E91426" w14:paraId="6F9909AB" w14:textId="77777777" w:rsidTr="00E91426">
        <w:trPr>
          <w:trHeight w:val="282"/>
        </w:trPr>
        <w:tc>
          <w:tcPr>
            <w:tcW w:w="6280" w:type="dxa"/>
            <w:tcBorders>
              <w:top w:val="nil"/>
              <w:left w:val="nil"/>
              <w:bottom w:val="nil"/>
              <w:right w:val="nil"/>
            </w:tcBorders>
            <w:vAlign w:val="bottom"/>
            <w:hideMark/>
          </w:tcPr>
          <w:p w14:paraId="2D94B692"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Utilisation of allowances</w:t>
            </w:r>
          </w:p>
        </w:tc>
        <w:tc>
          <w:tcPr>
            <w:tcW w:w="1300" w:type="dxa"/>
            <w:tcBorders>
              <w:top w:val="nil"/>
              <w:left w:val="nil"/>
              <w:bottom w:val="nil"/>
              <w:right w:val="nil"/>
            </w:tcBorders>
            <w:noWrap/>
            <w:vAlign w:val="bottom"/>
            <w:hideMark/>
          </w:tcPr>
          <w:p w14:paraId="3D2CCAB8"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(548)</w:t>
            </w:r>
          </w:p>
        </w:tc>
        <w:tc>
          <w:tcPr>
            <w:tcW w:w="60" w:type="dxa"/>
            <w:tcBorders>
              <w:top w:val="nil"/>
              <w:left w:val="nil"/>
              <w:bottom w:val="nil"/>
              <w:right w:val="nil"/>
            </w:tcBorders>
            <w:vAlign w:val="bottom"/>
            <w:hideMark/>
          </w:tcPr>
          <w:p w14:paraId="7A69B9D9"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300" w:type="dxa"/>
            <w:tcBorders>
              <w:top w:val="nil"/>
              <w:left w:val="nil"/>
              <w:bottom w:val="nil"/>
              <w:right w:val="nil"/>
            </w:tcBorders>
            <w:noWrap/>
            <w:vAlign w:val="bottom"/>
            <w:hideMark/>
          </w:tcPr>
          <w:p w14:paraId="450BC533"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(524)</w:t>
            </w:r>
          </w:p>
        </w:tc>
      </w:tr>
      <w:tr w:rsidR="00E91426" w:rsidRPr="00E91426" w14:paraId="6D78FA8B" w14:textId="77777777" w:rsidTr="00E91426">
        <w:trPr>
          <w:trHeight w:val="282"/>
        </w:trPr>
        <w:tc>
          <w:tcPr>
            <w:tcW w:w="6280" w:type="dxa"/>
            <w:tcBorders>
              <w:top w:val="nil"/>
              <w:left w:val="nil"/>
              <w:bottom w:val="nil"/>
              <w:right w:val="nil"/>
            </w:tcBorders>
            <w:vAlign w:val="bottom"/>
            <w:hideMark/>
          </w:tcPr>
          <w:p w14:paraId="5D14E4A6"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Allowances as at 31 March </w:t>
            </w:r>
          </w:p>
        </w:tc>
        <w:tc>
          <w:tcPr>
            <w:tcW w:w="1300" w:type="dxa"/>
            <w:tcBorders>
              <w:top w:val="single" w:sz="4" w:space="0" w:color="auto"/>
              <w:left w:val="nil"/>
              <w:bottom w:val="double" w:sz="6" w:space="0" w:color="auto"/>
              <w:right w:val="nil"/>
            </w:tcBorders>
            <w:noWrap/>
            <w:vAlign w:val="bottom"/>
            <w:hideMark/>
          </w:tcPr>
          <w:p w14:paraId="0594942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4,782</w:t>
            </w:r>
          </w:p>
        </w:tc>
        <w:tc>
          <w:tcPr>
            <w:tcW w:w="60" w:type="dxa"/>
            <w:tcBorders>
              <w:top w:val="nil"/>
              <w:left w:val="nil"/>
              <w:bottom w:val="nil"/>
              <w:right w:val="nil"/>
            </w:tcBorders>
            <w:noWrap/>
            <w:vAlign w:val="bottom"/>
            <w:hideMark/>
          </w:tcPr>
          <w:p w14:paraId="3003E8C5"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300" w:type="dxa"/>
            <w:tcBorders>
              <w:top w:val="single" w:sz="4" w:space="0" w:color="auto"/>
              <w:left w:val="nil"/>
              <w:bottom w:val="double" w:sz="6" w:space="0" w:color="auto"/>
              <w:right w:val="nil"/>
            </w:tcBorders>
            <w:noWrap/>
            <w:vAlign w:val="bottom"/>
            <w:hideMark/>
          </w:tcPr>
          <w:p w14:paraId="2105902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4,521</w:t>
            </w:r>
          </w:p>
        </w:tc>
      </w:tr>
      <w:tr w:rsidR="00E91426" w:rsidRPr="00E91426" w14:paraId="4E9881B9" w14:textId="77777777" w:rsidTr="00E91426">
        <w:trPr>
          <w:trHeight w:val="102"/>
        </w:trPr>
        <w:tc>
          <w:tcPr>
            <w:tcW w:w="6280" w:type="dxa"/>
            <w:tcBorders>
              <w:top w:val="nil"/>
              <w:left w:val="nil"/>
              <w:bottom w:val="nil"/>
              <w:right w:val="nil"/>
            </w:tcBorders>
            <w:vAlign w:val="bottom"/>
            <w:hideMark/>
          </w:tcPr>
          <w:p w14:paraId="55308B6C"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300" w:type="dxa"/>
            <w:tcBorders>
              <w:top w:val="single" w:sz="4" w:space="0" w:color="auto"/>
              <w:left w:val="nil"/>
              <w:bottom w:val="nil"/>
              <w:right w:val="nil"/>
            </w:tcBorders>
            <w:noWrap/>
            <w:vAlign w:val="bottom"/>
            <w:hideMark/>
          </w:tcPr>
          <w:p w14:paraId="4261A1D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w:t>
            </w:r>
          </w:p>
        </w:tc>
        <w:tc>
          <w:tcPr>
            <w:tcW w:w="60" w:type="dxa"/>
            <w:tcBorders>
              <w:top w:val="nil"/>
              <w:left w:val="nil"/>
              <w:bottom w:val="nil"/>
              <w:right w:val="nil"/>
            </w:tcBorders>
            <w:noWrap/>
            <w:vAlign w:val="bottom"/>
            <w:hideMark/>
          </w:tcPr>
          <w:p w14:paraId="368AE61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300" w:type="dxa"/>
            <w:tcBorders>
              <w:top w:val="single" w:sz="4" w:space="0" w:color="auto"/>
              <w:left w:val="nil"/>
              <w:bottom w:val="nil"/>
              <w:right w:val="nil"/>
            </w:tcBorders>
            <w:noWrap/>
            <w:vAlign w:val="bottom"/>
            <w:hideMark/>
          </w:tcPr>
          <w:p w14:paraId="09A9B52F"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w:t>
            </w:r>
          </w:p>
        </w:tc>
      </w:tr>
      <w:tr w:rsidR="00E91426" w:rsidRPr="00E91426" w14:paraId="50A12AD3" w14:textId="77777777" w:rsidTr="00E91426">
        <w:trPr>
          <w:trHeight w:val="282"/>
        </w:trPr>
        <w:tc>
          <w:tcPr>
            <w:tcW w:w="6280" w:type="dxa"/>
            <w:tcBorders>
              <w:top w:val="nil"/>
              <w:left w:val="nil"/>
              <w:bottom w:val="nil"/>
              <w:right w:val="nil"/>
            </w:tcBorders>
            <w:vAlign w:val="bottom"/>
            <w:hideMark/>
          </w:tcPr>
          <w:p w14:paraId="4BB57225"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Loss recognised in expenditure</w:t>
            </w:r>
          </w:p>
        </w:tc>
        <w:tc>
          <w:tcPr>
            <w:tcW w:w="1300" w:type="dxa"/>
            <w:tcBorders>
              <w:top w:val="single" w:sz="4" w:space="0" w:color="auto"/>
              <w:left w:val="nil"/>
              <w:bottom w:val="single" w:sz="4" w:space="0" w:color="auto"/>
              <w:right w:val="nil"/>
            </w:tcBorders>
            <w:noWrap/>
            <w:vAlign w:val="bottom"/>
            <w:hideMark/>
          </w:tcPr>
          <w:p w14:paraId="0AE8CA6A"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809</w:t>
            </w:r>
          </w:p>
        </w:tc>
        <w:tc>
          <w:tcPr>
            <w:tcW w:w="60" w:type="dxa"/>
            <w:tcBorders>
              <w:top w:val="nil"/>
              <w:left w:val="nil"/>
              <w:bottom w:val="nil"/>
              <w:right w:val="nil"/>
            </w:tcBorders>
            <w:noWrap/>
            <w:vAlign w:val="bottom"/>
            <w:hideMark/>
          </w:tcPr>
          <w:p w14:paraId="1FA9F73D"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300" w:type="dxa"/>
            <w:tcBorders>
              <w:top w:val="single" w:sz="4" w:space="0" w:color="auto"/>
              <w:left w:val="nil"/>
              <w:bottom w:val="single" w:sz="4" w:space="0" w:color="auto"/>
              <w:right w:val="nil"/>
            </w:tcBorders>
            <w:noWrap/>
            <w:vAlign w:val="bottom"/>
            <w:hideMark/>
          </w:tcPr>
          <w:p w14:paraId="567E9183"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842</w:t>
            </w:r>
          </w:p>
        </w:tc>
      </w:tr>
    </w:tbl>
    <w:p w14:paraId="51F4D17E" w14:textId="77777777" w:rsidR="00E91426" w:rsidRPr="00E91426" w:rsidRDefault="00E91426" w:rsidP="00E91426">
      <w:pPr>
        <w:widowControl/>
        <w:spacing w:after="160" w:line="259" w:lineRule="auto"/>
        <w:rPr>
          <w:rFonts w:ascii="Arial" w:eastAsia="Calibri" w:hAnsi="Arial" w:cs="Arial"/>
          <w:sz w:val="20"/>
          <w:szCs w:val="20"/>
          <w:lang w:val="en-GB"/>
        </w:rPr>
      </w:pPr>
    </w:p>
    <w:p w14:paraId="3815BDBE" w14:textId="77777777" w:rsidR="00E91426" w:rsidRPr="00E91426" w:rsidRDefault="00E91426" w:rsidP="00E91426">
      <w:pPr>
        <w:widowControl/>
        <w:spacing w:after="160" w:line="259" w:lineRule="auto"/>
        <w:rPr>
          <w:rFonts w:ascii="Arial" w:eastAsia="Times New Roman" w:hAnsi="Arial" w:cs="Arial"/>
          <w:color w:val="000000"/>
          <w:sz w:val="18"/>
          <w:szCs w:val="18"/>
          <w:lang w:val="en-GB" w:eastAsia="en-GB"/>
        </w:rPr>
      </w:pPr>
      <w:r w:rsidRPr="00E91426">
        <w:rPr>
          <w:rFonts w:ascii="Arial" w:eastAsia="Times New Roman" w:hAnsi="Arial" w:cs="Arial"/>
          <w:color w:val="000000"/>
          <w:sz w:val="18"/>
          <w:szCs w:val="18"/>
          <w:lang w:val="en-GB" w:eastAsia="en-GB"/>
        </w:rPr>
        <w:t>The impairment allowance relates to £4,140k non-NHS (2023/24 £3,975k) and £642k Injury Cost Recovery Scheme (2023/24 £546k) receivables only. Intra-Group receivables are deemed to be risk free as they are backed by a guarantee from the Department of Health and Social Care.</w:t>
      </w:r>
    </w:p>
    <w:p w14:paraId="351CFC3D" w14:textId="77777777" w:rsidR="00E91426" w:rsidRPr="00E91426" w:rsidRDefault="00E91426" w:rsidP="00E91426">
      <w:pPr>
        <w:widowControl/>
        <w:spacing w:after="160" w:line="259" w:lineRule="auto"/>
        <w:rPr>
          <w:rFonts w:ascii="Arial" w:eastAsia="Calibri" w:hAnsi="Arial" w:cs="Arial"/>
          <w:sz w:val="20"/>
          <w:szCs w:val="20"/>
          <w:lang w:val="en-GB"/>
        </w:rPr>
      </w:pPr>
    </w:p>
    <w:p w14:paraId="34057E50" w14:textId="77777777" w:rsidR="00E91426" w:rsidRPr="00E91426" w:rsidRDefault="00E91426" w:rsidP="00E91426">
      <w:pPr>
        <w:keepNext/>
        <w:keepLines/>
        <w:widowControl/>
        <w:spacing w:before="40" w:line="259" w:lineRule="auto"/>
        <w:outlineLvl w:val="1"/>
        <w:rPr>
          <w:rFonts w:ascii="Arial" w:eastAsia="Times New Roman" w:hAnsi="Arial" w:cs="Arial"/>
          <w:b/>
          <w:color w:val="000000"/>
          <w:sz w:val="20"/>
          <w:szCs w:val="20"/>
          <w:lang w:val="en-GB"/>
        </w:rPr>
      </w:pPr>
      <w:r w:rsidRPr="00E91426">
        <w:rPr>
          <w:rFonts w:ascii="Arial" w:eastAsia="Times New Roman" w:hAnsi="Arial" w:cs="Arial"/>
          <w:b/>
          <w:color w:val="000000"/>
          <w:sz w:val="20"/>
          <w:szCs w:val="20"/>
          <w:lang w:val="en-GB"/>
        </w:rPr>
        <w:t xml:space="preserve"> </w:t>
      </w:r>
      <w:bookmarkStart w:id="77" w:name="_Toc195698713"/>
      <w:r w:rsidRPr="00E91426">
        <w:rPr>
          <w:rFonts w:ascii="Arial" w:eastAsia="Times New Roman" w:hAnsi="Arial" w:cs="Arial"/>
          <w:b/>
          <w:color w:val="000000"/>
          <w:sz w:val="20"/>
          <w:szCs w:val="20"/>
          <w:lang w:val="en-GB"/>
        </w:rPr>
        <w:t>Note 16 Inventories</w:t>
      </w:r>
      <w:bookmarkEnd w:id="77"/>
    </w:p>
    <w:p w14:paraId="51CB87D9" w14:textId="77777777" w:rsidR="00E91426" w:rsidRPr="00E91426" w:rsidRDefault="00E91426" w:rsidP="00E91426">
      <w:pPr>
        <w:keepNext/>
        <w:keepLines/>
        <w:widowControl/>
        <w:spacing w:before="40" w:line="259" w:lineRule="auto"/>
        <w:outlineLvl w:val="1"/>
        <w:rPr>
          <w:rFonts w:ascii="Arial" w:eastAsia="Calibri" w:hAnsi="Arial" w:cs="Arial"/>
          <w:sz w:val="20"/>
          <w:szCs w:val="20"/>
          <w:lang w:val="en-GB"/>
        </w:rPr>
      </w:pPr>
    </w:p>
    <w:tbl>
      <w:tblPr>
        <w:tblW w:w="8780" w:type="dxa"/>
        <w:tblLook w:val="04A0" w:firstRow="1" w:lastRow="0" w:firstColumn="1" w:lastColumn="0" w:noHBand="0" w:noVBand="1"/>
      </w:tblPr>
      <w:tblGrid>
        <w:gridCol w:w="6620"/>
        <w:gridCol w:w="222"/>
        <w:gridCol w:w="939"/>
        <w:gridCol w:w="222"/>
        <w:gridCol w:w="939"/>
      </w:tblGrid>
      <w:tr w:rsidR="00E91426" w:rsidRPr="00E91426" w14:paraId="166D1F68" w14:textId="77777777" w:rsidTr="00E91426">
        <w:trPr>
          <w:trHeight w:val="255"/>
        </w:trPr>
        <w:tc>
          <w:tcPr>
            <w:tcW w:w="6620" w:type="dxa"/>
            <w:tcBorders>
              <w:top w:val="nil"/>
              <w:left w:val="nil"/>
              <w:bottom w:val="nil"/>
              <w:right w:val="nil"/>
            </w:tcBorders>
            <w:vAlign w:val="bottom"/>
            <w:hideMark/>
          </w:tcPr>
          <w:p w14:paraId="08275FEF" w14:textId="77777777" w:rsidR="00E91426" w:rsidRPr="00E91426" w:rsidRDefault="00E91426" w:rsidP="00E91426">
            <w:pPr>
              <w:widowControl/>
              <w:rPr>
                <w:rFonts w:ascii="Arial" w:eastAsia="Times New Roman" w:hAnsi="Arial" w:cs="Arial"/>
                <w:sz w:val="20"/>
                <w:szCs w:val="20"/>
                <w:lang w:val="en-GB" w:eastAsia="en-GB"/>
              </w:rPr>
            </w:pPr>
          </w:p>
        </w:tc>
        <w:tc>
          <w:tcPr>
            <w:tcW w:w="200" w:type="dxa"/>
            <w:tcBorders>
              <w:top w:val="nil"/>
              <w:left w:val="nil"/>
              <w:bottom w:val="nil"/>
              <w:right w:val="nil"/>
            </w:tcBorders>
            <w:vAlign w:val="bottom"/>
            <w:hideMark/>
          </w:tcPr>
          <w:p w14:paraId="69980DF7" w14:textId="77777777" w:rsidR="00E91426" w:rsidRPr="00E91426" w:rsidRDefault="00E91426" w:rsidP="00E91426">
            <w:pPr>
              <w:widowControl/>
              <w:rPr>
                <w:rFonts w:ascii="Arial" w:eastAsia="Times New Roman" w:hAnsi="Arial" w:cs="Arial"/>
                <w:sz w:val="20"/>
                <w:szCs w:val="20"/>
                <w:lang w:val="en-GB" w:eastAsia="en-GB"/>
              </w:rPr>
            </w:pPr>
          </w:p>
        </w:tc>
        <w:tc>
          <w:tcPr>
            <w:tcW w:w="900" w:type="dxa"/>
            <w:tcBorders>
              <w:top w:val="nil"/>
              <w:left w:val="nil"/>
              <w:bottom w:val="nil"/>
              <w:right w:val="nil"/>
            </w:tcBorders>
            <w:vAlign w:val="bottom"/>
            <w:hideMark/>
          </w:tcPr>
          <w:p w14:paraId="095CBB23"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2024/25</w:t>
            </w:r>
          </w:p>
        </w:tc>
        <w:tc>
          <w:tcPr>
            <w:tcW w:w="160" w:type="dxa"/>
            <w:tcBorders>
              <w:top w:val="nil"/>
              <w:left w:val="nil"/>
              <w:bottom w:val="nil"/>
              <w:right w:val="nil"/>
            </w:tcBorders>
            <w:noWrap/>
            <w:vAlign w:val="bottom"/>
            <w:hideMark/>
          </w:tcPr>
          <w:p w14:paraId="4583F19A"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00" w:type="dxa"/>
            <w:tcBorders>
              <w:top w:val="nil"/>
              <w:left w:val="nil"/>
              <w:bottom w:val="nil"/>
              <w:right w:val="nil"/>
            </w:tcBorders>
            <w:vAlign w:val="bottom"/>
            <w:hideMark/>
          </w:tcPr>
          <w:p w14:paraId="71D86A2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2023/24</w:t>
            </w:r>
          </w:p>
        </w:tc>
      </w:tr>
      <w:tr w:rsidR="00E91426" w:rsidRPr="00E91426" w14:paraId="715D67CC" w14:textId="77777777" w:rsidTr="00E91426">
        <w:trPr>
          <w:trHeight w:val="274"/>
        </w:trPr>
        <w:tc>
          <w:tcPr>
            <w:tcW w:w="6620" w:type="dxa"/>
            <w:tcBorders>
              <w:top w:val="nil"/>
              <w:left w:val="nil"/>
              <w:bottom w:val="nil"/>
              <w:right w:val="nil"/>
            </w:tcBorders>
            <w:vAlign w:val="bottom"/>
            <w:hideMark/>
          </w:tcPr>
          <w:p w14:paraId="735A85F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200" w:type="dxa"/>
            <w:tcBorders>
              <w:top w:val="nil"/>
              <w:left w:val="nil"/>
              <w:bottom w:val="nil"/>
              <w:right w:val="nil"/>
            </w:tcBorders>
            <w:vAlign w:val="bottom"/>
            <w:hideMark/>
          </w:tcPr>
          <w:p w14:paraId="72D21C82" w14:textId="77777777" w:rsidR="00E91426" w:rsidRPr="00E91426" w:rsidRDefault="00E91426" w:rsidP="00E91426">
            <w:pPr>
              <w:widowControl/>
              <w:rPr>
                <w:rFonts w:ascii="Arial" w:eastAsia="Times New Roman" w:hAnsi="Arial" w:cs="Arial"/>
                <w:sz w:val="20"/>
                <w:szCs w:val="20"/>
                <w:lang w:val="en-GB" w:eastAsia="en-GB"/>
              </w:rPr>
            </w:pPr>
          </w:p>
        </w:tc>
        <w:tc>
          <w:tcPr>
            <w:tcW w:w="900" w:type="dxa"/>
            <w:tcBorders>
              <w:top w:val="nil"/>
              <w:left w:val="nil"/>
              <w:bottom w:val="nil"/>
              <w:right w:val="nil"/>
            </w:tcBorders>
            <w:vAlign w:val="bottom"/>
            <w:hideMark/>
          </w:tcPr>
          <w:p w14:paraId="019CA808"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160" w:type="dxa"/>
            <w:tcBorders>
              <w:top w:val="nil"/>
              <w:left w:val="nil"/>
              <w:bottom w:val="nil"/>
              <w:right w:val="nil"/>
            </w:tcBorders>
            <w:vAlign w:val="bottom"/>
            <w:hideMark/>
          </w:tcPr>
          <w:p w14:paraId="71E6F7AC"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00" w:type="dxa"/>
            <w:tcBorders>
              <w:top w:val="nil"/>
              <w:left w:val="nil"/>
              <w:bottom w:val="nil"/>
              <w:right w:val="nil"/>
            </w:tcBorders>
            <w:vAlign w:val="bottom"/>
            <w:hideMark/>
          </w:tcPr>
          <w:p w14:paraId="44B8673D"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r>
      <w:tr w:rsidR="00E91426" w:rsidRPr="00E91426" w14:paraId="0C37F584" w14:textId="77777777" w:rsidTr="00E91426">
        <w:trPr>
          <w:trHeight w:val="274"/>
        </w:trPr>
        <w:tc>
          <w:tcPr>
            <w:tcW w:w="6620" w:type="dxa"/>
            <w:tcBorders>
              <w:top w:val="nil"/>
              <w:left w:val="nil"/>
              <w:bottom w:val="nil"/>
              <w:right w:val="nil"/>
            </w:tcBorders>
            <w:vAlign w:val="bottom"/>
            <w:hideMark/>
          </w:tcPr>
          <w:p w14:paraId="2763F8BE"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Drugs</w:t>
            </w:r>
          </w:p>
        </w:tc>
        <w:tc>
          <w:tcPr>
            <w:tcW w:w="200" w:type="dxa"/>
            <w:tcBorders>
              <w:top w:val="nil"/>
              <w:left w:val="nil"/>
              <w:bottom w:val="nil"/>
              <w:right w:val="nil"/>
            </w:tcBorders>
            <w:vAlign w:val="bottom"/>
            <w:hideMark/>
          </w:tcPr>
          <w:p w14:paraId="414A5FC6"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900" w:type="dxa"/>
            <w:tcBorders>
              <w:top w:val="nil"/>
              <w:left w:val="nil"/>
              <w:bottom w:val="nil"/>
              <w:right w:val="nil"/>
            </w:tcBorders>
            <w:noWrap/>
            <w:vAlign w:val="bottom"/>
            <w:hideMark/>
          </w:tcPr>
          <w:p w14:paraId="5D490519"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1,884</w:t>
            </w:r>
          </w:p>
        </w:tc>
        <w:tc>
          <w:tcPr>
            <w:tcW w:w="160" w:type="dxa"/>
            <w:tcBorders>
              <w:top w:val="nil"/>
              <w:left w:val="nil"/>
              <w:bottom w:val="nil"/>
              <w:right w:val="nil"/>
            </w:tcBorders>
            <w:noWrap/>
            <w:vAlign w:val="bottom"/>
            <w:hideMark/>
          </w:tcPr>
          <w:p w14:paraId="55556593"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900" w:type="dxa"/>
            <w:tcBorders>
              <w:top w:val="nil"/>
              <w:left w:val="nil"/>
              <w:bottom w:val="nil"/>
              <w:right w:val="nil"/>
            </w:tcBorders>
            <w:noWrap/>
            <w:vAlign w:val="bottom"/>
            <w:hideMark/>
          </w:tcPr>
          <w:p w14:paraId="48269BE8"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1,562</w:t>
            </w:r>
          </w:p>
        </w:tc>
      </w:tr>
      <w:tr w:rsidR="00E91426" w:rsidRPr="00E91426" w14:paraId="0C217193" w14:textId="77777777" w:rsidTr="00E91426">
        <w:trPr>
          <w:trHeight w:val="274"/>
        </w:trPr>
        <w:tc>
          <w:tcPr>
            <w:tcW w:w="6620" w:type="dxa"/>
            <w:tcBorders>
              <w:top w:val="nil"/>
              <w:left w:val="nil"/>
              <w:bottom w:val="nil"/>
              <w:right w:val="nil"/>
            </w:tcBorders>
            <w:vAlign w:val="bottom"/>
            <w:hideMark/>
          </w:tcPr>
          <w:p w14:paraId="59D28173"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Consumables</w:t>
            </w:r>
          </w:p>
        </w:tc>
        <w:tc>
          <w:tcPr>
            <w:tcW w:w="200" w:type="dxa"/>
            <w:tcBorders>
              <w:top w:val="nil"/>
              <w:left w:val="nil"/>
              <w:bottom w:val="nil"/>
              <w:right w:val="nil"/>
            </w:tcBorders>
            <w:vAlign w:val="bottom"/>
            <w:hideMark/>
          </w:tcPr>
          <w:p w14:paraId="7BBCF0F7"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900" w:type="dxa"/>
            <w:tcBorders>
              <w:top w:val="nil"/>
              <w:left w:val="nil"/>
              <w:bottom w:val="nil"/>
              <w:right w:val="nil"/>
            </w:tcBorders>
            <w:noWrap/>
            <w:vAlign w:val="bottom"/>
            <w:hideMark/>
          </w:tcPr>
          <w:p w14:paraId="1A752BEB"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4,846</w:t>
            </w:r>
          </w:p>
        </w:tc>
        <w:tc>
          <w:tcPr>
            <w:tcW w:w="160" w:type="dxa"/>
            <w:tcBorders>
              <w:top w:val="nil"/>
              <w:left w:val="nil"/>
              <w:bottom w:val="nil"/>
              <w:right w:val="nil"/>
            </w:tcBorders>
            <w:noWrap/>
            <w:vAlign w:val="bottom"/>
            <w:hideMark/>
          </w:tcPr>
          <w:p w14:paraId="1C229756"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900" w:type="dxa"/>
            <w:tcBorders>
              <w:top w:val="nil"/>
              <w:left w:val="nil"/>
              <w:bottom w:val="nil"/>
              <w:right w:val="nil"/>
            </w:tcBorders>
            <w:noWrap/>
            <w:vAlign w:val="bottom"/>
            <w:hideMark/>
          </w:tcPr>
          <w:p w14:paraId="76148439"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4,992</w:t>
            </w:r>
          </w:p>
        </w:tc>
      </w:tr>
      <w:tr w:rsidR="00E91426" w:rsidRPr="00E91426" w14:paraId="613B6469" w14:textId="77777777" w:rsidTr="00E91426">
        <w:trPr>
          <w:trHeight w:val="274"/>
        </w:trPr>
        <w:tc>
          <w:tcPr>
            <w:tcW w:w="6620" w:type="dxa"/>
            <w:tcBorders>
              <w:top w:val="nil"/>
              <w:left w:val="nil"/>
              <w:bottom w:val="nil"/>
              <w:right w:val="nil"/>
            </w:tcBorders>
            <w:noWrap/>
            <w:vAlign w:val="bottom"/>
            <w:hideMark/>
          </w:tcPr>
          <w:p w14:paraId="7A0ED968"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Total inventories</w:t>
            </w:r>
          </w:p>
        </w:tc>
        <w:tc>
          <w:tcPr>
            <w:tcW w:w="200" w:type="dxa"/>
            <w:tcBorders>
              <w:top w:val="nil"/>
              <w:left w:val="nil"/>
              <w:bottom w:val="nil"/>
              <w:right w:val="nil"/>
            </w:tcBorders>
            <w:vAlign w:val="bottom"/>
            <w:hideMark/>
          </w:tcPr>
          <w:p w14:paraId="26B77626"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900" w:type="dxa"/>
            <w:tcBorders>
              <w:top w:val="single" w:sz="4" w:space="0" w:color="auto"/>
              <w:left w:val="nil"/>
              <w:bottom w:val="double" w:sz="6" w:space="0" w:color="auto"/>
              <w:right w:val="nil"/>
            </w:tcBorders>
            <w:noWrap/>
            <w:vAlign w:val="bottom"/>
            <w:hideMark/>
          </w:tcPr>
          <w:p w14:paraId="673C63F2"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6,730</w:t>
            </w:r>
          </w:p>
        </w:tc>
        <w:tc>
          <w:tcPr>
            <w:tcW w:w="160" w:type="dxa"/>
            <w:tcBorders>
              <w:top w:val="nil"/>
              <w:left w:val="nil"/>
              <w:bottom w:val="nil"/>
              <w:right w:val="nil"/>
            </w:tcBorders>
            <w:noWrap/>
            <w:vAlign w:val="bottom"/>
            <w:hideMark/>
          </w:tcPr>
          <w:p w14:paraId="12D33A72"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00" w:type="dxa"/>
            <w:tcBorders>
              <w:top w:val="single" w:sz="4" w:space="0" w:color="auto"/>
              <w:left w:val="nil"/>
              <w:bottom w:val="double" w:sz="6" w:space="0" w:color="auto"/>
              <w:right w:val="nil"/>
            </w:tcBorders>
            <w:noWrap/>
            <w:vAlign w:val="bottom"/>
            <w:hideMark/>
          </w:tcPr>
          <w:p w14:paraId="4C75E0BC"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6,554</w:t>
            </w:r>
          </w:p>
        </w:tc>
      </w:tr>
      <w:tr w:rsidR="00E91426" w:rsidRPr="00E91426" w14:paraId="5660A68F" w14:textId="77777777" w:rsidTr="00E91426">
        <w:trPr>
          <w:trHeight w:val="274"/>
        </w:trPr>
        <w:tc>
          <w:tcPr>
            <w:tcW w:w="6620" w:type="dxa"/>
            <w:tcBorders>
              <w:top w:val="nil"/>
              <w:left w:val="nil"/>
              <w:bottom w:val="nil"/>
              <w:right w:val="nil"/>
            </w:tcBorders>
            <w:vAlign w:val="bottom"/>
            <w:hideMark/>
          </w:tcPr>
          <w:p w14:paraId="3E88015D"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of which:</w:t>
            </w:r>
          </w:p>
        </w:tc>
        <w:tc>
          <w:tcPr>
            <w:tcW w:w="200" w:type="dxa"/>
            <w:tcBorders>
              <w:top w:val="nil"/>
              <w:left w:val="nil"/>
              <w:bottom w:val="nil"/>
              <w:right w:val="nil"/>
            </w:tcBorders>
            <w:vAlign w:val="bottom"/>
            <w:hideMark/>
          </w:tcPr>
          <w:p w14:paraId="02A911E0"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900" w:type="dxa"/>
            <w:tcBorders>
              <w:top w:val="nil"/>
              <w:left w:val="nil"/>
              <w:bottom w:val="nil"/>
              <w:right w:val="nil"/>
            </w:tcBorders>
            <w:vAlign w:val="bottom"/>
            <w:hideMark/>
          </w:tcPr>
          <w:p w14:paraId="2B1F5D9F" w14:textId="77777777" w:rsidR="00E91426" w:rsidRPr="00E91426" w:rsidRDefault="00E91426" w:rsidP="00E91426">
            <w:pPr>
              <w:widowControl/>
              <w:rPr>
                <w:rFonts w:ascii="Arial" w:eastAsia="Times New Roman" w:hAnsi="Arial" w:cs="Arial"/>
                <w:sz w:val="20"/>
                <w:szCs w:val="20"/>
                <w:lang w:val="en-GB" w:eastAsia="en-GB"/>
              </w:rPr>
            </w:pPr>
          </w:p>
        </w:tc>
        <w:tc>
          <w:tcPr>
            <w:tcW w:w="160" w:type="dxa"/>
            <w:tcBorders>
              <w:top w:val="nil"/>
              <w:left w:val="nil"/>
              <w:bottom w:val="nil"/>
              <w:right w:val="nil"/>
            </w:tcBorders>
            <w:vAlign w:val="bottom"/>
            <w:hideMark/>
          </w:tcPr>
          <w:p w14:paraId="6D576CC9" w14:textId="77777777" w:rsidR="00E91426" w:rsidRPr="00E91426" w:rsidRDefault="00E91426" w:rsidP="00E91426">
            <w:pPr>
              <w:widowControl/>
              <w:rPr>
                <w:rFonts w:ascii="Arial" w:eastAsia="Times New Roman" w:hAnsi="Arial" w:cs="Arial"/>
                <w:sz w:val="20"/>
                <w:szCs w:val="20"/>
                <w:lang w:val="en-GB" w:eastAsia="en-GB"/>
              </w:rPr>
            </w:pPr>
          </w:p>
        </w:tc>
        <w:tc>
          <w:tcPr>
            <w:tcW w:w="900" w:type="dxa"/>
            <w:tcBorders>
              <w:top w:val="nil"/>
              <w:left w:val="nil"/>
              <w:bottom w:val="nil"/>
              <w:right w:val="nil"/>
            </w:tcBorders>
            <w:vAlign w:val="bottom"/>
            <w:hideMark/>
          </w:tcPr>
          <w:p w14:paraId="4DF54B90"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62177355" w14:textId="77777777" w:rsidTr="00E91426">
        <w:trPr>
          <w:trHeight w:val="274"/>
        </w:trPr>
        <w:tc>
          <w:tcPr>
            <w:tcW w:w="6620" w:type="dxa"/>
            <w:tcBorders>
              <w:top w:val="nil"/>
              <w:left w:val="nil"/>
              <w:bottom w:val="nil"/>
              <w:right w:val="nil"/>
            </w:tcBorders>
            <w:vAlign w:val="bottom"/>
            <w:hideMark/>
          </w:tcPr>
          <w:p w14:paraId="54E28E38"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Held at lower of cost and NRV</w:t>
            </w:r>
          </w:p>
        </w:tc>
        <w:tc>
          <w:tcPr>
            <w:tcW w:w="200" w:type="dxa"/>
            <w:tcBorders>
              <w:top w:val="nil"/>
              <w:left w:val="nil"/>
              <w:bottom w:val="nil"/>
              <w:right w:val="nil"/>
            </w:tcBorders>
            <w:noWrap/>
            <w:vAlign w:val="bottom"/>
            <w:hideMark/>
          </w:tcPr>
          <w:p w14:paraId="1276E51F"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900" w:type="dxa"/>
            <w:tcBorders>
              <w:top w:val="nil"/>
              <w:left w:val="nil"/>
              <w:bottom w:val="nil"/>
              <w:right w:val="nil"/>
            </w:tcBorders>
            <w:noWrap/>
            <w:vAlign w:val="bottom"/>
            <w:hideMark/>
          </w:tcPr>
          <w:p w14:paraId="76408384"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6,730</w:t>
            </w:r>
          </w:p>
        </w:tc>
        <w:tc>
          <w:tcPr>
            <w:tcW w:w="160" w:type="dxa"/>
            <w:tcBorders>
              <w:top w:val="nil"/>
              <w:left w:val="nil"/>
              <w:bottom w:val="nil"/>
              <w:right w:val="nil"/>
            </w:tcBorders>
            <w:noWrap/>
            <w:vAlign w:val="bottom"/>
            <w:hideMark/>
          </w:tcPr>
          <w:p w14:paraId="24025411"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900" w:type="dxa"/>
            <w:tcBorders>
              <w:top w:val="nil"/>
              <w:left w:val="nil"/>
              <w:bottom w:val="nil"/>
              <w:right w:val="nil"/>
            </w:tcBorders>
            <w:vAlign w:val="bottom"/>
            <w:hideMark/>
          </w:tcPr>
          <w:p w14:paraId="085FE66C"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6,554</w:t>
            </w:r>
          </w:p>
        </w:tc>
      </w:tr>
      <w:tr w:rsidR="00E91426" w:rsidRPr="00E91426" w14:paraId="361AEF2B" w14:textId="77777777" w:rsidTr="00E91426">
        <w:trPr>
          <w:trHeight w:val="274"/>
        </w:trPr>
        <w:tc>
          <w:tcPr>
            <w:tcW w:w="6620" w:type="dxa"/>
            <w:tcBorders>
              <w:top w:val="nil"/>
              <w:left w:val="nil"/>
              <w:bottom w:val="nil"/>
              <w:right w:val="nil"/>
            </w:tcBorders>
            <w:vAlign w:val="bottom"/>
            <w:hideMark/>
          </w:tcPr>
          <w:p w14:paraId="38B06343"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200" w:type="dxa"/>
            <w:tcBorders>
              <w:top w:val="nil"/>
              <w:left w:val="nil"/>
              <w:bottom w:val="nil"/>
              <w:right w:val="nil"/>
            </w:tcBorders>
            <w:vAlign w:val="bottom"/>
            <w:hideMark/>
          </w:tcPr>
          <w:p w14:paraId="61DCE3F2" w14:textId="77777777" w:rsidR="00E91426" w:rsidRPr="00E91426" w:rsidRDefault="00E91426" w:rsidP="00E91426">
            <w:pPr>
              <w:widowControl/>
              <w:rPr>
                <w:rFonts w:ascii="Arial" w:eastAsia="Times New Roman" w:hAnsi="Arial" w:cs="Arial"/>
                <w:sz w:val="20"/>
                <w:szCs w:val="20"/>
                <w:lang w:val="en-GB" w:eastAsia="en-GB"/>
              </w:rPr>
            </w:pPr>
          </w:p>
        </w:tc>
        <w:tc>
          <w:tcPr>
            <w:tcW w:w="900" w:type="dxa"/>
            <w:tcBorders>
              <w:top w:val="nil"/>
              <w:left w:val="nil"/>
              <w:bottom w:val="nil"/>
              <w:right w:val="nil"/>
            </w:tcBorders>
            <w:vAlign w:val="bottom"/>
            <w:hideMark/>
          </w:tcPr>
          <w:p w14:paraId="72219640" w14:textId="77777777" w:rsidR="00E91426" w:rsidRPr="00E91426" w:rsidRDefault="00E91426" w:rsidP="00E91426">
            <w:pPr>
              <w:widowControl/>
              <w:rPr>
                <w:rFonts w:ascii="Arial" w:eastAsia="Times New Roman" w:hAnsi="Arial" w:cs="Arial"/>
                <w:sz w:val="20"/>
                <w:szCs w:val="20"/>
                <w:lang w:val="en-GB" w:eastAsia="en-GB"/>
              </w:rPr>
            </w:pPr>
          </w:p>
        </w:tc>
        <w:tc>
          <w:tcPr>
            <w:tcW w:w="160" w:type="dxa"/>
            <w:tcBorders>
              <w:top w:val="nil"/>
              <w:left w:val="nil"/>
              <w:bottom w:val="nil"/>
              <w:right w:val="nil"/>
            </w:tcBorders>
            <w:vAlign w:val="bottom"/>
            <w:hideMark/>
          </w:tcPr>
          <w:p w14:paraId="0D8DFF34" w14:textId="77777777" w:rsidR="00E91426" w:rsidRPr="00E91426" w:rsidRDefault="00E91426" w:rsidP="00E91426">
            <w:pPr>
              <w:widowControl/>
              <w:rPr>
                <w:rFonts w:ascii="Arial" w:eastAsia="Times New Roman" w:hAnsi="Arial" w:cs="Arial"/>
                <w:sz w:val="20"/>
                <w:szCs w:val="20"/>
                <w:lang w:val="en-GB" w:eastAsia="en-GB"/>
              </w:rPr>
            </w:pPr>
          </w:p>
        </w:tc>
        <w:tc>
          <w:tcPr>
            <w:tcW w:w="900" w:type="dxa"/>
            <w:tcBorders>
              <w:top w:val="nil"/>
              <w:left w:val="nil"/>
              <w:bottom w:val="nil"/>
              <w:right w:val="nil"/>
            </w:tcBorders>
            <w:vAlign w:val="bottom"/>
            <w:hideMark/>
          </w:tcPr>
          <w:p w14:paraId="1B841B60"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7A744236" w14:textId="77777777" w:rsidTr="00E91426">
        <w:trPr>
          <w:trHeight w:val="282"/>
        </w:trPr>
        <w:tc>
          <w:tcPr>
            <w:tcW w:w="8780" w:type="dxa"/>
            <w:gridSpan w:val="5"/>
            <w:tcBorders>
              <w:top w:val="nil"/>
              <w:left w:val="nil"/>
              <w:bottom w:val="nil"/>
              <w:right w:val="nil"/>
            </w:tcBorders>
            <w:vAlign w:val="bottom"/>
            <w:hideMark/>
          </w:tcPr>
          <w:p w14:paraId="42560E6D" w14:textId="77777777" w:rsidR="00E91426" w:rsidRPr="00E91426" w:rsidRDefault="00E91426" w:rsidP="00E91426">
            <w:pPr>
              <w:widowControl/>
              <w:jc w:val="both"/>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Inventories recognised in expenses for the year were £80,869k (2023/24: £71,321k)</w:t>
            </w:r>
          </w:p>
        </w:tc>
      </w:tr>
    </w:tbl>
    <w:p w14:paraId="591D10EB" w14:textId="77777777" w:rsidR="00E91426" w:rsidRPr="00E91426" w:rsidRDefault="00E91426" w:rsidP="00E91426">
      <w:pPr>
        <w:keepNext/>
        <w:keepLines/>
        <w:widowControl/>
        <w:spacing w:before="40" w:line="259" w:lineRule="auto"/>
        <w:outlineLvl w:val="1"/>
        <w:rPr>
          <w:rFonts w:ascii="Arial" w:eastAsia="Times New Roman" w:hAnsi="Arial" w:cs="Arial"/>
          <w:b/>
          <w:color w:val="000000"/>
          <w:sz w:val="20"/>
          <w:szCs w:val="20"/>
          <w:lang w:val="en-GB"/>
        </w:rPr>
      </w:pPr>
    </w:p>
    <w:p w14:paraId="4B1EF896" w14:textId="77777777" w:rsidR="00E91426" w:rsidRPr="00E91426" w:rsidRDefault="00E91426" w:rsidP="00E91426">
      <w:pPr>
        <w:keepNext/>
        <w:keepLines/>
        <w:widowControl/>
        <w:spacing w:before="40" w:line="259" w:lineRule="auto"/>
        <w:outlineLvl w:val="1"/>
        <w:rPr>
          <w:rFonts w:ascii="Arial" w:eastAsia="Times New Roman" w:hAnsi="Arial" w:cs="Arial"/>
          <w:b/>
          <w:color w:val="000000"/>
          <w:sz w:val="20"/>
          <w:szCs w:val="20"/>
          <w:lang w:val="en-GB"/>
        </w:rPr>
      </w:pPr>
      <w:r w:rsidRPr="00E91426">
        <w:rPr>
          <w:rFonts w:ascii="Arial" w:eastAsia="Times New Roman" w:hAnsi="Arial" w:cs="Arial"/>
          <w:b/>
          <w:color w:val="000000"/>
          <w:sz w:val="20"/>
          <w:szCs w:val="20"/>
          <w:lang w:val="en-GB"/>
        </w:rPr>
        <w:t xml:space="preserve"> </w:t>
      </w:r>
      <w:bookmarkStart w:id="78" w:name="_Toc195698714"/>
      <w:r w:rsidRPr="00E91426">
        <w:rPr>
          <w:rFonts w:ascii="Arial" w:eastAsia="Times New Roman" w:hAnsi="Arial" w:cs="Arial"/>
          <w:b/>
          <w:color w:val="000000"/>
          <w:sz w:val="20"/>
          <w:szCs w:val="20"/>
          <w:lang w:val="en-GB"/>
        </w:rPr>
        <w:t>Note 17 Cash and cash equivalents</w:t>
      </w:r>
      <w:bookmarkEnd w:id="78"/>
      <w:r w:rsidRPr="00E91426">
        <w:rPr>
          <w:rFonts w:ascii="Arial" w:eastAsia="Times New Roman" w:hAnsi="Arial" w:cs="Arial"/>
          <w:b/>
          <w:color w:val="000000"/>
          <w:sz w:val="20"/>
          <w:szCs w:val="20"/>
          <w:lang w:val="en-GB"/>
        </w:rPr>
        <w:t xml:space="preserve"> </w:t>
      </w:r>
    </w:p>
    <w:p w14:paraId="7E337DF0" w14:textId="77777777" w:rsidR="00E91426" w:rsidRPr="00E91426" w:rsidRDefault="00E91426" w:rsidP="00E91426">
      <w:pPr>
        <w:widowControl/>
        <w:spacing w:after="160" w:line="259" w:lineRule="auto"/>
        <w:rPr>
          <w:rFonts w:ascii="Arial" w:eastAsia="Calibri" w:hAnsi="Arial" w:cs="Arial"/>
          <w:sz w:val="20"/>
          <w:szCs w:val="20"/>
          <w:lang w:val="en-GB"/>
        </w:rPr>
      </w:pPr>
    </w:p>
    <w:tbl>
      <w:tblPr>
        <w:tblW w:w="8780" w:type="dxa"/>
        <w:tblLook w:val="04A0" w:firstRow="1" w:lastRow="0" w:firstColumn="1" w:lastColumn="0" w:noHBand="0" w:noVBand="1"/>
      </w:tblPr>
      <w:tblGrid>
        <w:gridCol w:w="6620"/>
        <w:gridCol w:w="222"/>
        <w:gridCol w:w="939"/>
        <w:gridCol w:w="222"/>
        <w:gridCol w:w="961"/>
      </w:tblGrid>
      <w:tr w:rsidR="00E91426" w:rsidRPr="00E91426" w14:paraId="1A3D90FF" w14:textId="77777777" w:rsidTr="00E91426">
        <w:trPr>
          <w:trHeight w:val="795"/>
        </w:trPr>
        <w:tc>
          <w:tcPr>
            <w:tcW w:w="8780" w:type="dxa"/>
            <w:gridSpan w:val="5"/>
            <w:tcBorders>
              <w:top w:val="nil"/>
              <w:left w:val="nil"/>
              <w:bottom w:val="nil"/>
              <w:right w:val="nil"/>
            </w:tcBorders>
            <w:vAlign w:val="bottom"/>
            <w:hideMark/>
          </w:tcPr>
          <w:p w14:paraId="18734C29" w14:textId="77777777" w:rsidR="00E91426" w:rsidRPr="00E91426" w:rsidRDefault="00E91426" w:rsidP="00E91426">
            <w:pPr>
              <w:widowControl/>
              <w:spacing w:after="160" w:line="259" w:lineRule="auto"/>
              <w:jc w:val="both"/>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Cash and cash equivalents comprise cash at bank, in hand and cash equivalents. Cash equivalents are readily convertible investments of known value which are subject to an insignificant risk of change in value.</w:t>
            </w:r>
          </w:p>
        </w:tc>
      </w:tr>
      <w:tr w:rsidR="00E91426" w:rsidRPr="00E91426" w14:paraId="7CB25086" w14:textId="77777777" w:rsidTr="00E91426">
        <w:trPr>
          <w:trHeight w:val="282"/>
        </w:trPr>
        <w:tc>
          <w:tcPr>
            <w:tcW w:w="6620" w:type="dxa"/>
            <w:tcBorders>
              <w:top w:val="nil"/>
              <w:left w:val="nil"/>
              <w:bottom w:val="nil"/>
              <w:right w:val="nil"/>
            </w:tcBorders>
            <w:vAlign w:val="bottom"/>
            <w:hideMark/>
          </w:tcPr>
          <w:p w14:paraId="46F040C8" w14:textId="77777777" w:rsidR="00E91426" w:rsidRPr="00E91426" w:rsidRDefault="00E91426" w:rsidP="00E91426">
            <w:pPr>
              <w:widowControl/>
              <w:jc w:val="both"/>
              <w:rPr>
                <w:rFonts w:ascii="Arial" w:eastAsia="Times New Roman" w:hAnsi="Arial" w:cs="Arial"/>
                <w:color w:val="000000"/>
                <w:sz w:val="20"/>
                <w:szCs w:val="20"/>
                <w:lang w:val="en-GB" w:eastAsia="en-GB"/>
              </w:rPr>
            </w:pPr>
          </w:p>
        </w:tc>
        <w:tc>
          <w:tcPr>
            <w:tcW w:w="200" w:type="dxa"/>
            <w:tcBorders>
              <w:top w:val="nil"/>
              <w:left w:val="nil"/>
              <w:bottom w:val="nil"/>
              <w:right w:val="nil"/>
            </w:tcBorders>
            <w:vAlign w:val="bottom"/>
            <w:hideMark/>
          </w:tcPr>
          <w:p w14:paraId="09F210B3" w14:textId="77777777" w:rsidR="00E91426" w:rsidRPr="00E91426" w:rsidRDefault="00E91426" w:rsidP="00E91426">
            <w:pPr>
              <w:widowControl/>
              <w:rPr>
                <w:rFonts w:ascii="Arial" w:eastAsia="Times New Roman" w:hAnsi="Arial" w:cs="Arial"/>
                <w:sz w:val="20"/>
                <w:szCs w:val="20"/>
                <w:lang w:val="en-GB" w:eastAsia="en-GB"/>
              </w:rPr>
            </w:pPr>
          </w:p>
        </w:tc>
        <w:tc>
          <w:tcPr>
            <w:tcW w:w="900" w:type="dxa"/>
            <w:tcBorders>
              <w:top w:val="nil"/>
              <w:left w:val="nil"/>
              <w:bottom w:val="nil"/>
              <w:right w:val="nil"/>
            </w:tcBorders>
            <w:vAlign w:val="bottom"/>
            <w:hideMark/>
          </w:tcPr>
          <w:p w14:paraId="267766EA"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2024/25</w:t>
            </w:r>
          </w:p>
        </w:tc>
        <w:tc>
          <w:tcPr>
            <w:tcW w:w="160" w:type="dxa"/>
            <w:tcBorders>
              <w:top w:val="nil"/>
              <w:left w:val="nil"/>
              <w:bottom w:val="nil"/>
              <w:right w:val="nil"/>
            </w:tcBorders>
            <w:vAlign w:val="bottom"/>
            <w:hideMark/>
          </w:tcPr>
          <w:p w14:paraId="4DB3E83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00" w:type="dxa"/>
            <w:tcBorders>
              <w:top w:val="nil"/>
              <w:left w:val="nil"/>
              <w:bottom w:val="nil"/>
              <w:right w:val="nil"/>
            </w:tcBorders>
            <w:vAlign w:val="bottom"/>
            <w:hideMark/>
          </w:tcPr>
          <w:p w14:paraId="09E04B38"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2023/24</w:t>
            </w:r>
          </w:p>
        </w:tc>
      </w:tr>
      <w:tr w:rsidR="00E91426" w:rsidRPr="00E91426" w14:paraId="5D57A463" w14:textId="77777777" w:rsidTr="00E91426">
        <w:trPr>
          <w:trHeight w:val="282"/>
        </w:trPr>
        <w:tc>
          <w:tcPr>
            <w:tcW w:w="6620" w:type="dxa"/>
            <w:tcBorders>
              <w:top w:val="nil"/>
              <w:left w:val="nil"/>
              <w:bottom w:val="nil"/>
              <w:right w:val="nil"/>
            </w:tcBorders>
            <w:vAlign w:val="bottom"/>
            <w:hideMark/>
          </w:tcPr>
          <w:p w14:paraId="5FC812D3"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200" w:type="dxa"/>
            <w:tcBorders>
              <w:top w:val="nil"/>
              <w:left w:val="nil"/>
              <w:bottom w:val="nil"/>
              <w:right w:val="nil"/>
            </w:tcBorders>
            <w:vAlign w:val="bottom"/>
            <w:hideMark/>
          </w:tcPr>
          <w:p w14:paraId="19870318" w14:textId="77777777" w:rsidR="00E91426" w:rsidRPr="00E91426" w:rsidRDefault="00E91426" w:rsidP="00E91426">
            <w:pPr>
              <w:widowControl/>
              <w:rPr>
                <w:rFonts w:ascii="Arial" w:eastAsia="Times New Roman" w:hAnsi="Arial" w:cs="Arial"/>
                <w:sz w:val="20"/>
                <w:szCs w:val="20"/>
                <w:lang w:val="en-GB" w:eastAsia="en-GB"/>
              </w:rPr>
            </w:pPr>
          </w:p>
        </w:tc>
        <w:tc>
          <w:tcPr>
            <w:tcW w:w="900" w:type="dxa"/>
            <w:tcBorders>
              <w:top w:val="nil"/>
              <w:left w:val="nil"/>
              <w:bottom w:val="nil"/>
              <w:right w:val="nil"/>
            </w:tcBorders>
            <w:vAlign w:val="bottom"/>
            <w:hideMark/>
          </w:tcPr>
          <w:p w14:paraId="6B8E6C6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160" w:type="dxa"/>
            <w:tcBorders>
              <w:top w:val="nil"/>
              <w:left w:val="nil"/>
              <w:bottom w:val="nil"/>
              <w:right w:val="nil"/>
            </w:tcBorders>
            <w:vAlign w:val="bottom"/>
            <w:hideMark/>
          </w:tcPr>
          <w:p w14:paraId="51E1D6E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00" w:type="dxa"/>
            <w:tcBorders>
              <w:top w:val="nil"/>
              <w:left w:val="nil"/>
              <w:bottom w:val="nil"/>
              <w:right w:val="nil"/>
            </w:tcBorders>
            <w:vAlign w:val="bottom"/>
            <w:hideMark/>
          </w:tcPr>
          <w:p w14:paraId="5FFF39C2"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r>
      <w:tr w:rsidR="00E91426" w:rsidRPr="00E91426" w14:paraId="7C21C960" w14:textId="77777777" w:rsidTr="00E91426">
        <w:trPr>
          <w:trHeight w:val="270"/>
        </w:trPr>
        <w:tc>
          <w:tcPr>
            <w:tcW w:w="6620" w:type="dxa"/>
            <w:tcBorders>
              <w:top w:val="nil"/>
              <w:left w:val="nil"/>
              <w:bottom w:val="nil"/>
              <w:right w:val="nil"/>
            </w:tcBorders>
            <w:vAlign w:val="bottom"/>
            <w:hideMark/>
          </w:tcPr>
          <w:p w14:paraId="064A4CCD"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At 1 April</w:t>
            </w:r>
          </w:p>
        </w:tc>
        <w:tc>
          <w:tcPr>
            <w:tcW w:w="200" w:type="dxa"/>
            <w:tcBorders>
              <w:top w:val="nil"/>
              <w:left w:val="nil"/>
              <w:bottom w:val="nil"/>
              <w:right w:val="nil"/>
            </w:tcBorders>
            <w:noWrap/>
            <w:vAlign w:val="bottom"/>
            <w:hideMark/>
          </w:tcPr>
          <w:p w14:paraId="6B70F7FD"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900" w:type="dxa"/>
            <w:tcBorders>
              <w:top w:val="nil"/>
              <w:left w:val="nil"/>
              <w:bottom w:val="nil"/>
              <w:right w:val="nil"/>
            </w:tcBorders>
            <w:noWrap/>
            <w:vAlign w:val="bottom"/>
            <w:hideMark/>
          </w:tcPr>
          <w:p w14:paraId="67E6827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21,042</w:t>
            </w:r>
          </w:p>
        </w:tc>
        <w:tc>
          <w:tcPr>
            <w:tcW w:w="160" w:type="dxa"/>
            <w:tcBorders>
              <w:top w:val="nil"/>
              <w:left w:val="nil"/>
              <w:bottom w:val="nil"/>
              <w:right w:val="nil"/>
            </w:tcBorders>
            <w:noWrap/>
            <w:vAlign w:val="bottom"/>
            <w:hideMark/>
          </w:tcPr>
          <w:p w14:paraId="1129170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00" w:type="dxa"/>
            <w:tcBorders>
              <w:top w:val="nil"/>
              <w:left w:val="nil"/>
              <w:bottom w:val="nil"/>
              <w:right w:val="nil"/>
            </w:tcBorders>
            <w:noWrap/>
            <w:vAlign w:val="bottom"/>
            <w:hideMark/>
          </w:tcPr>
          <w:p w14:paraId="7065600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34,742</w:t>
            </w:r>
          </w:p>
        </w:tc>
      </w:tr>
      <w:tr w:rsidR="00E91426" w:rsidRPr="00E91426" w14:paraId="6F7E2844" w14:textId="77777777" w:rsidTr="00E91426">
        <w:trPr>
          <w:trHeight w:val="330"/>
        </w:trPr>
        <w:tc>
          <w:tcPr>
            <w:tcW w:w="6620" w:type="dxa"/>
            <w:tcBorders>
              <w:top w:val="nil"/>
              <w:left w:val="nil"/>
              <w:bottom w:val="nil"/>
              <w:right w:val="nil"/>
            </w:tcBorders>
            <w:vAlign w:val="bottom"/>
            <w:hideMark/>
          </w:tcPr>
          <w:p w14:paraId="37376A2D"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Net change in year</w:t>
            </w:r>
          </w:p>
        </w:tc>
        <w:tc>
          <w:tcPr>
            <w:tcW w:w="200" w:type="dxa"/>
            <w:tcBorders>
              <w:top w:val="nil"/>
              <w:left w:val="nil"/>
              <w:bottom w:val="nil"/>
              <w:right w:val="nil"/>
            </w:tcBorders>
            <w:noWrap/>
            <w:vAlign w:val="bottom"/>
            <w:hideMark/>
          </w:tcPr>
          <w:p w14:paraId="63F11564"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900" w:type="dxa"/>
            <w:tcBorders>
              <w:top w:val="nil"/>
              <w:left w:val="nil"/>
              <w:bottom w:val="nil"/>
              <w:right w:val="nil"/>
            </w:tcBorders>
            <w:noWrap/>
            <w:vAlign w:val="bottom"/>
            <w:hideMark/>
          </w:tcPr>
          <w:p w14:paraId="32CE7D63"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(7,762)</w:t>
            </w:r>
          </w:p>
        </w:tc>
        <w:tc>
          <w:tcPr>
            <w:tcW w:w="160" w:type="dxa"/>
            <w:tcBorders>
              <w:top w:val="nil"/>
              <w:left w:val="nil"/>
              <w:bottom w:val="nil"/>
              <w:right w:val="nil"/>
            </w:tcBorders>
            <w:noWrap/>
            <w:vAlign w:val="bottom"/>
            <w:hideMark/>
          </w:tcPr>
          <w:p w14:paraId="36AD138F"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900" w:type="dxa"/>
            <w:tcBorders>
              <w:top w:val="nil"/>
              <w:left w:val="nil"/>
              <w:bottom w:val="nil"/>
              <w:right w:val="nil"/>
            </w:tcBorders>
            <w:noWrap/>
            <w:vAlign w:val="bottom"/>
            <w:hideMark/>
          </w:tcPr>
          <w:p w14:paraId="28D43190"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(13,700)</w:t>
            </w:r>
          </w:p>
        </w:tc>
      </w:tr>
      <w:tr w:rsidR="00E91426" w:rsidRPr="00E91426" w14:paraId="5350E6BD" w14:textId="77777777" w:rsidTr="00E91426">
        <w:trPr>
          <w:trHeight w:val="282"/>
        </w:trPr>
        <w:tc>
          <w:tcPr>
            <w:tcW w:w="6620" w:type="dxa"/>
            <w:tcBorders>
              <w:top w:val="nil"/>
              <w:left w:val="nil"/>
              <w:bottom w:val="nil"/>
              <w:right w:val="nil"/>
            </w:tcBorders>
            <w:noWrap/>
            <w:vAlign w:val="bottom"/>
            <w:hideMark/>
          </w:tcPr>
          <w:p w14:paraId="55DBB96E"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At 31 March</w:t>
            </w:r>
          </w:p>
        </w:tc>
        <w:tc>
          <w:tcPr>
            <w:tcW w:w="200" w:type="dxa"/>
            <w:tcBorders>
              <w:top w:val="nil"/>
              <w:left w:val="nil"/>
              <w:bottom w:val="nil"/>
              <w:right w:val="nil"/>
            </w:tcBorders>
            <w:noWrap/>
            <w:vAlign w:val="bottom"/>
            <w:hideMark/>
          </w:tcPr>
          <w:p w14:paraId="69658D32"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900" w:type="dxa"/>
            <w:tcBorders>
              <w:top w:val="single" w:sz="4" w:space="0" w:color="auto"/>
              <w:left w:val="nil"/>
              <w:bottom w:val="double" w:sz="6" w:space="0" w:color="auto"/>
              <w:right w:val="nil"/>
            </w:tcBorders>
            <w:noWrap/>
            <w:vAlign w:val="bottom"/>
            <w:hideMark/>
          </w:tcPr>
          <w:p w14:paraId="77E6A801"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13,280</w:t>
            </w:r>
          </w:p>
        </w:tc>
        <w:tc>
          <w:tcPr>
            <w:tcW w:w="160" w:type="dxa"/>
            <w:tcBorders>
              <w:top w:val="nil"/>
              <w:left w:val="nil"/>
              <w:bottom w:val="nil"/>
              <w:right w:val="nil"/>
            </w:tcBorders>
            <w:noWrap/>
            <w:vAlign w:val="bottom"/>
            <w:hideMark/>
          </w:tcPr>
          <w:p w14:paraId="66C81D5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00" w:type="dxa"/>
            <w:tcBorders>
              <w:top w:val="single" w:sz="4" w:space="0" w:color="auto"/>
              <w:left w:val="nil"/>
              <w:bottom w:val="double" w:sz="6" w:space="0" w:color="auto"/>
              <w:right w:val="nil"/>
            </w:tcBorders>
            <w:noWrap/>
            <w:vAlign w:val="bottom"/>
            <w:hideMark/>
          </w:tcPr>
          <w:p w14:paraId="261A202B"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21,042</w:t>
            </w:r>
          </w:p>
        </w:tc>
      </w:tr>
      <w:tr w:rsidR="00E91426" w:rsidRPr="00E91426" w14:paraId="203C9D0A" w14:textId="77777777" w:rsidTr="00E91426">
        <w:trPr>
          <w:trHeight w:val="282"/>
        </w:trPr>
        <w:tc>
          <w:tcPr>
            <w:tcW w:w="6620" w:type="dxa"/>
            <w:tcBorders>
              <w:top w:val="nil"/>
              <w:left w:val="nil"/>
              <w:bottom w:val="nil"/>
              <w:right w:val="nil"/>
            </w:tcBorders>
            <w:vAlign w:val="bottom"/>
            <w:hideMark/>
          </w:tcPr>
          <w:p w14:paraId="61B0C7AF"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Broken down into:</w:t>
            </w:r>
          </w:p>
        </w:tc>
        <w:tc>
          <w:tcPr>
            <w:tcW w:w="200" w:type="dxa"/>
            <w:tcBorders>
              <w:top w:val="nil"/>
              <w:left w:val="nil"/>
              <w:bottom w:val="nil"/>
              <w:right w:val="nil"/>
            </w:tcBorders>
            <w:noWrap/>
            <w:vAlign w:val="bottom"/>
            <w:hideMark/>
          </w:tcPr>
          <w:p w14:paraId="55E97B69"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900" w:type="dxa"/>
            <w:tcBorders>
              <w:top w:val="nil"/>
              <w:left w:val="nil"/>
              <w:bottom w:val="nil"/>
              <w:right w:val="nil"/>
            </w:tcBorders>
            <w:noWrap/>
            <w:vAlign w:val="bottom"/>
            <w:hideMark/>
          </w:tcPr>
          <w:p w14:paraId="79304821"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60" w:type="dxa"/>
            <w:tcBorders>
              <w:top w:val="nil"/>
              <w:left w:val="nil"/>
              <w:bottom w:val="nil"/>
              <w:right w:val="nil"/>
            </w:tcBorders>
            <w:noWrap/>
            <w:vAlign w:val="bottom"/>
            <w:hideMark/>
          </w:tcPr>
          <w:p w14:paraId="4C4C03C9" w14:textId="77777777" w:rsidR="00E91426" w:rsidRPr="00E91426" w:rsidRDefault="00E91426" w:rsidP="00E91426">
            <w:pPr>
              <w:widowControl/>
              <w:jc w:val="right"/>
              <w:rPr>
                <w:rFonts w:ascii="Arial" w:eastAsia="Times New Roman" w:hAnsi="Arial" w:cs="Arial"/>
                <w:sz w:val="20"/>
                <w:szCs w:val="20"/>
                <w:lang w:val="en-GB" w:eastAsia="en-GB"/>
              </w:rPr>
            </w:pPr>
          </w:p>
        </w:tc>
        <w:tc>
          <w:tcPr>
            <w:tcW w:w="900" w:type="dxa"/>
            <w:tcBorders>
              <w:top w:val="nil"/>
              <w:left w:val="nil"/>
              <w:bottom w:val="nil"/>
              <w:right w:val="nil"/>
            </w:tcBorders>
            <w:noWrap/>
            <w:vAlign w:val="bottom"/>
            <w:hideMark/>
          </w:tcPr>
          <w:p w14:paraId="1B3A2225" w14:textId="77777777" w:rsidR="00E91426" w:rsidRPr="00E91426" w:rsidRDefault="00E91426" w:rsidP="00E91426">
            <w:pPr>
              <w:widowControl/>
              <w:jc w:val="right"/>
              <w:rPr>
                <w:rFonts w:ascii="Arial" w:eastAsia="Times New Roman" w:hAnsi="Arial" w:cs="Arial"/>
                <w:sz w:val="20"/>
                <w:szCs w:val="20"/>
                <w:lang w:val="en-GB" w:eastAsia="en-GB"/>
              </w:rPr>
            </w:pPr>
          </w:p>
        </w:tc>
      </w:tr>
      <w:tr w:rsidR="00E91426" w:rsidRPr="00E91426" w14:paraId="35892FB1" w14:textId="77777777" w:rsidTr="00E91426">
        <w:trPr>
          <w:trHeight w:val="282"/>
        </w:trPr>
        <w:tc>
          <w:tcPr>
            <w:tcW w:w="6620" w:type="dxa"/>
            <w:tcBorders>
              <w:top w:val="nil"/>
              <w:left w:val="nil"/>
              <w:bottom w:val="nil"/>
              <w:right w:val="nil"/>
            </w:tcBorders>
            <w:vAlign w:val="bottom"/>
            <w:hideMark/>
          </w:tcPr>
          <w:p w14:paraId="506159EE"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 xml:space="preserve">Cash at commercial banks and in hand </w:t>
            </w:r>
          </w:p>
        </w:tc>
        <w:tc>
          <w:tcPr>
            <w:tcW w:w="200" w:type="dxa"/>
            <w:tcBorders>
              <w:top w:val="nil"/>
              <w:left w:val="nil"/>
              <w:bottom w:val="nil"/>
              <w:right w:val="nil"/>
            </w:tcBorders>
            <w:noWrap/>
            <w:vAlign w:val="bottom"/>
            <w:hideMark/>
          </w:tcPr>
          <w:p w14:paraId="41C3DC5F"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900" w:type="dxa"/>
            <w:tcBorders>
              <w:top w:val="nil"/>
              <w:left w:val="nil"/>
              <w:bottom w:val="nil"/>
              <w:right w:val="nil"/>
            </w:tcBorders>
            <w:noWrap/>
            <w:vAlign w:val="bottom"/>
            <w:hideMark/>
          </w:tcPr>
          <w:p w14:paraId="11EA0B58"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39</w:t>
            </w:r>
          </w:p>
        </w:tc>
        <w:tc>
          <w:tcPr>
            <w:tcW w:w="160" w:type="dxa"/>
            <w:tcBorders>
              <w:top w:val="nil"/>
              <w:left w:val="nil"/>
              <w:bottom w:val="nil"/>
              <w:right w:val="nil"/>
            </w:tcBorders>
            <w:noWrap/>
            <w:vAlign w:val="bottom"/>
            <w:hideMark/>
          </w:tcPr>
          <w:p w14:paraId="5AC1F8D9"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900" w:type="dxa"/>
            <w:tcBorders>
              <w:top w:val="nil"/>
              <w:left w:val="nil"/>
              <w:bottom w:val="nil"/>
              <w:right w:val="nil"/>
            </w:tcBorders>
            <w:noWrap/>
            <w:vAlign w:val="bottom"/>
            <w:hideMark/>
          </w:tcPr>
          <w:p w14:paraId="5E747A6A"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57</w:t>
            </w:r>
          </w:p>
        </w:tc>
      </w:tr>
      <w:tr w:rsidR="00E91426" w:rsidRPr="00E91426" w14:paraId="1BC56414" w14:textId="77777777" w:rsidTr="00E91426">
        <w:trPr>
          <w:trHeight w:val="255"/>
        </w:trPr>
        <w:tc>
          <w:tcPr>
            <w:tcW w:w="6620" w:type="dxa"/>
            <w:tcBorders>
              <w:top w:val="nil"/>
              <w:left w:val="nil"/>
              <w:bottom w:val="nil"/>
              <w:right w:val="nil"/>
            </w:tcBorders>
            <w:vAlign w:val="bottom"/>
            <w:hideMark/>
          </w:tcPr>
          <w:p w14:paraId="6AF76474"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Cash with the Government Banking Service</w:t>
            </w:r>
          </w:p>
        </w:tc>
        <w:tc>
          <w:tcPr>
            <w:tcW w:w="200" w:type="dxa"/>
            <w:tcBorders>
              <w:top w:val="nil"/>
              <w:left w:val="nil"/>
              <w:bottom w:val="nil"/>
              <w:right w:val="nil"/>
            </w:tcBorders>
            <w:noWrap/>
            <w:vAlign w:val="bottom"/>
            <w:hideMark/>
          </w:tcPr>
          <w:p w14:paraId="2FD59719"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900" w:type="dxa"/>
            <w:tcBorders>
              <w:top w:val="nil"/>
              <w:left w:val="nil"/>
              <w:bottom w:val="nil"/>
              <w:right w:val="nil"/>
            </w:tcBorders>
            <w:noWrap/>
            <w:vAlign w:val="bottom"/>
            <w:hideMark/>
          </w:tcPr>
          <w:p w14:paraId="301275B8"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13,241</w:t>
            </w:r>
          </w:p>
        </w:tc>
        <w:tc>
          <w:tcPr>
            <w:tcW w:w="160" w:type="dxa"/>
            <w:tcBorders>
              <w:top w:val="nil"/>
              <w:left w:val="nil"/>
              <w:bottom w:val="nil"/>
              <w:right w:val="nil"/>
            </w:tcBorders>
            <w:noWrap/>
            <w:vAlign w:val="bottom"/>
            <w:hideMark/>
          </w:tcPr>
          <w:p w14:paraId="4F3AF34D"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900" w:type="dxa"/>
            <w:tcBorders>
              <w:top w:val="nil"/>
              <w:left w:val="nil"/>
              <w:bottom w:val="nil"/>
              <w:right w:val="nil"/>
            </w:tcBorders>
            <w:noWrap/>
            <w:vAlign w:val="bottom"/>
            <w:hideMark/>
          </w:tcPr>
          <w:p w14:paraId="2394BA8C"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20,985</w:t>
            </w:r>
          </w:p>
        </w:tc>
      </w:tr>
      <w:tr w:rsidR="00E91426" w:rsidRPr="00E91426" w14:paraId="41C60AA5" w14:textId="77777777" w:rsidTr="00E91426">
        <w:trPr>
          <w:trHeight w:val="270"/>
        </w:trPr>
        <w:tc>
          <w:tcPr>
            <w:tcW w:w="6820" w:type="dxa"/>
            <w:gridSpan w:val="2"/>
            <w:tcBorders>
              <w:top w:val="nil"/>
              <w:left w:val="nil"/>
              <w:bottom w:val="nil"/>
              <w:right w:val="nil"/>
            </w:tcBorders>
            <w:noWrap/>
            <w:vAlign w:val="bottom"/>
            <w:hideMark/>
          </w:tcPr>
          <w:p w14:paraId="7E9D1739"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Total cash and cash equivalents as in Statement of Financial Position</w:t>
            </w:r>
          </w:p>
        </w:tc>
        <w:tc>
          <w:tcPr>
            <w:tcW w:w="900" w:type="dxa"/>
            <w:tcBorders>
              <w:top w:val="single" w:sz="4" w:space="0" w:color="auto"/>
              <w:left w:val="nil"/>
              <w:bottom w:val="double" w:sz="6" w:space="0" w:color="auto"/>
              <w:right w:val="nil"/>
            </w:tcBorders>
            <w:noWrap/>
            <w:vAlign w:val="bottom"/>
            <w:hideMark/>
          </w:tcPr>
          <w:p w14:paraId="6B90DC3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13,280</w:t>
            </w:r>
          </w:p>
        </w:tc>
        <w:tc>
          <w:tcPr>
            <w:tcW w:w="160" w:type="dxa"/>
            <w:tcBorders>
              <w:top w:val="nil"/>
              <w:left w:val="nil"/>
              <w:bottom w:val="nil"/>
              <w:right w:val="nil"/>
            </w:tcBorders>
            <w:noWrap/>
            <w:vAlign w:val="bottom"/>
            <w:hideMark/>
          </w:tcPr>
          <w:p w14:paraId="2F5E1E2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00" w:type="dxa"/>
            <w:tcBorders>
              <w:top w:val="single" w:sz="4" w:space="0" w:color="auto"/>
              <w:left w:val="nil"/>
              <w:bottom w:val="double" w:sz="6" w:space="0" w:color="auto"/>
              <w:right w:val="nil"/>
            </w:tcBorders>
            <w:noWrap/>
            <w:vAlign w:val="bottom"/>
            <w:hideMark/>
          </w:tcPr>
          <w:p w14:paraId="48B779BC"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21,042</w:t>
            </w:r>
          </w:p>
        </w:tc>
      </w:tr>
    </w:tbl>
    <w:p w14:paraId="6593449D" w14:textId="77777777" w:rsidR="00E91426" w:rsidRPr="00E91426" w:rsidRDefault="00E91426" w:rsidP="00E91426">
      <w:pPr>
        <w:widowControl/>
        <w:spacing w:after="160" w:line="259" w:lineRule="auto"/>
        <w:rPr>
          <w:rFonts w:ascii="Arial" w:eastAsia="Calibri" w:hAnsi="Arial" w:cs="Arial"/>
          <w:sz w:val="20"/>
          <w:szCs w:val="20"/>
          <w:lang w:val="en-GB"/>
        </w:rPr>
      </w:pPr>
      <w:r w:rsidRPr="00E91426">
        <w:rPr>
          <w:rFonts w:ascii="Arial" w:eastAsia="Calibri" w:hAnsi="Arial" w:cs="Arial"/>
          <w:sz w:val="20"/>
          <w:szCs w:val="20"/>
          <w:lang w:val="en-GB"/>
        </w:rPr>
        <w:br w:type="page"/>
      </w:r>
    </w:p>
    <w:p w14:paraId="5DBC31B8" w14:textId="77777777" w:rsidR="00E91426" w:rsidRPr="00E91426" w:rsidRDefault="00E91426" w:rsidP="00E91426">
      <w:pPr>
        <w:widowControl/>
        <w:spacing w:after="160" w:line="259" w:lineRule="auto"/>
        <w:rPr>
          <w:rFonts w:ascii="Arial" w:eastAsia="Calibri" w:hAnsi="Arial" w:cs="Arial"/>
          <w:sz w:val="20"/>
          <w:szCs w:val="20"/>
          <w:lang w:val="en-GB"/>
        </w:rPr>
      </w:pPr>
    </w:p>
    <w:p w14:paraId="17CC5542" w14:textId="77777777" w:rsidR="00E91426" w:rsidRPr="00E91426" w:rsidRDefault="00E91426" w:rsidP="00E91426">
      <w:pPr>
        <w:keepNext/>
        <w:keepLines/>
        <w:widowControl/>
        <w:spacing w:before="40" w:line="259" w:lineRule="auto"/>
        <w:outlineLvl w:val="1"/>
        <w:rPr>
          <w:rFonts w:ascii="Arial" w:eastAsia="Times New Roman" w:hAnsi="Arial" w:cs="Arial"/>
          <w:b/>
          <w:color w:val="000000"/>
          <w:sz w:val="20"/>
          <w:szCs w:val="20"/>
          <w:lang w:val="en-GB"/>
        </w:rPr>
      </w:pPr>
      <w:bookmarkStart w:id="79" w:name="_Toc195698715"/>
      <w:r w:rsidRPr="00E91426">
        <w:rPr>
          <w:rFonts w:ascii="Arial" w:eastAsia="Times New Roman" w:hAnsi="Arial" w:cs="Arial"/>
          <w:b/>
          <w:color w:val="000000"/>
          <w:sz w:val="20"/>
          <w:szCs w:val="20"/>
          <w:lang w:val="en-GB"/>
        </w:rPr>
        <w:t>Note 18 Trade and other payables</w:t>
      </w:r>
      <w:bookmarkEnd w:id="79"/>
    </w:p>
    <w:p w14:paraId="14EF90A8" w14:textId="77777777" w:rsidR="00E91426" w:rsidRPr="00E91426" w:rsidRDefault="00E91426" w:rsidP="00E91426">
      <w:pPr>
        <w:keepNext/>
        <w:keepLines/>
        <w:widowControl/>
        <w:spacing w:before="40" w:line="259" w:lineRule="auto"/>
        <w:outlineLvl w:val="1"/>
        <w:rPr>
          <w:rFonts w:ascii="Arial" w:eastAsia="Calibri" w:hAnsi="Arial" w:cs="Arial"/>
          <w:sz w:val="20"/>
          <w:szCs w:val="20"/>
          <w:lang w:val="en-GB"/>
        </w:rPr>
      </w:pPr>
    </w:p>
    <w:tbl>
      <w:tblPr>
        <w:tblW w:w="9830" w:type="dxa"/>
        <w:tblLayout w:type="fixed"/>
        <w:tblLook w:val="04A0" w:firstRow="1" w:lastRow="0" w:firstColumn="1" w:lastColumn="0" w:noHBand="0" w:noVBand="1"/>
      </w:tblPr>
      <w:tblGrid>
        <w:gridCol w:w="5058"/>
        <w:gridCol w:w="1037"/>
        <w:gridCol w:w="236"/>
        <w:gridCol w:w="961"/>
        <w:gridCol w:w="236"/>
        <w:gridCol w:w="1038"/>
        <w:gridCol w:w="236"/>
        <w:gridCol w:w="968"/>
        <w:gridCol w:w="60"/>
      </w:tblGrid>
      <w:tr w:rsidR="00E91426" w:rsidRPr="00E91426" w14:paraId="2CE00306" w14:textId="77777777" w:rsidTr="00E91426">
        <w:trPr>
          <w:trHeight w:val="255"/>
        </w:trPr>
        <w:tc>
          <w:tcPr>
            <w:tcW w:w="5059" w:type="dxa"/>
            <w:tcBorders>
              <w:top w:val="nil"/>
              <w:left w:val="nil"/>
              <w:bottom w:val="nil"/>
              <w:right w:val="nil"/>
            </w:tcBorders>
            <w:vAlign w:val="bottom"/>
            <w:hideMark/>
          </w:tcPr>
          <w:p w14:paraId="458D420A" w14:textId="77777777" w:rsidR="00E91426" w:rsidRPr="00E91426" w:rsidRDefault="00E91426" w:rsidP="00E91426">
            <w:pPr>
              <w:widowControl/>
              <w:rPr>
                <w:rFonts w:ascii="Arial" w:eastAsia="Times New Roman" w:hAnsi="Arial" w:cs="Arial"/>
                <w:sz w:val="20"/>
                <w:szCs w:val="20"/>
                <w:lang w:val="en-GB" w:eastAsia="en-GB"/>
              </w:rPr>
            </w:pPr>
          </w:p>
        </w:tc>
        <w:tc>
          <w:tcPr>
            <w:tcW w:w="1037" w:type="dxa"/>
            <w:tcBorders>
              <w:top w:val="nil"/>
              <w:left w:val="nil"/>
              <w:bottom w:val="nil"/>
              <w:right w:val="nil"/>
            </w:tcBorders>
            <w:vAlign w:val="bottom"/>
            <w:hideMark/>
          </w:tcPr>
          <w:p w14:paraId="572B5EA3" w14:textId="77777777" w:rsidR="00E91426" w:rsidRPr="00E91426" w:rsidRDefault="00E91426" w:rsidP="00E91426">
            <w:pPr>
              <w:widowControl/>
              <w:rPr>
                <w:rFonts w:ascii="Arial" w:eastAsia="Times New Roman" w:hAnsi="Arial" w:cs="Arial"/>
                <w:sz w:val="20"/>
                <w:szCs w:val="20"/>
                <w:lang w:val="en-GB" w:eastAsia="en-GB"/>
              </w:rPr>
            </w:pPr>
          </w:p>
        </w:tc>
        <w:tc>
          <w:tcPr>
            <w:tcW w:w="236" w:type="dxa"/>
            <w:tcBorders>
              <w:top w:val="nil"/>
              <w:left w:val="nil"/>
              <w:bottom w:val="nil"/>
              <w:right w:val="nil"/>
            </w:tcBorders>
            <w:vAlign w:val="bottom"/>
            <w:hideMark/>
          </w:tcPr>
          <w:p w14:paraId="35DA675C" w14:textId="77777777" w:rsidR="00E91426" w:rsidRPr="00E91426" w:rsidRDefault="00E91426" w:rsidP="00E91426">
            <w:pPr>
              <w:widowControl/>
              <w:jc w:val="right"/>
              <w:rPr>
                <w:rFonts w:ascii="Arial" w:eastAsia="Times New Roman" w:hAnsi="Arial" w:cs="Arial"/>
                <w:sz w:val="20"/>
                <w:szCs w:val="20"/>
                <w:lang w:val="en-GB" w:eastAsia="en-GB"/>
              </w:rPr>
            </w:pPr>
          </w:p>
        </w:tc>
        <w:tc>
          <w:tcPr>
            <w:tcW w:w="961" w:type="dxa"/>
            <w:tcBorders>
              <w:top w:val="nil"/>
              <w:left w:val="nil"/>
              <w:bottom w:val="nil"/>
              <w:right w:val="nil"/>
            </w:tcBorders>
            <w:vAlign w:val="bottom"/>
            <w:hideMark/>
          </w:tcPr>
          <w:p w14:paraId="16BC0D97" w14:textId="77777777" w:rsidR="00E91426" w:rsidRPr="00E91426" w:rsidRDefault="00E91426" w:rsidP="00E91426">
            <w:pPr>
              <w:widowControl/>
              <w:jc w:val="right"/>
              <w:rPr>
                <w:rFonts w:ascii="Arial" w:eastAsia="Times New Roman" w:hAnsi="Arial" w:cs="Arial"/>
                <w:sz w:val="20"/>
                <w:szCs w:val="20"/>
                <w:lang w:val="en-GB" w:eastAsia="en-GB"/>
              </w:rPr>
            </w:pPr>
          </w:p>
        </w:tc>
        <w:tc>
          <w:tcPr>
            <w:tcW w:w="236" w:type="dxa"/>
            <w:tcBorders>
              <w:top w:val="nil"/>
              <w:left w:val="nil"/>
              <w:bottom w:val="nil"/>
              <w:right w:val="nil"/>
            </w:tcBorders>
            <w:vAlign w:val="bottom"/>
            <w:hideMark/>
          </w:tcPr>
          <w:p w14:paraId="4762132D"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038" w:type="dxa"/>
            <w:tcBorders>
              <w:top w:val="nil"/>
              <w:left w:val="nil"/>
              <w:bottom w:val="nil"/>
              <w:right w:val="nil"/>
            </w:tcBorders>
            <w:vAlign w:val="bottom"/>
            <w:hideMark/>
          </w:tcPr>
          <w:p w14:paraId="18867D7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2024/25</w:t>
            </w:r>
          </w:p>
        </w:tc>
        <w:tc>
          <w:tcPr>
            <w:tcW w:w="236" w:type="dxa"/>
            <w:tcBorders>
              <w:top w:val="nil"/>
              <w:left w:val="nil"/>
              <w:bottom w:val="nil"/>
              <w:right w:val="nil"/>
            </w:tcBorders>
            <w:noWrap/>
            <w:vAlign w:val="bottom"/>
            <w:hideMark/>
          </w:tcPr>
          <w:p w14:paraId="7A880915"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027" w:type="dxa"/>
            <w:gridSpan w:val="2"/>
            <w:tcBorders>
              <w:top w:val="nil"/>
              <w:left w:val="nil"/>
              <w:bottom w:val="nil"/>
              <w:right w:val="nil"/>
            </w:tcBorders>
            <w:vAlign w:val="bottom"/>
            <w:hideMark/>
          </w:tcPr>
          <w:p w14:paraId="4FD15613"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2023/24</w:t>
            </w:r>
          </w:p>
        </w:tc>
      </w:tr>
      <w:tr w:rsidR="00E91426" w:rsidRPr="00E91426" w14:paraId="772935ED" w14:textId="77777777" w:rsidTr="00E91426">
        <w:trPr>
          <w:gridAfter w:val="1"/>
          <w:wAfter w:w="59" w:type="dxa"/>
          <w:trHeight w:val="282"/>
        </w:trPr>
        <w:tc>
          <w:tcPr>
            <w:tcW w:w="5059" w:type="dxa"/>
            <w:tcBorders>
              <w:top w:val="nil"/>
              <w:left w:val="nil"/>
              <w:bottom w:val="nil"/>
              <w:right w:val="nil"/>
            </w:tcBorders>
            <w:vAlign w:val="bottom"/>
            <w:hideMark/>
          </w:tcPr>
          <w:p w14:paraId="28E0DB2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037" w:type="dxa"/>
            <w:tcBorders>
              <w:top w:val="nil"/>
              <w:left w:val="nil"/>
              <w:bottom w:val="nil"/>
              <w:right w:val="nil"/>
            </w:tcBorders>
            <w:vAlign w:val="bottom"/>
            <w:hideMark/>
          </w:tcPr>
          <w:p w14:paraId="5543C560" w14:textId="77777777" w:rsidR="00E91426" w:rsidRPr="00E91426" w:rsidRDefault="00E91426" w:rsidP="00E91426">
            <w:pPr>
              <w:widowControl/>
              <w:rPr>
                <w:rFonts w:ascii="Arial" w:eastAsia="Times New Roman" w:hAnsi="Arial" w:cs="Arial"/>
                <w:sz w:val="20"/>
                <w:szCs w:val="20"/>
                <w:lang w:val="en-GB" w:eastAsia="en-GB"/>
              </w:rPr>
            </w:pPr>
          </w:p>
        </w:tc>
        <w:tc>
          <w:tcPr>
            <w:tcW w:w="236" w:type="dxa"/>
            <w:tcBorders>
              <w:top w:val="nil"/>
              <w:left w:val="nil"/>
              <w:bottom w:val="nil"/>
              <w:right w:val="nil"/>
            </w:tcBorders>
            <w:vAlign w:val="bottom"/>
            <w:hideMark/>
          </w:tcPr>
          <w:p w14:paraId="23F7D0CA" w14:textId="77777777" w:rsidR="00E91426" w:rsidRPr="00E91426" w:rsidRDefault="00E91426" w:rsidP="00E91426">
            <w:pPr>
              <w:widowControl/>
              <w:jc w:val="right"/>
              <w:rPr>
                <w:rFonts w:ascii="Arial" w:eastAsia="Times New Roman" w:hAnsi="Arial" w:cs="Arial"/>
                <w:sz w:val="20"/>
                <w:szCs w:val="20"/>
                <w:lang w:val="en-GB" w:eastAsia="en-GB"/>
              </w:rPr>
            </w:pPr>
          </w:p>
        </w:tc>
        <w:tc>
          <w:tcPr>
            <w:tcW w:w="961" w:type="dxa"/>
            <w:tcBorders>
              <w:top w:val="nil"/>
              <w:left w:val="nil"/>
              <w:bottom w:val="nil"/>
              <w:right w:val="nil"/>
            </w:tcBorders>
            <w:vAlign w:val="bottom"/>
            <w:hideMark/>
          </w:tcPr>
          <w:p w14:paraId="751191D9" w14:textId="77777777" w:rsidR="00E91426" w:rsidRPr="00E91426" w:rsidRDefault="00E91426" w:rsidP="00E91426">
            <w:pPr>
              <w:widowControl/>
              <w:jc w:val="right"/>
              <w:rPr>
                <w:rFonts w:ascii="Arial" w:eastAsia="Times New Roman" w:hAnsi="Arial" w:cs="Arial"/>
                <w:sz w:val="20"/>
                <w:szCs w:val="20"/>
                <w:lang w:val="en-GB" w:eastAsia="en-GB"/>
              </w:rPr>
            </w:pPr>
          </w:p>
        </w:tc>
        <w:tc>
          <w:tcPr>
            <w:tcW w:w="236" w:type="dxa"/>
            <w:tcBorders>
              <w:top w:val="nil"/>
              <w:left w:val="nil"/>
              <w:bottom w:val="nil"/>
              <w:right w:val="nil"/>
            </w:tcBorders>
            <w:vAlign w:val="bottom"/>
            <w:hideMark/>
          </w:tcPr>
          <w:p w14:paraId="3E152213"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038" w:type="dxa"/>
            <w:tcBorders>
              <w:top w:val="nil"/>
              <w:left w:val="nil"/>
              <w:bottom w:val="nil"/>
              <w:right w:val="nil"/>
            </w:tcBorders>
            <w:vAlign w:val="bottom"/>
            <w:hideMark/>
          </w:tcPr>
          <w:p w14:paraId="4BC910A3"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236" w:type="dxa"/>
            <w:tcBorders>
              <w:top w:val="nil"/>
              <w:left w:val="nil"/>
              <w:bottom w:val="nil"/>
              <w:right w:val="nil"/>
            </w:tcBorders>
            <w:noWrap/>
            <w:vAlign w:val="bottom"/>
            <w:hideMark/>
          </w:tcPr>
          <w:p w14:paraId="7B901FF8"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68" w:type="dxa"/>
            <w:tcBorders>
              <w:top w:val="nil"/>
              <w:left w:val="nil"/>
              <w:bottom w:val="nil"/>
              <w:right w:val="nil"/>
            </w:tcBorders>
            <w:vAlign w:val="bottom"/>
            <w:hideMark/>
          </w:tcPr>
          <w:p w14:paraId="6327565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r>
      <w:tr w:rsidR="00E91426" w:rsidRPr="00E91426" w14:paraId="48CEC7C1" w14:textId="77777777" w:rsidTr="00E91426">
        <w:trPr>
          <w:gridAfter w:val="1"/>
          <w:wAfter w:w="59" w:type="dxa"/>
          <w:trHeight w:val="282"/>
        </w:trPr>
        <w:tc>
          <w:tcPr>
            <w:tcW w:w="5059" w:type="dxa"/>
            <w:tcBorders>
              <w:top w:val="nil"/>
              <w:left w:val="nil"/>
              <w:bottom w:val="nil"/>
              <w:right w:val="nil"/>
            </w:tcBorders>
            <w:vAlign w:val="bottom"/>
            <w:hideMark/>
          </w:tcPr>
          <w:p w14:paraId="0306C6E1"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Current </w:t>
            </w:r>
          </w:p>
        </w:tc>
        <w:tc>
          <w:tcPr>
            <w:tcW w:w="1037" w:type="dxa"/>
            <w:tcBorders>
              <w:top w:val="nil"/>
              <w:left w:val="nil"/>
              <w:bottom w:val="nil"/>
              <w:right w:val="nil"/>
            </w:tcBorders>
            <w:noWrap/>
            <w:vAlign w:val="center"/>
            <w:hideMark/>
          </w:tcPr>
          <w:p w14:paraId="360849EE"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236" w:type="dxa"/>
            <w:tcBorders>
              <w:top w:val="nil"/>
              <w:left w:val="nil"/>
              <w:bottom w:val="nil"/>
              <w:right w:val="nil"/>
            </w:tcBorders>
            <w:noWrap/>
            <w:vAlign w:val="center"/>
            <w:hideMark/>
          </w:tcPr>
          <w:p w14:paraId="7708FF09" w14:textId="77777777" w:rsidR="00E91426" w:rsidRPr="00E91426" w:rsidRDefault="00E91426" w:rsidP="00E91426">
            <w:pPr>
              <w:widowControl/>
              <w:rPr>
                <w:rFonts w:ascii="Arial" w:eastAsia="Times New Roman" w:hAnsi="Arial" w:cs="Arial"/>
                <w:sz w:val="20"/>
                <w:szCs w:val="20"/>
                <w:lang w:val="en-GB" w:eastAsia="en-GB"/>
              </w:rPr>
            </w:pPr>
          </w:p>
        </w:tc>
        <w:tc>
          <w:tcPr>
            <w:tcW w:w="961" w:type="dxa"/>
            <w:tcBorders>
              <w:top w:val="nil"/>
              <w:left w:val="nil"/>
              <w:bottom w:val="nil"/>
              <w:right w:val="nil"/>
            </w:tcBorders>
            <w:noWrap/>
            <w:vAlign w:val="center"/>
            <w:hideMark/>
          </w:tcPr>
          <w:p w14:paraId="2F2CE95E" w14:textId="77777777" w:rsidR="00E91426" w:rsidRPr="00E91426" w:rsidRDefault="00E91426" w:rsidP="00E91426">
            <w:pPr>
              <w:widowControl/>
              <w:rPr>
                <w:rFonts w:ascii="Arial" w:eastAsia="Times New Roman" w:hAnsi="Arial" w:cs="Arial"/>
                <w:sz w:val="20"/>
                <w:szCs w:val="20"/>
                <w:lang w:val="en-GB" w:eastAsia="en-GB"/>
              </w:rPr>
            </w:pPr>
          </w:p>
        </w:tc>
        <w:tc>
          <w:tcPr>
            <w:tcW w:w="236" w:type="dxa"/>
            <w:tcBorders>
              <w:top w:val="nil"/>
              <w:left w:val="nil"/>
              <w:bottom w:val="nil"/>
              <w:right w:val="nil"/>
            </w:tcBorders>
            <w:noWrap/>
            <w:vAlign w:val="center"/>
            <w:hideMark/>
          </w:tcPr>
          <w:p w14:paraId="6901809B" w14:textId="77777777" w:rsidR="00E91426" w:rsidRPr="00E91426" w:rsidRDefault="00E91426" w:rsidP="00E91426">
            <w:pPr>
              <w:widowControl/>
              <w:rPr>
                <w:rFonts w:ascii="Arial" w:eastAsia="Times New Roman" w:hAnsi="Arial" w:cs="Arial"/>
                <w:sz w:val="20"/>
                <w:szCs w:val="20"/>
                <w:lang w:val="en-GB" w:eastAsia="en-GB"/>
              </w:rPr>
            </w:pPr>
          </w:p>
        </w:tc>
        <w:tc>
          <w:tcPr>
            <w:tcW w:w="1038" w:type="dxa"/>
            <w:tcBorders>
              <w:top w:val="nil"/>
              <w:left w:val="nil"/>
              <w:bottom w:val="nil"/>
              <w:right w:val="nil"/>
            </w:tcBorders>
            <w:noWrap/>
            <w:vAlign w:val="center"/>
            <w:hideMark/>
          </w:tcPr>
          <w:p w14:paraId="79AFA2C1" w14:textId="77777777" w:rsidR="00E91426" w:rsidRPr="00E91426" w:rsidRDefault="00E91426" w:rsidP="00E91426">
            <w:pPr>
              <w:widowControl/>
              <w:rPr>
                <w:rFonts w:ascii="Arial" w:eastAsia="Times New Roman" w:hAnsi="Arial" w:cs="Arial"/>
                <w:sz w:val="20"/>
                <w:szCs w:val="20"/>
                <w:lang w:val="en-GB" w:eastAsia="en-GB"/>
              </w:rPr>
            </w:pPr>
          </w:p>
        </w:tc>
        <w:tc>
          <w:tcPr>
            <w:tcW w:w="236" w:type="dxa"/>
            <w:tcBorders>
              <w:top w:val="nil"/>
              <w:left w:val="nil"/>
              <w:bottom w:val="nil"/>
              <w:right w:val="nil"/>
            </w:tcBorders>
            <w:noWrap/>
            <w:vAlign w:val="bottom"/>
            <w:hideMark/>
          </w:tcPr>
          <w:p w14:paraId="6203CE42" w14:textId="77777777" w:rsidR="00E91426" w:rsidRPr="00E91426" w:rsidRDefault="00E91426" w:rsidP="00E91426">
            <w:pPr>
              <w:widowControl/>
              <w:rPr>
                <w:rFonts w:ascii="Arial" w:eastAsia="Times New Roman" w:hAnsi="Arial" w:cs="Arial"/>
                <w:sz w:val="20"/>
                <w:szCs w:val="20"/>
                <w:lang w:val="en-GB" w:eastAsia="en-GB"/>
              </w:rPr>
            </w:pPr>
          </w:p>
        </w:tc>
        <w:tc>
          <w:tcPr>
            <w:tcW w:w="968" w:type="dxa"/>
            <w:tcBorders>
              <w:top w:val="nil"/>
              <w:left w:val="nil"/>
              <w:bottom w:val="nil"/>
              <w:right w:val="nil"/>
            </w:tcBorders>
            <w:noWrap/>
            <w:vAlign w:val="center"/>
            <w:hideMark/>
          </w:tcPr>
          <w:p w14:paraId="470C9577" w14:textId="77777777" w:rsidR="00E91426" w:rsidRPr="00E91426" w:rsidRDefault="00E91426" w:rsidP="00E91426">
            <w:pPr>
              <w:widowControl/>
              <w:jc w:val="right"/>
              <w:rPr>
                <w:rFonts w:ascii="Arial" w:eastAsia="Times New Roman" w:hAnsi="Arial" w:cs="Arial"/>
                <w:sz w:val="20"/>
                <w:szCs w:val="20"/>
                <w:lang w:val="en-GB" w:eastAsia="en-GB"/>
              </w:rPr>
            </w:pPr>
          </w:p>
        </w:tc>
      </w:tr>
      <w:tr w:rsidR="00E91426" w:rsidRPr="00E91426" w14:paraId="4303379A" w14:textId="77777777" w:rsidTr="00E91426">
        <w:trPr>
          <w:gridAfter w:val="1"/>
          <w:wAfter w:w="59" w:type="dxa"/>
          <w:trHeight w:val="282"/>
        </w:trPr>
        <w:tc>
          <w:tcPr>
            <w:tcW w:w="5059" w:type="dxa"/>
            <w:tcBorders>
              <w:top w:val="nil"/>
              <w:left w:val="nil"/>
              <w:bottom w:val="nil"/>
              <w:right w:val="nil"/>
            </w:tcBorders>
            <w:vAlign w:val="bottom"/>
            <w:hideMark/>
          </w:tcPr>
          <w:p w14:paraId="3FD20291"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Trade payables</w:t>
            </w:r>
          </w:p>
        </w:tc>
        <w:tc>
          <w:tcPr>
            <w:tcW w:w="1037" w:type="dxa"/>
            <w:tcBorders>
              <w:top w:val="nil"/>
              <w:left w:val="nil"/>
              <w:bottom w:val="nil"/>
              <w:right w:val="nil"/>
            </w:tcBorders>
            <w:noWrap/>
            <w:vAlign w:val="bottom"/>
            <w:hideMark/>
          </w:tcPr>
          <w:p w14:paraId="76B94B24"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236" w:type="dxa"/>
            <w:tcBorders>
              <w:top w:val="nil"/>
              <w:left w:val="nil"/>
              <w:bottom w:val="nil"/>
              <w:right w:val="nil"/>
            </w:tcBorders>
            <w:noWrap/>
            <w:vAlign w:val="bottom"/>
            <w:hideMark/>
          </w:tcPr>
          <w:p w14:paraId="3D849572" w14:textId="77777777" w:rsidR="00E91426" w:rsidRPr="00E91426" w:rsidRDefault="00E91426" w:rsidP="00E91426">
            <w:pPr>
              <w:widowControl/>
              <w:jc w:val="right"/>
              <w:rPr>
                <w:rFonts w:ascii="Arial" w:eastAsia="Times New Roman" w:hAnsi="Arial" w:cs="Arial"/>
                <w:sz w:val="20"/>
                <w:szCs w:val="20"/>
                <w:lang w:val="en-GB" w:eastAsia="en-GB"/>
              </w:rPr>
            </w:pPr>
          </w:p>
        </w:tc>
        <w:tc>
          <w:tcPr>
            <w:tcW w:w="961" w:type="dxa"/>
            <w:tcBorders>
              <w:top w:val="nil"/>
              <w:left w:val="nil"/>
              <w:bottom w:val="nil"/>
              <w:right w:val="nil"/>
            </w:tcBorders>
            <w:noWrap/>
            <w:vAlign w:val="bottom"/>
            <w:hideMark/>
          </w:tcPr>
          <w:p w14:paraId="22660983" w14:textId="77777777" w:rsidR="00E91426" w:rsidRPr="00E91426" w:rsidRDefault="00E91426" w:rsidP="00E91426">
            <w:pPr>
              <w:widowControl/>
              <w:jc w:val="right"/>
              <w:rPr>
                <w:rFonts w:ascii="Arial" w:eastAsia="Times New Roman" w:hAnsi="Arial" w:cs="Arial"/>
                <w:sz w:val="20"/>
                <w:szCs w:val="20"/>
                <w:lang w:val="en-GB" w:eastAsia="en-GB"/>
              </w:rPr>
            </w:pPr>
          </w:p>
        </w:tc>
        <w:tc>
          <w:tcPr>
            <w:tcW w:w="236" w:type="dxa"/>
            <w:tcBorders>
              <w:top w:val="nil"/>
              <w:left w:val="nil"/>
              <w:bottom w:val="nil"/>
              <w:right w:val="nil"/>
            </w:tcBorders>
            <w:noWrap/>
            <w:vAlign w:val="bottom"/>
            <w:hideMark/>
          </w:tcPr>
          <w:p w14:paraId="3F87AAED"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038" w:type="dxa"/>
            <w:tcBorders>
              <w:top w:val="nil"/>
              <w:left w:val="nil"/>
              <w:bottom w:val="nil"/>
              <w:right w:val="nil"/>
            </w:tcBorders>
            <w:noWrap/>
            <w:vAlign w:val="bottom"/>
            <w:hideMark/>
          </w:tcPr>
          <w:p w14:paraId="52B512C0"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28,559</w:t>
            </w:r>
          </w:p>
        </w:tc>
        <w:tc>
          <w:tcPr>
            <w:tcW w:w="236" w:type="dxa"/>
            <w:tcBorders>
              <w:top w:val="nil"/>
              <w:left w:val="nil"/>
              <w:bottom w:val="nil"/>
              <w:right w:val="nil"/>
            </w:tcBorders>
            <w:noWrap/>
            <w:vAlign w:val="bottom"/>
            <w:hideMark/>
          </w:tcPr>
          <w:p w14:paraId="079D22A0"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968" w:type="dxa"/>
            <w:tcBorders>
              <w:top w:val="nil"/>
              <w:left w:val="nil"/>
              <w:bottom w:val="nil"/>
              <w:right w:val="nil"/>
            </w:tcBorders>
            <w:noWrap/>
            <w:vAlign w:val="bottom"/>
            <w:hideMark/>
          </w:tcPr>
          <w:p w14:paraId="3246038E"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26,098</w:t>
            </w:r>
          </w:p>
        </w:tc>
      </w:tr>
      <w:tr w:rsidR="00E91426" w:rsidRPr="00E91426" w14:paraId="3F5850FA" w14:textId="77777777" w:rsidTr="00E91426">
        <w:trPr>
          <w:gridAfter w:val="1"/>
          <w:wAfter w:w="59" w:type="dxa"/>
          <w:trHeight w:val="282"/>
        </w:trPr>
        <w:tc>
          <w:tcPr>
            <w:tcW w:w="5059" w:type="dxa"/>
            <w:tcBorders>
              <w:top w:val="nil"/>
              <w:left w:val="nil"/>
              <w:bottom w:val="nil"/>
              <w:right w:val="nil"/>
            </w:tcBorders>
            <w:vAlign w:val="bottom"/>
            <w:hideMark/>
          </w:tcPr>
          <w:p w14:paraId="6D78E0B1"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Capital payables</w:t>
            </w:r>
            <w:r w:rsidRPr="00E91426">
              <w:rPr>
                <w:rFonts w:ascii="Arial" w:eastAsia="Times New Roman" w:hAnsi="Arial" w:cs="Arial"/>
                <w:color w:val="000000"/>
                <w:sz w:val="20"/>
                <w:szCs w:val="20"/>
                <w:vertAlign w:val="superscript"/>
                <w:lang w:val="en-GB" w:eastAsia="en-GB"/>
              </w:rPr>
              <w:t>1</w:t>
            </w:r>
          </w:p>
        </w:tc>
        <w:tc>
          <w:tcPr>
            <w:tcW w:w="1037" w:type="dxa"/>
            <w:tcBorders>
              <w:top w:val="nil"/>
              <w:left w:val="nil"/>
              <w:bottom w:val="nil"/>
              <w:right w:val="nil"/>
            </w:tcBorders>
            <w:noWrap/>
            <w:vAlign w:val="bottom"/>
            <w:hideMark/>
          </w:tcPr>
          <w:p w14:paraId="5150C6A8"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236" w:type="dxa"/>
            <w:tcBorders>
              <w:top w:val="nil"/>
              <w:left w:val="nil"/>
              <w:bottom w:val="nil"/>
              <w:right w:val="nil"/>
            </w:tcBorders>
            <w:noWrap/>
            <w:vAlign w:val="bottom"/>
            <w:hideMark/>
          </w:tcPr>
          <w:p w14:paraId="22E20BA7" w14:textId="77777777" w:rsidR="00E91426" w:rsidRPr="00E91426" w:rsidRDefault="00E91426" w:rsidP="00E91426">
            <w:pPr>
              <w:widowControl/>
              <w:jc w:val="right"/>
              <w:rPr>
                <w:rFonts w:ascii="Arial" w:eastAsia="Times New Roman" w:hAnsi="Arial" w:cs="Arial"/>
                <w:sz w:val="20"/>
                <w:szCs w:val="20"/>
                <w:lang w:val="en-GB" w:eastAsia="en-GB"/>
              </w:rPr>
            </w:pPr>
          </w:p>
        </w:tc>
        <w:tc>
          <w:tcPr>
            <w:tcW w:w="961" w:type="dxa"/>
            <w:tcBorders>
              <w:top w:val="nil"/>
              <w:left w:val="nil"/>
              <w:bottom w:val="nil"/>
              <w:right w:val="nil"/>
            </w:tcBorders>
            <w:noWrap/>
            <w:vAlign w:val="bottom"/>
            <w:hideMark/>
          </w:tcPr>
          <w:p w14:paraId="54E5B95E" w14:textId="77777777" w:rsidR="00E91426" w:rsidRPr="00E91426" w:rsidRDefault="00E91426" w:rsidP="00E91426">
            <w:pPr>
              <w:widowControl/>
              <w:jc w:val="right"/>
              <w:rPr>
                <w:rFonts w:ascii="Arial" w:eastAsia="Times New Roman" w:hAnsi="Arial" w:cs="Arial"/>
                <w:sz w:val="20"/>
                <w:szCs w:val="20"/>
                <w:lang w:val="en-GB" w:eastAsia="en-GB"/>
              </w:rPr>
            </w:pPr>
          </w:p>
        </w:tc>
        <w:tc>
          <w:tcPr>
            <w:tcW w:w="236" w:type="dxa"/>
            <w:tcBorders>
              <w:top w:val="nil"/>
              <w:left w:val="nil"/>
              <w:bottom w:val="nil"/>
              <w:right w:val="nil"/>
            </w:tcBorders>
            <w:noWrap/>
            <w:vAlign w:val="bottom"/>
            <w:hideMark/>
          </w:tcPr>
          <w:p w14:paraId="0C0531BB"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038" w:type="dxa"/>
            <w:tcBorders>
              <w:top w:val="nil"/>
              <w:left w:val="nil"/>
              <w:bottom w:val="nil"/>
              <w:right w:val="nil"/>
            </w:tcBorders>
            <w:noWrap/>
            <w:vAlign w:val="bottom"/>
            <w:hideMark/>
          </w:tcPr>
          <w:p w14:paraId="3E517999"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10,039</w:t>
            </w:r>
          </w:p>
        </w:tc>
        <w:tc>
          <w:tcPr>
            <w:tcW w:w="236" w:type="dxa"/>
            <w:tcBorders>
              <w:top w:val="nil"/>
              <w:left w:val="nil"/>
              <w:bottom w:val="nil"/>
              <w:right w:val="nil"/>
            </w:tcBorders>
            <w:noWrap/>
            <w:vAlign w:val="bottom"/>
            <w:hideMark/>
          </w:tcPr>
          <w:p w14:paraId="56B2B1EE"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968" w:type="dxa"/>
            <w:tcBorders>
              <w:top w:val="nil"/>
              <w:left w:val="nil"/>
              <w:bottom w:val="nil"/>
              <w:right w:val="nil"/>
            </w:tcBorders>
            <w:noWrap/>
            <w:vAlign w:val="bottom"/>
            <w:hideMark/>
          </w:tcPr>
          <w:p w14:paraId="2060DF04"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10,792</w:t>
            </w:r>
          </w:p>
        </w:tc>
      </w:tr>
      <w:tr w:rsidR="00E91426" w:rsidRPr="00E91426" w14:paraId="00AA58E0" w14:textId="77777777" w:rsidTr="00E91426">
        <w:trPr>
          <w:gridAfter w:val="1"/>
          <w:wAfter w:w="59" w:type="dxa"/>
          <w:trHeight w:val="255"/>
        </w:trPr>
        <w:tc>
          <w:tcPr>
            <w:tcW w:w="5059" w:type="dxa"/>
            <w:tcBorders>
              <w:top w:val="nil"/>
              <w:left w:val="nil"/>
              <w:bottom w:val="nil"/>
              <w:right w:val="nil"/>
            </w:tcBorders>
            <w:vAlign w:val="bottom"/>
            <w:hideMark/>
          </w:tcPr>
          <w:p w14:paraId="3A276D53"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Accruals</w:t>
            </w:r>
          </w:p>
        </w:tc>
        <w:tc>
          <w:tcPr>
            <w:tcW w:w="1037" w:type="dxa"/>
            <w:tcBorders>
              <w:top w:val="nil"/>
              <w:left w:val="nil"/>
              <w:bottom w:val="nil"/>
              <w:right w:val="nil"/>
            </w:tcBorders>
            <w:noWrap/>
            <w:vAlign w:val="bottom"/>
            <w:hideMark/>
          </w:tcPr>
          <w:p w14:paraId="1599CF37"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236" w:type="dxa"/>
            <w:tcBorders>
              <w:top w:val="nil"/>
              <w:left w:val="nil"/>
              <w:bottom w:val="nil"/>
              <w:right w:val="nil"/>
            </w:tcBorders>
            <w:noWrap/>
            <w:vAlign w:val="bottom"/>
            <w:hideMark/>
          </w:tcPr>
          <w:p w14:paraId="48AF1E16" w14:textId="77777777" w:rsidR="00E91426" w:rsidRPr="00E91426" w:rsidRDefault="00E91426" w:rsidP="00E91426">
            <w:pPr>
              <w:widowControl/>
              <w:jc w:val="right"/>
              <w:rPr>
                <w:rFonts w:ascii="Arial" w:eastAsia="Times New Roman" w:hAnsi="Arial" w:cs="Arial"/>
                <w:sz w:val="20"/>
                <w:szCs w:val="20"/>
                <w:lang w:val="en-GB" w:eastAsia="en-GB"/>
              </w:rPr>
            </w:pPr>
          </w:p>
        </w:tc>
        <w:tc>
          <w:tcPr>
            <w:tcW w:w="961" w:type="dxa"/>
            <w:tcBorders>
              <w:top w:val="nil"/>
              <w:left w:val="nil"/>
              <w:bottom w:val="nil"/>
              <w:right w:val="nil"/>
            </w:tcBorders>
            <w:noWrap/>
            <w:vAlign w:val="bottom"/>
            <w:hideMark/>
          </w:tcPr>
          <w:p w14:paraId="0122192C" w14:textId="77777777" w:rsidR="00E91426" w:rsidRPr="00E91426" w:rsidRDefault="00E91426" w:rsidP="00E91426">
            <w:pPr>
              <w:widowControl/>
              <w:jc w:val="right"/>
              <w:rPr>
                <w:rFonts w:ascii="Arial" w:eastAsia="Times New Roman" w:hAnsi="Arial" w:cs="Arial"/>
                <w:sz w:val="20"/>
                <w:szCs w:val="20"/>
                <w:lang w:val="en-GB" w:eastAsia="en-GB"/>
              </w:rPr>
            </w:pPr>
          </w:p>
        </w:tc>
        <w:tc>
          <w:tcPr>
            <w:tcW w:w="236" w:type="dxa"/>
            <w:tcBorders>
              <w:top w:val="nil"/>
              <w:left w:val="nil"/>
              <w:bottom w:val="nil"/>
              <w:right w:val="nil"/>
            </w:tcBorders>
            <w:noWrap/>
            <w:vAlign w:val="bottom"/>
            <w:hideMark/>
          </w:tcPr>
          <w:p w14:paraId="142C6509"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038" w:type="dxa"/>
            <w:tcBorders>
              <w:top w:val="nil"/>
              <w:left w:val="nil"/>
              <w:bottom w:val="nil"/>
              <w:right w:val="nil"/>
            </w:tcBorders>
            <w:noWrap/>
            <w:vAlign w:val="bottom"/>
            <w:hideMark/>
          </w:tcPr>
          <w:p w14:paraId="062CB8A8"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10,106</w:t>
            </w:r>
          </w:p>
        </w:tc>
        <w:tc>
          <w:tcPr>
            <w:tcW w:w="236" w:type="dxa"/>
            <w:tcBorders>
              <w:top w:val="nil"/>
              <w:left w:val="nil"/>
              <w:bottom w:val="nil"/>
              <w:right w:val="nil"/>
            </w:tcBorders>
            <w:noWrap/>
            <w:vAlign w:val="bottom"/>
            <w:hideMark/>
          </w:tcPr>
          <w:p w14:paraId="7CB4AE5A"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968" w:type="dxa"/>
            <w:tcBorders>
              <w:top w:val="nil"/>
              <w:left w:val="nil"/>
              <w:bottom w:val="nil"/>
              <w:right w:val="nil"/>
            </w:tcBorders>
            <w:noWrap/>
            <w:vAlign w:val="bottom"/>
            <w:hideMark/>
          </w:tcPr>
          <w:p w14:paraId="3A91A66C"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8,888</w:t>
            </w:r>
          </w:p>
        </w:tc>
      </w:tr>
      <w:tr w:rsidR="00E91426" w:rsidRPr="00E91426" w14:paraId="7168629E" w14:textId="77777777" w:rsidTr="00E91426">
        <w:trPr>
          <w:gridAfter w:val="1"/>
          <w:wAfter w:w="59" w:type="dxa"/>
          <w:trHeight w:val="255"/>
        </w:trPr>
        <w:tc>
          <w:tcPr>
            <w:tcW w:w="5059" w:type="dxa"/>
            <w:tcBorders>
              <w:top w:val="nil"/>
              <w:left w:val="nil"/>
              <w:bottom w:val="nil"/>
              <w:right w:val="nil"/>
            </w:tcBorders>
            <w:vAlign w:val="bottom"/>
            <w:hideMark/>
          </w:tcPr>
          <w:p w14:paraId="22204279"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Social security costs</w:t>
            </w:r>
          </w:p>
        </w:tc>
        <w:tc>
          <w:tcPr>
            <w:tcW w:w="1037" w:type="dxa"/>
            <w:tcBorders>
              <w:top w:val="nil"/>
              <w:left w:val="nil"/>
              <w:bottom w:val="nil"/>
              <w:right w:val="nil"/>
            </w:tcBorders>
            <w:noWrap/>
            <w:vAlign w:val="bottom"/>
            <w:hideMark/>
          </w:tcPr>
          <w:p w14:paraId="4AA2DF2B"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236" w:type="dxa"/>
            <w:tcBorders>
              <w:top w:val="nil"/>
              <w:left w:val="nil"/>
              <w:bottom w:val="nil"/>
              <w:right w:val="nil"/>
            </w:tcBorders>
            <w:noWrap/>
            <w:vAlign w:val="bottom"/>
            <w:hideMark/>
          </w:tcPr>
          <w:p w14:paraId="65585756" w14:textId="77777777" w:rsidR="00E91426" w:rsidRPr="00E91426" w:rsidRDefault="00E91426" w:rsidP="00E91426">
            <w:pPr>
              <w:widowControl/>
              <w:jc w:val="right"/>
              <w:rPr>
                <w:rFonts w:ascii="Arial" w:eastAsia="Times New Roman" w:hAnsi="Arial" w:cs="Arial"/>
                <w:sz w:val="20"/>
                <w:szCs w:val="20"/>
                <w:lang w:val="en-GB" w:eastAsia="en-GB"/>
              </w:rPr>
            </w:pPr>
          </w:p>
        </w:tc>
        <w:tc>
          <w:tcPr>
            <w:tcW w:w="961" w:type="dxa"/>
            <w:tcBorders>
              <w:top w:val="nil"/>
              <w:left w:val="nil"/>
              <w:bottom w:val="nil"/>
              <w:right w:val="nil"/>
            </w:tcBorders>
            <w:noWrap/>
            <w:vAlign w:val="bottom"/>
            <w:hideMark/>
          </w:tcPr>
          <w:p w14:paraId="091B772E" w14:textId="77777777" w:rsidR="00E91426" w:rsidRPr="00E91426" w:rsidRDefault="00E91426" w:rsidP="00E91426">
            <w:pPr>
              <w:widowControl/>
              <w:jc w:val="right"/>
              <w:rPr>
                <w:rFonts w:ascii="Arial" w:eastAsia="Times New Roman" w:hAnsi="Arial" w:cs="Arial"/>
                <w:sz w:val="20"/>
                <w:szCs w:val="20"/>
                <w:lang w:val="en-GB" w:eastAsia="en-GB"/>
              </w:rPr>
            </w:pPr>
          </w:p>
        </w:tc>
        <w:tc>
          <w:tcPr>
            <w:tcW w:w="236" w:type="dxa"/>
            <w:tcBorders>
              <w:top w:val="nil"/>
              <w:left w:val="nil"/>
              <w:bottom w:val="nil"/>
              <w:right w:val="nil"/>
            </w:tcBorders>
            <w:noWrap/>
            <w:vAlign w:val="bottom"/>
            <w:hideMark/>
          </w:tcPr>
          <w:p w14:paraId="7DB7D9A1"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038" w:type="dxa"/>
            <w:tcBorders>
              <w:top w:val="nil"/>
              <w:left w:val="nil"/>
              <w:bottom w:val="nil"/>
              <w:right w:val="nil"/>
            </w:tcBorders>
            <w:noWrap/>
            <w:vAlign w:val="bottom"/>
            <w:hideMark/>
          </w:tcPr>
          <w:p w14:paraId="1124DEFE"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3,442</w:t>
            </w:r>
          </w:p>
        </w:tc>
        <w:tc>
          <w:tcPr>
            <w:tcW w:w="236" w:type="dxa"/>
            <w:tcBorders>
              <w:top w:val="nil"/>
              <w:left w:val="nil"/>
              <w:bottom w:val="nil"/>
              <w:right w:val="nil"/>
            </w:tcBorders>
            <w:noWrap/>
            <w:vAlign w:val="bottom"/>
            <w:hideMark/>
          </w:tcPr>
          <w:p w14:paraId="4E8B6028"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968" w:type="dxa"/>
            <w:tcBorders>
              <w:top w:val="nil"/>
              <w:left w:val="nil"/>
              <w:bottom w:val="nil"/>
              <w:right w:val="nil"/>
            </w:tcBorders>
            <w:noWrap/>
            <w:vAlign w:val="bottom"/>
            <w:hideMark/>
          </w:tcPr>
          <w:p w14:paraId="53F4CCFA"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3,525</w:t>
            </w:r>
          </w:p>
        </w:tc>
      </w:tr>
      <w:tr w:rsidR="00E91426" w:rsidRPr="00E91426" w14:paraId="1495B391" w14:textId="77777777" w:rsidTr="00E91426">
        <w:trPr>
          <w:gridAfter w:val="1"/>
          <w:wAfter w:w="59" w:type="dxa"/>
          <w:trHeight w:val="255"/>
        </w:trPr>
        <w:tc>
          <w:tcPr>
            <w:tcW w:w="5059" w:type="dxa"/>
            <w:tcBorders>
              <w:top w:val="nil"/>
              <w:left w:val="nil"/>
              <w:bottom w:val="nil"/>
              <w:right w:val="nil"/>
            </w:tcBorders>
            <w:vAlign w:val="bottom"/>
            <w:hideMark/>
          </w:tcPr>
          <w:p w14:paraId="4C9C3265"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Other taxes payable</w:t>
            </w:r>
          </w:p>
        </w:tc>
        <w:tc>
          <w:tcPr>
            <w:tcW w:w="1037" w:type="dxa"/>
            <w:tcBorders>
              <w:top w:val="nil"/>
              <w:left w:val="nil"/>
              <w:bottom w:val="nil"/>
              <w:right w:val="nil"/>
            </w:tcBorders>
            <w:noWrap/>
            <w:vAlign w:val="bottom"/>
            <w:hideMark/>
          </w:tcPr>
          <w:p w14:paraId="1F463538"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236" w:type="dxa"/>
            <w:tcBorders>
              <w:top w:val="nil"/>
              <w:left w:val="nil"/>
              <w:bottom w:val="nil"/>
              <w:right w:val="nil"/>
            </w:tcBorders>
            <w:noWrap/>
            <w:vAlign w:val="bottom"/>
            <w:hideMark/>
          </w:tcPr>
          <w:p w14:paraId="637467BA" w14:textId="77777777" w:rsidR="00E91426" w:rsidRPr="00E91426" w:rsidRDefault="00E91426" w:rsidP="00E91426">
            <w:pPr>
              <w:widowControl/>
              <w:jc w:val="right"/>
              <w:rPr>
                <w:rFonts w:ascii="Arial" w:eastAsia="Times New Roman" w:hAnsi="Arial" w:cs="Arial"/>
                <w:sz w:val="20"/>
                <w:szCs w:val="20"/>
                <w:lang w:val="en-GB" w:eastAsia="en-GB"/>
              </w:rPr>
            </w:pPr>
          </w:p>
        </w:tc>
        <w:tc>
          <w:tcPr>
            <w:tcW w:w="961" w:type="dxa"/>
            <w:tcBorders>
              <w:top w:val="nil"/>
              <w:left w:val="nil"/>
              <w:bottom w:val="nil"/>
              <w:right w:val="nil"/>
            </w:tcBorders>
            <w:noWrap/>
            <w:vAlign w:val="bottom"/>
            <w:hideMark/>
          </w:tcPr>
          <w:p w14:paraId="03BC483B" w14:textId="77777777" w:rsidR="00E91426" w:rsidRPr="00E91426" w:rsidRDefault="00E91426" w:rsidP="00E91426">
            <w:pPr>
              <w:widowControl/>
              <w:jc w:val="right"/>
              <w:rPr>
                <w:rFonts w:ascii="Arial" w:eastAsia="Times New Roman" w:hAnsi="Arial" w:cs="Arial"/>
                <w:sz w:val="20"/>
                <w:szCs w:val="20"/>
                <w:lang w:val="en-GB" w:eastAsia="en-GB"/>
              </w:rPr>
            </w:pPr>
          </w:p>
        </w:tc>
        <w:tc>
          <w:tcPr>
            <w:tcW w:w="236" w:type="dxa"/>
            <w:tcBorders>
              <w:top w:val="nil"/>
              <w:left w:val="nil"/>
              <w:bottom w:val="nil"/>
              <w:right w:val="nil"/>
            </w:tcBorders>
            <w:noWrap/>
            <w:vAlign w:val="bottom"/>
            <w:hideMark/>
          </w:tcPr>
          <w:p w14:paraId="692BA3FF"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038" w:type="dxa"/>
            <w:tcBorders>
              <w:top w:val="nil"/>
              <w:left w:val="nil"/>
              <w:bottom w:val="nil"/>
              <w:right w:val="nil"/>
            </w:tcBorders>
            <w:noWrap/>
            <w:vAlign w:val="bottom"/>
            <w:hideMark/>
          </w:tcPr>
          <w:p w14:paraId="4A3F600D"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3,890</w:t>
            </w:r>
          </w:p>
        </w:tc>
        <w:tc>
          <w:tcPr>
            <w:tcW w:w="236" w:type="dxa"/>
            <w:tcBorders>
              <w:top w:val="nil"/>
              <w:left w:val="nil"/>
              <w:bottom w:val="nil"/>
              <w:right w:val="nil"/>
            </w:tcBorders>
            <w:noWrap/>
            <w:vAlign w:val="bottom"/>
            <w:hideMark/>
          </w:tcPr>
          <w:p w14:paraId="7C54BA92"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968" w:type="dxa"/>
            <w:tcBorders>
              <w:top w:val="nil"/>
              <w:left w:val="nil"/>
              <w:bottom w:val="nil"/>
              <w:right w:val="nil"/>
            </w:tcBorders>
            <w:noWrap/>
            <w:vAlign w:val="bottom"/>
            <w:hideMark/>
          </w:tcPr>
          <w:p w14:paraId="598669CD"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3,860</w:t>
            </w:r>
          </w:p>
        </w:tc>
      </w:tr>
      <w:tr w:rsidR="00E91426" w:rsidRPr="00E91426" w14:paraId="4B9266F8" w14:textId="77777777" w:rsidTr="00E91426">
        <w:trPr>
          <w:gridAfter w:val="1"/>
          <w:wAfter w:w="59" w:type="dxa"/>
          <w:trHeight w:val="282"/>
        </w:trPr>
        <w:tc>
          <w:tcPr>
            <w:tcW w:w="5059" w:type="dxa"/>
            <w:tcBorders>
              <w:top w:val="nil"/>
              <w:left w:val="nil"/>
              <w:bottom w:val="nil"/>
              <w:right w:val="nil"/>
            </w:tcBorders>
            <w:vAlign w:val="bottom"/>
            <w:hideMark/>
          </w:tcPr>
          <w:p w14:paraId="4E169033"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Pensions contributions payable</w:t>
            </w:r>
          </w:p>
        </w:tc>
        <w:tc>
          <w:tcPr>
            <w:tcW w:w="1037" w:type="dxa"/>
            <w:tcBorders>
              <w:top w:val="nil"/>
              <w:left w:val="nil"/>
              <w:bottom w:val="nil"/>
              <w:right w:val="nil"/>
            </w:tcBorders>
            <w:noWrap/>
            <w:vAlign w:val="bottom"/>
            <w:hideMark/>
          </w:tcPr>
          <w:p w14:paraId="52A6DC27"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236" w:type="dxa"/>
            <w:tcBorders>
              <w:top w:val="nil"/>
              <w:left w:val="nil"/>
              <w:bottom w:val="nil"/>
              <w:right w:val="nil"/>
            </w:tcBorders>
            <w:noWrap/>
            <w:vAlign w:val="bottom"/>
            <w:hideMark/>
          </w:tcPr>
          <w:p w14:paraId="6658A606" w14:textId="77777777" w:rsidR="00E91426" w:rsidRPr="00E91426" w:rsidRDefault="00E91426" w:rsidP="00E91426">
            <w:pPr>
              <w:widowControl/>
              <w:jc w:val="right"/>
              <w:rPr>
                <w:rFonts w:ascii="Arial" w:eastAsia="Times New Roman" w:hAnsi="Arial" w:cs="Arial"/>
                <w:sz w:val="20"/>
                <w:szCs w:val="20"/>
                <w:lang w:val="en-GB" w:eastAsia="en-GB"/>
              </w:rPr>
            </w:pPr>
          </w:p>
        </w:tc>
        <w:tc>
          <w:tcPr>
            <w:tcW w:w="961" w:type="dxa"/>
            <w:tcBorders>
              <w:top w:val="nil"/>
              <w:left w:val="nil"/>
              <w:bottom w:val="nil"/>
              <w:right w:val="nil"/>
            </w:tcBorders>
            <w:noWrap/>
            <w:vAlign w:val="bottom"/>
            <w:hideMark/>
          </w:tcPr>
          <w:p w14:paraId="71E6168F" w14:textId="77777777" w:rsidR="00E91426" w:rsidRPr="00E91426" w:rsidRDefault="00E91426" w:rsidP="00E91426">
            <w:pPr>
              <w:widowControl/>
              <w:jc w:val="right"/>
              <w:rPr>
                <w:rFonts w:ascii="Arial" w:eastAsia="Times New Roman" w:hAnsi="Arial" w:cs="Arial"/>
                <w:sz w:val="20"/>
                <w:szCs w:val="20"/>
                <w:lang w:val="en-GB" w:eastAsia="en-GB"/>
              </w:rPr>
            </w:pPr>
          </w:p>
        </w:tc>
        <w:tc>
          <w:tcPr>
            <w:tcW w:w="236" w:type="dxa"/>
            <w:tcBorders>
              <w:top w:val="nil"/>
              <w:left w:val="nil"/>
              <w:bottom w:val="nil"/>
              <w:right w:val="nil"/>
            </w:tcBorders>
            <w:noWrap/>
            <w:vAlign w:val="bottom"/>
            <w:hideMark/>
          </w:tcPr>
          <w:p w14:paraId="22FC58BF"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038" w:type="dxa"/>
            <w:tcBorders>
              <w:top w:val="nil"/>
              <w:left w:val="nil"/>
              <w:bottom w:val="nil"/>
              <w:right w:val="nil"/>
            </w:tcBorders>
            <w:noWrap/>
            <w:vAlign w:val="bottom"/>
            <w:hideMark/>
          </w:tcPr>
          <w:p w14:paraId="45E56756"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3,870</w:t>
            </w:r>
          </w:p>
        </w:tc>
        <w:tc>
          <w:tcPr>
            <w:tcW w:w="236" w:type="dxa"/>
            <w:tcBorders>
              <w:top w:val="nil"/>
              <w:left w:val="nil"/>
              <w:bottom w:val="nil"/>
              <w:right w:val="nil"/>
            </w:tcBorders>
            <w:noWrap/>
            <w:vAlign w:val="bottom"/>
            <w:hideMark/>
          </w:tcPr>
          <w:p w14:paraId="0CBA20D1"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968" w:type="dxa"/>
            <w:tcBorders>
              <w:top w:val="nil"/>
              <w:left w:val="nil"/>
              <w:bottom w:val="nil"/>
              <w:right w:val="nil"/>
            </w:tcBorders>
            <w:noWrap/>
            <w:vAlign w:val="bottom"/>
            <w:hideMark/>
          </w:tcPr>
          <w:p w14:paraId="5B89ABD8"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3,598</w:t>
            </w:r>
          </w:p>
        </w:tc>
      </w:tr>
      <w:tr w:rsidR="00E91426" w:rsidRPr="00E91426" w14:paraId="6087E7E2" w14:textId="77777777" w:rsidTr="00E91426">
        <w:trPr>
          <w:gridAfter w:val="1"/>
          <w:wAfter w:w="59" w:type="dxa"/>
          <w:trHeight w:val="282"/>
        </w:trPr>
        <w:tc>
          <w:tcPr>
            <w:tcW w:w="5059" w:type="dxa"/>
            <w:tcBorders>
              <w:top w:val="nil"/>
              <w:left w:val="nil"/>
              <w:bottom w:val="nil"/>
              <w:right w:val="nil"/>
            </w:tcBorders>
            <w:vAlign w:val="bottom"/>
            <w:hideMark/>
          </w:tcPr>
          <w:p w14:paraId="4A850857"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Other payables</w:t>
            </w:r>
          </w:p>
        </w:tc>
        <w:tc>
          <w:tcPr>
            <w:tcW w:w="1037" w:type="dxa"/>
            <w:tcBorders>
              <w:top w:val="nil"/>
              <w:left w:val="nil"/>
              <w:bottom w:val="nil"/>
              <w:right w:val="nil"/>
            </w:tcBorders>
            <w:noWrap/>
            <w:vAlign w:val="bottom"/>
            <w:hideMark/>
          </w:tcPr>
          <w:p w14:paraId="6C9DE00C"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236" w:type="dxa"/>
            <w:tcBorders>
              <w:top w:val="nil"/>
              <w:left w:val="nil"/>
              <w:bottom w:val="nil"/>
              <w:right w:val="nil"/>
            </w:tcBorders>
            <w:noWrap/>
            <w:vAlign w:val="bottom"/>
            <w:hideMark/>
          </w:tcPr>
          <w:p w14:paraId="7FA92285" w14:textId="77777777" w:rsidR="00E91426" w:rsidRPr="00E91426" w:rsidRDefault="00E91426" w:rsidP="00E91426">
            <w:pPr>
              <w:widowControl/>
              <w:jc w:val="right"/>
              <w:rPr>
                <w:rFonts w:ascii="Arial" w:eastAsia="Times New Roman" w:hAnsi="Arial" w:cs="Arial"/>
                <w:sz w:val="20"/>
                <w:szCs w:val="20"/>
                <w:lang w:val="en-GB" w:eastAsia="en-GB"/>
              </w:rPr>
            </w:pPr>
          </w:p>
        </w:tc>
        <w:tc>
          <w:tcPr>
            <w:tcW w:w="961" w:type="dxa"/>
            <w:tcBorders>
              <w:top w:val="nil"/>
              <w:left w:val="nil"/>
              <w:bottom w:val="nil"/>
              <w:right w:val="nil"/>
            </w:tcBorders>
            <w:noWrap/>
            <w:vAlign w:val="bottom"/>
            <w:hideMark/>
          </w:tcPr>
          <w:p w14:paraId="169E3364" w14:textId="77777777" w:rsidR="00E91426" w:rsidRPr="00E91426" w:rsidRDefault="00E91426" w:rsidP="00E91426">
            <w:pPr>
              <w:widowControl/>
              <w:jc w:val="right"/>
              <w:rPr>
                <w:rFonts w:ascii="Arial" w:eastAsia="Times New Roman" w:hAnsi="Arial" w:cs="Arial"/>
                <w:sz w:val="20"/>
                <w:szCs w:val="20"/>
                <w:lang w:val="en-GB" w:eastAsia="en-GB"/>
              </w:rPr>
            </w:pPr>
          </w:p>
        </w:tc>
        <w:tc>
          <w:tcPr>
            <w:tcW w:w="236" w:type="dxa"/>
            <w:tcBorders>
              <w:top w:val="nil"/>
              <w:left w:val="nil"/>
              <w:bottom w:val="nil"/>
              <w:right w:val="nil"/>
            </w:tcBorders>
            <w:noWrap/>
            <w:vAlign w:val="bottom"/>
            <w:hideMark/>
          </w:tcPr>
          <w:p w14:paraId="4E264C88"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038" w:type="dxa"/>
            <w:tcBorders>
              <w:top w:val="nil"/>
              <w:left w:val="nil"/>
              <w:bottom w:val="nil"/>
              <w:right w:val="nil"/>
            </w:tcBorders>
            <w:noWrap/>
            <w:vAlign w:val="bottom"/>
            <w:hideMark/>
          </w:tcPr>
          <w:p w14:paraId="2E52E901"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1,113</w:t>
            </w:r>
          </w:p>
        </w:tc>
        <w:tc>
          <w:tcPr>
            <w:tcW w:w="236" w:type="dxa"/>
            <w:tcBorders>
              <w:top w:val="nil"/>
              <w:left w:val="nil"/>
              <w:bottom w:val="nil"/>
              <w:right w:val="nil"/>
            </w:tcBorders>
            <w:noWrap/>
            <w:vAlign w:val="bottom"/>
            <w:hideMark/>
          </w:tcPr>
          <w:p w14:paraId="3DC19EE9"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968" w:type="dxa"/>
            <w:tcBorders>
              <w:top w:val="nil"/>
              <w:left w:val="nil"/>
              <w:bottom w:val="nil"/>
              <w:right w:val="nil"/>
            </w:tcBorders>
            <w:noWrap/>
            <w:vAlign w:val="bottom"/>
            <w:hideMark/>
          </w:tcPr>
          <w:p w14:paraId="47FA186D"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776</w:t>
            </w:r>
          </w:p>
        </w:tc>
      </w:tr>
      <w:tr w:rsidR="00E91426" w:rsidRPr="00E91426" w14:paraId="470F32AE" w14:textId="77777777" w:rsidTr="00E91426">
        <w:trPr>
          <w:gridAfter w:val="1"/>
          <w:wAfter w:w="59" w:type="dxa"/>
          <w:trHeight w:val="282"/>
        </w:trPr>
        <w:tc>
          <w:tcPr>
            <w:tcW w:w="5059" w:type="dxa"/>
            <w:tcBorders>
              <w:top w:val="nil"/>
              <w:left w:val="nil"/>
              <w:bottom w:val="nil"/>
              <w:right w:val="nil"/>
            </w:tcBorders>
            <w:noWrap/>
            <w:vAlign w:val="bottom"/>
            <w:hideMark/>
          </w:tcPr>
          <w:p w14:paraId="58D7C495"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Total current trade and other payables</w:t>
            </w:r>
          </w:p>
        </w:tc>
        <w:tc>
          <w:tcPr>
            <w:tcW w:w="1037" w:type="dxa"/>
            <w:tcBorders>
              <w:top w:val="nil"/>
              <w:left w:val="nil"/>
              <w:bottom w:val="nil"/>
              <w:right w:val="nil"/>
            </w:tcBorders>
            <w:noWrap/>
            <w:vAlign w:val="bottom"/>
            <w:hideMark/>
          </w:tcPr>
          <w:p w14:paraId="689D6F27"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236" w:type="dxa"/>
            <w:tcBorders>
              <w:top w:val="nil"/>
              <w:left w:val="nil"/>
              <w:bottom w:val="nil"/>
              <w:right w:val="nil"/>
            </w:tcBorders>
            <w:noWrap/>
            <w:vAlign w:val="bottom"/>
            <w:hideMark/>
          </w:tcPr>
          <w:p w14:paraId="7ABE2200" w14:textId="77777777" w:rsidR="00E91426" w:rsidRPr="00E91426" w:rsidRDefault="00E91426" w:rsidP="00E91426">
            <w:pPr>
              <w:widowControl/>
              <w:jc w:val="right"/>
              <w:rPr>
                <w:rFonts w:ascii="Arial" w:eastAsia="Times New Roman" w:hAnsi="Arial" w:cs="Arial"/>
                <w:sz w:val="20"/>
                <w:szCs w:val="20"/>
                <w:lang w:val="en-GB" w:eastAsia="en-GB"/>
              </w:rPr>
            </w:pPr>
          </w:p>
        </w:tc>
        <w:tc>
          <w:tcPr>
            <w:tcW w:w="961" w:type="dxa"/>
            <w:tcBorders>
              <w:top w:val="nil"/>
              <w:left w:val="nil"/>
              <w:bottom w:val="nil"/>
              <w:right w:val="nil"/>
            </w:tcBorders>
            <w:noWrap/>
            <w:vAlign w:val="bottom"/>
            <w:hideMark/>
          </w:tcPr>
          <w:p w14:paraId="6B2B5D59" w14:textId="77777777" w:rsidR="00E91426" w:rsidRPr="00E91426" w:rsidRDefault="00E91426" w:rsidP="00E91426">
            <w:pPr>
              <w:widowControl/>
              <w:jc w:val="right"/>
              <w:rPr>
                <w:rFonts w:ascii="Arial" w:eastAsia="Times New Roman" w:hAnsi="Arial" w:cs="Arial"/>
                <w:sz w:val="20"/>
                <w:szCs w:val="20"/>
                <w:lang w:val="en-GB" w:eastAsia="en-GB"/>
              </w:rPr>
            </w:pPr>
          </w:p>
        </w:tc>
        <w:tc>
          <w:tcPr>
            <w:tcW w:w="236" w:type="dxa"/>
            <w:tcBorders>
              <w:top w:val="nil"/>
              <w:left w:val="nil"/>
              <w:bottom w:val="nil"/>
              <w:right w:val="nil"/>
            </w:tcBorders>
            <w:noWrap/>
            <w:vAlign w:val="bottom"/>
            <w:hideMark/>
          </w:tcPr>
          <w:p w14:paraId="79A90934"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038" w:type="dxa"/>
            <w:tcBorders>
              <w:top w:val="single" w:sz="4" w:space="0" w:color="auto"/>
              <w:left w:val="nil"/>
              <w:bottom w:val="double" w:sz="6" w:space="0" w:color="auto"/>
              <w:right w:val="nil"/>
            </w:tcBorders>
            <w:noWrap/>
            <w:vAlign w:val="bottom"/>
            <w:hideMark/>
          </w:tcPr>
          <w:p w14:paraId="64D3030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61,019</w:t>
            </w:r>
          </w:p>
        </w:tc>
        <w:tc>
          <w:tcPr>
            <w:tcW w:w="236" w:type="dxa"/>
            <w:tcBorders>
              <w:top w:val="nil"/>
              <w:left w:val="nil"/>
              <w:bottom w:val="nil"/>
              <w:right w:val="nil"/>
            </w:tcBorders>
            <w:noWrap/>
            <w:vAlign w:val="bottom"/>
            <w:hideMark/>
          </w:tcPr>
          <w:p w14:paraId="0E2910F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68" w:type="dxa"/>
            <w:tcBorders>
              <w:top w:val="single" w:sz="4" w:space="0" w:color="auto"/>
              <w:left w:val="nil"/>
              <w:bottom w:val="double" w:sz="6" w:space="0" w:color="auto"/>
              <w:right w:val="nil"/>
            </w:tcBorders>
            <w:noWrap/>
            <w:vAlign w:val="bottom"/>
            <w:hideMark/>
          </w:tcPr>
          <w:p w14:paraId="587CCE9D"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57,537</w:t>
            </w:r>
          </w:p>
        </w:tc>
      </w:tr>
      <w:tr w:rsidR="00E91426" w:rsidRPr="00E91426" w14:paraId="74AC656D" w14:textId="77777777" w:rsidTr="00E91426">
        <w:trPr>
          <w:gridAfter w:val="1"/>
          <w:wAfter w:w="59" w:type="dxa"/>
          <w:trHeight w:val="282"/>
        </w:trPr>
        <w:tc>
          <w:tcPr>
            <w:tcW w:w="5059" w:type="dxa"/>
            <w:tcBorders>
              <w:top w:val="nil"/>
              <w:left w:val="nil"/>
              <w:bottom w:val="nil"/>
              <w:right w:val="nil"/>
            </w:tcBorders>
            <w:noWrap/>
            <w:vAlign w:val="bottom"/>
            <w:hideMark/>
          </w:tcPr>
          <w:p w14:paraId="2D18084A"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037" w:type="dxa"/>
            <w:tcBorders>
              <w:top w:val="nil"/>
              <w:left w:val="nil"/>
              <w:bottom w:val="nil"/>
              <w:right w:val="nil"/>
            </w:tcBorders>
            <w:noWrap/>
            <w:vAlign w:val="bottom"/>
            <w:hideMark/>
          </w:tcPr>
          <w:p w14:paraId="0E02D8E0" w14:textId="77777777" w:rsidR="00E91426" w:rsidRPr="00E91426" w:rsidRDefault="00E91426" w:rsidP="00E91426">
            <w:pPr>
              <w:widowControl/>
              <w:rPr>
                <w:rFonts w:ascii="Arial" w:eastAsia="Times New Roman" w:hAnsi="Arial" w:cs="Arial"/>
                <w:sz w:val="20"/>
                <w:szCs w:val="20"/>
                <w:lang w:val="en-GB" w:eastAsia="en-GB"/>
              </w:rPr>
            </w:pPr>
          </w:p>
        </w:tc>
        <w:tc>
          <w:tcPr>
            <w:tcW w:w="236" w:type="dxa"/>
            <w:tcBorders>
              <w:top w:val="nil"/>
              <w:left w:val="nil"/>
              <w:bottom w:val="nil"/>
              <w:right w:val="nil"/>
            </w:tcBorders>
            <w:noWrap/>
            <w:vAlign w:val="bottom"/>
            <w:hideMark/>
          </w:tcPr>
          <w:p w14:paraId="1E46C29F" w14:textId="77777777" w:rsidR="00E91426" w:rsidRPr="00E91426" w:rsidRDefault="00E91426" w:rsidP="00E91426">
            <w:pPr>
              <w:widowControl/>
              <w:jc w:val="right"/>
              <w:rPr>
                <w:rFonts w:ascii="Arial" w:eastAsia="Times New Roman" w:hAnsi="Arial" w:cs="Arial"/>
                <w:sz w:val="20"/>
                <w:szCs w:val="20"/>
                <w:lang w:val="en-GB" w:eastAsia="en-GB"/>
              </w:rPr>
            </w:pPr>
          </w:p>
        </w:tc>
        <w:tc>
          <w:tcPr>
            <w:tcW w:w="961" w:type="dxa"/>
            <w:tcBorders>
              <w:top w:val="nil"/>
              <w:left w:val="nil"/>
              <w:bottom w:val="nil"/>
              <w:right w:val="nil"/>
            </w:tcBorders>
            <w:noWrap/>
            <w:vAlign w:val="bottom"/>
            <w:hideMark/>
          </w:tcPr>
          <w:p w14:paraId="1BA51EE9" w14:textId="77777777" w:rsidR="00E91426" w:rsidRPr="00E91426" w:rsidRDefault="00E91426" w:rsidP="00E91426">
            <w:pPr>
              <w:widowControl/>
              <w:jc w:val="right"/>
              <w:rPr>
                <w:rFonts w:ascii="Arial" w:eastAsia="Times New Roman" w:hAnsi="Arial" w:cs="Arial"/>
                <w:sz w:val="20"/>
                <w:szCs w:val="20"/>
                <w:lang w:val="en-GB" w:eastAsia="en-GB"/>
              </w:rPr>
            </w:pPr>
          </w:p>
        </w:tc>
        <w:tc>
          <w:tcPr>
            <w:tcW w:w="236" w:type="dxa"/>
            <w:tcBorders>
              <w:top w:val="nil"/>
              <w:left w:val="nil"/>
              <w:bottom w:val="nil"/>
              <w:right w:val="nil"/>
            </w:tcBorders>
            <w:noWrap/>
            <w:vAlign w:val="bottom"/>
            <w:hideMark/>
          </w:tcPr>
          <w:p w14:paraId="289F9F9F"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038" w:type="dxa"/>
            <w:tcBorders>
              <w:top w:val="nil"/>
              <w:left w:val="nil"/>
              <w:bottom w:val="nil"/>
              <w:right w:val="nil"/>
            </w:tcBorders>
            <w:noWrap/>
            <w:vAlign w:val="bottom"/>
            <w:hideMark/>
          </w:tcPr>
          <w:p w14:paraId="0EBB5B79" w14:textId="77777777" w:rsidR="00E91426" w:rsidRPr="00E91426" w:rsidRDefault="00E91426" w:rsidP="00E91426">
            <w:pPr>
              <w:widowControl/>
              <w:jc w:val="right"/>
              <w:rPr>
                <w:rFonts w:ascii="Arial" w:eastAsia="Times New Roman" w:hAnsi="Arial" w:cs="Arial"/>
                <w:sz w:val="20"/>
                <w:szCs w:val="20"/>
                <w:lang w:val="en-GB" w:eastAsia="en-GB"/>
              </w:rPr>
            </w:pPr>
          </w:p>
        </w:tc>
        <w:tc>
          <w:tcPr>
            <w:tcW w:w="236" w:type="dxa"/>
            <w:tcBorders>
              <w:top w:val="nil"/>
              <w:left w:val="nil"/>
              <w:bottom w:val="nil"/>
              <w:right w:val="nil"/>
            </w:tcBorders>
            <w:noWrap/>
            <w:vAlign w:val="bottom"/>
            <w:hideMark/>
          </w:tcPr>
          <w:p w14:paraId="44B0FA16" w14:textId="77777777" w:rsidR="00E91426" w:rsidRPr="00E91426" w:rsidRDefault="00E91426" w:rsidP="00E91426">
            <w:pPr>
              <w:widowControl/>
              <w:jc w:val="right"/>
              <w:rPr>
                <w:rFonts w:ascii="Arial" w:eastAsia="Times New Roman" w:hAnsi="Arial" w:cs="Arial"/>
                <w:sz w:val="20"/>
                <w:szCs w:val="20"/>
                <w:lang w:val="en-GB" w:eastAsia="en-GB"/>
              </w:rPr>
            </w:pPr>
          </w:p>
        </w:tc>
        <w:tc>
          <w:tcPr>
            <w:tcW w:w="968" w:type="dxa"/>
            <w:tcBorders>
              <w:top w:val="nil"/>
              <w:left w:val="nil"/>
              <w:bottom w:val="nil"/>
              <w:right w:val="nil"/>
            </w:tcBorders>
            <w:noWrap/>
            <w:vAlign w:val="bottom"/>
            <w:hideMark/>
          </w:tcPr>
          <w:p w14:paraId="5477029F" w14:textId="77777777" w:rsidR="00E91426" w:rsidRPr="00E91426" w:rsidRDefault="00E91426" w:rsidP="00E91426">
            <w:pPr>
              <w:widowControl/>
              <w:jc w:val="right"/>
              <w:rPr>
                <w:rFonts w:ascii="Arial" w:eastAsia="Times New Roman" w:hAnsi="Arial" w:cs="Arial"/>
                <w:sz w:val="20"/>
                <w:szCs w:val="20"/>
                <w:lang w:val="en-GB" w:eastAsia="en-GB"/>
              </w:rPr>
            </w:pPr>
          </w:p>
        </w:tc>
      </w:tr>
      <w:tr w:rsidR="00E91426" w:rsidRPr="00E91426" w14:paraId="28FA944C" w14:textId="77777777" w:rsidTr="00E91426">
        <w:trPr>
          <w:gridAfter w:val="1"/>
          <w:wAfter w:w="59" w:type="dxa"/>
          <w:trHeight w:val="274"/>
        </w:trPr>
        <w:tc>
          <w:tcPr>
            <w:tcW w:w="6096" w:type="dxa"/>
            <w:gridSpan w:val="2"/>
            <w:tcBorders>
              <w:top w:val="nil"/>
              <w:left w:val="nil"/>
              <w:bottom w:val="nil"/>
              <w:right w:val="nil"/>
            </w:tcBorders>
            <w:noWrap/>
            <w:vAlign w:val="bottom"/>
            <w:hideMark/>
          </w:tcPr>
          <w:p w14:paraId="14BBF45F"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Of which payables from NHS and DHSC group bodies: </w:t>
            </w:r>
          </w:p>
        </w:tc>
        <w:tc>
          <w:tcPr>
            <w:tcW w:w="236" w:type="dxa"/>
            <w:tcBorders>
              <w:top w:val="nil"/>
              <w:left w:val="nil"/>
              <w:bottom w:val="nil"/>
              <w:right w:val="nil"/>
            </w:tcBorders>
            <w:vAlign w:val="bottom"/>
            <w:hideMark/>
          </w:tcPr>
          <w:p w14:paraId="099A980A"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961" w:type="dxa"/>
            <w:tcBorders>
              <w:top w:val="nil"/>
              <w:left w:val="nil"/>
              <w:bottom w:val="nil"/>
              <w:right w:val="nil"/>
            </w:tcBorders>
            <w:vAlign w:val="bottom"/>
            <w:hideMark/>
          </w:tcPr>
          <w:p w14:paraId="0AC75B9A" w14:textId="77777777" w:rsidR="00E91426" w:rsidRPr="00E91426" w:rsidRDefault="00E91426" w:rsidP="00E91426">
            <w:pPr>
              <w:widowControl/>
              <w:rPr>
                <w:rFonts w:ascii="Arial" w:eastAsia="Times New Roman" w:hAnsi="Arial" w:cs="Arial"/>
                <w:sz w:val="20"/>
                <w:szCs w:val="20"/>
                <w:lang w:val="en-GB" w:eastAsia="en-GB"/>
              </w:rPr>
            </w:pPr>
          </w:p>
        </w:tc>
        <w:tc>
          <w:tcPr>
            <w:tcW w:w="236" w:type="dxa"/>
            <w:tcBorders>
              <w:top w:val="nil"/>
              <w:left w:val="nil"/>
              <w:bottom w:val="nil"/>
              <w:right w:val="nil"/>
            </w:tcBorders>
            <w:vAlign w:val="bottom"/>
            <w:hideMark/>
          </w:tcPr>
          <w:p w14:paraId="1D11DD9E" w14:textId="77777777" w:rsidR="00E91426" w:rsidRPr="00E91426" w:rsidRDefault="00E91426" w:rsidP="00E91426">
            <w:pPr>
              <w:widowControl/>
              <w:rPr>
                <w:rFonts w:ascii="Arial" w:eastAsia="Times New Roman" w:hAnsi="Arial" w:cs="Arial"/>
                <w:sz w:val="20"/>
                <w:szCs w:val="20"/>
                <w:lang w:val="en-GB" w:eastAsia="en-GB"/>
              </w:rPr>
            </w:pPr>
          </w:p>
        </w:tc>
        <w:tc>
          <w:tcPr>
            <w:tcW w:w="1038" w:type="dxa"/>
            <w:tcBorders>
              <w:top w:val="nil"/>
              <w:left w:val="nil"/>
              <w:bottom w:val="nil"/>
              <w:right w:val="nil"/>
            </w:tcBorders>
            <w:vAlign w:val="bottom"/>
            <w:hideMark/>
          </w:tcPr>
          <w:p w14:paraId="516FB27D" w14:textId="77777777" w:rsidR="00E91426" w:rsidRPr="00E91426" w:rsidRDefault="00E91426" w:rsidP="00E91426">
            <w:pPr>
              <w:widowControl/>
              <w:rPr>
                <w:rFonts w:ascii="Arial" w:eastAsia="Times New Roman" w:hAnsi="Arial" w:cs="Arial"/>
                <w:sz w:val="20"/>
                <w:szCs w:val="20"/>
                <w:lang w:val="en-GB" w:eastAsia="en-GB"/>
              </w:rPr>
            </w:pPr>
          </w:p>
        </w:tc>
        <w:tc>
          <w:tcPr>
            <w:tcW w:w="236" w:type="dxa"/>
            <w:tcBorders>
              <w:top w:val="nil"/>
              <w:left w:val="nil"/>
              <w:bottom w:val="nil"/>
              <w:right w:val="nil"/>
            </w:tcBorders>
            <w:vAlign w:val="bottom"/>
            <w:hideMark/>
          </w:tcPr>
          <w:p w14:paraId="451F592D" w14:textId="77777777" w:rsidR="00E91426" w:rsidRPr="00E91426" w:rsidRDefault="00E91426" w:rsidP="00E91426">
            <w:pPr>
              <w:widowControl/>
              <w:rPr>
                <w:rFonts w:ascii="Arial" w:eastAsia="Times New Roman" w:hAnsi="Arial" w:cs="Arial"/>
                <w:sz w:val="20"/>
                <w:szCs w:val="20"/>
                <w:lang w:val="en-GB" w:eastAsia="en-GB"/>
              </w:rPr>
            </w:pPr>
          </w:p>
        </w:tc>
        <w:tc>
          <w:tcPr>
            <w:tcW w:w="968" w:type="dxa"/>
            <w:tcBorders>
              <w:top w:val="nil"/>
              <w:left w:val="nil"/>
              <w:bottom w:val="nil"/>
              <w:right w:val="nil"/>
            </w:tcBorders>
            <w:vAlign w:val="bottom"/>
            <w:hideMark/>
          </w:tcPr>
          <w:p w14:paraId="5EACDF2C"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46FC6923" w14:textId="77777777" w:rsidTr="00E91426">
        <w:trPr>
          <w:gridAfter w:val="1"/>
          <w:wAfter w:w="59" w:type="dxa"/>
          <w:trHeight w:val="282"/>
        </w:trPr>
        <w:tc>
          <w:tcPr>
            <w:tcW w:w="5059" w:type="dxa"/>
            <w:tcBorders>
              <w:top w:val="nil"/>
              <w:left w:val="nil"/>
              <w:bottom w:val="nil"/>
              <w:right w:val="nil"/>
            </w:tcBorders>
            <w:vAlign w:val="bottom"/>
            <w:hideMark/>
          </w:tcPr>
          <w:p w14:paraId="3017DE02"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Current</w:t>
            </w:r>
          </w:p>
        </w:tc>
        <w:tc>
          <w:tcPr>
            <w:tcW w:w="1037" w:type="dxa"/>
            <w:tcBorders>
              <w:top w:val="nil"/>
              <w:left w:val="nil"/>
              <w:bottom w:val="nil"/>
              <w:right w:val="nil"/>
            </w:tcBorders>
            <w:vAlign w:val="bottom"/>
            <w:hideMark/>
          </w:tcPr>
          <w:p w14:paraId="1EACC79F"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236" w:type="dxa"/>
            <w:tcBorders>
              <w:top w:val="nil"/>
              <w:left w:val="nil"/>
              <w:bottom w:val="nil"/>
              <w:right w:val="nil"/>
            </w:tcBorders>
            <w:vAlign w:val="bottom"/>
            <w:hideMark/>
          </w:tcPr>
          <w:p w14:paraId="6572F0E2" w14:textId="77777777" w:rsidR="00E91426" w:rsidRPr="00E91426" w:rsidRDefault="00E91426" w:rsidP="00E91426">
            <w:pPr>
              <w:widowControl/>
              <w:rPr>
                <w:rFonts w:ascii="Arial" w:eastAsia="Times New Roman" w:hAnsi="Arial" w:cs="Arial"/>
                <w:sz w:val="20"/>
                <w:szCs w:val="20"/>
                <w:lang w:val="en-GB" w:eastAsia="en-GB"/>
              </w:rPr>
            </w:pPr>
          </w:p>
        </w:tc>
        <w:tc>
          <w:tcPr>
            <w:tcW w:w="961" w:type="dxa"/>
            <w:tcBorders>
              <w:top w:val="nil"/>
              <w:left w:val="nil"/>
              <w:bottom w:val="nil"/>
              <w:right w:val="nil"/>
            </w:tcBorders>
            <w:vAlign w:val="bottom"/>
            <w:hideMark/>
          </w:tcPr>
          <w:p w14:paraId="058FEAF1" w14:textId="77777777" w:rsidR="00E91426" w:rsidRPr="00E91426" w:rsidRDefault="00E91426" w:rsidP="00E91426">
            <w:pPr>
              <w:widowControl/>
              <w:rPr>
                <w:rFonts w:ascii="Arial" w:eastAsia="Times New Roman" w:hAnsi="Arial" w:cs="Arial"/>
                <w:sz w:val="20"/>
                <w:szCs w:val="20"/>
                <w:lang w:val="en-GB" w:eastAsia="en-GB"/>
              </w:rPr>
            </w:pPr>
          </w:p>
        </w:tc>
        <w:tc>
          <w:tcPr>
            <w:tcW w:w="236" w:type="dxa"/>
            <w:tcBorders>
              <w:top w:val="nil"/>
              <w:left w:val="nil"/>
              <w:bottom w:val="nil"/>
              <w:right w:val="nil"/>
            </w:tcBorders>
            <w:vAlign w:val="bottom"/>
            <w:hideMark/>
          </w:tcPr>
          <w:p w14:paraId="7D34D50C" w14:textId="77777777" w:rsidR="00E91426" w:rsidRPr="00E91426" w:rsidRDefault="00E91426" w:rsidP="00E91426">
            <w:pPr>
              <w:widowControl/>
              <w:rPr>
                <w:rFonts w:ascii="Arial" w:eastAsia="Times New Roman" w:hAnsi="Arial" w:cs="Arial"/>
                <w:sz w:val="20"/>
                <w:szCs w:val="20"/>
                <w:lang w:val="en-GB" w:eastAsia="en-GB"/>
              </w:rPr>
            </w:pPr>
          </w:p>
        </w:tc>
        <w:tc>
          <w:tcPr>
            <w:tcW w:w="1038" w:type="dxa"/>
            <w:tcBorders>
              <w:top w:val="nil"/>
              <w:left w:val="nil"/>
              <w:bottom w:val="nil"/>
              <w:right w:val="nil"/>
            </w:tcBorders>
            <w:noWrap/>
            <w:vAlign w:val="bottom"/>
            <w:hideMark/>
          </w:tcPr>
          <w:p w14:paraId="6EDE21B8"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21,744</w:t>
            </w:r>
          </w:p>
        </w:tc>
        <w:tc>
          <w:tcPr>
            <w:tcW w:w="236" w:type="dxa"/>
            <w:tcBorders>
              <w:top w:val="nil"/>
              <w:left w:val="nil"/>
              <w:bottom w:val="nil"/>
              <w:right w:val="nil"/>
            </w:tcBorders>
            <w:noWrap/>
            <w:vAlign w:val="bottom"/>
            <w:hideMark/>
          </w:tcPr>
          <w:p w14:paraId="5AC0937E"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968" w:type="dxa"/>
            <w:tcBorders>
              <w:top w:val="nil"/>
              <w:left w:val="nil"/>
              <w:bottom w:val="nil"/>
              <w:right w:val="nil"/>
            </w:tcBorders>
            <w:noWrap/>
            <w:vAlign w:val="bottom"/>
            <w:hideMark/>
          </w:tcPr>
          <w:p w14:paraId="28E72829"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15,437</w:t>
            </w:r>
          </w:p>
        </w:tc>
      </w:tr>
      <w:tr w:rsidR="00E91426" w:rsidRPr="00E91426" w14:paraId="265B3EB0" w14:textId="77777777" w:rsidTr="00E91426">
        <w:trPr>
          <w:gridAfter w:val="1"/>
          <w:wAfter w:w="59" w:type="dxa"/>
          <w:trHeight w:val="282"/>
        </w:trPr>
        <w:tc>
          <w:tcPr>
            <w:tcW w:w="5059" w:type="dxa"/>
            <w:tcBorders>
              <w:top w:val="nil"/>
              <w:left w:val="nil"/>
              <w:bottom w:val="nil"/>
              <w:right w:val="nil"/>
            </w:tcBorders>
            <w:vAlign w:val="bottom"/>
            <w:hideMark/>
          </w:tcPr>
          <w:p w14:paraId="5C5A3F0D"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Non-current</w:t>
            </w:r>
          </w:p>
        </w:tc>
        <w:tc>
          <w:tcPr>
            <w:tcW w:w="1037" w:type="dxa"/>
            <w:tcBorders>
              <w:top w:val="nil"/>
              <w:left w:val="nil"/>
              <w:bottom w:val="nil"/>
              <w:right w:val="nil"/>
            </w:tcBorders>
            <w:vAlign w:val="bottom"/>
            <w:hideMark/>
          </w:tcPr>
          <w:p w14:paraId="0D31BFAD"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236" w:type="dxa"/>
            <w:tcBorders>
              <w:top w:val="nil"/>
              <w:left w:val="nil"/>
              <w:bottom w:val="nil"/>
              <w:right w:val="nil"/>
            </w:tcBorders>
            <w:vAlign w:val="bottom"/>
            <w:hideMark/>
          </w:tcPr>
          <w:p w14:paraId="4892FD2E" w14:textId="77777777" w:rsidR="00E91426" w:rsidRPr="00E91426" w:rsidRDefault="00E91426" w:rsidP="00E91426">
            <w:pPr>
              <w:widowControl/>
              <w:rPr>
                <w:rFonts w:ascii="Arial" w:eastAsia="Times New Roman" w:hAnsi="Arial" w:cs="Arial"/>
                <w:sz w:val="20"/>
                <w:szCs w:val="20"/>
                <w:lang w:val="en-GB" w:eastAsia="en-GB"/>
              </w:rPr>
            </w:pPr>
          </w:p>
        </w:tc>
        <w:tc>
          <w:tcPr>
            <w:tcW w:w="961" w:type="dxa"/>
            <w:tcBorders>
              <w:top w:val="nil"/>
              <w:left w:val="nil"/>
              <w:bottom w:val="nil"/>
              <w:right w:val="nil"/>
            </w:tcBorders>
            <w:vAlign w:val="bottom"/>
            <w:hideMark/>
          </w:tcPr>
          <w:p w14:paraId="4A07A36E" w14:textId="77777777" w:rsidR="00E91426" w:rsidRPr="00E91426" w:rsidRDefault="00E91426" w:rsidP="00E91426">
            <w:pPr>
              <w:widowControl/>
              <w:rPr>
                <w:rFonts w:ascii="Arial" w:eastAsia="Times New Roman" w:hAnsi="Arial" w:cs="Arial"/>
                <w:sz w:val="20"/>
                <w:szCs w:val="20"/>
                <w:lang w:val="en-GB" w:eastAsia="en-GB"/>
              </w:rPr>
            </w:pPr>
          </w:p>
        </w:tc>
        <w:tc>
          <w:tcPr>
            <w:tcW w:w="236" w:type="dxa"/>
            <w:tcBorders>
              <w:top w:val="nil"/>
              <w:left w:val="nil"/>
              <w:bottom w:val="nil"/>
              <w:right w:val="nil"/>
            </w:tcBorders>
            <w:vAlign w:val="bottom"/>
            <w:hideMark/>
          </w:tcPr>
          <w:p w14:paraId="22158502" w14:textId="77777777" w:rsidR="00E91426" w:rsidRPr="00E91426" w:rsidRDefault="00E91426" w:rsidP="00E91426">
            <w:pPr>
              <w:widowControl/>
              <w:rPr>
                <w:rFonts w:ascii="Arial" w:eastAsia="Times New Roman" w:hAnsi="Arial" w:cs="Arial"/>
                <w:sz w:val="20"/>
                <w:szCs w:val="20"/>
                <w:lang w:val="en-GB" w:eastAsia="en-GB"/>
              </w:rPr>
            </w:pPr>
          </w:p>
        </w:tc>
        <w:tc>
          <w:tcPr>
            <w:tcW w:w="1038" w:type="dxa"/>
            <w:tcBorders>
              <w:top w:val="nil"/>
              <w:left w:val="nil"/>
              <w:bottom w:val="nil"/>
              <w:right w:val="nil"/>
            </w:tcBorders>
            <w:noWrap/>
            <w:vAlign w:val="bottom"/>
            <w:hideMark/>
          </w:tcPr>
          <w:p w14:paraId="2E9C7399"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236" w:type="dxa"/>
            <w:tcBorders>
              <w:top w:val="nil"/>
              <w:left w:val="nil"/>
              <w:bottom w:val="nil"/>
              <w:right w:val="nil"/>
            </w:tcBorders>
            <w:noWrap/>
            <w:vAlign w:val="bottom"/>
            <w:hideMark/>
          </w:tcPr>
          <w:p w14:paraId="430B6E34"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968" w:type="dxa"/>
            <w:tcBorders>
              <w:top w:val="nil"/>
              <w:left w:val="nil"/>
              <w:bottom w:val="nil"/>
              <w:right w:val="nil"/>
            </w:tcBorders>
            <w:noWrap/>
            <w:vAlign w:val="bottom"/>
            <w:hideMark/>
          </w:tcPr>
          <w:p w14:paraId="288F8E85"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r>
      <w:tr w:rsidR="00E91426" w:rsidRPr="00E91426" w14:paraId="6C5836F0" w14:textId="77777777" w:rsidTr="00E91426">
        <w:trPr>
          <w:gridAfter w:val="1"/>
          <w:wAfter w:w="59" w:type="dxa"/>
          <w:trHeight w:val="274"/>
        </w:trPr>
        <w:tc>
          <w:tcPr>
            <w:tcW w:w="5059" w:type="dxa"/>
            <w:tcBorders>
              <w:top w:val="nil"/>
              <w:left w:val="nil"/>
              <w:bottom w:val="nil"/>
              <w:right w:val="nil"/>
            </w:tcBorders>
            <w:vAlign w:val="bottom"/>
            <w:hideMark/>
          </w:tcPr>
          <w:p w14:paraId="1580AC86"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37" w:type="dxa"/>
            <w:tcBorders>
              <w:top w:val="nil"/>
              <w:left w:val="nil"/>
              <w:bottom w:val="nil"/>
              <w:right w:val="nil"/>
            </w:tcBorders>
            <w:vAlign w:val="bottom"/>
            <w:hideMark/>
          </w:tcPr>
          <w:p w14:paraId="04674835" w14:textId="77777777" w:rsidR="00E91426" w:rsidRPr="00E91426" w:rsidRDefault="00E91426" w:rsidP="00E91426">
            <w:pPr>
              <w:widowControl/>
              <w:rPr>
                <w:rFonts w:ascii="Arial" w:eastAsia="Times New Roman" w:hAnsi="Arial" w:cs="Arial"/>
                <w:sz w:val="20"/>
                <w:szCs w:val="20"/>
                <w:lang w:val="en-GB" w:eastAsia="en-GB"/>
              </w:rPr>
            </w:pPr>
          </w:p>
        </w:tc>
        <w:tc>
          <w:tcPr>
            <w:tcW w:w="236" w:type="dxa"/>
            <w:tcBorders>
              <w:top w:val="nil"/>
              <w:left w:val="nil"/>
              <w:bottom w:val="nil"/>
              <w:right w:val="nil"/>
            </w:tcBorders>
            <w:vAlign w:val="bottom"/>
            <w:hideMark/>
          </w:tcPr>
          <w:p w14:paraId="0949BD39" w14:textId="77777777" w:rsidR="00E91426" w:rsidRPr="00E91426" w:rsidRDefault="00E91426" w:rsidP="00E91426">
            <w:pPr>
              <w:widowControl/>
              <w:rPr>
                <w:rFonts w:ascii="Arial" w:eastAsia="Times New Roman" w:hAnsi="Arial" w:cs="Arial"/>
                <w:sz w:val="20"/>
                <w:szCs w:val="20"/>
                <w:lang w:val="en-GB" w:eastAsia="en-GB"/>
              </w:rPr>
            </w:pPr>
          </w:p>
        </w:tc>
        <w:tc>
          <w:tcPr>
            <w:tcW w:w="961" w:type="dxa"/>
            <w:tcBorders>
              <w:top w:val="nil"/>
              <w:left w:val="nil"/>
              <w:bottom w:val="nil"/>
              <w:right w:val="nil"/>
            </w:tcBorders>
            <w:vAlign w:val="bottom"/>
            <w:hideMark/>
          </w:tcPr>
          <w:p w14:paraId="6CECEE60" w14:textId="77777777" w:rsidR="00E91426" w:rsidRPr="00E91426" w:rsidRDefault="00E91426" w:rsidP="00E91426">
            <w:pPr>
              <w:widowControl/>
              <w:rPr>
                <w:rFonts w:ascii="Arial" w:eastAsia="Times New Roman" w:hAnsi="Arial" w:cs="Arial"/>
                <w:sz w:val="20"/>
                <w:szCs w:val="20"/>
                <w:lang w:val="en-GB" w:eastAsia="en-GB"/>
              </w:rPr>
            </w:pPr>
          </w:p>
        </w:tc>
        <w:tc>
          <w:tcPr>
            <w:tcW w:w="236" w:type="dxa"/>
            <w:tcBorders>
              <w:top w:val="nil"/>
              <w:left w:val="nil"/>
              <w:bottom w:val="nil"/>
              <w:right w:val="nil"/>
            </w:tcBorders>
            <w:vAlign w:val="bottom"/>
            <w:hideMark/>
          </w:tcPr>
          <w:p w14:paraId="5881BB54" w14:textId="77777777" w:rsidR="00E91426" w:rsidRPr="00E91426" w:rsidRDefault="00E91426" w:rsidP="00E91426">
            <w:pPr>
              <w:widowControl/>
              <w:rPr>
                <w:rFonts w:ascii="Arial" w:eastAsia="Times New Roman" w:hAnsi="Arial" w:cs="Arial"/>
                <w:sz w:val="20"/>
                <w:szCs w:val="20"/>
                <w:lang w:val="en-GB" w:eastAsia="en-GB"/>
              </w:rPr>
            </w:pPr>
          </w:p>
        </w:tc>
        <w:tc>
          <w:tcPr>
            <w:tcW w:w="1038" w:type="dxa"/>
            <w:tcBorders>
              <w:top w:val="nil"/>
              <w:left w:val="nil"/>
              <w:bottom w:val="nil"/>
              <w:right w:val="nil"/>
            </w:tcBorders>
            <w:vAlign w:val="bottom"/>
            <w:hideMark/>
          </w:tcPr>
          <w:p w14:paraId="03FC796F" w14:textId="77777777" w:rsidR="00E91426" w:rsidRPr="00E91426" w:rsidRDefault="00E91426" w:rsidP="00E91426">
            <w:pPr>
              <w:widowControl/>
              <w:rPr>
                <w:rFonts w:ascii="Arial" w:eastAsia="Times New Roman" w:hAnsi="Arial" w:cs="Arial"/>
                <w:sz w:val="20"/>
                <w:szCs w:val="20"/>
                <w:lang w:val="en-GB" w:eastAsia="en-GB"/>
              </w:rPr>
            </w:pPr>
          </w:p>
        </w:tc>
        <w:tc>
          <w:tcPr>
            <w:tcW w:w="236" w:type="dxa"/>
            <w:tcBorders>
              <w:top w:val="nil"/>
              <w:left w:val="nil"/>
              <w:bottom w:val="nil"/>
              <w:right w:val="nil"/>
            </w:tcBorders>
            <w:vAlign w:val="bottom"/>
            <w:hideMark/>
          </w:tcPr>
          <w:p w14:paraId="07CB4ABB" w14:textId="77777777" w:rsidR="00E91426" w:rsidRPr="00E91426" w:rsidRDefault="00E91426" w:rsidP="00E91426">
            <w:pPr>
              <w:widowControl/>
              <w:rPr>
                <w:rFonts w:ascii="Arial" w:eastAsia="Times New Roman" w:hAnsi="Arial" w:cs="Arial"/>
                <w:sz w:val="20"/>
                <w:szCs w:val="20"/>
                <w:lang w:val="en-GB" w:eastAsia="en-GB"/>
              </w:rPr>
            </w:pPr>
          </w:p>
        </w:tc>
        <w:tc>
          <w:tcPr>
            <w:tcW w:w="968" w:type="dxa"/>
            <w:tcBorders>
              <w:top w:val="nil"/>
              <w:left w:val="nil"/>
              <w:bottom w:val="nil"/>
              <w:right w:val="nil"/>
            </w:tcBorders>
            <w:vAlign w:val="bottom"/>
            <w:hideMark/>
          </w:tcPr>
          <w:p w14:paraId="1CFE8C47"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39E403C5" w14:textId="77777777" w:rsidTr="00E91426">
        <w:trPr>
          <w:gridAfter w:val="1"/>
          <w:wAfter w:w="60" w:type="dxa"/>
          <w:trHeight w:val="345"/>
        </w:trPr>
        <w:tc>
          <w:tcPr>
            <w:tcW w:w="9770" w:type="dxa"/>
            <w:gridSpan w:val="8"/>
            <w:tcBorders>
              <w:top w:val="nil"/>
              <w:left w:val="nil"/>
              <w:bottom w:val="nil"/>
              <w:right w:val="nil"/>
            </w:tcBorders>
            <w:vAlign w:val="bottom"/>
            <w:hideMark/>
          </w:tcPr>
          <w:p w14:paraId="0F408968" w14:textId="77777777" w:rsidR="00E91426" w:rsidRPr="00E91426" w:rsidRDefault="00E91426" w:rsidP="00E91426">
            <w:pPr>
              <w:widowControl/>
              <w:rPr>
                <w:rFonts w:ascii="Arial" w:eastAsia="Times New Roman" w:hAnsi="Arial" w:cs="Arial"/>
                <w:color w:val="000000"/>
                <w:sz w:val="18"/>
                <w:szCs w:val="18"/>
                <w:lang w:val="en-GB" w:eastAsia="en-GB"/>
              </w:rPr>
            </w:pPr>
            <w:r w:rsidRPr="00E91426">
              <w:rPr>
                <w:rFonts w:ascii="Arial" w:eastAsia="Times New Roman" w:hAnsi="Arial" w:cs="Arial"/>
                <w:color w:val="000000"/>
                <w:sz w:val="18"/>
                <w:szCs w:val="18"/>
                <w:vertAlign w:val="superscript"/>
                <w:lang w:val="en-GB" w:eastAsia="en-GB"/>
              </w:rPr>
              <w:t>1</w:t>
            </w:r>
            <w:r w:rsidRPr="00E91426">
              <w:rPr>
                <w:rFonts w:ascii="Arial" w:eastAsia="Times New Roman" w:hAnsi="Arial" w:cs="Arial"/>
                <w:color w:val="000000"/>
                <w:sz w:val="18"/>
                <w:szCs w:val="18"/>
                <w:lang w:val="en-GB" w:eastAsia="en-GB"/>
              </w:rPr>
              <w:t>Includes £1,729k of capital accruals (2023/24 £6,658k)</w:t>
            </w:r>
          </w:p>
        </w:tc>
      </w:tr>
      <w:tr w:rsidR="00E91426" w:rsidRPr="00E91426" w14:paraId="3A276880" w14:textId="77777777" w:rsidTr="00E91426">
        <w:trPr>
          <w:gridAfter w:val="1"/>
          <w:wAfter w:w="59" w:type="dxa"/>
          <w:trHeight w:val="690"/>
        </w:trPr>
        <w:tc>
          <w:tcPr>
            <w:tcW w:w="5059" w:type="dxa"/>
            <w:tcBorders>
              <w:top w:val="nil"/>
              <w:left w:val="nil"/>
              <w:bottom w:val="nil"/>
              <w:right w:val="nil"/>
            </w:tcBorders>
            <w:vAlign w:val="bottom"/>
            <w:hideMark/>
          </w:tcPr>
          <w:p w14:paraId="7B715DC0"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1037" w:type="dxa"/>
            <w:tcBorders>
              <w:top w:val="nil"/>
              <w:left w:val="nil"/>
              <w:bottom w:val="nil"/>
              <w:right w:val="nil"/>
            </w:tcBorders>
            <w:vAlign w:val="bottom"/>
            <w:hideMark/>
          </w:tcPr>
          <w:p w14:paraId="47269000" w14:textId="77777777" w:rsidR="00E91426" w:rsidRPr="00E91426" w:rsidRDefault="00E91426" w:rsidP="00E91426">
            <w:pPr>
              <w:widowControl/>
              <w:rPr>
                <w:rFonts w:ascii="Arial" w:eastAsia="Times New Roman" w:hAnsi="Arial" w:cs="Arial"/>
                <w:sz w:val="20"/>
                <w:szCs w:val="20"/>
                <w:lang w:val="en-GB" w:eastAsia="en-GB"/>
              </w:rPr>
            </w:pPr>
          </w:p>
        </w:tc>
        <w:tc>
          <w:tcPr>
            <w:tcW w:w="236" w:type="dxa"/>
            <w:tcBorders>
              <w:top w:val="nil"/>
              <w:left w:val="nil"/>
              <w:bottom w:val="nil"/>
              <w:right w:val="nil"/>
            </w:tcBorders>
            <w:vAlign w:val="bottom"/>
            <w:hideMark/>
          </w:tcPr>
          <w:p w14:paraId="2D6F3694" w14:textId="77777777" w:rsidR="00E91426" w:rsidRPr="00E91426" w:rsidRDefault="00E91426" w:rsidP="00E91426">
            <w:pPr>
              <w:widowControl/>
              <w:rPr>
                <w:rFonts w:ascii="Arial" w:eastAsia="Times New Roman" w:hAnsi="Arial" w:cs="Arial"/>
                <w:sz w:val="20"/>
                <w:szCs w:val="20"/>
                <w:lang w:val="en-GB" w:eastAsia="en-GB"/>
              </w:rPr>
            </w:pPr>
          </w:p>
        </w:tc>
        <w:tc>
          <w:tcPr>
            <w:tcW w:w="961" w:type="dxa"/>
            <w:tcBorders>
              <w:top w:val="nil"/>
              <w:left w:val="nil"/>
              <w:bottom w:val="nil"/>
              <w:right w:val="nil"/>
            </w:tcBorders>
            <w:vAlign w:val="bottom"/>
            <w:hideMark/>
          </w:tcPr>
          <w:p w14:paraId="1E8D98CB" w14:textId="77777777" w:rsidR="00E91426" w:rsidRPr="00E91426" w:rsidRDefault="00E91426" w:rsidP="00E91426">
            <w:pPr>
              <w:widowControl/>
              <w:rPr>
                <w:rFonts w:ascii="Arial" w:eastAsia="Times New Roman" w:hAnsi="Arial" w:cs="Arial"/>
                <w:sz w:val="20"/>
                <w:szCs w:val="20"/>
                <w:lang w:val="en-GB" w:eastAsia="en-GB"/>
              </w:rPr>
            </w:pPr>
          </w:p>
        </w:tc>
        <w:tc>
          <w:tcPr>
            <w:tcW w:w="236" w:type="dxa"/>
            <w:tcBorders>
              <w:top w:val="nil"/>
              <w:left w:val="nil"/>
              <w:bottom w:val="nil"/>
              <w:right w:val="nil"/>
            </w:tcBorders>
            <w:vAlign w:val="bottom"/>
            <w:hideMark/>
          </w:tcPr>
          <w:p w14:paraId="392B7319" w14:textId="77777777" w:rsidR="00E91426" w:rsidRPr="00E91426" w:rsidRDefault="00E91426" w:rsidP="00E91426">
            <w:pPr>
              <w:widowControl/>
              <w:rPr>
                <w:rFonts w:ascii="Arial" w:eastAsia="Times New Roman" w:hAnsi="Arial" w:cs="Arial"/>
                <w:sz w:val="20"/>
                <w:szCs w:val="20"/>
                <w:lang w:val="en-GB" w:eastAsia="en-GB"/>
              </w:rPr>
            </w:pPr>
          </w:p>
        </w:tc>
        <w:tc>
          <w:tcPr>
            <w:tcW w:w="1038" w:type="dxa"/>
            <w:tcBorders>
              <w:top w:val="nil"/>
              <w:left w:val="nil"/>
              <w:bottom w:val="nil"/>
              <w:right w:val="nil"/>
            </w:tcBorders>
            <w:vAlign w:val="bottom"/>
            <w:hideMark/>
          </w:tcPr>
          <w:p w14:paraId="52EB4745" w14:textId="77777777" w:rsidR="00E91426" w:rsidRPr="00E91426" w:rsidRDefault="00E91426" w:rsidP="00E91426">
            <w:pPr>
              <w:widowControl/>
              <w:rPr>
                <w:rFonts w:ascii="Arial" w:eastAsia="Times New Roman" w:hAnsi="Arial" w:cs="Arial"/>
                <w:sz w:val="20"/>
                <w:szCs w:val="20"/>
                <w:lang w:val="en-GB" w:eastAsia="en-GB"/>
              </w:rPr>
            </w:pPr>
          </w:p>
        </w:tc>
        <w:tc>
          <w:tcPr>
            <w:tcW w:w="236" w:type="dxa"/>
            <w:tcBorders>
              <w:top w:val="nil"/>
              <w:left w:val="nil"/>
              <w:bottom w:val="nil"/>
              <w:right w:val="nil"/>
            </w:tcBorders>
            <w:vAlign w:val="bottom"/>
            <w:hideMark/>
          </w:tcPr>
          <w:p w14:paraId="2719FCF5" w14:textId="77777777" w:rsidR="00E91426" w:rsidRPr="00E91426" w:rsidRDefault="00E91426" w:rsidP="00E91426">
            <w:pPr>
              <w:widowControl/>
              <w:rPr>
                <w:rFonts w:ascii="Arial" w:eastAsia="Times New Roman" w:hAnsi="Arial" w:cs="Arial"/>
                <w:sz w:val="20"/>
                <w:szCs w:val="20"/>
                <w:lang w:val="en-GB" w:eastAsia="en-GB"/>
              </w:rPr>
            </w:pPr>
          </w:p>
        </w:tc>
        <w:tc>
          <w:tcPr>
            <w:tcW w:w="968" w:type="dxa"/>
            <w:tcBorders>
              <w:top w:val="nil"/>
              <w:left w:val="nil"/>
              <w:bottom w:val="nil"/>
              <w:right w:val="nil"/>
            </w:tcBorders>
            <w:vAlign w:val="bottom"/>
            <w:hideMark/>
          </w:tcPr>
          <w:p w14:paraId="2B0A0325"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1F9DE653" w14:textId="77777777" w:rsidTr="00E91426">
        <w:trPr>
          <w:gridAfter w:val="1"/>
          <w:wAfter w:w="59" w:type="dxa"/>
          <w:trHeight w:val="282"/>
        </w:trPr>
        <w:tc>
          <w:tcPr>
            <w:tcW w:w="5059" w:type="dxa"/>
            <w:tcBorders>
              <w:top w:val="nil"/>
              <w:left w:val="nil"/>
              <w:bottom w:val="nil"/>
              <w:right w:val="nil"/>
            </w:tcBorders>
            <w:noWrap/>
            <w:vAlign w:val="bottom"/>
            <w:hideMark/>
          </w:tcPr>
          <w:p w14:paraId="14E0C9F9"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Note 18.1 Better Payment Practice Code</w:t>
            </w:r>
          </w:p>
        </w:tc>
        <w:tc>
          <w:tcPr>
            <w:tcW w:w="1037" w:type="dxa"/>
            <w:tcBorders>
              <w:top w:val="nil"/>
              <w:left w:val="nil"/>
              <w:bottom w:val="nil"/>
              <w:right w:val="nil"/>
            </w:tcBorders>
            <w:vAlign w:val="bottom"/>
            <w:hideMark/>
          </w:tcPr>
          <w:p w14:paraId="0EB11646"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236" w:type="dxa"/>
            <w:tcBorders>
              <w:top w:val="nil"/>
              <w:left w:val="nil"/>
              <w:bottom w:val="nil"/>
              <w:right w:val="nil"/>
            </w:tcBorders>
            <w:vAlign w:val="bottom"/>
            <w:hideMark/>
          </w:tcPr>
          <w:p w14:paraId="3AB0337A" w14:textId="77777777" w:rsidR="00E91426" w:rsidRPr="00E91426" w:rsidRDefault="00E91426" w:rsidP="00E91426">
            <w:pPr>
              <w:widowControl/>
              <w:rPr>
                <w:rFonts w:ascii="Arial" w:eastAsia="Times New Roman" w:hAnsi="Arial" w:cs="Arial"/>
                <w:sz w:val="20"/>
                <w:szCs w:val="20"/>
                <w:lang w:val="en-GB" w:eastAsia="en-GB"/>
              </w:rPr>
            </w:pPr>
          </w:p>
        </w:tc>
        <w:tc>
          <w:tcPr>
            <w:tcW w:w="961" w:type="dxa"/>
            <w:tcBorders>
              <w:top w:val="nil"/>
              <w:left w:val="nil"/>
              <w:bottom w:val="nil"/>
              <w:right w:val="nil"/>
            </w:tcBorders>
            <w:vAlign w:val="bottom"/>
            <w:hideMark/>
          </w:tcPr>
          <w:p w14:paraId="14B3A411" w14:textId="77777777" w:rsidR="00E91426" w:rsidRPr="00E91426" w:rsidRDefault="00E91426" w:rsidP="00E91426">
            <w:pPr>
              <w:widowControl/>
              <w:rPr>
                <w:rFonts w:ascii="Arial" w:eastAsia="Times New Roman" w:hAnsi="Arial" w:cs="Arial"/>
                <w:sz w:val="20"/>
                <w:szCs w:val="20"/>
                <w:lang w:val="en-GB" w:eastAsia="en-GB"/>
              </w:rPr>
            </w:pPr>
          </w:p>
        </w:tc>
        <w:tc>
          <w:tcPr>
            <w:tcW w:w="236" w:type="dxa"/>
            <w:tcBorders>
              <w:top w:val="nil"/>
              <w:left w:val="nil"/>
              <w:bottom w:val="nil"/>
              <w:right w:val="nil"/>
            </w:tcBorders>
            <w:vAlign w:val="bottom"/>
            <w:hideMark/>
          </w:tcPr>
          <w:p w14:paraId="4AA9E45C" w14:textId="77777777" w:rsidR="00E91426" w:rsidRPr="00E91426" w:rsidRDefault="00E91426" w:rsidP="00E91426">
            <w:pPr>
              <w:widowControl/>
              <w:rPr>
                <w:rFonts w:ascii="Arial" w:eastAsia="Times New Roman" w:hAnsi="Arial" w:cs="Arial"/>
                <w:sz w:val="20"/>
                <w:szCs w:val="20"/>
                <w:lang w:val="en-GB" w:eastAsia="en-GB"/>
              </w:rPr>
            </w:pPr>
          </w:p>
        </w:tc>
        <w:tc>
          <w:tcPr>
            <w:tcW w:w="1038" w:type="dxa"/>
            <w:tcBorders>
              <w:top w:val="nil"/>
              <w:left w:val="nil"/>
              <w:bottom w:val="nil"/>
              <w:right w:val="nil"/>
            </w:tcBorders>
            <w:vAlign w:val="bottom"/>
            <w:hideMark/>
          </w:tcPr>
          <w:p w14:paraId="72AA827F" w14:textId="77777777" w:rsidR="00E91426" w:rsidRPr="00E91426" w:rsidRDefault="00E91426" w:rsidP="00E91426">
            <w:pPr>
              <w:widowControl/>
              <w:rPr>
                <w:rFonts w:ascii="Arial" w:eastAsia="Times New Roman" w:hAnsi="Arial" w:cs="Arial"/>
                <w:sz w:val="20"/>
                <w:szCs w:val="20"/>
                <w:lang w:val="en-GB" w:eastAsia="en-GB"/>
              </w:rPr>
            </w:pPr>
          </w:p>
        </w:tc>
        <w:tc>
          <w:tcPr>
            <w:tcW w:w="236" w:type="dxa"/>
            <w:tcBorders>
              <w:top w:val="nil"/>
              <w:left w:val="nil"/>
              <w:bottom w:val="nil"/>
              <w:right w:val="nil"/>
            </w:tcBorders>
            <w:vAlign w:val="bottom"/>
            <w:hideMark/>
          </w:tcPr>
          <w:p w14:paraId="125D439E" w14:textId="77777777" w:rsidR="00E91426" w:rsidRPr="00E91426" w:rsidRDefault="00E91426" w:rsidP="00E91426">
            <w:pPr>
              <w:widowControl/>
              <w:rPr>
                <w:rFonts w:ascii="Arial" w:eastAsia="Times New Roman" w:hAnsi="Arial" w:cs="Arial"/>
                <w:sz w:val="20"/>
                <w:szCs w:val="20"/>
                <w:lang w:val="en-GB" w:eastAsia="en-GB"/>
              </w:rPr>
            </w:pPr>
          </w:p>
        </w:tc>
        <w:tc>
          <w:tcPr>
            <w:tcW w:w="968" w:type="dxa"/>
            <w:tcBorders>
              <w:top w:val="nil"/>
              <w:left w:val="nil"/>
              <w:bottom w:val="nil"/>
              <w:right w:val="nil"/>
            </w:tcBorders>
            <w:vAlign w:val="bottom"/>
            <w:hideMark/>
          </w:tcPr>
          <w:p w14:paraId="1EF7B315"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33F11552" w14:textId="77777777" w:rsidTr="00E91426">
        <w:trPr>
          <w:gridAfter w:val="1"/>
          <w:wAfter w:w="59" w:type="dxa"/>
          <w:trHeight w:val="282"/>
        </w:trPr>
        <w:tc>
          <w:tcPr>
            <w:tcW w:w="5059" w:type="dxa"/>
            <w:tcBorders>
              <w:top w:val="nil"/>
              <w:left w:val="nil"/>
              <w:bottom w:val="nil"/>
              <w:right w:val="nil"/>
            </w:tcBorders>
            <w:noWrap/>
            <w:vAlign w:val="bottom"/>
            <w:hideMark/>
          </w:tcPr>
          <w:p w14:paraId="0799D2C0" w14:textId="77777777" w:rsidR="00E91426" w:rsidRPr="00E91426" w:rsidRDefault="00E91426" w:rsidP="00E91426">
            <w:pPr>
              <w:widowControl/>
              <w:rPr>
                <w:rFonts w:ascii="Arial" w:eastAsia="Times New Roman" w:hAnsi="Arial" w:cs="Arial"/>
                <w:sz w:val="20"/>
                <w:szCs w:val="20"/>
                <w:lang w:val="en-GB" w:eastAsia="en-GB"/>
              </w:rPr>
            </w:pPr>
          </w:p>
        </w:tc>
        <w:tc>
          <w:tcPr>
            <w:tcW w:w="1037" w:type="dxa"/>
            <w:tcBorders>
              <w:top w:val="nil"/>
              <w:left w:val="nil"/>
              <w:bottom w:val="nil"/>
              <w:right w:val="nil"/>
            </w:tcBorders>
            <w:vAlign w:val="bottom"/>
            <w:hideMark/>
          </w:tcPr>
          <w:p w14:paraId="3336C600" w14:textId="77777777" w:rsidR="00E91426" w:rsidRPr="00E91426" w:rsidRDefault="00E91426" w:rsidP="00E91426">
            <w:pPr>
              <w:widowControl/>
              <w:rPr>
                <w:rFonts w:ascii="Arial" w:eastAsia="Times New Roman" w:hAnsi="Arial" w:cs="Arial"/>
                <w:sz w:val="20"/>
                <w:szCs w:val="20"/>
                <w:lang w:val="en-GB" w:eastAsia="en-GB"/>
              </w:rPr>
            </w:pPr>
          </w:p>
        </w:tc>
        <w:tc>
          <w:tcPr>
            <w:tcW w:w="236" w:type="dxa"/>
            <w:tcBorders>
              <w:top w:val="nil"/>
              <w:left w:val="nil"/>
              <w:bottom w:val="nil"/>
              <w:right w:val="nil"/>
            </w:tcBorders>
            <w:vAlign w:val="bottom"/>
            <w:hideMark/>
          </w:tcPr>
          <w:p w14:paraId="5756B4F5" w14:textId="77777777" w:rsidR="00E91426" w:rsidRPr="00E91426" w:rsidRDefault="00E91426" w:rsidP="00E91426">
            <w:pPr>
              <w:widowControl/>
              <w:rPr>
                <w:rFonts w:ascii="Arial" w:eastAsia="Times New Roman" w:hAnsi="Arial" w:cs="Arial"/>
                <w:sz w:val="20"/>
                <w:szCs w:val="20"/>
                <w:lang w:val="en-GB" w:eastAsia="en-GB"/>
              </w:rPr>
            </w:pPr>
          </w:p>
        </w:tc>
        <w:tc>
          <w:tcPr>
            <w:tcW w:w="961" w:type="dxa"/>
            <w:tcBorders>
              <w:top w:val="nil"/>
              <w:left w:val="nil"/>
              <w:bottom w:val="nil"/>
              <w:right w:val="nil"/>
            </w:tcBorders>
            <w:vAlign w:val="bottom"/>
            <w:hideMark/>
          </w:tcPr>
          <w:p w14:paraId="3468F55E" w14:textId="77777777" w:rsidR="00E91426" w:rsidRPr="00E91426" w:rsidRDefault="00E91426" w:rsidP="00E91426">
            <w:pPr>
              <w:widowControl/>
              <w:rPr>
                <w:rFonts w:ascii="Arial" w:eastAsia="Times New Roman" w:hAnsi="Arial" w:cs="Arial"/>
                <w:sz w:val="20"/>
                <w:szCs w:val="20"/>
                <w:lang w:val="en-GB" w:eastAsia="en-GB"/>
              </w:rPr>
            </w:pPr>
          </w:p>
        </w:tc>
        <w:tc>
          <w:tcPr>
            <w:tcW w:w="236" w:type="dxa"/>
            <w:tcBorders>
              <w:top w:val="nil"/>
              <w:left w:val="nil"/>
              <w:bottom w:val="nil"/>
              <w:right w:val="nil"/>
            </w:tcBorders>
            <w:vAlign w:val="bottom"/>
            <w:hideMark/>
          </w:tcPr>
          <w:p w14:paraId="3999F33C" w14:textId="77777777" w:rsidR="00E91426" w:rsidRPr="00E91426" w:rsidRDefault="00E91426" w:rsidP="00E91426">
            <w:pPr>
              <w:widowControl/>
              <w:rPr>
                <w:rFonts w:ascii="Arial" w:eastAsia="Times New Roman" w:hAnsi="Arial" w:cs="Arial"/>
                <w:sz w:val="20"/>
                <w:szCs w:val="20"/>
                <w:lang w:val="en-GB" w:eastAsia="en-GB"/>
              </w:rPr>
            </w:pPr>
          </w:p>
        </w:tc>
        <w:tc>
          <w:tcPr>
            <w:tcW w:w="1038" w:type="dxa"/>
            <w:tcBorders>
              <w:top w:val="nil"/>
              <w:left w:val="nil"/>
              <w:bottom w:val="nil"/>
              <w:right w:val="nil"/>
            </w:tcBorders>
            <w:vAlign w:val="bottom"/>
            <w:hideMark/>
          </w:tcPr>
          <w:p w14:paraId="621527B3" w14:textId="77777777" w:rsidR="00E91426" w:rsidRPr="00E91426" w:rsidRDefault="00E91426" w:rsidP="00E91426">
            <w:pPr>
              <w:widowControl/>
              <w:rPr>
                <w:rFonts w:ascii="Arial" w:eastAsia="Times New Roman" w:hAnsi="Arial" w:cs="Arial"/>
                <w:sz w:val="20"/>
                <w:szCs w:val="20"/>
                <w:lang w:val="en-GB" w:eastAsia="en-GB"/>
              </w:rPr>
            </w:pPr>
          </w:p>
        </w:tc>
        <w:tc>
          <w:tcPr>
            <w:tcW w:w="236" w:type="dxa"/>
            <w:tcBorders>
              <w:top w:val="nil"/>
              <w:left w:val="nil"/>
              <w:bottom w:val="nil"/>
              <w:right w:val="nil"/>
            </w:tcBorders>
            <w:vAlign w:val="bottom"/>
            <w:hideMark/>
          </w:tcPr>
          <w:p w14:paraId="60A0F53D" w14:textId="77777777" w:rsidR="00E91426" w:rsidRPr="00E91426" w:rsidRDefault="00E91426" w:rsidP="00E91426">
            <w:pPr>
              <w:widowControl/>
              <w:rPr>
                <w:rFonts w:ascii="Arial" w:eastAsia="Times New Roman" w:hAnsi="Arial" w:cs="Arial"/>
                <w:sz w:val="20"/>
                <w:szCs w:val="20"/>
                <w:lang w:val="en-GB" w:eastAsia="en-GB"/>
              </w:rPr>
            </w:pPr>
          </w:p>
        </w:tc>
        <w:tc>
          <w:tcPr>
            <w:tcW w:w="968" w:type="dxa"/>
            <w:tcBorders>
              <w:top w:val="nil"/>
              <w:left w:val="nil"/>
              <w:bottom w:val="nil"/>
              <w:right w:val="nil"/>
            </w:tcBorders>
            <w:vAlign w:val="bottom"/>
            <w:hideMark/>
          </w:tcPr>
          <w:p w14:paraId="19ECFEA1"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18E424CF" w14:textId="77777777" w:rsidTr="00E91426">
        <w:trPr>
          <w:gridAfter w:val="1"/>
          <w:wAfter w:w="59" w:type="dxa"/>
          <w:trHeight w:val="274"/>
        </w:trPr>
        <w:tc>
          <w:tcPr>
            <w:tcW w:w="5059" w:type="dxa"/>
            <w:tcBorders>
              <w:top w:val="nil"/>
              <w:left w:val="nil"/>
              <w:bottom w:val="nil"/>
              <w:right w:val="nil"/>
            </w:tcBorders>
            <w:noWrap/>
            <w:vAlign w:val="bottom"/>
            <w:hideMark/>
          </w:tcPr>
          <w:p w14:paraId="42CBB26C" w14:textId="77777777" w:rsidR="00E91426" w:rsidRPr="00E91426" w:rsidRDefault="00E91426" w:rsidP="00E91426">
            <w:pPr>
              <w:widowControl/>
              <w:rPr>
                <w:rFonts w:ascii="Arial" w:eastAsia="Times New Roman" w:hAnsi="Arial" w:cs="Arial"/>
                <w:sz w:val="20"/>
                <w:szCs w:val="20"/>
                <w:lang w:val="en-GB" w:eastAsia="en-GB"/>
              </w:rPr>
            </w:pPr>
          </w:p>
        </w:tc>
        <w:tc>
          <w:tcPr>
            <w:tcW w:w="1037" w:type="dxa"/>
            <w:tcBorders>
              <w:top w:val="nil"/>
              <w:left w:val="nil"/>
              <w:bottom w:val="nil"/>
              <w:right w:val="nil"/>
            </w:tcBorders>
            <w:vAlign w:val="bottom"/>
            <w:hideMark/>
          </w:tcPr>
          <w:p w14:paraId="1B88A59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2024/25</w:t>
            </w:r>
          </w:p>
        </w:tc>
        <w:tc>
          <w:tcPr>
            <w:tcW w:w="236" w:type="dxa"/>
            <w:tcBorders>
              <w:top w:val="nil"/>
              <w:left w:val="nil"/>
              <w:bottom w:val="nil"/>
              <w:right w:val="nil"/>
            </w:tcBorders>
            <w:vAlign w:val="bottom"/>
            <w:hideMark/>
          </w:tcPr>
          <w:p w14:paraId="644548DA"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61" w:type="dxa"/>
            <w:tcBorders>
              <w:top w:val="nil"/>
              <w:left w:val="nil"/>
              <w:bottom w:val="nil"/>
              <w:right w:val="nil"/>
            </w:tcBorders>
            <w:vAlign w:val="bottom"/>
            <w:hideMark/>
          </w:tcPr>
          <w:p w14:paraId="5108B97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2024/25</w:t>
            </w:r>
          </w:p>
        </w:tc>
        <w:tc>
          <w:tcPr>
            <w:tcW w:w="236" w:type="dxa"/>
            <w:tcBorders>
              <w:top w:val="nil"/>
              <w:left w:val="nil"/>
              <w:bottom w:val="nil"/>
              <w:right w:val="nil"/>
            </w:tcBorders>
            <w:vAlign w:val="bottom"/>
            <w:hideMark/>
          </w:tcPr>
          <w:p w14:paraId="56C02E7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038" w:type="dxa"/>
            <w:tcBorders>
              <w:top w:val="nil"/>
              <w:left w:val="nil"/>
              <w:bottom w:val="nil"/>
              <w:right w:val="nil"/>
            </w:tcBorders>
            <w:vAlign w:val="bottom"/>
            <w:hideMark/>
          </w:tcPr>
          <w:p w14:paraId="25C3B7CB"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2023/24</w:t>
            </w:r>
          </w:p>
        </w:tc>
        <w:tc>
          <w:tcPr>
            <w:tcW w:w="236" w:type="dxa"/>
            <w:tcBorders>
              <w:top w:val="nil"/>
              <w:left w:val="nil"/>
              <w:bottom w:val="nil"/>
              <w:right w:val="nil"/>
            </w:tcBorders>
            <w:vAlign w:val="bottom"/>
            <w:hideMark/>
          </w:tcPr>
          <w:p w14:paraId="606EA66F"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68" w:type="dxa"/>
            <w:tcBorders>
              <w:top w:val="nil"/>
              <w:left w:val="nil"/>
              <w:bottom w:val="nil"/>
              <w:right w:val="nil"/>
            </w:tcBorders>
            <w:vAlign w:val="bottom"/>
            <w:hideMark/>
          </w:tcPr>
          <w:p w14:paraId="0FF3D94D"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2023/24</w:t>
            </w:r>
          </w:p>
        </w:tc>
      </w:tr>
      <w:tr w:rsidR="00E91426" w:rsidRPr="00E91426" w14:paraId="2A8B02F5" w14:textId="77777777" w:rsidTr="00E91426">
        <w:trPr>
          <w:gridAfter w:val="1"/>
          <w:wAfter w:w="59" w:type="dxa"/>
          <w:trHeight w:val="274"/>
        </w:trPr>
        <w:tc>
          <w:tcPr>
            <w:tcW w:w="5059" w:type="dxa"/>
            <w:tcBorders>
              <w:top w:val="nil"/>
              <w:left w:val="nil"/>
              <w:bottom w:val="nil"/>
              <w:right w:val="nil"/>
            </w:tcBorders>
            <w:noWrap/>
            <w:vAlign w:val="bottom"/>
            <w:hideMark/>
          </w:tcPr>
          <w:p w14:paraId="0364D7C5"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037" w:type="dxa"/>
            <w:tcBorders>
              <w:top w:val="nil"/>
              <w:left w:val="nil"/>
              <w:bottom w:val="nil"/>
              <w:right w:val="nil"/>
            </w:tcBorders>
            <w:vAlign w:val="bottom"/>
            <w:hideMark/>
          </w:tcPr>
          <w:p w14:paraId="4EB64761"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Number</w:t>
            </w:r>
          </w:p>
        </w:tc>
        <w:tc>
          <w:tcPr>
            <w:tcW w:w="236" w:type="dxa"/>
            <w:tcBorders>
              <w:top w:val="nil"/>
              <w:left w:val="nil"/>
              <w:bottom w:val="nil"/>
              <w:right w:val="nil"/>
            </w:tcBorders>
            <w:vAlign w:val="bottom"/>
            <w:hideMark/>
          </w:tcPr>
          <w:p w14:paraId="41DD318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61" w:type="dxa"/>
            <w:tcBorders>
              <w:top w:val="nil"/>
              <w:left w:val="nil"/>
              <w:bottom w:val="nil"/>
              <w:right w:val="nil"/>
            </w:tcBorders>
            <w:vAlign w:val="bottom"/>
            <w:hideMark/>
          </w:tcPr>
          <w:p w14:paraId="5DC1C0FD"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236" w:type="dxa"/>
            <w:tcBorders>
              <w:top w:val="nil"/>
              <w:left w:val="nil"/>
              <w:bottom w:val="nil"/>
              <w:right w:val="nil"/>
            </w:tcBorders>
            <w:vAlign w:val="bottom"/>
            <w:hideMark/>
          </w:tcPr>
          <w:p w14:paraId="6D15858C"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038" w:type="dxa"/>
            <w:tcBorders>
              <w:top w:val="nil"/>
              <w:left w:val="nil"/>
              <w:bottom w:val="nil"/>
              <w:right w:val="nil"/>
            </w:tcBorders>
            <w:vAlign w:val="bottom"/>
            <w:hideMark/>
          </w:tcPr>
          <w:p w14:paraId="6DB12B51"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Number</w:t>
            </w:r>
          </w:p>
        </w:tc>
        <w:tc>
          <w:tcPr>
            <w:tcW w:w="236" w:type="dxa"/>
            <w:tcBorders>
              <w:top w:val="nil"/>
              <w:left w:val="nil"/>
              <w:bottom w:val="nil"/>
              <w:right w:val="nil"/>
            </w:tcBorders>
            <w:vAlign w:val="bottom"/>
            <w:hideMark/>
          </w:tcPr>
          <w:p w14:paraId="40D7AC2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68" w:type="dxa"/>
            <w:tcBorders>
              <w:top w:val="nil"/>
              <w:left w:val="nil"/>
              <w:bottom w:val="nil"/>
              <w:right w:val="nil"/>
            </w:tcBorders>
            <w:vAlign w:val="bottom"/>
            <w:hideMark/>
          </w:tcPr>
          <w:p w14:paraId="2CF4130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r>
      <w:tr w:rsidR="00E91426" w:rsidRPr="00E91426" w14:paraId="3370E572" w14:textId="77777777" w:rsidTr="00E91426">
        <w:trPr>
          <w:gridAfter w:val="1"/>
          <w:wAfter w:w="59" w:type="dxa"/>
          <w:trHeight w:val="274"/>
        </w:trPr>
        <w:tc>
          <w:tcPr>
            <w:tcW w:w="5059" w:type="dxa"/>
            <w:tcBorders>
              <w:top w:val="nil"/>
              <w:left w:val="nil"/>
              <w:bottom w:val="nil"/>
              <w:right w:val="nil"/>
            </w:tcBorders>
            <w:noWrap/>
            <w:vAlign w:val="bottom"/>
            <w:hideMark/>
          </w:tcPr>
          <w:p w14:paraId="31FD3DCE"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Non-NHS Payables</w:t>
            </w:r>
          </w:p>
        </w:tc>
        <w:tc>
          <w:tcPr>
            <w:tcW w:w="1037" w:type="dxa"/>
            <w:tcBorders>
              <w:top w:val="nil"/>
              <w:left w:val="nil"/>
              <w:bottom w:val="nil"/>
              <w:right w:val="nil"/>
            </w:tcBorders>
            <w:noWrap/>
            <w:vAlign w:val="bottom"/>
            <w:hideMark/>
          </w:tcPr>
          <w:p w14:paraId="5B38E8A4"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236" w:type="dxa"/>
            <w:tcBorders>
              <w:top w:val="nil"/>
              <w:left w:val="nil"/>
              <w:bottom w:val="nil"/>
              <w:right w:val="nil"/>
            </w:tcBorders>
            <w:noWrap/>
            <w:vAlign w:val="bottom"/>
            <w:hideMark/>
          </w:tcPr>
          <w:p w14:paraId="3141CF7E" w14:textId="77777777" w:rsidR="00E91426" w:rsidRPr="00E91426" w:rsidRDefault="00E91426" w:rsidP="00E91426">
            <w:pPr>
              <w:widowControl/>
              <w:rPr>
                <w:rFonts w:ascii="Arial" w:eastAsia="Times New Roman" w:hAnsi="Arial" w:cs="Arial"/>
                <w:sz w:val="20"/>
                <w:szCs w:val="20"/>
                <w:lang w:val="en-GB" w:eastAsia="en-GB"/>
              </w:rPr>
            </w:pPr>
          </w:p>
        </w:tc>
        <w:tc>
          <w:tcPr>
            <w:tcW w:w="961" w:type="dxa"/>
            <w:tcBorders>
              <w:top w:val="nil"/>
              <w:left w:val="nil"/>
              <w:bottom w:val="nil"/>
              <w:right w:val="nil"/>
            </w:tcBorders>
            <w:vAlign w:val="bottom"/>
            <w:hideMark/>
          </w:tcPr>
          <w:p w14:paraId="44C1EE8A" w14:textId="77777777" w:rsidR="00E91426" w:rsidRPr="00E91426" w:rsidRDefault="00E91426" w:rsidP="00E91426">
            <w:pPr>
              <w:widowControl/>
              <w:rPr>
                <w:rFonts w:ascii="Arial" w:eastAsia="Times New Roman" w:hAnsi="Arial" w:cs="Arial"/>
                <w:sz w:val="20"/>
                <w:szCs w:val="20"/>
                <w:lang w:val="en-GB" w:eastAsia="en-GB"/>
              </w:rPr>
            </w:pPr>
          </w:p>
        </w:tc>
        <w:tc>
          <w:tcPr>
            <w:tcW w:w="236" w:type="dxa"/>
            <w:tcBorders>
              <w:top w:val="nil"/>
              <w:left w:val="nil"/>
              <w:bottom w:val="nil"/>
              <w:right w:val="nil"/>
            </w:tcBorders>
            <w:vAlign w:val="bottom"/>
            <w:hideMark/>
          </w:tcPr>
          <w:p w14:paraId="5EE8EED6" w14:textId="77777777" w:rsidR="00E91426" w:rsidRPr="00E91426" w:rsidRDefault="00E91426" w:rsidP="00E91426">
            <w:pPr>
              <w:widowControl/>
              <w:rPr>
                <w:rFonts w:ascii="Arial" w:eastAsia="Times New Roman" w:hAnsi="Arial" w:cs="Arial"/>
                <w:sz w:val="20"/>
                <w:szCs w:val="20"/>
                <w:lang w:val="en-GB" w:eastAsia="en-GB"/>
              </w:rPr>
            </w:pPr>
          </w:p>
        </w:tc>
        <w:tc>
          <w:tcPr>
            <w:tcW w:w="1038" w:type="dxa"/>
            <w:tcBorders>
              <w:top w:val="nil"/>
              <w:left w:val="nil"/>
              <w:bottom w:val="nil"/>
              <w:right w:val="nil"/>
            </w:tcBorders>
            <w:vAlign w:val="bottom"/>
            <w:hideMark/>
          </w:tcPr>
          <w:p w14:paraId="291F6541" w14:textId="77777777" w:rsidR="00E91426" w:rsidRPr="00E91426" w:rsidRDefault="00E91426" w:rsidP="00E91426">
            <w:pPr>
              <w:widowControl/>
              <w:rPr>
                <w:rFonts w:ascii="Arial" w:eastAsia="Times New Roman" w:hAnsi="Arial" w:cs="Arial"/>
                <w:sz w:val="20"/>
                <w:szCs w:val="20"/>
                <w:lang w:val="en-GB" w:eastAsia="en-GB"/>
              </w:rPr>
            </w:pPr>
          </w:p>
        </w:tc>
        <w:tc>
          <w:tcPr>
            <w:tcW w:w="236" w:type="dxa"/>
            <w:tcBorders>
              <w:top w:val="nil"/>
              <w:left w:val="nil"/>
              <w:bottom w:val="nil"/>
              <w:right w:val="nil"/>
            </w:tcBorders>
            <w:vAlign w:val="bottom"/>
            <w:hideMark/>
          </w:tcPr>
          <w:p w14:paraId="347C3C77" w14:textId="77777777" w:rsidR="00E91426" w:rsidRPr="00E91426" w:rsidRDefault="00E91426" w:rsidP="00E91426">
            <w:pPr>
              <w:widowControl/>
              <w:rPr>
                <w:rFonts w:ascii="Arial" w:eastAsia="Times New Roman" w:hAnsi="Arial" w:cs="Arial"/>
                <w:sz w:val="20"/>
                <w:szCs w:val="20"/>
                <w:lang w:val="en-GB" w:eastAsia="en-GB"/>
              </w:rPr>
            </w:pPr>
          </w:p>
        </w:tc>
        <w:tc>
          <w:tcPr>
            <w:tcW w:w="968" w:type="dxa"/>
            <w:tcBorders>
              <w:top w:val="nil"/>
              <w:left w:val="nil"/>
              <w:bottom w:val="nil"/>
              <w:right w:val="nil"/>
            </w:tcBorders>
            <w:noWrap/>
            <w:vAlign w:val="bottom"/>
            <w:hideMark/>
          </w:tcPr>
          <w:p w14:paraId="1D287082"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2FDCFBA6" w14:textId="77777777" w:rsidTr="00E91426">
        <w:trPr>
          <w:gridAfter w:val="1"/>
          <w:wAfter w:w="59" w:type="dxa"/>
          <w:trHeight w:val="420"/>
        </w:trPr>
        <w:tc>
          <w:tcPr>
            <w:tcW w:w="5059" w:type="dxa"/>
            <w:tcBorders>
              <w:top w:val="nil"/>
              <w:left w:val="nil"/>
              <w:bottom w:val="nil"/>
              <w:right w:val="nil"/>
            </w:tcBorders>
            <w:noWrap/>
            <w:vAlign w:val="bottom"/>
            <w:hideMark/>
          </w:tcPr>
          <w:p w14:paraId="0D1F256D"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Total non-NHS trade invoices paid in the year</w:t>
            </w:r>
          </w:p>
        </w:tc>
        <w:tc>
          <w:tcPr>
            <w:tcW w:w="1037" w:type="dxa"/>
            <w:tcBorders>
              <w:top w:val="nil"/>
              <w:left w:val="nil"/>
              <w:bottom w:val="nil"/>
              <w:right w:val="nil"/>
            </w:tcBorders>
            <w:vAlign w:val="bottom"/>
            <w:hideMark/>
          </w:tcPr>
          <w:p w14:paraId="7EEB865C"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62,516</w:t>
            </w:r>
          </w:p>
        </w:tc>
        <w:tc>
          <w:tcPr>
            <w:tcW w:w="236" w:type="dxa"/>
            <w:tcBorders>
              <w:top w:val="nil"/>
              <w:left w:val="nil"/>
              <w:bottom w:val="nil"/>
              <w:right w:val="nil"/>
            </w:tcBorders>
            <w:vAlign w:val="bottom"/>
            <w:hideMark/>
          </w:tcPr>
          <w:p w14:paraId="2C8E675E"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961" w:type="dxa"/>
            <w:tcBorders>
              <w:top w:val="nil"/>
              <w:left w:val="nil"/>
              <w:bottom w:val="nil"/>
              <w:right w:val="nil"/>
            </w:tcBorders>
            <w:vAlign w:val="bottom"/>
            <w:hideMark/>
          </w:tcPr>
          <w:p w14:paraId="6E204302"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156,559</w:t>
            </w:r>
          </w:p>
        </w:tc>
        <w:tc>
          <w:tcPr>
            <w:tcW w:w="236" w:type="dxa"/>
            <w:tcBorders>
              <w:top w:val="nil"/>
              <w:left w:val="nil"/>
              <w:bottom w:val="nil"/>
              <w:right w:val="nil"/>
            </w:tcBorders>
            <w:vAlign w:val="bottom"/>
            <w:hideMark/>
          </w:tcPr>
          <w:p w14:paraId="66B796F7"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38" w:type="dxa"/>
            <w:tcBorders>
              <w:top w:val="nil"/>
              <w:left w:val="nil"/>
              <w:bottom w:val="nil"/>
              <w:right w:val="nil"/>
            </w:tcBorders>
            <w:noWrap/>
            <w:vAlign w:val="bottom"/>
            <w:hideMark/>
          </w:tcPr>
          <w:p w14:paraId="2C2769A8"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66,316</w:t>
            </w:r>
          </w:p>
        </w:tc>
        <w:tc>
          <w:tcPr>
            <w:tcW w:w="236" w:type="dxa"/>
            <w:tcBorders>
              <w:top w:val="nil"/>
              <w:left w:val="nil"/>
              <w:bottom w:val="nil"/>
              <w:right w:val="nil"/>
            </w:tcBorders>
            <w:noWrap/>
            <w:vAlign w:val="bottom"/>
            <w:hideMark/>
          </w:tcPr>
          <w:p w14:paraId="7F0D2965"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968" w:type="dxa"/>
            <w:tcBorders>
              <w:top w:val="nil"/>
              <w:left w:val="nil"/>
              <w:bottom w:val="nil"/>
              <w:right w:val="nil"/>
            </w:tcBorders>
            <w:vAlign w:val="bottom"/>
            <w:hideMark/>
          </w:tcPr>
          <w:p w14:paraId="36F9FFF4"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148,397</w:t>
            </w:r>
          </w:p>
        </w:tc>
      </w:tr>
      <w:tr w:rsidR="00E91426" w:rsidRPr="00E91426" w14:paraId="0A3FD897" w14:textId="77777777" w:rsidTr="00E91426">
        <w:trPr>
          <w:gridAfter w:val="1"/>
          <w:wAfter w:w="59" w:type="dxa"/>
          <w:trHeight w:val="274"/>
        </w:trPr>
        <w:tc>
          <w:tcPr>
            <w:tcW w:w="5059" w:type="dxa"/>
            <w:tcBorders>
              <w:top w:val="nil"/>
              <w:left w:val="nil"/>
              <w:bottom w:val="nil"/>
              <w:right w:val="nil"/>
            </w:tcBorders>
            <w:noWrap/>
            <w:vAlign w:val="bottom"/>
            <w:hideMark/>
          </w:tcPr>
          <w:p w14:paraId="4BAED822"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Total non-NHS trade invoices paid within target</w:t>
            </w:r>
          </w:p>
        </w:tc>
        <w:tc>
          <w:tcPr>
            <w:tcW w:w="1037" w:type="dxa"/>
            <w:tcBorders>
              <w:top w:val="nil"/>
              <w:left w:val="nil"/>
              <w:bottom w:val="nil"/>
              <w:right w:val="nil"/>
            </w:tcBorders>
            <w:noWrap/>
            <w:vAlign w:val="bottom"/>
            <w:hideMark/>
          </w:tcPr>
          <w:p w14:paraId="0DA67F79"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55,446</w:t>
            </w:r>
          </w:p>
        </w:tc>
        <w:tc>
          <w:tcPr>
            <w:tcW w:w="236" w:type="dxa"/>
            <w:tcBorders>
              <w:top w:val="nil"/>
              <w:left w:val="nil"/>
              <w:bottom w:val="nil"/>
              <w:right w:val="nil"/>
            </w:tcBorders>
            <w:noWrap/>
            <w:vAlign w:val="bottom"/>
            <w:hideMark/>
          </w:tcPr>
          <w:p w14:paraId="477506BE"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961" w:type="dxa"/>
            <w:tcBorders>
              <w:top w:val="nil"/>
              <w:left w:val="nil"/>
              <w:bottom w:val="nil"/>
              <w:right w:val="nil"/>
            </w:tcBorders>
            <w:vAlign w:val="bottom"/>
            <w:hideMark/>
          </w:tcPr>
          <w:p w14:paraId="6F90934B"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142,882</w:t>
            </w:r>
          </w:p>
        </w:tc>
        <w:tc>
          <w:tcPr>
            <w:tcW w:w="236" w:type="dxa"/>
            <w:tcBorders>
              <w:top w:val="nil"/>
              <w:left w:val="nil"/>
              <w:bottom w:val="nil"/>
              <w:right w:val="nil"/>
            </w:tcBorders>
            <w:vAlign w:val="bottom"/>
            <w:hideMark/>
          </w:tcPr>
          <w:p w14:paraId="186F9025"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38" w:type="dxa"/>
            <w:tcBorders>
              <w:top w:val="nil"/>
              <w:left w:val="nil"/>
              <w:bottom w:val="nil"/>
              <w:right w:val="nil"/>
            </w:tcBorders>
            <w:noWrap/>
            <w:vAlign w:val="bottom"/>
            <w:hideMark/>
          </w:tcPr>
          <w:p w14:paraId="0AF9A480"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63,656</w:t>
            </w:r>
          </w:p>
        </w:tc>
        <w:tc>
          <w:tcPr>
            <w:tcW w:w="236" w:type="dxa"/>
            <w:tcBorders>
              <w:top w:val="nil"/>
              <w:left w:val="nil"/>
              <w:bottom w:val="nil"/>
              <w:right w:val="nil"/>
            </w:tcBorders>
            <w:noWrap/>
            <w:vAlign w:val="bottom"/>
            <w:hideMark/>
          </w:tcPr>
          <w:p w14:paraId="262879CD"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968" w:type="dxa"/>
            <w:tcBorders>
              <w:top w:val="nil"/>
              <w:left w:val="nil"/>
              <w:bottom w:val="nil"/>
              <w:right w:val="nil"/>
            </w:tcBorders>
            <w:vAlign w:val="bottom"/>
            <w:hideMark/>
          </w:tcPr>
          <w:p w14:paraId="79D562E5"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144,198</w:t>
            </w:r>
          </w:p>
        </w:tc>
      </w:tr>
      <w:tr w:rsidR="00E91426" w:rsidRPr="00E91426" w14:paraId="7D3A9571" w14:textId="77777777" w:rsidTr="00E91426">
        <w:trPr>
          <w:gridAfter w:val="1"/>
          <w:wAfter w:w="59" w:type="dxa"/>
          <w:trHeight w:val="270"/>
        </w:trPr>
        <w:tc>
          <w:tcPr>
            <w:tcW w:w="5059" w:type="dxa"/>
            <w:tcBorders>
              <w:top w:val="nil"/>
              <w:left w:val="nil"/>
              <w:bottom w:val="nil"/>
              <w:right w:val="nil"/>
            </w:tcBorders>
            <w:vAlign w:val="bottom"/>
            <w:hideMark/>
          </w:tcPr>
          <w:p w14:paraId="4E64D3D3"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Percentage of non-NHS trade invoices paid within target</w:t>
            </w:r>
          </w:p>
        </w:tc>
        <w:tc>
          <w:tcPr>
            <w:tcW w:w="1037" w:type="dxa"/>
            <w:tcBorders>
              <w:top w:val="single" w:sz="4" w:space="0" w:color="auto"/>
              <w:left w:val="nil"/>
              <w:bottom w:val="double" w:sz="6" w:space="0" w:color="auto"/>
              <w:right w:val="nil"/>
            </w:tcBorders>
            <w:noWrap/>
            <w:vAlign w:val="bottom"/>
            <w:hideMark/>
          </w:tcPr>
          <w:p w14:paraId="0D1F1D9F"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88.7%</w:t>
            </w:r>
          </w:p>
        </w:tc>
        <w:tc>
          <w:tcPr>
            <w:tcW w:w="236" w:type="dxa"/>
            <w:tcBorders>
              <w:top w:val="nil"/>
              <w:left w:val="nil"/>
              <w:bottom w:val="nil"/>
              <w:right w:val="nil"/>
            </w:tcBorders>
            <w:noWrap/>
            <w:vAlign w:val="bottom"/>
            <w:hideMark/>
          </w:tcPr>
          <w:p w14:paraId="7DC019AD"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961" w:type="dxa"/>
            <w:tcBorders>
              <w:top w:val="single" w:sz="4" w:space="0" w:color="auto"/>
              <w:left w:val="nil"/>
              <w:bottom w:val="double" w:sz="6" w:space="0" w:color="auto"/>
              <w:right w:val="nil"/>
            </w:tcBorders>
            <w:noWrap/>
            <w:vAlign w:val="bottom"/>
            <w:hideMark/>
          </w:tcPr>
          <w:p w14:paraId="4DA5F589"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91.3%</w:t>
            </w:r>
          </w:p>
        </w:tc>
        <w:tc>
          <w:tcPr>
            <w:tcW w:w="236" w:type="dxa"/>
            <w:tcBorders>
              <w:top w:val="nil"/>
              <w:left w:val="nil"/>
              <w:bottom w:val="nil"/>
              <w:right w:val="nil"/>
            </w:tcBorders>
            <w:noWrap/>
            <w:vAlign w:val="bottom"/>
            <w:hideMark/>
          </w:tcPr>
          <w:p w14:paraId="72C973FD"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38" w:type="dxa"/>
            <w:tcBorders>
              <w:top w:val="single" w:sz="4" w:space="0" w:color="auto"/>
              <w:left w:val="nil"/>
              <w:bottom w:val="double" w:sz="6" w:space="0" w:color="auto"/>
              <w:right w:val="nil"/>
            </w:tcBorders>
            <w:noWrap/>
            <w:vAlign w:val="bottom"/>
            <w:hideMark/>
          </w:tcPr>
          <w:p w14:paraId="3573AE57"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96.0%</w:t>
            </w:r>
          </w:p>
        </w:tc>
        <w:tc>
          <w:tcPr>
            <w:tcW w:w="236" w:type="dxa"/>
            <w:tcBorders>
              <w:top w:val="nil"/>
              <w:left w:val="nil"/>
              <w:bottom w:val="nil"/>
              <w:right w:val="nil"/>
            </w:tcBorders>
            <w:noWrap/>
            <w:vAlign w:val="bottom"/>
            <w:hideMark/>
          </w:tcPr>
          <w:p w14:paraId="31F41C25"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968" w:type="dxa"/>
            <w:tcBorders>
              <w:top w:val="single" w:sz="4" w:space="0" w:color="auto"/>
              <w:left w:val="nil"/>
              <w:bottom w:val="double" w:sz="6" w:space="0" w:color="auto"/>
              <w:right w:val="nil"/>
            </w:tcBorders>
            <w:noWrap/>
            <w:vAlign w:val="bottom"/>
            <w:hideMark/>
          </w:tcPr>
          <w:p w14:paraId="7CE8776D"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97.2%</w:t>
            </w:r>
          </w:p>
        </w:tc>
      </w:tr>
      <w:tr w:rsidR="00E91426" w:rsidRPr="00E91426" w14:paraId="23E7D8F9" w14:textId="77777777" w:rsidTr="00E91426">
        <w:trPr>
          <w:gridAfter w:val="1"/>
          <w:wAfter w:w="59" w:type="dxa"/>
          <w:trHeight w:val="108"/>
        </w:trPr>
        <w:tc>
          <w:tcPr>
            <w:tcW w:w="5059" w:type="dxa"/>
            <w:tcBorders>
              <w:top w:val="nil"/>
              <w:left w:val="nil"/>
              <w:bottom w:val="nil"/>
              <w:right w:val="nil"/>
            </w:tcBorders>
            <w:noWrap/>
            <w:vAlign w:val="bottom"/>
            <w:hideMark/>
          </w:tcPr>
          <w:p w14:paraId="4B841233"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37" w:type="dxa"/>
            <w:tcBorders>
              <w:top w:val="nil"/>
              <w:left w:val="nil"/>
              <w:bottom w:val="nil"/>
              <w:right w:val="nil"/>
            </w:tcBorders>
            <w:noWrap/>
            <w:vAlign w:val="bottom"/>
            <w:hideMark/>
          </w:tcPr>
          <w:p w14:paraId="24BB1C00" w14:textId="77777777" w:rsidR="00E91426" w:rsidRPr="00E91426" w:rsidRDefault="00E91426" w:rsidP="00E91426">
            <w:pPr>
              <w:widowControl/>
              <w:rPr>
                <w:rFonts w:ascii="Arial" w:eastAsia="Times New Roman" w:hAnsi="Arial" w:cs="Arial"/>
                <w:sz w:val="20"/>
                <w:szCs w:val="20"/>
                <w:lang w:val="en-GB" w:eastAsia="en-GB"/>
              </w:rPr>
            </w:pPr>
          </w:p>
        </w:tc>
        <w:tc>
          <w:tcPr>
            <w:tcW w:w="236" w:type="dxa"/>
            <w:tcBorders>
              <w:top w:val="nil"/>
              <w:left w:val="nil"/>
              <w:bottom w:val="nil"/>
              <w:right w:val="nil"/>
            </w:tcBorders>
            <w:noWrap/>
            <w:vAlign w:val="bottom"/>
            <w:hideMark/>
          </w:tcPr>
          <w:p w14:paraId="392DEDF0" w14:textId="77777777" w:rsidR="00E91426" w:rsidRPr="00E91426" w:rsidRDefault="00E91426" w:rsidP="00E91426">
            <w:pPr>
              <w:widowControl/>
              <w:rPr>
                <w:rFonts w:ascii="Arial" w:eastAsia="Times New Roman" w:hAnsi="Arial" w:cs="Arial"/>
                <w:sz w:val="20"/>
                <w:szCs w:val="20"/>
                <w:lang w:val="en-GB" w:eastAsia="en-GB"/>
              </w:rPr>
            </w:pPr>
          </w:p>
        </w:tc>
        <w:tc>
          <w:tcPr>
            <w:tcW w:w="961" w:type="dxa"/>
            <w:tcBorders>
              <w:top w:val="nil"/>
              <w:left w:val="nil"/>
              <w:bottom w:val="nil"/>
              <w:right w:val="nil"/>
            </w:tcBorders>
            <w:vAlign w:val="bottom"/>
            <w:hideMark/>
          </w:tcPr>
          <w:p w14:paraId="320DE409" w14:textId="77777777" w:rsidR="00E91426" w:rsidRPr="00E91426" w:rsidRDefault="00E91426" w:rsidP="00E91426">
            <w:pPr>
              <w:widowControl/>
              <w:rPr>
                <w:rFonts w:ascii="Arial" w:eastAsia="Times New Roman" w:hAnsi="Arial" w:cs="Arial"/>
                <w:sz w:val="20"/>
                <w:szCs w:val="20"/>
                <w:lang w:val="en-GB" w:eastAsia="en-GB"/>
              </w:rPr>
            </w:pPr>
          </w:p>
        </w:tc>
        <w:tc>
          <w:tcPr>
            <w:tcW w:w="236" w:type="dxa"/>
            <w:tcBorders>
              <w:top w:val="nil"/>
              <w:left w:val="nil"/>
              <w:bottom w:val="nil"/>
              <w:right w:val="nil"/>
            </w:tcBorders>
            <w:noWrap/>
            <w:vAlign w:val="bottom"/>
            <w:hideMark/>
          </w:tcPr>
          <w:p w14:paraId="59F1EA8F" w14:textId="77777777" w:rsidR="00E91426" w:rsidRPr="00E91426" w:rsidRDefault="00E91426" w:rsidP="00E91426">
            <w:pPr>
              <w:widowControl/>
              <w:rPr>
                <w:rFonts w:ascii="Arial" w:eastAsia="Times New Roman" w:hAnsi="Arial" w:cs="Arial"/>
                <w:sz w:val="20"/>
                <w:szCs w:val="20"/>
                <w:lang w:val="en-GB" w:eastAsia="en-GB"/>
              </w:rPr>
            </w:pPr>
          </w:p>
        </w:tc>
        <w:tc>
          <w:tcPr>
            <w:tcW w:w="1038" w:type="dxa"/>
            <w:tcBorders>
              <w:top w:val="nil"/>
              <w:left w:val="nil"/>
              <w:bottom w:val="nil"/>
              <w:right w:val="nil"/>
            </w:tcBorders>
            <w:vAlign w:val="bottom"/>
            <w:hideMark/>
          </w:tcPr>
          <w:p w14:paraId="30C0601E" w14:textId="77777777" w:rsidR="00E91426" w:rsidRPr="00E91426" w:rsidRDefault="00E91426" w:rsidP="00E91426">
            <w:pPr>
              <w:widowControl/>
              <w:rPr>
                <w:rFonts w:ascii="Arial" w:eastAsia="Times New Roman" w:hAnsi="Arial" w:cs="Arial"/>
                <w:sz w:val="20"/>
                <w:szCs w:val="20"/>
                <w:lang w:val="en-GB" w:eastAsia="en-GB"/>
              </w:rPr>
            </w:pPr>
          </w:p>
        </w:tc>
        <w:tc>
          <w:tcPr>
            <w:tcW w:w="236" w:type="dxa"/>
            <w:tcBorders>
              <w:top w:val="nil"/>
              <w:left w:val="nil"/>
              <w:bottom w:val="nil"/>
              <w:right w:val="nil"/>
            </w:tcBorders>
            <w:noWrap/>
            <w:vAlign w:val="bottom"/>
            <w:hideMark/>
          </w:tcPr>
          <w:p w14:paraId="5F343584" w14:textId="77777777" w:rsidR="00E91426" w:rsidRPr="00E91426" w:rsidRDefault="00E91426" w:rsidP="00E91426">
            <w:pPr>
              <w:widowControl/>
              <w:rPr>
                <w:rFonts w:ascii="Arial" w:eastAsia="Times New Roman" w:hAnsi="Arial" w:cs="Arial"/>
                <w:sz w:val="20"/>
                <w:szCs w:val="20"/>
                <w:lang w:val="en-GB" w:eastAsia="en-GB"/>
              </w:rPr>
            </w:pPr>
          </w:p>
        </w:tc>
        <w:tc>
          <w:tcPr>
            <w:tcW w:w="968" w:type="dxa"/>
            <w:tcBorders>
              <w:top w:val="nil"/>
              <w:left w:val="nil"/>
              <w:bottom w:val="nil"/>
              <w:right w:val="nil"/>
            </w:tcBorders>
            <w:noWrap/>
            <w:vAlign w:val="bottom"/>
            <w:hideMark/>
          </w:tcPr>
          <w:p w14:paraId="70F5E1E4"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0003E388" w14:textId="77777777" w:rsidTr="00E91426">
        <w:trPr>
          <w:gridAfter w:val="1"/>
          <w:wAfter w:w="59" w:type="dxa"/>
          <w:trHeight w:val="274"/>
        </w:trPr>
        <w:tc>
          <w:tcPr>
            <w:tcW w:w="5059" w:type="dxa"/>
            <w:tcBorders>
              <w:top w:val="nil"/>
              <w:left w:val="nil"/>
              <w:bottom w:val="nil"/>
              <w:right w:val="nil"/>
            </w:tcBorders>
            <w:noWrap/>
            <w:vAlign w:val="bottom"/>
            <w:hideMark/>
          </w:tcPr>
          <w:p w14:paraId="107B86BA"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NHS Payables</w:t>
            </w:r>
          </w:p>
        </w:tc>
        <w:tc>
          <w:tcPr>
            <w:tcW w:w="1037" w:type="dxa"/>
            <w:tcBorders>
              <w:top w:val="nil"/>
              <w:left w:val="nil"/>
              <w:bottom w:val="nil"/>
              <w:right w:val="nil"/>
            </w:tcBorders>
            <w:noWrap/>
            <w:vAlign w:val="bottom"/>
            <w:hideMark/>
          </w:tcPr>
          <w:p w14:paraId="6DEC3EDF"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236" w:type="dxa"/>
            <w:tcBorders>
              <w:top w:val="nil"/>
              <w:left w:val="nil"/>
              <w:bottom w:val="nil"/>
              <w:right w:val="nil"/>
            </w:tcBorders>
            <w:noWrap/>
            <w:vAlign w:val="bottom"/>
            <w:hideMark/>
          </w:tcPr>
          <w:p w14:paraId="1B34DEC9" w14:textId="77777777" w:rsidR="00E91426" w:rsidRPr="00E91426" w:rsidRDefault="00E91426" w:rsidP="00E91426">
            <w:pPr>
              <w:widowControl/>
              <w:rPr>
                <w:rFonts w:ascii="Arial" w:eastAsia="Times New Roman" w:hAnsi="Arial" w:cs="Arial"/>
                <w:sz w:val="20"/>
                <w:szCs w:val="20"/>
                <w:lang w:val="en-GB" w:eastAsia="en-GB"/>
              </w:rPr>
            </w:pPr>
          </w:p>
        </w:tc>
        <w:tc>
          <w:tcPr>
            <w:tcW w:w="961" w:type="dxa"/>
            <w:tcBorders>
              <w:top w:val="nil"/>
              <w:left w:val="nil"/>
              <w:bottom w:val="nil"/>
              <w:right w:val="nil"/>
            </w:tcBorders>
            <w:vAlign w:val="bottom"/>
            <w:hideMark/>
          </w:tcPr>
          <w:p w14:paraId="56537C8A" w14:textId="77777777" w:rsidR="00E91426" w:rsidRPr="00E91426" w:rsidRDefault="00E91426" w:rsidP="00E91426">
            <w:pPr>
              <w:widowControl/>
              <w:rPr>
                <w:rFonts w:ascii="Arial" w:eastAsia="Times New Roman" w:hAnsi="Arial" w:cs="Arial"/>
                <w:sz w:val="20"/>
                <w:szCs w:val="20"/>
                <w:lang w:val="en-GB" w:eastAsia="en-GB"/>
              </w:rPr>
            </w:pPr>
          </w:p>
        </w:tc>
        <w:tc>
          <w:tcPr>
            <w:tcW w:w="236" w:type="dxa"/>
            <w:tcBorders>
              <w:top w:val="nil"/>
              <w:left w:val="nil"/>
              <w:bottom w:val="nil"/>
              <w:right w:val="nil"/>
            </w:tcBorders>
            <w:noWrap/>
            <w:vAlign w:val="bottom"/>
            <w:hideMark/>
          </w:tcPr>
          <w:p w14:paraId="5BDDAAD3" w14:textId="77777777" w:rsidR="00E91426" w:rsidRPr="00E91426" w:rsidRDefault="00E91426" w:rsidP="00E91426">
            <w:pPr>
              <w:widowControl/>
              <w:rPr>
                <w:rFonts w:ascii="Arial" w:eastAsia="Times New Roman" w:hAnsi="Arial" w:cs="Arial"/>
                <w:sz w:val="20"/>
                <w:szCs w:val="20"/>
                <w:lang w:val="en-GB" w:eastAsia="en-GB"/>
              </w:rPr>
            </w:pPr>
          </w:p>
        </w:tc>
        <w:tc>
          <w:tcPr>
            <w:tcW w:w="1038" w:type="dxa"/>
            <w:tcBorders>
              <w:top w:val="nil"/>
              <w:left w:val="nil"/>
              <w:bottom w:val="nil"/>
              <w:right w:val="nil"/>
            </w:tcBorders>
            <w:vAlign w:val="bottom"/>
            <w:hideMark/>
          </w:tcPr>
          <w:p w14:paraId="61EF41AF" w14:textId="77777777" w:rsidR="00E91426" w:rsidRPr="00E91426" w:rsidRDefault="00E91426" w:rsidP="00E91426">
            <w:pPr>
              <w:widowControl/>
              <w:rPr>
                <w:rFonts w:ascii="Arial" w:eastAsia="Times New Roman" w:hAnsi="Arial" w:cs="Arial"/>
                <w:sz w:val="20"/>
                <w:szCs w:val="20"/>
                <w:lang w:val="en-GB" w:eastAsia="en-GB"/>
              </w:rPr>
            </w:pPr>
          </w:p>
        </w:tc>
        <w:tc>
          <w:tcPr>
            <w:tcW w:w="236" w:type="dxa"/>
            <w:tcBorders>
              <w:top w:val="nil"/>
              <w:left w:val="nil"/>
              <w:bottom w:val="nil"/>
              <w:right w:val="nil"/>
            </w:tcBorders>
            <w:noWrap/>
            <w:vAlign w:val="bottom"/>
            <w:hideMark/>
          </w:tcPr>
          <w:p w14:paraId="32B7B908" w14:textId="77777777" w:rsidR="00E91426" w:rsidRPr="00E91426" w:rsidRDefault="00E91426" w:rsidP="00E91426">
            <w:pPr>
              <w:widowControl/>
              <w:rPr>
                <w:rFonts w:ascii="Arial" w:eastAsia="Times New Roman" w:hAnsi="Arial" w:cs="Arial"/>
                <w:sz w:val="20"/>
                <w:szCs w:val="20"/>
                <w:lang w:val="en-GB" w:eastAsia="en-GB"/>
              </w:rPr>
            </w:pPr>
          </w:p>
        </w:tc>
        <w:tc>
          <w:tcPr>
            <w:tcW w:w="968" w:type="dxa"/>
            <w:tcBorders>
              <w:top w:val="nil"/>
              <w:left w:val="nil"/>
              <w:bottom w:val="nil"/>
              <w:right w:val="nil"/>
            </w:tcBorders>
            <w:noWrap/>
            <w:vAlign w:val="bottom"/>
            <w:hideMark/>
          </w:tcPr>
          <w:p w14:paraId="4D42354F"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0B232C8E" w14:textId="77777777" w:rsidTr="00E91426">
        <w:trPr>
          <w:gridAfter w:val="1"/>
          <w:wAfter w:w="59" w:type="dxa"/>
          <w:trHeight w:val="274"/>
        </w:trPr>
        <w:tc>
          <w:tcPr>
            <w:tcW w:w="5059" w:type="dxa"/>
            <w:tcBorders>
              <w:top w:val="nil"/>
              <w:left w:val="nil"/>
              <w:bottom w:val="nil"/>
              <w:right w:val="nil"/>
            </w:tcBorders>
            <w:vAlign w:val="bottom"/>
            <w:hideMark/>
          </w:tcPr>
          <w:p w14:paraId="303C84FD"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Total NHS trade invoices paid in the year</w:t>
            </w:r>
          </w:p>
        </w:tc>
        <w:tc>
          <w:tcPr>
            <w:tcW w:w="1037" w:type="dxa"/>
            <w:tcBorders>
              <w:top w:val="nil"/>
              <w:left w:val="nil"/>
              <w:bottom w:val="nil"/>
              <w:right w:val="nil"/>
            </w:tcBorders>
            <w:noWrap/>
            <w:vAlign w:val="bottom"/>
            <w:hideMark/>
          </w:tcPr>
          <w:p w14:paraId="1CC6BAAD"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1,231</w:t>
            </w:r>
          </w:p>
        </w:tc>
        <w:tc>
          <w:tcPr>
            <w:tcW w:w="236" w:type="dxa"/>
            <w:tcBorders>
              <w:top w:val="nil"/>
              <w:left w:val="nil"/>
              <w:bottom w:val="nil"/>
              <w:right w:val="nil"/>
            </w:tcBorders>
            <w:noWrap/>
            <w:vAlign w:val="bottom"/>
            <w:hideMark/>
          </w:tcPr>
          <w:p w14:paraId="0EF43B35"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961" w:type="dxa"/>
            <w:tcBorders>
              <w:top w:val="nil"/>
              <w:left w:val="nil"/>
              <w:bottom w:val="nil"/>
              <w:right w:val="nil"/>
            </w:tcBorders>
            <w:vAlign w:val="bottom"/>
            <w:hideMark/>
          </w:tcPr>
          <w:p w14:paraId="4A900C80"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38,733</w:t>
            </w:r>
          </w:p>
        </w:tc>
        <w:tc>
          <w:tcPr>
            <w:tcW w:w="236" w:type="dxa"/>
            <w:tcBorders>
              <w:top w:val="nil"/>
              <w:left w:val="nil"/>
              <w:bottom w:val="nil"/>
              <w:right w:val="nil"/>
            </w:tcBorders>
            <w:vAlign w:val="bottom"/>
            <w:hideMark/>
          </w:tcPr>
          <w:p w14:paraId="133C5B17"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38" w:type="dxa"/>
            <w:tcBorders>
              <w:top w:val="nil"/>
              <w:left w:val="nil"/>
              <w:bottom w:val="nil"/>
              <w:right w:val="nil"/>
            </w:tcBorders>
            <w:noWrap/>
            <w:vAlign w:val="bottom"/>
            <w:hideMark/>
          </w:tcPr>
          <w:p w14:paraId="0D7F2F37"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1,092</w:t>
            </w:r>
          </w:p>
        </w:tc>
        <w:tc>
          <w:tcPr>
            <w:tcW w:w="236" w:type="dxa"/>
            <w:tcBorders>
              <w:top w:val="nil"/>
              <w:left w:val="nil"/>
              <w:bottom w:val="nil"/>
              <w:right w:val="nil"/>
            </w:tcBorders>
            <w:noWrap/>
            <w:vAlign w:val="bottom"/>
            <w:hideMark/>
          </w:tcPr>
          <w:p w14:paraId="63430AC0"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968" w:type="dxa"/>
            <w:tcBorders>
              <w:top w:val="nil"/>
              <w:left w:val="nil"/>
              <w:bottom w:val="nil"/>
              <w:right w:val="nil"/>
            </w:tcBorders>
            <w:vAlign w:val="bottom"/>
            <w:hideMark/>
          </w:tcPr>
          <w:p w14:paraId="1E004351"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33,651</w:t>
            </w:r>
          </w:p>
        </w:tc>
      </w:tr>
      <w:tr w:rsidR="00E91426" w:rsidRPr="00E91426" w14:paraId="57E65D47" w14:textId="77777777" w:rsidTr="00E91426">
        <w:trPr>
          <w:gridAfter w:val="1"/>
          <w:wAfter w:w="59" w:type="dxa"/>
          <w:trHeight w:val="274"/>
        </w:trPr>
        <w:tc>
          <w:tcPr>
            <w:tcW w:w="5059" w:type="dxa"/>
            <w:tcBorders>
              <w:top w:val="nil"/>
              <w:left w:val="nil"/>
              <w:bottom w:val="nil"/>
              <w:right w:val="nil"/>
            </w:tcBorders>
            <w:vAlign w:val="bottom"/>
            <w:hideMark/>
          </w:tcPr>
          <w:p w14:paraId="5F710AEB"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Total NHS trade invoices paid within target</w:t>
            </w:r>
          </w:p>
        </w:tc>
        <w:tc>
          <w:tcPr>
            <w:tcW w:w="1037" w:type="dxa"/>
            <w:tcBorders>
              <w:top w:val="nil"/>
              <w:left w:val="nil"/>
              <w:bottom w:val="nil"/>
              <w:right w:val="nil"/>
            </w:tcBorders>
            <w:noWrap/>
            <w:vAlign w:val="bottom"/>
            <w:hideMark/>
          </w:tcPr>
          <w:p w14:paraId="0EBCB037"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1,145</w:t>
            </w:r>
          </w:p>
        </w:tc>
        <w:tc>
          <w:tcPr>
            <w:tcW w:w="236" w:type="dxa"/>
            <w:tcBorders>
              <w:top w:val="nil"/>
              <w:left w:val="nil"/>
              <w:bottom w:val="nil"/>
              <w:right w:val="nil"/>
            </w:tcBorders>
            <w:noWrap/>
            <w:vAlign w:val="bottom"/>
            <w:hideMark/>
          </w:tcPr>
          <w:p w14:paraId="77C0F575"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961" w:type="dxa"/>
            <w:tcBorders>
              <w:top w:val="nil"/>
              <w:left w:val="nil"/>
              <w:bottom w:val="nil"/>
              <w:right w:val="nil"/>
            </w:tcBorders>
            <w:vAlign w:val="bottom"/>
            <w:hideMark/>
          </w:tcPr>
          <w:p w14:paraId="409594A5"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38,274</w:t>
            </w:r>
          </w:p>
        </w:tc>
        <w:tc>
          <w:tcPr>
            <w:tcW w:w="236" w:type="dxa"/>
            <w:tcBorders>
              <w:top w:val="nil"/>
              <w:left w:val="nil"/>
              <w:bottom w:val="nil"/>
              <w:right w:val="nil"/>
            </w:tcBorders>
            <w:vAlign w:val="bottom"/>
            <w:hideMark/>
          </w:tcPr>
          <w:p w14:paraId="4574639E"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38" w:type="dxa"/>
            <w:tcBorders>
              <w:top w:val="nil"/>
              <w:left w:val="nil"/>
              <w:bottom w:val="nil"/>
              <w:right w:val="nil"/>
            </w:tcBorders>
            <w:noWrap/>
            <w:vAlign w:val="bottom"/>
            <w:hideMark/>
          </w:tcPr>
          <w:p w14:paraId="1D1E90E6"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1,034</w:t>
            </w:r>
          </w:p>
        </w:tc>
        <w:tc>
          <w:tcPr>
            <w:tcW w:w="236" w:type="dxa"/>
            <w:tcBorders>
              <w:top w:val="nil"/>
              <w:left w:val="nil"/>
              <w:bottom w:val="nil"/>
              <w:right w:val="nil"/>
            </w:tcBorders>
            <w:noWrap/>
            <w:vAlign w:val="bottom"/>
            <w:hideMark/>
          </w:tcPr>
          <w:p w14:paraId="38A97BA1"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968" w:type="dxa"/>
            <w:tcBorders>
              <w:top w:val="nil"/>
              <w:left w:val="nil"/>
              <w:bottom w:val="nil"/>
              <w:right w:val="nil"/>
            </w:tcBorders>
            <w:vAlign w:val="bottom"/>
            <w:hideMark/>
          </w:tcPr>
          <w:p w14:paraId="58F8B28B"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33,155</w:t>
            </w:r>
          </w:p>
        </w:tc>
      </w:tr>
      <w:tr w:rsidR="00E91426" w:rsidRPr="00E91426" w14:paraId="4DFD0DB2" w14:textId="77777777" w:rsidTr="00E91426">
        <w:trPr>
          <w:gridAfter w:val="1"/>
          <w:wAfter w:w="59" w:type="dxa"/>
          <w:trHeight w:val="270"/>
        </w:trPr>
        <w:tc>
          <w:tcPr>
            <w:tcW w:w="5059" w:type="dxa"/>
            <w:tcBorders>
              <w:top w:val="nil"/>
              <w:left w:val="nil"/>
              <w:bottom w:val="nil"/>
              <w:right w:val="nil"/>
            </w:tcBorders>
            <w:vAlign w:val="bottom"/>
            <w:hideMark/>
          </w:tcPr>
          <w:p w14:paraId="3B956461"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Percentage of NHS trade invoices paid within target</w:t>
            </w:r>
          </w:p>
        </w:tc>
        <w:tc>
          <w:tcPr>
            <w:tcW w:w="1037" w:type="dxa"/>
            <w:tcBorders>
              <w:top w:val="single" w:sz="4" w:space="0" w:color="auto"/>
              <w:left w:val="nil"/>
              <w:bottom w:val="double" w:sz="6" w:space="0" w:color="auto"/>
              <w:right w:val="nil"/>
            </w:tcBorders>
            <w:noWrap/>
            <w:vAlign w:val="bottom"/>
            <w:hideMark/>
          </w:tcPr>
          <w:p w14:paraId="6D38B32E"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93.0%</w:t>
            </w:r>
          </w:p>
        </w:tc>
        <w:tc>
          <w:tcPr>
            <w:tcW w:w="236" w:type="dxa"/>
            <w:tcBorders>
              <w:top w:val="nil"/>
              <w:left w:val="nil"/>
              <w:bottom w:val="nil"/>
              <w:right w:val="nil"/>
            </w:tcBorders>
            <w:noWrap/>
            <w:vAlign w:val="bottom"/>
            <w:hideMark/>
          </w:tcPr>
          <w:p w14:paraId="333ED2AA"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961" w:type="dxa"/>
            <w:tcBorders>
              <w:top w:val="single" w:sz="4" w:space="0" w:color="auto"/>
              <w:left w:val="nil"/>
              <w:bottom w:val="double" w:sz="6" w:space="0" w:color="auto"/>
              <w:right w:val="nil"/>
            </w:tcBorders>
            <w:noWrap/>
            <w:vAlign w:val="bottom"/>
            <w:hideMark/>
          </w:tcPr>
          <w:p w14:paraId="0C248D6A"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98.8%</w:t>
            </w:r>
          </w:p>
        </w:tc>
        <w:tc>
          <w:tcPr>
            <w:tcW w:w="236" w:type="dxa"/>
            <w:tcBorders>
              <w:top w:val="nil"/>
              <w:left w:val="nil"/>
              <w:bottom w:val="nil"/>
              <w:right w:val="nil"/>
            </w:tcBorders>
            <w:noWrap/>
            <w:vAlign w:val="bottom"/>
            <w:hideMark/>
          </w:tcPr>
          <w:p w14:paraId="7151E430"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38" w:type="dxa"/>
            <w:tcBorders>
              <w:top w:val="single" w:sz="4" w:space="0" w:color="auto"/>
              <w:left w:val="nil"/>
              <w:bottom w:val="double" w:sz="6" w:space="0" w:color="auto"/>
              <w:right w:val="nil"/>
            </w:tcBorders>
            <w:noWrap/>
            <w:vAlign w:val="bottom"/>
            <w:hideMark/>
          </w:tcPr>
          <w:p w14:paraId="6DABE69E"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94.7%</w:t>
            </w:r>
          </w:p>
        </w:tc>
        <w:tc>
          <w:tcPr>
            <w:tcW w:w="236" w:type="dxa"/>
            <w:tcBorders>
              <w:top w:val="nil"/>
              <w:left w:val="nil"/>
              <w:bottom w:val="nil"/>
              <w:right w:val="nil"/>
            </w:tcBorders>
            <w:noWrap/>
            <w:vAlign w:val="bottom"/>
            <w:hideMark/>
          </w:tcPr>
          <w:p w14:paraId="76BB2BDD"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968" w:type="dxa"/>
            <w:tcBorders>
              <w:top w:val="single" w:sz="4" w:space="0" w:color="auto"/>
              <w:left w:val="nil"/>
              <w:bottom w:val="double" w:sz="6" w:space="0" w:color="auto"/>
              <w:right w:val="nil"/>
            </w:tcBorders>
            <w:noWrap/>
            <w:vAlign w:val="bottom"/>
            <w:hideMark/>
          </w:tcPr>
          <w:p w14:paraId="058EAFDB"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98.5%</w:t>
            </w:r>
          </w:p>
        </w:tc>
      </w:tr>
      <w:tr w:rsidR="00E91426" w:rsidRPr="00E91426" w14:paraId="3744E015" w14:textId="77777777" w:rsidTr="00E91426">
        <w:trPr>
          <w:gridAfter w:val="1"/>
          <w:wAfter w:w="59" w:type="dxa"/>
          <w:trHeight w:val="150"/>
        </w:trPr>
        <w:tc>
          <w:tcPr>
            <w:tcW w:w="5059" w:type="dxa"/>
            <w:tcBorders>
              <w:top w:val="nil"/>
              <w:left w:val="nil"/>
              <w:bottom w:val="nil"/>
              <w:right w:val="nil"/>
            </w:tcBorders>
            <w:noWrap/>
            <w:vAlign w:val="bottom"/>
            <w:hideMark/>
          </w:tcPr>
          <w:p w14:paraId="000334CB"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37" w:type="dxa"/>
            <w:tcBorders>
              <w:top w:val="nil"/>
              <w:left w:val="nil"/>
              <w:bottom w:val="nil"/>
              <w:right w:val="nil"/>
            </w:tcBorders>
            <w:vAlign w:val="bottom"/>
            <w:hideMark/>
          </w:tcPr>
          <w:p w14:paraId="160CFC08" w14:textId="77777777" w:rsidR="00E91426" w:rsidRPr="00E91426" w:rsidRDefault="00E91426" w:rsidP="00E91426">
            <w:pPr>
              <w:widowControl/>
              <w:rPr>
                <w:rFonts w:ascii="Arial" w:eastAsia="Times New Roman" w:hAnsi="Arial" w:cs="Arial"/>
                <w:sz w:val="20"/>
                <w:szCs w:val="20"/>
                <w:lang w:val="en-GB" w:eastAsia="en-GB"/>
              </w:rPr>
            </w:pPr>
          </w:p>
        </w:tc>
        <w:tc>
          <w:tcPr>
            <w:tcW w:w="236" w:type="dxa"/>
            <w:tcBorders>
              <w:top w:val="nil"/>
              <w:left w:val="nil"/>
              <w:bottom w:val="nil"/>
              <w:right w:val="nil"/>
            </w:tcBorders>
            <w:vAlign w:val="bottom"/>
            <w:hideMark/>
          </w:tcPr>
          <w:p w14:paraId="0B2D7FCD" w14:textId="77777777" w:rsidR="00E91426" w:rsidRPr="00E91426" w:rsidRDefault="00E91426" w:rsidP="00E91426">
            <w:pPr>
              <w:widowControl/>
              <w:rPr>
                <w:rFonts w:ascii="Arial" w:eastAsia="Times New Roman" w:hAnsi="Arial" w:cs="Arial"/>
                <w:sz w:val="20"/>
                <w:szCs w:val="20"/>
                <w:lang w:val="en-GB" w:eastAsia="en-GB"/>
              </w:rPr>
            </w:pPr>
          </w:p>
        </w:tc>
        <w:tc>
          <w:tcPr>
            <w:tcW w:w="961" w:type="dxa"/>
            <w:tcBorders>
              <w:top w:val="nil"/>
              <w:left w:val="nil"/>
              <w:bottom w:val="nil"/>
              <w:right w:val="nil"/>
            </w:tcBorders>
            <w:vAlign w:val="bottom"/>
            <w:hideMark/>
          </w:tcPr>
          <w:p w14:paraId="6B8C81F2" w14:textId="77777777" w:rsidR="00E91426" w:rsidRPr="00E91426" w:rsidRDefault="00E91426" w:rsidP="00E91426">
            <w:pPr>
              <w:widowControl/>
              <w:rPr>
                <w:rFonts w:ascii="Arial" w:eastAsia="Times New Roman" w:hAnsi="Arial" w:cs="Arial"/>
                <w:sz w:val="20"/>
                <w:szCs w:val="20"/>
                <w:lang w:val="en-GB" w:eastAsia="en-GB"/>
              </w:rPr>
            </w:pPr>
          </w:p>
        </w:tc>
        <w:tc>
          <w:tcPr>
            <w:tcW w:w="236" w:type="dxa"/>
            <w:tcBorders>
              <w:top w:val="nil"/>
              <w:left w:val="nil"/>
              <w:bottom w:val="nil"/>
              <w:right w:val="nil"/>
            </w:tcBorders>
            <w:vAlign w:val="bottom"/>
            <w:hideMark/>
          </w:tcPr>
          <w:p w14:paraId="08621864" w14:textId="77777777" w:rsidR="00E91426" w:rsidRPr="00E91426" w:rsidRDefault="00E91426" w:rsidP="00E91426">
            <w:pPr>
              <w:widowControl/>
              <w:rPr>
                <w:rFonts w:ascii="Arial" w:eastAsia="Times New Roman" w:hAnsi="Arial" w:cs="Arial"/>
                <w:sz w:val="20"/>
                <w:szCs w:val="20"/>
                <w:lang w:val="en-GB" w:eastAsia="en-GB"/>
              </w:rPr>
            </w:pPr>
          </w:p>
        </w:tc>
        <w:tc>
          <w:tcPr>
            <w:tcW w:w="1038" w:type="dxa"/>
            <w:tcBorders>
              <w:top w:val="nil"/>
              <w:left w:val="nil"/>
              <w:bottom w:val="nil"/>
              <w:right w:val="nil"/>
            </w:tcBorders>
            <w:vAlign w:val="bottom"/>
            <w:hideMark/>
          </w:tcPr>
          <w:p w14:paraId="364E6CC0" w14:textId="77777777" w:rsidR="00E91426" w:rsidRPr="00E91426" w:rsidRDefault="00E91426" w:rsidP="00E91426">
            <w:pPr>
              <w:widowControl/>
              <w:rPr>
                <w:rFonts w:ascii="Arial" w:eastAsia="Times New Roman" w:hAnsi="Arial" w:cs="Arial"/>
                <w:sz w:val="20"/>
                <w:szCs w:val="20"/>
                <w:lang w:val="en-GB" w:eastAsia="en-GB"/>
              </w:rPr>
            </w:pPr>
          </w:p>
        </w:tc>
        <w:tc>
          <w:tcPr>
            <w:tcW w:w="236" w:type="dxa"/>
            <w:tcBorders>
              <w:top w:val="nil"/>
              <w:left w:val="nil"/>
              <w:bottom w:val="nil"/>
              <w:right w:val="nil"/>
            </w:tcBorders>
            <w:vAlign w:val="bottom"/>
            <w:hideMark/>
          </w:tcPr>
          <w:p w14:paraId="79AED2F8" w14:textId="77777777" w:rsidR="00E91426" w:rsidRPr="00E91426" w:rsidRDefault="00E91426" w:rsidP="00E91426">
            <w:pPr>
              <w:widowControl/>
              <w:rPr>
                <w:rFonts w:ascii="Arial" w:eastAsia="Times New Roman" w:hAnsi="Arial" w:cs="Arial"/>
                <w:sz w:val="20"/>
                <w:szCs w:val="20"/>
                <w:lang w:val="en-GB" w:eastAsia="en-GB"/>
              </w:rPr>
            </w:pPr>
          </w:p>
        </w:tc>
        <w:tc>
          <w:tcPr>
            <w:tcW w:w="968" w:type="dxa"/>
            <w:tcBorders>
              <w:top w:val="nil"/>
              <w:left w:val="nil"/>
              <w:bottom w:val="nil"/>
              <w:right w:val="nil"/>
            </w:tcBorders>
            <w:noWrap/>
            <w:vAlign w:val="bottom"/>
            <w:hideMark/>
          </w:tcPr>
          <w:p w14:paraId="42E07066"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2CD5006F" w14:textId="77777777" w:rsidTr="00E91426">
        <w:trPr>
          <w:gridAfter w:val="1"/>
          <w:wAfter w:w="60" w:type="dxa"/>
          <w:trHeight w:val="450"/>
        </w:trPr>
        <w:tc>
          <w:tcPr>
            <w:tcW w:w="9770" w:type="dxa"/>
            <w:gridSpan w:val="8"/>
            <w:vMerge w:val="restart"/>
            <w:tcBorders>
              <w:top w:val="nil"/>
              <w:left w:val="nil"/>
              <w:bottom w:val="nil"/>
              <w:right w:val="nil"/>
            </w:tcBorders>
            <w:hideMark/>
          </w:tcPr>
          <w:p w14:paraId="6855561A" w14:textId="77777777" w:rsidR="00E91426" w:rsidRPr="00E91426" w:rsidRDefault="00E91426" w:rsidP="00E91426">
            <w:pPr>
              <w:widowControl/>
              <w:jc w:val="both"/>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 xml:space="preserve">The Better Payment Practice code requires that 95% of all valid invoices are paid by the due date or within 30 days of receipt of valid invoice, whichever is later. </w:t>
            </w:r>
          </w:p>
        </w:tc>
      </w:tr>
      <w:tr w:rsidR="00E91426" w:rsidRPr="00E91426" w14:paraId="4612AF99" w14:textId="77777777" w:rsidTr="00E91426">
        <w:trPr>
          <w:gridAfter w:val="1"/>
          <w:wAfter w:w="60" w:type="dxa"/>
          <w:trHeight w:val="450"/>
        </w:trPr>
        <w:tc>
          <w:tcPr>
            <w:tcW w:w="9770" w:type="dxa"/>
            <w:gridSpan w:val="8"/>
            <w:vMerge/>
            <w:tcBorders>
              <w:top w:val="nil"/>
              <w:left w:val="nil"/>
              <w:bottom w:val="nil"/>
              <w:right w:val="nil"/>
            </w:tcBorders>
            <w:vAlign w:val="center"/>
            <w:hideMark/>
          </w:tcPr>
          <w:p w14:paraId="027E65C4" w14:textId="77777777" w:rsidR="00E91426" w:rsidRPr="00E91426" w:rsidRDefault="00E91426" w:rsidP="00E91426">
            <w:pPr>
              <w:widowControl/>
              <w:rPr>
                <w:rFonts w:ascii="Arial" w:eastAsia="Times New Roman" w:hAnsi="Arial" w:cs="Arial"/>
                <w:color w:val="000000"/>
                <w:sz w:val="20"/>
                <w:szCs w:val="20"/>
                <w:lang w:val="en-GB" w:eastAsia="en-GB"/>
              </w:rPr>
            </w:pPr>
          </w:p>
        </w:tc>
      </w:tr>
    </w:tbl>
    <w:p w14:paraId="55E75E8B" w14:textId="77777777" w:rsidR="00E91426" w:rsidRPr="00E91426" w:rsidRDefault="00E91426" w:rsidP="00E91426">
      <w:pPr>
        <w:keepNext/>
        <w:keepLines/>
        <w:widowControl/>
        <w:spacing w:before="40" w:line="259" w:lineRule="auto"/>
        <w:outlineLvl w:val="1"/>
        <w:rPr>
          <w:rFonts w:ascii="Arial" w:eastAsia="Calibri" w:hAnsi="Arial" w:cs="Arial"/>
          <w:sz w:val="20"/>
          <w:szCs w:val="20"/>
          <w:lang w:val="en-GB"/>
        </w:rPr>
      </w:pP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2822E2CC" w14:textId="77777777" w:rsidR="00E91426" w:rsidRPr="00E91426" w:rsidRDefault="00E91426" w:rsidP="00E91426">
      <w:pPr>
        <w:widowControl/>
        <w:spacing w:after="160" w:line="259" w:lineRule="auto"/>
        <w:rPr>
          <w:rFonts w:ascii="Arial" w:eastAsia="Calibri" w:hAnsi="Arial" w:cs="Arial"/>
          <w:sz w:val="20"/>
          <w:szCs w:val="20"/>
          <w:lang w:val="en-GB"/>
        </w:rPr>
      </w:pPr>
      <w:r w:rsidRPr="00E91426">
        <w:rPr>
          <w:rFonts w:ascii="Arial" w:eastAsia="Calibri" w:hAnsi="Arial" w:cs="Arial"/>
          <w:b/>
          <w:sz w:val="20"/>
          <w:szCs w:val="20"/>
          <w:lang w:val="en-GB"/>
        </w:rPr>
        <w:br w:type="page"/>
      </w:r>
    </w:p>
    <w:p w14:paraId="5D637FF4" w14:textId="77777777" w:rsidR="00E91426" w:rsidRPr="00E91426" w:rsidRDefault="00E91426" w:rsidP="00E91426">
      <w:pPr>
        <w:keepNext/>
        <w:keepLines/>
        <w:widowControl/>
        <w:spacing w:before="40" w:line="259" w:lineRule="auto"/>
        <w:outlineLvl w:val="1"/>
        <w:rPr>
          <w:rFonts w:ascii="Arial" w:eastAsia="Calibri" w:hAnsi="Arial" w:cs="Arial"/>
          <w:sz w:val="20"/>
          <w:szCs w:val="20"/>
          <w:lang w:val="en-GB"/>
        </w:rPr>
      </w:pPr>
    </w:p>
    <w:p w14:paraId="4D30974B" w14:textId="77777777" w:rsidR="00E91426" w:rsidRPr="00E91426" w:rsidRDefault="00E91426" w:rsidP="00E91426">
      <w:pPr>
        <w:keepNext/>
        <w:keepLines/>
        <w:widowControl/>
        <w:spacing w:before="40" w:line="259" w:lineRule="auto"/>
        <w:outlineLvl w:val="1"/>
        <w:rPr>
          <w:rFonts w:ascii="Arial" w:eastAsia="Times New Roman" w:hAnsi="Arial" w:cs="Arial"/>
          <w:b/>
          <w:color w:val="000000"/>
          <w:sz w:val="20"/>
          <w:szCs w:val="20"/>
          <w:lang w:val="en-GB"/>
        </w:rPr>
      </w:pPr>
      <w:bookmarkStart w:id="80" w:name="_Toc195698716"/>
      <w:r w:rsidRPr="00E91426">
        <w:rPr>
          <w:rFonts w:ascii="Arial" w:eastAsia="Times New Roman" w:hAnsi="Arial" w:cs="Arial"/>
          <w:b/>
          <w:color w:val="000000"/>
          <w:sz w:val="20"/>
          <w:szCs w:val="20"/>
          <w:lang w:val="en-GB"/>
        </w:rPr>
        <w:t>Note 19 Other Liabilities</w:t>
      </w:r>
      <w:bookmarkEnd w:id="80"/>
    </w:p>
    <w:p w14:paraId="5C29086A" w14:textId="77777777" w:rsidR="00E91426" w:rsidRPr="00E91426" w:rsidRDefault="00E91426" w:rsidP="00E91426">
      <w:pPr>
        <w:widowControl/>
        <w:spacing w:after="160" w:line="259" w:lineRule="auto"/>
        <w:rPr>
          <w:rFonts w:ascii="Arial" w:eastAsia="Calibri" w:hAnsi="Arial" w:cs="Arial"/>
          <w:sz w:val="20"/>
          <w:szCs w:val="20"/>
          <w:lang w:val="en-GB"/>
        </w:rPr>
      </w:pPr>
    </w:p>
    <w:tbl>
      <w:tblPr>
        <w:tblW w:w="9316" w:type="dxa"/>
        <w:tblLook w:val="04A0" w:firstRow="1" w:lastRow="0" w:firstColumn="1" w:lastColumn="0" w:noHBand="0" w:noVBand="1"/>
      </w:tblPr>
      <w:tblGrid>
        <w:gridCol w:w="5272"/>
        <w:gridCol w:w="703"/>
        <w:gridCol w:w="230"/>
        <w:gridCol w:w="703"/>
        <w:gridCol w:w="230"/>
        <w:gridCol w:w="974"/>
        <w:gridCol w:w="230"/>
        <w:gridCol w:w="974"/>
      </w:tblGrid>
      <w:tr w:rsidR="00E91426" w:rsidRPr="00E91426" w14:paraId="19279F2B" w14:textId="77777777" w:rsidTr="00E91426">
        <w:trPr>
          <w:trHeight w:val="278"/>
        </w:trPr>
        <w:tc>
          <w:tcPr>
            <w:tcW w:w="5272" w:type="dxa"/>
            <w:tcBorders>
              <w:top w:val="nil"/>
              <w:left w:val="nil"/>
              <w:bottom w:val="nil"/>
              <w:right w:val="nil"/>
            </w:tcBorders>
            <w:vAlign w:val="bottom"/>
            <w:hideMark/>
          </w:tcPr>
          <w:p w14:paraId="2D34A120" w14:textId="77777777" w:rsidR="00E91426" w:rsidRPr="00E91426" w:rsidRDefault="00E91426" w:rsidP="00E91426">
            <w:pPr>
              <w:widowControl/>
              <w:rPr>
                <w:rFonts w:ascii="Arial" w:eastAsia="Times New Roman" w:hAnsi="Arial" w:cs="Arial"/>
                <w:sz w:val="20"/>
                <w:szCs w:val="20"/>
                <w:lang w:val="en-GB" w:eastAsia="en-GB"/>
              </w:rPr>
            </w:pPr>
          </w:p>
        </w:tc>
        <w:tc>
          <w:tcPr>
            <w:tcW w:w="703" w:type="dxa"/>
            <w:tcBorders>
              <w:top w:val="nil"/>
              <w:left w:val="nil"/>
              <w:bottom w:val="nil"/>
              <w:right w:val="nil"/>
            </w:tcBorders>
            <w:vAlign w:val="bottom"/>
            <w:hideMark/>
          </w:tcPr>
          <w:p w14:paraId="57162190" w14:textId="77777777" w:rsidR="00E91426" w:rsidRPr="00E91426" w:rsidRDefault="00E91426" w:rsidP="00E91426">
            <w:pPr>
              <w:widowControl/>
              <w:rPr>
                <w:rFonts w:ascii="Arial" w:eastAsia="Times New Roman" w:hAnsi="Arial" w:cs="Arial"/>
                <w:sz w:val="20"/>
                <w:szCs w:val="20"/>
                <w:lang w:val="en-GB" w:eastAsia="en-GB"/>
              </w:rPr>
            </w:pPr>
          </w:p>
        </w:tc>
        <w:tc>
          <w:tcPr>
            <w:tcW w:w="230" w:type="dxa"/>
            <w:tcBorders>
              <w:top w:val="nil"/>
              <w:left w:val="nil"/>
              <w:bottom w:val="nil"/>
              <w:right w:val="nil"/>
            </w:tcBorders>
            <w:vAlign w:val="bottom"/>
            <w:hideMark/>
          </w:tcPr>
          <w:p w14:paraId="07128275" w14:textId="77777777" w:rsidR="00E91426" w:rsidRPr="00E91426" w:rsidRDefault="00E91426" w:rsidP="00E91426">
            <w:pPr>
              <w:widowControl/>
              <w:rPr>
                <w:rFonts w:ascii="Arial" w:eastAsia="Times New Roman" w:hAnsi="Arial" w:cs="Arial"/>
                <w:sz w:val="20"/>
                <w:szCs w:val="20"/>
                <w:lang w:val="en-GB" w:eastAsia="en-GB"/>
              </w:rPr>
            </w:pPr>
          </w:p>
        </w:tc>
        <w:tc>
          <w:tcPr>
            <w:tcW w:w="703" w:type="dxa"/>
            <w:tcBorders>
              <w:top w:val="nil"/>
              <w:left w:val="nil"/>
              <w:bottom w:val="nil"/>
              <w:right w:val="nil"/>
            </w:tcBorders>
            <w:vAlign w:val="bottom"/>
            <w:hideMark/>
          </w:tcPr>
          <w:p w14:paraId="6C23809E" w14:textId="77777777" w:rsidR="00E91426" w:rsidRPr="00E91426" w:rsidRDefault="00E91426" w:rsidP="00E91426">
            <w:pPr>
              <w:widowControl/>
              <w:rPr>
                <w:rFonts w:ascii="Arial" w:eastAsia="Times New Roman" w:hAnsi="Arial" w:cs="Arial"/>
                <w:sz w:val="20"/>
                <w:szCs w:val="20"/>
                <w:lang w:val="en-GB" w:eastAsia="en-GB"/>
              </w:rPr>
            </w:pPr>
          </w:p>
        </w:tc>
        <w:tc>
          <w:tcPr>
            <w:tcW w:w="230" w:type="dxa"/>
            <w:tcBorders>
              <w:top w:val="nil"/>
              <w:left w:val="nil"/>
              <w:bottom w:val="nil"/>
              <w:right w:val="nil"/>
            </w:tcBorders>
            <w:vAlign w:val="bottom"/>
            <w:hideMark/>
          </w:tcPr>
          <w:p w14:paraId="290A1D7E" w14:textId="77777777" w:rsidR="00E91426" w:rsidRPr="00E91426" w:rsidRDefault="00E91426" w:rsidP="00E91426">
            <w:pPr>
              <w:widowControl/>
              <w:rPr>
                <w:rFonts w:ascii="Arial" w:eastAsia="Times New Roman" w:hAnsi="Arial" w:cs="Arial"/>
                <w:sz w:val="20"/>
                <w:szCs w:val="20"/>
                <w:lang w:val="en-GB" w:eastAsia="en-GB"/>
              </w:rPr>
            </w:pPr>
          </w:p>
        </w:tc>
        <w:tc>
          <w:tcPr>
            <w:tcW w:w="974" w:type="dxa"/>
            <w:tcBorders>
              <w:top w:val="nil"/>
              <w:left w:val="nil"/>
              <w:bottom w:val="nil"/>
              <w:right w:val="nil"/>
            </w:tcBorders>
            <w:vAlign w:val="bottom"/>
            <w:hideMark/>
          </w:tcPr>
          <w:p w14:paraId="041A3A6D"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2024/25</w:t>
            </w:r>
          </w:p>
        </w:tc>
        <w:tc>
          <w:tcPr>
            <w:tcW w:w="230" w:type="dxa"/>
            <w:tcBorders>
              <w:top w:val="nil"/>
              <w:left w:val="nil"/>
              <w:bottom w:val="nil"/>
              <w:right w:val="nil"/>
            </w:tcBorders>
            <w:noWrap/>
            <w:vAlign w:val="bottom"/>
            <w:hideMark/>
          </w:tcPr>
          <w:p w14:paraId="7D401E4B"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74" w:type="dxa"/>
            <w:tcBorders>
              <w:top w:val="nil"/>
              <w:left w:val="nil"/>
              <w:bottom w:val="nil"/>
              <w:right w:val="nil"/>
            </w:tcBorders>
            <w:vAlign w:val="bottom"/>
            <w:hideMark/>
          </w:tcPr>
          <w:p w14:paraId="1FD7140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2023/24</w:t>
            </w:r>
          </w:p>
        </w:tc>
      </w:tr>
      <w:tr w:rsidR="00E91426" w:rsidRPr="00E91426" w14:paraId="0D25B11B" w14:textId="77777777" w:rsidTr="00E91426">
        <w:trPr>
          <w:trHeight w:val="308"/>
        </w:trPr>
        <w:tc>
          <w:tcPr>
            <w:tcW w:w="5272" w:type="dxa"/>
            <w:tcBorders>
              <w:top w:val="nil"/>
              <w:left w:val="nil"/>
              <w:bottom w:val="nil"/>
              <w:right w:val="nil"/>
            </w:tcBorders>
            <w:vAlign w:val="bottom"/>
            <w:hideMark/>
          </w:tcPr>
          <w:p w14:paraId="2011F390"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703" w:type="dxa"/>
            <w:tcBorders>
              <w:top w:val="nil"/>
              <w:left w:val="nil"/>
              <w:bottom w:val="nil"/>
              <w:right w:val="nil"/>
            </w:tcBorders>
            <w:vAlign w:val="bottom"/>
            <w:hideMark/>
          </w:tcPr>
          <w:p w14:paraId="6BB9A4F7" w14:textId="77777777" w:rsidR="00E91426" w:rsidRPr="00E91426" w:rsidRDefault="00E91426" w:rsidP="00E91426">
            <w:pPr>
              <w:widowControl/>
              <w:rPr>
                <w:rFonts w:ascii="Arial" w:eastAsia="Times New Roman" w:hAnsi="Arial" w:cs="Arial"/>
                <w:sz w:val="20"/>
                <w:szCs w:val="20"/>
                <w:lang w:val="en-GB" w:eastAsia="en-GB"/>
              </w:rPr>
            </w:pPr>
          </w:p>
        </w:tc>
        <w:tc>
          <w:tcPr>
            <w:tcW w:w="230" w:type="dxa"/>
            <w:tcBorders>
              <w:top w:val="nil"/>
              <w:left w:val="nil"/>
              <w:bottom w:val="nil"/>
              <w:right w:val="nil"/>
            </w:tcBorders>
            <w:vAlign w:val="bottom"/>
            <w:hideMark/>
          </w:tcPr>
          <w:p w14:paraId="4BFA86C6" w14:textId="77777777" w:rsidR="00E91426" w:rsidRPr="00E91426" w:rsidRDefault="00E91426" w:rsidP="00E91426">
            <w:pPr>
              <w:widowControl/>
              <w:rPr>
                <w:rFonts w:ascii="Arial" w:eastAsia="Times New Roman" w:hAnsi="Arial" w:cs="Arial"/>
                <w:sz w:val="20"/>
                <w:szCs w:val="20"/>
                <w:lang w:val="en-GB" w:eastAsia="en-GB"/>
              </w:rPr>
            </w:pPr>
          </w:p>
        </w:tc>
        <w:tc>
          <w:tcPr>
            <w:tcW w:w="703" w:type="dxa"/>
            <w:tcBorders>
              <w:top w:val="nil"/>
              <w:left w:val="nil"/>
              <w:bottom w:val="nil"/>
              <w:right w:val="nil"/>
            </w:tcBorders>
            <w:vAlign w:val="bottom"/>
            <w:hideMark/>
          </w:tcPr>
          <w:p w14:paraId="65113B42" w14:textId="77777777" w:rsidR="00E91426" w:rsidRPr="00E91426" w:rsidRDefault="00E91426" w:rsidP="00E91426">
            <w:pPr>
              <w:widowControl/>
              <w:rPr>
                <w:rFonts w:ascii="Arial" w:eastAsia="Times New Roman" w:hAnsi="Arial" w:cs="Arial"/>
                <w:sz w:val="20"/>
                <w:szCs w:val="20"/>
                <w:lang w:val="en-GB" w:eastAsia="en-GB"/>
              </w:rPr>
            </w:pPr>
          </w:p>
        </w:tc>
        <w:tc>
          <w:tcPr>
            <w:tcW w:w="230" w:type="dxa"/>
            <w:tcBorders>
              <w:top w:val="nil"/>
              <w:left w:val="nil"/>
              <w:bottom w:val="nil"/>
              <w:right w:val="nil"/>
            </w:tcBorders>
            <w:vAlign w:val="bottom"/>
            <w:hideMark/>
          </w:tcPr>
          <w:p w14:paraId="611B514E" w14:textId="77777777" w:rsidR="00E91426" w:rsidRPr="00E91426" w:rsidRDefault="00E91426" w:rsidP="00E91426">
            <w:pPr>
              <w:widowControl/>
              <w:rPr>
                <w:rFonts w:ascii="Arial" w:eastAsia="Times New Roman" w:hAnsi="Arial" w:cs="Arial"/>
                <w:sz w:val="20"/>
                <w:szCs w:val="20"/>
                <w:lang w:val="en-GB" w:eastAsia="en-GB"/>
              </w:rPr>
            </w:pPr>
          </w:p>
        </w:tc>
        <w:tc>
          <w:tcPr>
            <w:tcW w:w="974" w:type="dxa"/>
            <w:tcBorders>
              <w:top w:val="nil"/>
              <w:left w:val="nil"/>
              <w:bottom w:val="nil"/>
              <w:right w:val="nil"/>
            </w:tcBorders>
            <w:vAlign w:val="bottom"/>
            <w:hideMark/>
          </w:tcPr>
          <w:p w14:paraId="700B009D"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230" w:type="dxa"/>
            <w:tcBorders>
              <w:top w:val="nil"/>
              <w:left w:val="nil"/>
              <w:bottom w:val="nil"/>
              <w:right w:val="nil"/>
            </w:tcBorders>
            <w:vAlign w:val="bottom"/>
            <w:hideMark/>
          </w:tcPr>
          <w:p w14:paraId="71237AB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74" w:type="dxa"/>
            <w:tcBorders>
              <w:top w:val="nil"/>
              <w:left w:val="nil"/>
              <w:bottom w:val="nil"/>
              <w:right w:val="nil"/>
            </w:tcBorders>
            <w:vAlign w:val="bottom"/>
            <w:hideMark/>
          </w:tcPr>
          <w:p w14:paraId="7927F66D"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r>
      <w:tr w:rsidR="00E91426" w:rsidRPr="00E91426" w14:paraId="38757CC4" w14:textId="77777777" w:rsidTr="00E91426">
        <w:trPr>
          <w:trHeight w:val="308"/>
        </w:trPr>
        <w:tc>
          <w:tcPr>
            <w:tcW w:w="5272" w:type="dxa"/>
            <w:tcBorders>
              <w:top w:val="nil"/>
              <w:left w:val="nil"/>
              <w:bottom w:val="nil"/>
              <w:right w:val="nil"/>
            </w:tcBorders>
            <w:vAlign w:val="bottom"/>
            <w:hideMark/>
          </w:tcPr>
          <w:p w14:paraId="7A0815DF"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Current </w:t>
            </w:r>
          </w:p>
        </w:tc>
        <w:tc>
          <w:tcPr>
            <w:tcW w:w="703" w:type="dxa"/>
            <w:tcBorders>
              <w:top w:val="nil"/>
              <w:left w:val="nil"/>
              <w:bottom w:val="nil"/>
              <w:right w:val="nil"/>
            </w:tcBorders>
            <w:vAlign w:val="bottom"/>
            <w:hideMark/>
          </w:tcPr>
          <w:p w14:paraId="233C0DA4"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230" w:type="dxa"/>
            <w:tcBorders>
              <w:top w:val="nil"/>
              <w:left w:val="nil"/>
              <w:bottom w:val="nil"/>
              <w:right w:val="nil"/>
            </w:tcBorders>
            <w:vAlign w:val="bottom"/>
            <w:hideMark/>
          </w:tcPr>
          <w:p w14:paraId="51E40958" w14:textId="77777777" w:rsidR="00E91426" w:rsidRPr="00E91426" w:rsidRDefault="00E91426" w:rsidP="00E91426">
            <w:pPr>
              <w:widowControl/>
              <w:rPr>
                <w:rFonts w:ascii="Arial" w:eastAsia="Times New Roman" w:hAnsi="Arial" w:cs="Arial"/>
                <w:sz w:val="20"/>
                <w:szCs w:val="20"/>
                <w:lang w:val="en-GB" w:eastAsia="en-GB"/>
              </w:rPr>
            </w:pPr>
          </w:p>
        </w:tc>
        <w:tc>
          <w:tcPr>
            <w:tcW w:w="703" w:type="dxa"/>
            <w:tcBorders>
              <w:top w:val="nil"/>
              <w:left w:val="nil"/>
              <w:bottom w:val="nil"/>
              <w:right w:val="nil"/>
            </w:tcBorders>
            <w:vAlign w:val="bottom"/>
            <w:hideMark/>
          </w:tcPr>
          <w:p w14:paraId="34475AB9" w14:textId="77777777" w:rsidR="00E91426" w:rsidRPr="00E91426" w:rsidRDefault="00E91426" w:rsidP="00E91426">
            <w:pPr>
              <w:widowControl/>
              <w:rPr>
                <w:rFonts w:ascii="Arial" w:eastAsia="Times New Roman" w:hAnsi="Arial" w:cs="Arial"/>
                <w:sz w:val="20"/>
                <w:szCs w:val="20"/>
                <w:lang w:val="en-GB" w:eastAsia="en-GB"/>
              </w:rPr>
            </w:pPr>
          </w:p>
        </w:tc>
        <w:tc>
          <w:tcPr>
            <w:tcW w:w="230" w:type="dxa"/>
            <w:tcBorders>
              <w:top w:val="nil"/>
              <w:left w:val="nil"/>
              <w:bottom w:val="nil"/>
              <w:right w:val="nil"/>
            </w:tcBorders>
            <w:noWrap/>
            <w:vAlign w:val="bottom"/>
            <w:hideMark/>
          </w:tcPr>
          <w:p w14:paraId="3070384F" w14:textId="77777777" w:rsidR="00E91426" w:rsidRPr="00E91426" w:rsidRDefault="00E91426" w:rsidP="00E91426">
            <w:pPr>
              <w:widowControl/>
              <w:rPr>
                <w:rFonts w:ascii="Arial" w:eastAsia="Times New Roman" w:hAnsi="Arial" w:cs="Arial"/>
                <w:sz w:val="20"/>
                <w:szCs w:val="20"/>
                <w:lang w:val="en-GB" w:eastAsia="en-GB"/>
              </w:rPr>
            </w:pPr>
          </w:p>
        </w:tc>
        <w:tc>
          <w:tcPr>
            <w:tcW w:w="974" w:type="dxa"/>
            <w:tcBorders>
              <w:top w:val="nil"/>
              <w:left w:val="nil"/>
              <w:bottom w:val="nil"/>
              <w:right w:val="nil"/>
            </w:tcBorders>
            <w:noWrap/>
            <w:vAlign w:val="bottom"/>
            <w:hideMark/>
          </w:tcPr>
          <w:p w14:paraId="5C2D0504" w14:textId="77777777" w:rsidR="00E91426" w:rsidRPr="00E91426" w:rsidRDefault="00E91426" w:rsidP="00E91426">
            <w:pPr>
              <w:widowControl/>
              <w:jc w:val="right"/>
              <w:rPr>
                <w:rFonts w:ascii="Arial" w:eastAsia="Times New Roman" w:hAnsi="Arial" w:cs="Arial"/>
                <w:sz w:val="20"/>
                <w:szCs w:val="20"/>
                <w:lang w:val="en-GB" w:eastAsia="en-GB"/>
              </w:rPr>
            </w:pPr>
          </w:p>
        </w:tc>
        <w:tc>
          <w:tcPr>
            <w:tcW w:w="230" w:type="dxa"/>
            <w:tcBorders>
              <w:top w:val="nil"/>
              <w:left w:val="nil"/>
              <w:bottom w:val="nil"/>
              <w:right w:val="nil"/>
            </w:tcBorders>
            <w:noWrap/>
            <w:vAlign w:val="bottom"/>
            <w:hideMark/>
          </w:tcPr>
          <w:p w14:paraId="46264DE2" w14:textId="77777777" w:rsidR="00E91426" w:rsidRPr="00E91426" w:rsidRDefault="00E91426" w:rsidP="00E91426">
            <w:pPr>
              <w:widowControl/>
              <w:jc w:val="right"/>
              <w:rPr>
                <w:rFonts w:ascii="Arial" w:eastAsia="Times New Roman" w:hAnsi="Arial" w:cs="Arial"/>
                <w:sz w:val="20"/>
                <w:szCs w:val="20"/>
                <w:lang w:val="en-GB" w:eastAsia="en-GB"/>
              </w:rPr>
            </w:pPr>
          </w:p>
        </w:tc>
        <w:tc>
          <w:tcPr>
            <w:tcW w:w="974" w:type="dxa"/>
            <w:tcBorders>
              <w:top w:val="nil"/>
              <w:left w:val="nil"/>
              <w:bottom w:val="nil"/>
              <w:right w:val="nil"/>
            </w:tcBorders>
            <w:noWrap/>
            <w:vAlign w:val="bottom"/>
            <w:hideMark/>
          </w:tcPr>
          <w:p w14:paraId="4686B25D" w14:textId="77777777" w:rsidR="00E91426" w:rsidRPr="00E91426" w:rsidRDefault="00E91426" w:rsidP="00E91426">
            <w:pPr>
              <w:widowControl/>
              <w:jc w:val="right"/>
              <w:rPr>
                <w:rFonts w:ascii="Arial" w:eastAsia="Times New Roman" w:hAnsi="Arial" w:cs="Arial"/>
                <w:sz w:val="20"/>
                <w:szCs w:val="20"/>
                <w:lang w:val="en-GB" w:eastAsia="en-GB"/>
              </w:rPr>
            </w:pPr>
          </w:p>
        </w:tc>
      </w:tr>
      <w:tr w:rsidR="00E91426" w:rsidRPr="00E91426" w14:paraId="62BE3BE0" w14:textId="77777777" w:rsidTr="00E91426">
        <w:trPr>
          <w:trHeight w:val="278"/>
        </w:trPr>
        <w:tc>
          <w:tcPr>
            <w:tcW w:w="5272" w:type="dxa"/>
            <w:tcBorders>
              <w:top w:val="nil"/>
              <w:left w:val="nil"/>
              <w:bottom w:val="nil"/>
              <w:right w:val="nil"/>
            </w:tcBorders>
            <w:vAlign w:val="bottom"/>
            <w:hideMark/>
          </w:tcPr>
          <w:p w14:paraId="0E404306"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Deferred income: contract liabilities</w:t>
            </w:r>
          </w:p>
        </w:tc>
        <w:tc>
          <w:tcPr>
            <w:tcW w:w="703" w:type="dxa"/>
            <w:tcBorders>
              <w:top w:val="nil"/>
              <w:left w:val="nil"/>
              <w:bottom w:val="nil"/>
              <w:right w:val="nil"/>
            </w:tcBorders>
            <w:vAlign w:val="bottom"/>
            <w:hideMark/>
          </w:tcPr>
          <w:p w14:paraId="5257EC29"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230" w:type="dxa"/>
            <w:tcBorders>
              <w:top w:val="nil"/>
              <w:left w:val="nil"/>
              <w:bottom w:val="nil"/>
              <w:right w:val="nil"/>
            </w:tcBorders>
            <w:vAlign w:val="bottom"/>
            <w:hideMark/>
          </w:tcPr>
          <w:p w14:paraId="120BB677" w14:textId="77777777" w:rsidR="00E91426" w:rsidRPr="00E91426" w:rsidRDefault="00E91426" w:rsidP="00E91426">
            <w:pPr>
              <w:widowControl/>
              <w:rPr>
                <w:rFonts w:ascii="Arial" w:eastAsia="Times New Roman" w:hAnsi="Arial" w:cs="Arial"/>
                <w:sz w:val="20"/>
                <w:szCs w:val="20"/>
                <w:lang w:val="en-GB" w:eastAsia="en-GB"/>
              </w:rPr>
            </w:pPr>
          </w:p>
        </w:tc>
        <w:tc>
          <w:tcPr>
            <w:tcW w:w="703" w:type="dxa"/>
            <w:tcBorders>
              <w:top w:val="nil"/>
              <w:left w:val="nil"/>
              <w:bottom w:val="nil"/>
              <w:right w:val="nil"/>
            </w:tcBorders>
            <w:vAlign w:val="bottom"/>
            <w:hideMark/>
          </w:tcPr>
          <w:p w14:paraId="6663B757" w14:textId="77777777" w:rsidR="00E91426" w:rsidRPr="00E91426" w:rsidRDefault="00E91426" w:rsidP="00E91426">
            <w:pPr>
              <w:widowControl/>
              <w:rPr>
                <w:rFonts w:ascii="Arial" w:eastAsia="Times New Roman" w:hAnsi="Arial" w:cs="Arial"/>
                <w:sz w:val="20"/>
                <w:szCs w:val="20"/>
                <w:lang w:val="en-GB" w:eastAsia="en-GB"/>
              </w:rPr>
            </w:pPr>
          </w:p>
        </w:tc>
        <w:tc>
          <w:tcPr>
            <w:tcW w:w="230" w:type="dxa"/>
            <w:tcBorders>
              <w:top w:val="nil"/>
              <w:left w:val="nil"/>
              <w:bottom w:val="nil"/>
              <w:right w:val="nil"/>
            </w:tcBorders>
            <w:noWrap/>
            <w:vAlign w:val="bottom"/>
            <w:hideMark/>
          </w:tcPr>
          <w:p w14:paraId="1A7D62B8" w14:textId="77777777" w:rsidR="00E91426" w:rsidRPr="00E91426" w:rsidRDefault="00E91426" w:rsidP="00E91426">
            <w:pPr>
              <w:widowControl/>
              <w:rPr>
                <w:rFonts w:ascii="Arial" w:eastAsia="Times New Roman" w:hAnsi="Arial" w:cs="Arial"/>
                <w:sz w:val="20"/>
                <w:szCs w:val="20"/>
                <w:lang w:val="en-GB" w:eastAsia="en-GB"/>
              </w:rPr>
            </w:pPr>
          </w:p>
        </w:tc>
        <w:tc>
          <w:tcPr>
            <w:tcW w:w="974" w:type="dxa"/>
            <w:tcBorders>
              <w:top w:val="nil"/>
              <w:left w:val="nil"/>
              <w:bottom w:val="nil"/>
              <w:right w:val="nil"/>
            </w:tcBorders>
            <w:noWrap/>
            <w:vAlign w:val="bottom"/>
            <w:hideMark/>
          </w:tcPr>
          <w:p w14:paraId="5740E5B7"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852</w:t>
            </w:r>
          </w:p>
        </w:tc>
        <w:tc>
          <w:tcPr>
            <w:tcW w:w="230" w:type="dxa"/>
            <w:tcBorders>
              <w:top w:val="nil"/>
              <w:left w:val="nil"/>
              <w:bottom w:val="nil"/>
              <w:right w:val="nil"/>
            </w:tcBorders>
            <w:noWrap/>
            <w:vAlign w:val="bottom"/>
            <w:hideMark/>
          </w:tcPr>
          <w:p w14:paraId="6FB97226"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974" w:type="dxa"/>
            <w:tcBorders>
              <w:top w:val="nil"/>
              <w:left w:val="nil"/>
              <w:bottom w:val="nil"/>
              <w:right w:val="nil"/>
            </w:tcBorders>
            <w:noWrap/>
            <w:vAlign w:val="bottom"/>
            <w:hideMark/>
          </w:tcPr>
          <w:p w14:paraId="385CFF63"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881</w:t>
            </w:r>
          </w:p>
        </w:tc>
      </w:tr>
      <w:tr w:rsidR="00E91426" w:rsidRPr="00E91426" w14:paraId="1AC3E85D" w14:textId="77777777" w:rsidTr="00E91426">
        <w:trPr>
          <w:trHeight w:val="295"/>
        </w:trPr>
        <w:tc>
          <w:tcPr>
            <w:tcW w:w="5272" w:type="dxa"/>
            <w:tcBorders>
              <w:top w:val="nil"/>
              <w:left w:val="nil"/>
              <w:bottom w:val="nil"/>
              <w:right w:val="nil"/>
            </w:tcBorders>
            <w:noWrap/>
            <w:vAlign w:val="bottom"/>
            <w:hideMark/>
          </w:tcPr>
          <w:p w14:paraId="370BE215"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Total other current liabilities</w:t>
            </w:r>
          </w:p>
        </w:tc>
        <w:tc>
          <w:tcPr>
            <w:tcW w:w="703" w:type="dxa"/>
            <w:tcBorders>
              <w:top w:val="nil"/>
              <w:left w:val="nil"/>
              <w:bottom w:val="nil"/>
              <w:right w:val="nil"/>
            </w:tcBorders>
            <w:vAlign w:val="bottom"/>
            <w:hideMark/>
          </w:tcPr>
          <w:p w14:paraId="5DED1412"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230" w:type="dxa"/>
            <w:tcBorders>
              <w:top w:val="nil"/>
              <w:left w:val="nil"/>
              <w:bottom w:val="nil"/>
              <w:right w:val="nil"/>
            </w:tcBorders>
            <w:vAlign w:val="bottom"/>
            <w:hideMark/>
          </w:tcPr>
          <w:p w14:paraId="6B27EB93" w14:textId="77777777" w:rsidR="00E91426" w:rsidRPr="00E91426" w:rsidRDefault="00E91426" w:rsidP="00E91426">
            <w:pPr>
              <w:widowControl/>
              <w:rPr>
                <w:rFonts w:ascii="Arial" w:eastAsia="Times New Roman" w:hAnsi="Arial" w:cs="Arial"/>
                <w:sz w:val="20"/>
                <w:szCs w:val="20"/>
                <w:lang w:val="en-GB" w:eastAsia="en-GB"/>
              </w:rPr>
            </w:pPr>
          </w:p>
        </w:tc>
        <w:tc>
          <w:tcPr>
            <w:tcW w:w="703" w:type="dxa"/>
            <w:tcBorders>
              <w:top w:val="nil"/>
              <w:left w:val="nil"/>
              <w:bottom w:val="nil"/>
              <w:right w:val="nil"/>
            </w:tcBorders>
            <w:vAlign w:val="bottom"/>
            <w:hideMark/>
          </w:tcPr>
          <w:p w14:paraId="75855BF6" w14:textId="77777777" w:rsidR="00E91426" w:rsidRPr="00E91426" w:rsidRDefault="00E91426" w:rsidP="00E91426">
            <w:pPr>
              <w:widowControl/>
              <w:rPr>
                <w:rFonts w:ascii="Arial" w:eastAsia="Times New Roman" w:hAnsi="Arial" w:cs="Arial"/>
                <w:sz w:val="20"/>
                <w:szCs w:val="20"/>
                <w:lang w:val="en-GB" w:eastAsia="en-GB"/>
              </w:rPr>
            </w:pPr>
          </w:p>
        </w:tc>
        <w:tc>
          <w:tcPr>
            <w:tcW w:w="230" w:type="dxa"/>
            <w:tcBorders>
              <w:top w:val="nil"/>
              <w:left w:val="nil"/>
              <w:bottom w:val="nil"/>
              <w:right w:val="nil"/>
            </w:tcBorders>
            <w:vAlign w:val="bottom"/>
            <w:hideMark/>
          </w:tcPr>
          <w:p w14:paraId="1825EC6C" w14:textId="77777777" w:rsidR="00E91426" w:rsidRPr="00E91426" w:rsidRDefault="00E91426" w:rsidP="00E91426">
            <w:pPr>
              <w:widowControl/>
              <w:rPr>
                <w:rFonts w:ascii="Arial" w:eastAsia="Times New Roman" w:hAnsi="Arial" w:cs="Arial"/>
                <w:sz w:val="20"/>
                <w:szCs w:val="20"/>
                <w:lang w:val="en-GB" w:eastAsia="en-GB"/>
              </w:rPr>
            </w:pPr>
          </w:p>
        </w:tc>
        <w:tc>
          <w:tcPr>
            <w:tcW w:w="974" w:type="dxa"/>
            <w:tcBorders>
              <w:top w:val="single" w:sz="4" w:space="0" w:color="auto"/>
              <w:left w:val="nil"/>
              <w:bottom w:val="double" w:sz="6" w:space="0" w:color="auto"/>
              <w:right w:val="nil"/>
            </w:tcBorders>
            <w:noWrap/>
            <w:vAlign w:val="bottom"/>
            <w:hideMark/>
          </w:tcPr>
          <w:p w14:paraId="01EBAF0C"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852</w:t>
            </w:r>
          </w:p>
        </w:tc>
        <w:tc>
          <w:tcPr>
            <w:tcW w:w="230" w:type="dxa"/>
            <w:tcBorders>
              <w:top w:val="nil"/>
              <w:left w:val="nil"/>
              <w:bottom w:val="nil"/>
              <w:right w:val="nil"/>
            </w:tcBorders>
            <w:noWrap/>
            <w:vAlign w:val="bottom"/>
            <w:hideMark/>
          </w:tcPr>
          <w:p w14:paraId="49A7219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74" w:type="dxa"/>
            <w:tcBorders>
              <w:top w:val="single" w:sz="4" w:space="0" w:color="auto"/>
              <w:left w:val="nil"/>
              <w:bottom w:val="double" w:sz="6" w:space="0" w:color="auto"/>
              <w:right w:val="nil"/>
            </w:tcBorders>
            <w:noWrap/>
            <w:vAlign w:val="bottom"/>
            <w:hideMark/>
          </w:tcPr>
          <w:p w14:paraId="2BC0B3F1"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881</w:t>
            </w:r>
          </w:p>
        </w:tc>
      </w:tr>
    </w:tbl>
    <w:p w14:paraId="68B5FA05" w14:textId="77777777" w:rsidR="00E91426" w:rsidRPr="00E91426" w:rsidRDefault="00E91426" w:rsidP="00E91426">
      <w:pPr>
        <w:widowControl/>
        <w:spacing w:after="160" w:line="259" w:lineRule="auto"/>
        <w:rPr>
          <w:rFonts w:ascii="Arial" w:eastAsia="Calibri" w:hAnsi="Arial" w:cs="Arial"/>
          <w:sz w:val="20"/>
          <w:szCs w:val="20"/>
          <w:lang w:val="en-GB"/>
        </w:rPr>
      </w:pPr>
    </w:p>
    <w:p w14:paraId="28458189" w14:textId="77777777" w:rsidR="00E91426" w:rsidRPr="00E91426" w:rsidRDefault="00E91426" w:rsidP="00E91426">
      <w:pPr>
        <w:widowControl/>
        <w:spacing w:after="160" w:line="259" w:lineRule="auto"/>
        <w:rPr>
          <w:rFonts w:ascii="Arial" w:eastAsia="Calibri" w:hAnsi="Arial" w:cs="Arial"/>
          <w:sz w:val="20"/>
          <w:szCs w:val="20"/>
          <w:lang w:val="en-GB"/>
        </w:rPr>
      </w:pPr>
    </w:p>
    <w:p w14:paraId="0D8737F1" w14:textId="77777777" w:rsidR="00E91426" w:rsidRPr="00E91426" w:rsidRDefault="00E91426" w:rsidP="00E91426">
      <w:pPr>
        <w:keepNext/>
        <w:keepLines/>
        <w:widowControl/>
        <w:spacing w:before="40" w:line="259" w:lineRule="auto"/>
        <w:outlineLvl w:val="1"/>
        <w:rPr>
          <w:rFonts w:ascii="Arial" w:eastAsia="Times New Roman" w:hAnsi="Arial" w:cs="Arial"/>
          <w:b/>
          <w:color w:val="000000"/>
          <w:sz w:val="20"/>
          <w:szCs w:val="20"/>
          <w:lang w:val="en-GB"/>
        </w:rPr>
      </w:pPr>
      <w:bookmarkStart w:id="81" w:name="_Toc195698717"/>
      <w:r w:rsidRPr="00E91426">
        <w:rPr>
          <w:rFonts w:ascii="Arial" w:eastAsia="Times New Roman" w:hAnsi="Arial" w:cs="Arial"/>
          <w:b/>
          <w:color w:val="000000"/>
          <w:sz w:val="20"/>
          <w:szCs w:val="20"/>
          <w:lang w:val="en-GB"/>
        </w:rPr>
        <w:t>Note 20 Borrowings</w:t>
      </w:r>
      <w:bookmarkEnd w:id="81"/>
    </w:p>
    <w:tbl>
      <w:tblPr>
        <w:tblW w:w="10014" w:type="dxa"/>
        <w:tblLook w:val="04A0" w:firstRow="1" w:lastRow="0" w:firstColumn="1" w:lastColumn="0" w:noHBand="0" w:noVBand="1"/>
      </w:tblPr>
      <w:tblGrid>
        <w:gridCol w:w="700"/>
        <w:gridCol w:w="1420"/>
        <w:gridCol w:w="3692"/>
        <w:gridCol w:w="284"/>
        <w:gridCol w:w="261"/>
        <w:gridCol w:w="801"/>
        <w:gridCol w:w="939"/>
        <w:gridCol w:w="222"/>
        <w:gridCol w:w="939"/>
        <w:gridCol w:w="756"/>
      </w:tblGrid>
      <w:tr w:rsidR="00E91426" w:rsidRPr="00E91426" w14:paraId="747F7EDD" w14:textId="77777777" w:rsidTr="00E91426">
        <w:trPr>
          <w:trHeight w:val="300"/>
        </w:trPr>
        <w:tc>
          <w:tcPr>
            <w:tcW w:w="700" w:type="dxa"/>
            <w:tcBorders>
              <w:top w:val="nil"/>
              <w:left w:val="nil"/>
              <w:bottom w:val="nil"/>
              <w:right w:val="nil"/>
            </w:tcBorders>
            <w:vAlign w:val="bottom"/>
            <w:hideMark/>
          </w:tcPr>
          <w:p w14:paraId="1779E3DB" w14:textId="77777777" w:rsidR="00E91426" w:rsidRPr="00E91426" w:rsidRDefault="00E91426" w:rsidP="00E91426">
            <w:pPr>
              <w:widowControl/>
              <w:rPr>
                <w:rFonts w:ascii="Arial" w:eastAsia="Times New Roman" w:hAnsi="Arial" w:cs="Arial"/>
                <w:sz w:val="20"/>
                <w:szCs w:val="20"/>
                <w:lang w:val="en-GB" w:eastAsia="en-GB"/>
              </w:rPr>
            </w:pPr>
          </w:p>
        </w:tc>
        <w:tc>
          <w:tcPr>
            <w:tcW w:w="1420" w:type="dxa"/>
            <w:tcBorders>
              <w:top w:val="nil"/>
              <w:left w:val="nil"/>
              <w:bottom w:val="nil"/>
              <w:right w:val="nil"/>
            </w:tcBorders>
            <w:vAlign w:val="bottom"/>
            <w:hideMark/>
          </w:tcPr>
          <w:p w14:paraId="3A271117" w14:textId="77777777" w:rsidR="00E91426" w:rsidRPr="00E91426" w:rsidRDefault="00E91426" w:rsidP="00E91426">
            <w:pPr>
              <w:widowControl/>
              <w:rPr>
                <w:rFonts w:ascii="Arial" w:eastAsia="Times New Roman" w:hAnsi="Arial" w:cs="Arial"/>
                <w:sz w:val="20"/>
                <w:szCs w:val="20"/>
                <w:lang w:val="en-GB" w:eastAsia="en-GB"/>
              </w:rPr>
            </w:pPr>
          </w:p>
        </w:tc>
        <w:tc>
          <w:tcPr>
            <w:tcW w:w="3692" w:type="dxa"/>
            <w:tcBorders>
              <w:top w:val="nil"/>
              <w:left w:val="nil"/>
              <w:bottom w:val="nil"/>
              <w:right w:val="nil"/>
            </w:tcBorders>
            <w:vAlign w:val="bottom"/>
            <w:hideMark/>
          </w:tcPr>
          <w:p w14:paraId="07C7729B" w14:textId="77777777" w:rsidR="00E91426" w:rsidRPr="00E91426" w:rsidRDefault="00E91426" w:rsidP="00E91426">
            <w:pPr>
              <w:widowControl/>
              <w:rPr>
                <w:rFonts w:ascii="Arial" w:eastAsia="Times New Roman" w:hAnsi="Arial" w:cs="Arial"/>
                <w:sz w:val="20"/>
                <w:szCs w:val="20"/>
                <w:lang w:val="en-GB" w:eastAsia="en-GB"/>
              </w:rPr>
            </w:pPr>
          </w:p>
        </w:tc>
        <w:tc>
          <w:tcPr>
            <w:tcW w:w="284" w:type="dxa"/>
            <w:tcBorders>
              <w:top w:val="nil"/>
              <w:left w:val="nil"/>
              <w:bottom w:val="nil"/>
              <w:right w:val="nil"/>
            </w:tcBorders>
            <w:vAlign w:val="bottom"/>
            <w:hideMark/>
          </w:tcPr>
          <w:p w14:paraId="09845038" w14:textId="77777777" w:rsidR="00E91426" w:rsidRPr="00E91426" w:rsidRDefault="00E91426" w:rsidP="00E91426">
            <w:pPr>
              <w:widowControl/>
              <w:rPr>
                <w:rFonts w:ascii="Arial" w:eastAsia="Times New Roman" w:hAnsi="Arial" w:cs="Arial"/>
                <w:sz w:val="20"/>
                <w:szCs w:val="20"/>
                <w:lang w:val="en-GB" w:eastAsia="en-GB"/>
              </w:rPr>
            </w:pPr>
          </w:p>
        </w:tc>
        <w:tc>
          <w:tcPr>
            <w:tcW w:w="261" w:type="dxa"/>
            <w:tcBorders>
              <w:top w:val="nil"/>
              <w:left w:val="nil"/>
              <w:bottom w:val="nil"/>
              <w:right w:val="nil"/>
            </w:tcBorders>
            <w:vAlign w:val="bottom"/>
            <w:hideMark/>
          </w:tcPr>
          <w:p w14:paraId="340638C1" w14:textId="77777777" w:rsidR="00E91426" w:rsidRPr="00E91426" w:rsidRDefault="00E91426" w:rsidP="00E91426">
            <w:pPr>
              <w:widowControl/>
              <w:rPr>
                <w:rFonts w:ascii="Arial" w:eastAsia="Times New Roman" w:hAnsi="Arial" w:cs="Arial"/>
                <w:sz w:val="20"/>
                <w:szCs w:val="20"/>
                <w:lang w:val="en-GB" w:eastAsia="en-GB"/>
              </w:rPr>
            </w:pPr>
          </w:p>
        </w:tc>
        <w:tc>
          <w:tcPr>
            <w:tcW w:w="801" w:type="dxa"/>
            <w:tcBorders>
              <w:top w:val="nil"/>
              <w:left w:val="nil"/>
              <w:bottom w:val="nil"/>
              <w:right w:val="nil"/>
            </w:tcBorders>
            <w:vAlign w:val="bottom"/>
            <w:hideMark/>
          </w:tcPr>
          <w:p w14:paraId="6DBC17BB" w14:textId="77777777" w:rsidR="00E91426" w:rsidRPr="00E91426" w:rsidRDefault="00E91426" w:rsidP="00E91426">
            <w:pPr>
              <w:widowControl/>
              <w:rPr>
                <w:rFonts w:ascii="Arial" w:eastAsia="Times New Roman" w:hAnsi="Arial" w:cs="Arial"/>
                <w:sz w:val="20"/>
                <w:szCs w:val="20"/>
                <w:lang w:val="en-GB" w:eastAsia="en-GB"/>
              </w:rPr>
            </w:pPr>
          </w:p>
        </w:tc>
        <w:tc>
          <w:tcPr>
            <w:tcW w:w="939" w:type="dxa"/>
            <w:tcBorders>
              <w:top w:val="nil"/>
              <w:left w:val="nil"/>
              <w:bottom w:val="nil"/>
              <w:right w:val="nil"/>
            </w:tcBorders>
            <w:vAlign w:val="bottom"/>
            <w:hideMark/>
          </w:tcPr>
          <w:p w14:paraId="63E7560B"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2024/25</w:t>
            </w:r>
          </w:p>
        </w:tc>
        <w:tc>
          <w:tcPr>
            <w:tcW w:w="222" w:type="dxa"/>
            <w:tcBorders>
              <w:top w:val="nil"/>
              <w:left w:val="nil"/>
              <w:bottom w:val="nil"/>
              <w:right w:val="nil"/>
            </w:tcBorders>
            <w:vAlign w:val="bottom"/>
            <w:hideMark/>
          </w:tcPr>
          <w:p w14:paraId="3CDCE09A"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39" w:type="dxa"/>
            <w:tcBorders>
              <w:top w:val="nil"/>
              <w:left w:val="nil"/>
              <w:bottom w:val="nil"/>
              <w:right w:val="nil"/>
            </w:tcBorders>
            <w:vAlign w:val="bottom"/>
            <w:hideMark/>
          </w:tcPr>
          <w:p w14:paraId="00A1506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2023/24</w:t>
            </w:r>
          </w:p>
        </w:tc>
        <w:tc>
          <w:tcPr>
            <w:tcW w:w="756" w:type="dxa"/>
            <w:tcBorders>
              <w:top w:val="nil"/>
              <w:left w:val="nil"/>
              <w:bottom w:val="nil"/>
              <w:right w:val="nil"/>
            </w:tcBorders>
            <w:vAlign w:val="bottom"/>
            <w:hideMark/>
          </w:tcPr>
          <w:p w14:paraId="4796852A"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r>
      <w:tr w:rsidR="00E91426" w:rsidRPr="00E91426" w14:paraId="4D3FA364" w14:textId="77777777" w:rsidTr="00E91426">
        <w:trPr>
          <w:trHeight w:val="282"/>
        </w:trPr>
        <w:tc>
          <w:tcPr>
            <w:tcW w:w="700" w:type="dxa"/>
            <w:tcBorders>
              <w:top w:val="nil"/>
              <w:left w:val="nil"/>
              <w:bottom w:val="nil"/>
              <w:right w:val="nil"/>
            </w:tcBorders>
            <w:vAlign w:val="bottom"/>
            <w:hideMark/>
          </w:tcPr>
          <w:p w14:paraId="5A32CB16" w14:textId="77777777" w:rsidR="00E91426" w:rsidRPr="00E91426" w:rsidRDefault="00E91426" w:rsidP="00E91426">
            <w:pPr>
              <w:widowControl/>
              <w:rPr>
                <w:rFonts w:ascii="Arial" w:eastAsia="Times New Roman" w:hAnsi="Arial" w:cs="Arial"/>
                <w:sz w:val="20"/>
                <w:szCs w:val="20"/>
                <w:lang w:val="en-GB" w:eastAsia="en-GB"/>
              </w:rPr>
            </w:pPr>
          </w:p>
        </w:tc>
        <w:tc>
          <w:tcPr>
            <w:tcW w:w="1420" w:type="dxa"/>
            <w:tcBorders>
              <w:top w:val="nil"/>
              <w:left w:val="nil"/>
              <w:bottom w:val="nil"/>
              <w:right w:val="nil"/>
            </w:tcBorders>
            <w:vAlign w:val="bottom"/>
            <w:hideMark/>
          </w:tcPr>
          <w:p w14:paraId="69A5ECEC" w14:textId="77777777" w:rsidR="00E91426" w:rsidRPr="00E91426" w:rsidRDefault="00E91426" w:rsidP="00E91426">
            <w:pPr>
              <w:widowControl/>
              <w:rPr>
                <w:rFonts w:ascii="Arial" w:eastAsia="Times New Roman" w:hAnsi="Arial" w:cs="Arial"/>
                <w:sz w:val="20"/>
                <w:szCs w:val="20"/>
                <w:lang w:val="en-GB" w:eastAsia="en-GB"/>
              </w:rPr>
            </w:pPr>
          </w:p>
        </w:tc>
        <w:tc>
          <w:tcPr>
            <w:tcW w:w="3692" w:type="dxa"/>
            <w:tcBorders>
              <w:top w:val="nil"/>
              <w:left w:val="nil"/>
              <w:bottom w:val="nil"/>
              <w:right w:val="nil"/>
            </w:tcBorders>
            <w:vAlign w:val="bottom"/>
            <w:hideMark/>
          </w:tcPr>
          <w:p w14:paraId="1D7F0316" w14:textId="77777777" w:rsidR="00E91426" w:rsidRPr="00E91426" w:rsidRDefault="00E91426" w:rsidP="00E91426">
            <w:pPr>
              <w:widowControl/>
              <w:rPr>
                <w:rFonts w:ascii="Arial" w:eastAsia="Times New Roman" w:hAnsi="Arial" w:cs="Arial"/>
                <w:sz w:val="20"/>
                <w:szCs w:val="20"/>
                <w:lang w:val="en-GB" w:eastAsia="en-GB"/>
              </w:rPr>
            </w:pPr>
          </w:p>
        </w:tc>
        <w:tc>
          <w:tcPr>
            <w:tcW w:w="284" w:type="dxa"/>
            <w:tcBorders>
              <w:top w:val="nil"/>
              <w:left w:val="nil"/>
              <w:bottom w:val="nil"/>
              <w:right w:val="nil"/>
            </w:tcBorders>
            <w:vAlign w:val="bottom"/>
            <w:hideMark/>
          </w:tcPr>
          <w:p w14:paraId="2CA6254E" w14:textId="77777777" w:rsidR="00E91426" w:rsidRPr="00E91426" w:rsidRDefault="00E91426" w:rsidP="00E91426">
            <w:pPr>
              <w:widowControl/>
              <w:rPr>
                <w:rFonts w:ascii="Arial" w:eastAsia="Times New Roman" w:hAnsi="Arial" w:cs="Arial"/>
                <w:sz w:val="20"/>
                <w:szCs w:val="20"/>
                <w:lang w:val="en-GB" w:eastAsia="en-GB"/>
              </w:rPr>
            </w:pPr>
          </w:p>
        </w:tc>
        <w:tc>
          <w:tcPr>
            <w:tcW w:w="261" w:type="dxa"/>
            <w:tcBorders>
              <w:top w:val="nil"/>
              <w:left w:val="nil"/>
              <w:bottom w:val="nil"/>
              <w:right w:val="nil"/>
            </w:tcBorders>
            <w:vAlign w:val="bottom"/>
            <w:hideMark/>
          </w:tcPr>
          <w:p w14:paraId="7CF1F1A8" w14:textId="77777777" w:rsidR="00E91426" w:rsidRPr="00E91426" w:rsidRDefault="00E91426" w:rsidP="00E91426">
            <w:pPr>
              <w:widowControl/>
              <w:rPr>
                <w:rFonts w:ascii="Arial" w:eastAsia="Times New Roman" w:hAnsi="Arial" w:cs="Arial"/>
                <w:sz w:val="20"/>
                <w:szCs w:val="20"/>
                <w:lang w:val="en-GB" w:eastAsia="en-GB"/>
              </w:rPr>
            </w:pPr>
          </w:p>
        </w:tc>
        <w:tc>
          <w:tcPr>
            <w:tcW w:w="801" w:type="dxa"/>
            <w:tcBorders>
              <w:top w:val="nil"/>
              <w:left w:val="nil"/>
              <w:bottom w:val="nil"/>
              <w:right w:val="nil"/>
            </w:tcBorders>
            <w:vAlign w:val="bottom"/>
            <w:hideMark/>
          </w:tcPr>
          <w:p w14:paraId="68D0AF71" w14:textId="77777777" w:rsidR="00E91426" w:rsidRPr="00E91426" w:rsidRDefault="00E91426" w:rsidP="00E91426">
            <w:pPr>
              <w:widowControl/>
              <w:rPr>
                <w:rFonts w:ascii="Arial" w:eastAsia="Times New Roman" w:hAnsi="Arial" w:cs="Arial"/>
                <w:sz w:val="20"/>
                <w:szCs w:val="20"/>
                <w:lang w:val="en-GB" w:eastAsia="en-GB"/>
              </w:rPr>
            </w:pPr>
          </w:p>
        </w:tc>
        <w:tc>
          <w:tcPr>
            <w:tcW w:w="939" w:type="dxa"/>
            <w:tcBorders>
              <w:top w:val="nil"/>
              <w:left w:val="nil"/>
              <w:bottom w:val="nil"/>
              <w:right w:val="nil"/>
            </w:tcBorders>
            <w:vAlign w:val="bottom"/>
            <w:hideMark/>
          </w:tcPr>
          <w:p w14:paraId="28E7742B"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222" w:type="dxa"/>
            <w:tcBorders>
              <w:top w:val="nil"/>
              <w:left w:val="nil"/>
              <w:bottom w:val="nil"/>
              <w:right w:val="nil"/>
            </w:tcBorders>
            <w:vAlign w:val="bottom"/>
            <w:hideMark/>
          </w:tcPr>
          <w:p w14:paraId="5260619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39" w:type="dxa"/>
            <w:tcBorders>
              <w:top w:val="nil"/>
              <w:left w:val="nil"/>
              <w:bottom w:val="nil"/>
              <w:right w:val="nil"/>
            </w:tcBorders>
            <w:vAlign w:val="bottom"/>
            <w:hideMark/>
          </w:tcPr>
          <w:p w14:paraId="568D0B7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756" w:type="dxa"/>
            <w:tcBorders>
              <w:top w:val="nil"/>
              <w:left w:val="nil"/>
              <w:bottom w:val="nil"/>
              <w:right w:val="nil"/>
            </w:tcBorders>
            <w:vAlign w:val="bottom"/>
            <w:hideMark/>
          </w:tcPr>
          <w:p w14:paraId="7BFDA8BF"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r>
      <w:tr w:rsidR="00E91426" w:rsidRPr="00E91426" w14:paraId="75B9FC94" w14:textId="77777777" w:rsidTr="00E91426">
        <w:trPr>
          <w:trHeight w:val="300"/>
        </w:trPr>
        <w:tc>
          <w:tcPr>
            <w:tcW w:w="5812" w:type="dxa"/>
            <w:gridSpan w:val="3"/>
            <w:tcBorders>
              <w:top w:val="nil"/>
              <w:left w:val="nil"/>
              <w:bottom w:val="nil"/>
              <w:right w:val="nil"/>
            </w:tcBorders>
            <w:vAlign w:val="bottom"/>
            <w:hideMark/>
          </w:tcPr>
          <w:p w14:paraId="1D6C24D9"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Current </w:t>
            </w:r>
          </w:p>
        </w:tc>
        <w:tc>
          <w:tcPr>
            <w:tcW w:w="284" w:type="dxa"/>
            <w:tcBorders>
              <w:top w:val="nil"/>
              <w:left w:val="nil"/>
              <w:bottom w:val="nil"/>
              <w:right w:val="nil"/>
            </w:tcBorders>
            <w:vAlign w:val="bottom"/>
            <w:hideMark/>
          </w:tcPr>
          <w:p w14:paraId="58CE536D"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261" w:type="dxa"/>
            <w:tcBorders>
              <w:top w:val="nil"/>
              <w:left w:val="nil"/>
              <w:bottom w:val="nil"/>
              <w:right w:val="nil"/>
            </w:tcBorders>
            <w:vAlign w:val="bottom"/>
            <w:hideMark/>
          </w:tcPr>
          <w:p w14:paraId="7E635815" w14:textId="77777777" w:rsidR="00E91426" w:rsidRPr="00E91426" w:rsidRDefault="00E91426" w:rsidP="00E91426">
            <w:pPr>
              <w:widowControl/>
              <w:rPr>
                <w:rFonts w:ascii="Arial" w:eastAsia="Times New Roman" w:hAnsi="Arial" w:cs="Arial"/>
                <w:sz w:val="20"/>
                <w:szCs w:val="20"/>
                <w:lang w:val="en-GB" w:eastAsia="en-GB"/>
              </w:rPr>
            </w:pPr>
          </w:p>
        </w:tc>
        <w:tc>
          <w:tcPr>
            <w:tcW w:w="801" w:type="dxa"/>
            <w:tcBorders>
              <w:top w:val="nil"/>
              <w:left w:val="nil"/>
              <w:bottom w:val="nil"/>
              <w:right w:val="nil"/>
            </w:tcBorders>
            <w:vAlign w:val="bottom"/>
            <w:hideMark/>
          </w:tcPr>
          <w:p w14:paraId="44371584" w14:textId="77777777" w:rsidR="00E91426" w:rsidRPr="00E91426" w:rsidRDefault="00E91426" w:rsidP="00E91426">
            <w:pPr>
              <w:widowControl/>
              <w:rPr>
                <w:rFonts w:ascii="Arial" w:eastAsia="Times New Roman" w:hAnsi="Arial" w:cs="Arial"/>
                <w:sz w:val="20"/>
                <w:szCs w:val="20"/>
                <w:lang w:val="en-GB" w:eastAsia="en-GB"/>
              </w:rPr>
            </w:pPr>
          </w:p>
        </w:tc>
        <w:tc>
          <w:tcPr>
            <w:tcW w:w="939" w:type="dxa"/>
            <w:tcBorders>
              <w:top w:val="nil"/>
              <w:left w:val="nil"/>
              <w:bottom w:val="nil"/>
              <w:right w:val="nil"/>
            </w:tcBorders>
            <w:noWrap/>
            <w:vAlign w:val="center"/>
            <w:hideMark/>
          </w:tcPr>
          <w:p w14:paraId="10413469" w14:textId="77777777" w:rsidR="00E91426" w:rsidRPr="00E91426" w:rsidRDefault="00E91426" w:rsidP="00E91426">
            <w:pPr>
              <w:widowControl/>
              <w:rPr>
                <w:rFonts w:ascii="Arial" w:eastAsia="Times New Roman" w:hAnsi="Arial" w:cs="Arial"/>
                <w:sz w:val="20"/>
                <w:szCs w:val="20"/>
                <w:lang w:val="en-GB" w:eastAsia="en-GB"/>
              </w:rPr>
            </w:pPr>
          </w:p>
        </w:tc>
        <w:tc>
          <w:tcPr>
            <w:tcW w:w="222" w:type="dxa"/>
            <w:tcBorders>
              <w:top w:val="nil"/>
              <w:left w:val="nil"/>
              <w:bottom w:val="nil"/>
              <w:right w:val="nil"/>
            </w:tcBorders>
            <w:vAlign w:val="bottom"/>
            <w:hideMark/>
          </w:tcPr>
          <w:p w14:paraId="30845040" w14:textId="77777777" w:rsidR="00E91426" w:rsidRPr="00E91426" w:rsidRDefault="00E91426" w:rsidP="00E91426">
            <w:pPr>
              <w:widowControl/>
              <w:rPr>
                <w:rFonts w:ascii="Arial" w:eastAsia="Times New Roman" w:hAnsi="Arial" w:cs="Arial"/>
                <w:sz w:val="20"/>
                <w:szCs w:val="20"/>
                <w:lang w:val="en-GB" w:eastAsia="en-GB"/>
              </w:rPr>
            </w:pPr>
          </w:p>
        </w:tc>
        <w:tc>
          <w:tcPr>
            <w:tcW w:w="939" w:type="dxa"/>
            <w:tcBorders>
              <w:top w:val="nil"/>
              <w:left w:val="nil"/>
              <w:bottom w:val="nil"/>
              <w:right w:val="nil"/>
            </w:tcBorders>
            <w:noWrap/>
            <w:vAlign w:val="center"/>
            <w:hideMark/>
          </w:tcPr>
          <w:p w14:paraId="5F077240" w14:textId="77777777" w:rsidR="00E91426" w:rsidRPr="00E91426" w:rsidRDefault="00E91426" w:rsidP="00E91426">
            <w:pPr>
              <w:widowControl/>
              <w:rPr>
                <w:rFonts w:ascii="Arial" w:eastAsia="Times New Roman" w:hAnsi="Arial" w:cs="Arial"/>
                <w:sz w:val="20"/>
                <w:szCs w:val="20"/>
                <w:lang w:val="en-GB" w:eastAsia="en-GB"/>
              </w:rPr>
            </w:pPr>
          </w:p>
        </w:tc>
        <w:tc>
          <w:tcPr>
            <w:tcW w:w="756" w:type="dxa"/>
            <w:tcBorders>
              <w:top w:val="nil"/>
              <w:left w:val="nil"/>
              <w:bottom w:val="nil"/>
              <w:right w:val="nil"/>
            </w:tcBorders>
            <w:vAlign w:val="bottom"/>
            <w:hideMark/>
          </w:tcPr>
          <w:p w14:paraId="3BB6FAA2"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4AEE9022" w14:textId="77777777" w:rsidTr="00E91426">
        <w:trPr>
          <w:trHeight w:val="630"/>
        </w:trPr>
        <w:tc>
          <w:tcPr>
            <w:tcW w:w="5812" w:type="dxa"/>
            <w:gridSpan w:val="3"/>
            <w:tcBorders>
              <w:top w:val="nil"/>
              <w:left w:val="nil"/>
              <w:bottom w:val="nil"/>
              <w:right w:val="nil"/>
            </w:tcBorders>
            <w:vAlign w:val="bottom"/>
            <w:hideMark/>
          </w:tcPr>
          <w:p w14:paraId="7B1BB0E6"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Capital Loans from the Department of Health and Social Care</w:t>
            </w:r>
            <w:r w:rsidRPr="00E91426">
              <w:rPr>
                <w:rFonts w:ascii="Arial" w:eastAsia="Times New Roman" w:hAnsi="Arial" w:cs="Arial"/>
                <w:color w:val="000000"/>
                <w:sz w:val="20"/>
                <w:szCs w:val="20"/>
                <w:vertAlign w:val="superscript"/>
                <w:lang w:val="en-GB" w:eastAsia="en-GB"/>
              </w:rPr>
              <w:t>1</w:t>
            </w:r>
          </w:p>
        </w:tc>
        <w:tc>
          <w:tcPr>
            <w:tcW w:w="284" w:type="dxa"/>
            <w:tcBorders>
              <w:top w:val="nil"/>
              <w:left w:val="nil"/>
              <w:bottom w:val="nil"/>
              <w:right w:val="nil"/>
            </w:tcBorders>
            <w:vAlign w:val="bottom"/>
            <w:hideMark/>
          </w:tcPr>
          <w:p w14:paraId="705E6090"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261" w:type="dxa"/>
            <w:tcBorders>
              <w:top w:val="nil"/>
              <w:left w:val="nil"/>
              <w:bottom w:val="nil"/>
              <w:right w:val="nil"/>
            </w:tcBorders>
            <w:vAlign w:val="bottom"/>
            <w:hideMark/>
          </w:tcPr>
          <w:p w14:paraId="6FAB5BA3" w14:textId="77777777" w:rsidR="00E91426" w:rsidRPr="00E91426" w:rsidRDefault="00E91426" w:rsidP="00E91426">
            <w:pPr>
              <w:widowControl/>
              <w:rPr>
                <w:rFonts w:ascii="Arial" w:eastAsia="Times New Roman" w:hAnsi="Arial" w:cs="Arial"/>
                <w:sz w:val="20"/>
                <w:szCs w:val="20"/>
                <w:lang w:val="en-GB" w:eastAsia="en-GB"/>
              </w:rPr>
            </w:pPr>
          </w:p>
        </w:tc>
        <w:tc>
          <w:tcPr>
            <w:tcW w:w="801" w:type="dxa"/>
            <w:tcBorders>
              <w:top w:val="nil"/>
              <w:left w:val="nil"/>
              <w:bottom w:val="nil"/>
              <w:right w:val="nil"/>
            </w:tcBorders>
            <w:vAlign w:val="bottom"/>
            <w:hideMark/>
          </w:tcPr>
          <w:p w14:paraId="1BE768A3" w14:textId="77777777" w:rsidR="00E91426" w:rsidRPr="00E91426" w:rsidRDefault="00E91426" w:rsidP="00E91426">
            <w:pPr>
              <w:widowControl/>
              <w:rPr>
                <w:rFonts w:ascii="Arial" w:eastAsia="Times New Roman" w:hAnsi="Arial" w:cs="Arial"/>
                <w:sz w:val="20"/>
                <w:szCs w:val="20"/>
                <w:lang w:val="en-GB" w:eastAsia="en-GB"/>
              </w:rPr>
            </w:pPr>
          </w:p>
        </w:tc>
        <w:tc>
          <w:tcPr>
            <w:tcW w:w="939" w:type="dxa"/>
            <w:tcBorders>
              <w:top w:val="nil"/>
              <w:left w:val="nil"/>
              <w:bottom w:val="nil"/>
              <w:right w:val="nil"/>
            </w:tcBorders>
            <w:noWrap/>
            <w:vAlign w:val="bottom"/>
            <w:hideMark/>
          </w:tcPr>
          <w:p w14:paraId="17A608C3"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134</w:t>
            </w:r>
          </w:p>
        </w:tc>
        <w:tc>
          <w:tcPr>
            <w:tcW w:w="222" w:type="dxa"/>
            <w:tcBorders>
              <w:top w:val="nil"/>
              <w:left w:val="nil"/>
              <w:bottom w:val="nil"/>
              <w:right w:val="nil"/>
            </w:tcBorders>
            <w:vAlign w:val="bottom"/>
            <w:hideMark/>
          </w:tcPr>
          <w:p w14:paraId="57AAE89F"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939" w:type="dxa"/>
            <w:tcBorders>
              <w:top w:val="nil"/>
              <w:left w:val="nil"/>
              <w:bottom w:val="nil"/>
              <w:right w:val="nil"/>
            </w:tcBorders>
            <w:noWrap/>
            <w:vAlign w:val="bottom"/>
            <w:hideMark/>
          </w:tcPr>
          <w:p w14:paraId="52AAF60D"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135</w:t>
            </w:r>
          </w:p>
        </w:tc>
        <w:tc>
          <w:tcPr>
            <w:tcW w:w="756" w:type="dxa"/>
            <w:tcBorders>
              <w:top w:val="nil"/>
              <w:left w:val="nil"/>
              <w:bottom w:val="nil"/>
              <w:right w:val="nil"/>
            </w:tcBorders>
            <w:vAlign w:val="bottom"/>
            <w:hideMark/>
          </w:tcPr>
          <w:p w14:paraId="03AE25D8"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r>
      <w:tr w:rsidR="00E91426" w:rsidRPr="00E91426" w14:paraId="41568896" w14:textId="77777777" w:rsidTr="00E91426">
        <w:trPr>
          <w:trHeight w:val="270"/>
        </w:trPr>
        <w:tc>
          <w:tcPr>
            <w:tcW w:w="5812" w:type="dxa"/>
            <w:gridSpan w:val="3"/>
            <w:tcBorders>
              <w:top w:val="nil"/>
              <w:left w:val="nil"/>
              <w:bottom w:val="nil"/>
              <w:right w:val="nil"/>
            </w:tcBorders>
            <w:vAlign w:val="bottom"/>
            <w:hideMark/>
          </w:tcPr>
          <w:p w14:paraId="3D1C38D3"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Lease liabilities</w:t>
            </w:r>
          </w:p>
        </w:tc>
        <w:tc>
          <w:tcPr>
            <w:tcW w:w="284" w:type="dxa"/>
            <w:tcBorders>
              <w:top w:val="nil"/>
              <w:left w:val="nil"/>
              <w:bottom w:val="nil"/>
              <w:right w:val="nil"/>
            </w:tcBorders>
            <w:vAlign w:val="bottom"/>
            <w:hideMark/>
          </w:tcPr>
          <w:p w14:paraId="7EBCD3A3"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261" w:type="dxa"/>
            <w:tcBorders>
              <w:top w:val="nil"/>
              <w:left w:val="nil"/>
              <w:bottom w:val="nil"/>
              <w:right w:val="nil"/>
            </w:tcBorders>
            <w:vAlign w:val="bottom"/>
            <w:hideMark/>
          </w:tcPr>
          <w:p w14:paraId="2D0FFE04" w14:textId="77777777" w:rsidR="00E91426" w:rsidRPr="00E91426" w:rsidRDefault="00E91426" w:rsidP="00E91426">
            <w:pPr>
              <w:widowControl/>
              <w:rPr>
                <w:rFonts w:ascii="Arial" w:eastAsia="Times New Roman" w:hAnsi="Arial" w:cs="Arial"/>
                <w:sz w:val="20"/>
                <w:szCs w:val="20"/>
                <w:lang w:val="en-GB" w:eastAsia="en-GB"/>
              </w:rPr>
            </w:pPr>
          </w:p>
        </w:tc>
        <w:tc>
          <w:tcPr>
            <w:tcW w:w="801" w:type="dxa"/>
            <w:tcBorders>
              <w:top w:val="nil"/>
              <w:left w:val="nil"/>
              <w:bottom w:val="nil"/>
              <w:right w:val="nil"/>
            </w:tcBorders>
            <w:vAlign w:val="bottom"/>
            <w:hideMark/>
          </w:tcPr>
          <w:p w14:paraId="5990A536" w14:textId="77777777" w:rsidR="00E91426" w:rsidRPr="00E91426" w:rsidRDefault="00E91426" w:rsidP="00E91426">
            <w:pPr>
              <w:widowControl/>
              <w:rPr>
                <w:rFonts w:ascii="Arial" w:eastAsia="Times New Roman" w:hAnsi="Arial" w:cs="Arial"/>
                <w:sz w:val="20"/>
                <w:szCs w:val="20"/>
                <w:lang w:val="en-GB" w:eastAsia="en-GB"/>
              </w:rPr>
            </w:pPr>
          </w:p>
        </w:tc>
        <w:tc>
          <w:tcPr>
            <w:tcW w:w="939" w:type="dxa"/>
            <w:tcBorders>
              <w:top w:val="nil"/>
              <w:left w:val="nil"/>
              <w:bottom w:val="nil"/>
              <w:right w:val="nil"/>
            </w:tcBorders>
            <w:noWrap/>
            <w:vAlign w:val="bottom"/>
            <w:hideMark/>
          </w:tcPr>
          <w:p w14:paraId="1D1EE694"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195</w:t>
            </w:r>
          </w:p>
        </w:tc>
        <w:tc>
          <w:tcPr>
            <w:tcW w:w="222" w:type="dxa"/>
            <w:tcBorders>
              <w:top w:val="nil"/>
              <w:left w:val="nil"/>
              <w:bottom w:val="nil"/>
              <w:right w:val="nil"/>
            </w:tcBorders>
            <w:vAlign w:val="bottom"/>
            <w:hideMark/>
          </w:tcPr>
          <w:p w14:paraId="45808D10"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939" w:type="dxa"/>
            <w:tcBorders>
              <w:top w:val="nil"/>
              <w:left w:val="nil"/>
              <w:bottom w:val="nil"/>
              <w:right w:val="nil"/>
            </w:tcBorders>
            <w:noWrap/>
            <w:vAlign w:val="bottom"/>
            <w:hideMark/>
          </w:tcPr>
          <w:p w14:paraId="6FB07BB9"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223</w:t>
            </w:r>
          </w:p>
        </w:tc>
        <w:tc>
          <w:tcPr>
            <w:tcW w:w="756" w:type="dxa"/>
            <w:tcBorders>
              <w:top w:val="nil"/>
              <w:left w:val="nil"/>
              <w:bottom w:val="nil"/>
              <w:right w:val="nil"/>
            </w:tcBorders>
            <w:vAlign w:val="bottom"/>
            <w:hideMark/>
          </w:tcPr>
          <w:p w14:paraId="60874B09"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r>
      <w:tr w:rsidR="00E91426" w:rsidRPr="00E91426" w14:paraId="2D74EB61" w14:textId="77777777" w:rsidTr="00E91426">
        <w:trPr>
          <w:trHeight w:val="315"/>
        </w:trPr>
        <w:tc>
          <w:tcPr>
            <w:tcW w:w="5812" w:type="dxa"/>
            <w:gridSpan w:val="3"/>
            <w:tcBorders>
              <w:top w:val="nil"/>
              <w:left w:val="nil"/>
              <w:bottom w:val="nil"/>
              <w:right w:val="nil"/>
            </w:tcBorders>
            <w:noWrap/>
            <w:vAlign w:val="bottom"/>
            <w:hideMark/>
          </w:tcPr>
          <w:p w14:paraId="2FC2C70C"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Total current borrowings</w:t>
            </w:r>
          </w:p>
        </w:tc>
        <w:tc>
          <w:tcPr>
            <w:tcW w:w="284" w:type="dxa"/>
            <w:tcBorders>
              <w:top w:val="nil"/>
              <w:left w:val="nil"/>
              <w:bottom w:val="nil"/>
              <w:right w:val="nil"/>
            </w:tcBorders>
            <w:vAlign w:val="bottom"/>
            <w:hideMark/>
          </w:tcPr>
          <w:p w14:paraId="5E5AE80E"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261" w:type="dxa"/>
            <w:tcBorders>
              <w:top w:val="nil"/>
              <w:left w:val="nil"/>
              <w:bottom w:val="nil"/>
              <w:right w:val="nil"/>
            </w:tcBorders>
            <w:vAlign w:val="bottom"/>
            <w:hideMark/>
          </w:tcPr>
          <w:p w14:paraId="608552FA" w14:textId="77777777" w:rsidR="00E91426" w:rsidRPr="00E91426" w:rsidRDefault="00E91426" w:rsidP="00E91426">
            <w:pPr>
              <w:widowControl/>
              <w:rPr>
                <w:rFonts w:ascii="Arial" w:eastAsia="Times New Roman" w:hAnsi="Arial" w:cs="Arial"/>
                <w:sz w:val="20"/>
                <w:szCs w:val="20"/>
                <w:lang w:val="en-GB" w:eastAsia="en-GB"/>
              </w:rPr>
            </w:pPr>
          </w:p>
        </w:tc>
        <w:tc>
          <w:tcPr>
            <w:tcW w:w="801" w:type="dxa"/>
            <w:tcBorders>
              <w:top w:val="nil"/>
              <w:left w:val="nil"/>
              <w:bottom w:val="nil"/>
              <w:right w:val="nil"/>
            </w:tcBorders>
            <w:vAlign w:val="bottom"/>
            <w:hideMark/>
          </w:tcPr>
          <w:p w14:paraId="75CD1E41" w14:textId="77777777" w:rsidR="00E91426" w:rsidRPr="00E91426" w:rsidRDefault="00E91426" w:rsidP="00E91426">
            <w:pPr>
              <w:widowControl/>
              <w:rPr>
                <w:rFonts w:ascii="Arial" w:eastAsia="Times New Roman" w:hAnsi="Arial" w:cs="Arial"/>
                <w:sz w:val="20"/>
                <w:szCs w:val="20"/>
                <w:lang w:val="en-GB" w:eastAsia="en-GB"/>
              </w:rPr>
            </w:pPr>
          </w:p>
        </w:tc>
        <w:tc>
          <w:tcPr>
            <w:tcW w:w="939" w:type="dxa"/>
            <w:tcBorders>
              <w:top w:val="single" w:sz="4" w:space="0" w:color="auto"/>
              <w:left w:val="nil"/>
              <w:bottom w:val="single" w:sz="8" w:space="0" w:color="auto"/>
              <w:right w:val="nil"/>
            </w:tcBorders>
            <w:noWrap/>
            <w:vAlign w:val="bottom"/>
            <w:hideMark/>
          </w:tcPr>
          <w:p w14:paraId="590E90DC"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329</w:t>
            </w:r>
          </w:p>
        </w:tc>
        <w:tc>
          <w:tcPr>
            <w:tcW w:w="222" w:type="dxa"/>
            <w:tcBorders>
              <w:top w:val="nil"/>
              <w:left w:val="nil"/>
              <w:bottom w:val="nil"/>
              <w:right w:val="nil"/>
            </w:tcBorders>
            <w:vAlign w:val="bottom"/>
            <w:hideMark/>
          </w:tcPr>
          <w:p w14:paraId="1ED81B78"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39" w:type="dxa"/>
            <w:tcBorders>
              <w:top w:val="single" w:sz="4" w:space="0" w:color="auto"/>
              <w:left w:val="nil"/>
              <w:bottom w:val="single" w:sz="8" w:space="0" w:color="auto"/>
              <w:right w:val="nil"/>
            </w:tcBorders>
            <w:noWrap/>
            <w:vAlign w:val="bottom"/>
            <w:hideMark/>
          </w:tcPr>
          <w:p w14:paraId="63A29260"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358</w:t>
            </w:r>
          </w:p>
        </w:tc>
        <w:tc>
          <w:tcPr>
            <w:tcW w:w="756" w:type="dxa"/>
            <w:tcBorders>
              <w:top w:val="nil"/>
              <w:left w:val="nil"/>
              <w:bottom w:val="nil"/>
              <w:right w:val="nil"/>
            </w:tcBorders>
            <w:vAlign w:val="bottom"/>
            <w:hideMark/>
          </w:tcPr>
          <w:p w14:paraId="6ED6472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r>
      <w:tr w:rsidR="00E91426" w:rsidRPr="00E91426" w14:paraId="2DC6DA93" w14:textId="77777777" w:rsidTr="00E91426">
        <w:trPr>
          <w:trHeight w:val="210"/>
        </w:trPr>
        <w:tc>
          <w:tcPr>
            <w:tcW w:w="700" w:type="dxa"/>
            <w:tcBorders>
              <w:top w:val="nil"/>
              <w:left w:val="nil"/>
              <w:bottom w:val="nil"/>
              <w:right w:val="nil"/>
            </w:tcBorders>
            <w:vAlign w:val="bottom"/>
            <w:hideMark/>
          </w:tcPr>
          <w:p w14:paraId="7976A8E6" w14:textId="77777777" w:rsidR="00E91426" w:rsidRPr="00E91426" w:rsidRDefault="00E91426" w:rsidP="00E91426">
            <w:pPr>
              <w:widowControl/>
              <w:rPr>
                <w:rFonts w:ascii="Arial" w:eastAsia="Times New Roman" w:hAnsi="Arial" w:cs="Arial"/>
                <w:sz w:val="20"/>
                <w:szCs w:val="20"/>
                <w:lang w:val="en-GB" w:eastAsia="en-GB"/>
              </w:rPr>
            </w:pPr>
          </w:p>
        </w:tc>
        <w:tc>
          <w:tcPr>
            <w:tcW w:w="1420" w:type="dxa"/>
            <w:tcBorders>
              <w:top w:val="nil"/>
              <w:left w:val="nil"/>
              <w:bottom w:val="nil"/>
              <w:right w:val="nil"/>
            </w:tcBorders>
            <w:vAlign w:val="bottom"/>
            <w:hideMark/>
          </w:tcPr>
          <w:p w14:paraId="583A7664" w14:textId="77777777" w:rsidR="00E91426" w:rsidRPr="00E91426" w:rsidRDefault="00E91426" w:rsidP="00E91426">
            <w:pPr>
              <w:widowControl/>
              <w:rPr>
                <w:rFonts w:ascii="Arial" w:eastAsia="Times New Roman" w:hAnsi="Arial" w:cs="Arial"/>
                <w:sz w:val="20"/>
                <w:szCs w:val="20"/>
                <w:lang w:val="en-GB" w:eastAsia="en-GB"/>
              </w:rPr>
            </w:pPr>
          </w:p>
        </w:tc>
        <w:tc>
          <w:tcPr>
            <w:tcW w:w="3692" w:type="dxa"/>
            <w:tcBorders>
              <w:top w:val="nil"/>
              <w:left w:val="nil"/>
              <w:bottom w:val="nil"/>
              <w:right w:val="nil"/>
            </w:tcBorders>
            <w:vAlign w:val="bottom"/>
            <w:hideMark/>
          </w:tcPr>
          <w:p w14:paraId="55DCB777" w14:textId="77777777" w:rsidR="00E91426" w:rsidRPr="00E91426" w:rsidRDefault="00E91426" w:rsidP="00E91426">
            <w:pPr>
              <w:widowControl/>
              <w:rPr>
                <w:rFonts w:ascii="Arial" w:eastAsia="Times New Roman" w:hAnsi="Arial" w:cs="Arial"/>
                <w:sz w:val="20"/>
                <w:szCs w:val="20"/>
                <w:lang w:val="en-GB" w:eastAsia="en-GB"/>
              </w:rPr>
            </w:pPr>
          </w:p>
        </w:tc>
        <w:tc>
          <w:tcPr>
            <w:tcW w:w="284" w:type="dxa"/>
            <w:tcBorders>
              <w:top w:val="nil"/>
              <w:left w:val="nil"/>
              <w:bottom w:val="nil"/>
              <w:right w:val="nil"/>
            </w:tcBorders>
            <w:vAlign w:val="bottom"/>
            <w:hideMark/>
          </w:tcPr>
          <w:p w14:paraId="0F77219B" w14:textId="77777777" w:rsidR="00E91426" w:rsidRPr="00E91426" w:rsidRDefault="00E91426" w:rsidP="00E91426">
            <w:pPr>
              <w:widowControl/>
              <w:rPr>
                <w:rFonts w:ascii="Arial" w:eastAsia="Times New Roman" w:hAnsi="Arial" w:cs="Arial"/>
                <w:sz w:val="20"/>
                <w:szCs w:val="20"/>
                <w:lang w:val="en-GB" w:eastAsia="en-GB"/>
              </w:rPr>
            </w:pPr>
          </w:p>
        </w:tc>
        <w:tc>
          <w:tcPr>
            <w:tcW w:w="261" w:type="dxa"/>
            <w:tcBorders>
              <w:top w:val="nil"/>
              <w:left w:val="nil"/>
              <w:bottom w:val="nil"/>
              <w:right w:val="nil"/>
            </w:tcBorders>
            <w:vAlign w:val="bottom"/>
            <w:hideMark/>
          </w:tcPr>
          <w:p w14:paraId="6850F4D3" w14:textId="77777777" w:rsidR="00E91426" w:rsidRPr="00E91426" w:rsidRDefault="00E91426" w:rsidP="00E91426">
            <w:pPr>
              <w:widowControl/>
              <w:rPr>
                <w:rFonts w:ascii="Arial" w:eastAsia="Times New Roman" w:hAnsi="Arial" w:cs="Arial"/>
                <w:sz w:val="20"/>
                <w:szCs w:val="20"/>
                <w:lang w:val="en-GB" w:eastAsia="en-GB"/>
              </w:rPr>
            </w:pPr>
          </w:p>
        </w:tc>
        <w:tc>
          <w:tcPr>
            <w:tcW w:w="801" w:type="dxa"/>
            <w:tcBorders>
              <w:top w:val="nil"/>
              <w:left w:val="nil"/>
              <w:bottom w:val="nil"/>
              <w:right w:val="nil"/>
            </w:tcBorders>
            <w:vAlign w:val="bottom"/>
            <w:hideMark/>
          </w:tcPr>
          <w:p w14:paraId="04CD215E" w14:textId="77777777" w:rsidR="00E91426" w:rsidRPr="00E91426" w:rsidRDefault="00E91426" w:rsidP="00E91426">
            <w:pPr>
              <w:widowControl/>
              <w:rPr>
                <w:rFonts w:ascii="Arial" w:eastAsia="Times New Roman" w:hAnsi="Arial" w:cs="Arial"/>
                <w:sz w:val="20"/>
                <w:szCs w:val="20"/>
                <w:lang w:val="en-GB" w:eastAsia="en-GB"/>
              </w:rPr>
            </w:pPr>
          </w:p>
        </w:tc>
        <w:tc>
          <w:tcPr>
            <w:tcW w:w="939" w:type="dxa"/>
            <w:tcBorders>
              <w:top w:val="nil"/>
              <w:left w:val="nil"/>
              <w:bottom w:val="nil"/>
              <w:right w:val="nil"/>
            </w:tcBorders>
            <w:noWrap/>
            <w:vAlign w:val="center"/>
            <w:hideMark/>
          </w:tcPr>
          <w:p w14:paraId="4C85B70A" w14:textId="77777777" w:rsidR="00E91426" w:rsidRPr="00E91426" w:rsidRDefault="00E91426" w:rsidP="00E91426">
            <w:pPr>
              <w:widowControl/>
              <w:rPr>
                <w:rFonts w:ascii="Arial" w:eastAsia="Times New Roman" w:hAnsi="Arial" w:cs="Arial"/>
                <w:sz w:val="20"/>
                <w:szCs w:val="20"/>
                <w:lang w:val="en-GB" w:eastAsia="en-GB"/>
              </w:rPr>
            </w:pPr>
          </w:p>
        </w:tc>
        <w:tc>
          <w:tcPr>
            <w:tcW w:w="222" w:type="dxa"/>
            <w:tcBorders>
              <w:top w:val="nil"/>
              <w:left w:val="nil"/>
              <w:bottom w:val="nil"/>
              <w:right w:val="nil"/>
            </w:tcBorders>
            <w:vAlign w:val="bottom"/>
            <w:hideMark/>
          </w:tcPr>
          <w:p w14:paraId="40CBD4B2" w14:textId="77777777" w:rsidR="00E91426" w:rsidRPr="00E91426" w:rsidRDefault="00E91426" w:rsidP="00E91426">
            <w:pPr>
              <w:widowControl/>
              <w:rPr>
                <w:rFonts w:ascii="Arial" w:eastAsia="Times New Roman" w:hAnsi="Arial" w:cs="Arial"/>
                <w:sz w:val="20"/>
                <w:szCs w:val="20"/>
                <w:lang w:val="en-GB" w:eastAsia="en-GB"/>
              </w:rPr>
            </w:pPr>
          </w:p>
        </w:tc>
        <w:tc>
          <w:tcPr>
            <w:tcW w:w="939" w:type="dxa"/>
            <w:tcBorders>
              <w:top w:val="nil"/>
              <w:left w:val="nil"/>
              <w:bottom w:val="nil"/>
              <w:right w:val="nil"/>
            </w:tcBorders>
            <w:noWrap/>
            <w:vAlign w:val="center"/>
            <w:hideMark/>
          </w:tcPr>
          <w:p w14:paraId="66AB973D" w14:textId="77777777" w:rsidR="00E91426" w:rsidRPr="00E91426" w:rsidRDefault="00E91426" w:rsidP="00E91426">
            <w:pPr>
              <w:widowControl/>
              <w:rPr>
                <w:rFonts w:ascii="Arial" w:eastAsia="Times New Roman" w:hAnsi="Arial" w:cs="Arial"/>
                <w:sz w:val="20"/>
                <w:szCs w:val="20"/>
                <w:lang w:val="en-GB" w:eastAsia="en-GB"/>
              </w:rPr>
            </w:pPr>
          </w:p>
        </w:tc>
        <w:tc>
          <w:tcPr>
            <w:tcW w:w="756" w:type="dxa"/>
            <w:tcBorders>
              <w:top w:val="nil"/>
              <w:left w:val="nil"/>
              <w:bottom w:val="nil"/>
              <w:right w:val="nil"/>
            </w:tcBorders>
            <w:vAlign w:val="bottom"/>
            <w:hideMark/>
          </w:tcPr>
          <w:p w14:paraId="5FD5F28C"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260044D3" w14:textId="77777777" w:rsidTr="00E91426">
        <w:trPr>
          <w:trHeight w:val="282"/>
        </w:trPr>
        <w:tc>
          <w:tcPr>
            <w:tcW w:w="5812" w:type="dxa"/>
            <w:gridSpan w:val="3"/>
            <w:tcBorders>
              <w:top w:val="nil"/>
              <w:left w:val="nil"/>
              <w:bottom w:val="nil"/>
              <w:right w:val="nil"/>
            </w:tcBorders>
            <w:vAlign w:val="bottom"/>
            <w:hideMark/>
          </w:tcPr>
          <w:p w14:paraId="40BBFA97"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Non-current</w:t>
            </w:r>
          </w:p>
        </w:tc>
        <w:tc>
          <w:tcPr>
            <w:tcW w:w="284" w:type="dxa"/>
            <w:tcBorders>
              <w:top w:val="nil"/>
              <w:left w:val="nil"/>
              <w:bottom w:val="nil"/>
              <w:right w:val="nil"/>
            </w:tcBorders>
            <w:vAlign w:val="bottom"/>
            <w:hideMark/>
          </w:tcPr>
          <w:p w14:paraId="06894DBF"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261" w:type="dxa"/>
            <w:tcBorders>
              <w:top w:val="nil"/>
              <w:left w:val="nil"/>
              <w:bottom w:val="nil"/>
              <w:right w:val="nil"/>
            </w:tcBorders>
            <w:vAlign w:val="bottom"/>
            <w:hideMark/>
          </w:tcPr>
          <w:p w14:paraId="5C785886" w14:textId="77777777" w:rsidR="00E91426" w:rsidRPr="00E91426" w:rsidRDefault="00E91426" w:rsidP="00E91426">
            <w:pPr>
              <w:widowControl/>
              <w:rPr>
                <w:rFonts w:ascii="Arial" w:eastAsia="Times New Roman" w:hAnsi="Arial" w:cs="Arial"/>
                <w:sz w:val="20"/>
                <w:szCs w:val="20"/>
                <w:lang w:val="en-GB" w:eastAsia="en-GB"/>
              </w:rPr>
            </w:pPr>
          </w:p>
        </w:tc>
        <w:tc>
          <w:tcPr>
            <w:tcW w:w="801" w:type="dxa"/>
            <w:tcBorders>
              <w:top w:val="nil"/>
              <w:left w:val="nil"/>
              <w:bottom w:val="nil"/>
              <w:right w:val="nil"/>
            </w:tcBorders>
            <w:vAlign w:val="bottom"/>
            <w:hideMark/>
          </w:tcPr>
          <w:p w14:paraId="0FE8F91B" w14:textId="77777777" w:rsidR="00E91426" w:rsidRPr="00E91426" w:rsidRDefault="00E91426" w:rsidP="00E91426">
            <w:pPr>
              <w:widowControl/>
              <w:rPr>
                <w:rFonts w:ascii="Arial" w:eastAsia="Times New Roman" w:hAnsi="Arial" w:cs="Arial"/>
                <w:sz w:val="20"/>
                <w:szCs w:val="20"/>
                <w:lang w:val="en-GB" w:eastAsia="en-GB"/>
              </w:rPr>
            </w:pPr>
          </w:p>
        </w:tc>
        <w:tc>
          <w:tcPr>
            <w:tcW w:w="939" w:type="dxa"/>
            <w:tcBorders>
              <w:top w:val="nil"/>
              <w:left w:val="nil"/>
              <w:bottom w:val="nil"/>
              <w:right w:val="nil"/>
            </w:tcBorders>
            <w:noWrap/>
            <w:vAlign w:val="center"/>
            <w:hideMark/>
          </w:tcPr>
          <w:p w14:paraId="77A92DEA" w14:textId="77777777" w:rsidR="00E91426" w:rsidRPr="00E91426" w:rsidRDefault="00E91426" w:rsidP="00E91426">
            <w:pPr>
              <w:widowControl/>
              <w:rPr>
                <w:rFonts w:ascii="Arial" w:eastAsia="Times New Roman" w:hAnsi="Arial" w:cs="Arial"/>
                <w:sz w:val="20"/>
                <w:szCs w:val="20"/>
                <w:lang w:val="en-GB" w:eastAsia="en-GB"/>
              </w:rPr>
            </w:pPr>
          </w:p>
        </w:tc>
        <w:tc>
          <w:tcPr>
            <w:tcW w:w="222" w:type="dxa"/>
            <w:tcBorders>
              <w:top w:val="nil"/>
              <w:left w:val="nil"/>
              <w:bottom w:val="nil"/>
              <w:right w:val="nil"/>
            </w:tcBorders>
            <w:vAlign w:val="bottom"/>
            <w:hideMark/>
          </w:tcPr>
          <w:p w14:paraId="3053512F" w14:textId="77777777" w:rsidR="00E91426" w:rsidRPr="00E91426" w:rsidRDefault="00E91426" w:rsidP="00E91426">
            <w:pPr>
              <w:widowControl/>
              <w:rPr>
                <w:rFonts w:ascii="Arial" w:eastAsia="Times New Roman" w:hAnsi="Arial" w:cs="Arial"/>
                <w:sz w:val="20"/>
                <w:szCs w:val="20"/>
                <w:lang w:val="en-GB" w:eastAsia="en-GB"/>
              </w:rPr>
            </w:pPr>
          </w:p>
        </w:tc>
        <w:tc>
          <w:tcPr>
            <w:tcW w:w="939" w:type="dxa"/>
            <w:tcBorders>
              <w:top w:val="nil"/>
              <w:left w:val="nil"/>
              <w:bottom w:val="nil"/>
              <w:right w:val="nil"/>
            </w:tcBorders>
            <w:noWrap/>
            <w:vAlign w:val="center"/>
            <w:hideMark/>
          </w:tcPr>
          <w:p w14:paraId="075E5690" w14:textId="77777777" w:rsidR="00E91426" w:rsidRPr="00E91426" w:rsidRDefault="00E91426" w:rsidP="00E91426">
            <w:pPr>
              <w:widowControl/>
              <w:rPr>
                <w:rFonts w:ascii="Arial" w:eastAsia="Times New Roman" w:hAnsi="Arial" w:cs="Arial"/>
                <w:sz w:val="20"/>
                <w:szCs w:val="20"/>
                <w:lang w:val="en-GB" w:eastAsia="en-GB"/>
              </w:rPr>
            </w:pPr>
          </w:p>
        </w:tc>
        <w:tc>
          <w:tcPr>
            <w:tcW w:w="756" w:type="dxa"/>
            <w:tcBorders>
              <w:top w:val="nil"/>
              <w:left w:val="nil"/>
              <w:bottom w:val="nil"/>
              <w:right w:val="nil"/>
            </w:tcBorders>
            <w:vAlign w:val="bottom"/>
            <w:hideMark/>
          </w:tcPr>
          <w:p w14:paraId="492B87A9"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548459FF" w14:textId="77777777" w:rsidTr="00E91426">
        <w:trPr>
          <w:trHeight w:val="525"/>
        </w:trPr>
        <w:tc>
          <w:tcPr>
            <w:tcW w:w="5812" w:type="dxa"/>
            <w:gridSpan w:val="3"/>
            <w:tcBorders>
              <w:top w:val="nil"/>
              <w:left w:val="nil"/>
              <w:bottom w:val="nil"/>
              <w:right w:val="nil"/>
            </w:tcBorders>
            <w:vAlign w:val="bottom"/>
            <w:hideMark/>
          </w:tcPr>
          <w:p w14:paraId="735D11BD"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Capital Loans from the Department of Health and Social Care</w:t>
            </w:r>
          </w:p>
        </w:tc>
        <w:tc>
          <w:tcPr>
            <w:tcW w:w="284" w:type="dxa"/>
            <w:tcBorders>
              <w:top w:val="nil"/>
              <w:left w:val="nil"/>
              <w:bottom w:val="nil"/>
              <w:right w:val="nil"/>
            </w:tcBorders>
            <w:vAlign w:val="bottom"/>
            <w:hideMark/>
          </w:tcPr>
          <w:p w14:paraId="547E7D9D"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261" w:type="dxa"/>
            <w:tcBorders>
              <w:top w:val="nil"/>
              <w:left w:val="nil"/>
              <w:bottom w:val="nil"/>
              <w:right w:val="nil"/>
            </w:tcBorders>
            <w:vAlign w:val="bottom"/>
            <w:hideMark/>
          </w:tcPr>
          <w:p w14:paraId="13A5D6EA" w14:textId="77777777" w:rsidR="00E91426" w:rsidRPr="00E91426" w:rsidRDefault="00E91426" w:rsidP="00E91426">
            <w:pPr>
              <w:widowControl/>
              <w:rPr>
                <w:rFonts w:ascii="Arial" w:eastAsia="Times New Roman" w:hAnsi="Arial" w:cs="Arial"/>
                <w:sz w:val="20"/>
                <w:szCs w:val="20"/>
                <w:lang w:val="en-GB" w:eastAsia="en-GB"/>
              </w:rPr>
            </w:pPr>
          </w:p>
        </w:tc>
        <w:tc>
          <w:tcPr>
            <w:tcW w:w="801" w:type="dxa"/>
            <w:tcBorders>
              <w:top w:val="nil"/>
              <w:left w:val="nil"/>
              <w:bottom w:val="nil"/>
              <w:right w:val="nil"/>
            </w:tcBorders>
            <w:vAlign w:val="bottom"/>
            <w:hideMark/>
          </w:tcPr>
          <w:p w14:paraId="5C32918B" w14:textId="77777777" w:rsidR="00E91426" w:rsidRPr="00E91426" w:rsidRDefault="00E91426" w:rsidP="00E91426">
            <w:pPr>
              <w:widowControl/>
              <w:rPr>
                <w:rFonts w:ascii="Arial" w:eastAsia="Times New Roman" w:hAnsi="Arial" w:cs="Arial"/>
                <w:sz w:val="20"/>
                <w:szCs w:val="20"/>
                <w:lang w:val="en-GB" w:eastAsia="en-GB"/>
              </w:rPr>
            </w:pPr>
          </w:p>
        </w:tc>
        <w:tc>
          <w:tcPr>
            <w:tcW w:w="939" w:type="dxa"/>
            <w:tcBorders>
              <w:top w:val="nil"/>
              <w:left w:val="nil"/>
              <w:bottom w:val="nil"/>
              <w:right w:val="nil"/>
            </w:tcBorders>
            <w:noWrap/>
            <w:vAlign w:val="bottom"/>
            <w:hideMark/>
          </w:tcPr>
          <w:p w14:paraId="1B0666BA"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1,645</w:t>
            </w:r>
          </w:p>
        </w:tc>
        <w:tc>
          <w:tcPr>
            <w:tcW w:w="222" w:type="dxa"/>
            <w:tcBorders>
              <w:top w:val="nil"/>
              <w:left w:val="nil"/>
              <w:bottom w:val="nil"/>
              <w:right w:val="nil"/>
            </w:tcBorders>
            <w:vAlign w:val="bottom"/>
            <w:hideMark/>
          </w:tcPr>
          <w:p w14:paraId="5F9FB041"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939" w:type="dxa"/>
            <w:tcBorders>
              <w:top w:val="nil"/>
              <w:left w:val="nil"/>
              <w:bottom w:val="nil"/>
              <w:right w:val="nil"/>
            </w:tcBorders>
            <w:noWrap/>
            <w:vAlign w:val="bottom"/>
            <w:hideMark/>
          </w:tcPr>
          <w:p w14:paraId="0C39A0C8"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1,772</w:t>
            </w:r>
          </w:p>
        </w:tc>
        <w:tc>
          <w:tcPr>
            <w:tcW w:w="756" w:type="dxa"/>
            <w:tcBorders>
              <w:top w:val="nil"/>
              <w:left w:val="nil"/>
              <w:bottom w:val="nil"/>
              <w:right w:val="nil"/>
            </w:tcBorders>
            <w:vAlign w:val="bottom"/>
            <w:hideMark/>
          </w:tcPr>
          <w:p w14:paraId="19D9D31A"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r>
      <w:tr w:rsidR="00E91426" w:rsidRPr="00E91426" w14:paraId="603DFA78" w14:textId="77777777" w:rsidTr="00E91426">
        <w:trPr>
          <w:trHeight w:val="300"/>
        </w:trPr>
        <w:tc>
          <w:tcPr>
            <w:tcW w:w="5812" w:type="dxa"/>
            <w:gridSpan w:val="3"/>
            <w:tcBorders>
              <w:top w:val="nil"/>
              <w:left w:val="nil"/>
              <w:bottom w:val="nil"/>
              <w:right w:val="nil"/>
            </w:tcBorders>
            <w:vAlign w:val="bottom"/>
            <w:hideMark/>
          </w:tcPr>
          <w:p w14:paraId="747D6566"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Lease liabilities</w:t>
            </w:r>
          </w:p>
        </w:tc>
        <w:tc>
          <w:tcPr>
            <w:tcW w:w="284" w:type="dxa"/>
            <w:tcBorders>
              <w:top w:val="nil"/>
              <w:left w:val="nil"/>
              <w:bottom w:val="nil"/>
              <w:right w:val="nil"/>
            </w:tcBorders>
            <w:vAlign w:val="bottom"/>
            <w:hideMark/>
          </w:tcPr>
          <w:p w14:paraId="09A7EB20"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261" w:type="dxa"/>
            <w:tcBorders>
              <w:top w:val="nil"/>
              <w:left w:val="nil"/>
              <w:bottom w:val="nil"/>
              <w:right w:val="nil"/>
            </w:tcBorders>
            <w:vAlign w:val="bottom"/>
            <w:hideMark/>
          </w:tcPr>
          <w:p w14:paraId="09F3E1DA" w14:textId="77777777" w:rsidR="00E91426" w:rsidRPr="00E91426" w:rsidRDefault="00E91426" w:rsidP="00E91426">
            <w:pPr>
              <w:widowControl/>
              <w:rPr>
                <w:rFonts w:ascii="Arial" w:eastAsia="Times New Roman" w:hAnsi="Arial" w:cs="Arial"/>
                <w:sz w:val="20"/>
                <w:szCs w:val="20"/>
                <w:lang w:val="en-GB" w:eastAsia="en-GB"/>
              </w:rPr>
            </w:pPr>
          </w:p>
        </w:tc>
        <w:tc>
          <w:tcPr>
            <w:tcW w:w="801" w:type="dxa"/>
            <w:tcBorders>
              <w:top w:val="nil"/>
              <w:left w:val="nil"/>
              <w:bottom w:val="nil"/>
              <w:right w:val="nil"/>
            </w:tcBorders>
            <w:vAlign w:val="bottom"/>
            <w:hideMark/>
          </w:tcPr>
          <w:p w14:paraId="6C2C16A6" w14:textId="77777777" w:rsidR="00E91426" w:rsidRPr="00E91426" w:rsidRDefault="00E91426" w:rsidP="00E91426">
            <w:pPr>
              <w:widowControl/>
              <w:rPr>
                <w:rFonts w:ascii="Arial" w:eastAsia="Times New Roman" w:hAnsi="Arial" w:cs="Arial"/>
                <w:sz w:val="20"/>
                <w:szCs w:val="20"/>
                <w:lang w:val="en-GB" w:eastAsia="en-GB"/>
              </w:rPr>
            </w:pPr>
          </w:p>
        </w:tc>
        <w:tc>
          <w:tcPr>
            <w:tcW w:w="939" w:type="dxa"/>
            <w:tcBorders>
              <w:top w:val="nil"/>
              <w:left w:val="nil"/>
              <w:bottom w:val="nil"/>
              <w:right w:val="nil"/>
            </w:tcBorders>
            <w:noWrap/>
            <w:vAlign w:val="bottom"/>
            <w:hideMark/>
          </w:tcPr>
          <w:p w14:paraId="726DCFD1"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1,072</w:t>
            </w:r>
          </w:p>
        </w:tc>
        <w:tc>
          <w:tcPr>
            <w:tcW w:w="222" w:type="dxa"/>
            <w:tcBorders>
              <w:top w:val="nil"/>
              <w:left w:val="nil"/>
              <w:bottom w:val="nil"/>
              <w:right w:val="nil"/>
            </w:tcBorders>
            <w:vAlign w:val="bottom"/>
            <w:hideMark/>
          </w:tcPr>
          <w:p w14:paraId="79CA8C51"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939" w:type="dxa"/>
            <w:tcBorders>
              <w:top w:val="nil"/>
              <w:left w:val="nil"/>
              <w:bottom w:val="nil"/>
              <w:right w:val="nil"/>
            </w:tcBorders>
            <w:noWrap/>
            <w:vAlign w:val="bottom"/>
            <w:hideMark/>
          </w:tcPr>
          <w:p w14:paraId="6A760851"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1,300</w:t>
            </w:r>
          </w:p>
        </w:tc>
        <w:tc>
          <w:tcPr>
            <w:tcW w:w="756" w:type="dxa"/>
            <w:tcBorders>
              <w:top w:val="nil"/>
              <w:left w:val="nil"/>
              <w:bottom w:val="nil"/>
              <w:right w:val="nil"/>
            </w:tcBorders>
            <w:vAlign w:val="bottom"/>
            <w:hideMark/>
          </w:tcPr>
          <w:p w14:paraId="4D2A063C"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r>
      <w:tr w:rsidR="00E91426" w:rsidRPr="00E91426" w14:paraId="6412DA6D" w14:textId="77777777" w:rsidTr="00E91426">
        <w:trPr>
          <w:trHeight w:val="315"/>
        </w:trPr>
        <w:tc>
          <w:tcPr>
            <w:tcW w:w="5812" w:type="dxa"/>
            <w:gridSpan w:val="3"/>
            <w:tcBorders>
              <w:top w:val="nil"/>
              <w:left w:val="nil"/>
              <w:bottom w:val="nil"/>
              <w:right w:val="nil"/>
            </w:tcBorders>
            <w:noWrap/>
            <w:vAlign w:val="bottom"/>
            <w:hideMark/>
          </w:tcPr>
          <w:p w14:paraId="44BEC328"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Total non-current borrowings</w:t>
            </w:r>
          </w:p>
        </w:tc>
        <w:tc>
          <w:tcPr>
            <w:tcW w:w="284" w:type="dxa"/>
            <w:tcBorders>
              <w:top w:val="nil"/>
              <w:left w:val="nil"/>
              <w:bottom w:val="nil"/>
              <w:right w:val="nil"/>
            </w:tcBorders>
            <w:vAlign w:val="bottom"/>
            <w:hideMark/>
          </w:tcPr>
          <w:p w14:paraId="6551AF25"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261" w:type="dxa"/>
            <w:tcBorders>
              <w:top w:val="nil"/>
              <w:left w:val="nil"/>
              <w:bottom w:val="nil"/>
              <w:right w:val="nil"/>
            </w:tcBorders>
            <w:vAlign w:val="bottom"/>
            <w:hideMark/>
          </w:tcPr>
          <w:p w14:paraId="09B90193" w14:textId="77777777" w:rsidR="00E91426" w:rsidRPr="00E91426" w:rsidRDefault="00E91426" w:rsidP="00E91426">
            <w:pPr>
              <w:widowControl/>
              <w:rPr>
                <w:rFonts w:ascii="Arial" w:eastAsia="Times New Roman" w:hAnsi="Arial" w:cs="Arial"/>
                <w:sz w:val="20"/>
                <w:szCs w:val="20"/>
                <w:lang w:val="en-GB" w:eastAsia="en-GB"/>
              </w:rPr>
            </w:pPr>
          </w:p>
        </w:tc>
        <w:tc>
          <w:tcPr>
            <w:tcW w:w="801" w:type="dxa"/>
            <w:tcBorders>
              <w:top w:val="nil"/>
              <w:left w:val="nil"/>
              <w:bottom w:val="nil"/>
              <w:right w:val="nil"/>
            </w:tcBorders>
            <w:vAlign w:val="bottom"/>
            <w:hideMark/>
          </w:tcPr>
          <w:p w14:paraId="197E23CB" w14:textId="77777777" w:rsidR="00E91426" w:rsidRPr="00E91426" w:rsidRDefault="00E91426" w:rsidP="00E91426">
            <w:pPr>
              <w:widowControl/>
              <w:rPr>
                <w:rFonts w:ascii="Arial" w:eastAsia="Times New Roman" w:hAnsi="Arial" w:cs="Arial"/>
                <w:sz w:val="20"/>
                <w:szCs w:val="20"/>
                <w:lang w:val="en-GB" w:eastAsia="en-GB"/>
              </w:rPr>
            </w:pPr>
          </w:p>
        </w:tc>
        <w:tc>
          <w:tcPr>
            <w:tcW w:w="939" w:type="dxa"/>
            <w:tcBorders>
              <w:top w:val="single" w:sz="4" w:space="0" w:color="auto"/>
              <w:left w:val="nil"/>
              <w:bottom w:val="single" w:sz="8" w:space="0" w:color="auto"/>
              <w:right w:val="nil"/>
            </w:tcBorders>
            <w:noWrap/>
            <w:vAlign w:val="bottom"/>
            <w:hideMark/>
          </w:tcPr>
          <w:p w14:paraId="172FEFDA"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2,717</w:t>
            </w:r>
          </w:p>
        </w:tc>
        <w:tc>
          <w:tcPr>
            <w:tcW w:w="222" w:type="dxa"/>
            <w:tcBorders>
              <w:top w:val="nil"/>
              <w:left w:val="nil"/>
              <w:bottom w:val="nil"/>
              <w:right w:val="nil"/>
            </w:tcBorders>
            <w:vAlign w:val="bottom"/>
            <w:hideMark/>
          </w:tcPr>
          <w:p w14:paraId="25112E2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39" w:type="dxa"/>
            <w:tcBorders>
              <w:top w:val="single" w:sz="4" w:space="0" w:color="auto"/>
              <w:left w:val="nil"/>
              <w:bottom w:val="single" w:sz="8" w:space="0" w:color="auto"/>
              <w:right w:val="nil"/>
            </w:tcBorders>
            <w:noWrap/>
            <w:vAlign w:val="bottom"/>
            <w:hideMark/>
          </w:tcPr>
          <w:p w14:paraId="1F244B3D"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3,072</w:t>
            </w:r>
          </w:p>
        </w:tc>
        <w:tc>
          <w:tcPr>
            <w:tcW w:w="756" w:type="dxa"/>
            <w:tcBorders>
              <w:top w:val="nil"/>
              <w:left w:val="nil"/>
              <w:bottom w:val="nil"/>
              <w:right w:val="nil"/>
            </w:tcBorders>
            <w:vAlign w:val="bottom"/>
            <w:hideMark/>
          </w:tcPr>
          <w:p w14:paraId="4E67180F"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r>
      <w:tr w:rsidR="00E91426" w:rsidRPr="00E91426" w14:paraId="07D18B9A" w14:textId="77777777" w:rsidTr="00E91426">
        <w:trPr>
          <w:trHeight w:val="150"/>
        </w:trPr>
        <w:tc>
          <w:tcPr>
            <w:tcW w:w="700" w:type="dxa"/>
            <w:tcBorders>
              <w:top w:val="nil"/>
              <w:left w:val="nil"/>
              <w:bottom w:val="nil"/>
              <w:right w:val="nil"/>
            </w:tcBorders>
            <w:noWrap/>
            <w:vAlign w:val="bottom"/>
            <w:hideMark/>
          </w:tcPr>
          <w:p w14:paraId="425285C7" w14:textId="77777777" w:rsidR="00E91426" w:rsidRPr="00E91426" w:rsidRDefault="00E91426" w:rsidP="00E91426">
            <w:pPr>
              <w:widowControl/>
              <w:rPr>
                <w:rFonts w:ascii="Arial" w:eastAsia="Times New Roman" w:hAnsi="Arial" w:cs="Arial"/>
                <w:sz w:val="20"/>
                <w:szCs w:val="20"/>
                <w:lang w:val="en-GB" w:eastAsia="en-GB"/>
              </w:rPr>
            </w:pPr>
          </w:p>
        </w:tc>
        <w:tc>
          <w:tcPr>
            <w:tcW w:w="1420" w:type="dxa"/>
            <w:tcBorders>
              <w:top w:val="nil"/>
              <w:left w:val="nil"/>
              <w:bottom w:val="nil"/>
              <w:right w:val="nil"/>
            </w:tcBorders>
            <w:vAlign w:val="bottom"/>
            <w:hideMark/>
          </w:tcPr>
          <w:p w14:paraId="72E2F8A2" w14:textId="77777777" w:rsidR="00E91426" w:rsidRPr="00E91426" w:rsidRDefault="00E91426" w:rsidP="00E91426">
            <w:pPr>
              <w:widowControl/>
              <w:rPr>
                <w:rFonts w:ascii="Arial" w:eastAsia="Times New Roman" w:hAnsi="Arial" w:cs="Arial"/>
                <w:sz w:val="20"/>
                <w:szCs w:val="20"/>
                <w:lang w:val="en-GB" w:eastAsia="en-GB"/>
              </w:rPr>
            </w:pPr>
          </w:p>
        </w:tc>
        <w:tc>
          <w:tcPr>
            <w:tcW w:w="3692" w:type="dxa"/>
            <w:tcBorders>
              <w:top w:val="nil"/>
              <w:left w:val="nil"/>
              <w:bottom w:val="nil"/>
              <w:right w:val="nil"/>
            </w:tcBorders>
            <w:vAlign w:val="bottom"/>
            <w:hideMark/>
          </w:tcPr>
          <w:p w14:paraId="08695AC9" w14:textId="77777777" w:rsidR="00E91426" w:rsidRPr="00E91426" w:rsidRDefault="00E91426" w:rsidP="00E91426">
            <w:pPr>
              <w:widowControl/>
              <w:rPr>
                <w:rFonts w:ascii="Arial" w:eastAsia="Times New Roman" w:hAnsi="Arial" w:cs="Arial"/>
                <w:sz w:val="20"/>
                <w:szCs w:val="20"/>
                <w:lang w:val="en-GB" w:eastAsia="en-GB"/>
              </w:rPr>
            </w:pPr>
          </w:p>
        </w:tc>
        <w:tc>
          <w:tcPr>
            <w:tcW w:w="284" w:type="dxa"/>
            <w:tcBorders>
              <w:top w:val="nil"/>
              <w:left w:val="nil"/>
              <w:bottom w:val="nil"/>
              <w:right w:val="nil"/>
            </w:tcBorders>
            <w:vAlign w:val="bottom"/>
            <w:hideMark/>
          </w:tcPr>
          <w:p w14:paraId="4CCC9547" w14:textId="77777777" w:rsidR="00E91426" w:rsidRPr="00E91426" w:rsidRDefault="00E91426" w:rsidP="00E91426">
            <w:pPr>
              <w:widowControl/>
              <w:rPr>
                <w:rFonts w:ascii="Arial" w:eastAsia="Times New Roman" w:hAnsi="Arial" w:cs="Arial"/>
                <w:sz w:val="20"/>
                <w:szCs w:val="20"/>
                <w:lang w:val="en-GB" w:eastAsia="en-GB"/>
              </w:rPr>
            </w:pPr>
          </w:p>
        </w:tc>
        <w:tc>
          <w:tcPr>
            <w:tcW w:w="261" w:type="dxa"/>
            <w:tcBorders>
              <w:top w:val="nil"/>
              <w:left w:val="nil"/>
              <w:bottom w:val="nil"/>
              <w:right w:val="nil"/>
            </w:tcBorders>
            <w:vAlign w:val="bottom"/>
            <w:hideMark/>
          </w:tcPr>
          <w:p w14:paraId="5F87B0D7" w14:textId="77777777" w:rsidR="00E91426" w:rsidRPr="00E91426" w:rsidRDefault="00E91426" w:rsidP="00E91426">
            <w:pPr>
              <w:widowControl/>
              <w:rPr>
                <w:rFonts w:ascii="Arial" w:eastAsia="Times New Roman" w:hAnsi="Arial" w:cs="Arial"/>
                <w:sz w:val="20"/>
                <w:szCs w:val="20"/>
                <w:lang w:val="en-GB" w:eastAsia="en-GB"/>
              </w:rPr>
            </w:pPr>
          </w:p>
        </w:tc>
        <w:tc>
          <w:tcPr>
            <w:tcW w:w="801" w:type="dxa"/>
            <w:tcBorders>
              <w:top w:val="nil"/>
              <w:left w:val="nil"/>
              <w:bottom w:val="nil"/>
              <w:right w:val="nil"/>
            </w:tcBorders>
            <w:vAlign w:val="bottom"/>
            <w:hideMark/>
          </w:tcPr>
          <w:p w14:paraId="7397FF18" w14:textId="77777777" w:rsidR="00E91426" w:rsidRPr="00E91426" w:rsidRDefault="00E91426" w:rsidP="00E91426">
            <w:pPr>
              <w:widowControl/>
              <w:rPr>
                <w:rFonts w:ascii="Arial" w:eastAsia="Times New Roman" w:hAnsi="Arial" w:cs="Arial"/>
                <w:sz w:val="20"/>
                <w:szCs w:val="20"/>
                <w:lang w:val="en-GB" w:eastAsia="en-GB"/>
              </w:rPr>
            </w:pPr>
          </w:p>
        </w:tc>
        <w:tc>
          <w:tcPr>
            <w:tcW w:w="939" w:type="dxa"/>
            <w:tcBorders>
              <w:top w:val="nil"/>
              <w:left w:val="nil"/>
              <w:bottom w:val="nil"/>
              <w:right w:val="nil"/>
            </w:tcBorders>
            <w:noWrap/>
            <w:vAlign w:val="bottom"/>
            <w:hideMark/>
          </w:tcPr>
          <w:p w14:paraId="29223781" w14:textId="77777777" w:rsidR="00E91426" w:rsidRPr="00E91426" w:rsidRDefault="00E91426" w:rsidP="00E91426">
            <w:pPr>
              <w:widowControl/>
              <w:rPr>
                <w:rFonts w:ascii="Arial" w:eastAsia="Times New Roman" w:hAnsi="Arial" w:cs="Arial"/>
                <w:sz w:val="20"/>
                <w:szCs w:val="20"/>
                <w:lang w:val="en-GB" w:eastAsia="en-GB"/>
              </w:rPr>
            </w:pPr>
          </w:p>
        </w:tc>
        <w:tc>
          <w:tcPr>
            <w:tcW w:w="222" w:type="dxa"/>
            <w:tcBorders>
              <w:top w:val="nil"/>
              <w:left w:val="nil"/>
              <w:bottom w:val="nil"/>
              <w:right w:val="nil"/>
            </w:tcBorders>
            <w:vAlign w:val="bottom"/>
            <w:hideMark/>
          </w:tcPr>
          <w:p w14:paraId="20B8060A" w14:textId="77777777" w:rsidR="00E91426" w:rsidRPr="00E91426" w:rsidRDefault="00E91426" w:rsidP="00E91426">
            <w:pPr>
              <w:widowControl/>
              <w:jc w:val="right"/>
              <w:rPr>
                <w:rFonts w:ascii="Arial" w:eastAsia="Times New Roman" w:hAnsi="Arial" w:cs="Arial"/>
                <w:sz w:val="20"/>
                <w:szCs w:val="20"/>
                <w:lang w:val="en-GB" w:eastAsia="en-GB"/>
              </w:rPr>
            </w:pPr>
          </w:p>
        </w:tc>
        <w:tc>
          <w:tcPr>
            <w:tcW w:w="939" w:type="dxa"/>
            <w:tcBorders>
              <w:top w:val="nil"/>
              <w:left w:val="nil"/>
              <w:bottom w:val="nil"/>
              <w:right w:val="nil"/>
            </w:tcBorders>
            <w:noWrap/>
            <w:vAlign w:val="bottom"/>
            <w:hideMark/>
          </w:tcPr>
          <w:p w14:paraId="4ECC6D9F" w14:textId="77777777" w:rsidR="00E91426" w:rsidRPr="00E91426" w:rsidRDefault="00E91426" w:rsidP="00E91426">
            <w:pPr>
              <w:widowControl/>
              <w:rPr>
                <w:rFonts w:ascii="Arial" w:eastAsia="Times New Roman" w:hAnsi="Arial" w:cs="Arial"/>
                <w:sz w:val="20"/>
                <w:szCs w:val="20"/>
                <w:lang w:val="en-GB" w:eastAsia="en-GB"/>
              </w:rPr>
            </w:pPr>
          </w:p>
        </w:tc>
        <w:tc>
          <w:tcPr>
            <w:tcW w:w="756" w:type="dxa"/>
            <w:tcBorders>
              <w:top w:val="nil"/>
              <w:left w:val="nil"/>
              <w:bottom w:val="nil"/>
              <w:right w:val="nil"/>
            </w:tcBorders>
            <w:vAlign w:val="bottom"/>
            <w:hideMark/>
          </w:tcPr>
          <w:p w14:paraId="13964B40" w14:textId="77777777" w:rsidR="00E91426" w:rsidRPr="00E91426" w:rsidRDefault="00E91426" w:rsidP="00E91426">
            <w:pPr>
              <w:widowControl/>
              <w:jc w:val="right"/>
              <w:rPr>
                <w:rFonts w:ascii="Arial" w:eastAsia="Times New Roman" w:hAnsi="Arial" w:cs="Arial"/>
                <w:sz w:val="20"/>
                <w:szCs w:val="20"/>
                <w:lang w:val="en-GB" w:eastAsia="en-GB"/>
              </w:rPr>
            </w:pPr>
          </w:p>
        </w:tc>
      </w:tr>
      <w:tr w:rsidR="00E91426" w:rsidRPr="00E91426" w14:paraId="6AF1B26D" w14:textId="77777777" w:rsidTr="00E91426">
        <w:trPr>
          <w:trHeight w:val="282"/>
        </w:trPr>
        <w:tc>
          <w:tcPr>
            <w:tcW w:w="2120" w:type="dxa"/>
            <w:gridSpan w:val="2"/>
            <w:tcBorders>
              <w:top w:val="nil"/>
              <w:left w:val="nil"/>
              <w:bottom w:val="nil"/>
              <w:right w:val="nil"/>
            </w:tcBorders>
            <w:noWrap/>
            <w:vAlign w:val="bottom"/>
            <w:hideMark/>
          </w:tcPr>
          <w:p w14:paraId="0CE55303"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Total borrowings</w:t>
            </w:r>
          </w:p>
        </w:tc>
        <w:tc>
          <w:tcPr>
            <w:tcW w:w="3692" w:type="dxa"/>
            <w:tcBorders>
              <w:top w:val="nil"/>
              <w:left w:val="nil"/>
              <w:bottom w:val="nil"/>
              <w:right w:val="nil"/>
            </w:tcBorders>
            <w:vAlign w:val="bottom"/>
            <w:hideMark/>
          </w:tcPr>
          <w:p w14:paraId="54AE592E"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284" w:type="dxa"/>
            <w:tcBorders>
              <w:top w:val="nil"/>
              <w:left w:val="nil"/>
              <w:bottom w:val="nil"/>
              <w:right w:val="nil"/>
            </w:tcBorders>
            <w:vAlign w:val="bottom"/>
            <w:hideMark/>
          </w:tcPr>
          <w:p w14:paraId="3FA0114D" w14:textId="77777777" w:rsidR="00E91426" w:rsidRPr="00E91426" w:rsidRDefault="00E91426" w:rsidP="00E91426">
            <w:pPr>
              <w:widowControl/>
              <w:rPr>
                <w:rFonts w:ascii="Arial" w:eastAsia="Times New Roman" w:hAnsi="Arial" w:cs="Arial"/>
                <w:sz w:val="20"/>
                <w:szCs w:val="20"/>
                <w:lang w:val="en-GB" w:eastAsia="en-GB"/>
              </w:rPr>
            </w:pPr>
          </w:p>
        </w:tc>
        <w:tc>
          <w:tcPr>
            <w:tcW w:w="261" w:type="dxa"/>
            <w:tcBorders>
              <w:top w:val="nil"/>
              <w:left w:val="nil"/>
              <w:bottom w:val="nil"/>
              <w:right w:val="nil"/>
            </w:tcBorders>
            <w:vAlign w:val="bottom"/>
            <w:hideMark/>
          </w:tcPr>
          <w:p w14:paraId="7AC49DC5" w14:textId="77777777" w:rsidR="00E91426" w:rsidRPr="00E91426" w:rsidRDefault="00E91426" w:rsidP="00E91426">
            <w:pPr>
              <w:widowControl/>
              <w:rPr>
                <w:rFonts w:ascii="Arial" w:eastAsia="Times New Roman" w:hAnsi="Arial" w:cs="Arial"/>
                <w:sz w:val="20"/>
                <w:szCs w:val="20"/>
                <w:lang w:val="en-GB" w:eastAsia="en-GB"/>
              </w:rPr>
            </w:pPr>
          </w:p>
        </w:tc>
        <w:tc>
          <w:tcPr>
            <w:tcW w:w="801" w:type="dxa"/>
            <w:tcBorders>
              <w:top w:val="nil"/>
              <w:left w:val="nil"/>
              <w:bottom w:val="nil"/>
              <w:right w:val="nil"/>
            </w:tcBorders>
            <w:vAlign w:val="bottom"/>
            <w:hideMark/>
          </w:tcPr>
          <w:p w14:paraId="63E596DC" w14:textId="77777777" w:rsidR="00E91426" w:rsidRPr="00E91426" w:rsidRDefault="00E91426" w:rsidP="00E91426">
            <w:pPr>
              <w:widowControl/>
              <w:rPr>
                <w:rFonts w:ascii="Arial" w:eastAsia="Times New Roman" w:hAnsi="Arial" w:cs="Arial"/>
                <w:sz w:val="20"/>
                <w:szCs w:val="20"/>
                <w:lang w:val="en-GB" w:eastAsia="en-GB"/>
              </w:rPr>
            </w:pPr>
          </w:p>
        </w:tc>
        <w:tc>
          <w:tcPr>
            <w:tcW w:w="939" w:type="dxa"/>
            <w:tcBorders>
              <w:top w:val="single" w:sz="4" w:space="0" w:color="auto"/>
              <w:left w:val="nil"/>
              <w:bottom w:val="double" w:sz="6" w:space="0" w:color="auto"/>
              <w:right w:val="nil"/>
            </w:tcBorders>
            <w:noWrap/>
            <w:vAlign w:val="bottom"/>
            <w:hideMark/>
          </w:tcPr>
          <w:p w14:paraId="79D95F58"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3,046</w:t>
            </w:r>
          </w:p>
        </w:tc>
        <w:tc>
          <w:tcPr>
            <w:tcW w:w="222" w:type="dxa"/>
            <w:tcBorders>
              <w:top w:val="nil"/>
              <w:left w:val="nil"/>
              <w:bottom w:val="nil"/>
              <w:right w:val="nil"/>
            </w:tcBorders>
            <w:vAlign w:val="bottom"/>
            <w:hideMark/>
          </w:tcPr>
          <w:p w14:paraId="232BA29D"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39" w:type="dxa"/>
            <w:tcBorders>
              <w:top w:val="single" w:sz="4" w:space="0" w:color="auto"/>
              <w:left w:val="nil"/>
              <w:bottom w:val="double" w:sz="6" w:space="0" w:color="auto"/>
              <w:right w:val="nil"/>
            </w:tcBorders>
            <w:noWrap/>
            <w:vAlign w:val="bottom"/>
            <w:hideMark/>
          </w:tcPr>
          <w:p w14:paraId="5C0A2D63"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3,430</w:t>
            </w:r>
          </w:p>
        </w:tc>
        <w:tc>
          <w:tcPr>
            <w:tcW w:w="756" w:type="dxa"/>
            <w:tcBorders>
              <w:top w:val="nil"/>
              <w:left w:val="nil"/>
              <w:bottom w:val="nil"/>
              <w:right w:val="nil"/>
            </w:tcBorders>
            <w:vAlign w:val="bottom"/>
            <w:hideMark/>
          </w:tcPr>
          <w:p w14:paraId="0D7C0C5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r>
      <w:tr w:rsidR="00E91426" w:rsidRPr="00E91426" w14:paraId="05471128" w14:textId="77777777" w:rsidTr="00E91426">
        <w:trPr>
          <w:trHeight w:val="510"/>
        </w:trPr>
        <w:tc>
          <w:tcPr>
            <w:tcW w:w="10010" w:type="dxa"/>
            <w:gridSpan w:val="10"/>
            <w:tcBorders>
              <w:top w:val="nil"/>
              <w:left w:val="nil"/>
              <w:bottom w:val="nil"/>
              <w:right w:val="nil"/>
            </w:tcBorders>
            <w:vAlign w:val="bottom"/>
            <w:hideMark/>
          </w:tcPr>
          <w:p w14:paraId="5556FD7A" w14:textId="77777777" w:rsidR="00E91426" w:rsidRPr="00E91426" w:rsidRDefault="00E91426" w:rsidP="00E91426">
            <w:pPr>
              <w:widowControl/>
              <w:rPr>
                <w:rFonts w:ascii="Arial" w:eastAsia="Times New Roman" w:hAnsi="Arial" w:cs="Arial"/>
                <w:color w:val="000000"/>
                <w:sz w:val="18"/>
                <w:szCs w:val="18"/>
                <w:lang w:val="en-GB" w:eastAsia="en-GB"/>
              </w:rPr>
            </w:pPr>
            <w:r w:rsidRPr="00E91426">
              <w:rPr>
                <w:rFonts w:ascii="Arial" w:eastAsia="Times New Roman" w:hAnsi="Arial" w:cs="Arial"/>
                <w:color w:val="000000"/>
                <w:sz w:val="18"/>
                <w:szCs w:val="18"/>
                <w:vertAlign w:val="superscript"/>
                <w:lang w:val="en-GB" w:eastAsia="en-GB"/>
              </w:rPr>
              <w:t>1</w:t>
            </w:r>
            <w:r w:rsidRPr="00E91426">
              <w:rPr>
                <w:rFonts w:ascii="Arial" w:eastAsia="Times New Roman" w:hAnsi="Arial" w:cs="Arial"/>
                <w:color w:val="000000"/>
                <w:sz w:val="18"/>
                <w:szCs w:val="18"/>
                <w:lang w:val="en-GB" w:eastAsia="en-GB"/>
              </w:rPr>
              <w:t>Includes</w:t>
            </w:r>
            <w:r w:rsidRPr="00E91426">
              <w:rPr>
                <w:rFonts w:ascii="Arial" w:eastAsia="Times New Roman" w:hAnsi="Arial" w:cs="Arial"/>
                <w:color w:val="FF0000"/>
                <w:sz w:val="18"/>
                <w:szCs w:val="18"/>
                <w:lang w:val="en-GB" w:eastAsia="en-GB"/>
              </w:rPr>
              <w:t xml:space="preserve"> </w:t>
            </w:r>
            <w:r w:rsidRPr="00E91426">
              <w:rPr>
                <w:rFonts w:ascii="Arial" w:eastAsia="Times New Roman" w:hAnsi="Arial" w:cs="Arial"/>
                <w:sz w:val="18"/>
                <w:szCs w:val="18"/>
                <w:lang w:val="en-GB" w:eastAsia="en-GB"/>
              </w:rPr>
              <w:t xml:space="preserve">£8k (2023/24 £9k) </w:t>
            </w:r>
            <w:r w:rsidRPr="00E91426">
              <w:rPr>
                <w:rFonts w:ascii="Arial" w:eastAsia="Times New Roman" w:hAnsi="Arial" w:cs="Arial"/>
                <w:color w:val="000000"/>
                <w:sz w:val="18"/>
                <w:szCs w:val="18"/>
                <w:lang w:val="en-GB" w:eastAsia="en-GB"/>
              </w:rPr>
              <w:t>of interest payable in accordance with IFRS9.</w:t>
            </w:r>
          </w:p>
        </w:tc>
      </w:tr>
    </w:tbl>
    <w:p w14:paraId="1269EB39" w14:textId="77777777" w:rsidR="00E91426" w:rsidRPr="00E91426" w:rsidRDefault="00E91426" w:rsidP="00E91426">
      <w:pPr>
        <w:widowControl/>
        <w:spacing w:after="160" w:line="259" w:lineRule="auto"/>
        <w:rPr>
          <w:rFonts w:ascii="Arial" w:eastAsia="Calibri" w:hAnsi="Arial" w:cs="Arial"/>
          <w:sz w:val="20"/>
          <w:szCs w:val="20"/>
          <w:lang w:val="en-GB"/>
        </w:rPr>
      </w:pPr>
    </w:p>
    <w:p w14:paraId="0471AC52" w14:textId="77777777" w:rsidR="00E91426" w:rsidRPr="00E91426" w:rsidRDefault="00E91426" w:rsidP="00E91426">
      <w:pPr>
        <w:widowControl/>
        <w:spacing w:after="160" w:line="259" w:lineRule="auto"/>
        <w:rPr>
          <w:rFonts w:ascii="Arial" w:eastAsia="Calibri" w:hAnsi="Arial" w:cs="Arial"/>
          <w:sz w:val="20"/>
          <w:szCs w:val="20"/>
          <w:lang w:val="en-GB"/>
        </w:rPr>
      </w:pPr>
      <w:r w:rsidRPr="00E91426">
        <w:rPr>
          <w:rFonts w:ascii="Arial" w:eastAsia="Calibri" w:hAnsi="Arial" w:cs="Arial"/>
          <w:sz w:val="20"/>
          <w:szCs w:val="20"/>
          <w:lang w:val="en-GB"/>
        </w:rPr>
        <w:br w:type="page"/>
      </w:r>
    </w:p>
    <w:p w14:paraId="17EC8BA0" w14:textId="77777777" w:rsidR="00E91426" w:rsidRPr="00E91426" w:rsidRDefault="00E91426" w:rsidP="00E91426">
      <w:pPr>
        <w:widowControl/>
        <w:spacing w:after="160" w:line="259" w:lineRule="auto"/>
        <w:rPr>
          <w:rFonts w:ascii="Arial" w:eastAsia="Calibri" w:hAnsi="Arial" w:cs="Arial"/>
          <w:sz w:val="20"/>
          <w:szCs w:val="20"/>
          <w:lang w:val="en-GB"/>
        </w:rPr>
      </w:pPr>
      <w:bookmarkStart w:id="82" w:name="RANGE!B1:G35"/>
    </w:p>
    <w:tbl>
      <w:tblPr>
        <w:tblW w:w="8981" w:type="dxa"/>
        <w:tblLook w:val="04A0" w:firstRow="1" w:lastRow="0" w:firstColumn="1" w:lastColumn="0" w:noHBand="0" w:noVBand="1"/>
      </w:tblPr>
      <w:tblGrid>
        <w:gridCol w:w="4520"/>
        <w:gridCol w:w="900"/>
        <w:gridCol w:w="222"/>
        <w:gridCol w:w="1100"/>
        <w:gridCol w:w="1100"/>
        <w:gridCol w:w="1139"/>
      </w:tblGrid>
      <w:tr w:rsidR="00E91426" w:rsidRPr="00E91426" w14:paraId="4F9BC89E" w14:textId="77777777" w:rsidTr="00E91426">
        <w:trPr>
          <w:trHeight w:val="282"/>
        </w:trPr>
        <w:tc>
          <w:tcPr>
            <w:tcW w:w="6742" w:type="dxa"/>
            <w:gridSpan w:val="4"/>
            <w:tcBorders>
              <w:top w:val="nil"/>
              <w:left w:val="nil"/>
              <w:bottom w:val="nil"/>
              <w:right w:val="nil"/>
            </w:tcBorders>
            <w:noWrap/>
            <w:vAlign w:val="bottom"/>
            <w:hideMark/>
          </w:tcPr>
          <w:p w14:paraId="68B537B0" w14:textId="77777777" w:rsidR="00E91426" w:rsidRPr="00E91426" w:rsidRDefault="00E91426" w:rsidP="00E91426">
            <w:pPr>
              <w:widowControl/>
              <w:spacing w:after="160" w:line="259" w:lineRule="auto"/>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Note 20.1 Reconciliation of liabilities arising from financing activities</w:t>
            </w:r>
          </w:p>
        </w:tc>
        <w:tc>
          <w:tcPr>
            <w:tcW w:w="1100" w:type="dxa"/>
            <w:tcBorders>
              <w:top w:val="nil"/>
              <w:left w:val="nil"/>
              <w:bottom w:val="nil"/>
              <w:right w:val="nil"/>
            </w:tcBorders>
            <w:vAlign w:val="bottom"/>
            <w:hideMark/>
          </w:tcPr>
          <w:p w14:paraId="0B264E7B"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1139" w:type="dxa"/>
            <w:tcBorders>
              <w:top w:val="nil"/>
              <w:left w:val="nil"/>
              <w:bottom w:val="nil"/>
              <w:right w:val="nil"/>
            </w:tcBorders>
            <w:vAlign w:val="bottom"/>
            <w:hideMark/>
          </w:tcPr>
          <w:p w14:paraId="579D7B9B"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036838EA" w14:textId="77777777" w:rsidTr="00E91426">
        <w:trPr>
          <w:trHeight w:val="300"/>
        </w:trPr>
        <w:tc>
          <w:tcPr>
            <w:tcW w:w="4520" w:type="dxa"/>
            <w:tcBorders>
              <w:top w:val="nil"/>
              <w:left w:val="nil"/>
              <w:bottom w:val="nil"/>
              <w:right w:val="nil"/>
            </w:tcBorders>
            <w:vAlign w:val="bottom"/>
            <w:hideMark/>
          </w:tcPr>
          <w:p w14:paraId="266C310A" w14:textId="77777777" w:rsidR="00E91426" w:rsidRPr="00E91426" w:rsidRDefault="00E91426" w:rsidP="00E91426">
            <w:pPr>
              <w:widowControl/>
              <w:rPr>
                <w:rFonts w:ascii="Arial" w:eastAsia="Times New Roman" w:hAnsi="Arial" w:cs="Arial"/>
                <w:sz w:val="20"/>
                <w:szCs w:val="20"/>
                <w:lang w:val="en-GB" w:eastAsia="en-GB"/>
              </w:rPr>
            </w:pPr>
          </w:p>
        </w:tc>
        <w:tc>
          <w:tcPr>
            <w:tcW w:w="900" w:type="dxa"/>
            <w:tcBorders>
              <w:top w:val="nil"/>
              <w:left w:val="nil"/>
              <w:bottom w:val="nil"/>
              <w:right w:val="nil"/>
            </w:tcBorders>
            <w:vAlign w:val="bottom"/>
            <w:hideMark/>
          </w:tcPr>
          <w:p w14:paraId="1FA205BB" w14:textId="77777777" w:rsidR="00E91426" w:rsidRPr="00E91426" w:rsidRDefault="00E91426" w:rsidP="00E91426">
            <w:pPr>
              <w:widowControl/>
              <w:rPr>
                <w:rFonts w:ascii="Arial" w:eastAsia="Times New Roman" w:hAnsi="Arial" w:cs="Arial"/>
                <w:sz w:val="20"/>
                <w:szCs w:val="20"/>
                <w:lang w:val="en-GB" w:eastAsia="en-GB"/>
              </w:rPr>
            </w:pPr>
          </w:p>
        </w:tc>
        <w:tc>
          <w:tcPr>
            <w:tcW w:w="222" w:type="dxa"/>
            <w:tcBorders>
              <w:top w:val="nil"/>
              <w:left w:val="nil"/>
              <w:bottom w:val="nil"/>
              <w:right w:val="nil"/>
            </w:tcBorders>
            <w:vAlign w:val="bottom"/>
            <w:hideMark/>
          </w:tcPr>
          <w:p w14:paraId="25C29A25" w14:textId="77777777" w:rsidR="00E91426" w:rsidRPr="00E91426" w:rsidRDefault="00E91426" w:rsidP="00E91426">
            <w:pPr>
              <w:widowControl/>
              <w:rPr>
                <w:rFonts w:ascii="Arial" w:eastAsia="Times New Roman" w:hAnsi="Arial" w:cs="Arial"/>
                <w:sz w:val="20"/>
                <w:szCs w:val="20"/>
                <w:lang w:val="en-GB" w:eastAsia="en-GB"/>
              </w:rPr>
            </w:pPr>
          </w:p>
        </w:tc>
        <w:tc>
          <w:tcPr>
            <w:tcW w:w="1100" w:type="dxa"/>
            <w:tcBorders>
              <w:top w:val="nil"/>
              <w:left w:val="nil"/>
              <w:bottom w:val="nil"/>
              <w:right w:val="nil"/>
            </w:tcBorders>
            <w:vAlign w:val="bottom"/>
            <w:hideMark/>
          </w:tcPr>
          <w:p w14:paraId="35A054A9" w14:textId="77777777" w:rsidR="00E91426" w:rsidRPr="00E91426" w:rsidRDefault="00E91426" w:rsidP="00E91426">
            <w:pPr>
              <w:widowControl/>
              <w:rPr>
                <w:rFonts w:ascii="Arial" w:eastAsia="Times New Roman" w:hAnsi="Arial" w:cs="Arial"/>
                <w:sz w:val="20"/>
                <w:szCs w:val="20"/>
                <w:lang w:val="en-GB" w:eastAsia="en-GB"/>
              </w:rPr>
            </w:pPr>
          </w:p>
        </w:tc>
        <w:tc>
          <w:tcPr>
            <w:tcW w:w="1100" w:type="dxa"/>
            <w:tcBorders>
              <w:top w:val="nil"/>
              <w:left w:val="nil"/>
              <w:bottom w:val="nil"/>
              <w:right w:val="nil"/>
            </w:tcBorders>
            <w:vAlign w:val="bottom"/>
            <w:hideMark/>
          </w:tcPr>
          <w:p w14:paraId="62DC9B5A" w14:textId="77777777" w:rsidR="00E91426" w:rsidRPr="00E91426" w:rsidRDefault="00E91426" w:rsidP="00E91426">
            <w:pPr>
              <w:widowControl/>
              <w:rPr>
                <w:rFonts w:ascii="Arial" w:eastAsia="Times New Roman" w:hAnsi="Arial" w:cs="Arial"/>
                <w:sz w:val="20"/>
                <w:szCs w:val="20"/>
                <w:lang w:val="en-GB" w:eastAsia="en-GB"/>
              </w:rPr>
            </w:pPr>
          </w:p>
        </w:tc>
        <w:tc>
          <w:tcPr>
            <w:tcW w:w="1139" w:type="dxa"/>
            <w:tcBorders>
              <w:top w:val="nil"/>
              <w:left w:val="nil"/>
              <w:bottom w:val="nil"/>
              <w:right w:val="nil"/>
            </w:tcBorders>
            <w:vAlign w:val="bottom"/>
            <w:hideMark/>
          </w:tcPr>
          <w:p w14:paraId="4440C23B"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0393E490" w14:textId="77777777" w:rsidTr="00E91426">
        <w:trPr>
          <w:trHeight w:val="525"/>
        </w:trPr>
        <w:tc>
          <w:tcPr>
            <w:tcW w:w="4520" w:type="dxa"/>
            <w:tcBorders>
              <w:top w:val="nil"/>
              <w:left w:val="nil"/>
              <w:bottom w:val="nil"/>
              <w:right w:val="nil"/>
            </w:tcBorders>
            <w:vAlign w:val="bottom"/>
            <w:hideMark/>
          </w:tcPr>
          <w:p w14:paraId="505C1690" w14:textId="77777777" w:rsidR="00E91426" w:rsidRPr="00E91426" w:rsidRDefault="00E91426" w:rsidP="00E91426">
            <w:pPr>
              <w:widowControl/>
              <w:rPr>
                <w:rFonts w:ascii="Arial" w:eastAsia="Times New Roman" w:hAnsi="Arial" w:cs="Arial"/>
                <w:sz w:val="20"/>
                <w:szCs w:val="20"/>
                <w:lang w:val="en-GB" w:eastAsia="en-GB"/>
              </w:rPr>
            </w:pPr>
          </w:p>
        </w:tc>
        <w:tc>
          <w:tcPr>
            <w:tcW w:w="900" w:type="dxa"/>
            <w:tcBorders>
              <w:top w:val="nil"/>
              <w:left w:val="nil"/>
              <w:bottom w:val="nil"/>
              <w:right w:val="nil"/>
            </w:tcBorders>
            <w:vAlign w:val="bottom"/>
            <w:hideMark/>
          </w:tcPr>
          <w:p w14:paraId="77DA7CEF" w14:textId="77777777" w:rsidR="00E91426" w:rsidRPr="00E91426" w:rsidRDefault="00E91426" w:rsidP="00E91426">
            <w:pPr>
              <w:widowControl/>
              <w:rPr>
                <w:rFonts w:ascii="Arial" w:eastAsia="Times New Roman" w:hAnsi="Arial" w:cs="Arial"/>
                <w:sz w:val="20"/>
                <w:szCs w:val="20"/>
                <w:lang w:val="en-GB" w:eastAsia="en-GB"/>
              </w:rPr>
            </w:pPr>
          </w:p>
        </w:tc>
        <w:tc>
          <w:tcPr>
            <w:tcW w:w="222" w:type="dxa"/>
            <w:tcBorders>
              <w:top w:val="nil"/>
              <w:left w:val="nil"/>
              <w:bottom w:val="nil"/>
              <w:right w:val="nil"/>
            </w:tcBorders>
            <w:vAlign w:val="bottom"/>
            <w:hideMark/>
          </w:tcPr>
          <w:p w14:paraId="13F7C8E0" w14:textId="77777777" w:rsidR="00E91426" w:rsidRPr="00E91426" w:rsidRDefault="00E91426" w:rsidP="00E91426">
            <w:pPr>
              <w:widowControl/>
              <w:rPr>
                <w:rFonts w:ascii="Arial" w:eastAsia="Times New Roman" w:hAnsi="Arial" w:cs="Arial"/>
                <w:sz w:val="20"/>
                <w:szCs w:val="20"/>
                <w:lang w:val="en-GB" w:eastAsia="en-GB"/>
              </w:rPr>
            </w:pPr>
          </w:p>
        </w:tc>
        <w:tc>
          <w:tcPr>
            <w:tcW w:w="1100" w:type="dxa"/>
            <w:tcBorders>
              <w:top w:val="nil"/>
              <w:left w:val="nil"/>
              <w:bottom w:val="nil"/>
              <w:right w:val="nil"/>
            </w:tcBorders>
            <w:vAlign w:val="bottom"/>
            <w:hideMark/>
          </w:tcPr>
          <w:p w14:paraId="23E1EA28"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TOTAL</w:t>
            </w:r>
          </w:p>
        </w:tc>
        <w:tc>
          <w:tcPr>
            <w:tcW w:w="1100" w:type="dxa"/>
            <w:tcBorders>
              <w:top w:val="nil"/>
              <w:left w:val="nil"/>
              <w:bottom w:val="nil"/>
              <w:right w:val="nil"/>
            </w:tcBorders>
            <w:vAlign w:val="bottom"/>
            <w:hideMark/>
          </w:tcPr>
          <w:p w14:paraId="2CE0BD8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DHSC Loans</w:t>
            </w:r>
          </w:p>
        </w:tc>
        <w:tc>
          <w:tcPr>
            <w:tcW w:w="1139" w:type="dxa"/>
            <w:tcBorders>
              <w:top w:val="nil"/>
              <w:left w:val="nil"/>
              <w:bottom w:val="nil"/>
              <w:right w:val="nil"/>
            </w:tcBorders>
            <w:vAlign w:val="bottom"/>
            <w:hideMark/>
          </w:tcPr>
          <w:p w14:paraId="44D391F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Lease Liabilities</w:t>
            </w:r>
          </w:p>
        </w:tc>
      </w:tr>
      <w:tr w:rsidR="00E91426" w:rsidRPr="00E91426" w14:paraId="7C57DA2D" w14:textId="77777777" w:rsidTr="00E91426">
        <w:trPr>
          <w:trHeight w:val="282"/>
        </w:trPr>
        <w:tc>
          <w:tcPr>
            <w:tcW w:w="4520" w:type="dxa"/>
            <w:tcBorders>
              <w:top w:val="nil"/>
              <w:left w:val="nil"/>
              <w:bottom w:val="nil"/>
              <w:right w:val="nil"/>
            </w:tcBorders>
            <w:vAlign w:val="bottom"/>
            <w:hideMark/>
          </w:tcPr>
          <w:p w14:paraId="5BB4196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00" w:type="dxa"/>
            <w:tcBorders>
              <w:top w:val="nil"/>
              <w:left w:val="nil"/>
              <w:bottom w:val="nil"/>
              <w:right w:val="nil"/>
            </w:tcBorders>
            <w:vAlign w:val="bottom"/>
            <w:hideMark/>
          </w:tcPr>
          <w:p w14:paraId="273EEA32" w14:textId="77777777" w:rsidR="00E91426" w:rsidRPr="00E91426" w:rsidRDefault="00E91426" w:rsidP="00E91426">
            <w:pPr>
              <w:widowControl/>
              <w:rPr>
                <w:rFonts w:ascii="Arial" w:eastAsia="Times New Roman" w:hAnsi="Arial" w:cs="Arial"/>
                <w:sz w:val="20"/>
                <w:szCs w:val="20"/>
                <w:lang w:val="en-GB" w:eastAsia="en-GB"/>
              </w:rPr>
            </w:pPr>
          </w:p>
        </w:tc>
        <w:tc>
          <w:tcPr>
            <w:tcW w:w="222" w:type="dxa"/>
            <w:tcBorders>
              <w:top w:val="nil"/>
              <w:left w:val="nil"/>
              <w:bottom w:val="nil"/>
              <w:right w:val="nil"/>
            </w:tcBorders>
            <w:vAlign w:val="bottom"/>
            <w:hideMark/>
          </w:tcPr>
          <w:p w14:paraId="33AB43FA" w14:textId="77777777" w:rsidR="00E91426" w:rsidRPr="00E91426" w:rsidRDefault="00E91426" w:rsidP="00E91426">
            <w:pPr>
              <w:widowControl/>
              <w:rPr>
                <w:rFonts w:ascii="Arial" w:eastAsia="Times New Roman" w:hAnsi="Arial" w:cs="Arial"/>
                <w:sz w:val="20"/>
                <w:szCs w:val="20"/>
                <w:lang w:val="en-GB" w:eastAsia="en-GB"/>
              </w:rPr>
            </w:pPr>
          </w:p>
        </w:tc>
        <w:tc>
          <w:tcPr>
            <w:tcW w:w="1100" w:type="dxa"/>
            <w:tcBorders>
              <w:top w:val="nil"/>
              <w:left w:val="nil"/>
              <w:bottom w:val="nil"/>
              <w:right w:val="nil"/>
            </w:tcBorders>
            <w:vAlign w:val="bottom"/>
            <w:hideMark/>
          </w:tcPr>
          <w:p w14:paraId="4C5B900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1100" w:type="dxa"/>
            <w:tcBorders>
              <w:top w:val="nil"/>
              <w:left w:val="nil"/>
              <w:bottom w:val="nil"/>
              <w:right w:val="nil"/>
            </w:tcBorders>
            <w:vAlign w:val="bottom"/>
            <w:hideMark/>
          </w:tcPr>
          <w:p w14:paraId="6FB258CD"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1139" w:type="dxa"/>
            <w:tcBorders>
              <w:top w:val="nil"/>
              <w:left w:val="nil"/>
              <w:bottom w:val="nil"/>
              <w:right w:val="nil"/>
            </w:tcBorders>
            <w:vAlign w:val="bottom"/>
            <w:hideMark/>
          </w:tcPr>
          <w:p w14:paraId="2805AA02"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r>
      <w:tr w:rsidR="00E91426" w:rsidRPr="00E91426" w14:paraId="5DD797C9" w14:textId="77777777" w:rsidTr="00E91426">
        <w:trPr>
          <w:trHeight w:val="282"/>
        </w:trPr>
        <w:tc>
          <w:tcPr>
            <w:tcW w:w="5420" w:type="dxa"/>
            <w:gridSpan w:val="2"/>
            <w:tcBorders>
              <w:top w:val="nil"/>
              <w:left w:val="nil"/>
              <w:bottom w:val="nil"/>
              <w:right w:val="nil"/>
            </w:tcBorders>
            <w:vAlign w:val="bottom"/>
            <w:hideMark/>
          </w:tcPr>
          <w:p w14:paraId="5159ED2D"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Carrying value at 1 April 2024</w:t>
            </w:r>
          </w:p>
        </w:tc>
        <w:tc>
          <w:tcPr>
            <w:tcW w:w="222" w:type="dxa"/>
            <w:tcBorders>
              <w:top w:val="nil"/>
              <w:left w:val="nil"/>
              <w:bottom w:val="nil"/>
              <w:right w:val="nil"/>
            </w:tcBorders>
            <w:vAlign w:val="bottom"/>
            <w:hideMark/>
          </w:tcPr>
          <w:p w14:paraId="01ECC8DE"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1100" w:type="dxa"/>
            <w:tcBorders>
              <w:top w:val="nil"/>
              <w:left w:val="nil"/>
              <w:bottom w:val="nil"/>
              <w:right w:val="nil"/>
            </w:tcBorders>
            <w:noWrap/>
            <w:vAlign w:val="bottom"/>
            <w:hideMark/>
          </w:tcPr>
          <w:p w14:paraId="73E2A73D"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3,430</w:t>
            </w:r>
          </w:p>
        </w:tc>
        <w:tc>
          <w:tcPr>
            <w:tcW w:w="1100" w:type="dxa"/>
            <w:tcBorders>
              <w:top w:val="nil"/>
              <w:left w:val="nil"/>
              <w:bottom w:val="nil"/>
              <w:right w:val="nil"/>
            </w:tcBorders>
            <w:noWrap/>
            <w:vAlign w:val="bottom"/>
            <w:hideMark/>
          </w:tcPr>
          <w:p w14:paraId="5936D103"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1,907</w:t>
            </w:r>
          </w:p>
        </w:tc>
        <w:tc>
          <w:tcPr>
            <w:tcW w:w="1139" w:type="dxa"/>
            <w:tcBorders>
              <w:top w:val="nil"/>
              <w:left w:val="nil"/>
              <w:bottom w:val="nil"/>
              <w:right w:val="nil"/>
            </w:tcBorders>
            <w:noWrap/>
            <w:vAlign w:val="bottom"/>
            <w:hideMark/>
          </w:tcPr>
          <w:p w14:paraId="26FD489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1,523</w:t>
            </w:r>
          </w:p>
        </w:tc>
      </w:tr>
      <w:tr w:rsidR="00E91426" w:rsidRPr="00E91426" w14:paraId="3E9C8499" w14:textId="77777777" w:rsidTr="00E91426">
        <w:trPr>
          <w:trHeight w:val="282"/>
        </w:trPr>
        <w:tc>
          <w:tcPr>
            <w:tcW w:w="5420" w:type="dxa"/>
            <w:gridSpan w:val="2"/>
            <w:tcBorders>
              <w:top w:val="nil"/>
              <w:left w:val="nil"/>
              <w:bottom w:val="nil"/>
              <w:right w:val="nil"/>
            </w:tcBorders>
            <w:vAlign w:val="bottom"/>
            <w:hideMark/>
          </w:tcPr>
          <w:p w14:paraId="32E6D150"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Cash movements:</w:t>
            </w:r>
          </w:p>
        </w:tc>
        <w:tc>
          <w:tcPr>
            <w:tcW w:w="222" w:type="dxa"/>
            <w:tcBorders>
              <w:top w:val="nil"/>
              <w:left w:val="nil"/>
              <w:bottom w:val="nil"/>
              <w:right w:val="nil"/>
            </w:tcBorders>
            <w:vAlign w:val="bottom"/>
            <w:hideMark/>
          </w:tcPr>
          <w:p w14:paraId="5BF8B4FD"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1100" w:type="dxa"/>
            <w:tcBorders>
              <w:top w:val="nil"/>
              <w:left w:val="nil"/>
              <w:bottom w:val="nil"/>
              <w:right w:val="nil"/>
            </w:tcBorders>
            <w:noWrap/>
            <w:vAlign w:val="bottom"/>
            <w:hideMark/>
          </w:tcPr>
          <w:p w14:paraId="6F444053" w14:textId="77777777" w:rsidR="00E91426" w:rsidRPr="00E91426" w:rsidRDefault="00E91426" w:rsidP="00E91426">
            <w:pPr>
              <w:widowControl/>
              <w:rPr>
                <w:rFonts w:ascii="Arial" w:eastAsia="Times New Roman" w:hAnsi="Arial" w:cs="Arial"/>
                <w:sz w:val="20"/>
                <w:szCs w:val="20"/>
                <w:lang w:val="en-GB" w:eastAsia="en-GB"/>
              </w:rPr>
            </w:pPr>
          </w:p>
        </w:tc>
        <w:tc>
          <w:tcPr>
            <w:tcW w:w="1100" w:type="dxa"/>
            <w:tcBorders>
              <w:top w:val="nil"/>
              <w:left w:val="nil"/>
              <w:bottom w:val="nil"/>
              <w:right w:val="nil"/>
            </w:tcBorders>
            <w:noWrap/>
            <w:vAlign w:val="bottom"/>
            <w:hideMark/>
          </w:tcPr>
          <w:p w14:paraId="28649801"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139" w:type="dxa"/>
            <w:tcBorders>
              <w:top w:val="nil"/>
              <w:left w:val="nil"/>
              <w:bottom w:val="nil"/>
              <w:right w:val="nil"/>
            </w:tcBorders>
            <w:noWrap/>
            <w:vAlign w:val="bottom"/>
            <w:hideMark/>
          </w:tcPr>
          <w:p w14:paraId="36282EEA" w14:textId="77777777" w:rsidR="00E91426" w:rsidRPr="00E91426" w:rsidRDefault="00E91426" w:rsidP="00E91426">
            <w:pPr>
              <w:widowControl/>
              <w:jc w:val="right"/>
              <w:rPr>
                <w:rFonts w:ascii="Arial" w:eastAsia="Times New Roman" w:hAnsi="Arial" w:cs="Arial"/>
                <w:sz w:val="20"/>
                <w:szCs w:val="20"/>
                <w:lang w:val="en-GB" w:eastAsia="en-GB"/>
              </w:rPr>
            </w:pPr>
          </w:p>
        </w:tc>
      </w:tr>
      <w:tr w:rsidR="00E91426" w:rsidRPr="00E91426" w14:paraId="35437D19" w14:textId="77777777" w:rsidTr="00E91426">
        <w:trPr>
          <w:trHeight w:val="282"/>
        </w:trPr>
        <w:tc>
          <w:tcPr>
            <w:tcW w:w="5420" w:type="dxa"/>
            <w:gridSpan w:val="2"/>
            <w:tcBorders>
              <w:top w:val="nil"/>
              <w:left w:val="nil"/>
              <w:bottom w:val="nil"/>
              <w:right w:val="nil"/>
            </w:tcBorders>
            <w:vAlign w:val="bottom"/>
            <w:hideMark/>
          </w:tcPr>
          <w:p w14:paraId="1597C743"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Financing cash flows - payments and receipts of principal</w:t>
            </w:r>
          </w:p>
        </w:tc>
        <w:tc>
          <w:tcPr>
            <w:tcW w:w="222" w:type="dxa"/>
            <w:tcBorders>
              <w:top w:val="nil"/>
              <w:left w:val="nil"/>
              <w:bottom w:val="nil"/>
              <w:right w:val="nil"/>
            </w:tcBorders>
            <w:vAlign w:val="bottom"/>
            <w:hideMark/>
          </w:tcPr>
          <w:p w14:paraId="7AC41B78"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1100" w:type="dxa"/>
            <w:tcBorders>
              <w:top w:val="nil"/>
              <w:left w:val="nil"/>
              <w:bottom w:val="nil"/>
              <w:right w:val="nil"/>
            </w:tcBorders>
            <w:noWrap/>
            <w:vAlign w:val="bottom"/>
            <w:hideMark/>
          </w:tcPr>
          <w:p w14:paraId="505ECB65"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(382)</w:t>
            </w:r>
          </w:p>
        </w:tc>
        <w:tc>
          <w:tcPr>
            <w:tcW w:w="1100" w:type="dxa"/>
            <w:tcBorders>
              <w:top w:val="nil"/>
              <w:left w:val="nil"/>
              <w:bottom w:val="nil"/>
              <w:right w:val="nil"/>
            </w:tcBorders>
            <w:noWrap/>
            <w:vAlign w:val="bottom"/>
            <w:hideMark/>
          </w:tcPr>
          <w:p w14:paraId="5FADC4D2"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(126)</w:t>
            </w:r>
          </w:p>
        </w:tc>
        <w:tc>
          <w:tcPr>
            <w:tcW w:w="1139" w:type="dxa"/>
            <w:tcBorders>
              <w:top w:val="nil"/>
              <w:left w:val="nil"/>
              <w:bottom w:val="nil"/>
              <w:right w:val="nil"/>
            </w:tcBorders>
            <w:noWrap/>
            <w:vAlign w:val="bottom"/>
            <w:hideMark/>
          </w:tcPr>
          <w:p w14:paraId="2864920B"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(256)</w:t>
            </w:r>
          </w:p>
        </w:tc>
      </w:tr>
      <w:tr w:rsidR="00E91426" w:rsidRPr="00E91426" w14:paraId="2B1C1417" w14:textId="77777777" w:rsidTr="00E91426">
        <w:trPr>
          <w:trHeight w:val="300"/>
        </w:trPr>
        <w:tc>
          <w:tcPr>
            <w:tcW w:w="5420" w:type="dxa"/>
            <w:gridSpan w:val="2"/>
            <w:tcBorders>
              <w:top w:val="nil"/>
              <w:left w:val="nil"/>
              <w:bottom w:val="nil"/>
              <w:right w:val="nil"/>
            </w:tcBorders>
            <w:vAlign w:val="bottom"/>
            <w:hideMark/>
          </w:tcPr>
          <w:p w14:paraId="7922FE65"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Financing cash flows - payments of interest</w:t>
            </w:r>
          </w:p>
        </w:tc>
        <w:tc>
          <w:tcPr>
            <w:tcW w:w="222" w:type="dxa"/>
            <w:tcBorders>
              <w:top w:val="nil"/>
              <w:left w:val="nil"/>
              <w:bottom w:val="nil"/>
              <w:right w:val="nil"/>
            </w:tcBorders>
            <w:vAlign w:val="bottom"/>
            <w:hideMark/>
          </w:tcPr>
          <w:p w14:paraId="4E86727C"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1100" w:type="dxa"/>
            <w:tcBorders>
              <w:top w:val="nil"/>
              <w:left w:val="nil"/>
              <w:bottom w:val="nil"/>
              <w:right w:val="nil"/>
            </w:tcBorders>
            <w:noWrap/>
            <w:vAlign w:val="bottom"/>
            <w:hideMark/>
          </w:tcPr>
          <w:p w14:paraId="16E2DA63"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(73)</w:t>
            </w:r>
          </w:p>
        </w:tc>
        <w:tc>
          <w:tcPr>
            <w:tcW w:w="1100" w:type="dxa"/>
            <w:tcBorders>
              <w:top w:val="nil"/>
              <w:left w:val="nil"/>
              <w:bottom w:val="nil"/>
              <w:right w:val="nil"/>
            </w:tcBorders>
            <w:noWrap/>
            <w:vAlign w:val="bottom"/>
            <w:hideMark/>
          </w:tcPr>
          <w:p w14:paraId="17E0CB8E"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(24)</w:t>
            </w:r>
          </w:p>
        </w:tc>
        <w:tc>
          <w:tcPr>
            <w:tcW w:w="1139" w:type="dxa"/>
            <w:tcBorders>
              <w:top w:val="nil"/>
              <w:left w:val="nil"/>
              <w:bottom w:val="nil"/>
              <w:right w:val="nil"/>
            </w:tcBorders>
            <w:noWrap/>
            <w:vAlign w:val="bottom"/>
            <w:hideMark/>
          </w:tcPr>
          <w:p w14:paraId="25EDB3EB"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(49)</w:t>
            </w:r>
          </w:p>
        </w:tc>
      </w:tr>
      <w:tr w:rsidR="00E91426" w:rsidRPr="00E91426" w14:paraId="666E9D6D" w14:textId="77777777" w:rsidTr="00E91426">
        <w:trPr>
          <w:trHeight w:val="282"/>
        </w:trPr>
        <w:tc>
          <w:tcPr>
            <w:tcW w:w="5420" w:type="dxa"/>
            <w:gridSpan w:val="2"/>
            <w:tcBorders>
              <w:top w:val="nil"/>
              <w:left w:val="nil"/>
              <w:bottom w:val="nil"/>
              <w:right w:val="nil"/>
            </w:tcBorders>
            <w:vAlign w:val="bottom"/>
            <w:hideMark/>
          </w:tcPr>
          <w:p w14:paraId="6F3B8866"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Non-cash movements:</w:t>
            </w:r>
          </w:p>
        </w:tc>
        <w:tc>
          <w:tcPr>
            <w:tcW w:w="222" w:type="dxa"/>
            <w:tcBorders>
              <w:top w:val="nil"/>
              <w:left w:val="nil"/>
              <w:bottom w:val="nil"/>
              <w:right w:val="nil"/>
            </w:tcBorders>
            <w:vAlign w:val="bottom"/>
            <w:hideMark/>
          </w:tcPr>
          <w:p w14:paraId="59ECAD49"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1100" w:type="dxa"/>
            <w:tcBorders>
              <w:top w:val="nil"/>
              <w:left w:val="nil"/>
              <w:bottom w:val="nil"/>
              <w:right w:val="nil"/>
            </w:tcBorders>
            <w:noWrap/>
            <w:vAlign w:val="bottom"/>
            <w:hideMark/>
          </w:tcPr>
          <w:p w14:paraId="67C0A9A7" w14:textId="77777777" w:rsidR="00E91426" w:rsidRPr="00E91426" w:rsidRDefault="00E91426" w:rsidP="00E91426">
            <w:pPr>
              <w:widowControl/>
              <w:rPr>
                <w:rFonts w:ascii="Arial" w:eastAsia="Times New Roman" w:hAnsi="Arial" w:cs="Arial"/>
                <w:sz w:val="20"/>
                <w:szCs w:val="20"/>
                <w:lang w:val="en-GB" w:eastAsia="en-GB"/>
              </w:rPr>
            </w:pPr>
          </w:p>
        </w:tc>
        <w:tc>
          <w:tcPr>
            <w:tcW w:w="1100" w:type="dxa"/>
            <w:tcBorders>
              <w:top w:val="nil"/>
              <w:left w:val="nil"/>
              <w:bottom w:val="nil"/>
              <w:right w:val="nil"/>
            </w:tcBorders>
            <w:noWrap/>
            <w:vAlign w:val="bottom"/>
            <w:hideMark/>
          </w:tcPr>
          <w:p w14:paraId="6539473A"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139" w:type="dxa"/>
            <w:tcBorders>
              <w:top w:val="nil"/>
              <w:left w:val="nil"/>
              <w:bottom w:val="nil"/>
              <w:right w:val="nil"/>
            </w:tcBorders>
            <w:noWrap/>
            <w:vAlign w:val="bottom"/>
            <w:hideMark/>
          </w:tcPr>
          <w:p w14:paraId="616E7AEC" w14:textId="77777777" w:rsidR="00E91426" w:rsidRPr="00E91426" w:rsidRDefault="00E91426" w:rsidP="00E91426">
            <w:pPr>
              <w:widowControl/>
              <w:jc w:val="right"/>
              <w:rPr>
                <w:rFonts w:ascii="Arial" w:eastAsia="Times New Roman" w:hAnsi="Arial" w:cs="Arial"/>
                <w:sz w:val="20"/>
                <w:szCs w:val="20"/>
                <w:lang w:val="en-GB" w:eastAsia="en-GB"/>
              </w:rPr>
            </w:pPr>
          </w:p>
        </w:tc>
      </w:tr>
      <w:tr w:rsidR="00E91426" w:rsidRPr="00E91426" w14:paraId="023FD089" w14:textId="77777777" w:rsidTr="00E91426">
        <w:trPr>
          <w:trHeight w:val="300"/>
        </w:trPr>
        <w:tc>
          <w:tcPr>
            <w:tcW w:w="5420" w:type="dxa"/>
            <w:gridSpan w:val="2"/>
            <w:tcBorders>
              <w:top w:val="nil"/>
              <w:left w:val="nil"/>
              <w:bottom w:val="nil"/>
              <w:right w:val="nil"/>
            </w:tcBorders>
            <w:vAlign w:val="bottom"/>
            <w:hideMark/>
          </w:tcPr>
          <w:p w14:paraId="3C9A5BCE"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Interest charge arising in year (application of effective interest rate)</w:t>
            </w:r>
          </w:p>
        </w:tc>
        <w:tc>
          <w:tcPr>
            <w:tcW w:w="222" w:type="dxa"/>
            <w:tcBorders>
              <w:top w:val="nil"/>
              <w:left w:val="nil"/>
              <w:bottom w:val="nil"/>
              <w:right w:val="nil"/>
            </w:tcBorders>
            <w:vAlign w:val="bottom"/>
            <w:hideMark/>
          </w:tcPr>
          <w:p w14:paraId="08C0B552"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1100" w:type="dxa"/>
            <w:tcBorders>
              <w:top w:val="nil"/>
              <w:left w:val="nil"/>
              <w:bottom w:val="nil"/>
              <w:right w:val="nil"/>
            </w:tcBorders>
            <w:noWrap/>
            <w:vAlign w:val="bottom"/>
            <w:hideMark/>
          </w:tcPr>
          <w:p w14:paraId="63F8C934"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71</w:t>
            </w:r>
          </w:p>
        </w:tc>
        <w:tc>
          <w:tcPr>
            <w:tcW w:w="1100" w:type="dxa"/>
            <w:tcBorders>
              <w:top w:val="nil"/>
              <w:left w:val="nil"/>
              <w:bottom w:val="nil"/>
              <w:right w:val="nil"/>
            </w:tcBorders>
            <w:noWrap/>
            <w:vAlign w:val="bottom"/>
            <w:hideMark/>
          </w:tcPr>
          <w:p w14:paraId="5A4BB57E"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22</w:t>
            </w:r>
          </w:p>
        </w:tc>
        <w:tc>
          <w:tcPr>
            <w:tcW w:w="1139" w:type="dxa"/>
            <w:tcBorders>
              <w:top w:val="nil"/>
              <w:left w:val="nil"/>
              <w:bottom w:val="nil"/>
              <w:right w:val="nil"/>
            </w:tcBorders>
            <w:noWrap/>
            <w:vAlign w:val="bottom"/>
            <w:hideMark/>
          </w:tcPr>
          <w:p w14:paraId="257E884E"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49</w:t>
            </w:r>
          </w:p>
        </w:tc>
      </w:tr>
      <w:tr w:rsidR="00E91426" w:rsidRPr="00E91426" w14:paraId="77E33B51" w14:textId="77777777" w:rsidTr="00E91426">
        <w:trPr>
          <w:trHeight w:val="315"/>
        </w:trPr>
        <w:tc>
          <w:tcPr>
            <w:tcW w:w="5420" w:type="dxa"/>
            <w:gridSpan w:val="2"/>
            <w:tcBorders>
              <w:top w:val="nil"/>
              <w:left w:val="nil"/>
              <w:bottom w:val="nil"/>
              <w:right w:val="nil"/>
            </w:tcBorders>
            <w:vAlign w:val="bottom"/>
            <w:hideMark/>
          </w:tcPr>
          <w:p w14:paraId="652FD416"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Carrying value at 31 March 2025</w:t>
            </w:r>
          </w:p>
        </w:tc>
        <w:tc>
          <w:tcPr>
            <w:tcW w:w="222" w:type="dxa"/>
            <w:tcBorders>
              <w:top w:val="nil"/>
              <w:left w:val="nil"/>
              <w:bottom w:val="nil"/>
              <w:right w:val="nil"/>
            </w:tcBorders>
            <w:vAlign w:val="bottom"/>
            <w:hideMark/>
          </w:tcPr>
          <w:p w14:paraId="76E8324C"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1100" w:type="dxa"/>
            <w:tcBorders>
              <w:top w:val="single" w:sz="4" w:space="0" w:color="auto"/>
              <w:left w:val="nil"/>
              <w:bottom w:val="double" w:sz="6" w:space="0" w:color="auto"/>
              <w:right w:val="nil"/>
            </w:tcBorders>
            <w:noWrap/>
            <w:vAlign w:val="bottom"/>
            <w:hideMark/>
          </w:tcPr>
          <w:p w14:paraId="44DE8A71"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3,046</w:t>
            </w:r>
          </w:p>
        </w:tc>
        <w:tc>
          <w:tcPr>
            <w:tcW w:w="1100" w:type="dxa"/>
            <w:tcBorders>
              <w:top w:val="single" w:sz="4" w:space="0" w:color="auto"/>
              <w:left w:val="nil"/>
              <w:bottom w:val="double" w:sz="6" w:space="0" w:color="auto"/>
              <w:right w:val="nil"/>
            </w:tcBorders>
            <w:noWrap/>
            <w:vAlign w:val="bottom"/>
            <w:hideMark/>
          </w:tcPr>
          <w:p w14:paraId="2871DC35"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1,779</w:t>
            </w:r>
          </w:p>
        </w:tc>
        <w:tc>
          <w:tcPr>
            <w:tcW w:w="1139" w:type="dxa"/>
            <w:tcBorders>
              <w:top w:val="single" w:sz="4" w:space="0" w:color="auto"/>
              <w:left w:val="nil"/>
              <w:bottom w:val="double" w:sz="6" w:space="0" w:color="auto"/>
              <w:right w:val="nil"/>
            </w:tcBorders>
            <w:noWrap/>
            <w:vAlign w:val="bottom"/>
            <w:hideMark/>
          </w:tcPr>
          <w:p w14:paraId="331997D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1,267</w:t>
            </w:r>
          </w:p>
        </w:tc>
      </w:tr>
      <w:tr w:rsidR="00E91426" w:rsidRPr="00E91426" w14:paraId="23B8D8D3" w14:textId="77777777" w:rsidTr="00E91426">
        <w:trPr>
          <w:trHeight w:val="315"/>
        </w:trPr>
        <w:tc>
          <w:tcPr>
            <w:tcW w:w="4520" w:type="dxa"/>
            <w:tcBorders>
              <w:top w:val="nil"/>
              <w:left w:val="nil"/>
              <w:bottom w:val="nil"/>
              <w:right w:val="nil"/>
            </w:tcBorders>
            <w:vAlign w:val="bottom"/>
            <w:hideMark/>
          </w:tcPr>
          <w:p w14:paraId="63678A4F"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00" w:type="dxa"/>
            <w:tcBorders>
              <w:top w:val="nil"/>
              <w:left w:val="nil"/>
              <w:bottom w:val="nil"/>
              <w:right w:val="nil"/>
            </w:tcBorders>
            <w:vAlign w:val="bottom"/>
            <w:hideMark/>
          </w:tcPr>
          <w:p w14:paraId="1631EA85" w14:textId="77777777" w:rsidR="00E91426" w:rsidRPr="00E91426" w:rsidRDefault="00E91426" w:rsidP="00E91426">
            <w:pPr>
              <w:widowControl/>
              <w:rPr>
                <w:rFonts w:ascii="Arial" w:eastAsia="Times New Roman" w:hAnsi="Arial" w:cs="Arial"/>
                <w:sz w:val="20"/>
                <w:szCs w:val="20"/>
                <w:lang w:val="en-GB" w:eastAsia="en-GB"/>
              </w:rPr>
            </w:pPr>
          </w:p>
        </w:tc>
        <w:tc>
          <w:tcPr>
            <w:tcW w:w="222" w:type="dxa"/>
            <w:tcBorders>
              <w:top w:val="nil"/>
              <w:left w:val="nil"/>
              <w:bottom w:val="nil"/>
              <w:right w:val="nil"/>
            </w:tcBorders>
            <w:vAlign w:val="bottom"/>
            <w:hideMark/>
          </w:tcPr>
          <w:p w14:paraId="13FEA06C" w14:textId="77777777" w:rsidR="00E91426" w:rsidRPr="00E91426" w:rsidRDefault="00E91426" w:rsidP="00E91426">
            <w:pPr>
              <w:widowControl/>
              <w:rPr>
                <w:rFonts w:ascii="Arial" w:eastAsia="Times New Roman" w:hAnsi="Arial" w:cs="Arial"/>
                <w:sz w:val="20"/>
                <w:szCs w:val="20"/>
                <w:lang w:val="en-GB" w:eastAsia="en-GB"/>
              </w:rPr>
            </w:pPr>
          </w:p>
        </w:tc>
        <w:tc>
          <w:tcPr>
            <w:tcW w:w="1100" w:type="dxa"/>
            <w:tcBorders>
              <w:top w:val="nil"/>
              <w:left w:val="nil"/>
              <w:bottom w:val="nil"/>
              <w:right w:val="nil"/>
            </w:tcBorders>
            <w:vAlign w:val="bottom"/>
            <w:hideMark/>
          </w:tcPr>
          <w:p w14:paraId="2A5D1A3D" w14:textId="77777777" w:rsidR="00E91426" w:rsidRPr="00E91426" w:rsidRDefault="00E91426" w:rsidP="00E91426">
            <w:pPr>
              <w:widowControl/>
              <w:rPr>
                <w:rFonts w:ascii="Arial" w:eastAsia="Times New Roman" w:hAnsi="Arial" w:cs="Arial"/>
                <w:sz w:val="20"/>
                <w:szCs w:val="20"/>
                <w:lang w:val="en-GB" w:eastAsia="en-GB"/>
              </w:rPr>
            </w:pPr>
          </w:p>
        </w:tc>
        <w:tc>
          <w:tcPr>
            <w:tcW w:w="1100" w:type="dxa"/>
            <w:tcBorders>
              <w:top w:val="nil"/>
              <w:left w:val="nil"/>
              <w:bottom w:val="nil"/>
              <w:right w:val="nil"/>
            </w:tcBorders>
            <w:vAlign w:val="bottom"/>
            <w:hideMark/>
          </w:tcPr>
          <w:p w14:paraId="50C4692E" w14:textId="77777777" w:rsidR="00E91426" w:rsidRPr="00E91426" w:rsidRDefault="00E91426" w:rsidP="00E91426">
            <w:pPr>
              <w:widowControl/>
              <w:rPr>
                <w:rFonts w:ascii="Arial" w:eastAsia="Times New Roman" w:hAnsi="Arial" w:cs="Arial"/>
                <w:sz w:val="20"/>
                <w:szCs w:val="20"/>
                <w:lang w:val="en-GB" w:eastAsia="en-GB"/>
              </w:rPr>
            </w:pPr>
          </w:p>
        </w:tc>
        <w:tc>
          <w:tcPr>
            <w:tcW w:w="1139" w:type="dxa"/>
            <w:tcBorders>
              <w:top w:val="nil"/>
              <w:left w:val="nil"/>
              <w:bottom w:val="nil"/>
              <w:right w:val="nil"/>
            </w:tcBorders>
            <w:vAlign w:val="bottom"/>
            <w:hideMark/>
          </w:tcPr>
          <w:p w14:paraId="1A03ED71"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5167556A" w14:textId="77777777" w:rsidTr="00E91426">
        <w:trPr>
          <w:trHeight w:val="525"/>
        </w:trPr>
        <w:tc>
          <w:tcPr>
            <w:tcW w:w="4520" w:type="dxa"/>
            <w:tcBorders>
              <w:top w:val="nil"/>
              <w:left w:val="nil"/>
              <w:bottom w:val="nil"/>
              <w:right w:val="nil"/>
            </w:tcBorders>
            <w:vAlign w:val="bottom"/>
            <w:hideMark/>
          </w:tcPr>
          <w:p w14:paraId="0562E927" w14:textId="77777777" w:rsidR="00E91426" w:rsidRPr="00E91426" w:rsidRDefault="00E91426" w:rsidP="00E91426">
            <w:pPr>
              <w:widowControl/>
              <w:rPr>
                <w:rFonts w:ascii="Arial" w:eastAsia="Times New Roman" w:hAnsi="Arial" w:cs="Arial"/>
                <w:sz w:val="20"/>
                <w:szCs w:val="20"/>
                <w:lang w:val="en-GB" w:eastAsia="en-GB"/>
              </w:rPr>
            </w:pPr>
          </w:p>
        </w:tc>
        <w:tc>
          <w:tcPr>
            <w:tcW w:w="900" w:type="dxa"/>
            <w:tcBorders>
              <w:top w:val="nil"/>
              <w:left w:val="nil"/>
              <w:bottom w:val="nil"/>
              <w:right w:val="nil"/>
            </w:tcBorders>
            <w:vAlign w:val="bottom"/>
            <w:hideMark/>
          </w:tcPr>
          <w:p w14:paraId="3E97301F" w14:textId="77777777" w:rsidR="00E91426" w:rsidRPr="00E91426" w:rsidRDefault="00E91426" w:rsidP="00E91426">
            <w:pPr>
              <w:widowControl/>
              <w:rPr>
                <w:rFonts w:ascii="Arial" w:eastAsia="Times New Roman" w:hAnsi="Arial" w:cs="Arial"/>
                <w:sz w:val="20"/>
                <w:szCs w:val="20"/>
                <w:lang w:val="en-GB" w:eastAsia="en-GB"/>
              </w:rPr>
            </w:pPr>
          </w:p>
        </w:tc>
        <w:tc>
          <w:tcPr>
            <w:tcW w:w="222" w:type="dxa"/>
            <w:tcBorders>
              <w:top w:val="nil"/>
              <w:left w:val="nil"/>
              <w:bottom w:val="nil"/>
              <w:right w:val="nil"/>
            </w:tcBorders>
            <w:vAlign w:val="bottom"/>
            <w:hideMark/>
          </w:tcPr>
          <w:p w14:paraId="491DDC85" w14:textId="77777777" w:rsidR="00E91426" w:rsidRPr="00E91426" w:rsidRDefault="00E91426" w:rsidP="00E91426">
            <w:pPr>
              <w:widowControl/>
              <w:rPr>
                <w:rFonts w:ascii="Arial" w:eastAsia="Times New Roman" w:hAnsi="Arial" w:cs="Arial"/>
                <w:sz w:val="20"/>
                <w:szCs w:val="20"/>
                <w:lang w:val="en-GB" w:eastAsia="en-GB"/>
              </w:rPr>
            </w:pPr>
          </w:p>
        </w:tc>
        <w:tc>
          <w:tcPr>
            <w:tcW w:w="1100" w:type="dxa"/>
            <w:tcBorders>
              <w:top w:val="nil"/>
              <w:left w:val="nil"/>
              <w:bottom w:val="nil"/>
              <w:right w:val="nil"/>
            </w:tcBorders>
            <w:vAlign w:val="bottom"/>
            <w:hideMark/>
          </w:tcPr>
          <w:p w14:paraId="19A1AA31"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TOTAL</w:t>
            </w:r>
          </w:p>
        </w:tc>
        <w:tc>
          <w:tcPr>
            <w:tcW w:w="1100" w:type="dxa"/>
            <w:tcBorders>
              <w:top w:val="nil"/>
              <w:left w:val="nil"/>
              <w:bottom w:val="nil"/>
              <w:right w:val="nil"/>
            </w:tcBorders>
            <w:vAlign w:val="bottom"/>
            <w:hideMark/>
          </w:tcPr>
          <w:p w14:paraId="6A0AE56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DHSC Loans</w:t>
            </w:r>
          </w:p>
        </w:tc>
        <w:tc>
          <w:tcPr>
            <w:tcW w:w="1139" w:type="dxa"/>
            <w:tcBorders>
              <w:top w:val="nil"/>
              <w:left w:val="nil"/>
              <w:bottom w:val="nil"/>
              <w:right w:val="nil"/>
            </w:tcBorders>
            <w:vAlign w:val="bottom"/>
            <w:hideMark/>
          </w:tcPr>
          <w:p w14:paraId="3F0F84D2"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Lease Liabilities</w:t>
            </w:r>
          </w:p>
        </w:tc>
      </w:tr>
      <w:tr w:rsidR="00E91426" w:rsidRPr="00E91426" w14:paraId="100AE96E" w14:textId="77777777" w:rsidTr="00E91426">
        <w:trPr>
          <w:trHeight w:val="282"/>
        </w:trPr>
        <w:tc>
          <w:tcPr>
            <w:tcW w:w="4520" w:type="dxa"/>
            <w:tcBorders>
              <w:top w:val="nil"/>
              <w:left w:val="nil"/>
              <w:bottom w:val="nil"/>
              <w:right w:val="nil"/>
            </w:tcBorders>
            <w:vAlign w:val="bottom"/>
            <w:hideMark/>
          </w:tcPr>
          <w:p w14:paraId="04449748"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00" w:type="dxa"/>
            <w:tcBorders>
              <w:top w:val="nil"/>
              <w:left w:val="nil"/>
              <w:bottom w:val="nil"/>
              <w:right w:val="nil"/>
            </w:tcBorders>
            <w:vAlign w:val="bottom"/>
            <w:hideMark/>
          </w:tcPr>
          <w:p w14:paraId="566C5B7A" w14:textId="77777777" w:rsidR="00E91426" w:rsidRPr="00E91426" w:rsidRDefault="00E91426" w:rsidP="00E91426">
            <w:pPr>
              <w:widowControl/>
              <w:rPr>
                <w:rFonts w:ascii="Arial" w:eastAsia="Times New Roman" w:hAnsi="Arial" w:cs="Arial"/>
                <w:sz w:val="20"/>
                <w:szCs w:val="20"/>
                <w:lang w:val="en-GB" w:eastAsia="en-GB"/>
              </w:rPr>
            </w:pPr>
          </w:p>
        </w:tc>
        <w:tc>
          <w:tcPr>
            <w:tcW w:w="222" w:type="dxa"/>
            <w:tcBorders>
              <w:top w:val="nil"/>
              <w:left w:val="nil"/>
              <w:bottom w:val="nil"/>
              <w:right w:val="nil"/>
            </w:tcBorders>
            <w:vAlign w:val="bottom"/>
            <w:hideMark/>
          </w:tcPr>
          <w:p w14:paraId="15FE4B9D" w14:textId="77777777" w:rsidR="00E91426" w:rsidRPr="00E91426" w:rsidRDefault="00E91426" w:rsidP="00E91426">
            <w:pPr>
              <w:widowControl/>
              <w:rPr>
                <w:rFonts w:ascii="Arial" w:eastAsia="Times New Roman" w:hAnsi="Arial" w:cs="Arial"/>
                <w:sz w:val="20"/>
                <w:szCs w:val="20"/>
                <w:lang w:val="en-GB" w:eastAsia="en-GB"/>
              </w:rPr>
            </w:pPr>
          </w:p>
        </w:tc>
        <w:tc>
          <w:tcPr>
            <w:tcW w:w="1100" w:type="dxa"/>
            <w:tcBorders>
              <w:top w:val="nil"/>
              <w:left w:val="nil"/>
              <w:bottom w:val="nil"/>
              <w:right w:val="nil"/>
            </w:tcBorders>
            <w:vAlign w:val="bottom"/>
            <w:hideMark/>
          </w:tcPr>
          <w:p w14:paraId="57A775EA"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1100" w:type="dxa"/>
            <w:tcBorders>
              <w:top w:val="nil"/>
              <w:left w:val="nil"/>
              <w:bottom w:val="nil"/>
              <w:right w:val="nil"/>
            </w:tcBorders>
            <w:vAlign w:val="bottom"/>
            <w:hideMark/>
          </w:tcPr>
          <w:p w14:paraId="4E636E78"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1139" w:type="dxa"/>
            <w:tcBorders>
              <w:top w:val="nil"/>
              <w:left w:val="nil"/>
              <w:bottom w:val="nil"/>
              <w:right w:val="nil"/>
            </w:tcBorders>
            <w:vAlign w:val="bottom"/>
            <w:hideMark/>
          </w:tcPr>
          <w:p w14:paraId="5791D0FA"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r>
      <w:tr w:rsidR="00E91426" w:rsidRPr="00E91426" w14:paraId="39D2CA46" w14:textId="77777777" w:rsidTr="00E91426">
        <w:trPr>
          <w:trHeight w:val="282"/>
        </w:trPr>
        <w:tc>
          <w:tcPr>
            <w:tcW w:w="4520" w:type="dxa"/>
            <w:tcBorders>
              <w:top w:val="nil"/>
              <w:left w:val="nil"/>
              <w:bottom w:val="nil"/>
              <w:right w:val="nil"/>
            </w:tcBorders>
            <w:vAlign w:val="bottom"/>
            <w:hideMark/>
          </w:tcPr>
          <w:p w14:paraId="0DA9D5F0"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Carrying </w:t>
            </w:r>
            <w:proofErr w:type="gramStart"/>
            <w:r w:rsidRPr="00E91426">
              <w:rPr>
                <w:rFonts w:ascii="Arial" w:eastAsia="Times New Roman" w:hAnsi="Arial" w:cs="Arial"/>
                <w:b/>
                <w:bCs/>
                <w:color w:val="000000"/>
                <w:sz w:val="20"/>
                <w:szCs w:val="20"/>
                <w:lang w:val="en-GB" w:eastAsia="en-GB"/>
              </w:rPr>
              <w:t>value  at</w:t>
            </w:r>
            <w:proofErr w:type="gramEnd"/>
            <w:r w:rsidRPr="00E91426">
              <w:rPr>
                <w:rFonts w:ascii="Arial" w:eastAsia="Times New Roman" w:hAnsi="Arial" w:cs="Arial"/>
                <w:b/>
                <w:bCs/>
                <w:color w:val="000000"/>
                <w:sz w:val="20"/>
                <w:szCs w:val="20"/>
                <w:lang w:val="en-GB" w:eastAsia="en-GB"/>
              </w:rPr>
              <w:t xml:space="preserve"> 1 April 2023</w:t>
            </w:r>
          </w:p>
        </w:tc>
        <w:tc>
          <w:tcPr>
            <w:tcW w:w="900" w:type="dxa"/>
            <w:tcBorders>
              <w:top w:val="nil"/>
              <w:left w:val="nil"/>
              <w:bottom w:val="nil"/>
              <w:right w:val="nil"/>
            </w:tcBorders>
            <w:vAlign w:val="bottom"/>
            <w:hideMark/>
          </w:tcPr>
          <w:p w14:paraId="47811BC6"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222" w:type="dxa"/>
            <w:tcBorders>
              <w:top w:val="nil"/>
              <w:left w:val="nil"/>
              <w:bottom w:val="nil"/>
              <w:right w:val="nil"/>
            </w:tcBorders>
            <w:vAlign w:val="bottom"/>
            <w:hideMark/>
          </w:tcPr>
          <w:p w14:paraId="3F134EA0" w14:textId="77777777" w:rsidR="00E91426" w:rsidRPr="00E91426" w:rsidRDefault="00E91426" w:rsidP="00E91426">
            <w:pPr>
              <w:widowControl/>
              <w:rPr>
                <w:rFonts w:ascii="Arial" w:eastAsia="Times New Roman" w:hAnsi="Arial" w:cs="Arial"/>
                <w:sz w:val="20"/>
                <w:szCs w:val="20"/>
                <w:lang w:val="en-GB" w:eastAsia="en-GB"/>
              </w:rPr>
            </w:pPr>
          </w:p>
        </w:tc>
        <w:tc>
          <w:tcPr>
            <w:tcW w:w="1100" w:type="dxa"/>
            <w:tcBorders>
              <w:top w:val="nil"/>
              <w:left w:val="nil"/>
              <w:bottom w:val="nil"/>
              <w:right w:val="nil"/>
            </w:tcBorders>
            <w:noWrap/>
            <w:vAlign w:val="bottom"/>
            <w:hideMark/>
          </w:tcPr>
          <w:p w14:paraId="62BC25D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2,903</w:t>
            </w:r>
          </w:p>
        </w:tc>
        <w:tc>
          <w:tcPr>
            <w:tcW w:w="1100" w:type="dxa"/>
            <w:tcBorders>
              <w:top w:val="nil"/>
              <w:left w:val="nil"/>
              <w:bottom w:val="nil"/>
              <w:right w:val="nil"/>
            </w:tcBorders>
            <w:noWrap/>
            <w:vAlign w:val="bottom"/>
            <w:hideMark/>
          </w:tcPr>
          <w:p w14:paraId="6704A183"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2,034</w:t>
            </w:r>
          </w:p>
        </w:tc>
        <w:tc>
          <w:tcPr>
            <w:tcW w:w="1139" w:type="dxa"/>
            <w:tcBorders>
              <w:top w:val="nil"/>
              <w:left w:val="nil"/>
              <w:bottom w:val="nil"/>
              <w:right w:val="nil"/>
            </w:tcBorders>
            <w:noWrap/>
            <w:vAlign w:val="bottom"/>
            <w:hideMark/>
          </w:tcPr>
          <w:p w14:paraId="37B51AD2"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869</w:t>
            </w:r>
          </w:p>
        </w:tc>
      </w:tr>
      <w:tr w:rsidR="00E91426" w:rsidRPr="00E91426" w14:paraId="2E8D8C23" w14:textId="77777777" w:rsidTr="00E91426">
        <w:trPr>
          <w:trHeight w:val="282"/>
        </w:trPr>
        <w:tc>
          <w:tcPr>
            <w:tcW w:w="5420" w:type="dxa"/>
            <w:gridSpan w:val="2"/>
            <w:tcBorders>
              <w:top w:val="nil"/>
              <w:left w:val="nil"/>
              <w:bottom w:val="nil"/>
              <w:right w:val="nil"/>
            </w:tcBorders>
            <w:vAlign w:val="bottom"/>
            <w:hideMark/>
          </w:tcPr>
          <w:p w14:paraId="66A6AD0E"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Cash movements:</w:t>
            </w:r>
          </w:p>
        </w:tc>
        <w:tc>
          <w:tcPr>
            <w:tcW w:w="222" w:type="dxa"/>
            <w:tcBorders>
              <w:top w:val="nil"/>
              <w:left w:val="nil"/>
              <w:bottom w:val="nil"/>
              <w:right w:val="nil"/>
            </w:tcBorders>
            <w:vAlign w:val="bottom"/>
            <w:hideMark/>
          </w:tcPr>
          <w:p w14:paraId="2349D2D2"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1100" w:type="dxa"/>
            <w:tcBorders>
              <w:top w:val="nil"/>
              <w:left w:val="nil"/>
              <w:bottom w:val="nil"/>
              <w:right w:val="nil"/>
            </w:tcBorders>
            <w:noWrap/>
            <w:vAlign w:val="bottom"/>
            <w:hideMark/>
          </w:tcPr>
          <w:p w14:paraId="622988DF" w14:textId="77777777" w:rsidR="00E91426" w:rsidRPr="00E91426" w:rsidRDefault="00E91426" w:rsidP="00E91426">
            <w:pPr>
              <w:widowControl/>
              <w:rPr>
                <w:rFonts w:ascii="Arial" w:eastAsia="Times New Roman" w:hAnsi="Arial" w:cs="Arial"/>
                <w:sz w:val="20"/>
                <w:szCs w:val="20"/>
                <w:lang w:val="en-GB" w:eastAsia="en-GB"/>
              </w:rPr>
            </w:pPr>
          </w:p>
        </w:tc>
        <w:tc>
          <w:tcPr>
            <w:tcW w:w="1100" w:type="dxa"/>
            <w:tcBorders>
              <w:top w:val="nil"/>
              <w:left w:val="nil"/>
              <w:bottom w:val="nil"/>
              <w:right w:val="nil"/>
            </w:tcBorders>
            <w:noWrap/>
            <w:vAlign w:val="bottom"/>
            <w:hideMark/>
          </w:tcPr>
          <w:p w14:paraId="6E74B0E5"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139" w:type="dxa"/>
            <w:tcBorders>
              <w:top w:val="nil"/>
              <w:left w:val="nil"/>
              <w:bottom w:val="nil"/>
              <w:right w:val="nil"/>
            </w:tcBorders>
            <w:noWrap/>
            <w:vAlign w:val="bottom"/>
            <w:hideMark/>
          </w:tcPr>
          <w:p w14:paraId="0DB331E3" w14:textId="77777777" w:rsidR="00E91426" w:rsidRPr="00E91426" w:rsidRDefault="00E91426" w:rsidP="00E91426">
            <w:pPr>
              <w:widowControl/>
              <w:jc w:val="right"/>
              <w:rPr>
                <w:rFonts w:ascii="Arial" w:eastAsia="Times New Roman" w:hAnsi="Arial" w:cs="Arial"/>
                <w:sz w:val="20"/>
                <w:szCs w:val="20"/>
                <w:lang w:val="en-GB" w:eastAsia="en-GB"/>
              </w:rPr>
            </w:pPr>
          </w:p>
        </w:tc>
      </w:tr>
      <w:tr w:rsidR="00E91426" w:rsidRPr="00E91426" w14:paraId="78A5E29B" w14:textId="77777777" w:rsidTr="00E91426">
        <w:trPr>
          <w:trHeight w:val="282"/>
        </w:trPr>
        <w:tc>
          <w:tcPr>
            <w:tcW w:w="5420" w:type="dxa"/>
            <w:gridSpan w:val="2"/>
            <w:tcBorders>
              <w:top w:val="nil"/>
              <w:left w:val="nil"/>
              <w:bottom w:val="nil"/>
              <w:right w:val="nil"/>
            </w:tcBorders>
            <w:vAlign w:val="bottom"/>
            <w:hideMark/>
          </w:tcPr>
          <w:p w14:paraId="0745D6D0"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Financing cash flows - payments and receipts of principal</w:t>
            </w:r>
          </w:p>
        </w:tc>
        <w:tc>
          <w:tcPr>
            <w:tcW w:w="222" w:type="dxa"/>
            <w:tcBorders>
              <w:top w:val="nil"/>
              <w:left w:val="nil"/>
              <w:bottom w:val="nil"/>
              <w:right w:val="nil"/>
            </w:tcBorders>
            <w:vAlign w:val="bottom"/>
            <w:hideMark/>
          </w:tcPr>
          <w:p w14:paraId="1D4E909A"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1100" w:type="dxa"/>
            <w:tcBorders>
              <w:top w:val="nil"/>
              <w:left w:val="nil"/>
              <w:bottom w:val="nil"/>
              <w:right w:val="nil"/>
            </w:tcBorders>
            <w:noWrap/>
            <w:vAlign w:val="bottom"/>
            <w:hideMark/>
          </w:tcPr>
          <w:p w14:paraId="6A0E2FC5"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(1,110)</w:t>
            </w:r>
          </w:p>
        </w:tc>
        <w:tc>
          <w:tcPr>
            <w:tcW w:w="1100" w:type="dxa"/>
            <w:tcBorders>
              <w:top w:val="nil"/>
              <w:left w:val="nil"/>
              <w:bottom w:val="nil"/>
              <w:right w:val="nil"/>
            </w:tcBorders>
            <w:noWrap/>
            <w:vAlign w:val="bottom"/>
            <w:hideMark/>
          </w:tcPr>
          <w:p w14:paraId="3D4B91E0"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(126)</w:t>
            </w:r>
          </w:p>
        </w:tc>
        <w:tc>
          <w:tcPr>
            <w:tcW w:w="1139" w:type="dxa"/>
            <w:tcBorders>
              <w:top w:val="nil"/>
              <w:left w:val="nil"/>
              <w:bottom w:val="nil"/>
              <w:right w:val="nil"/>
            </w:tcBorders>
            <w:noWrap/>
            <w:vAlign w:val="bottom"/>
            <w:hideMark/>
          </w:tcPr>
          <w:p w14:paraId="17281B24"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(984)</w:t>
            </w:r>
          </w:p>
        </w:tc>
      </w:tr>
      <w:tr w:rsidR="00E91426" w:rsidRPr="00E91426" w14:paraId="79995AC9" w14:textId="77777777" w:rsidTr="00E91426">
        <w:trPr>
          <w:trHeight w:val="300"/>
        </w:trPr>
        <w:tc>
          <w:tcPr>
            <w:tcW w:w="5420" w:type="dxa"/>
            <w:gridSpan w:val="2"/>
            <w:tcBorders>
              <w:top w:val="nil"/>
              <w:left w:val="nil"/>
              <w:bottom w:val="nil"/>
              <w:right w:val="nil"/>
            </w:tcBorders>
            <w:vAlign w:val="bottom"/>
            <w:hideMark/>
          </w:tcPr>
          <w:p w14:paraId="0EF34CCC"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Financing cash flows - payments of interest</w:t>
            </w:r>
          </w:p>
        </w:tc>
        <w:tc>
          <w:tcPr>
            <w:tcW w:w="222" w:type="dxa"/>
            <w:tcBorders>
              <w:top w:val="nil"/>
              <w:left w:val="nil"/>
              <w:bottom w:val="nil"/>
              <w:right w:val="nil"/>
            </w:tcBorders>
            <w:vAlign w:val="bottom"/>
            <w:hideMark/>
          </w:tcPr>
          <w:p w14:paraId="26D5E496"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1100" w:type="dxa"/>
            <w:tcBorders>
              <w:top w:val="nil"/>
              <w:left w:val="nil"/>
              <w:bottom w:val="nil"/>
              <w:right w:val="nil"/>
            </w:tcBorders>
            <w:noWrap/>
            <w:vAlign w:val="bottom"/>
            <w:hideMark/>
          </w:tcPr>
          <w:p w14:paraId="76AF03FD"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(64)</w:t>
            </w:r>
          </w:p>
        </w:tc>
        <w:tc>
          <w:tcPr>
            <w:tcW w:w="1100" w:type="dxa"/>
            <w:tcBorders>
              <w:top w:val="nil"/>
              <w:left w:val="nil"/>
              <w:bottom w:val="nil"/>
              <w:right w:val="nil"/>
            </w:tcBorders>
            <w:noWrap/>
            <w:vAlign w:val="bottom"/>
            <w:hideMark/>
          </w:tcPr>
          <w:p w14:paraId="3338F546"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(26)</w:t>
            </w:r>
          </w:p>
        </w:tc>
        <w:tc>
          <w:tcPr>
            <w:tcW w:w="1139" w:type="dxa"/>
            <w:tcBorders>
              <w:top w:val="nil"/>
              <w:left w:val="nil"/>
              <w:bottom w:val="nil"/>
              <w:right w:val="nil"/>
            </w:tcBorders>
            <w:noWrap/>
            <w:vAlign w:val="bottom"/>
            <w:hideMark/>
          </w:tcPr>
          <w:p w14:paraId="2B265BB8"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(38)</w:t>
            </w:r>
          </w:p>
        </w:tc>
      </w:tr>
      <w:tr w:rsidR="00E91426" w:rsidRPr="00E91426" w14:paraId="6C449FE5" w14:textId="77777777" w:rsidTr="00E91426">
        <w:trPr>
          <w:trHeight w:val="282"/>
        </w:trPr>
        <w:tc>
          <w:tcPr>
            <w:tcW w:w="5420" w:type="dxa"/>
            <w:gridSpan w:val="2"/>
            <w:tcBorders>
              <w:top w:val="nil"/>
              <w:left w:val="nil"/>
              <w:bottom w:val="nil"/>
              <w:right w:val="nil"/>
            </w:tcBorders>
            <w:vAlign w:val="bottom"/>
            <w:hideMark/>
          </w:tcPr>
          <w:p w14:paraId="0B3CD306"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Non-cash movements:</w:t>
            </w:r>
          </w:p>
        </w:tc>
        <w:tc>
          <w:tcPr>
            <w:tcW w:w="222" w:type="dxa"/>
            <w:tcBorders>
              <w:top w:val="nil"/>
              <w:left w:val="nil"/>
              <w:bottom w:val="nil"/>
              <w:right w:val="nil"/>
            </w:tcBorders>
            <w:vAlign w:val="bottom"/>
            <w:hideMark/>
          </w:tcPr>
          <w:p w14:paraId="3778465A"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1100" w:type="dxa"/>
            <w:tcBorders>
              <w:top w:val="nil"/>
              <w:left w:val="nil"/>
              <w:bottom w:val="nil"/>
              <w:right w:val="nil"/>
            </w:tcBorders>
            <w:noWrap/>
            <w:vAlign w:val="bottom"/>
            <w:hideMark/>
          </w:tcPr>
          <w:p w14:paraId="1C2FB4E0" w14:textId="77777777" w:rsidR="00E91426" w:rsidRPr="00E91426" w:rsidRDefault="00E91426" w:rsidP="00E91426">
            <w:pPr>
              <w:widowControl/>
              <w:rPr>
                <w:rFonts w:ascii="Arial" w:eastAsia="Times New Roman" w:hAnsi="Arial" w:cs="Arial"/>
                <w:sz w:val="20"/>
                <w:szCs w:val="20"/>
                <w:lang w:val="en-GB" w:eastAsia="en-GB"/>
              </w:rPr>
            </w:pPr>
          </w:p>
        </w:tc>
        <w:tc>
          <w:tcPr>
            <w:tcW w:w="1100" w:type="dxa"/>
            <w:tcBorders>
              <w:top w:val="nil"/>
              <w:left w:val="nil"/>
              <w:bottom w:val="nil"/>
              <w:right w:val="nil"/>
            </w:tcBorders>
            <w:noWrap/>
            <w:vAlign w:val="bottom"/>
            <w:hideMark/>
          </w:tcPr>
          <w:p w14:paraId="6D3AC878"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139" w:type="dxa"/>
            <w:tcBorders>
              <w:top w:val="nil"/>
              <w:left w:val="nil"/>
              <w:bottom w:val="nil"/>
              <w:right w:val="nil"/>
            </w:tcBorders>
            <w:noWrap/>
            <w:vAlign w:val="bottom"/>
            <w:hideMark/>
          </w:tcPr>
          <w:p w14:paraId="03298E4C" w14:textId="77777777" w:rsidR="00E91426" w:rsidRPr="00E91426" w:rsidRDefault="00E91426" w:rsidP="00E91426">
            <w:pPr>
              <w:widowControl/>
              <w:jc w:val="right"/>
              <w:rPr>
                <w:rFonts w:ascii="Arial" w:eastAsia="Times New Roman" w:hAnsi="Arial" w:cs="Arial"/>
                <w:sz w:val="20"/>
                <w:szCs w:val="20"/>
                <w:lang w:val="en-GB" w:eastAsia="en-GB"/>
              </w:rPr>
            </w:pPr>
          </w:p>
        </w:tc>
      </w:tr>
      <w:tr w:rsidR="00E91426" w:rsidRPr="00E91426" w14:paraId="5AD6D1DC" w14:textId="77777777" w:rsidTr="00E91426">
        <w:trPr>
          <w:trHeight w:val="282"/>
        </w:trPr>
        <w:tc>
          <w:tcPr>
            <w:tcW w:w="5420" w:type="dxa"/>
            <w:gridSpan w:val="2"/>
            <w:tcBorders>
              <w:top w:val="nil"/>
              <w:left w:val="nil"/>
              <w:bottom w:val="nil"/>
              <w:right w:val="nil"/>
            </w:tcBorders>
            <w:vAlign w:val="bottom"/>
            <w:hideMark/>
          </w:tcPr>
          <w:p w14:paraId="1FB70D6E"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Additions</w:t>
            </w:r>
          </w:p>
        </w:tc>
        <w:tc>
          <w:tcPr>
            <w:tcW w:w="222" w:type="dxa"/>
            <w:tcBorders>
              <w:top w:val="nil"/>
              <w:left w:val="nil"/>
              <w:bottom w:val="nil"/>
              <w:right w:val="nil"/>
            </w:tcBorders>
            <w:vAlign w:val="bottom"/>
            <w:hideMark/>
          </w:tcPr>
          <w:p w14:paraId="4C8AFB78"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1100" w:type="dxa"/>
            <w:tcBorders>
              <w:top w:val="nil"/>
              <w:left w:val="nil"/>
              <w:bottom w:val="nil"/>
              <w:right w:val="nil"/>
            </w:tcBorders>
            <w:noWrap/>
            <w:vAlign w:val="bottom"/>
            <w:hideMark/>
          </w:tcPr>
          <w:p w14:paraId="0ADE0184"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1,638</w:t>
            </w:r>
          </w:p>
        </w:tc>
        <w:tc>
          <w:tcPr>
            <w:tcW w:w="1100" w:type="dxa"/>
            <w:tcBorders>
              <w:top w:val="nil"/>
              <w:left w:val="nil"/>
              <w:bottom w:val="nil"/>
              <w:right w:val="nil"/>
            </w:tcBorders>
            <w:noWrap/>
            <w:vAlign w:val="bottom"/>
            <w:hideMark/>
          </w:tcPr>
          <w:p w14:paraId="01ECCD0B"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139" w:type="dxa"/>
            <w:tcBorders>
              <w:top w:val="nil"/>
              <w:left w:val="nil"/>
              <w:bottom w:val="nil"/>
              <w:right w:val="nil"/>
            </w:tcBorders>
            <w:noWrap/>
            <w:vAlign w:val="bottom"/>
            <w:hideMark/>
          </w:tcPr>
          <w:p w14:paraId="7482D94A"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1,638</w:t>
            </w:r>
          </w:p>
        </w:tc>
      </w:tr>
      <w:tr w:rsidR="00E91426" w:rsidRPr="00E91426" w14:paraId="6CEC1D04" w14:textId="77777777" w:rsidTr="00E91426">
        <w:trPr>
          <w:trHeight w:val="300"/>
        </w:trPr>
        <w:tc>
          <w:tcPr>
            <w:tcW w:w="5420" w:type="dxa"/>
            <w:gridSpan w:val="2"/>
            <w:tcBorders>
              <w:top w:val="nil"/>
              <w:left w:val="nil"/>
              <w:bottom w:val="nil"/>
              <w:right w:val="nil"/>
            </w:tcBorders>
            <w:vAlign w:val="bottom"/>
            <w:hideMark/>
          </w:tcPr>
          <w:p w14:paraId="7E3DDDED"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Interest charge arising in year (application of effective interest rate)</w:t>
            </w:r>
          </w:p>
        </w:tc>
        <w:tc>
          <w:tcPr>
            <w:tcW w:w="222" w:type="dxa"/>
            <w:tcBorders>
              <w:top w:val="nil"/>
              <w:left w:val="nil"/>
              <w:bottom w:val="nil"/>
              <w:right w:val="nil"/>
            </w:tcBorders>
            <w:vAlign w:val="bottom"/>
            <w:hideMark/>
          </w:tcPr>
          <w:p w14:paraId="2677DAB7"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1100" w:type="dxa"/>
            <w:tcBorders>
              <w:top w:val="nil"/>
              <w:left w:val="nil"/>
              <w:bottom w:val="nil"/>
              <w:right w:val="nil"/>
            </w:tcBorders>
            <w:noWrap/>
            <w:vAlign w:val="bottom"/>
            <w:hideMark/>
          </w:tcPr>
          <w:p w14:paraId="5F0E5DA5"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63</w:t>
            </w:r>
          </w:p>
        </w:tc>
        <w:tc>
          <w:tcPr>
            <w:tcW w:w="1100" w:type="dxa"/>
            <w:tcBorders>
              <w:top w:val="nil"/>
              <w:left w:val="nil"/>
              <w:bottom w:val="nil"/>
              <w:right w:val="nil"/>
            </w:tcBorders>
            <w:noWrap/>
            <w:vAlign w:val="bottom"/>
            <w:hideMark/>
          </w:tcPr>
          <w:p w14:paraId="452B6180"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25</w:t>
            </w:r>
          </w:p>
        </w:tc>
        <w:tc>
          <w:tcPr>
            <w:tcW w:w="1139" w:type="dxa"/>
            <w:tcBorders>
              <w:top w:val="nil"/>
              <w:left w:val="nil"/>
              <w:bottom w:val="nil"/>
              <w:right w:val="nil"/>
            </w:tcBorders>
            <w:noWrap/>
            <w:vAlign w:val="bottom"/>
            <w:hideMark/>
          </w:tcPr>
          <w:p w14:paraId="2C484E2F"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38</w:t>
            </w:r>
          </w:p>
        </w:tc>
      </w:tr>
      <w:tr w:rsidR="00E91426" w:rsidRPr="00E91426" w14:paraId="6976F730" w14:textId="77777777" w:rsidTr="00E91426">
        <w:trPr>
          <w:trHeight w:val="315"/>
        </w:trPr>
        <w:tc>
          <w:tcPr>
            <w:tcW w:w="4520" w:type="dxa"/>
            <w:tcBorders>
              <w:top w:val="nil"/>
              <w:left w:val="nil"/>
              <w:bottom w:val="nil"/>
              <w:right w:val="nil"/>
            </w:tcBorders>
            <w:noWrap/>
            <w:vAlign w:val="bottom"/>
            <w:hideMark/>
          </w:tcPr>
          <w:p w14:paraId="39220848"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Carrying value at 31 March 2024</w:t>
            </w:r>
          </w:p>
        </w:tc>
        <w:tc>
          <w:tcPr>
            <w:tcW w:w="900" w:type="dxa"/>
            <w:tcBorders>
              <w:top w:val="nil"/>
              <w:left w:val="nil"/>
              <w:bottom w:val="nil"/>
              <w:right w:val="nil"/>
            </w:tcBorders>
            <w:noWrap/>
            <w:vAlign w:val="bottom"/>
            <w:hideMark/>
          </w:tcPr>
          <w:p w14:paraId="69A4864C"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222" w:type="dxa"/>
            <w:tcBorders>
              <w:top w:val="nil"/>
              <w:left w:val="nil"/>
              <w:bottom w:val="nil"/>
              <w:right w:val="nil"/>
            </w:tcBorders>
            <w:vAlign w:val="bottom"/>
            <w:hideMark/>
          </w:tcPr>
          <w:p w14:paraId="67C11123" w14:textId="77777777" w:rsidR="00E91426" w:rsidRPr="00E91426" w:rsidRDefault="00E91426" w:rsidP="00E91426">
            <w:pPr>
              <w:widowControl/>
              <w:rPr>
                <w:rFonts w:ascii="Arial" w:eastAsia="Times New Roman" w:hAnsi="Arial" w:cs="Arial"/>
                <w:sz w:val="20"/>
                <w:szCs w:val="20"/>
                <w:lang w:val="en-GB" w:eastAsia="en-GB"/>
              </w:rPr>
            </w:pPr>
          </w:p>
        </w:tc>
        <w:tc>
          <w:tcPr>
            <w:tcW w:w="1100" w:type="dxa"/>
            <w:tcBorders>
              <w:top w:val="single" w:sz="4" w:space="0" w:color="auto"/>
              <w:left w:val="nil"/>
              <w:bottom w:val="double" w:sz="6" w:space="0" w:color="auto"/>
              <w:right w:val="nil"/>
            </w:tcBorders>
            <w:noWrap/>
            <w:vAlign w:val="bottom"/>
            <w:hideMark/>
          </w:tcPr>
          <w:p w14:paraId="74BB4B65"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3,430</w:t>
            </w:r>
          </w:p>
        </w:tc>
        <w:tc>
          <w:tcPr>
            <w:tcW w:w="1100" w:type="dxa"/>
            <w:tcBorders>
              <w:top w:val="single" w:sz="4" w:space="0" w:color="auto"/>
              <w:left w:val="nil"/>
              <w:bottom w:val="double" w:sz="6" w:space="0" w:color="auto"/>
              <w:right w:val="nil"/>
            </w:tcBorders>
            <w:noWrap/>
            <w:vAlign w:val="bottom"/>
            <w:hideMark/>
          </w:tcPr>
          <w:p w14:paraId="5048602B"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1,907</w:t>
            </w:r>
          </w:p>
        </w:tc>
        <w:tc>
          <w:tcPr>
            <w:tcW w:w="1139" w:type="dxa"/>
            <w:tcBorders>
              <w:top w:val="single" w:sz="4" w:space="0" w:color="auto"/>
              <w:left w:val="nil"/>
              <w:bottom w:val="double" w:sz="6" w:space="0" w:color="auto"/>
              <w:right w:val="nil"/>
            </w:tcBorders>
            <w:noWrap/>
            <w:vAlign w:val="bottom"/>
            <w:hideMark/>
          </w:tcPr>
          <w:p w14:paraId="039E42D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1,523</w:t>
            </w:r>
          </w:p>
        </w:tc>
      </w:tr>
      <w:tr w:rsidR="00E91426" w:rsidRPr="00E91426" w14:paraId="406DBA8F" w14:textId="77777777" w:rsidTr="00E91426">
        <w:trPr>
          <w:trHeight w:val="315"/>
        </w:trPr>
        <w:tc>
          <w:tcPr>
            <w:tcW w:w="4520" w:type="dxa"/>
            <w:tcBorders>
              <w:top w:val="nil"/>
              <w:left w:val="nil"/>
              <w:bottom w:val="nil"/>
              <w:right w:val="nil"/>
            </w:tcBorders>
            <w:vAlign w:val="bottom"/>
            <w:hideMark/>
          </w:tcPr>
          <w:p w14:paraId="13F5D86A"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00" w:type="dxa"/>
            <w:tcBorders>
              <w:top w:val="nil"/>
              <w:left w:val="nil"/>
              <w:bottom w:val="nil"/>
              <w:right w:val="nil"/>
            </w:tcBorders>
            <w:vAlign w:val="bottom"/>
            <w:hideMark/>
          </w:tcPr>
          <w:p w14:paraId="597C042B" w14:textId="77777777" w:rsidR="00E91426" w:rsidRPr="00E91426" w:rsidRDefault="00E91426" w:rsidP="00E91426">
            <w:pPr>
              <w:widowControl/>
              <w:rPr>
                <w:rFonts w:ascii="Arial" w:eastAsia="Times New Roman" w:hAnsi="Arial" w:cs="Arial"/>
                <w:sz w:val="20"/>
                <w:szCs w:val="20"/>
                <w:lang w:val="en-GB" w:eastAsia="en-GB"/>
              </w:rPr>
            </w:pPr>
          </w:p>
        </w:tc>
        <w:tc>
          <w:tcPr>
            <w:tcW w:w="222" w:type="dxa"/>
            <w:tcBorders>
              <w:top w:val="nil"/>
              <w:left w:val="nil"/>
              <w:bottom w:val="nil"/>
              <w:right w:val="nil"/>
            </w:tcBorders>
            <w:vAlign w:val="bottom"/>
            <w:hideMark/>
          </w:tcPr>
          <w:p w14:paraId="05B8BF2A" w14:textId="77777777" w:rsidR="00E91426" w:rsidRPr="00E91426" w:rsidRDefault="00E91426" w:rsidP="00E91426">
            <w:pPr>
              <w:widowControl/>
              <w:rPr>
                <w:rFonts w:ascii="Arial" w:eastAsia="Times New Roman" w:hAnsi="Arial" w:cs="Arial"/>
                <w:sz w:val="20"/>
                <w:szCs w:val="20"/>
                <w:lang w:val="en-GB" w:eastAsia="en-GB"/>
              </w:rPr>
            </w:pPr>
          </w:p>
        </w:tc>
        <w:tc>
          <w:tcPr>
            <w:tcW w:w="1100" w:type="dxa"/>
            <w:tcBorders>
              <w:top w:val="nil"/>
              <w:left w:val="nil"/>
              <w:bottom w:val="nil"/>
              <w:right w:val="nil"/>
            </w:tcBorders>
            <w:noWrap/>
            <w:vAlign w:val="bottom"/>
            <w:hideMark/>
          </w:tcPr>
          <w:p w14:paraId="1B8A640F"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w:t>
            </w:r>
          </w:p>
        </w:tc>
        <w:tc>
          <w:tcPr>
            <w:tcW w:w="1100" w:type="dxa"/>
            <w:tcBorders>
              <w:top w:val="nil"/>
              <w:left w:val="nil"/>
              <w:bottom w:val="nil"/>
              <w:right w:val="nil"/>
            </w:tcBorders>
            <w:noWrap/>
            <w:vAlign w:val="bottom"/>
            <w:hideMark/>
          </w:tcPr>
          <w:p w14:paraId="272D56F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w:t>
            </w:r>
          </w:p>
        </w:tc>
        <w:tc>
          <w:tcPr>
            <w:tcW w:w="1139" w:type="dxa"/>
            <w:tcBorders>
              <w:top w:val="nil"/>
              <w:left w:val="nil"/>
              <w:bottom w:val="nil"/>
              <w:right w:val="nil"/>
            </w:tcBorders>
            <w:noWrap/>
            <w:vAlign w:val="bottom"/>
            <w:hideMark/>
          </w:tcPr>
          <w:p w14:paraId="116DE81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w:t>
            </w:r>
          </w:p>
        </w:tc>
      </w:tr>
      <w:bookmarkEnd w:id="82"/>
    </w:tbl>
    <w:p w14:paraId="4C9AD19F" w14:textId="77777777" w:rsidR="00E91426" w:rsidRPr="00E91426" w:rsidRDefault="00E91426" w:rsidP="00E91426">
      <w:pPr>
        <w:widowControl/>
        <w:spacing w:after="160" w:line="259" w:lineRule="auto"/>
        <w:rPr>
          <w:rFonts w:ascii="Arial" w:eastAsia="Calibri" w:hAnsi="Arial" w:cs="Arial"/>
          <w:sz w:val="20"/>
          <w:szCs w:val="20"/>
          <w:lang w:val="en-GB"/>
        </w:rPr>
      </w:pPr>
    </w:p>
    <w:p w14:paraId="6A689A26" w14:textId="77777777" w:rsidR="00E91426" w:rsidRPr="00E91426" w:rsidRDefault="00E91426" w:rsidP="00E91426">
      <w:pPr>
        <w:widowControl/>
        <w:spacing w:after="160" w:line="259" w:lineRule="auto"/>
        <w:rPr>
          <w:rFonts w:ascii="Arial" w:eastAsia="Times New Roman" w:hAnsi="Arial" w:cs="Arial"/>
          <w:b/>
          <w:color w:val="000000"/>
          <w:sz w:val="20"/>
          <w:szCs w:val="20"/>
          <w:lang w:val="en-GB"/>
        </w:rPr>
      </w:pPr>
      <w:r w:rsidRPr="00E91426">
        <w:rPr>
          <w:rFonts w:ascii="Arial" w:eastAsia="Calibri" w:hAnsi="Arial" w:cs="Arial"/>
          <w:sz w:val="20"/>
          <w:szCs w:val="20"/>
          <w:lang w:val="en-GB"/>
        </w:rPr>
        <w:br w:type="page"/>
      </w:r>
    </w:p>
    <w:p w14:paraId="49EE9865" w14:textId="77777777" w:rsidR="00E91426" w:rsidRPr="00E91426" w:rsidRDefault="00E91426" w:rsidP="00E91426">
      <w:pPr>
        <w:keepNext/>
        <w:keepLines/>
        <w:widowControl/>
        <w:spacing w:before="40" w:line="259" w:lineRule="auto"/>
        <w:outlineLvl w:val="1"/>
        <w:rPr>
          <w:rFonts w:ascii="Arial" w:eastAsia="Times New Roman" w:hAnsi="Arial" w:cs="Arial"/>
          <w:b/>
          <w:color w:val="000000"/>
          <w:sz w:val="20"/>
          <w:szCs w:val="20"/>
          <w:lang w:val="en-GB"/>
        </w:rPr>
      </w:pPr>
      <w:bookmarkStart w:id="83" w:name="_Toc195698718"/>
      <w:r w:rsidRPr="00E91426">
        <w:rPr>
          <w:rFonts w:ascii="Arial" w:eastAsia="Times New Roman" w:hAnsi="Arial" w:cs="Arial"/>
          <w:b/>
          <w:color w:val="000000"/>
          <w:sz w:val="20"/>
          <w:szCs w:val="20"/>
          <w:lang w:val="en-GB"/>
        </w:rPr>
        <w:lastRenderedPageBreak/>
        <w:t>Note 21 Provisions for liabilities and charges</w:t>
      </w:r>
      <w:bookmarkEnd w:id="83"/>
    </w:p>
    <w:p w14:paraId="61592671" w14:textId="77777777" w:rsidR="00E91426" w:rsidRPr="00E91426" w:rsidRDefault="00E91426" w:rsidP="00E91426">
      <w:pPr>
        <w:widowControl/>
        <w:spacing w:after="160" w:line="259" w:lineRule="auto"/>
        <w:rPr>
          <w:rFonts w:ascii="Arial" w:eastAsia="Calibri" w:hAnsi="Arial" w:cs="Arial"/>
          <w:sz w:val="20"/>
          <w:szCs w:val="20"/>
          <w:lang w:val="en-GB"/>
        </w:rPr>
      </w:pPr>
    </w:p>
    <w:tbl>
      <w:tblPr>
        <w:tblW w:w="9226" w:type="dxa"/>
        <w:tblLook w:val="04A0" w:firstRow="1" w:lastRow="0" w:firstColumn="1" w:lastColumn="0" w:noHBand="0" w:noVBand="1"/>
      </w:tblPr>
      <w:tblGrid>
        <w:gridCol w:w="4433"/>
        <w:gridCol w:w="1216"/>
        <w:gridCol w:w="1115"/>
        <w:gridCol w:w="1095"/>
        <w:gridCol w:w="272"/>
        <w:gridCol w:w="1095"/>
      </w:tblGrid>
      <w:tr w:rsidR="00E91426" w:rsidRPr="00E91426" w14:paraId="49F47705" w14:textId="77777777" w:rsidTr="00E91426">
        <w:trPr>
          <w:trHeight w:val="720"/>
        </w:trPr>
        <w:tc>
          <w:tcPr>
            <w:tcW w:w="4433" w:type="dxa"/>
            <w:tcBorders>
              <w:top w:val="nil"/>
              <w:left w:val="nil"/>
              <w:bottom w:val="nil"/>
              <w:right w:val="nil"/>
            </w:tcBorders>
            <w:vAlign w:val="bottom"/>
            <w:hideMark/>
          </w:tcPr>
          <w:p w14:paraId="3424AF64" w14:textId="77777777" w:rsidR="00E91426" w:rsidRPr="00E91426" w:rsidRDefault="00E91426" w:rsidP="00E91426">
            <w:pPr>
              <w:widowControl/>
              <w:rPr>
                <w:rFonts w:ascii="Arial" w:eastAsia="Times New Roman" w:hAnsi="Arial" w:cs="Arial"/>
                <w:sz w:val="20"/>
                <w:szCs w:val="20"/>
                <w:lang w:val="en-GB" w:eastAsia="en-GB"/>
              </w:rPr>
            </w:pPr>
          </w:p>
        </w:tc>
        <w:tc>
          <w:tcPr>
            <w:tcW w:w="1216" w:type="dxa"/>
            <w:tcBorders>
              <w:top w:val="nil"/>
              <w:left w:val="nil"/>
              <w:bottom w:val="nil"/>
              <w:right w:val="nil"/>
            </w:tcBorders>
            <w:hideMark/>
          </w:tcPr>
          <w:p w14:paraId="7E697035"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Pensions relating to staff</w:t>
            </w:r>
          </w:p>
        </w:tc>
        <w:tc>
          <w:tcPr>
            <w:tcW w:w="1115" w:type="dxa"/>
            <w:tcBorders>
              <w:top w:val="nil"/>
              <w:left w:val="nil"/>
              <w:bottom w:val="nil"/>
              <w:right w:val="nil"/>
            </w:tcBorders>
            <w:hideMark/>
          </w:tcPr>
          <w:p w14:paraId="2E029C23"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Legal claims</w:t>
            </w:r>
          </w:p>
        </w:tc>
        <w:tc>
          <w:tcPr>
            <w:tcW w:w="1095" w:type="dxa"/>
            <w:tcBorders>
              <w:top w:val="nil"/>
              <w:left w:val="nil"/>
              <w:bottom w:val="nil"/>
              <w:right w:val="nil"/>
            </w:tcBorders>
            <w:hideMark/>
          </w:tcPr>
          <w:p w14:paraId="352CC05C"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Other</w:t>
            </w:r>
          </w:p>
        </w:tc>
        <w:tc>
          <w:tcPr>
            <w:tcW w:w="272" w:type="dxa"/>
            <w:tcBorders>
              <w:top w:val="nil"/>
              <w:left w:val="nil"/>
              <w:bottom w:val="nil"/>
              <w:right w:val="nil"/>
            </w:tcBorders>
            <w:hideMark/>
          </w:tcPr>
          <w:p w14:paraId="10DC5481"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095" w:type="dxa"/>
            <w:tcBorders>
              <w:top w:val="nil"/>
              <w:left w:val="nil"/>
              <w:bottom w:val="nil"/>
              <w:right w:val="nil"/>
            </w:tcBorders>
            <w:hideMark/>
          </w:tcPr>
          <w:p w14:paraId="6FA28C7C"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Total </w:t>
            </w:r>
          </w:p>
        </w:tc>
      </w:tr>
      <w:tr w:rsidR="00E91426" w:rsidRPr="00E91426" w14:paraId="4DA73ABC" w14:textId="77777777" w:rsidTr="00E91426">
        <w:trPr>
          <w:trHeight w:val="282"/>
        </w:trPr>
        <w:tc>
          <w:tcPr>
            <w:tcW w:w="4433" w:type="dxa"/>
            <w:tcBorders>
              <w:top w:val="nil"/>
              <w:left w:val="nil"/>
              <w:bottom w:val="nil"/>
              <w:right w:val="nil"/>
            </w:tcBorders>
            <w:vAlign w:val="bottom"/>
            <w:hideMark/>
          </w:tcPr>
          <w:p w14:paraId="4286CBF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216" w:type="dxa"/>
            <w:tcBorders>
              <w:top w:val="nil"/>
              <w:left w:val="nil"/>
              <w:bottom w:val="nil"/>
              <w:right w:val="nil"/>
            </w:tcBorders>
            <w:vAlign w:val="bottom"/>
            <w:hideMark/>
          </w:tcPr>
          <w:p w14:paraId="484B91B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£000</w:t>
            </w:r>
          </w:p>
        </w:tc>
        <w:tc>
          <w:tcPr>
            <w:tcW w:w="1115" w:type="dxa"/>
            <w:tcBorders>
              <w:top w:val="nil"/>
              <w:left w:val="nil"/>
              <w:bottom w:val="nil"/>
              <w:right w:val="nil"/>
            </w:tcBorders>
            <w:vAlign w:val="bottom"/>
            <w:hideMark/>
          </w:tcPr>
          <w:p w14:paraId="1621917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£000</w:t>
            </w:r>
          </w:p>
        </w:tc>
        <w:tc>
          <w:tcPr>
            <w:tcW w:w="1095" w:type="dxa"/>
            <w:tcBorders>
              <w:top w:val="nil"/>
              <w:left w:val="nil"/>
              <w:bottom w:val="nil"/>
              <w:right w:val="nil"/>
            </w:tcBorders>
            <w:vAlign w:val="bottom"/>
            <w:hideMark/>
          </w:tcPr>
          <w:p w14:paraId="20D64B5D"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£000</w:t>
            </w:r>
          </w:p>
        </w:tc>
        <w:tc>
          <w:tcPr>
            <w:tcW w:w="272" w:type="dxa"/>
            <w:tcBorders>
              <w:top w:val="nil"/>
              <w:left w:val="nil"/>
              <w:bottom w:val="nil"/>
              <w:right w:val="nil"/>
            </w:tcBorders>
            <w:vAlign w:val="bottom"/>
            <w:hideMark/>
          </w:tcPr>
          <w:p w14:paraId="5815ED0D"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095" w:type="dxa"/>
            <w:tcBorders>
              <w:top w:val="nil"/>
              <w:left w:val="nil"/>
              <w:bottom w:val="nil"/>
              <w:right w:val="nil"/>
            </w:tcBorders>
            <w:vAlign w:val="bottom"/>
            <w:hideMark/>
          </w:tcPr>
          <w:p w14:paraId="5C33E363"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r>
      <w:tr w:rsidR="00E91426" w:rsidRPr="00E91426" w14:paraId="345C1426" w14:textId="77777777" w:rsidTr="00E91426">
        <w:trPr>
          <w:trHeight w:val="255"/>
        </w:trPr>
        <w:tc>
          <w:tcPr>
            <w:tcW w:w="4433" w:type="dxa"/>
            <w:tcBorders>
              <w:top w:val="nil"/>
              <w:left w:val="nil"/>
              <w:bottom w:val="nil"/>
              <w:right w:val="nil"/>
            </w:tcBorders>
            <w:vAlign w:val="bottom"/>
            <w:hideMark/>
          </w:tcPr>
          <w:p w14:paraId="23851C1C"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At 1 April 2024</w:t>
            </w:r>
          </w:p>
        </w:tc>
        <w:tc>
          <w:tcPr>
            <w:tcW w:w="1216" w:type="dxa"/>
            <w:tcBorders>
              <w:top w:val="nil"/>
              <w:left w:val="nil"/>
              <w:bottom w:val="nil"/>
              <w:right w:val="nil"/>
            </w:tcBorders>
            <w:noWrap/>
            <w:vAlign w:val="bottom"/>
            <w:hideMark/>
          </w:tcPr>
          <w:p w14:paraId="44942188"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593</w:t>
            </w:r>
          </w:p>
        </w:tc>
        <w:tc>
          <w:tcPr>
            <w:tcW w:w="1115" w:type="dxa"/>
            <w:tcBorders>
              <w:top w:val="nil"/>
              <w:left w:val="nil"/>
              <w:bottom w:val="nil"/>
              <w:right w:val="nil"/>
            </w:tcBorders>
            <w:noWrap/>
            <w:vAlign w:val="bottom"/>
            <w:hideMark/>
          </w:tcPr>
          <w:p w14:paraId="01D74390"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210</w:t>
            </w:r>
          </w:p>
        </w:tc>
        <w:tc>
          <w:tcPr>
            <w:tcW w:w="1095" w:type="dxa"/>
            <w:tcBorders>
              <w:top w:val="nil"/>
              <w:left w:val="nil"/>
              <w:bottom w:val="nil"/>
              <w:right w:val="nil"/>
            </w:tcBorders>
            <w:noWrap/>
            <w:vAlign w:val="bottom"/>
            <w:hideMark/>
          </w:tcPr>
          <w:p w14:paraId="3A47A708"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789</w:t>
            </w:r>
          </w:p>
        </w:tc>
        <w:tc>
          <w:tcPr>
            <w:tcW w:w="272" w:type="dxa"/>
            <w:tcBorders>
              <w:top w:val="nil"/>
              <w:left w:val="nil"/>
              <w:bottom w:val="nil"/>
              <w:right w:val="nil"/>
            </w:tcBorders>
            <w:noWrap/>
            <w:vAlign w:val="bottom"/>
            <w:hideMark/>
          </w:tcPr>
          <w:p w14:paraId="69DFAED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095" w:type="dxa"/>
            <w:tcBorders>
              <w:top w:val="nil"/>
              <w:left w:val="nil"/>
              <w:bottom w:val="nil"/>
              <w:right w:val="nil"/>
            </w:tcBorders>
            <w:noWrap/>
            <w:vAlign w:val="bottom"/>
            <w:hideMark/>
          </w:tcPr>
          <w:p w14:paraId="4542F27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1,592</w:t>
            </w:r>
          </w:p>
        </w:tc>
      </w:tr>
      <w:tr w:rsidR="00E91426" w:rsidRPr="00E91426" w14:paraId="7D24FC4B" w14:textId="77777777" w:rsidTr="00E91426">
        <w:trPr>
          <w:trHeight w:val="255"/>
        </w:trPr>
        <w:tc>
          <w:tcPr>
            <w:tcW w:w="4433" w:type="dxa"/>
            <w:tcBorders>
              <w:top w:val="nil"/>
              <w:left w:val="nil"/>
              <w:bottom w:val="nil"/>
              <w:right w:val="nil"/>
            </w:tcBorders>
            <w:vAlign w:val="bottom"/>
            <w:hideMark/>
          </w:tcPr>
          <w:p w14:paraId="4B7DBEA2"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 xml:space="preserve">Change in the discount rate </w:t>
            </w:r>
          </w:p>
        </w:tc>
        <w:tc>
          <w:tcPr>
            <w:tcW w:w="1216" w:type="dxa"/>
            <w:tcBorders>
              <w:top w:val="nil"/>
              <w:left w:val="nil"/>
              <w:bottom w:val="nil"/>
              <w:right w:val="nil"/>
            </w:tcBorders>
            <w:noWrap/>
            <w:vAlign w:val="bottom"/>
            <w:hideMark/>
          </w:tcPr>
          <w:p w14:paraId="32073BF9"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w:t>
            </w:r>
          </w:p>
        </w:tc>
        <w:tc>
          <w:tcPr>
            <w:tcW w:w="1115" w:type="dxa"/>
            <w:tcBorders>
              <w:top w:val="nil"/>
              <w:left w:val="nil"/>
              <w:bottom w:val="nil"/>
              <w:right w:val="nil"/>
            </w:tcBorders>
            <w:noWrap/>
            <w:vAlign w:val="bottom"/>
            <w:hideMark/>
          </w:tcPr>
          <w:p w14:paraId="5A94813E"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095" w:type="dxa"/>
            <w:tcBorders>
              <w:top w:val="nil"/>
              <w:left w:val="nil"/>
              <w:bottom w:val="nil"/>
              <w:right w:val="nil"/>
            </w:tcBorders>
            <w:noWrap/>
            <w:vAlign w:val="bottom"/>
            <w:hideMark/>
          </w:tcPr>
          <w:p w14:paraId="0E2F13CC"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(4)</w:t>
            </w:r>
          </w:p>
        </w:tc>
        <w:tc>
          <w:tcPr>
            <w:tcW w:w="272" w:type="dxa"/>
            <w:tcBorders>
              <w:top w:val="nil"/>
              <w:left w:val="nil"/>
              <w:bottom w:val="nil"/>
              <w:right w:val="nil"/>
            </w:tcBorders>
            <w:noWrap/>
            <w:vAlign w:val="bottom"/>
            <w:hideMark/>
          </w:tcPr>
          <w:p w14:paraId="3F173EA5"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95" w:type="dxa"/>
            <w:tcBorders>
              <w:top w:val="nil"/>
              <w:left w:val="nil"/>
              <w:bottom w:val="nil"/>
              <w:right w:val="nil"/>
            </w:tcBorders>
            <w:noWrap/>
            <w:vAlign w:val="bottom"/>
            <w:hideMark/>
          </w:tcPr>
          <w:p w14:paraId="79CB08F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w:t>
            </w:r>
          </w:p>
        </w:tc>
      </w:tr>
      <w:tr w:rsidR="00E91426" w:rsidRPr="00E91426" w14:paraId="00556BB6" w14:textId="77777777" w:rsidTr="00E91426">
        <w:trPr>
          <w:trHeight w:val="255"/>
        </w:trPr>
        <w:tc>
          <w:tcPr>
            <w:tcW w:w="4433" w:type="dxa"/>
            <w:tcBorders>
              <w:top w:val="nil"/>
              <w:left w:val="nil"/>
              <w:bottom w:val="nil"/>
              <w:right w:val="nil"/>
            </w:tcBorders>
            <w:vAlign w:val="bottom"/>
            <w:hideMark/>
          </w:tcPr>
          <w:p w14:paraId="0EEFCB8D"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 xml:space="preserve">Arising during the year </w:t>
            </w:r>
          </w:p>
        </w:tc>
        <w:tc>
          <w:tcPr>
            <w:tcW w:w="1216" w:type="dxa"/>
            <w:tcBorders>
              <w:top w:val="nil"/>
              <w:left w:val="nil"/>
              <w:bottom w:val="nil"/>
              <w:right w:val="nil"/>
            </w:tcBorders>
            <w:noWrap/>
            <w:vAlign w:val="bottom"/>
            <w:hideMark/>
          </w:tcPr>
          <w:p w14:paraId="20608EE8"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84</w:t>
            </w:r>
          </w:p>
        </w:tc>
        <w:tc>
          <w:tcPr>
            <w:tcW w:w="1115" w:type="dxa"/>
            <w:tcBorders>
              <w:top w:val="nil"/>
              <w:left w:val="nil"/>
              <w:bottom w:val="nil"/>
              <w:right w:val="nil"/>
            </w:tcBorders>
            <w:noWrap/>
            <w:vAlign w:val="bottom"/>
            <w:hideMark/>
          </w:tcPr>
          <w:p w14:paraId="335713FA"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104</w:t>
            </w:r>
          </w:p>
        </w:tc>
        <w:tc>
          <w:tcPr>
            <w:tcW w:w="1095" w:type="dxa"/>
            <w:tcBorders>
              <w:top w:val="nil"/>
              <w:left w:val="nil"/>
              <w:bottom w:val="nil"/>
              <w:right w:val="nil"/>
            </w:tcBorders>
            <w:noWrap/>
            <w:vAlign w:val="bottom"/>
            <w:hideMark/>
          </w:tcPr>
          <w:p w14:paraId="2EA6326A"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10</w:t>
            </w:r>
          </w:p>
        </w:tc>
        <w:tc>
          <w:tcPr>
            <w:tcW w:w="272" w:type="dxa"/>
            <w:tcBorders>
              <w:top w:val="nil"/>
              <w:left w:val="nil"/>
              <w:bottom w:val="nil"/>
              <w:right w:val="nil"/>
            </w:tcBorders>
            <w:noWrap/>
            <w:vAlign w:val="bottom"/>
            <w:hideMark/>
          </w:tcPr>
          <w:p w14:paraId="38E8E91F"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95" w:type="dxa"/>
            <w:tcBorders>
              <w:top w:val="nil"/>
              <w:left w:val="nil"/>
              <w:bottom w:val="nil"/>
              <w:right w:val="nil"/>
            </w:tcBorders>
            <w:noWrap/>
            <w:vAlign w:val="bottom"/>
            <w:hideMark/>
          </w:tcPr>
          <w:p w14:paraId="5A441138"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198</w:t>
            </w:r>
          </w:p>
        </w:tc>
      </w:tr>
      <w:tr w:rsidR="00E91426" w:rsidRPr="00E91426" w14:paraId="6194BA92" w14:textId="77777777" w:rsidTr="00E91426">
        <w:trPr>
          <w:trHeight w:val="282"/>
        </w:trPr>
        <w:tc>
          <w:tcPr>
            <w:tcW w:w="4433" w:type="dxa"/>
            <w:tcBorders>
              <w:top w:val="nil"/>
              <w:left w:val="nil"/>
              <w:bottom w:val="nil"/>
              <w:right w:val="nil"/>
            </w:tcBorders>
            <w:vAlign w:val="bottom"/>
            <w:hideMark/>
          </w:tcPr>
          <w:p w14:paraId="6811DAD7"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Utilised during the year</w:t>
            </w:r>
          </w:p>
        </w:tc>
        <w:tc>
          <w:tcPr>
            <w:tcW w:w="1216" w:type="dxa"/>
            <w:tcBorders>
              <w:top w:val="nil"/>
              <w:left w:val="nil"/>
              <w:bottom w:val="nil"/>
              <w:right w:val="nil"/>
            </w:tcBorders>
            <w:noWrap/>
            <w:vAlign w:val="bottom"/>
            <w:hideMark/>
          </w:tcPr>
          <w:p w14:paraId="10054D04"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(79)</w:t>
            </w:r>
          </w:p>
        </w:tc>
        <w:tc>
          <w:tcPr>
            <w:tcW w:w="1115" w:type="dxa"/>
            <w:tcBorders>
              <w:top w:val="nil"/>
              <w:left w:val="nil"/>
              <w:bottom w:val="nil"/>
              <w:right w:val="nil"/>
            </w:tcBorders>
            <w:noWrap/>
            <w:vAlign w:val="bottom"/>
            <w:hideMark/>
          </w:tcPr>
          <w:p w14:paraId="36684B53"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(38)</w:t>
            </w:r>
          </w:p>
        </w:tc>
        <w:tc>
          <w:tcPr>
            <w:tcW w:w="1095" w:type="dxa"/>
            <w:tcBorders>
              <w:top w:val="nil"/>
              <w:left w:val="nil"/>
              <w:bottom w:val="nil"/>
              <w:right w:val="nil"/>
            </w:tcBorders>
            <w:noWrap/>
            <w:vAlign w:val="bottom"/>
            <w:hideMark/>
          </w:tcPr>
          <w:p w14:paraId="5A1E83D2"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(5)</w:t>
            </w:r>
          </w:p>
        </w:tc>
        <w:tc>
          <w:tcPr>
            <w:tcW w:w="272" w:type="dxa"/>
            <w:tcBorders>
              <w:top w:val="nil"/>
              <w:left w:val="nil"/>
              <w:bottom w:val="nil"/>
              <w:right w:val="nil"/>
            </w:tcBorders>
            <w:noWrap/>
            <w:vAlign w:val="bottom"/>
            <w:hideMark/>
          </w:tcPr>
          <w:p w14:paraId="5FB3F2DE"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95" w:type="dxa"/>
            <w:tcBorders>
              <w:top w:val="nil"/>
              <w:left w:val="nil"/>
              <w:bottom w:val="nil"/>
              <w:right w:val="nil"/>
            </w:tcBorders>
            <w:noWrap/>
            <w:vAlign w:val="bottom"/>
            <w:hideMark/>
          </w:tcPr>
          <w:p w14:paraId="157917DA"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(122)</w:t>
            </w:r>
          </w:p>
        </w:tc>
      </w:tr>
      <w:tr w:rsidR="00E91426" w:rsidRPr="00E91426" w14:paraId="272B9798" w14:textId="77777777" w:rsidTr="00E91426">
        <w:trPr>
          <w:trHeight w:val="282"/>
        </w:trPr>
        <w:tc>
          <w:tcPr>
            <w:tcW w:w="4433" w:type="dxa"/>
            <w:tcBorders>
              <w:top w:val="nil"/>
              <w:left w:val="nil"/>
              <w:bottom w:val="nil"/>
              <w:right w:val="nil"/>
            </w:tcBorders>
            <w:vAlign w:val="bottom"/>
            <w:hideMark/>
          </w:tcPr>
          <w:p w14:paraId="21C64B9B"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 xml:space="preserve">Reversed unused </w:t>
            </w:r>
          </w:p>
        </w:tc>
        <w:tc>
          <w:tcPr>
            <w:tcW w:w="1216" w:type="dxa"/>
            <w:tcBorders>
              <w:top w:val="nil"/>
              <w:left w:val="nil"/>
              <w:bottom w:val="nil"/>
              <w:right w:val="nil"/>
            </w:tcBorders>
            <w:noWrap/>
            <w:vAlign w:val="bottom"/>
            <w:hideMark/>
          </w:tcPr>
          <w:p w14:paraId="4F4F479C"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(23)</w:t>
            </w:r>
          </w:p>
        </w:tc>
        <w:tc>
          <w:tcPr>
            <w:tcW w:w="1115" w:type="dxa"/>
            <w:tcBorders>
              <w:top w:val="nil"/>
              <w:left w:val="nil"/>
              <w:bottom w:val="nil"/>
              <w:right w:val="nil"/>
            </w:tcBorders>
            <w:noWrap/>
            <w:vAlign w:val="bottom"/>
            <w:hideMark/>
          </w:tcPr>
          <w:p w14:paraId="2F7AFE65"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(106)</w:t>
            </w:r>
          </w:p>
        </w:tc>
        <w:tc>
          <w:tcPr>
            <w:tcW w:w="1095" w:type="dxa"/>
            <w:tcBorders>
              <w:top w:val="nil"/>
              <w:left w:val="nil"/>
              <w:bottom w:val="nil"/>
              <w:right w:val="nil"/>
            </w:tcBorders>
            <w:noWrap/>
            <w:vAlign w:val="bottom"/>
            <w:hideMark/>
          </w:tcPr>
          <w:p w14:paraId="1C7E308D"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272" w:type="dxa"/>
            <w:tcBorders>
              <w:top w:val="nil"/>
              <w:left w:val="nil"/>
              <w:bottom w:val="nil"/>
              <w:right w:val="nil"/>
            </w:tcBorders>
            <w:noWrap/>
            <w:vAlign w:val="bottom"/>
            <w:hideMark/>
          </w:tcPr>
          <w:p w14:paraId="30194C1E"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95" w:type="dxa"/>
            <w:tcBorders>
              <w:top w:val="nil"/>
              <w:left w:val="nil"/>
              <w:bottom w:val="nil"/>
              <w:right w:val="nil"/>
            </w:tcBorders>
            <w:noWrap/>
            <w:vAlign w:val="bottom"/>
            <w:hideMark/>
          </w:tcPr>
          <w:p w14:paraId="5589EBE5"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(129)</w:t>
            </w:r>
          </w:p>
        </w:tc>
      </w:tr>
      <w:tr w:rsidR="00E91426" w:rsidRPr="00E91426" w14:paraId="5E303B24" w14:textId="77777777" w:rsidTr="00E91426">
        <w:trPr>
          <w:trHeight w:val="282"/>
        </w:trPr>
        <w:tc>
          <w:tcPr>
            <w:tcW w:w="4433" w:type="dxa"/>
            <w:tcBorders>
              <w:top w:val="nil"/>
              <w:left w:val="nil"/>
              <w:bottom w:val="nil"/>
              <w:right w:val="nil"/>
            </w:tcBorders>
            <w:vAlign w:val="bottom"/>
            <w:hideMark/>
          </w:tcPr>
          <w:p w14:paraId="4E636F2B"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 xml:space="preserve">Unwinding of discount </w:t>
            </w:r>
          </w:p>
        </w:tc>
        <w:tc>
          <w:tcPr>
            <w:tcW w:w="1216" w:type="dxa"/>
            <w:tcBorders>
              <w:top w:val="nil"/>
              <w:left w:val="nil"/>
              <w:bottom w:val="nil"/>
              <w:right w:val="nil"/>
            </w:tcBorders>
            <w:noWrap/>
            <w:vAlign w:val="bottom"/>
            <w:hideMark/>
          </w:tcPr>
          <w:p w14:paraId="57ACB35D"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11</w:t>
            </w:r>
          </w:p>
        </w:tc>
        <w:tc>
          <w:tcPr>
            <w:tcW w:w="1115" w:type="dxa"/>
            <w:tcBorders>
              <w:top w:val="nil"/>
              <w:left w:val="nil"/>
              <w:bottom w:val="nil"/>
              <w:right w:val="nil"/>
            </w:tcBorders>
            <w:noWrap/>
            <w:vAlign w:val="bottom"/>
            <w:hideMark/>
          </w:tcPr>
          <w:p w14:paraId="1769E276"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095" w:type="dxa"/>
            <w:tcBorders>
              <w:top w:val="nil"/>
              <w:left w:val="nil"/>
              <w:bottom w:val="nil"/>
              <w:right w:val="nil"/>
            </w:tcBorders>
            <w:noWrap/>
            <w:vAlign w:val="bottom"/>
            <w:hideMark/>
          </w:tcPr>
          <w:p w14:paraId="54217D04"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19</w:t>
            </w:r>
          </w:p>
        </w:tc>
        <w:tc>
          <w:tcPr>
            <w:tcW w:w="272" w:type="dxa"/>
            <w:tcBorders>
              <w:top w:val="nil"/>
              <w:left w:val="nil"/>
              <w:bottom w:val="nil"/>
              <w:right w:val="nil"/>
            </w:tcBorders>
            <w:noWrap/>
            <w:vAlign w:val="bottom"/>
            <w:hideMark/>
          </w:tcPr>
          <w:p w14:paraId="23C5EC7B"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95" w:type="dxa"/>
            <w:tcBorders>
              <w:top w:val="nil"/>
              <w:left w:val="nil"/>
              <w:bottom w:val="nil"/>
              <w:right w:val="nil"/>
            </w:tcBorders>
            <w:noWrap/>
            <w:vAlign w:val="bottom"/>
            <w:hideMark/>
          </w:tcPr>
          <w:p w14:paraId="7B0DDEFB"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30</w:t>
            </w:r>
          </w:p>
        </w:tc>
      </w:tr>
      <w:tr w:rsidR="00E91426" w:rsidRPr="00E91426" w14:paraId="3F89BF9B" w14:textId="77777777" w:rsidTr="00E91426">
        <w:trPr>
          <w:trHeight w:val="282"/>
        </w:trPr>
        <w:tc>
          <w:tcPr>
            <w:tcW w:w="4433" w:type="dxa"/>
            <w:tcBorders>
              <w:top w:val="nil"/>
              <w:left w:val="nil"/>
              <w:bottom w:val="nil"/>
              <w:right w:val="nil"/>
            </w:tcBorders>
            <w:noWrap/>
            <w:vAlign w:val="bottom"/>
            <w:hideMark/>
          </w:tcPr>
          <w:p w14:paraId="7B59CCEF"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At 31 March 2025</w:t>
            </w:r>
          </w:p>
        </w:tc>
        <w:tc>
          <w:tcPr>
            <w:tcW w:w="1216" w:type="dxa"/>
            <w:tcBorders>
              <w:top w:val="single" w:sz="4" w:space="0" w:color="auto"/>
              <w:left w:val="nil"/>
              <w:bottom w:val="double" w:sz="6" w:space="0" w:color="auto"/>
              <w:right w:val="nil"/>
            </w:tcBorders>
            <w:noWrap/>
            <w:vAlign w:val="bottom"/>
            <w:hideMark/>
          </w:tcPr>
          <w:p w14:paraId="3F17EC81"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588</w:t>
            </w:r>
          </w:p>
        </w:tc>
        <w:tc>
          <w:tcPr>
            <w:tcW w:w="1115" w:type="dxa"/>
            <w:tcBorders>
              <w:top w:val="single" w:sz="4" w:space="0" w:color="auto"/>
              <w:left w:val="nil"/>
              <w:bottom w:val="double" w:sz="6" w:space="0" w:color="auto"/>
              <w:right w:val="nil"/>
            </w:tcBorders>
            <w:noWrap/>
            <w:vAlign w:val="bottom"/>
            <w:hideMark/>
          </w:tcPr>
          <w:p w14:paraId="13D8D820"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170</w:t>
            </w:r>
          </w:p>
        </w:tc>
        <w:tc>
          <w:tcPr>
            <w:tcW w:w="1095" w:type="dxa"/>
            <w:tcBorders>
              <w:top w:val="single" w:sz="4" w:space="0" w:color="auto"/>
              <w:left w:val="nil"/>
              <w:bottom w:val="double" w:sz="6" w:space="0" w:color="auto"/>
              <w:right w:val="nil"/>
            </w:tcBorders>
            <w:noWrap/>
            <w:vAlign w:val="bottom"/>
            <w:hideMark/>
          </w:tcPr>
          <w:p w14:paraId="00E7ED2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809</w:t>
            </w:r>
          </w:p>
        </w:tc>
        <w:tc>
          <w:tcPr>
            <w:tcW w:w="272" w:type="dxa"/>
            <w:tcBorders>
              <w:top w:val="single" w:sz="4" w:space="0" w:color="auto"/>
              <w:left w:val="nil"/>
              <w:bottom w:val="double" w:sz="6" w:space="0" w:color="auto"/>
              <w:right w:val="nil"/>
            </w:tcBorders>
            <w:noWrap/>
            <w:vAlign w:val="bottom"/>
            <w:hideMark/>
          </w:tcPr>
          <w:p w14:paraId="5C812351"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w:t>
            </w:r>
          </w:p>
        </w:tc>
        <w:tc>
          <w:tcPr>
            <w:tcW w:w="1095" w:type="dxa"/>
            <w:tcBorders>
              <w:top w:val="single" w:sz="4" w:space="0" w:color="auto"/>
              <w:left w:val="nil"/>
              <w:bottom w:val="double" w:sz="6" w:space="0" w:color="auto"/>
              <w:right w:val="nil"/>
            </w:tcBorders>
            <w:noWrap/>
            <w:vAlign w:val="bottom"/>
            <w:hideMark/>
          </w:tcPr>
          <w:p w14:paraId="6134BED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1,567</w:t>
            </w:r>
          </w:p>
        </w:tc>
      </w:tr>
      <w:tr w:rsidR="00E91426" w:rsidRPr="00E91426" w14:paraId="37766DEB" w14:textId="77777777" w:rsidTr="00E91426">
        <w:trPr>
          <w:trHeight w:val="282"/>
        </w:trPr>
        <w:tc>
          <w:tcPr>
            <w:tcW w:w="4433" w:type="dxa"/>
            <w:tcBorders>
              <w:top w:val="nil"/>
              <w:left w:val="nil"/>
              <w:bottom w:val="nil"/>
              <w:right w:val="nil"/>
            </w:tcBorders>
            <w:vAlign w:val="bottom"/>
            <w:hideMark/>
          </w:tcPr>
          <w:p w14:paraId="22886910"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Expected timing of cash flows: </w:t>
            </w:r>
          </w:p>
        </w:tc>
        <w:tc>
          <w:tcPr>
            <w:tcW w:w="1216" w:type="dxa"/>
            <w:tcBorders>
              <w:top w:val="nil"/>
              <w:left w:val="nil"/>
              <w:bottom w:val="nil"/>
              <w:right w:val="nil"/>
            </w:tcBorders>
            <w:noWrap/>
            <w:vAlign w:val="bottom"/>
            <w:hideMark/>
          </w:tcPr>
          <w:p w14:paraId="663356CA"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1115" w:type="dxa"/>
            <w:tcBorders>
              <w:top w:val="nil"/>
              <w:left w:val="nil"/>
              <w:bottom w:val="nil"/>
              <w:right w:val="nil"/>
            </w:tcBorders>
            <w:noWrap/>
            <w:vAlign w:val="bottom"/>
            <w:hideMark/>
          </w:tcPr>
          <w:p w14:paraId="5A956444"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095" w:type="dxa"/>
            <w:tcBorders>
              <w:top w:val="nil"/>
              <w:left w:val="nil"/>
              <w:bottom w:val="nil"/>
              <w:right w:val="nil"/>
            </w:tcBorders>
            <w:noWrap/>
            <w:vAlign w:val="bottom"/>
            <w:hideMark/>
          </w:tcPr>
          <w:p w14:paraId="30345939" w14:textId="77777777" w:rsidR="00E91426" w:rsidRPr="00E91426" w:rsidRDefault="00E91426" w:rsidP="00E91426">
            <w:pPr>
              <w:widowControl/>
              <w:jc w:val="right"/>
              <w:rPr>
                <w:rFonts w:ascii="Arial" w:eastAsia="Times New Roman" w:hAnsi="Arial" w:cs="Arial"/>
                <w:sz w:val="20"/>
                <w:szCs w:val="20"/>
                <w:lang w:val="en-GB" w:eastAsia="en-GB"/>
              </w:rPr>
            </w:pPr>
          </w:p>
        </w:tc>
        <w:tc>
          <w:tcPr>
            <w:tcW w:w="272" w:type="dxa"/>
            <w:tcBorders>
              <w:top w:val="nil"/>
              <w:left w:val="nil"/>
              <w:bottom w:val="nil"/>
              <w:right w:val="nil"/>
            </w:tcBorders>
            <w:noWrap/>
            <w:vAlign w:val="bottom"/>
            <w:hideMark/>
          </w:tcPr>
          <w:p w14:paraId="634FB559"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095" w:type="dxa"/>
            <w:tcBorders>
              <w:top w:val="nil"/>
              <w:left w:val="nil"/>
              <w:bottom w:val="nil"/>
              <w:right w:val="nil"/>
            </w:tcBorders>
            <w:noWrap/>
            <w:vAlign w:val="bottom"/>
            <w:hideMark/>
          </w:tcPr>
          <w:p w14:paraId="03ED08C7" w14:textId="77777777" w:rsidR="00E91426" w:rsidRPr="00E91426" w:rsidRDefault="00E91426" w:rsidP="00E91426">
            <w:pPr>
              <w:widowControl/>
              <w:jc w:val="right"/>
              <w:rPr>
                <w:rFonts w:ascii="Arial" w:eastAsia="Times New Roman" w:hAnsi="Arial" w:cs="Arial"/>
                <w:sz w:val="20"/>
                <w:szCs w:val="20"/>
                <w:lang w:val="en-GB" w:eastAsia="en-GB"/>
              </w:rPr>
            </w:pPr>
          </w:p>
        </w:tc>
      </w:tr>
      <w:tr w:rsidR="00E91426" w:rsidRPr="00E91426" w14:paraId="7EBEF3D0" w14:textId="77777777" w:rsidTr="00E91426">
        <w:trPr>
          <w:trHeight w:val="282"/>
        </w:trPr>
        <w:tc>
          <w:tcPr>
            <w:tcW w:w="4433" w:type="dxa"/>
            <w:tcBorders>
              <w:top w:val="nil"/>
              <w:left w:val="nil"/>
              <w:bottom w:val="nil"/>
              <w:right w:val="nil"/>
            </w:tcBorders>
            <w:vAlign w:val="bottom"/>
            <w:hideMark/>
          </w:tcPr>
          <w:p w14:paraId="5563AFFB"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 not later than one year;</w:t>
            </w:r>
          </w:p>
        </w:tc>
        <w:tc>
          <w:tcPr>
            <w:tcW w:w="1216" w:type="dxa"/>
            <w:tcBorders>
              <w:top w:val="nil"/>
              <w:left w:val="nil"/>
              <w:bottom w:val="nil"/>
              <w:right w:val="nil"/>
            </w:tcBorders>
            <w:noWrap/>
            <w:vAlign w:val="bottom"/>
            <w:hideMark/>
          </w:tcPr>
          <w:p w14:paraId="6C630154"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70</w:t>
            </w:r>
          </w:p>
        </w:tc>
        <w:tc>
          <w:tcPr>
            <w:tcW w:w="1115" w:type="dxa"/>
            <w:tcBorders>
              <w:top w:val="nil"/>
              <w:left w:val="nil"/>
              <w:bottom w:val="nil"/>
              <w:right w:val="nil"/>
            </w:tcBorders>
            <w:noWrap/>
            <w:vAlign w:val="bottom"/>
            <w:hideMark/>
          </w:tcPr>
          <w:p w14:paraId="2D36E8DB"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169</w:t>
            </w:r>
          </w:p>
        </w:tc>
        <w:tc>
          <w:tcPr>
            <w:tcW w:w="1095" w:type="dxa"/>
            <w:tcBorders>
              <w:top w:val="nil"/>
              <w:left w:val="nil"/>
              <w:bottom w:val="nil"/>
              <w:right w:val="nil"/>
            </w:tcBorders>
            <w:noWrap/>
            <w:vAlign w:val="bottom"/>
            <w:hideMark/>
          </w:tcPr>
          <w:p w14:paraId="2E8FDE6B"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10</w:t>
            </w:r>
          </w:p>
        </w:tc>
        <w:tc>
          <w:tcPr>
            <w:tcW w:w="272" w:type="dxa"/>
            <w:tcBorders>
              <w:top w:val="nil"/>
              <w:left w:val="nil"/>
              <w:bottom w:val="nil"/>
              <w:right w:val="nil"/>
            </w:tcBorders>
            <w:noWrap/>
            <w:vAlign w:val="bottom"/>
            <w:hideMark/>
          </w:tcPr>
          <w:p w14:paraId="605485F0"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95" w:type="dxa"/>
            <w:tcBorders>
              <w:top w:val="nil"/>
              <w:left w:val="nil"/>
              <w:bottom w:val="nil"/>
              <w:right w:val="nil"/>
            </w:tcBorders>
            <w:noWrap/>
            <w:vAlign w:val="bottom"/>
            <w:hideMark/>
          </w:tcPr>
          <w:p w14:paraId="25A32493"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249</w:t>
            </w:r>
          </w:p>
        </w:tc>
      </w:tr>
      <w:tr w:rsidR="00E91426" w:rsidRPr="00E91426" w14:paraId="7728922C" w14:textId="77777777" w:rsidTr="00E91426">
        <w:trPr>
          <w:trHeight w:val="255"/>
        </w:trPr>
        <w:tc>
          <w:tcPr>
            <w:tcW w:w="4433" w:type="dxa"/>
            <w:tcBorders>
              <w:top w:val="nil"/>
              <w:left w:val="nil"/>
              <w:bottom w:val="nil"/>
              <w:right w:val="nil"/>
            </w:tcBorders>
            <w:vAlign w:val="bottom"/>
            <w:hideMark/>
          </w:tcPr>
          <w:p w14:paraId="7E9C7FA6"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 later than one year and not later than five years</w:t>
            </w:r>
          </w:p>
        </w:tc>
        <w:tc>
          <w:tcPr>
            <w:tcW w:w="1216" w:type="dxa"/>
            <w:tcBorders>
              <w:top w:val="nil"/>
              <w:left w:val="nil"/>
              <w:bottom w:val="nil"/>
              <w:right w:val="nil"/>
            </w:tcBorders>
            <w:noWrap/>
            <w:vAlign w:val="bottom"/>
            <w:hideMark/>
          </w:tcPr>
          <w:p w14:paraId="54DA04B4"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296</w:t>
            </w:r>
          </w:p>
        </w:tc>
        <w:tc>
          <w:tcPr>
            <w:tcW w:w="1115" w:type="dxa"/>
            <w:tcBorders>
              <w:top w:val="nil"/>
              <w:left w:val="nil"/>
              <w:bottom w:val="nil"/>
              <w:right w:val="nil"/>
            </w:tcBorders>
            <w:noWrap/>
            <w:vAlign w:val="bottom"/>
            <w:hideMark/>
          </w:tcPr>
          <w:p w14:paraId="4AF361E7"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095" w:type="dxa"/>
            <w:tcBorders>
              <w:top w:val="nil"/>
              <w:left w:val="nil"/>
              <w:bottom w:val="nil"/>
              <w:right w:val="nil"/>
            </w:tcBorders>
            <w:noWrap/>
            <w:vAlign w:val="bottom"/>
            <w:hideMark/>
          </w:tcPr>
          <w:p w14:paraId="75FFC610"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43</w:t>
            </w:r>
          </w:p>
        </w:tc>
        <w:tc>
          <w:tcPr>
            <w:tcW w:w="272" w:type="dxa"/>
            <w:tcBorders>
              <w:top w:val="nil"/>
              <w:left w:val="nil"/>
              <w:bottom w:val="nil"/>
              <w:right w:val="nil"/>
            </w:tcBorders>
            <w:noWrap/>
            <w:vAlign w:val="bottom"/>
            <w:hideMark/>
          </w:tcPr>
          <w:p w14:paraId="705E4A46"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95" w:type="dxa"/>
            <w:tcBorders>
              <w:top w:val="nil"/>
              <w:left w:val="nil"/>
              <w:bottom w:val="nil"/>
              <w:right w:val="nil"/>
            </w:tcBorders>
            <w:noWrap/>
            <w:vAlign w:val="bottom"/>
            <w:hideMark/>
          </w:tcPr>
          <w:p w14:paraId="6C544003"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339</w:t>
            </w:r>
          </w:p>
        </w:tc>
      </w:tr>
      <w:tr w:rsidR="00E91426" w:rsidRPr="00E91426" w14:paraId="70CBE47F" w14:textId="77777777" w:rsidTr="00E91426">
        <w:trPr>
          <w:trHeight w:val="282"/>
        </w:trPr>
        <w:tc>
          <w:tcPr>
            <w:tcW w:w="4433" w:type="dxa"/>
            <w:tcBorders>
              <w:top w:val="nil"/>
              <w:left w:val="nil"/>
              <w:bottom w:val="nil"/>
              <w:right w:val="nil"/>
            </w:tcBorders>
            <w:vAlign w:val="bottom"/>
            <w:hideMark/>
          </w:tcPr>
          <w:p w14:paraId="6A7C8F27"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 later than five years.</w:t>
            </w:r>
          </w:p>
        </w:tc>
        <w:tc>
          <w:tcPr>
            <w:tcW w:w="1216" w:type="dxa"/>
            <w:tcBorders>
              <w:top w:val="nil"/>
              <w:left w:val="nil"/>
              <w:bottom w:val="nil"/>
              <w:right w:val="nil"/>
            </w:tcBorders>
            <w:noWrap/>
            <w:vAlign w:val="bottom"/>
            <w:hideMark/>
          </w:tcPr>
          <w:p w14:paraId="478CBE08"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222</w:t>
            </w:r>
          </w:p>
        </w:tc>
        <w:tc>
          <w:tcPr>
            <w:tcW w:w="1115" w:type="dxa"/>
            <w:tcBorders>
              <w:top w:val="nil"/>
              <w:left w:val="nil"/>
              <w:bottom w:val="nil"/>
              <w:right w:val="nil"/>
            </w:tcBorders>
            <w:noWrap/>
            <w:vAlign w:val="bottom"/>
            <w:hideMark/>
          </w:tcPr>
          <w:p w14:paraId="7D632433"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w:t>
            </w:r>
          </w:p>
        </w:tc>
        <w:tc>
          <w:tcPr>
            <w:tcW w:w="1095" w:type="dxa"/>
            <w:tcBorders>
              <w:top w:val="nil"/>
              <w:left w:val="nil"/>
              <w:bottom w:val="nil"/>
              <w:right w:val="nil"/>
            </w:tcBorders>
            <w:noWrap/>
            <w:vAlign w:val="bottom"/>
            <w:hideMark/>
          </w:tcPr>
          <w:p w14:paraId="5F70BCED"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756</w:t>
            </w:r>
          </w:p>
        </w:tc>
        <w:tc>
          <w:tcPr>
            <w:tcW w:w="272" w:type="dxa"/>
            <w:tcBorders>
              <w:top w:val="nil"/>
              <w:left w:val="nil"/>
              <w:bottom w:val="nil"/>
              <w:right w:val="nil"/>
            </w:tcBorders>
            <w:noWrap/>
            <w:vAlign w:val="bottom"/>
            <w:hideMark/>
          </w:tcPr>
          <w:p w14:paraId="030CA871"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95" w:type="dxa"/>
            <w:tcBorders>
              <w:top w:val="nil"/>
              <w:left w:val="nil"/>
              <w:bottom w:val="nil"/>
              <w:right w:val="nil"/>
            </w:tcBorders>
            <w:noWrap/>
            <w:vAlign w:val="bottom"/>
            <w:hideMark/>
          </w:tcPr>
          <w:p w14:paraId="17A6B073"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979</w:t>
            </w:r>
          </w:p>
        </w:tc>
      </w:tr>
      <w:tr w:rsidR="00E91426" w:rsidRPr="00E91426" w14:paraId="7D392815" w14:textId="77777777" w:rsidTr="00E91426">
        <w:trPr>
          <w:trHeight w:val="282"/>
        </w:trPr>
        <w:tc>
          <w:tcPr>
            <w:tcW w:w="4433" w:type="dxa"/>
            <w:tcBorders>
              <w:top w:val="nil"/>
              <w:left w:val="nil"/>
              <w:bottom w:val="nil"/>
              <w:right w:val="nil"/>
            </w:tcBorders>
            <w:noWrap/>
            <w:vAlign w:val="bottom"/>
            <w:hideMark/>
          </w:tcPr>
          <w:p w14:paraId="5909E03C"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Total</w:t>
            </w:r>
          </w:p>
        </w:tc>
        <w:tc>
          <w:tcPr>
            <w:tcW w:w="1216" w:type="dxa"/>
            <w:tcBorders>
              <w:top w:val="single" w:sz="4" w:space="0" w:color="auto"/>
              <w:left w:val="nil"/>
              <w:bottom w:val="double" w:sz="6" w:space="0" w:color="auto"/>
              <w:right w:val="nil"/>
            </w:tcBorders>
            <w:noWrap/>
            <w:vAlign w:val="bottom"/>
            <w:hideMark/>
          </w:tcPr>
          <w:p w14:paraId="6AEC40A0"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588</w:t>
            </w:r>
          </w:p>
        </w:tc>
        <w:tc>
          <w:tcPr>
            <w:tcW w:w="1115" w:type="dxa"/>
            <w:tcBorders>
              <w:top w:val="single" w:sz="4" w:space="0" w:color="auto"/>
              <w:left w:val="nil"/>
              <w:bottom w:val="double" w:sz="6" w:space="0" w:color="auto"/>
              <w:right w:val="nil"/>
            </w:tcBorders>
            <w:noWrap/>
            <w:vAlign w:val="bottom"/>
            <w:hideMark/>
          </w:tcPr>
          <w:p w14:paraId="04782A5F"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170</w:t>
            </w:r>
          </w:p>
        </w:tc>
        <w:tc>
          <w:tcPr>
            <w:tcW w:w="1095" w:type="dxa"/>
            <w:tcBorders>
              <w:top w:val="single" w:sz="4" w:space="0" w:color="auto"/>
              <w:left w:val="nil"/>
              <w:bottom w:val="double" w:sz="6" w:space="0" w:color="auto"/>
              <w:right w:val="nil"/>
            </w:tcBorders>
            <w:noWrap/>
            <w:vAlign w:val="bottom"/>
            <w:hideMark/>
          </w:tcPr>
          <w:p w14:paraId="10FE35E3"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809</w:t>
            </w:r>
          </w:p>
        </w:tc>
        <w:tc>
          <w:tcPr>
            <w:tcW w:w="272" w:type="dxa"/>
            <w:tcBorders>
              <w:top w:val="single" w:sz="4" w:space="0" w:color="auto"/>
              <w:left w:val="nil"/>
              <w:bottom w:val="double" w:sz="6" w:space="0" w:color="auto"/>
              <w:right w:val="nil"/>
            </w:tcBorders>
            <w:noWrap/>
            <w:vAlign w:val="bottom"/>
            <w:hideMark/>
          </w:tcPr>
          <w:p w14:paraId="036601DC"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w:t>
            </w:r>
          </w:p>
        </w:tc>
        <w:tc>
          <w:tcPr>
            <w:tcW w:w="1095" w:type="dxa"/>
            <w:tcBorders>
              <w:top w:val="single" w:sz="4" w:space="0" w:color="auto"/>
              <w:left w:val="nil"/>
              <w:bottom w:val="double" w:sz="6" w:space="0" w:color="auto"/>
              <w:right w:val="nil"/>
            </w:tcBorders>
            <w:noWrap/>
            <w:vAlign w:val="bottom"/>
            <w:hideMark/>
          </w:tcPr>
          <w:p w14:paraId="7B6217D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1,567</w:t>
            </w:r>
          </w:p>
        </w:tc>
      </w:tr>
      <w:tr w:rsidR="00E91426" w:rsidRPr="00E91426" w14:paraId="54ABB3B9" w14:textId="77777777" w:rsidTr="00E91426">
        <w:trPr>
          <w:trHeight w:val="282"/>
        </w:trPr>
        <w:tc>
          <w:tcPr>
            <w:tcW w:w="4433" w:type="dxa"/>
            <w:tcBorders>
              <w:top w:val="nil"/>
              <w:left w:val="nil"/>
              <w:bottom w:val="nil"/>
              <w:right w:val="nil"/>
            </w:tcBorders>
            <w:vAlign w:val="bottom"/>
            <w:hideMark/>
          </w:tcPr>
          <w:p w14:paraId="14C3A870"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216" w:type="dxa"/>
            <w:tcBorders>
              <w:top w:val="nil"/>
              <w:left w:val="nil"/>
              <w:bottom w:val="nil"/>
              <w:right w:val="nil"/>
            </w:tcBorders>
            <w:vAlign w:val="center"/>
            <w:hideMark/>
          </w:tcPr>
          <w:p w14:paraId="31219F70" w14:textId="77777777" w:rsidR="00E91426" w:rsidRPr="00E91426" w:rsidRDefault="00E91426" w:rsidP="00E91426">
            <w:pPr>
              <w:widowControl/>
              <w:rPr>
                <w:rFonts w:ascii="Arial" w:eastAsia="Times New Roman" w:hAnsi="Arial" w:cs="Arial"/>
                <w:sz w:val="20"/>
                <w:szCs w:val="20"/>
                <w:lang w:val="en-GB" w:eastAsia="en-GB"/>
              </w:rPr>
            </w:pPr>
          </w:p>
        </w:tc>
        <w:tc>
          <w:tcPr>
            <w:tcW w:w="1115" w:type="dxa"/>
            <w:tcBorders>
              <w:top w:val="nil"/>
              <w:left w:val="nil"/>
              <w:bottom w:val="nil"/>
              <w:right w:val="nil"/>
            </w:tcBorders>
            <w:vAlign w:val="center"/>
            <w:hideMark/>
          </w:tcPr>
          <w:p w14:paraId="71EE61DA" w14:textId="77777777" w:rsidR="00E91426" w:rsidRPr="00E91426" w:rsidRDefault="00E91426" w:rsidP="00E91426">
            <w:pPr>
              <w:widowControl/>
              <w:rPr>
                <w:rFonts w:ascii="Arial" w:eastAsia="Times New Roman" w:hAnsi="Arial" w:cs="Arial"/>
                <w:sz w:val="20"/>
                <w:szCs w:val="20"/>
                <w:lang w:val="en-GB" w:eastAsia="en-GB"/>
              </w:rPr>
            </w:pPr>
          </w:p>
        </w:tc>
        <w:tc>
          <w:tcPr>
            <w:tcW w:w="1095" w:type="dxa"/>
            <w:tcBorders>
              <w:top w:val="nil"/>
              <w:left w:val="nil"/>
              <w:bottom w:val="nil"/>
              <w:right w:val="nil"/>
            </w:tcBorders>
            <w:vAlign w:val="center"/>
            <w:hideMark/>
          </w:tcPr>
          <w:p w14:paraId="612CE40D" w14:textId="77777777" w:rsidR="00E91426" w:rsidRPr="00E91426" w:rsidRDefault="00E91426" w:rsidP="00E91426">
            <w:pPr>
              <w:widowControl/>
              <w:rPr>
                <w:rFonts w:ascii="Arial" w:eastAsia="Times New Roman" w:hAnsi="Arial" w:cs="Arial"/>
                <w:sz w:val="20"/>
                <w:szCs w:val="20"/>
                <w:lang w:val="en-GB" w:eastAsia="en-GB"/>
              </w:rPr>
            </w:pPr>
          </w:p>
        </w:tc>
        <w:tc>
          <w:tcPr>
            <w:tcW w:w="272" w:type="dxa"/>
            <w:tcBorders>
              <w:top w:val="nil"/>
              <w:left w:val="nil"/>
              <w:bottom w:val="nil"/>
              <w:right w:val="nil"/>
            </w:tcBorders>
            <w:vAlign w:val="center"/>
            <w:hideMark/>
          </w:tcPr>
          <w:p w14:paraId="1235AA4E" w14:textId="77777777" w:rsidR="00E91426" w:rsidRPr="00E91426" w:rsidRDefault="00E91426" w:rsidP="00E91426">
            <w:pPr>
              <w:widowControl/>
              <w:rPr>
                <w:rFonts w:ascii="Arial" w:eastAsia="Times New Roman" w:hAnsi="Arial" w:cs="Arial"/>
                <w:sz w:val="20"/>
                <w:szCs w:val="20"/>
                <w:lang w:val="en-GB" w:eastAsia="en-GB"/>
              </w:rPr>
            </w:pPr>
          </w:p>
        </w:tc>
        <w:tc>
          <w:tcPr>
            <w:tcW w:w="1095" w:type="dxa"/>
            <w:tcBorders>
              <w:top w:val="nil"/>
              <w:left w:val="nil"/>
              <w:bottom w:val="nil"/>
              <w:right w:val="nil"/>
            </w:tcBorders>
            <w:vAlign w:val="center"/>
            <w:hideMark/>
          </w:tcPr>
          <w:p w14:paraId="2FD3352C"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4963B23B" w14:textId="77777777" w:rsidTr="00E91426">
        <w:trPr>
          <w:trHeight w:val="1050"/>
        </w:trPr>
        <w:tc>
          <w:tcPr>
            <w:tcW w:w="9226" w:type="dxa"/>
            <w:gridSpan w:val="6"/>
            <w:tcBorders>
              <w:top w:val="nil"/>
              <w:left w:val="nil"/>
              <w:bottom w:val="nil"/>
              <w:right w:val="nil"/>
            </w:tcBorders>
            <w:hideMark/>
          </w:tcPr>
          <w:p w14:paraId="5A1A98C5" w14:textId="77777777" w:rsidR="00E91426" w:rsidRPr="00E91426" w:rsidRDefault="00E91426" w:rsidP="00E91426">
            <w:pPr>
              <w:widowControl/>
              <w:jc w:val="both"/>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The provision for pensions relating to staff reflects the liabilities due to early retirements prior to 6 March 1995. The legal claims provision reflects liabilities arising from Public and Employee Liability claims.  Other provisions are for dilapidations and onerous contracts.</w:t>
            </w:r>
          </w:p>
        </w:tc>
      </w:tr>
      <w:tr w:rsidR="00E91426" w:rsidRPr="00E91426" w14:paraId="6EC08368" w14:textId="77777777" w:rsidTr="00E91426">
        <w:trPr>
          <w:trHeight w:val="255"/>
        </w:trPr>
        <w:tc>
          <w:tcPr>
            <w:tcW w:w="4433" w:type="dxa"/>
            <w:tcBorders>
              <w:top w:val="nil"/>
              <w:left w:val="nil"/>
              <w:bottom w:val="nil"/>
              <w:right w:val="nil"/>
            </w:tcBorders>
            <w:vAlign w:val="bottom"/>
            <w:hideMark/>
          </w:tcPr>
          <w:p w14:paraId="10B95428" w14:textId="77777777" w:rsidR="00E91426" w:rsidRPr="00E91426" w:rsidRDefault="00E91426" w:rsidP="00E91426">
            <w:pPr>
              <w:widowControl/>
              <w:jc w:val="both"/>
              <w:rPr>
                <w:rFonts w:ascii="Arial" w:eastAsia="Times New Roman" w:hAnsi="Arial" w:cs="Arial"/>
                <w:color w:val="000000"/>
                <w:sz w:val="20"/>
                <w:szCs w:val="20"/>
                <w:lang w:val="en-GB" w:eastAsia="en-GB"/>
              </w:rPr>
            </w:pPr>
          </w:p>
        </w:tc>
        <w:tc>
          <w:tcPr>
            <w:tcW w:w="1216" w:type="dxa"/>
            <w:tcBorders>
              <w:top w:val="nil"/>
              <w:left w:val="nil"/>
              <w:bottom w:val="nil"/>
              <w:right w:val="nil"/>
            </w:tcBorders>
            <w:vAlign w:val="bottom"/>
            <w:hideMark/>
          </w:tcPr>
          <w:p w14:paraId="30DE4A64" w14:textId="77777777" w:rsidR="00E91426" w:rsidRPr="00E91426" w:rsidRDefault="00E91426" w:rsidP="00E91426">
            <w:pPr>
              <w:widowControl/>
              <w:rPr>
                <w:rFonts w:ascii="Arial" w:eastAsia="Times New Roman" w:hAnsi="Arial" w:cs="Arial"/>
                <w:sz w:val="20"/>
                <w:szCs w:val="20"/>
                <w:lang w:val="en-GB" w:eastAsia="en-GB"/>
              </w:rPr>
            </w:pPr>
          </w:p>
        </w:tc>
        <w:tc>
          <w:tcPr>
            <w:tcW w:w="1115" w:type="dxa"/>
            <w:tcBorders>
              <w:top w:val="nil"/>
              <w:left w:val="nil"/>
              <w:bottom w:val="nil"/>
              <w:right w:val="nil"/>
            </w:tcBorders>
            <w:vAlign w:val="bottom"/>
            <w:hideMark/>
          </w:tcPr>
          <w:p w14:paraId="5AD89938"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095" w:type="dxa"/>
            <w:tcBorders>
              <w:top w:val="nil"/>
              <w:left w:val="nil"/>
              <w:bottom w:val="nil"/>
              <w:right w:val="nil"/>
            </w:tcBorders>
            <w:vAlign w:val="bottom"/>
            <w:hideMark/>
          </w:tcPr>
          <w:p w14:paraId="427AF0B4" w14:textId="77777777" w:rsidR="00E91426" w:rsidRPr="00E91426" w:rsidRDefault="00E91426" w:rsidP="00E91426">
            <w:pPr>
              <w:widowControl/>
              <w:rPr>
                <w:rFonts w:ascii="Arial" w:eastAsia="Times New Roman" w:hAnsi="Arial" w:cs="Arial"/>
                <w:sz w:val="20"/>
                <w:szCs w:val="20"/>
                <w:lang w:val="en-GB" w:eastAsia="en-GB"/>
              </w:rPr>
            </w:pPr>
          </w:p>
        </w:tc>
        <w:tc>
          <w:tcPr>
            <w:tcW w:w="272" w:type="dxa"/>
            <w:tcBorders>
              <w:top w:val="nil"/>
              <w:left w:val="nil"/>
              <w:bottom w:val="nil"/>
              <w:right w:val="nil"/>
            </w:tcBorders>
            <w:vAlign w:val="bottom"/>
            <w:hideMark/>
          </w:tcPr>
          <w:p w14:paraId="017110CC" w14:textId="77777777" w:rsidR="00E91426" w:rsidRPr="00E91426" w:rsidRDefault="00E91426" w:rsidP="00E91426">
            <w:pPr>
              <w:widowControl/>
              <w:rPr>
                <w:rFonts w:ascii="Arial" w:eastAsia="Times New Roman" w:hAnsi="Arial" w:cs="Arial"/>
                <w:sz w:val="20"/>
                <w:szCs w:val="20"/>
                <w:lang w:val="en-GB" w:eastAsia="en-GB"/>
              </w:rPr>
            </w:pPr>
          </w:p>
        </w:tc>
        <w:tc>
          <w:tcPr>
            <w:tcW w:w="1095" w:type="dxa"/>
            <w:tcBorders>
              <w:top w:val="nil"/>
              <w:left w:val="nil"/>
              <w:bottom w:val="nil"/>
              <w:right w:val="nil"/>
            </w:tcBorders>
            <w:vAlign w:val="bottom"/>
            <w:hideMark/>
          </w:tcPr>
          <w:p w14:paraId="699E08B2"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17E249DF" w14:textId="77777777" w:rsidTr="00E91426">
        <w:trPr>
          <w:trHeight w:val="720"/>
        </w:trPr>
        <w:tc>
          <w:tcPr>
            <w:tcW w:w="4433" w:type="dxa"/>
            <w:tcBorders>
              <w:top w:val="nil"/>
              <w:left w:val="nil"/>
              <w:bottom w:val="nil"/>
              <w:right w:val="nil"/>
            </w:tcBorders>
            <w:vAlign w:val="bottom"/>
            <w:hideMark/>
          </w:tcPr>
          <w:p w14:paraId="6A7E23EA" w14:textId="77777777" w:rsidR="00E91426" w:rsidRPr="00E91426" w:rsidRDefault="00E91426" w:rsidP="00E91426">
            <w:pPr>
              <w:widowControl/>
              <w:rPr>
                <w:rFonts w:ascii="Arial" w:eastAsia="Times New Roman" w:hAnsi="Arial" w:cs="Arial"/>
                <w:sz w:val="20"/>
                <w:szCs w:val="20"/>
                <w:lang w:val="en-GB" w:eastAsia="en-GB"/>
              </w:rPr>
            </w:pPr>
          </w:p>
        </w:tc>
        <w:tc>
          <w:tcPr>
            <w:tcW w:w="1216" w:type="dxa"/>
            <w:tcBorders>
              <w:top w:val="nil"/>
              <w:left w:val="nil"/>
              <w:bottom w:val="nil"/>
              <w:right w:val="nil"/>
            </w:tcBorders>
            <w:hideMark/>
          </w:tcPr>
          <w:p w14:paraId="0434C105"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Pensions relating to staff</w:t>
            </w:r>
          </w:p>
        </w:tc>
        <w:tc>
          <w:tcPr>
            <w:tcW w:w="1115" w:type="dxa"/>
            <w:tcBorders>
              <w:top w:val="nil"/>
              <w:left w:val="nil"/>
              <w:bottom w:val="nil"/>
              <w:right w:val="nil"/>
            </w:tcBorders>
            <w:hideMark/>
          </w:tcPr>
          <w:p w14:paraId="76DD9DB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Legal claims</w:t>
            </w:r>
          </w:p>
        </w:tc>
        <w:tc>
          <w:tcPr>
            <w:tcW w:w="1095" w:type="dxa"/>
            <w:tcBorders>
              <w:top w:val="nil"/>
              <w:left w:val="nil"/>
              <w:bottom w:val="nil"/>
              <w:right w:val="nil"/>
            </w:tcBorders>
            <w:hideMark/>
          </w:tcPr>
          <w:p w14:paraId="2EF7E7C5"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Other</w:t>
            </w:r>
          </w:p>
        </w:tc>
        <w:tc>
          <w:tcPr>
            <w:tcW w:w="272" w:type="dxa"/>
            <w:tcBorders>
              <w:top w:val="nil"/>
              <w:left w:val="nil"/>
              <w:bottom w:val="nil"/>
              <w:right w:val="nil"/>
            </w:tcBorders>
            <w:hideMark/>
          </w:tcPr>
          <w:p w14:paraId="77834143"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095" w:type="dxa"/>
            <w:tcBorders>
              <w:top w:val="nil"/>
              <w:left w:val="nil"/>
              <w:bottom w:val="nil"/>
              <w:right w:val="nil"/>
            </w:tcBorders>
            <w:hideMark/>
          </w:tcPr>
          <w:p w14:paraId="016B993C"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Total </w:t>
            </w:r>
          </w:p>
        </w:tc>
      </w:tr>
      <w:tr w:rsidR="00E91426" w:rsidRPr="00E91426" w14:paraId="7BC18147" w14:textId="77777777" w:rsidTr="00E91426">
        <w:trPr>
          <w:trHeight w:val="255"/>
        </w:trPr>
        <w:tc>
          <w:tcPr>
            <w:tcW w:w="4433" w:type="dxa"/>
            <w:tcBorders>
              <w:top w:val="nil"/>
              <w:left w:val="nil"/>
              <w:bottom w:val="nil"/>
              <w:right w:val="nil"/>
            </w:tcBorders>
            <w:vAlign w:val="bottom"/>
            <w:hideMark/>
          </w:tcPr>
          <w:p w14:paraId="5F38B6E5"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216" w:type="dxa"/>
            <w:tcBorders>
              <w:top w:val="nil"/>
              <w:left w:val="nil"/>
              <w:bottom w:val="nil"/>
              <w:right w:val="nil"/>
            </w:tcBorders>
            <w:vAlign w:val="bottom"/>
            <w:hideMark/>
          </w:tcPr>
          <w:p w14:paraId="1DCD4E1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£000</w:t>
            </w:r>
          </w:p>
        </w:tc>
        <w:tc>
          <w:tcPr>
            <w:tcW w:w="1115" w:type="dxa"/>
            <w:tcBorders>
              <w:top w:val="nil"/>
              <w:left w:val="nil"/>
              <w:bottom w:val="nil"/>
              <w:right w:val="nil"/>
            </w:tcBorders>
            <w:vAlign w:val="bottom"/>
            <w:hideMark/>
          </w:tcPr>
          <w:p w14:paraId="683990E2"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£000</w:t>
            </w:r>
          </w:p>
        </w:tc>
        <w:tc>
          <w:tcPr>
            <w:tcW w:w="1095" w:type="dxa"/>
            <w:tcBorders>
              <w:top w:val="nil"/>
              <w:left w:val="nil"/>
              <w:bottom w:val="nil"/>
              <w:right w:val="nil"/>
            </w:tcBorders>
            <w:vAlign w:val="bottom"/>
            <w:hideMark/>
          </w:tcPr>
          <w:p w14:paraId="037827B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£000</w:t>
            </w:r>
          </w:p>
        </w:tc>
        <w:tc>
          <w:tcPr>
            <w:tcW w:w="272" w:type="dxa"/>
            <w:tcBorders>
              <w:top w:val="nil"/>
              <w:left w:val="nil"/>
              <w:bottom w:val="nil"/>
              <w:right w:val="nil"/>
            </w:tcBorders>
            <w:vAlign w:val="bottom"/>
            <w:hideMark/>
          </w:tcPr>
          <w:p w14:paraId="3398436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095" w:type="dxa"/>
            <w:tcBorders>
              <w:top w:val="nil"/>
              <w:left w:val="nil"/>
              <w:bottom w:val="nil"/>
              <w:right w:val="nil"/>
            </w:tcBorders>
            <w:vAlign w:val="bottom"/>
            <w:hideMark/>
          </w:tcPr>
          <w:p w14:paraId="735E17BC"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r>
      <w:tr w:rsidR="00E91426" w:rsidRPr="00E91426" w14:paraId="6BF1FD31" w14:textId="77777777" w:rsidTr="00E91426">
        <w:trPr>
          <w:trHeight w:val="255"/>
        </w:trPr>
        <w:tc>
          <w:tcPr>
            <w:tcW w:w="4433" w:type="dxa"/>
            <w:tcBorders>
              <w:top w:val="nil"/>
              <w:left w:val="nil"/>
              <w:bottom w:val="nil"/>
              <w:right w:val="nil"/>
            </w:tcBorders>
            <w:vAlign w:val="bottom"/>
            <w:hideMark/>
          </w:tcPr>
          <w:p w14:paraId="498975E8"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At 1 April 2023</w:t>
            </w:r>
          </w:p>
        </w:tc>
        <w:tc>
          <w:tcPr>
            <w:tcW w:w="1216" w:type="dxa"/>
            <w:tcBorders>
              <w:top w:val="nil"/>
              <w:left w:val="nil"/>
              <w:bottom w:val="nil"/>
              <w:right w:val="nil"/>
            </w:tcBorders>
            <w:noWrap/>
            <w:vAlign w:val="bottom"/>
            <w:hideMark/>
          </w:tcPr>
          <w:p w14:paraId="397D1B8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673</w:t>
            </w:r>
          </w:p>
        </w:tc>
        <w:tc>
          <w:tcPr>
            <w:tcW w:w="1115" w:type="dxa"/>
            <w:tcBorders>
              <w:top w:val="nil"/>
              <w:left w:val="nil"/>
              <w:bottom w:val="nil"/>
              <w:right w:val="nil"/>
            </w:tcBorders>
            <w:noWrap/>
            <w:vAlign w:val="bottom"/>
            <w:hideMark/>
          </w:tcPr>
          <w:p w14:paraId="0F95C025"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176</w:t>
            </w:r>
          </w:p>
        </w:tc>
        <w:tc>
          <w:tcPr>
            <w:tcW w:w="1095" w:type="dxa"/>
            <w:tcBorders>
              <w:top w:val="nil"/>
              <w:left w:val="nil"/>
              <w:bottom w:val="nil"/>
              <w:right w:val="nil"/>
            </w:tcBorders>
            <w:noWrap/>
            <w:vAlign w:val="bottom"/>
            <w:hideMark/>
          </w:tcPr>
          <w:p w14:paraId="7EF90475"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701</w:t>
            </w:r>
          </w:p>
        </w:tc>
        <w:tc>
          <w:tcPr>
            <w:tcW w:w="272" w:type="dxa"/>
            <w:tcBorders>
              <w:top w:val="nil"/>
              <w:left w:val="nil"/>
              <w:bottom w:val="nil"/>
              <w:right w:val="nil"/>
            </w:tcBorders>
            <w:noWrap/>
            <w:vAlign w:val="bottom"/>
            <w:hideMark/>
          </w:tcPr>
          <w:p w14:paraId="322D057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095" w:type="dxa"/>
            <w:tcBorders>
              <w:top w:val="nil"/>
              <w:left w:val="nil"/>
              <w:bottom w:val="nil"/>
              <w:right w:val="nil"/>
            </w:tcBorders>
            <w:noWrap/>
            <w:vAlign w:val="bottom"/>
            <w:hideMark/>
          </w:tcPr>
          <w:p w14:paraId="0437CE4C"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1,550</w:t>
            </w:r>
          </w:p>
        </w:tc>
      </w:tr>
      <w:tr w:rsidR="00E91426" w:rsidRPr="00E91426" w14:paraId="4082E796" w14:textId="77777777" w:rsidTr="00E91426">
        <w:trPr>
          <w:trHeight w:val="255"/>
        </w:trPr>
        <w:tc>
          <w:tcPr>
            <w:tcW w:w="4433" w:type="dxa"/>
            <w:tcBorders>
              <w:top w:val="nil"/>
              <w:left w:val="nil"/>
              <w:bottom w:val="nil"/>
              <w:right w:val="nil"/>
            </w:tcBorders>
            <w:vAlign w:val="bottom"/>
            <w:hideMark/>
          </w:tcPr>
          <w:p w14:paraId="3D8B3ADC"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 xml:space="preserve">Change in the discount rate </w:t>
            </w:r>
          </w:p>
        </w:tc>
        <w:tc>
          <w:tcPr>
            <w:tcW w:w="1216" w:type="dxa"/>
            <w:tcBorders>
              <w:top w:val="nil"/>
              <w:left w:val="nil"/>
              <w:bottom w:val="nil"/>
              <w:right w:val="nil"/>
            </w:tcBorders>
            <w:noWrap/>
            <w:vAlign w:val="bottom"/>
            <w:hideMark/>
          </w:tcPr>
          <w:p w14:paraId="215DDFB8"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(28)</w:t>
            </w:r>
          </w:p>
        </w:tc>
        <w:tc>
          <w:tcPr>
            <w:tcW w:w="1115" w:type="dxa"/>
            <w:tcBorders>
              <w:top w:val="nil"/>
              <w:left w:val="nil"/>
              <w:bottom w:val="nil"/>
              <w:right w:val="nil"/>
            </w:tcBorders>
            <w:noWrap/>
            <w:vAlign w:val="bottom"/>
            <w:hideMark/>
          </w:tcPr>
          <w:p w14:paraId="295C487F"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095" w:type="dxa"/>
            <w:tcBorders>
              <w:top w:val="nil"/>
              <w:left w:val="nil"/>
              <w:bottom w:val="nil"/>
              <w:right w:val="nil"/>
            </w:tcBorders>
            <w:noWrap/>
            <w:vAlign w:val="bottom"/>
            <w:hideMark/>
          </w:tcPr>
          <w:p w14:paraId="545601E2"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(79)</w:t>
            </w:r>
          </w:p>
        </w:tc>
        <w:tc>
          <w:tcPr>
            <w:tcW w:w="272" w:type="dxa"/>
            <w:tcBorders>
              <w:top w:val="nil"/>
              <w:left w:val="nil"/>
              <w:bottom w:val="nil"/>
              <w:right w:val="nil"/>
            </w:tcBorders>
            <w:noWrap/>
            <w:vAlign w:val="bottom"/>
            <w:hideMark/>
          </w:tcPr>
          <w:p w14:paraId="02931B77"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95" w:type="dxa"/>
            <w:tcBorders>
              <w:top w:val="nil"/>
              <w:left w:val="nil"/>
              <w:bottom w:val="nil"/>
              <w:right w:val="nil"/>
            </w:tcBorders>
            <w:noWrap/>
            <w:vAlign w:val="bottom"/>
            <w:hideMark/>
          </w:tcPr>
          <w:p w14:paraId="609147F8"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(107)</w:t>
            </w:r>
          </w:p>
        </w:tc>
      </w:tr>
      <w:tr w:rsidR="00E91426" w:rsidRPr="00E91426" w14:paraId="58AF6A80" w14:textId="77777777" w:rsidTr="00E91426">
        <w:trPr>
          <w:trHeight w:val="255"/>
        </w:trPr>
        <w:tc>
          <w:tcPr>
            <w:tcW w:w="4433" w:type="dxa"/>
            <w:tcBorders>
              <w:top w:val="nil"/>
              <w:left w:val="nil"/>
              <w:bottom w:val="nil"/>
              <w:right w:val="nil"/>
            </w:tcBorders>
            <w:vAlign w:val="bottom"/>
            <w:hideMark/>
          </w:tcPr>
          <w:p w14:paraId="78FB44F3"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 xml:space="preserve">Arising during the year </w:t>
            </w:r>
          </w:p>
        </w:tc>
        <w:tc>
          <w:tcPr>
            <w:tcW w:w="1216" w:type="dxa"/>
            <w:tcBorders>
              <w:top w:val="nil"/>
              <w:left w:val="nil"/>
              <w:bottom w:val="nil"/>
              <w:right w:val="nil"/>
            </w:tcBorders>
            <w:noWrap/>
            <w:vAlign w:val="bottom"/>
            <w:hideMark/>
          </w:tcPr>
          <w:p w14:paraId="5A9107DA"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73</w:t>
            </w:r>
          </w:p>
        </w:tc>
        <w:tc>
          <w:tcPr>
            <w:tcW w:w="1115" w:type="dxa"/>
            <w:tcBorders>
              <w:top w:val="nil"/>
              <w:left w:val="nil"/>
              <w:bottom w:val="nil"/>
              <w:right w:val="nil"/>
            </w:tcBorders>
            <w:noWrap/>
            <w:vAlign w:val="bottom"/>
            <w:hideMark/>
          </w:tcPr>
          <w:p w14:paraId="08E70D7E"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112</w:t>
            </w:r>
          </w:p>
        </w:tc>
        <w:tc>
          <w:tcPr>
            <w:tcW w:w="1095" w:type="dxa"/>
            <w:tcBorders>
              <w:top w:val="nil"/>
              <w:left w:val="nil"/>
              <w:bottom w:val="nil"/>
              <w:right w:val="nil"/>
            </w:tcBorders>
            <w:noWrap/>
            <w:vAlign w:val="bottom"/>
            <w:hideMark/>
          </w:tcPr>
          <w:p w14:paraId="22FD3F57"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425</w:t>
            </w:r>
          </w:p>
        </w:tc>
        <w:tc>
          <w:tcPr>
            <w:tcW w:w="272" w:type="dxa"/>
            <w:tcBorders>
              <w:top w:val="nil"/>
              <w:left w:val="nil"/>
              <w:bottom w:val="nil"/>
              <w:right w:val="nil"/>
            </w:tcBorders>
            <w:noWrap/>
            <w:vAlign w:val="bottom"/>
            <w:hideMark/>
          </w:tcPr>
          <w:p w14:paraId="6873B8A8"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95" w:type="dxa"/>
            <w:tcBorders>
              <w:top w:val="nil"/>
              <w:left w:val="nil"/>
              <w:bottom w:val="nil"/>
              <w:right w:val="nil"/>
            </w:tcBorders>
            <w:noWrap/>
            <w:vAlign w:val="bottom"/>
            <w:hideMark/>
          </w:tcPr>
          <w:p w14:paraId="3A7FECE2"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610</w:t>
            </w:r>
          </w:p>
        </w:tc>
      </w:tr>
      <w:tr w:rsidR="00E91426" w:rsidRPr="00E91426" w14:paraId="6B7D9344" w14:textId="77777777" w:rsidTr="00E91426">
        <w:trPr>
          <w:trHeight w:val="255"/>
        </w:trPr>
        <w:tc>
          <w:tcPr>
            <w:tcW w:w="4433" w:type="dxa"/>
            <w:tcBorders>
              <w:top w:val="nil"/>
              <w:left w:val="nil"/>
              <w:bottom w:val="nil"/>
              <w:right w:val="nil"/>
            </w:tcBorders>
            <w:vAlign w:val="bottom"/>
            <w:hideMark/>
          </w:tcPr>
          <w:p w14:paraId="5C958684"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Utilised during the year</w:t>
            </w:r>
          </w:p>
        </w:tc>
        <w:tc>
          <w:tcPr>
            <w:tcW w:w="1216" w:type="dxa"/>
            <w:tcBorders>
              <w:top w:val="nil"/>
              <w:left w:val="nil"/>
              <w:bottom w:val="nil"/>
              <w:right w:val="nil"/>
            </w:tcBorders>
            <w:noWrap/>
            <w:vAlign w:val="bottom"/>
            <w:hideMark/>
          </w:tcPr>
          <w:p w14:paraId="6F5663DF"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(81)</w:t>
            </w:r>
          </w:p>
        </w:tc>
        <w:tc>
          <w:tcPr>
            <w:tcW w:w="1115" w:type="dxa"/>
            <w:tcBorders>
              <w:top w:val="nil"/>
              <w:left w:val="nil"/>
              <w:bottom w:val="nil"/>
              <w:right w:val="nil"/>
            </w:tcBorders>
            <w:noWrap/>
            <w:vAlign w:val="bottom"/>
            <w:hideMark/>
          </w:tcPr>
          <w:p w14:paraId="60424DC2"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(10)</w:t>
            </w:r>
          </w:p>
        </w:tc>
        <w:tc>
          <w:tcPr>
            <w:tcW w:w="1095" w:type="dxa"/>
            <w:tcBorders>
              <w:top w:val="nil"/>
              <w:left w:val="nil"/>
              <w:bottom w:val="nil"/>
              <w:right w:val="nil"/>
            </w:tcBorders>
            <w:noWrap/>
            <w:vAlign w:val="bottom"/>
            <w:hideMark/>
          </w:tcPr>
          <w:p w14:paraId="6AADED1B"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(4)</w:t>
            </w:r>
          </w:p>
        </w:tc>
        <w:tc>
          <w:tcPr>
            <w:tcW w:w="272" w:type="dxa"/>
            <w:tcBorders>
              <w:top w:val="nil"/>
              <w:left w:val="nil"/>
              <w:bottom w:val="nil"/>
              <w:right w:val="nil"/>
            </w:tcBorders>
            <w:noWrap/>
            <w:vAlign w:val="bottom"/>
            <w:hideMark/>
          </w:tcPr>
          <w:p w14:paraId="2D6E18A6"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95" w:type="dxa"/>
            <w:tcBorders>
              <w:top w:val="nil"/>
              <w:left w:val="nil"/>
              <w:bottom w:val="nil"/>
              <w:right w:val="nil"/>
            </w:tcBorders>
            <w:noWrap/>
            <w:vAlign w:val="bottom"/>
            <w:hideMark/>
          </w:tcPr>
          <w:p w14:paraId="73B46B1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(95)</w:t>
            </w:r>
          </w:p>
        </w:tc>
      </w:tr>
      <w:tr w:rsidR="00E91426" w:rsidRPr="00E91426" w14:paraId="72FCA79A" w14:textId="77777777" w:rsidTr="00E91426">
        <w:trPr>
          <w:trHeight w:val="255"/>
        </w:trPr>
        <w:tc>
          <w:tcPr>
            <w:tcW w:w="4433" w:type="dxa"/>
            <w:tcBorders>
              <w:top w:val="nil"/>
              <w:left w:val="nil"/>
              <w:bottom w:val="nil"/>
              <w:right w:val="nil"/>
            </w:tcBorders>
            <w:vAlign w:val="bottom"/>
            <w:hideMark/>
          </w:tcPr>
          <w:p w14:paraId="4B879B34"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 xml:space="preserve">Reversed unused </w:t>
            </w:r>
          </w:p>
        </w:tc>
        <w:tc>
          <w:tcPr>
            <w:tcW w:w="1216" w:type="dxa"/>
            <w:tcBorders>
              <w:top w:val="nil"/>
              <w:left w:val="nil"/>
              <w:bottom w:val="nil"/>
              <w:right w:val="nil"/>
            </w:tcBorders>
            <w:noWrap/>
            <w:vAlign w:val="bottom"/>
            <w:hideMark/>
          </w:tcPr>
          <w:p w14:paraId="2C59EB57"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(53)</w:t>
            </w:r>
          </w:p>
        </w:tc>
        <w:tc>
          <w:tcPr>
            <w:tcW w:w="1115" w:type="dxa"/>
            <w:tcBorders>
              <w:top w:val="nil"/>
              <w:left w:val="nil"/>
              <w:bottom w:val="nil"/>
              <w:right w:val="nil"/>
            </w:tcBorders>
            <w:noWrap/>
            <w:vAlign w:val="bottom"/>
            <w:hideMark/>
          </w:tcPr>
          <w:p w14:paraId="10A62D18"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(68)</w:t>
            </w:r>
          </w:p>
        </w:tc>
        <w:tc>
          <w:tcPr>
            <w:tcW w:w="1095" w:type="dxa"/>
            <w:tcBorders>
              <w:top w:val="nil"/>
              <w:left w:val="nil"/>
              <w:bottom w:val="nil"/>
              <w:right w:val="nil"/>
            </w:tcBorders>
            <w:noWrap/>
            <w:vAlign w:val="bottom"/>
            <w:hideMark/>
          </w:tcPr>
          <w:p w14:paraId="521CA5F1"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(278)</w:t>
            </w:r>
          </w:p>
        </w:tc>
        <w:tc>
          <w:tcPr>
            <w:tcW w:w="272" w:type="dxa"/>
            <w:tcBorders>
              <w:top w:val="nil"/>
              <w:left w:val="nil"/>
              <w:bottom w:val="nil"/>
              <w:right w:val="nil"/>
            </w:tcBorders>
            <w:noWrap/>
            <w:vAlign w:val="bottom"/>
            <w:hideMark/>
          </w:tcPr>
          <w:p w14:paraId="3016FF8B"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95" w:type="dxa"/>
            <w:tcBorders>
              <w:top w:val="nil"/>
              <w:left w:val="nil"/>
              <w:bottom w:val="nil"/>
              <w:right w:val="nil"/>
            </w:tcBorders>
            <w:noWrap/>
            <w:vAlign w:val="bottom"/>
            <w:hideMark/>
          </w:tcPr>
          <w:p w14:paraId="7D564E0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(399)</w:t>
            </w:r>
          </w:p>
        </w:tc>
      </w:tr>
      <w:tr w:rsidR="00E91426" w:rsidRPr="00E91426" w14:paraId="5572BF9F" w14:textId="77777777" w:rsidTr="00E91426">
        <w:trPr>
          <w:trHeight w:val="255"/>
        </w:trPr>
        <w:tc>
          <w:tcPr>
            <w:tcW w:w="4433" w:type="dxa"/>
            <w:tcBorders>
              <w:top w:val="nil"/>
              <w:left w:val="nil"/>
              <w:bottom w:val="nil"/>
              <w:right w:val="nil"/>
            </w:tcBorders>
            <w:vAlign w:val="bottom"/>
            <w:hideMark/>
          </w:tcPr>
          <w:p w14:paraId="61B6B45B"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 xml:space="preserve">Unwinding of discount </w:t>
            </w:r>
          </w:p>
        </w:tc>
        <w:tc>
          <w:tcPr>
            <w:tcW w:w="1216" w:type="dxa"/>
            <w:tcBorders>
              <w:top w:val="nil"/>
              <w:left w:val="nil"/>
              <w:bottom w:val="nil"/>
              <w:right w:val="nil"/>
            </w:tcBorders>
            <w:noWrap/>
            <w:vAlign w:val="bottom"/>
            <w:hideMark/>
          </w:tcPr>
          <w:p w14:paraId="3931F92D"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9</w:t>
            </w:r>
          </w:p>
        </w:tc>
        <w:tc>
          <w:tcPr>
            <w:tcW w:w="1115" w:type="dxa"/>
            <w:tcBorders>
              <w:top w:val="nil"/>
              <w:left w:val="nil"/>
              <w:bottom w:val="nil"/>
              <w:right w:val="nil"/>
            </w:tcBorders>
            <w:noWrap/>
            <w:vAlign w:val="bottom"/>
            <w:hideMark/>
          </w:tcPr>
          <w:p w14:paraId="4D30FF53"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095" w:type="dxa"/>
            <w:tcBorders>
              <w:top w:val="nil"/>
              <w:left w:val="nil"/>
              <w:bottom w:val="nil"/>
              <w:right w:val="nil"/>
            </w:tcBorders>
            <w:noWrap/>
            <w:vAlign w:val="bottom"/>
            <w:hideMark/>
          </w:tcPr>
          <w:p w14:paraId="6BBFF408"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24</w:t>
            </w:r>
          </w:p>
        </w:tc>
        <w:tc>
          <w:tcPr>
            <w:tcW w:w="272" w:type="dxa"/>
            <w:tcBorders>
              <w:top w:val="nil"/>
              <w:left w:val="nil"/>
              <w:bottom w:val="nil"/>
              <w:right w:val="nil"/>
            </w:tcBorders>
            <w:noWrap/>
            <w:vAlign w:val="bottom"/>
            <w:hideMark/>
          </w:tcPr>
          <w:p w14:paraId="3E01D1CA"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95" w:type="dxa"/>
            <w:tcBorders>
              <w:top w:val="nil"/>
              <w:left w:val="nil"/>
              <w:bottom w:val="nil"/>
              <w:right w:val="nil"/>
            </w:tcBorders>
            <w:noWrap/>
            <w:vAlign w:val="bottom"/>
            <w:hideMark/>
          </w:tcPr>
          <w:p w14:paraId="66DA080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33</w:t>
            </w:r>
          </w:p>
        </w:tc>
      </w:tr>
      <w:tr w:rsidR="00E91426" w:rsidRPr="00E91426" w14:paraId="69FB4797" w14:textId="77777777" w:rsidTr="00E91426">
        <w:trPr>
          <w:trHeight w:val="270"/>
        </w:trPr>
        <w:tc>
          <w:tcPr>
            <w:tcW w:w="4433" w:type="dxa"/>
            <w:tcBorders>
              <w:top w:val="nil"/>
              <w:left w:val="nil"/>
              <w:bottom w:val="nil"/>
              <w:right w:val="nil"/>
            </w:tcBorders>
            <w:noWrap/>
            <w:vAlign w:val="bottom"/>
            <w:hideMark/>
          </w:tcPr>
          <w:p w14:paraId="2E2E10C1"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At 31 March 2024</w:t>
            </w:r>
          </w:p>
        </w:tc>
        <w:tc>
          <w:tcPr>
            <w:tcW w:w="1216" w:type="dxa"/>
            <w:tcBorders>
              <w:top w:val="single" w:sz="4" w:space="0" w:color="auto"/>
              <w:left w:val="nil"/>
              <w:bottom w:val="double" w:sz="6" w:space="0" w:color="auto"/>
              <w:right w:val="nil"/>
            </w:tcBorders>
            <w:noWrap/>
            <w:vAlign w:val="bottom"/>
            <w:hideMark/>
          </w:tcPr>
          <w:p w14:paraId="3845755C"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593</w:t>
            </w:r>
          </w:p>
        </w:tc>
        <w:tc>
          <w:tcPr>
            <w:tcW w:w="1115" w:type="dxa"/>
            <w:tcBorders>
              <w:top w:val="single" w:sz="4" w:space="0" w:color="auto"/>
              <w:left w:val="nil"/>
              <w:bottom w:val="double" w:sz="6" w:space="0" w:color="auto"/>
              <w:right w:val="nil"/>
            </w:tcBorders>
            <w:noWrap/>
            <w:vAlign w:val="bottom"/>
            <w:hideMark/>
          </w:tcPr>
          <w:p w14:paraId="5BB41B91"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210</w:t>
            </w:r>
          </w:p>
        </w:tc>
        <w:tc>
          <w:tcPr>
            <w:tcW w:w="1095" w:type="dxa"/>
            <w:tcBorders>
              <w:top w:val="single" w:sz="4" w:space="0" w:color="auto"/>
              <w:left w:val="nil"/>
              <w:bottom w:val="double" w:sz="6" w:space="0" w:color="auto"/>
              <w:right w:val="nil"/>
            </w:tcBorders>
            <w:noWrap/>
            <w:vAlign w:val="bottom"/>
            <w:hideMark/>
          </w:tcPr>
          <w:p w14:paraId="27927F0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789</w:t>
            </w:r>
          </w:p>
        </w:tc>
        <w:tc>
          <w:tcPr>
            <w:tcW w:w="272" w:type="dxa"/>
            <w:tcBorders>
              <w:top w:val="single" w:sz="4" w:space="0" w:color="auto"/>
              <w:left w:val="nil"/>
              <w:bottom w:val="double" w:sz="6" w:space="0" w:color="auto"/>
              <w:right w:val="nil"/>
            </w:tcBorders>
            <w:noWrap/>
            <w:vAlign w:val="bottom"/>
            <w:hideMark/>
          </w:tcPr>
          <w:p w14:paraId="3A1F812A"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w:t>
            </w:r>
          </w:p>
        </w:tc>
        <w:tc>
          <w:tcPr>
            <w:tcW w:w="1095" w:type="dxa"/>
            <w:tcBorders>
              <w:top w:val="single" w:sz="4" w:space="0" w:color="auto"/>
              <w:left w:val="nil"/>
              <w:bottom w:val="double" w:sz="6" w:space="0" w:color="auto"/>
              <w:right w:val="nil"/>
            </w:tcBorders>
            <w:noWrap/>
            <w:vAlign w:val="bottom"/>
            <w:hideMark/>
          </w:tcPr>
          <w:p w14:paraId="65AAF163"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1,592</w:t>
            </w:r>
          </w:p>
        </w:tc>
      </w:tr>
      <w:tr w:rsidR="00E91426" w:rsidRPr="00E91426" w14:paraId="3121013B" w14:textId="77777777" w:rsidTr="00E91426">
        <w:trPr>
          <w:trHeight w:val="270"/>
        </w:trPr>
        <w:tc>
          <w:tcPr>
            <w:tcW w:w="4433" w:type="dxa"/>
            <w:tcBorders>
              <w:top w:val="nil"/>
              <w:left w:val="nil"/>
              <w:bottom w:val="nil"/>
              <w:right w:val="nil"/>
            </w:tcBorders>
            <w:vAlign w:val="bottom"/>
            <w:hideMark/>
          </w:tcPr>
          <w:p w14:paraId="67F669E2"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Expected timing of cash flows: </w:t>
            </w:r>
          </w:p>
        </w:tc>
        <w:tc>
          <w:tcPr>
            <w:tcW w:w="1216" w:type="dxa"/>
            <w:tcBorders>
              <w:top w:val="nil"/>
              <w:left w:val="nil"/>
              <w:bottom w:val="nil"/>
              <w:right w:val="nil"/>
            </w:tcBorders>
            <w:noWrap/>
            <w:vAlign w:val="bottom"/>
            <w:hideMark/>
          </w:tcPr>
          <w:p w14:paraId="7348F0DE"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1115" w:type="dxa"/>
            <w:tcBorders>
              <w:top w:val="nil"/>
              <w:left w:val="nil"/>
              <w:bottom w:val="nil"/>
              <w:right w:val="nil"/>
            </w:tcBorders>
            <w:noWrap/>
            <w:vAlign w:val="bottom"/>
            <w:hideMark/>
          </w:tcPr>
          <w:p w14:paraId="504D78D2"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095" w:type="dxa"/>
            <w:tcBorders>
              <w:top w:val="nil"/>
              <w:left w:val="nil"/>
              <w:bottom w:val="nil"/>
              <w:right w:val="nil"/>
            </w:tcBorders>
            <w:noWrap/>
            <w:vAlign w:val="bottom"/>
            <w:hideMark/>
          </w:tcPr>
          <w:p w14:paraId="4720FA03" w14:textId="77777777" w:rsidR="00E91426" w:rsidRPr="00E91426" w:rsidRDefault="00E91426" w:rsidP="00E91426">
            <w:pPr>
              <w:widowControl/>
              <w:jc w:val="right"/>
              <w:rPr>
                <w:rFonts w:ascii="Arial" w:eastAsia="Times New Roman" w:hAnsi="Arial" w:cs="Arial"/>
                <w:sz w:val="20"/>
                <w:szCs w:val="20"/>
                <w:lang w:val="en-GB" w:eastAsia="en-GB"/>
              </w:rPr>
            </w:pPr>
          </w:p>
        </w:tc>
        <w:tc>
          <w:tcPr>
            <w:tcW w:w="272" w:type="dxa"/>
            <w:tcBorders>
              <w:top w:val="nil"/>
              <w:left w:val="nil"/>
              <w:bottom w:val="nil"/>
              <w:right w:val="nil"/>
            </w:tcBorders>
            <w:noWrap/>
            <w:vAlign w:val="bottom"/>
            <w:hideMark/>
          </w:tcPr>
          <w:p w14:paraId="57242A3E"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095" w:type="dxa"/>
            <w:tcBorders>
              <w:top w:val="nil"/>
              <w:left w:val="nil"/>
              <w:bottom w:val="nil"/>
              <w:right w:val="nil"/>
            </w:tcBorders>
            <w:noWrap/>
            <w:vAlign w:val="bottom"/>
            <w:hideMark/>
          </w:tcPr>
          <w:p w14:paraId="21756E9B" w14:textId="77777777" w:rsidR="00E91426" w:rsidRPr="00E91426" w:rsidRDefault="00E91426" w:rsidP="00E91426">
            <w:pPr>
              <w:widowControl/>
              <w:jc w:val="right"/>
              <w:rPr>
                <w:rFonts w:ascii="Arial" w:eastAsia="Times New Roman" w:hAnsi="Arial" w:cs="Arial"/>
                <w:sz w:val="20"/>
                <w:szCs w:val="20"/>
                <w:lang w:val="en-GB" w:eastAsia="en-GB"/>
              </w:rPr>
            </w:pPr>
          </w:p>
        </w:tc>
      </w:tr>
      <w:tr w:rsidR="00E91426" w:rsidRPr="00E91426" w14:paraId="587E5AAC" w14:textId="77777777" w:rsidTr="00E91426">
        <w:trPr>
          <w:trHeight w:val="255"/>
        </w:trPr>
        <w:tc>
          <w:tcPr>
            <w:tcW w:w="4433" w:type="dxa"/>
            <w:tcBorders>
              <w:top w:val="nil"/>
              <w:left w:val="nil"/>
              <w:bottom w:val="nil"/>
              <w:right w:val="nil"/>
            </w:tcBorders>
            <w:vAlign w:val="bottom"/>
            <w:hideMark/>
          </w:tcPr>
          <w:p w14:paraId="5A3914DD"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 not later than one year</w:t>
            </w:r>
          </w:p>
        </w:tc>
        <w:tc>
          <w:tcPr>
            <w:tcW w:w="1216" w:type="dxa"/>
            <w:tcBorders>
              <w:top w:val="nil"/>
              <w:left w:val="nil"/>
              <w:bottom w:val="nil"/>
              <w:right w:val="nil"/>
            </w:tcBorders>
            <w:noWrap/>
            <w:vAlign w:val="bottom"/>
            <w:hideMark/>
          </w:tcPr>
          <w:p w14:paraId="5AE259B8"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69</w:t>
            </w:r>
          </w:p>
        </w:tc>
        <w:tc>
          <w:tcPr>
            <w:tcW w:w="1115" w:type="dxa"/>
            <w:tcBorders>
              <w:top w:val="nil"/>
              <w:left w:val="nil"/>
              <w:bottom w:val="nil"/>
              <w:right w:val="nil"/>
            </w:tcBorders>
            <w:noWrap/>
            <w:vAlign w:val="bottom"/>
            <w:hideMark/>
          </w:tcPr>
          <w:p w14:paraId="3898D637"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210</w:t>
            </w:r>
          </w:p>
        </w:tc>
        <w:tc>
          <w:tcPr>
            <w:tcW w:w="1095" w:type="dxa"/>
            <w:tcBorders>
              <w:top w:val="nil"/>
              <w:left w:val="nil"/>
              <w:bottom w:val="nil"/>
              <w:right w:val="nil"/>
            </w:tcBorders>
            <w:noWrap/>
            <w:vAlign w:val="bottom"/>
            <w:hideMark/>
          </w:tcPr>
          <w:p w14:paraId="5A5EC4CF"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6</w:t>
            </w:r>
          </w:p>
        </w:tc>
        <w:tc>
          <w:tcPr>
            <w:tcW w:w="272" w:type="dxa"/>
            <w:tcBorders>
              <w:top w:val="nil"/>
              <w:left w:val="nil"/>
              <w:bottom w:val="nil"/>
              <w:right w:val="nil"/>
            </w:tcBorders>
            <w:noWrap/>
            <w:vAlign w:val="bottom"/>
            <w:hideMark/>
          </w:tcPr>
          <w:p w14:paraId="00B12852"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95" w:type="dxa"/>
            <w:tcBorders>
              <w:top w:val="nil"/>
              <w:left w:val="nil"/>
              <w:bottom w:val="nil"/>
              <w:right w:val="nil"/>
            </w:tcBorders>
            <w:noWrap/>
            <w:vAlign w:val="bottom"/>
            <w:hideMark/>
          </w:tcPr>
          <w:p w14:paraId="2764939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285</w:t>
            </w:r>
          </w:p>
        </w:tc>
      </w:tr>
      <w:tr w:rsidR="00E91426" w:rsidRPr="00E91426" w14:paraId="4E3015F8" w14:textId="77777777" w:rsidTr="00E91426">
        <w:trPr>
          <w:trHeight w:val="255"/>
        </w:trPr>
        <w:tc>
          <w:tcPr>
            <w:tcW w:w="4433" w:type="dxa"/>
            <w:tcBorders>
              <w:top w:val="nil"/>
              <w:left w:val="nil"/>
              <w:bottom w:val="nil"/>
              <w:right w:val="nil"/>
            </w:tcBorders>
            <w:vAlign w:val="bottom"/>
            <w:hideMark/>
          </w:tcPr>
          <w:p w14:paraId="02696FE3"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 later than one year and not later than five years</w:t>
            </w:r>
          </w:p>
        </w:tc>
        <w:tc>
          <w:tcPr>
            <w:tcW w:w="1216" w:type="dxa"/>
            <w:tcBorders>
              <w:top w:val="nil"/>
              <w:left w:val="nil"/>
              <w:bottom w:val="nil"/>
              <w:right w:val="nil"/>
            </w:tcBorders>
            <w:noWrap/>
            <w:vAlign w:val="bottom"/>
            <w:hideMark/>
          </w:tcPr>
          <w:p w14:paraId="21F608C5"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524</w:t>
            </w:r>
          </w:p>
        </w:tc>
        <w:tc>
          <w:tcPr>
            <w:tcW w:w="1115" w:type="dxa"/>
            <w:tcBorders>
              <w:top w:val="nil"/>
              <w:left w:val="nil"/>
              <w:bottom w:val="nil"/>
              <w:right w:val="nil"/>
            </w:tcBorders>
            <w:noWrap/>
            <w:vAlign w:val="bottom"/>
            <w:hideMark/>
          </w:tcPr>
          <w:p w14:paraId="76BB34F9"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095" w:type="dxa"/>
            <w:tcBorders>
              <w:top w:val="nil"/>
              <w:left w:val="nil"/>
              <w:bottom w:val="nil"/>
              <w:right w:val="nil"/>
            </w:tcBorders>
            <w:noWrap/>
            <w:vAlign w:val="bottom"/>
            <w:hideMark/>
          </w:tcPr>
          <w:p w14:paraId="06EC2946"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358</w:t>
            </w:r>
          </w:p>
        </w:tc>
        <w:tc>
          <w:tcPr>
            <w:tcW w:w="272" w:type="dxa"/>
            <w:tcBorders>
              <w:top w:val="nil"/>
              <w:left w:val="nil"/>
              <w:bottom w:val="nil"/>
              <w:right w:val="nil"/>
            </w:tcBorders>
            <w:noWrap/>
            <w:vAlign w:val="bottom"/>
            <w:hideMark/>
          </w:tcPr>
          <w:p w14:paraId="2CF81CCD"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95" w:type="dxa"/>
            <w:tcBorders>
              <w:top w:val="nil"/>
              <w:left w:val="nil"/>
              <w:bottom w:val="nil"/>
              <w:right w:val="nil"/>
            </w:tcBorders>
            <w:noWrap/>
            <w:vAlign w:val="bottom"/>
            <w:hideMark/>
          </w:tcPr>
          <w:p w14:paraId="4575AB0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882</w:t>
            </w:r>
          </w:p>
        </w:tc>
      </w:tr>
      <w:tr w:rsidR="00E91426" w:rsidRPr="00E91426" w14:paraId="4F174CFE" w14:textId="77777777" w:rsidTr="00E91426">
        <w:trPr>
          <w:trHeight w:val="282"/>
        </w:trPr>
        <w:tc>
          <w:tcPr>
            <w:tcW w:w="4433" w:type="dxa"/>
            <w:tcBorders>
              <w:top w:val="nil"/>
              <w:left w:val="nil"/>
              <w:bottom w:val="nil"/>
              <w:right w:val="nil"/>
            </w:tcBorders>
            <w:vAlign w:val="bottom"/>
            <w:hideMark/>
          </w:tcPr>
          <w:p w14:paraId="25C7BBCA"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 later than five years.</w:t>
            </w:r>
          </w:p>
        </w:tc>
        <w:tc>
          <w:tcPr>
            <w:tcW w:w="1216" w:type="dxa"/>
            <w:tcBorders>
              <w:top w:val="nil"/>
              <w:left w:val="nil"/>
              <w:bottom w:val="nil"/>
              <w:right w:val="nil"/>
            </w:tcBorders>
            <w:noWrap/>
            <w:vAlign w:val="bottom"/>
            <w:hideMark/>
          </w:tcPr>
          <w:p w14:paraId="7A7BEF0C"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115" w:type="dxa"/>
            <w:tcBorders>
              <w:top w:val="nil"/>
              <w:left w:val="nil"/>
              <w:bottom w:val="nil"/>
              <w:right w:val="nil"/>
            </w:tcBorders>
            <w:noWrap/>
            <w:vAlign w:val="bottom"/>
            <w:hideMark/>
          </w:tcPr>
          <w:p w14:paraId="7F8EA82D"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095" w:type="dxa"/>
            <w:tcBorders>
              <w:top w:val="nil"/>
              <w:left w:val="nil"/>
              <w:bottom w:val="nil"/>
              <w:right w:val="nil"/>
            </w:tcBorders>
            <w:noWrap/>
            <w:vAlign w:val="bottom"/>
            <w:hideMark/>
          </w:tcPr>
          <w:p w14:paraId="1ED6BA44"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425</w:t>
            </w:r>
          </w:p>
        </w:tc>
        <w:tc>
          <w:tcPr>
            <w:tcW w:w="272" w:type="dxa"/>
            <w:tcBorders>
              <w:top w:val="nil"/>
              <w:left w:val="nil"/>
              <w:bottom w:val="nil"/>
              <w:right w:val="nil"/>
            </w:tcBorders>
            <w:noWrap/>
            <w:vAlign w:val="bottom"/>
            <w:hideMark/>
          </w:tcPr>
          <w:p w14:paraId="2EB4762E"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95" w:type="dxa"/>
            <w:tcBorders>
              <w:top w:val="nil"/>
              <w:left w:val="nil"/>
              <w:bottom w:val="nil"/>
              <w:right w:val="nil"/>
            </w:tcBorders>
            <w:noWrap/>
            <w:vAlign w:val="bottom"/>
            <w:hideMark/>
          </w:tcPr>
          <w:p w14:paraId="5C269462"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425</w:t>
            </w:r>
          </w:p>
        </w:tc>
      </w:tr>
      <w:tr w:rsidR="00E91426" w:rsidRPr="00E91426" w14:paraId="16E15924" w14:textId="77777777" w:rsidTr="00E91426">
        <w:trPr>
          <w:trHeight w:val="282"/>
        </w:trPr>
        <w:tc>
          <w:tcPr>
            <w:tcW w:w="4433" w:type="dxa"/>
            <w:tcBorders>
              <w:top w:val="nil"/>
              <w:left w:val="nil"/>
              <w:bottom w:val="nil"/>
              <w:right w:val="nil"/>
            </w:tcBorders>
            <w:noWrap/>
            <w:vAlign w:val="bottom"/>
            <w:hideMark/>
          </w:tcPr>
          <w:p w14:paraId="4BF17A80"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Total</w:t>
            </w:r>
          </w:p>
        </w:tc>
        <w:tc>
          <w:tcPr>
            <w:tcW w:w="1216" w:type="dxa"/>
            <w:tcBorders>
              <w:top w:val="single" w:sz="4" w:space="0" w:color="auto"/>
              <w:left w:val="nil"/>
              <w:bottom w:val="double" w:sz="6" w:space="0" w:color="auto"/>
              <w:right w:val="nil"/>
            </w:tcBorders>
            <w:noWrap/>
            <w:vAlign w:val="bottom"/>
            <w:hideMark/>
          </w:tcPr>
          <w:p w14:paraId="09F54C42"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593</w:t>
            </w:r>
          </w:p>
        </w:tc>
        <w:tc>
          <w:tcPr>
            <w:tcW w:w="1115" w:type="dxa"/>
            <w:tcBorders>
              <w:top w:val="single" w:sz="4" w:space="0" w:color="auto"/>
              <w:left w:val="nil"/>
              <w:bottom w:val="double" w:sz="6" w:space="0" w:color="auto"/>
              <w:right w:val="nil"/>
            </w:tcBorders>
            <w:noWrap/>
            <w:vAlign w:val="bottom"/>
            <w:hideMark/>
          </w:tcPr>
          <w:p w14:paraId="227B2598"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210</w:t>
            </w:r>
          </w:p>
        </w:tc>
        <w:tc>
          <w:tcPr>
            <w:tcW w:w="1095" w:type="dxa"/>
            <w:tcBorders>
              <w:top w:val="single" w:sz="4" w:space="0" w:color="auto"/>
              <w:left w:val="nil"/>
              <w:bottom w:val="double" w:sz="6" w:space="0" w:color="auto"/>
              <w:right w:val="nil"/>
            </w:tcBorders>
            <w:noWrap/>
            <w:vAlign w:val="bottom"/>
            <w:hideMark/>
          </w:tcPr>
          <w:p w14:paraId="695DF2BC"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789</w:t>
            </w:r>
          </w:p>
        </w:tc>
        <w:tc>
          <w:tcPr>
            <w:tcW w:w="272" w:type="dxa"/>
            <w:tcBorders>
              <w:top w:val="single" w:sz="4" w:space="0" w:color="auto"/>
              <w:left w:val="nil"/>
              <w:bottom w:val="double" w:sz="6" w:space="0" w:color="auto"/>
              <w:right w:val="nil"/>
            </w:tcBorders>
            <w:noWrap/>
            <w:vAlign w:val="bottom"/>
            <w:hideMark/>
          </w:tcPr>
          <w:p w14:paraId="5436112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w:t>
            </w:r>
          </w:p>
        </w:tc>
        <w:tc>
          <w:tcPr>
            <w:tcW w:w="1095" w:type="dxa"/>
            <w:tcBorders>
              <w:top w:val="single" w:sz="4" w:space="0" w:color="auto"/>
              <w:left w:val="nil"/>
              <w:bottom w:val="double" w:sz="6" w:space="0" w:color="auto"/>
              <w:right w:val="nil"/>
            </w:tcBorders>
            <w:noWrap/>
            <w:vAlign w:val="bottom"/>
            <w:hideMark/>
          </w:tcPr>
          <w:p w14:paraId="393DE75B"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1,592</w:t>
            </w:r>
          </w:p>
        </w:tc>
      </w:tr>
      <w:tr w:rsidR="00E91426" w:rsidRPr="00E91426" w14:paraId="4F6D9B6C" w14:textId="77777777" w:rsidTr="00E91426">
        <w:trPr>
          <w:trHeight w:val="282"/>
        </w:trPr>
        <w:tc>
          <w:tcPr>
            <w:tcW w:w="4433" w:type="dxa"/>
            <w:tcBorders>
              <w:top w:val="nil"/>
              <w:left w:val="nil"/>
              <w:bottom w:val="nil"/>
              <w:right w:val="nil"/>
            </w:tcBorders>
            <w:noWrap/>
            <w:vAlign w:val="bottom"/>
            <w:hideMark/>
          </w:tcPr>
          <w:p w14:paraId="5E256DB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216" w:type="dxa"/>
            <w:tcBorders>
              <w:top w:val="nil"/>
              <w:left w:val="nil"/>
              <w:bottom w:val="nil"/>
              <w:right w:val="nil"/>
            </w:tcBorders>
            <w:noWrap/>
            <w:vAlign w:val="bottom"/>
            <w:hideMark/>
          </w:tcPr>
          <w:p w14:paraId="5CEE71FF" w14:textId="77777777" w:rsidR="00E91426" w:rsidRPr="00E91426" w:rsidRDefault="00E91426" w:rsidP="00E91426">
            <w:pPr>
              <w:widowControl/>
              <w:rPr>
                <w:rFonts w:ascii="Arial" w:eastAsia="Times New Roman" w:hAnsi="Arial" w:cs="Arial"/>
                <w:sz w:val="20"/>
                <w:szCs w:val="20"/>
                <w:lang w:val="en-GB" w:eastAsia="en-GB"/>
              </w:rPr>
            </w:pPr>
          </w:p>
        </w:tc>
        <w:tc>
          <w:tcPr>
            <w:tcW w:w="1115" w:type="dxa"/>
            <w:tcBorders>
              <w:top w:val="nil"/>
              <w:left w:val="nil"/>
              <w:bottom w:val="nil"/>
              <w:right w:val="nil"/>
            </w:tcBorders>
            <w:noWrap/>
            <w:vAlign w:val="bottom"/>
            <w:hideMark/>
          </w:tcPr>
          <w:p w14:paraId="42983B26" w14:textId="77777777" w:rsidR="00E91426" w:rsidRPr="00E91426" w:rsidRDefault="00E91426" w:rsidP="00E91426">
            <w:pPr>
              <w:widowControl/>
              <w:rPr>
                <w:rFonts w:ascii="Arial" w:eastAsia="Times New Roman" w:hAnsi="Arial" w:cs="Arial"/>
                <w:sz w:val="20"/>
                <w:szCs w:val="20"/>
                <w:lang w:val="en-GB" w:eastAsia="en-GB"/>
              </w:rPr>
            </w:pPr>
          </w:p>
        </w:tc>
        <w:tc>
          <w:tcPr>
            <w:tcW w:w="1095" w:type="dxa"/>
            <w:tcBorders>
              <w:top w:val="nil"/>
              <w:left w:val="nil"/>
              <w:bottom w:val="nil"/>
              <w:right w:val="nil"/>
            </w:tcBorders>
            <w:noWrap/>
            <w:vAlign w:val="bottom"/>
            <w:hideMark/>
          </w:tcPr>
          <w:p w14:paraId="6521EFC7" w14:textId="77777777" w:rsidR="00E91426" w:rsidRPr="00E91426" w:rsidRDefault="00E91426" w:rsidP="00E91426">
            <w:pPr>
              <w:widowControl/>
              <w:rPr>
                <w:rFonts w:ascii="Arial" w:eastAsia="Times New Roman" w:hAnsi="Arial" w:cs="Arial"/>
                <w:sz w:val="20"/>
                <w:szCs w:val="20"/>
                <w:lang w:val="en-GB" w:eastAsia="en-GB"/>
              </w:rPr>
            </w:pPr>
          </w:p>
        </w:tc>
        <w:tc>
          <w:tcPr>
            <w:tcW w:w="272" w:type="dxa"/>
            <w:tcBorders>
              <w:top w:val="nil"/>
              <w:left w:val="nil"/>
              <w:bottom w:val="nil"/>
              <w:right w:val="nil"/>
            </w:tcBorders>
            <w:noWrap/>
            <w:vAlign w:val="bottom"/>
            <w:hideMark/>
          </w:tcPr>
          <w:p w14:paraId="61F8905D" w14:textId="77777777" w:rsidR="00E91426" w:rsidRPr="00E91426" w:rsidRDefault="00E91426" w:rsidP="00E91426">
            <w:pPr>
              <w:widowControl/>
              <w:rPr>
                <w:rFonts w:ascii="Arial" w:eastAsia="Times New Roman" w:hAnsi="Arial" w:cs="Arial"/>
                <w:sz w:val="20"/>
                <w:szCs w:val="20"/>
                <w:lang w:val="en-GB" w:eastAsia="en-GB"/>
              </w:rPr>
            </w:pPr>
          </w:p>
        </w:tc>
        <w:tc>
          <w:tcPr>
            <w:tcW w:w="1095" w:type="dxa"/>
            <w:tcBorders>
              <w:top w:val="nil"/>
              <w:left w:val="nil"/>
              <w:bottom w:val="nil"/>
              <w:right w:val="nil"/>
            </w:tcBorders>
            <w:noWrap/>
            <w:vAlign w:val="bottom"/>
            <w:hideMark/>
          </w:tcPr>
          <w:p w14:paraId="17C72F48"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311C4653" w14:textId="77777777" w:rsidTr="00E91426">
        <w:trPr>
          <w:trHeight w:val="1050"/>
        </w:trPr>
        <w:tc>
          <w:tcPr>
            <w:tcW w:w="9226" w:type="dxa"/>
            <w:gridSpan w:val="6"/>
            <w:tcBorders>
              <w:top w:val="nil"/>
              <w:left w:val="nil"/>
              <w:bottom w:val="nil"/>
              <w:right w:val="nil"/>
            </w:tcBorders>
            <w:hideMark/>
          </w:tcPr>
          <w:p w14:paraId="3AF055E7" w14:textId="77777777" w:rsidR="00E91426" w:rsidRPr="00E91426" w:rsidRDefault="00E91426" w:rsidP="00E91426">
            <w:pPr>
              <w:widowControl/>
              <w:jc w:val="both"/>
              <w:rPr>
                <w:rFonts w:ascii="Arial" w:eastAsia="Times New Roman" w:hAnsi="Arial" w:cs="Arial"/>
                <w:color w:val="000000"/>
                <w:sz w:val="20"/>
                <w:szCs w:val="20"/>
                <w:lang w:val="en-GB" w:eastAsia="en-GB"/>
              </w:rPr>
            </w:pPr>
          </w:p>
        </w:tc>
      </w:tr>
      <w:tr w:rsidR="00E91426" w:rsidRPr="00E91426" w14:paraId="5DB1B617" w14:textId="77777777" w:rsidTr="00E91426">
        <w:trPr>
          <w:trHeight w:val="255"/>
        </w:trPr>
        <w:tc>
          <w:tcPr>
            <w:tcW w:w="9226" w:type="dxa"/>
            <w:gridSpan w:val="6"/>
            <w:tcBorders>
              <w:top w:val="nil"/>
              <w:left w:val="nil"/>
              <w:bottom w:val="nil"/>
              <w:right w:val="nil"/>
            </w:tcBorders>
            <w:vAlign w:val="bottom"/>
            <w:hideMark/>
          </w:tcPr>
          <w:p w14:paraId="24C2BBF7"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Note 21.1 Clinical negligence liabilities</w:t>
            </w:r>
          </w:p>
        </w:tc>
      </w:tr>
      <w:tr w:rsidR="00E91426" w:rsidRPr="00E91426" w14:paraId="6ADFDE4E" w14:textId="77777777" w:rsidTr="00E91426">
        <w:trPr>
          <w:trHeight w:val="600"/>
        </w:trPr>
        <w:tc>
          <w:tcPr>
            <w:tcW w:w="9226" w:type="dxa"/>
            <w:gridSpan w:val="6"/>
            <w:tcBorders>
              <w:top w:val="nil"/>
              <w:left w:val="nil"/>
              <w:bottom w:val="nil"/>
              <w:right w:val="nil"/>
            </w:tcBorders>
            <w:vAlign w:val="bottom"/>
            <w:hideMark/>
          </w:tcPr>
          <w:p w14:paraId="05A37583"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At 31 March 2025, £190,177k was included in provisions of NHS Resolution in respect of clinical negligence liabilities of Medway NHS Foundation Trust (31 March 2024: £160,205k).</w:t>
            </w:r>
          </w:p>
        </w:tc>
      </w:tr>
    </w:tbl>
    <w:p w14:paraId="29604DA0" w14:textId="77777777" w:rsidR="00E91426" w:rsidRPr="00E91426" w:rsidRDefault="00E91426" w:rsidP="00E91426">
      <w:pPr>
        <w:widowControl/>
        <w:spacing w:after="160" w:line="259" w:lineRule="auto"/>
        <w:rPr>
          <w:rFonts w:ascii="Arial" w:eastAsia="Calibri" w:hAnsi="Arial" w:cs="Arial"/>
          <w:sz w:val="20"/>
          <w:szCs w:val="20"/>
          <w:lang w:val="en-GB"/>
        </w:rPr>
      </w:pPr>
    </w:p>
    <w:p w14:paraId="6E8EAD31" w14:textId="77777777" w:rsidR="00E91426" w:rsidRPr="00E91426" w:rsidRDefault="00E91426" w:rsidP="00E91426">
      <w:pPr>
        <w:keepNext/>
        <w:keepLines/>
        <w:widowControl/>
        <w:spacing w:before="40" w:line="259" w:lineRule="auto"/>
        <w:outlineLvl w:val="1"/>
        <w:rPr>
          <w:rFonts w:ascii="Arial" w:eastAsia="Times New Roman" w:hAnsi="Arial" w:cs="Arial"/>
          <w:b/>
          <w:color w:val="000000"/>
          <w:sz w:val="20"/>
          <w:szCs w:val="20"/>
          <w:lang w:val="en-GB"/>
        </w:rPr>
      </w:pPr>
      <w:bookmarkStart w:id="84" w:name="_Toc195698719"/>
      <w:r w:rsidRPr="00E91426">
        <w:rPr>
          <w:rFonts w:ascii="Arial" w:eastAsia="Times New Roman" w:hAnsi="Arial" w:cs="Arial"/>
          <w:b/>
          <w:color w:val="000000"/>
          <w:sz w:val="20"/>
          <w:szCs w:val="20"/>
          <w:lang w:val="en-GB"/>
        </w:rPr>
        <w:lastRenderedPageBreak/>
        <w:t>Note 22 Contingent assets and liabilities</w:t>
      </w:r>
      <w:bookmarkEnd w:id="84"/>
    </w:p>
    <w:tbl>
      <w:tblPr>
        <w:tblW w:w="9040" w:type="dxa"/>
        <w:tblLook w:val="04A0" w:firstRow="1" w:lastRow="0" w:firstColumn="1" w:lastColumn="0" w:noHBand="0" w:noVBand="1"/>
      </w:tblPr>
      <w:tblGrid>
        <w:gridCol w:w="4460"/>
        <w:gridCol w:w="1038"/>
        <w:gridCol w:w="1120"/>
        <w:gridCol w:w="1100"/>
        <w:gridCol w:w="222"/>
        <w:gridCol w:w="1100"/>
      </w:tblGrid>
      <w:tr w:rsidR="00E91426" w:rsidRPr="00E91426" w14:paraId="4CE10C53" w14:textId="77777777" w:rsidTr="00E91426">
        <w:trPr>
          <w:trHeight w:val="300"/>
        </w:trPr>
        <w:tc>
          <w:tcPr>
            <w:tcW w:w="4460" w:type="dxa"/>
            <w:tcBorders>
              <w:top w:val="nil"/>
              <w:left w:val="nil"/>
              <w:bottom w:val="nil"/>
              <w:right w:val="nil"/>
            </w:tcBorders>
            <w:vAlign w:val="bottom"/>
            <w:hideMark/>
          </w:tcPr>
          <w:p w14:paraId="7297283C" w14:textId="77777777" w:rsidR="00E91426" w:rsidRPr="00E91426" w:rsidRDefault="00E91426" w:rsidP="00E91426">
            <w:pPr>
              <w:widowControl/>
              <w:rPr>
                <w:rFonts w:ascii="Arial" w:eastAsia="Times New Roman" w:hAnsi="Arial" w:cs="Arial"/>
                <w:sz w:val="20"/>
                <w:szCs w:val="20"/>
                <w:lang w:val="en-GB" w:eastAsia="en-GB"/>
              </w:rPr>
            </w:pPr>
          </w:p>
        </w:tc>
        <w:tc>
          <w:tcPr>
            <w:tcW w:w="1220" w:type="dxa"/>
            <w:tcBorders>
              <w:top w:val="nil"/>
              <w:left w:val="nil"/>
              <w:bottom w:val="nil"/>
              <w:right w:val="nil"/>
            </w:tcBorders>
            <w:vAlign w:val="bottom"/>
            <w:hideMark/>
          </w:tcPr>
          <w:p w14:paraId="2BEF7451" w14:textId="77777777" w:rsidR="00E91426" w:rsidRPr="00E91426" w:rsidRDefault="00E91426" w:rsidP="00E91426">
            <w:pPr>
              <w:widowControl/>
              <w:rPr>
                <w:rFonts w:ascii="Arial" w:eastAsia="Times New Roman" w:hAnsi="Arial" w:cs="Arial"/>
                <w:sz w:val="20"/>
                <w:szCs w:val="20"/>
                <w:lang w:val="en-GB" w:eastAsia="en-GB"/>
              </w:rPr>
            </w:pPr>
          </w:p>
        </w:tc>
        <w:tc>
          <w:tcPr>
            <w:tcW w:w="1120" w:type="dxa"/>
            <w:tcBorders>
              <w:top w:val="nil"/>
              <w:left w:val="nil"/>
              <w:bottom w:val="nil"/>
              <w:right w:val="nil"/>
            </w:tcBorders>
            <w:vAlign w:val="bottom"/>
            <w:hideMark/>
          </w:tcPr>
          <w:p w14:paraId="1C4E1E45" w14:textId="77777777" w:rsidR="00E91426" w:rsidRPr="00E91426" w:rsidRDefault="00E91426" w:rsidP="00E91426">
            <w:pPr>
              <w:widowControl/>
              <w:rPr>
                <w:rFonts w:ascii="Arial" w:eastAsia="Times New Roman" w:hAnsi="Arial" w:cs="Arial"/>
                <w:sz w:val="20"/>
                <w:szCs w:val="20"/>
                <w:lang w:val="en-GB" w:eastAsia="en-GB"/>
              </w:rPr>
            </w:pPr>
          </w:p>
        </w:tc>
        <w:tc>
          <w:tcPr>
            <w:tcW w:w="1100" w:type="dxa"/>
            <w:tcBorders>
              <w:top w:val="nil"/>
              <w:left w:val="nil"/>
              <w:bottom w:val="nil"/>
              <w:right w:val="nil"/>
            </w:tcBorders>
            <w:vAlign w:val="bottom"/>
            <w:hideMark/>
          </w:tcPr>
          <w:p w14:paraId="7BEC048B"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2024/25</w:t>
            </w:r>
          </w:p>
        </w:tc>
        <w:tc>
          <w:tcPr>
            <w:tcW w:w="40" w:type="dxa"/>
            <w:tcBorders>
              <w:top w:val="nil"/>
              <w:left w:val="nil"/>
              <w:bottom w:val="nil"/>
              <w:right w:val="nil"/>
            </w:tcBorders>
            <w:vAlign w:val="bottom"/>
            <w:hideMark/>
          </w:tcPr>
          <w:p w14:paraId="287753A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100" w:type="dxa"/>
            <w:tcBorders>
              <w:top w:val="nil"/>
              <w:left w:val="nil"/>
              <w:bottom w:val="nil"/>
              <w:right w:val="nil"/>
            </w:tcBorders>
            <w:vAlign w:val="bottom"/>
            <w:hideMark/>
          </w:tcPr>
          <w:p w14:paraId="04D079E5"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2023/24</w:t>
            </w:r>
          </w:p>
        </w:tc>
      </w:tr>
      <w:tr w:rsidR="00E91426" w:rsidRPr="00E91426" w14:paraId="5D742DE5" w14:textId="77777777" w:rsidTr="00E91426">
        <w:trPr>
          <w:trHeight w:val="300"/>
        </w:trPr>
        <w:tc>
          <w:tcPr>
            <w:tcW w:w="4460" w:type="dxa"/>
            <w:tcBorders>
              <w:top w:val="nil"/>
              <w:left w:val="nil"/>
              <w:bottom w:val="nil"/>
              <w:right w:val="nil"/>
            </w:tcBorders>
            <w:vAlign w:val="bottom"/>
            <w:hideMark/>
          </w:tcPr>
          <w:p w14:paraId="70A2A69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220" w:type="dxa"/>
            <w:tcBorders>
              <w:top w:val="nil"/>
              <w:left w:val="nil"/>
              <w:bottom w:val="nil"/>
              <w:right w:val="nil"/>
            </w:tcBorders>
            <w:vAlign w:val="bottom"/>
            <w:hideMark/>
          </w:tcPr>
          <w:p w14:paraId="2ADDD1EA" w14:textId="77777777" w:rsidR="00E91426" w:rsidRPr="00E91426" w:rsidRDefault="00E91426" w:rsidP="00E91426">
            <w:pPr>
              <w:widowControl/>
              <w:rPr>
                <w:rFonts w:ascii="Arial" w:eastAsia="Times New Roman" w:hAnsi="Arial" w:cs="Arial"/>
                <w:sz w:val="20"/>
                <w:szCs w:val="20"/>
                <w:lang w:val="en-GB" w:eastAsia="en-GB"/>
              </w:rPr>
            </w:pPr>
          </w:p>
        </w:tc>
        <w:tc>
          <w:tcPr>
            <w:tcW w:w="1120" w:type="dxa"/>
            <w:tcBorders>
              <w:top w:val="nil"/>
              <w:left w:val="nil"/>
              <w:bottom w:val="nil"/>
              <w:right w:val="nil"/>
            </w:tcBorders>
            <w:vAlign w:val="bottom"/>
            <w:hideMark/>
          </w:tcPr>
          <w:p w14:paraId="1ACAB695" w14:textId="77777777" w:rsidR="00E91426" w:rsidRPr="00E91426" w:rsidRDefault="00E91426" w:rsidP="00E91426">
            <w:pPr>
              <w:widowControl/>
              <w:rPr>
                <w:rFonts w:ascii="Arial" w:eastAsia="Times New Roman" w:hAnsi="Arial" w:cs="Arial"/>
                <w:sz w:val="20"/>
                <w:szCs w:val="20"/>
                <w:lang w:val="en-GB" w:eastAsia="en-GB"/>
              </w:rPr>
            </w:pPr>
          </w:p>
        </w:tc>
        <w:tc>
          <w:tcPr>
            <w:tcW w:w="1100" w:type="dxa"/>
            <w:tcBorders>
              <w:top w:val="nil"/>
              <w:left w:val="nil"/>
              <w:bottom w:val="nil"/>
              <w:right w:val="nil"/>
            </w:tcBorders>
            <w:vAlign w:val="bottom"/>
            <w:hideMark/>
          </w:tcPr>
          <w:p w14:paraId="6DCB2AEC"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40" w:type="dxa"/>
            <w:tcBorders>
              <w:top w:val="nil"/>
              <w:left w:val="nil"/>
              <w:bottom w:val="nil"/>
              <w:right w:val="nil"/>
            </w:tcBorders>
            <w:vAlign w:val="bottom"/>
            <w:hideMark/>
          </w:tcPr>
          <w:p w14:paraId="263A93CD"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100" w:type="dxa"/>
            <w:tcBorders>
              <w:top w:val="nil"/>
              <w:left w:val="nil"/>
              <w:bottom w:val="nil"/>
              <w:right w:val="nil"/>
            </w:tcBorders>
            <w:vAlign w:val="bottom"/>
            <w:hideMark/>
          </w:tcPr>
          <w:p w14:paraId="3044E0E3"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r>
      <w:tr w:rsidR="00E91426" w:rsidRPr="00E91426" w14:paraId="524A6DCB" w14:textId="77777777" w:rsidTr="00E91426">
        <w:trPr>
          <w:trHeight w:val="300"/>
        </w:trPr>
        <w:tc>
          <w:tcPr>
            <w:tcW w:w="4460" w:type="dxa"/>
            <w:tcBorders>
              <w:top w:val="nil"/>
              <w:left w:val="nil"/>
              <w:bottom w:val="nil"/>
              <w:right w:val="nil"/>
            </w:tcBorders>
            <w:vAlign w:val="bottom"/>
            <w:hideMark/>
          </w:tcPr>
          <w:p w14:paraId="4D118454"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Value of contingent liabilities </w:t>
            </w:r>
          </w:p>
        </w:tc>
        <w:tc>
          <w:tcPr>
            <w:tcW w:w="1220" w:type="dxa"/>
            <w:tcBorders>
              <w:top w:val="nil"/>
              <w:left w:val="nil"/>
              <w:bottom w:val="nil"/>
              <w:right w:val="nil"/>
            </w:tcBorders>
            <w:vAlign w:val="bottom"/>
            <w:hideMark/>
          </w:tcPr>
          <w:p w14:paraId="340E7810"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1120" w:type="dxa"/>
            <w:tcBorders>
              <w:top w:val="nil"/>
              <w:left w:val="nil"/>
              <w:bottom w:val="nil"/>
              <w:right w:val="nil"/>
            </w:tcBorders>
            <w:vAlign w:val="bottom"/>
            <w:hideMark/>
          </w:tcPr>
          <w:p w14:paraId="2A20C6B8" w14:textId="77777777" w:rsidR="00E91426" w:rsidRPr="00E91426" w:rsidRDefault="00E91426" w:rsidP="00E91426">
            <w:pPr>
              <w:widowControl/>
              <w:rPr>
                <w:rFonts w:ascii="Arial" w:eastAsia="Times New Roman" w:hAnsi="Arial" w:cs="Arial"/>
                <w:sz w:val="20"/>
                <w:szCs w:val="20"/>
                <w:lang w:val="en-GB" w:eastAsia="en-GB"/>
              </w:rPr>
            </w:pPr>
          </w:p>
        </w:tc>
        <w:tc>
          <w:tcPr>
            <w:tcW w:w="1100" w:type="dxa"/>
            <w:tcBorders>
              <w:top w:val="nil"/>
              <w:left w:val="nil"/>
              <w:bottom w:val="nil"/>
              <w:right w:val="nil"/>
            </w:tcBorders>
            <w:noWrap/>
            <w:vAlign w:val="center"/>
            <w:hideMark/>
          </w:tcPr>
          <w:p w14:paraId="46745091" w14:textId="77777777" w:rsidR="00E91426" w:rsidRPr="00E91426" w:rsidRDefault="00E91426" w:rsidP="00E91426">
            <w:pPr>
              <w:widowControl/>
              <w:rPr>
                <w:rFonts w:ascii="Arial" w:eastAsia="Times New Roman" w:hAnsi="Arial" w:cs="Arial"/>
                <w:sz w:val="20"/>
                <w:szCs w:val="20"/>
                <w:lang w:val="en-GB" w:eastAsia="en-GB"/>
              </w:rPr>
            </w:pPr>
          </w:p>
        </w:tc>
        <w:tc>
          <w:tcPr>
            <w:tcW w:w="40" w:type="dxa"/>
            <w:tcBorders>
              <w:top w:val="nil"/>
              <w:left w:val="nil"/>
              <w:bottom w:val="nil"/>
              <w:right w:val="nil"/>
            </w:tcBorders>
            <w:vAlign w:val="bottom"/>
            <w:hideMark/>
          </w:tcPr>
          <w:p w14:paraId="7743AEB4" w14:textId="77777777" w:rsidR="00E91426" w:rsidRPr="00E91426" w:rsidRDefault="00E91426" w:rsidP="00E91426">
            <w:pPr>
              <w:widowControl/>
              <w:rPr>
                <w:rFonts w:ascii="Arial" w:eastAsia="Times New Roman" w:hAnsi="Arial" w:cs="Arial"/>
                <w:sz w:val="20"/>
                <w:szCs w:val="20"/>
                <w:lang w:val="en-GB" w:eastAsia="en-GB"/>
              </w:rPr>
            </w:pPr>
          </w:p>
        </w:tc>
        <w:tc>
          <w:tcPr>
            <w:tcW w:w="1100" w:type="dxa"/>
            <w:tcBorders>
              <w:top w:val="nil"/>
              <w:left w:val="nil"/>
              <w:bottom w:val="nil"/>
              <w:right w:val="nil"/>
            </w:tcBorders>
            <w:noWrap/>
            <w:vAlign w:val="center"/>
            <w:hideMark/>
          </w:tcPr>
          <w:p w14:paraId="7A921C09"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0A78C3CA" w14:textId="77777777" w:rsidTr="00E91426">
        <w:trPr>
          <w:trHeight w:val="300"/>
        </w:trPr>
        <w:tc>
          <w:tcPr>
            <w:tcW w:w="4460" w:type="dxa"/>
            <w:tcBorders>
              <w:top w:val="nil"/>
              <w:left w:val="nil"/>
              <w:bottom w:val="nil"/>
              <w:right w:val="nil"/>
            </w:tcBorders>
            <w:vAlign w:val="bottom"/>
            <w:hideMark/>
          </w:tcPr>
          <w:p w14:paraId="0C62ED93"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NHS Resolution legal claims</w:t>
            </w:r>
          </w:p>
        </w:tc>
        <w:tc>
          <w:tcPr>
            <w:tcW w:w="1220" w:type="dxa"/>
            <w:tcBorders>
              <w:top w:val="nil"/>
              <w:left w:val="nil"/>
              <w:bottom w:val="nil"/>
              <w:right w:val="nil"/>
            </w:tcBorders>
            <w:vAlign w:val="bottom"/>
            <w:hideMark/>
          </w:tcPr>
          <w:p w14:paraId="4A40D84C"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1120" w:type="dxa"/>
            <w:tcBorders>
              <w:top w:val="nil"/>
              <w:left w:val="nil"/>
              <w:bottom w:val="nil"/>
              <w:right w:val="nil"/>
            </w:tcBorders>
            <w:vAlign w:val="bottom"/>
            <w:hideMark/>
          </w:tcPr>
          <w:p w14:paraId="34B6C8C8" w14:textId="77777777" w:rsidR="00E91426" w:rsidRPr="00E91426" w:rsidRDefault="00E91426" w:rsidP="00E91426">
            <w:pPr>
              <w:widowControl/>
              <w:rPr>
                <w:rFonts w:ascii="Arial" w:eastAsia="Times New Roman" w:hAnsi="Arial" w:cs="Arial"/>
                <w:sz w:val="20"/>
                <w:szCs w:val="20"/>
                <w:lang w:val="en-GB" w:eastAsia="en-GB"/>
              </w:rPr>
            </w:pPr>
          </w:p>
        </w:tc>
        <w:tc>
          <w:tcPr>
            <w:tcW w:w="1100" w:type="dxa"/>
            <w:tcBorders>
              <w:top w:val="nil"/>
              <w:left w:val="nil"/>
              <w:bottom w:val="nil"/>
              <w:right w:val="nil"/>
            </w:tcBorders>
            <w:noWrap/>
            <w:vAlign w:val="bottom"/>
            <w:hideMark/>
          </w:tcPr>
          <w:p w14:paraId="63416D15"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(41)</w:t>
            </w:r>
          </w:p>
        </w:tc>
        <w:tc>
          <w:tcPr>
            <w:tcW w:w="40" w:type="dxa"/>
            <w:tcBorders>
              <w:top w:val="nil"/>
              <w:left w:val="nil"/>
              <w:bottom w:val="nil"/>
              <w:right w:val="nil"/>
            </w:tcBorders>
            <w:vAlign w:val="bottom"/>
            <w:hideMark/>
          </w:tcPr>
          <w:p w14:paraId="6002A2F5"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100" w:type="dxa"/>
            <w:tcBorders>
              <w:top w:val="nil"/>
              <w:left w:val="nil"/>
              <w:bottom w:val="nil"/>
              <w:right w:val="nil"/>
            </w:tcBorders>
            <w:noWrap/>
            <w:vAlign w:val="bottom"/>
            <w:hideMark/>
          </w:tcPr>
          <w:p w14:paraId="60327329"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(52)</w:t>
            </w:r>
          </w:p>
        </w:tc>
      </w:tr>
      <w:tr w:rsidR="00E91426" w:rsidRPr="00E91426" w14:paraId="5545D9D3" w14:textId="77777777" w:rsidTr="00E91426">
        <w:trPr>
          <w:trHeight w:val="300"/>
        </w:trPr>
        <w:tc>
          <w:tcPr>
            <w:tcW w:w="4460" w:type="dxa"/>
            <w:tcBorders>
              <w:top w:val="nil"/>
              <w:left w:val="nil"/>
              <w:bottom w:val="nil"/>
              <w:right w:val="nil"/>
            </w:tcBorders>
            <w:noWrap/>
            <w:vAlign w:val="bottom"/>
            <w:hideMark/>
          </w:tcPr>
          <w:p w14:paraId="55FBD255"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Gross value of contingent liabilities</w:t>
            </w:r>
          </w:p>
        </w:tc>
        <w:tc>
          <w:tcPr>
            <w:tcW w:w="1220" w:type="dxa"/>
            <w:tcBorders>
              <w:top w:val="nil"/>
              <w:left w:val="nil"/>
              <w:bottom w:val="nil"/>
              <w:right w:val="nil"/>
            </w:tcBorders>
            <w:vAlign w:val="bottom"/>
            <w:hideMark/>
          </w:tcPr>
          <w:p w14:paraId="38C0D854"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1120" w:type="dxa"/>
            <w:tcBorders>
              <w:top w:val="nil"/>
              <w:left w:val="nil"/>
              <w:bottom w:val="nil"/>
              <w:right w:val="nil"/>
            </w:tcBorders>
            <w:vAlign w:val="bottom"/>
            <w:hideMark/>
          </w:tcPr>
          <w:p w14:paraId="5937D300" w14:textId="77777777" w:rsidR="00E91426" w:rsidRPr="00E91426" w:rsidRDefault="00E91426" w:rsidP="00E91426">
            <w:pPr>
              <w:widowControl/>
              <w:rPr>
                <w:rFonts w:ascii="Arial" w:eastAsia="Times New Roman" w:hAnsi="Arial" w:cs="Arial"/>
                <w:sz w:val="20"/>
                <w:szCs w:val="20"/>
                <w:lang w:val="en-GB" w:eastAsia="en-GB"/>
              </w:rPr>
            </w:pPr>
          </w:p>
        </w:tc>
        <w:tc>
          <w:tcPr>
            <w:tcW w:w="1100" w:type="dxa"/>
            <w:tcBorders>
              <w:top w:val="single" w:sz="4" w:space="0" w:color="auto"/>
              <w:left w:val="nil"/>
              <w:bottom w:val="single" w:sz="4" w:space="0" w:color="auto"/>
              <w:right w:val="nil"/>
            </w:tcBorders>
            <w:noWrap/>
            <w:vAlign w:val="bottom"/>
            <w:hideMark/>
          </w:tcPr>
          <w:p w14:paraId="4DA6819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(41)</w:t>
            </w:r>
          </w:p>
        </w:tc>
        <w:tc>
          <w:tcPr>
            <w:tcW w:w="40" w:type="dxa"/>
            <w:tcBorders>
              <w:top w:val="nil"/>
              <w:left w:val="nil"/>
              <w:bottom w:val="nil"/>
              <w:right w:val="nil"/>
            </w:tcBorders>
            <w:vAlign w:val="bottom"/>
            <w:hideMark/>
          </w:tcPr>
          <w:p w14:paraId="07C6487D"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100" w:type="dxa"/>
            <w:tcBorders>
              <w:top w:val="single" w:sz="4" w:space="0" w:color="auto"/>
              <w:left w:val="nil"/>
              <w:bottom w:val="single" w:sz="4" w:space="0" w:color="auto"/>
              <w:right w:val="nil"/>
            </w:tcBorders>
            <w:noWrap/>
            <w:vAlign w:val="bottom"/>
            <w:hideMark/>
          </w:tcPr>
          <w:p w14:paraId="5CD7939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(52)</w:t>
            </w:r>
          </w:p>
        </w:tc>
      </w:tr>
      <w:tr w:rsidR="00E91426" w:rsidRPr="00E91426" w14:paraId="7AE3B214" w14:textId="77777777" w:rsidTr="00E91426">
        <w:trPr>
          <w:trHeight w:val="300"/>
        </w:trPr>
        <w:tc>
          <w:tcPr>
            <w:tcW w:w="4460" w:type="dxa"/>
            <w:tcBorders>
              <w:top w:val="nil"/>
              <w:left w:val="nil"/>
              <w:bottom w:val="nil"/>
              <w:right w:val="nil"/>
            </w:tcBorders>
            <w:vAlign w:val="bottom"/>
            <w:hideMark/>
          </w:tcPr>
          <w:p w14:paraId="73C268EA"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Amounts recoverable against liabilities</w:t>
            </w:r>
          </w:p>
        </w:tc>
        <w:tc>
          <w:tcPr>
            <w:tcW w:w="1220" w:type="dxa"/>
            <w:tcBorders>
              <w:top w:val="nil"/>
              <w:left w:val="nil"/>
              <w:bottom w:val="nil"/>
              <w:right w:val="nil"/>
            </w:tcBorders>
            <w:vAlign w:val="bottom"/>
            <w:hideMark/>
          </w:tcPr>
          <w:p w14:paraId="043FBD1E"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1120" w:type="dxa"/>
            <w:tcBorders>
              <w:top w:val="nil"/>
              <w:left w:val="nil"/>
              <w:bottom w:val="nil"/>
              <w:right w:val="nil"/>
            </w:tcBorders>
            <w:vAlign w:val="bottom"/>
            <w:hideMark/>
          </w:tcPr>
          <w:p w14:paraId="1C46CECA" w14:textId="77777777" w:rsidR="00E91426" w:rsidRPr="00E91426" w:rsidRDefault="00E91426" w:rsidP="00E91426">
            <w:pPr>
              <w:widowControl/>
              <w:rPr>
                <w:rFonts w:ascii="Arial" w:eastAsia="Times New Roman" w:hAnsi="Arial" w:cs="Arial"/>
                <w:sz w:val="20"/>
                <w:szCs w:val="20"/>
                <w:lang w:val="en-GB" w:eastAsia="en-GB"/>
              </w:rPr>
            </w:pPr>
          </w:p>
        </w:tc>
        <w:tc>
          <w:tcPr>
            <w:tcW w:w="1100" w:type="dxa"/>
            <w:tcBorders>
              <w:top w:val="nil"/>
              <w:left w:val="nil"/>
              <w:bottom w:val="nil"/>
              <w:right w:val="nil"/>
            </w:tcBorders>
            <w:noWrap/>
            <w:vAlign w:val="bottom"/>
            <w:hideMark/>
          </w:tcPr>
          <w:p w14:paraId="6377D946"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40" w:type="dxa"/>
            <w:tcBorders>
              <w:top w:val="nil"/>
              <w:left w:val="nil"/>
              <w:bottom w:val="nil"/>
              <w:right w:val="nil"/>
            </w:tcBorders>
            <w:vAlign w:val="bottom"/>
            <w:hideMark/>
          </w:tcPr>
          <w:p w14:paraId="07D72D9F"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100" w:type="dxa"/>
            <w:tcBorders>
              <w:top w:val="nil"/>
              <w:left w:val="nil"/>
              <w:bottom w:val="nil"/>
              <w:right w:val="nil"/>
            </w:tcBorders>
            <w:noWrap/>
            <w:vAlign w:val="bottom"/>
            <w:hideMark/>
          </w:tcPr>
          <w:p w14:paraId="64FDE269"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r>
      <w:tr w:rsidR="00E91426" w:rsidRPr="00E91426" w14:paraId="526FD0BD" w14:textId="77777777" w:rsidTr="00E91426">
        <w:trPr>
          <w:trHeight w:val="315"/>
        </w:trPr>
        <w:tc>
          <w:tcPr>
            <w:tcW w:w="4460" w:type="dxa"/>
            <w:tcBorders>
              <w:top w:val="nil"/>
              <w:left w:val="nil"/>
              <w:bottom w:val="nil"/>
              <w:right w:val="nil"/>
            </w:tcBorders>
            <w:noWrap/>
            <w:vAlign w:val="bottom"/>
            <w:hideMark/>
          </w:tcPr>
          <w:p w14:paraId="0C33A49A"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Net value of contingent liabilities</w:t>
            </w:r>
          </w:p>
        </w:tc>
        <w:tc>
          <w:tcPr>
            <w:tcW w:w="1220" w:type="dxa"/>
            <w:tcBorders>
              <w:top w:val="nil"/>
              <w:left w:val="nil"/>
              <w:bottom w:val="nil"/>
              <w:right w:val="nil"/>
            </w:tcBorders>
            <w:vAlign w:val="bottom"/>
            <w:hideMark/>
          </w:tcPr>
          <w:p w14:paraId="343E5AD3"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1120" w:type="dxa"/>
            <w:tcBorders>
              <w:top w:val="nil"/>
              <w:left w:val="nil"/>
              <w:bottom w:val="nil"/>
              <w:right w:val="nil"/>
            </w:tcBorders>
            <w:vAlign w:val="bottom"/>
            <w:hideMark/>
          </w:tcPr>
          <w:p w14:paraId="572F10F1" w14:textId="77777777" w:rsidR="00E91426" w:rsidRPr="00E91426" w:rsidRDefault="00E91426" w:rsidP="00E91426">
            <w:pPr>
              <w:widowControl/>
              <w:rPr>
                <w:rFonts w:ascii="Arial" w:eastAsia="Times New Roman" w:hAnsi="Arial" w:cs="Arial"/>
                <w:sz w:val="20"/>
                <w:szCs w:val="20"/>
                <w:lang w:val="en-GB" w:eastAsia="en-GB"/>
              </w:rPr>
            </w:pPr>
          </w:p>
        </w:tc>
        <w:tc>
          <w:tcPr>
            <w:tcW w:w="1100" w:type="dxa"/>
            <w:tcBorders>
              <w:top w:val="single" w:sz="4" w:space="0" w:color="auto"/>
              <w:left w:val="nil"/>
              <w:bottom w:val="double" w:sz="6" w:space="0" w:color="auto"/>
              <w:right w:val="nil"/>
            </w:tcBorders>
            <w:noWrap/>
            <w:vAlign w:val="bottom"/>
            <w:hideMark/>
          </w:tcPr>
          <w:p w14:paraId="43A9C18C"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(41)</w:t>
            </w:r>
          </w:p>
        </w:tc>
        <w:tc>
          <w:tcPr>
            <w:tcW w:w="40" w:type="dxa"/>
            <w:tcBorders>
              <w:top w:val="nil"/>
              <w:left w:val="nil"/>
              <w:bottom w:val="nil"/>
              <w:right w:val="nil"/>
            </w:tcBorders>
            <w:vAlign w:val="bottom"/>
            <w:hideMark/>
          </w:tcPr>
          <w:p w14:paraId="6272E31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100" w:type="dxa"/>
            <w:tcBorders>
              <w:top w:val="single" w:sz="4" w:space="0" w:color="auto"/>
              <w:left w:val="nil"/>
              <w:bottom w:val="double" w:sz="6" w:space="0" w:color="auto"/>
              <w:right w:val="nil"/>
            </w:tcBorders>
            <w:noWrap/>
            <w:vAlign w:val="bottom"/>
            <w:hideMark/>
          </w:tcPr>
          <w:p w14:paraId="6C7EAAEA"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(52)</w:t>
            </w:r>
          </w:p>
        </w:tc>
      </w:tr>
      <w:tr w:rsidR="00E91426" w:rsidRPr="00E91426" w14:paraId="296E60AF" w14:textId="77777777" w:rsidTr="00E91426">
        <w:trPr>
          <w:trHeight w:val="315"/>
        </w:trPr>
        <w:tc>
          <w:tcPr>
            <w:tcW w:w="4460" w:type="dxa"/>
            <w:tcBorders>
              <w:top w:val="nil"/>
              <w:left w:val="nil"/>
              <w:bottom w:val="nil"/>
              <w:right w:val="nil"/>
            </w:tcBorders>
            <w:vAlign w:val="bottom"/>
            <w:hideMark/>
          </w:tcPr>
          <w:p w14:paraId="26A7B4B5"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Net value of contingent assets</w:t>
            </w:r>
          </w:p>
        </w:tc>
        <w:tc>
          <w:tcPr>
            <w:tcW w:w="1220" w:type="dxa"/>
            <w:tcBorders>
              <w:top w:val="nil"/>
              <w:left w:val="nil"/>
              <w:bottom w:val="nil"/>
              <w:right w:val="nil"/>
            </w:tcBorders>
            <w:vAlign w:val="bottom"/>
            <w:hideMark/>
          </w:tcPr>
          <w:p w14:paraId="0ACC59A0"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1120" w:type="dxa"/>
            <w:tcBorders>
              <w:top w:val="nil"/>
              <w:left w:val="nil"/>
              <w:bottom w:val="nil"/>
              <w:right w:val="nil"/>
            </w:tcBorders>
            <w:noWrap/>
            <w:vAlign w:val="bottom"/>
            <w:hideMark/>
          </w:tcPr>
          <w:p w14:paraId="5C9708BE" w14:textId="77777777" w:rsidR="00E91426" w:rsidRPr="00E91426" w:rsidRDefault="00E91426" w:rsidP="00E91426">
            <w:pPr>
              <w:widowControl/>
              <w:rPr>
                <w:rFonts w:ascii="Arial" w:eastAsia="Times New Roman" w:hAnsi="Arial" w:cs="Arial"/>
                <w:sz w:val="20"/>
                <w:szCs w:val="20"/>
                <w:lang w:val="en-GB" w:eastAsia="en-GB"/>
              </w:rPr>
            </w:pPr>
          </w:p>
        </w:tc>
        <w:tc>
          <w:tcPr>
            <w:tcW w:w="1100" w:type="dxa"/>
            <w:tcBorders>
              <w:top w:val="nil"/>
              <w:left w:val="nil"/>
              <w:bottom w:val="nil"/>
              <w:right w:val="nil"/>
            </w:tcBorders>
            <w:vAlign w:val="bottom"/>
            <w:hideMark/>
          </w:tcPr>
          <w:p w14:paraId="29375504"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40" w:type="dxa"/>
            <w:tcBorders>
              <w:top w:val="nil"/>
              <w:left w:val="nil"/>
              <w:bottom w:val="nil"/>
              <w:right w:val="nil"/>
            </w:tcBorders>
            <w:vAlign w:val="bottom"/>
            <w:hideMark/>
          </w:tcPr>
          <w:p w14:paraId="4AC534D2"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100" w:type="dxa"/>
            <w:tcBorders>
              <w:top w:val="nil"/>
              <w:left w:val="nil"/>
              <w:bottom w:val="nil"/>
              <w:right w:val="nil"/>
            </w:tcBorders>
            <w:noWrap/>
            <w:vAlign w:val="bottom"/>
            <w:hideMark/>
          </w:tcPr>
          <w:p w14:paraId="0A88493D"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0</w:t>
            </w:r>
          </w:p>
        </w:tc>
      </w:tr>
    </w:tbl>
    <w:p w14:paraId="0A7FE3E8" w14:textId="77777777" w:rsidR="00E91426" w:rsidRPr="00E91426" w:rsidRDefault="00E91426" w:rsidP="00E91426">
      <w:pPr>
        <w:widowControl/>
        <w:spacing w:after="160" w:line="259" w:lineRule="auto"/>
        <w:rPr>
          <w:rFonts w:ascii="Arial" w:eastAsia="Calibri" w:hAnsi="Arial" w:cs="Arial"/>
          <w:sz w:val="20"/>
          <w:szCs w:val="20"/>
          <w:lang w:val="en-GB"/>
        </w:rPr>
      </w:pPr>
    </w:p>
    <w:p w14:paraId="6756F5F3" w14:textId="77777777" w:rsidR="00E91426" w:rsidRPr="00E91426" w:rsidRDefault="00E91426" w:rsidP="00E91426">
      <w:pPr>
        <w:keepNext/>
        <w:keepLines/>
        <w:widowControl/>
        <w:spacing w:before="40" w:line="259" w:lineRule="auto"/>
        <w:jc w:val="both"/>
        <w:outlineLvl w:val="1"/>
        <w:rPr>
          <w:rFonts w:ascii="Arial" w:eastAsia="Times New Roman" w:hAnsi="Arial" w:cs="Arial"/>
          <w:b/>
          <w:color w:val="000000"/>
          <w:sz w:val="20"/>
          <w:szCs w:val="20"/>
          <w:lang w:val="en-GB"/>
        </w:rPr>
      </w:pPr>
      <w:bookmarkStart w:id="85" w:name="_Toc195698720"/>
      <w:r w:rsidRPr="00E91426">
        <w:rPr>
          <w:rFonts w:ascii="Arial" w:eastAsia="Times New Roman" w:hAnsi="Arial" w:cs="Arial"/>
          <w:b/>
          <w:color w:val="000000"/>
          <w:sz w:val="20"/>
          <w:szCs w:val="20"/>
          <w:lang w:val="en-GB"/>
        </w:rPr>
        <w:t>Note 23 Financial instruments</w:t>
      </w:r>
      <w:bookmarkEnd w:id="85"/>
    </w:p>
    <w:p w14:paraId="0E264DBD" w14:textId="77777777" w:rsidR="00E91426" w:rsidRPr="00E91426" w:rsidRDefault="00E91426" w:rsidP="00E91426">
      <w:pPr>
        <w:widowControl/>
        <w:spacing w:after="160" w:line="259" w:lineRule="auto"/>
        <w:jc w:val="both"/>
        <w:rPr>
          <w:rFonts w:ascii="Arial" w:eastAsia="Calibri" w:hAnsi="Arial" w:cs="Arial"/>
          <w:sz w:val="20"/>
          <w:szCs w:val="20"/>
          <w:lang w:val="en-GB"/>
        </w:rPr>
      </w:pPr>
    </w:p>
    <w:p w14:paraId="6E80F2B2"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Financial reporting standard IFRS 7 requires disclosure of the role that financial instruments have had during the period in creating or changing the risks an entity faces in undertaking its activities.  The Trust actively seeks to minimise its financial risks.  In line with this policy, the Trust neither buys nor sells financial instruments.  Financial assets and liabilities are generated by day-to-day operational activities rather than being held to change the risks facing the Trust in undertaking its activities.</w:t>
      </w:r>
      <w:r w:rsidRPr="00E91426">
        <w:rPr>
          <w:rFonts w:ascii="Arial" w:eastAsia="Calibri" w:hAnsi="Arial" w:cs="Arial"/>
          <w:sz w:val="20"/>
          <w:szCs w:val="20"/>
          <w:lang w:val="en-GB"/>
        </w:rPr>
        <w:tab/>
      </w:r>
      <w:r w:rsidRPr="00E91426">
        <w:rPr>
          <w:rFonts w:ascii="Arial" w:eastAsia="Calibri" w:hAnsi="Arial" w:cs="Arial"/>
          <w:sz w:val="20"/>
          <w:szCs w:val="20"/>
          <w:lang w:val="en-GB"/>
        </w:rPr>
        <w:tab/>
      </w:r>
      <w:r w:rsidRPr="00E91426">
        <w:rPr>
          <w:rFonts w:ascii="Arial" w:eastAsia="Calibri" w:hAnsi="Arial" w:cs="Arial"/>
          <w:sz w:val="20"/>
          <w:szCs w:val="20"/>
          <w:lang w:val="en-GB"/>
        </w:rPr>
        <w:tab/>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63EB88DA" w14:textId="77777777" w:rsidR="00E91426" w:rsidRPr="00E91426" w:rsidRDefault="00E91426" w:rsidP="00E91426">
      <w:pPr>
        <w:widowControl/>
        <w:spacing w:after="160" w:line="259" w:lineRule="auto"/>
        <w:jc w:val="both"/>
        <w:rPr>
          <w:rFonts w:ascii="Arial" w:eastAsia="Calibri" w:hAnsi="Arial" w:cs="Arial"/>
          <w:b/>
          <w:sz w:val="20"/>
          <w:szCs w:val="20"/>
          <w:lang w:val="en-GB"/>
        </w:rPr>
      </w:pPr>
      <w:r w:rsidRPr="00E91426">
        <w:rPr>
          <w:rFonts w:ascii="Arial" w:eastAsia="Calibri" w:hAnsi="Arial" w:cs="Arial"/>
          <w:b/>
          <w:sz w:val="20"/>
          <w:szCs w:val="20"/>
          <w:lang w:val="en-GB"/>
        </w:rPr>
        <w:t>Interest-rate risk</w:t>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p>
    <w:p w14:paraId="5DEE0C81"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All of the Trust's financial liabilities carry nil or fixed rates of interest. The only element of the Trust's assets that are subject to a variable rate are short term cash investments.  The Trust is not, therefore, exposed to significant interest-rate risk. There is no change in interest-rate risk from the prior year.</w:t>
      </w:r>
      <w:r w:rsidRPr="00E91426">
        <w:rPr>
          <w:rFonts w:ascii="Arial" w:eastAsia="Calibri" w:hAnsi="Arial" w:cs="Arial"/>
          <w:sz w:val="20"/>
          <w:szCs w:val="20"/>
          <w:lang w:val="en-GB"/>
        </w:rPr>
        <w:tab/>
      </w:r>
      <w:r w:rsidRPr="00E91426">
        <w:rPr>
          <w:rFonts w:ascii="Arial" w:eastAsia="Calibri" w:hAnsi="Arial" w:cs="Arial"/>
          <w:sz w:val="20"/>
          <w:szCs w:val="20"/>
          <w:lang w:val="en-GB"/>
        </w:rPr>
        <w:tab/>
      </w:r>
      <w:r w:rsidRPr="00E91426">
        <w:rPr>
          <w:rFonts w:ascii="Arial" w:eastAsia="Calibri" w:hAnsi="Arial" w:cs="Arial"/>
          <w:sz w:val="20"/>
          <w:szCs w:val="20"/>
          <w:lang w:val="en-GB"/>
        </w:rPr>
        <w:tab/>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10628DA1" w14:textId="77777777" w:rsidR="00E91426" w:rsidRPr="00E91426" w:rsidRDefault="00E91426" w:rsidP="00E91426">
      <w:pPr>
        <w:widowControl/>
        <w:spacing w:after="160" w:line="259" w:lineRule="auto"/>
        <w:jc w:val="both"/>
        <w:rPr>
          <w:rFonts w:ascii="Arial" w:eastAsia="Calibri" w:hAnsi="Arial" w:cs="Arial"/>
          <w:b/>
          <w:sz w:val="20"/>
          <w:szCs w:val="20"/>
          <w:lang w:val="en-GB"/>
        </w:rPr>
      </w:pPr>
      <w:r w:rsidRPr="00E91426">
        <w:rPr>
          <w:rFonts w:ascii="Arial" w:eastAsia="Calibri" w:hAnsi="Arial" w:cs="Arial"/>
          <w:b/>
          <w:sz w:val="20"/>
          <w:szCs w:val="20"/>
          <w:lang w:val="en-GB"/>
        </w:rPr>
        <w:t>Foreign currency risk</w:t>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p>
    <w:p w14:paraId="2FE00805"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The Trust has negligible foreign currency income or expenditure.</w:t>
      </w:r>
      <w:r w:rsidRPr="00E91426">
        <w:rPr>
          <w:rFonts w:ascii="Arial" w:eastAsia="Calibri" w:hAnsi="Arial" w:cs="Arial"/>
          <w:sz w:val="20"/>
          <w:szCs w:val="20"/>
          <w:lang w:val="en-GB"/>
        </w:rPr>
        <w:tab/>
        <w:t>There is no change in foreign currency risk from the prior year.</w:t>
      </w:r>
    </w:p>
    <w:p w14:paraId="40A079F0" w14:textId="77777777" w:rsidR="00E91426" w:rsidRPr="00E91426" w:rsidRDefault="00E91426" w:rsidP="00E91426">
      <w:pPr>
        <w:widowControl/>
        <w:spacing w:after="160" w:line="259" w:lineRule="auto"/>
        <w:jc w:val="both"/>
        <w:rPr>
          <w:rFonts w:ascii="Arial" w:eastAsia="Calibri" w:hAnsi="Arial" w:cs="Arial"/>
          <w:b/>
          <w:sz w:val="20"/>
          <w:szCs w:val="20"/>
          <w:lang w:val="en-GB"/>
        </w:rPr>
      </w:pPr>
      <w:r w:rsidRPr="00E91426">
        <w:rPr>
          <w:rFonts w:ascii="Arial" w:eastAsia="Calibri" w:hAnsi="Arial" w:cs="Arial"/>
          <w:b/>
          <w:sz w:val="20"/>
          <w:szCs w:val="20"/>
          <w:lang w:val="en-GB"/>
        </w:rPr>
        <w:t>Credit risk</w:t>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p>
    <w:p w14:paraId="6772C906"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 xml:space="preserve">The Trust operates primarily within the NHS market and receives the majority of its income from other NHS organisations.  There is therefore little risk that one party will fail to discharge its obligations with the other.  Disputes can arise, however, around how the amounts owed are calculated, particularly due to the complex nature of the Payments by Results regime.  For this reason, the Trust makes a provision for irrecoverable amounts based on historic patterns and the best information available at the time the accounts are prepared.  The Trust does not hold any collateral as security. The Trust’s maximum exposures to credit risk at 31 March 2025 are in receivables from customers, as disclosed in the trade and other receivables note. </w:t>
      </w:r>
      <w:bookmarkStart w:id="86" w:name="_Hlk198314209"/>
      <w:r w:rsidRPr="00E91426">
        <w:rPr>
          <w:rFonts w:ascii="Arial" w:eastAsia="Calibri" w:hAnsi="Arial" w:cs="Arial"/>
          <w:sz w:val="20"/>
          <w:szCs w:val="20"/>
          <w:lang w:val="en-GB"/>
        </w:rPr>
        <w:t>There is no material change in credit risk from the prior year.</w:t>
      </w:r>
      <w:r w:rsidRPr="00E91426">
        <w:rPr>
          <w:rFonts w:ascii="Arial" w:eastAsia="Calibri" w:hAnsi="Arial" w:cs="Arial"/>
          <w:sz w:val="20"/>
          <w:szCs w:val="20"/>
          <w:lang w:val="en-GB"/>
        </w:rPr>
        <w:tab/>
      </w:r>
      <w:r w:rsidRPr="00E91426">
        <w:rPr>
          <w:rFonts w:ascii="Arial" w:eastAsia="Calibri" w:hAnsi="Arial" w:cs="Arial"/>
          <w:sz w:val="20"/>
          <w:szCs w:val="20"/>
          <w:lang w:val="en-GB"/>
        </w:rPr>
        <w:tab/>
      </w:r>
      <w:r w:rsidRPr="00E91426">
        <w:rPr>
          <w:rFonts w:ascii="Arial" w:eastAsia="Calibri" w:hAnsi="Arial" w:cs="Arial"/>
          <w:sz w:val="20"/>
          <w:szCs w:val="20"/>
          <w:lang w:val="en-GB"/>
        </w:rPr>
        <w:tab/>
      </w:r>
    </w:p>
    <w:bookmarkEnd w:id="86"/>
    <w:p w14:paraId="3996C70B" w14:textId="77777777" w:rsidR="00E91426" w:rsidRPr="00E91426" w:rsidRDefault="00E91426" w:rsidP="00E91426">
      <w:pPr>
        <w:widowControl/>
        <w:spacing w:after="160" w:line="259" w:lineRule="auto"/>
        <w:jc w:val="both"/>
        <w:rPr>
          <w:rFonts w:ascii="Arial" w:eastAsia="Calibri" w:hAnsi="Arial" w:cs="Arial"/>
          <w:b/>
          <w:sz w:val="20"/>
          <w:szCs w:val="20"/>
          <w:lang w:val="en-GB"/>
        </w:rPr>
      </w:pPr>
      <w:r w:rsidRPr="00E91426">
        <w:rPr>
          <w:rFonts w:ascii="Arial" w:eastAsia="Calibri" w:hAnsi="Arial" w:cs="Arial"/>
          <w:b/>
          <w:sz w:val="20"/>
          <w:szCs w:val="20"/>
          <w:lang w:val="en-GB"/>
        </w:rPr>
        <w:t>Liquidity risk</w:t>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p>
    <w:p w14:paraId="685EBEFF"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The Trust's net operating costs are incurred under contracts NHS England and Integrated care boards, which are financed from resources voted annually by Parliament.  The Trust received such contract income in accordance with Block contracts agreed with Commissioners and receives cash each month based on that contract.</w:t>
      </w:r>
    </w:p>
    <w:p w14:paraId="15D219DA"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Financial shortfalls incurred in day to day activities are financed by revenue support loans received from the Department of Health.</w:t>
      </w:r>
      <w:r w:rsidRPr="00E91426">
        <w:rPr>
          <w:rFonts w:ascii="Arial" w:eastAsia="Calibri" w:hAnsi="Arial" w:cs="Arial"/>
          <w:sz w:val="20"/>
          <w:szCs w:val="20"/>
          <w:lang w:val="en-GB"/>
        </w:rPr>
        <w:tab/>
      </w:r>
      <w:r w:rsidRPr="00E91426">
        <w:rPr>
          <w:rFonts w:ascii="Arial" w:eastAsia="Calibri" w:hAnsi="Arial" w:cs="Arial"/>
          <w:sz w:val="20"/>
          <w:szCs w:val="20"/>
          <w:lang w:val="en-GB"/>
        </w:rPr>
        <w:tab/>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3836722C"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The Trust presently finances its capital expenditure from internally generated funds or funds made available from Government, in the form of additional Public Dividend Capital, under an agreed limit.  In addition, the Trust can borrow from the Department of Health and commercially to finance capital schemes.  Financing is drawn down to match the capital spend profile of the scheme concerned and the Trust is not, therefore, exposed to significant liquidity risks in this area. There is no material change in liquidity risk from the prior year.</w:t>
      </w:r>
      <w:r w:rsidRPr="00E91426">
        <w:rPr>
          <w:rFonts w:ascii="Arial" w:eastAsia="Calibri" w:hAnsi="Arial" w:cs="Arial"/>
          <w:sz w:val="20"/>
          <w:szCs w:val="20"/>
          <w:lang w:val="en-GB"/>
        </w:rPr>
        <w:tab/>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1BC6E1BF" w14:textId="77777777" w:rsidR="00E91426" w:rsidRPr="00E91426" w:rsidRDefault="00E91426" w:rsidP="00E91426">
      <w:pPr>
        <w:widowControl/>
        <w:spacing w:after="160" w:line="259" w:lineRule="auto"/>
        <w:rPr>
          <w:rFonts w:ascii="Arial" w:eastAsia="Calibri" w:hAnsi="Arial" w:cs="Arial"/>
          <w:sz w:val="20"/>
          <w:szCs w:val="20"/>
          <w:lang w:val="en-GB"/>
        </w:rPr>
      </w:pPr>
      <w:r w:rsidRPr="00E91426">
        <w:rPr>
          <w:rFonts w:ascii="Arial" w:eastAsia="Calibri" w:hAnsi="Arial" w:cs="Arial"/>
          <w:sz w:val="20"/>
          <w:szCs w:val="20"/>
          <w:lang w:val="en-GB"/>
        </w:rPr>
        <w:br w:type="page"/>
      </w:r>
    </w:p>
    <w:p w14:paraId="37CF151C" w14:textId="77777777" w:rsidR="00E91426" w:rsidRPr="00E91426" w:rsidRDefault="00E91426" w:rsidP="00E91426">
      <w:pPr>
        <w:widowControl/>
        <w:spacing w:after="160" w:line="259" w:lineRule="auto"/>
        <w:rPr>
          <w:rFonts w:ascii="Arial" w:eastAsia="Calibri" w:hAnsi="Arial" w:cs="Arial"/>
          <w:sz w:val="20"/>
          <w:szCs w:val="20"/>
          <w:lang w:val="en-GB"/>
        </w:rPr>
      </w:pPr>
    </w:p>
    <w:tbl>
      <w:tblPr>
        <w:tblW w:w="9061" w:type="dxa"/>
        <w:tblInd w:w="-142" w:type="dxa"/>
        <w:tblLayout w:type="fixed"/>
        <w:tblLook w:val="04A0" w:firstRow="1" w:lastRow="0" w:firstColumn="1" w:lastColumn="0" w:noHBand="0" w:noVBand="1"/>
      </w:tblPr>
      <w:tblGrid>
        <w:gridCol w:w="4966"/>
        <w:gridCol w:w="1318"/>
        <w:gridCol w:w="268"/>
        <w:gridCol w:w="1152"/>
        <w:gridCol w:w="14"/>
        <w:gridCol w:w="225"/>
        <w:gridCol w:w="19"/>
        <w:gridCol w:w="1081"/>
        <w:gridCol w:w="18"/>
      </w:tblGrid>
      <w:tr w:rsidR="00E91426" w:rsidRPr="00E91426" w14:paraId="2D9AF627" w14:textId="77777777" w:rsidTr="00E91426">
        <w:trPr>
          <w:trHeight w:val="315"/>
        </w:trPr>
        <w:tc>
          <w:tcPr>
            <w:tcW w:w="4966" w:type="dxa"/>
            <w:tcBorders>
              <w:top w:val="nil"/>
              <w:left w:val="nil"/>
              <w:bottom w:val="nil"/>
              <w:right w:val="nil"/>
            </w:tcBorders>
            <w:noWrap/>
            <w:vAlign w:val="bottom"/>
            <w:hideMark/>
          </w:tcPr>
          <w:p w14:paraId="1E6999E8"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Note 23.1 Carrying values of financial assets</w:t>
            </w:r>
          </w:p>
        </w:tc>
        <w:tc>
          <w:tcPr>
            <w:tcW w:w="1318" w:type="dxa"/>
            <w:tcBorders>
              <w:top w:val="nil"/>
              <w:left w:val="nil"/>
              <w:bottom w:val="nil"/>
              <w:right w:val="nil"/>
            </w:tcBorders>
            <w:vAlign w:val="bottom"/>
            <w:hideMark/>
          </w:tcPr>
          <w:p w14:paraId="54421EBD"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268" w:type="dxa"/>
            <w:tcBorders>
              <w:top w:val="nil"/>
              <w:left w:val="nil"/>
              <w:bottom w:val="nil"/>
              <w:right w:val="nil"/>
            </w:tcBorders>
            <w:vAlign w:val="bottom"/>
            <w:hideMark/>
          </w:tcPr>
          <w:p w14:paraId="07A2211D" w14:textId="77777777" w:rsidR="00E91426" w:rsidRPr="00E91426" w:rsidRDefault="00E91426" w:rsidP="00E91426">
            <w:pPr>
              <w:widowControl/>
              <w:rPr>
                <w:rFonts w:ascii="Arial" w:eastAsia="Times New Roman" w:hAnsi="Arial" w:cs="Arial"/>
                <w:sz w:val="20"/>
                <w:szCs w:val="20"/>
                <w:lang w:val="en-GB" w:eastAsia="en-GB"/>
              </w:rPr>
            </w:pPr>
          </w:p>
        </w:tc>
        <w:tc>
          <w:tcPr>
            <w:tcW w:w="1166" w:type="dxa"/>
            <w:gridSpan w:val="2"/>
            <w:tcBorders>
              <w:top w:val="nil"/>
              <w:left w:val="nil"/>
              <w:bottom w:val="nil"/>
              <w:right w:val="nil"/>
            </w:tcBorders>
            <w:vAlign w:val="bottom"/>
            <w:hideMark/>
          </w:tcPr>
          <w:p w14:paraId="71DD10F3" w14:textId="77777777" w:rsidR="00E91426" w:rsidRPr="00E91426" w:rsidRDefault="00E91426" w:rsidP="00E91426">
            <w:pPr>
              <w:widowControl/>
              <w:rPr>
                <w:rFonts w:ascii="Arial" w:eastAsia="Times New Roman" w:hAnsi="Arial" w:cs="Arial"/>
                <w:sz w:val="20"/>
                <w:szCs w:val="20"/>
                <w:lang w:val="en-GB" w:eastAsia="en-GB"/>
              </w:rPr>
            </w:pPr>
          </w:p>
        </w:tc>
        <w:tc>
          <w:tcPr>
            <w:tcW w:w="244" w:type="dxa"/>
            <w:gridSpan w:val="2"/>
            <w:tcBorders>
              <w:top w:val="nil"/>
              <w:left w:val="nil"/>
              <w:bottom w:val="nil"/>
              <w:right w:val="nil"/>
            </w:tcBorders>
            <w:vAlign w:val="bottom"/>
            <w:hideMark/>
          </w:tcPr>
          <w:p w14:paraId="48E03C0E" w14:textId="77777777" w:rsidR="00E91426" w:rsidRPr="00E91426" w:rsidRDefault="00E91426" w:rsidP="00E91426">
            <w:pPr>
              <w:widowControl/>
              <w:rPr>
                <w:rFonts w:ascii="Arial" w:eastAsia="Times New Roman" w:hAnsi="Arial" w:cs="Arial"/>
                <w:sz w:val="20"/>
                <w:szCs w:val="20"/>
                <w:lang w:val="en-GB" w:eastAsia="en-GB"/>
              </w:rPr>
            </w:pPr>
          </w:p>
        </w:tc>
        <w:tc>
          <w:tcPr>
            <w:tcW w:w="1099" w:type="dxa"/>
            <w:gridSpan w:val="2"/>
            <w:tcBorders>
              <w:top w:val="nil"/>
              <w:left w:val="nil"/>
              <w:bottom w:val="nil"/>
              <w:right w:val="nil"/>
            </w:tcBorders>
            <w:vAlign w:val="bottom"/>
            <w:hideMark/>
          </w:tcPr>
          <w:p w14:paraId="5D6CAFA3"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1C12775F" w14:textId="77777777" w:rsidTr="00E91426">
        <w:trPr>
          <w:gridAfter w:val="1"/>
          <w:wAfter w:w="18" w:type="dxa"/>
          <w:trHeight w:val="765"/>
        </w:trPr>
        <w:tc>
          <w:tcPr>
            <w:tcW w:w="4966" w:type="dxa"/>
            <w:tcBorders>
              <w:top w:val="nil"/>
              <w:left w:val="nil"/>
              <w:bottom w:val="nil"/>
              <w:right w:val="nil"/>
            </w:tcBorders>
            <w:vAlign w:val="bottom"/>
            <w:hideMark/>
          </w:tcPr>
          <w:p w14:paraId="2CE20C43" w14:textId="77777777" w:rsidR="00E91426" w:rsidRPr="00E91426" w:rsidRDefault="00E91426" w:rsidP="00E91426">
            <w:pPr>
              <w:widowControl/>
              <w:rPr>
                <w:rFonts w:ascii="Arial" w:eastAsia="Times New Roman" w:hAnsi="Arial" w:cs="Arial"/>
                <w:sz w:val="20"/>
                <w:szCs w:val="20"/>
                <w:lang w:val="en-GB" w:eastAsia="en-GB"/>
              </w:rPr>
            </w:pPr>
          </w:p>
        </w:tc>
        <w:tc>
          <w:tcPr>
            <w:tcW w:w="1318" w:type="dxa"/>
            <w:tcBorders>
              <w:top w:val="nil"/>
              <w:left w:val="nil"/>
              <w:bottom w:val="nil"/>
              <w:right w:val="nil"/>
            </w:tcBorders>
            <w:noWrap/>
            <w:vAlign w:val="bottom"/>
            <w:hideMark/>
          </w:tcPr>
          <w:p w14:paraId="76FD34DD" w14:textId="77777777" w:rsidR="00E91426" w:rsidRPr="00E91426" w:rsidRDefault="00E91426" w:rsidP="00E91426">
            <w:pPr>
              <w:widowControl/>
              <w:rPr>
                <w:rFonts w:ascii="Arial" w:eastAsia="Times New Roman" w:hAnsi="Arial" w:cs="Arial"/>
                <w:sz w:val="20"/>
                <w:szCs w:val="20"/>
                <w:lang w:val="en-GB" w:eastAsia="en-GB"/>
              </w:rPr>
            </w:pPr>
          </w:p>
        </w:tc>
        <w:tc>
          <w:tcPr>
            <w:tcW w:w="1420" w:type="dxa"/>
            <w:gridSpan w:val="2"/>
            <w:tcBorders>
              <w:top w:val="nil"/>
              <w:left w:val="nil"/>
              <w:bottom w:val="nil"/>
              <w:right w:val="nil"/>
            </w:tcBorders>
            <w:hideMark/>
          </w:tcPr>
          <w:p w14:paraId="6AE1E9E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Held at amortised cost</w:t>
            </w:r>
          </w:p>
        </w:tc>
        <w:tc>
          <w:tcPr>
            <w:tcW w:w="239" w:type="dxa"/>
            <w:gridSpan w:val="2"/>
            <w:tcBorders>
              <w:top w:val="nil"/>
              <w:left w:val="nil"/>
              <w:bottom w:val="nil"/>
              <w:right w:val="nil"/>
            </w:tcBorders>
            <w:hideMark/>
          </w:tcPr>
          <w:p w14:paraId="77D77193"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100" w:type="dxa"/>
            <w:gridSpan w:val="2"/>
            <w:tcBorders>
              <w:top w:val="nil"/>
              <w:left w:val="nil"/>
              <w:bottom w:val="nil"/>
              <w:right w:val="nil"/>
            </w:tcBorders>
            <w:hideMark/>
          </w:tcPr>
          <w:p w14:paraId="1F2CFDD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Total book value</w:t>
            </w:r>
          </w:p>
        </w:tc>
      </w:tr>
      <w:tr w:rsidR="00E91426" w:rsidRPr="00E91426" w14:paraId="4AF61AA7" w14:textId="77777777" w:rsidTr="00E91426">
        <w:trPr>
          <w:trHeight w:val="255"/>
        </w:trPr>
        <w:tc>
          <w:tcPr>
            <w:tcW w:w="6284" w:type="dxa"/>
            <w:gridSpan w:val="2"/>
            <w:vMerge w:val="restart"/>
            <w:tcBorders>
              <w:top w:val="nil"/>
              <w:left w:val="nil"/>
              <w:bottom w:val="nil"/>
              <w:right w:val="nil"/>
            </w:tcBorders>
            <w:vAlign w:val="bottom"/>
            <w:hideMark/>
          </w:tcPr>
          <w:p w14:paraId="0B7A4AB0"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Carrying values of financial assets as at 31 March 2025</w:t>
            </w:r>
          </w:p>
        </w:tc>
        <w:tc>
          <w:tcPr>
            <w:tcW w:w="268" w:type="dxa"/>
            <w:tcBorders>
              <w:top w:val="nil"/>
              <w:left w:val="nil"/>
              <w:bottom w:val="nil"/>
              <w:right w:val="nil"/>
            </w:tcBorders>
            <w:vAlign w:val="bottom"/>
            <w:hideMark/>
          </w:tcPr>
          <w:p w14:paraId="6D8FE6E0"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1166" w:type="dxa"/>
            <w:gridSpan w:val="2"/>
            <w:tcBorders>
              <w:top w:val="nil"/>
              <w:left w:val="nil"/>
              <w:bottom w:val="nil"/>
              <w:right w:val="nil"/>
            </w:tcBorders>
            <w:vAlign w:val="bottom"/>
            <w:hideMark/>
          </w:tcPr>
          <w:p w14:paraId="44990E45"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244" w:type="dxa"/>
            <w:gridSpan w:val="2"/>
            <w:tcBorders>
              <w:top w:val="nil"/>
              <w:left w:val="nil"/>
              <w:bottom w:val="nil"/>
              <w:right w:val="nil"/>
            </w:tcBorders>
            <w:vAlign w:val="bottom"/>
            <w:hideMark/>
          </w:tcPr>
          <w:p w14:paraId="3EC54050"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099" w:type="dxa"/>
            <w:gridSpan w:val="2"/>
            <w:tcBorders>
              <w:top w:val="nil"/>
              <w:left w:val="nil"/>
              <w:bottom w:val="nil"/>
              <w:right w:val="nil"/>
            </w:tcBorders>
            <w:vAlign w:val="bottom"/>
            <w:hideMark/>
          </w:tcPr>
          <w:p w14:paraId="30410F5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r>
      <w:tr w:rsidR="00E91426" w:rsidRPr="00E91426" w14:paraId="3AA91E1F" w14:textId="77777777" w:rsidTr="00E91426">
        <w:trPr>
          <w:trHeight w:val="255"/>
        </w:trPr>
        <w:tc>
          <w:tcPr>
            <w:tcW w:w="6284" w:type="dxa"/>
            <w:gridSpan w:val="2"/>
            <w:vMerge/>
            <w:tcBorders>
              <w:top w:val="nil"/>
              <w:left w:val="nil"/>
              <w:bottom w:val="nil"/>
              <w:right w:val="nil"/>
            </w:tcBorders>
            <w:vAlign w:val="center"/>
            <w:hideMark/>
          </w:tcPr>
          <w:p w14:paraId="5E694C49"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268" w:type="dxa"/>
            <w:tcBorders>
              <w:top w:val="nil"/>
              <w:left w:val="nil"/>
              <w:bottom w:val="nil"/>
              <w:right w:val="nil"/>
            </w:tcBorders>
            <w:noWrap/>
            <w:vAlign w:val="center"/>
            <w:hideMark/>
          </w:tcPr>
          <w:p w14:paraId="08A081A3"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166" w:type="dxa"/>
            <w:gridSpan w:val="2"/>
            <w:tcBorders>
              <w:top w:val="nil"/>
              <w:left w:val="nil"/>
              <w:bottom w:val="nil"/>
              <w:right w:val="nil"/>
            </w:tcBorders>
            <w:noWrap/>
            <w:vAlign w:val="bottom"/>
            <w:hideMark/>
          </w:tcPr>
          <w:p w14:paraId="1099FA06" w14:textId="77777777" w:rsidR="00E91426" w:rsidRPr="00E91426" w:rsidRDefault="00E91426" w:rsidP="00E91426">
            <w:pPr>
              <w:widowControl/>
              <w:rPr>
                <w:rFonts w:ascii="Arial" w:eastAsia="Times New Roman" w:hAnsi="Arial" w:cs="Arial"/>
                <w:sz w:val="20"/>
                <w:szCs w:val="20"/>
                <w:lang w:val="en-GB" w:eastAsia="en-GB"/>
              </w:rPr>
            </w:pPr>
          </w:p>
        </w:tc>
        <w:tc>
          <w:tcPr>
            <w:tcW w:w="244" w:type="dxa"/>
            <w:gridSpan w:val="2"/>
            <w:tcBorders>
              <w:top w:val="nil"/>
              <w:left w:val="nil"/>
              <w:bottom w:val="nil"/>
              <w:right w:val="nil"/>
            </w:tcBorders>
            <w:noWrap/>
            <w:vAlign w:val="center"/>
            <w:hideMark/>
          </w:tcPr>
          <w:p w14:paraId="7E19674E" w14:textId="77777777" w:rsidR="00E91426" w:rsidRPr="00E91426" w:rsidRDefault="00E91426" w:rsidP="00E91426">
            <w:pPr>
              <w:widowControl/>
              <w:rPr>
                <w:rFonts w:ascii="Arial" w:eastAsia="Times New Roman" w:hAnsi="Arial" w:cs="Arial"/>
                <w:sz w:val="20"/>
                <w:szCs w:val="20"/>
                <w:lang w:val="en-GB" w:eastAsia="en-GB"/>
              </w:rPr>
            </w:pPr>
          </w:p>
        </w:tc>
        <w:tc>
          <w:tcPr>
            <w:tcW w:w="1099" w:type="dxa"/>
            <w:gridSpan w:val="2"/>
            <w:tcBorders>
              <w:top w:val="nil"/>
              <w:left w:val="nil"/>
              <w:bottom w:val="nil"/>
              <w:right w:val="nil"/>
            </w:tcBorders>
            <w:noWrap/>
            <w:vAlign w:val="center"/>
            <w:hideMark/>
          </w:tcPr>
          <w:p w14:paraId="2F9D2535"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6F3928CE" w14:textId="77777777" w:rsidTr="00E91426">
        <w:trPr>
          <w:trHeight w:val="255"/>
        </w:trPr>
        <w:tc>
          <w:tcPr>
            <w:tcW w:w="6284" w:type="dxa"/>
            <w:gridSpan w:val="2"/>
            <w:tcBorders>
              <w:top w:val="nil"/>
              <w:left w:val="nil"/>
              <w:bottom w:val="nil"/>
              <w:right w:val="nil"/>
            </w:tcBorders>
            <w:hideMark/>
          </w:tcPr>
          <w:p w14:paraId="04F56A20"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Trade and other receivables excluding non-financial assets</w:t>
            </w:r>
          </w:p>
        </w:tc>
        <w:tc>
          <w:tcPr>
            <w:tcW w:w="268" w:type="dxa"/>
            <w:tcBorders>
              <w:top w:val="nil"/>
              <w:left w:val="nil"/>
              <w:bottom w:val="nil"/>
              <w:right w:val="nil"/>
            </w:tcBorders>
            <w:noWrap/>
            <w:vAlign w:val="bottom"/>
            <w:hideMark/>
          </w:tcPr>
          <w:p w14:paraId="55F4FF74"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1166" w:type="dxa"/>
            <w:gridSpan w:val="2"/>
            <w:tcBorders>
              <w:top w:val="nil"/>
              <w:left w:val="nil"/>
              <w:bottom w:val="nil"/>
              <w:right w:val="nil"/>
            </w:tcBorders>
            <w:noWrap/>
            <w:vAlign w:val="bottom"/>
            <w:hideMark/>
          </w:tcPr>
          <w:p w14:paraId="32F8D6F7"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32,834</w:t>
            </w:r>
          </w:p>
        </w:tc>
        <w:tc>
          <w:tcPr>
            <w:tcW w:w="244" w:type="dxa"/>
            <w:gridSpan w:val="2"/>
            <w:tcBorders>
              <w:top w:val="nil"/>
              <w:left w:val="nil"/>
              <w:bottom w:val="nil"/>
              <w:right w:val="nil"/>
            </w:tcBorders>
            <w:noWrap/>
            <w:vAlign w:val="bottom"/>
            <w:hideMark/>
          </w:tcPr>
          <w:p w14:paraId="0F5B82B2"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99" w:type="dxa"/>
            <w:gridSpan w:val="2"/>
            <w:tcBorders>
              <w:top w:val="nil"/>
              <w:left w:val="nil"/>
              <w:bottom w:val="nil"/>
              <w:right w:val="nil"/>
            </w:tcBorders>
            <w:noWrap/>
            <w:vAlign w:val="bottom"/>
            <w:hideMark/>
          </w:tcPr>
          <w:p w14:paraId="44B1ACA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32,834</w:t>
            </w:r>
          </w:p>
        </w:tc>
      </w:tr>
      <w:tr w:rsidR="00E91426" w:rsidRPr="00E91426" w14:paraId="107F1692" w14:textId="77777777" w:rsidTr="00E91426">
        <w:trPr>
          <w:trHeight w:val="255"/>
        </w:trPr>
        <w:tc>
          <w:tcPr>
            <w:tcW w:w="6284" w:type="dxa"/>
            <w:gridSpan w:val="2"/>
            <w:tcBorders>
              <w:top w:val="nil"/>
              <w:left w:val="nil"/>
              <w:bottom w:val="nil"/>
              <w:right w:val="nil"/>
            </w:tcBorders>
            <w:vAlign w:val="bottom"/>
            <w:hideMark/>
          </w:tcPr>
          <w:p w14:paraId="7EDF5221"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Cash and cash equivalents at bank and in hand</w:t>
            </w:r>
          </w:p>
        </w:tc>
        <w:tc>
          <w:tcPr>
            <w:tcW w:w="268" w:type="dxa"/>
            <w:tcBorders>
              <w:top w:val="nil"/>
              <w:left w:val="nil"/>
              <w:bottom w:val="nil"/>
              <w:right w:val="nil"/>
            </w:tcBorders>
            <w:noWrap/>
            <w:vAlign w:val="bottom"/>
            <w:hideMark/>
          </w:tcPr>
          <w:p w14:paraId="585EC063"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1166" w:type="dxa"/>
            <w:gridSpan w:val="2"/>
            <w:tcBorders>
              <w:top w:val="nil"/>
              <w:left w:val="nil"/>
              <w:bottom w:val="nil"/>
              <w:right w:val="nil"/>
            </w:tcBorders>
            <w:noWrap/>
            <w:vAlign w:val="bottom"/>
            <w:hideMark/>
          </w:tcPr>
          <w:p w14:paraId="46076E4E"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13,280</w:t>
            </w:r>
          </w:p>
        </w:tc>
        <w:tc>
          <w:tcPr>
            <w:tcW w:w="244" w:type="dxa"/>
            <w:gridSpan w:val="2"/>
            <w:tcBorders>
              <w:top w:val="nil"/>
              <w:left w:val="nil"/>
              <w:bottom w:val="nil"/>
              <w:right w:val="nil"/>
            </w:tcBorders>
            <w:noWrap/>
            <w:vAlign w:val="bottom"/>
            <w:hideMark/>
          </w:tcPr>
          <w:p w14:paraId="261F8619"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99" w:type="dxa"/>
            <w:gridSpan w:val="2"/>
            <w:tcBorders>
              <w:top w:val="nil"/>
              <w:left w:val="nil"/>
              <w:bottom w:val="nil"/>
              <w:right w:val="nil"/>
            </w:tcBorders>
            <w:noWrap/>
            <w:vAlign w:val="bottom"/>
            <w:hideMark/>
          </w:tcPr>
          <w:p w14:paraId="226825C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13,280</w:t>
            </w:r>
          </w:p>
        </w:tc>
      </w:tr>
      <w:tr w:rsidR="00E91426" w:rsidRPr="00E91426" w14:paraId="46624AD1" w14:textId="77777777" w:rsidTr="00E91426">
        <w:trPr>
          <w:trHeight w:val="270"/>
        </w:trPr>
        <w:tc>
          <w:tcPr>
            <w:tcW w:w="4966" w:type="dxa"/>
            <w:tcBorders>
              <w:top w:val="nil"/>
              <w:left w:val="nil"/>
              <w:bottom w:val="nil"/>
              <w:right w:val="nil"/>
            </w:tcBorders>
            <w:noWrap/>
            <w:vAlign w:val="bottom"/>
            <w:hideMark/>
          </w:tcPr>
          <w:p w14:paraId="7691A47F"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Total at 31 March 2025</w:t>
            </w:r>
          </w:p>
        </w:tc>
        <w:tc>
          <w:tcPr>
            <w:tcW w:w="1318" w:type="dxa"/>
            <w:tcBorders>
              <w:top w:val="nil"/>
              <w:left w:val="nil"/>
              <w:bottom w:val="nil"/>
              <w:right w:val="nil"/>
            </w:tcBorders>
            <w:noWrap/>
            <w:vAlign w:val="bottom"/>
            <w:hideMark/>
          </w:tcPr>
          <w:p w14:paraId="4C608496"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268" w:type="dxa"/>
            <w:tcBorders>
              <w:top w:val="nil"/>
              <w:left w:val="nil"/>
              <w:bottom w:val="nil"/>
              <w:right w:val="nil"/>
            </w:tcBorders>
            <w:noWrap/>
            <w:vAlign w:val="bottom"/>
            <w:hideMark/>
          </w:tcPr>
          <w:p w14:paraId="2DCB506D"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166" w:type="dxa"/>
            <w:gridSpan w:val="2"/>
            <w:tcBorders>
              <w:top w:val="single" w:sz="4" w:space="0" w:color="auto"/>
              <w:left w:val="nil"/>
              <w:bottom w:val="double" w:sz="6" w:space="0" w:color="auto"/>
              <w:right w:val="nil"/>
            </w:tcBorders>
            <w:noWrap/>
            <w:vAlign w:val="bottom"/>
            <w:hideMark/>
          </w:tcPr>
          <w:p w14:paraId="6BD92895"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46,114</w:t>
            </w:r>
          </w:p>
        </w:tc>
        <w:tc>
          <w:tcPr>
            <w:tcW w:w="244" w:type="dxa"/>
            <w:gridSpan w:val="2"/>
            <w:tcBorders>
              <w:top w:val="nil"/>
              <w:left w:val="nil"/>
              <w:bottom w:val="nil"/>
              <w:right w:val="nil"/>
            </w:tcBorders>
            <w:vAlign w:val="bottom"/>
            <w:hideMark/>
          </w:tcPr>
          <w:p w14:paraId="04F6C4CF"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099" w:type="dxa"/>
            <w:gridSpan w:val="2"/>
            <w:tcBorders>
              <w:top w:val="single" w:sz="4" w:space="0" w:color="auto"/>
              <w:left w:val="nil"/>
              <w:bottom w:val="double" w:sz="6" w:space="0" w:color="auto"/>
              <w:right w:val="nil"/>
            </w:tcBorders>
            <w:noWrap/>
            <w:vAlign w:val="bottom"/>
            <w:hideMark/>
          </w:tcPr>
          <w:p w14:paraId="09E8E33D"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46,114</w:t>
            </w:r>
          </w:p>
        </w:tc>
      </w:tr>
      <w:tr w:rsidR="00E91426" w:rsidRPr="00E91426" w14:paraId="6EA57AB2" w14:textId="77777777" w:rsidTr="00E91426">
        <w:trPr>
          <w:trHeight w:val="270"/>
        </w:trPr>
        <w:tc>
          <w:tcPr>
            <w:tcW w:w="4966" w:type="dxa"/>
            <w:tcBorders>
              <w:top w:val="nil"/>
              <w:left w:val="nil"/>
              <w:bottom w:val="nil"/>
              <w:right w:val="nil"/>
            </w:tcBorders>
            <w:vAlign w:val="bottom"/>
            <w:hideMark/>
          </w:tcPr>
          <w:p w14:paraId="43DCFB7B"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318" w:type="dxa"/>
            <w:tcBorders>
              <w:top w:val="nil"/>
              <w:left w:val="nil"/>
              <w:bottom w:val="nil"/>
              <w:right w:val="nil"/>
            </w:tcBorders>
            <w:noWrap/>
            <w:vAlign w:val="bottom"/>
            <w:hideMark/>
          </w:tcPr>
          <w:p w14:paraId="0FA8896F" w14:textId="77777777" w:rsidR="00E91426" w:rsidRPr="00E91426" w:rsidRDefault="00E91426" w:rsidP="00E91426">
            <w:pPr>
              <w:widowControl/>
              <w:rPr>
                <w:rFonts w:ascii="Arial" w:eastAsia="Times New Roman" w:hAnsi="Arial" w:cs="Arial"/>
                <w:sz w:val="20"/>
                <w:szCs w:val="20"/>
                <w:lang w:val="en-GB" w:eastAsia="en-GB"/>
              </w:rPr>
            </w:pPr>
          </w:p>
        </w:tc>
        <w:tc>
          <w:tcPr>
            <w:tcW w:w="268" w:type="dxa"/>
            <w:tcBorders>
              <w:top w:val="nil"/>
              <w:left w:val="nil"/>
              <w:bottom w:val="nil"/>
              <w:right w:val="nil"/>
            </w:tcBorders>
            <w:noWrap/>
            <w:vAlign w:val="bottom"/>
            <w:hideMark/>
          </w:tcPr>
          <w:p w14:paraId="4FAD2271"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166" w:type="dxa"/>
            <w:gridSpan w:val="2"/>
            <w:tcBorders>
              <w:top w:val="nil"/>
              <w:left w:val="nil"/>
              <w:bottom w:val="nil"/>
              <w:right w:val="nil"/>
            </w:tcBorders>
            <w:vAlign w:val="bottom"/>
            <w:hideMark/>
          </w:tcPr>
          <w:p w14:paraId="400F2EF4" w14:textId="77777777" w:rsidR="00E91426" w:rsidRPr="00E91426" w:rsidRDefault="00E91426" w:rsidP="00E91426">
            <w:pPr>
              <w:widowControl/>
              <w:jc w:val="right"/>
              <w:rPr>
                <w:rFonts w:ascii="Arial" w:eastAsia="Times New Roman" w:hAnsi="Arial" w:cs="Arial"/>
                <w:sz w:val="20"/>
                <w:szCs w:val="20"/>
                <w:lang w:val="en-GB" w:eastAsia="en-GB"/>
              </w:rPr>
            </w:pPr>
          </w:p>
        </w:tc>
        <w:tc>
          <w:tcPr>
            <w:tcW w:w="244" w:type="dxa"/>
            <w:gridSpan w:val="2"/>
            <w:tcBorders>
              <w:top w:val="nil"/>
              <w:left w:val="nil"/>
              <w:bottom w:val="nil"/>
              <w:right w:val="nil"/>
            </w:tcBorders>
            <w:vAlign w:val="bottom"/>
            <w:hideMark/>
          </w:tcPr>
          <w:p w14:paraId="218921AE" w14:textId="77777777" w:rsidR="00E91426" w:rsidRPr="00E91426" w:rsidRDefault="00E91426" w:rsidP="00E91426">
            <w:pPr>
              <w:widowControl/>
              <w:rPr>
                <w:rFonts w:ascii="Arial" w:eastAsia="Times New Roman" w:hAnsi="Arial" w:cs="Arial"/>
                <w:sz w:val="20"/>
                <w:szCs w:val="20"/>
                <w:lang w:val="en-GB" w:eastAsia="en-GB"/>
              </w:rPr>
            </w:pPr>
          </w:p>
        </w:tc>
        <w:tc>
          <w:tcPr>
            <w:tcW w:w="1099" w:type="dxa"/>
            <w:gridSpan w:val="2"/>
            <w:tcBorders>
              <w:top w:val="nil"/>
              <w:left w:val="nil"/>
              <w:bottom w:val="nil"/>
              <w:right w:val="nil"/>
            </w:tcBorders>
            <w:vAlign w:val="bottom"/>
            <w:hideMark/>
          </w:tcPr>
          <w:p w14:paraId="24DDDE4A"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4AD10A46" w14:textId="77777777" w:rsidTr="00E91426">
        <w:trPr>
          <w:gridAfter w:val="1"/>
          <w:wAfter w:w="18" w:type="dxa"/>
          <w:trHeight w:val="510"/>
        </w:trPr>
        <w:tc>
          <w:tcPr>
            <w:tcW w:w="4966" w:type="dxa"/>
            <w:tcBorders>
              <w:top w:val="nil"/>
              <w:left w:val="nil"/>
              <w:bottom w:val="nil"/>
              <w:right w:val="nil"/>
            </w:tcBorders>
            <w:vAlign w:val="bottom"/>
            <w:hideMark/>
          </w:tcPr>
          <w:p w14:paraId="5D60F93F" w14:textId="77777777" w:rsidR="00E91426" w:rsidRPr="00E91426" w:rsidRDefault="00E91426" w:rsidP="00E91426">
            <w:pPr>
              <w:widowControl/>
              <w:rPr>
                <w:rFonts w:ascii="Arial" w:eastAsia="Times New Roman" w:hAnsi="Arial" w:cs="Arial"/>
                <w:sz w:val="20"/>
                <w:szCs w:val="20"/>
                <w:lang w:val="en-GB" w:eastAsia="en-GB"/>
              </w:rPr>
            </w:pPr>
          </w:p>
        </w:tc>
        <w:tc>
          <w:tcPr>
            <w:tcW w:w="1318" w:type="dxa"/>
            <w:tcBorders>
              <w:top w:val="nil"/>
              <w:left w:val="nil"/>
              <w:bottom w:val="nil"/>
              <w:right w:val="nil"/>
            </w:tcBorders>
            <w:noWrap/>
            <w:vAlign w:val="bottom"/>
            <w:hideMark/>
          </w:tcPr>
          <w:p w14:paraId="6C46C604" w14:textId="77777777" w:rsidR="00E91426" w:rsidRPr="00E91426" w:rsidRDefault="00E91426" w:rsidP="00E91426">
            <w:pPr>
              <w:widowControl/>
              <w:rPr>
                <w:rFonts w:ascii="Arial" w:eastAsia="Times New Roman" w:hAnsi="Arial" w:cs="Arial"/>
                <w:sz w:val="20"/>
                <w:szCs w:val="20"/>
                <w:lang w:val="en-GB" w:eastAsia="en-GB"/>
              </w:rPr>
            </w:pPr>
          </w:p>
        </w:tc>
        <w:tc>
          <w:tcPr>
            <w:tcW w:w="1420" w:type="dxa"/>
            <w:gridSpan w:val="2"/>
            <w:tcBorders>
              <w:top w:val="nil"/>
              <w:left w:val="nil"/>
              <w:bottom w:val="nil"/>
              <w:right w:val="nil"/>
            </w:tcBorders>
            <w:hideMark/>
          </w:tcPr>
          <w:p w14:paraId="72278960"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Held at amortised cost</w:t>
            </w:r>
          </w:p>
        </w:tc>
        <w:tc>
          <w:tcPr>
            <w:tcW w:w="239" w:type="dxa"/>
            <w:gridSpan w:val="2"/>
            <w:tcBorders>
              <w:top w:val="nil"/>
              <w:left w:val="nil"/>
              <w:bottom w:val="nil"/>
              <w:right w:val="nil"/>
            </w:tcBorders>
            <w:hideMark/>
          </w:tcPr>
          <w:p w14:paraId="71CE26E0"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100" w:type="dxa"/>
            <w:gridSpan w:val="2"/>
            <w:tcBorders>
              <w:top w:val="nil"/>
              <w:left w:val="nil"/>
              <w:bottom w:val="nil"/>
              <w:right w:val="nil"/>
            </w:tcBorders>
            <w:hideMark/>
          </w:tcPr>
          <w:p w14:paraId="0CB65B1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Total book value</w:t>
            </w:r>
          </w:p>
        </w:tc>
      </w:tr>
      <w:tr w:rsidR="00E91426" w:rsidRPr="00E91426" w14:paraId="0DCFC930" w14:textId="77777777" w:rsidTr="00E91426">
        <w:trPr>
          <w:trHeight w:val="255"/>
        </w:trPr>
        <w:tc>
          <w:tcPr>
            <w:tcW w:w="6284" w:type="dxa"/>
            <w:gridSpan w:val="2"/>
            <w:vMerge w:val="restart"/>
            <w:tcBorders>
              <w:top w:val="nil"/>
              <w:left w:val="nil"/>
              <w:bottom w:val="nil"/>
              <w:right w:val="nil"/>
            </w:tcBorders>
            <w:vAlign w:val="bottom"/>
            <w:hideMark/>
          </w:tcPr>
          <w:p w14:paraId="5083EA82"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Carrying values of financial assets as at 31 March 2024</w:t>
            </w:r>
          </w:p>
        </w:tc>
        <w:tc>
          <w:tcPr>
            <w:tcW w:w="268" w:type="dxa"/>
            <w:tcBorders>
              <w:top w:val="nil"/>
              <w:left w:val="nil"/>
              <w:bottom w:val="nil"/>
              <w:right w:val="nil"/>
            </w:tcBorders>
            <w:vAlign w:val="bottom"/>
            <w:hideMark/>
          </w:tcPr>
          <w:p w14:paraId="6FC85736"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1166" w:type="dxa"/>
            <w:gridSpan w:val="2"/>
            <w:tcBorders>
              <w:top w:val="nil"/>
              <w:left w:val="nil"/>
              <w:bottom w:val="nil"/>
              <w:right w:val="nil"/>
            </w:tcBorders>
            <w:vAlign w:val="bottom"/>
            <w:hideMark/>
          </w:tcPr>
          <w:p w14:paraId="73C6B89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244" w:type="dxa"/>
            <w:gridSpan w:val="2"/>
            <w:tcBorders>
              <w:top w:val="nil"/>
              <w:left w:val="nil"/>
              <w:bottom w:val="nil"/>
              <w:right w:val="nil"/>
            </w:tcBorders>
            <w:vAlign w:val="bottom"/>
            <w:hideMark/>
          </w:tcPr>
          <w:p w14:paraId="29A44A01"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099" w:type="dxa"/>
            <w:gridSpan w:val="2"/>
            <w:tcBorders>
              <w:top w:val="nil"/>
              <w:left w:val="nil"/>
              <w:bottom w:val="nil"/>
              <w:right w:val="nil"/>
            </w:tcBorders>
            <w:vAlign w:val="bottom"/>
            <w:hideMark/>
          </w:tcPr>
          <w:p w14:paraId="1EB7D76A"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r>
      <w:tr w:rsidR="00E91426" w:rsidRPr="00E91426" w14:paraId="530282BE" w14:textId="77777777" w:rsidTr="00E91426">
        <w:trPr>
          <w:trHeight w:val="255"/>
        </w:trPr>
        <w:tc>
          <w:tcPr>
            <w:tcW w:w="6284" w:type="dxa"/>
            <w:gridSpan w:val="2"/>
            <w:vMerge/>
            <w:tcBorders>
              <w:top w:val="nil"/>
              <w:left w:val="nil"/>
              <w:bottom w:val="nil"/>
              <w:right w:val="nil"/>
            </w:tcBorders>
            <w:vAlign w:val="center"/>
            <w:hideMark/>
          </w:tcPr>
          <w:p w14:paraId="7765FB72"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268" w:type="dxa"/>
            <w:tcBorders>
              <w:top w:val="nil"/>
              <w:left w:val="nil"/>
              <w:bottom w:val="nil"/>
              <w:right w:val="nil"/>
            </w:tcBorders>
            <w:vAlign w:val="bottom"/>
            <w:hideMark/>
          </w:tcPr>
          <w:p w14:paraId="1E6C296B"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166" w:type="dxa"/>
            <w:gridSpan w:val="2"/>
            <w:tcBorders>
              <w:top w:val="nil"/>
              <w:left w:val="nil"/>
              <w:bottom w:val="nil"/>
              <w:right w:val="nil"/>
            </w:tcBorders>
            <w:noWrap/>
            <w:vAlign w:val="bottom"/>
            <w:hideMark/>
          </w:tcPr>
          <w:p w14:paraId="367DC204" w14:textId="77777777" w:rsidR="00E91426" w:rsidRPr="00E91426" w:rsidRDefault="00E91426" w:rsidP="00E91426">
            <w:pPr>
              <w:widowControl/>
              <w:rPr>
                <w:rFonts w:ascii="Arial" w:eastAsia="Times New Roman" w:hAnsi="Arial" w:cs="Arial"/>
                <w:sz w:val="20"/>
                <w:szCs w:val="20"/>
                <w:lang w:val="en-GB" w:eastAsia="en-GB"/>
              </w:rPr>
            </w:pPr>
          </w:p>
        </w:tc>
        <w:tc>
          <w:tcPr>
            <w:tcW w:w="244" w:type="dxa"/>
            <w:gridSpan w:val="2"/>
            <w:tcBorders>
              <w:top w:val="nil"/>
              <w:left w:val="nil"/>
              <w:bottom w:val="nil"/>
              <w:right w:val="nil"/>
            </w:tcBorders>
            <w:vAlign w:val="bottom"/>
            <w:hideMark/>
          </w:tcPr>
          <w:p w14:paraId="1188EC9F"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099" w:type="dxa"/>
            <w:gridSpan w:val="2"/>
            <w:tcBorders>
              <w:top w:val="nil"/>
              <w:left w:val="nil"/>
              <w:bottom w:val="nil"/>
              <w:right w:val="nil"/>
            </w:tcBorders>
            <w:vAlign w:val="bottom"/>
            <w:hideMark/>
          </w:tcPr>
          <w:p w14:paraId="4CEA4915"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362E346A" w14:textId="77777777" w:rsidTr="00E91426">
        <w:trPr>
          <w:trHeight w:val="255"/>
        </w:trPr>
        <w:tc>
          <w:tcPr>
            <w:tcW w:w="6284" w:type="dxa"/>
            <w:gridSpan w:val="2"/>
            <w:tcBorders>
              <w:top w:val="nil"/>
              <w:left w:val="nil"/>
              <w:bottom w:val="nil"/>
              <w:right w:val="nil"/>
            </w:tcBorders>
            <w:vAlign w:val="bottom"/>
            <w:hideMark/>
          </w:tcPr>
          <w:p w14:paraId="225EA43E"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Trade and other receivables excluding non-financial assets</w:t>
            </w:r>
          </w:p>
        </w:tc>
        <w:tc>
          <w:tcPr>
            <w:tcW w:w="268" w:type="dxa"/>
            <w:tcBorders>
              <w:top w:val="nil"/>
              <w:left w:val="nil"/>
              <w:bottom w:val="nil"/>
              <w:right w:val="nil"/>
            </w:tcBorders>
            <w:vAlign w:val="bottom"/>
            <w:hideMark/>
          </w:tcPr>
          <w:p w14:paraId="23CFA39C"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1166" w:type="dxa"/>
            <w:gridSpan w:val="2"/>
            <w:tcBorders>
              <w:top w:val="nil"/>
              <w:left w:val="nil"/>
              <w:bottom w:val="nil"/>
              <w:right w:val="nil"/>
            </w:tcBorders>
            <w:noWrap/>
            <w:vAlign w:val="bottom"/>
            <w:hideMark/>
          </w:tcPr>
          <w:p w14:paraId="6FC45D47"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25,341</w:t>
            </w:r>
          </w:p>
        </w:tc>
        <w:tc>
          <w:tcPr>
            <w:tcW w:w="244" w:type="dxa"/>
            <w:gridSpan w:val="2"/>
            <w:tcBorders>
              <w:top w:val="nil"/>
              <w:left w:val="nil"/>
              <w:bottom w:val="nil"/>
              <w:right w:val="nil"/>
            </w:tcBorders>
            <w:noWrap/>
            <w:vAlign w:val="bottom"/>
            <w:hideMark/>
          </w:tcPr>
          <w:p w14:paraId="5B3B632E"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99" w:type="dxa"/>
            <w:gridSpan w:val="2"/>
            <w:tcBorders>
              <w:top w:val="nil"/>
              <w:left w:val="nil"/>
              <w:bottom w:val="nil"/>
              <w:right w:val="nil"/>
            </w:tcBorders>
            <w:noWrap/>
            <w:vAlign w:val="bottom"/>
            <w:hideMark/>
          </w:tcPr>
          <w:p w14:paraId="1058B541"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25,341</w:t>
            </w:r>
          </w:p>
        </w:tc>
      </w:tr>
      <w:tr w:rsidR="00E91426" w:rsidRPr="00E91426" w14:paraId="407EE148" w14:textId="77777777" w:rsidTr="00E91426">
        <w:trPr>
          <w:trHeight w:val="255"/>
        </w:trPr>
        <w:tc>
          <w:tcPr>
            <w:tcW w:w="6284" w:type="dxa"/>
            <w:gridSpan w:val="2"/>
            <w:tcBorders>
              <w:top w:val="nil"/>
              <w:left w:val="nil"/>
              <w:bottom w:val="nil"/>
              <w:right w:val="nil"/>
            </w:tcBorders>
            <w:vAlign w:val="bottom"/>
            <w:hideMark/>
          </w:tcPr>
          <w:p w14:paraId="259D8A05"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Cash and cash equivalents at bank and in hand</w:t>
            </w:r>
          </w:p>
        </w:tc>
        <w:tc>
          <w:tcPr>
            <w:tcW w:w="268" w:type="dxa"/>
            <w:tcBorders>
              <w:top w:val="nil"/>
              <w:left w:val="nil"/>
              <w:bottom w:val="nil"/>
              <w:right w:val="nil"/>
            </w:tcBorders>
            <w:vAlign w:val="bottom"/>
            <w:hideMark/>
          </w:tcPr>
          <w:p w14:paraId="27C4AE8B"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1166" w:type="dxa"/>
            <w:gridSpan w:val="2"/>
            <w:tcBorders>
              <w:top w:val="nil"/>
              <w:left w:val="nil"/>
              <w:bottom w:val="nil"/>
              <w:right w:val="nil"/>
            </w:tcBorders>
            <w:noWrap/>
            <w:vAlign w:val="bottom"/>
            <w:hideMark/>
          </w:tcPr>
          <w:p w14:paraId="3F68E456"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21,042</w:t>
            </w:r>
          </w:p>
        </w:tc>
        <w:tc>
          <w:tcPr>
            <w:tcW w:w="244" w:type="dxa"/>
            <w:gridSpan w:val="2"/>
            <w:tcBorders>
              <w:top w:val="nil"/>
              <w:left w:val="nil"/>
              <w:bottom w:val="nil"/>
              <w:right w:val="nil"/>
            </w:tcBorders>
            <w:noWrap/>
            <w:vAlign w:val="bottom"/>
            <w:hideMark/>
          </w:tcPr>
          <w:p w14:paraId="360C88EA"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99" w:type="dxa"/>
            <w:gridSpan w:val="2"/>
            <w:tcBorders>
              <w:top w:val="nil"/>
              <w:left w:val="nil"/>
              <w:bottom w:val="nil"/>
              <w:right w:val="nil"/>
            </w:tcBorders>
            <w:noWrap/>
            <w:vAlign w:val="bottom"/>
            <w:hideMark/>
          </w:tcPr>
          <w:p w14:paraId="19ED5266"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21,042</w:t>
            </w:r>
          </w:p>
        </w:tc>
      </w:tr>
      <w:tr w:rsidR="00E91426" w:rsidRPr="00E91426" w14:paraId="7C76941B" w14:textId="77777777" w:rsidTr="00E91426">
        <w:trPr>
          <w:trHeight w:val="270"/>
        </w:trPr>
        <w:tc>
          <w:tcPr>
            <w:tcW w:w="4966" w:type="dxa"/>
            <w:tcBorders>
              <w:top w:val="nil"/>
              <w:left w:val="nil"/>
              <w:bottom w:val="nil"/>
              <w:right w:val="nil"/>
            </w:tcBorders>
            <w:noWrap/>
            <w:vAlign w:val="bottom"/>
            <w:hideMark/>
          </w:tcPr>
          <w:p w14:paraId="5E9552E8"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Total at 31 March 2024</w:t>
            </w:r>
          </w:p>
        </w:tc>
        <w:tc>
          <w:tcPr>
            <w:tcW w:w="1318" w:type="dxa"/>
            <w:tcBorders>
              <w:top w:val="nil"/>
              <w:left w:val="nil"/>
              <w:bottom w:val="nil"/>
              <w:right w:val="nil"/>
            </w:tcBorders>
            <w:vAlign w:val="bottom"/>
            <w:hideMark/>
          </w:tcPr>
          <w:p w14:paraId="219A80A0"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268" w:type="dxa"/>
            <w:tcBorders>
              <w:top w:val="nil"/>
              <w:left w:val="nil"/>
              <w:bottom w:val="nil"/>
              <w:right w:val="nil"/>
            </w:tcBorders>
            <w:vAlign w:val="bottom"/>
            <w:hideMark/>
          </w:tcPr>
          <w:p w14:paraId="3F4534A5" w14:textId="77777777" w:rsidR="00E91426" w:rsidRPr="00E91426" w:rsidRDefault="00E91426" w:rsidP="00E91426">
            <w:pPr>
              <w:widowControl/>
              <w:rPr>
                <w:rFonts w:ascii="Arial" w:eastAsia="Times New Roman" w:hAnsi="Arial" w:cs="Arial"/>
                <w:sz w:val="20"/>
                <w:szCs w:val="20"/>
                <w:lang w:val="en-GB" w:eastAsia="en-GB"/>
              </w:rPr>
            </w:pPr>
          </w:p>
        </w:tc>
        <w:tc>
          <w:tcPr>
            <w:tcW w:w="1166" w:type="dxa"/>
            <w:gridSpan w:val="2"/>
            <w:tcBorders>
              <w:top w:val="single" w:sz="4" w:space="0" w:color="auto"/>
              <w:left w:val="nil"/>
              <w:bottom w:val="double" w:sz="6" w:space="0" w:color="auto"/>
              <w:right w:val="nil"/>
            </w:tcBorders>
            <w:noWrap/>
            <w:vAlign w:val="bottom"/>
            <w:hideMark/>
          </w:tcPr>
          <w:p w14:paraId="5D017276"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46,383</w:t>
            </w:r>
          </w:p>
        </w:tc>
        <w:tc>
          <w:tcPr>
            <w:tcW w:w="244" w:type="dxa"/>
            <w:gridSpan w:val="2"/>
            <w:tcBorders>
              <w:top w:val="nil"/>
              <w:left w:val="nil"/>
              <w:bottom w:val="nil"/>
              <w:right w:val="nil"/>
            </w:tcBorders>
            <w:vAlign w:val="bottom"/>
            <w:hideMark/>
          </w:tcPr>
          <w:p w14:paraId="1B90EE83"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99" w:type="dxa"/>
            <w:gridSpan w:val="2"/>
            <w:tcBorders>
              <w:top w:val="single" w:sz="4" w:space="0" w:color="auto"/>
              <w:left w:val="nil"/>
              <w:bottom w:val="double" w:sz="6" w:space="0" w:color="auto"/>
              <w:right w:val="nil"/>
            </w:tcBorders>
            <w:noWrap/>
            <w:vAlign w:val="bottom"/>
            <w:hideMark/>
          </w:tcPr>
          <w:p w14:paraId="221AE2AC"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46,383</w:t>
            </w:r>
          </w:p>
        </w:tc>
      </w:tr>
      <w:tr w:rsidR="00E91426" w:rsidRPr="00E91426" w14:paraId="25136BCD" w14:textId="77777777" w:rsidTr="00E91426">
        <w:trPr>
          <w:trHeight w:val="270"/>
        </w:trPr>
        <w:tc>
          <w:tcPr>
            <w:tcW w:w="4966" w:type="dxa"/>
            <w:tcBorders>
              <w:top w:val="nil"/>
              <w:left w:val="nil"/>
              <w:bottom w:val="nil"/>
              <w:right w:val="nil"/>
            </w:tcBorders>
            <w:vAlign w:val="bottom"/>
            <w:hideMark/>
          </w:tcPr>
          <w:p w14:paraId="6C1CD5C7"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318" w:type="dxa"/>
            <w:tcBorders>
              <w:top w:val="nil"/>
              <w:left w:val="nil"/>
              <w:bottom w:val="nil"/>
              <w:right w:val="nil"/>
            </w:tcBorders>
            <w:vAlign w:val="bottom"/>
            <w:hideMark/>
          </w:tcPr>
          <w:p w14:paraId="29422ACE" w14:textId="77777777" w:rsidR="00E91426" w:rsidRPr="00E91426" w:rsidRDefault="00E91426" w:rsidP="00E91426">
            <w:pPr>
              <w:widowControl/>
              <w:rPr>
                <w:rFonts w:ascii="Arial" w:eastAsia="Times New Roman" w:hAnsi="Arial" w:cs="Arial"/>
                <w:sz w:val="20"/>
                <w:szCs w:val="20"/>
                <w:lang w:val="en-GB" w:eastAsia="en-GB"/>
              </w:rPr>
            </w:pPr>
          </w:p>
        </w:tc>
        <w:tc>
          <w:tcPr>
            <w:tcW w:w="268" w:type="dxa"/>
            <w:tcBorders>
              <w:top w:val="nil"/>
              <w:left w:val="nil"/>
              <w:bottom w:val="nil"/>
              <w:right w:val="nil"/>
            </w:tcBorders>
            <w:noWrap/>
            <w:vAlign w:val="bottom"/>
            <w:hideMark/>
          </w:tcPr>
          <w:p w14:paraId="6A70EFE2" w14:textId="77777777" w:rsidR="00E91426" w:rsidRPr="00E91426" w:rsidRDefault="00E91426" w:rsidP="00E91426">
            <w:pPr>
              <w:widowControl/>
              <w:rPr>
                <w:rFonts w:ascii="Arial" w:eastAsia="Times New Roman" w:hAnsi="Arial" w:cs="Arial"/>
                <w:sz w:val="20"/>
                <w:szCs w:val="20"/>
                <w:lang w:val="en-GB" w:eastAsia="en-GB"/>
              </w:rPr>
            </w:pPr>
          </w:p>
        </w:tc>
        <w:tc>
          <w:tcPr>
            <w:tcW w:w="1166" w:type="dxa"/>
            <w:gridSpan w:val="2"/>
            <w:tcBorders>
              <w:top w:val="nil"/>
              <w:left w:val="nil"/>
              <w:bottom w:val="nil"/>
              <w:right w:val="nil"/>
            </w:tcBorders>
            <w:vAlign w:val="bottom"/>
            <w:hideMark/>
          </w:tcPr>
          <w:p w14:paraId="09AFA325" w14:textId="77777777" w:rsidR="00E91426" w:rsidRPr="00E91426" w:rsidRDefault="00E91426" w:rsidP="00E91426">
            <w:pPr>
              <w:widowControl/>
              <w:jc w:val="right"/>
              <w:rPr>
                <w:rFonts w:ascii="Arial" w:eastAsia="Times New Roman" w:hAnsi="Arial" w:cs="Arial"/>
                <w:sz w:val="20"/>
                <w:szCs w:val="20"/>
                <w:lang w:val="en-GB" w:eastAsia="en-GB"/>
              </w:rPr>
            </w:pPr>
          </w:p>
        </w:tc>
        <w:tc>
          <w:tcPr>
            <w:tcW w:w="244" w:type="dxa"/>
            <w:gridSpan w:val="2"/>
            <w:tcBorders>
              <w:top w:val="nil"/>
              <w:left w:val="nil"/>
              <w:bottom w:val="nil"/>
              <w:right w:val="nil"/>
            </w:tcBorders>
            <w:noWrap/>
            <w:vAlign w:val="bottom"/>
            <w:hideMark/>
          </w:tcPr>
          <w:p w14:paraId="32128774" w14:textId="77777777" w:rsidR="00E91426" w:rsidRPr="00E91426" w:rsidRDefault="00E91426" w:rsidP="00E91426">
            <w:pPr>
              <w:widowControl/>
              <w:rPr>
                <w:rFonts w:ascii="Arial" w:eastAsia="Times New Roman" w:hAnsi="Arial" w:cs="Arial"/>
                <w:sz w:val="20"/>
                <w:szCs w:val="20"/>
                <w:lang w:val="en-GB" w:eastAsia="en-GB"/>
              </w:rPr>
            </w:pPr>
          </w:p>
        </w:tc>
        <w:tc>
          <w:tcPr>
            <w:tcW w:w="1099" w:type="dxa"/>
            <w:gridSpan w:val="2"/>
            <w:tcBorders>
              <w:top w:val="nil"/>
              <w:left w:val="nil"/>
              <w:bottom w:val="nil"/>
              <w:right w:val="nil"/>
            </w:tcBorders>
            <w:vAlign w:val="bottom"/>
            <w:hideMark/>
          </w:tcPr>
          <w:p w14:paraId="0BE32BC9" w14:textId="77777777" w:rsidR="00E91426" w:rsidRPr="00E91426" w:rsidRDefault="00E91426" w:rsidP="00E91426">
            <w:pPr>
              <w:widowControl/>
              <w:jc w:val="right"/>
              <w:rPr>
                <w:rFonts w:ascii="Arial" w:eastAsia="Times New Roman" w:hAnsi="Arial" w:cs="Arial"/>
                <w:sz w:val="20"/>
                <w:szCs w:val="20"/>
                <w:lang w:val="en-GB" w:eastAsia="en-GB"/>
              </w:rPr>
            </w:pPr>
          </w:p>
        </w:tc>
      </w:tr>
      <w:tr w:rsidR="00E91426" w:rsidRPr="00E91426" w14:paraId="39082F0A" w14:textId="77777777" w:rsidTr="00E91426">
        <w:trPr>
          <w:trHeight w:val="255"/>
        </w:trPr>
        <w:tc>
          <w:tcPr>
            <w:tcW w:w="4966" w:type="dxa"/>
            <w:tcBorders>
              <w:top w:val="nil"/>
              <w:left w:val="nil"/>
              <w:bottom w:val="nil"/>
              <w:right w:val="nil"/>
            </w:tcBorders>
            <w:noWrap/>
            <w:vAlign w:val="bottom"/>
            <w:hideMark/>
          </w:tcPr>
          <w:p w14:paraId="751B70A2"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Note 23.2 Carrying value of financial liabilities</w:t>
            </w:r>
          </w:p>
        </w:tc>
        <w:tc>
          <w:tcPr>
            <w:tcW w:w="1318" w:type="dxa"/>
            <w:tcBorders>
              <w:top w:val="nil"/>
              <w:left w:val="nil"/>
              <w:bottom w:val="nil"/>
              <w:right w:val="nil"/>
            </w:tcBorders>
            <w:vAlign w:val="bottom"/>
            <w:hideMark/>
          </w:tcPr>
          <w:p w14:paraId="38BCFCE6"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268" w:type="dxa"/>
            <w:tcBorders>
              <w:top w:val="nil"/>
              <w:left w:val="nil"/>
              <w:bottom w:val="nil"/>
              <w:right w:val="nil"/>
            </w:tcBorders>
            <w:vAlign w:val="bottom"/>
            <w:hideMark/>
          </w:tcPr>
          <w:p w14:paraId="453EDBBF" w14:textId="77777777" w:rsidR="00E91426" w:rsidRPr="00E91426" w:rsidRDefault="00E91426" w:rsidP="00E91426">
            <w:pPr>
              <w:widowControl/>
              <w:rPr>
                <w:rFonts w:ascii="Arial" w:eastAsia="Times New Roman" w:hAnsi="Arial" w:cs="Arial"/>
                <w:sz w:val="20"/>
                <w:szCs w:val="20"/>
                <w:lang w:val="en-GB" w:eastAsia="en-GB"/>
              </w:rPr>
            </w:pPr>
          </w:p>
        </w:tc>
        <w:tc>
          <w:tcPr>
            <w:tcW w:w="1166" w:type="dxa"/>
            <w:gridSpan w:val="2"/>
            <w:tcBorders>
              <w:top w:val="nil"/>
              <w:left w:val="nil"/>
              <w:bottom w:val="nil"/>
              <w:right w:val="nil"/>
            </w:tcBorders>
            <w:vAlign w:val="bottom"/>
            <w:hideMark/>
          </w:tcPr>
          <w:p w14:paraId="17810036" w14:textId="77777777" w:rsidR="00E91426" w:rsidRPr="00E91426" w:rsidRDefault="00E91426" w:rsidP="00E91426">
            <w:pPr>
              <w:widowControl/>
              <w:rPr>
                <w:rFonts w:ascii="Arial" w:eastAsia="Times New Roman" w:hAnsi="Arial" w:cs="Arial"/>
                <w:sz w:val="20"/>
                <w:szCs w:val="20"/>
                <w:lang w:val="en-GB" w:eastAsia="en-GB"/>
              </w:rPr>
            </w:pPr>
          </w:p>
        </w:tc>
        <w:tc>
          <w:tcPr>
            <w:tcW w:w="244" w:type="dxa"/>
            <w:gridSpan w:val="2"/>
            <w:tcBorders>
              <w:top w:val="nil"/>
              <w:left w:val="nil"/>
              <w:bottom w:val="nil"/>
              <w:right w:val="nil"/>
            </w:tcBorders>
            <w:vAlign w:val="bottom"/>
            <w:hideMark/>
          </w:tcPr>
          <w:p w14:paraId="4AF1D894" w14:textId="77777777" w:rsidR="00E91426" w:rsidRPr="00E91426" w:rsidRDefault="00E91426" w:rsidP="00E91426">
            <w:pPr>
              <w:widowControl/>
              <w:rPr>
                <w:rFonts w:ascii="Arial" w:eastAsia="Times New Roman" w:hAnsi="Arial" w:cs="Arial"/>
                <w:sz w:val="20"/>
                <w:szCs w:val="20"/>
                <w:lang w:val="en-GB" w:eastAsia="en-GB"/>
              </w:rPr>
            </w:pPr>
          </w:p>
        </w:tc>
        <w:tc>
          <w:tcPr>
            <w:tcW w:w="1099" w:type="dxa"/>
            <w:gridSpan w:val="2"/>
            <w:tcBorders>
              <w:top w:val="nil"/>
              <w:left w:val="nil"/>
              <w:bottom w:val="nil"/>
              <w:right w:val="nil"/>
            </w:tcBorders>
            <w:vAlign w:val="bottom"/>
            <w:hideMark/>
          </w:tcPr>
          <w:p w14:paraId="3B0E921D"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14AE25E9" w14:textId="77777777" w:rsidTr="00E91426">
        <w:trPr>
          <w:gridAfter w:val="1"/>
          <w:wAfter w:w="18" w:type="dxa"/>
          <w:trHeight w:val="780"/>
        </w:trPr>
        <w:tc>
          <w:tcPr>
            <w:tcW w:w="4966" w:type="dxa"/>
            <w:tcBorders>
              <w:top w:val="nil"/>
              <w:left w:val="nil"/>
              <w:bottom w:val="nil"/>
              <w:right w:val="nil"/>
            </w:tcBorders>
            <w:vAlign w:val="bottom"/>
            <w:hideMark/>
          </w:tcPr>
          <w:p w14:paraId="0A015792" w14:textId="77777777" w:rsidR="00E91426" w:rsidRPr="00E91426" w:rsidRDefault="00E91426" w:rsidP="00E91426">
            <w:pPr>
              <w:widowControl/>
              <w:rPr>
                <w:rFonts w:ascii="Arial" w:eastAsia="Times New Roman" w:hAnsi="Arial" w:cs="Arial"/>
                <w:sz w:val="20"/>
                <w:szCs w:val="20"/>
                <w:lang w:val="en-GB" w:eastAsia="en-GB"/>
              </w:rPr>
            </w:pPr>
          </w:p>
        </w:tc>
        <w:tc>
          <w:tcPr>
            <w:tcW w:w="1318" w:type="dxa"/>
            <w:tcBorders>
              <w:top w:val="nil"/>
              <w:left w:val="nil"/>
              <w:bottom w:val="nil"/>
              <w:right w:val="nil"/>
            </w:tcBorders>
            <w:noWrap/>
            <w:vAlign w:val="bottom"/>
            <w:hideMark/>
          </w:tcPr>
          <w:p w14:paraId="708933B5" w14:textId="77777777" w:rsidR="00E91426" w:rsidRPr="00E91426" w:rsidRDefault="00E91426" w:rsidP="00E91426">
            <w:pPr>
              <w:widowControl/>
              <w:rPr>
                <w:rFonts w:ascii="Arial" w:eastAsia="Times New Roman" w:hAnsi="Arial" w:cs="Arial"/>
                <w:sz w:val="20"/>
                <w:szCs w:val="20"/>
                <w:lang w:val="en-GB" w:eastAsia="en-GB"/>
              </w:rPr>
            </w:pPr>
          </w:p>
        </w:tc>
        <w:tc>
          <w:tcPr>
            <w:tcW w:w="1420" w:type="dxa"/>
            <w:gridSpan w:val="2"/>
            <w:tcBorders>
              <w:top w:val="nil"/>
              <w:left w:val="nil"/>
              <w:bottom w:val="nil"/>
              <w:right w:val="nil"/>
            </w:tcBorders>
            <w:hideMark/>
          </w:tcPr>
          <w:p w14:paraId="5A91A562"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Held at amortised cost</w:t>
            </w:r>
          </w:p>
        </w:tc>
        <w:tc>
          <w:tcPr>
            <w:tcW w:w="239" w:type="dxa"/>
            <w:gridSpan w:val="2"/>
            <w:tcBorders>
              <w:top w:val="nil"/>
              <w:left w:val="nil"/>
              <w:bottom w:val="nil"/>
              <w:right w:val="nil"/>
            </w:tcBorders>
            <w:hideMark/>
          </w:tcPr>
          <w:p w14:paraId="2082798B"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100" w:type="dxa"/>
            <w:gridSpan w:val="2"/>
            <w:tcBorders>
              <w:top w:val="nil"/>
              <w:left w:val="nil"/>
              <w:bottom w:val="nil"/>
              <w:right w:val="nil"/>
            </w:tcBorders>
            <w:hideMark/>
          </w:tcPr>
          <w:p w14:paraId="487D944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Total book value</w:t>
            </w:r>
          </w:p>
        </w:tc>
      </w:tr>
      <w:tr w:rsidR="00E91426" w:rsidRPr="00E91426" w14:paraId="22C1C7B8" w14:textId="77777777" w:rsidTr="00E91426">
        <w:trPr>
          <w:trHeight w:val="255"/>
        </w:trPr>
        <w:tc>
          <w:tcPr>
            <w:tcW w:w="4966" w:type="dxa"/>
            <w:tcBorders>
              <w:top w:val="nil"/>
              <w:left w:val="nil"/>
              <w:bottom w:val="nil"/>
              <w:right w:val="nil"/>
            </w:tcBorders>
            <w:vAlign w:val="bottom"/>
            <w:hideMark/>
          </w:tcPr>
          <w:p w14:paraId="77F1255F"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318" w:type="dxa"/>
            <w:tcBorders>
              <w:top w:val="nil"/>
              <w:left w:val="nil"/>
              <w:bottom w:val="nil"/>
              <w:right w:val="nil"/>
            </w:tcBorders>
            <w:vAlign w:val="bottom"/>
            <w:hideMark/>
          </w:tcPr>
          <w:p w14:paraId="7933A385" w14:textId="77777777" w:rsidR="00E91426" w:rsidRPr="00E91426" w:rsidRDefault="00E91426" w:rsidP="00E91426">
            <w:pPr>
              <w:widowControl/>
              <w:rPr>
                <w:rFonts w:ascii="Arial" w:eastAsia="Times New Roman" w:hAnsi="Arial" w:cs="Arial"/>
                <w:sz w:val="20"/>
                <w:szCs w:val="20"/>
                <w:lang w:val="en-GB" w:eastAsia="en-GB"/>
              </w:rPr>
            </w:pPr>
          </w:p>
        </w:tc>
        <w:tc>
          <w:tcPr>
            <w:tcW w:w="268" w:type="dxa"/>
            <w:tcBorders>
              <w:top w:val="nil"/>
              <w:left w:val="nil"/>
              <w:bottom w:val="nil"/>
              <w:right w:val="nil"/>
            </w:tcBorders>
            <w:vAlign w:val="bottom"/>
            <w:hideMark/>
          </w:tcPr>
          <w:p w14:paraId="4D1528D1" w14:textId="77777777" w:rsidR="00E91426" w:rsidRPr="00E91426" w:rsidRDefault="00E91426" w:rsidP="00E91426">
            <w:pPr>
              <w:widowControl/>
              <w:rPr>
                <w:rFonts w:ascii="Arial" w:eastAsia="Times New Roman" w:hAnsi="Arial" w:cs="Arial"/>
                <w:sz w:val="20"/>
                <w:szCs w:val="20"/>
                <w:lang w:val="en-GB" w:eastAsia="en-GB"/>
              </w:rPr>
            </w:pPr>
          </w:p>
        </w:tc>
        <w:tc>
          <w:tcPr>
            <w:tcW w:w="1166" w:type="dxa"/>
            <w:gridSpan w:val="2"/>
            <w:tcBorders>
              <w:top w:val="nil"/>
              <w:left w:val="nil"/>
              <w:bottom w:val="nil"/>
              <w:right w:val="nil"/>
            </w:tcBorders>
            <w:vAlign w:val="bottom"/>
            <w:hideMark/>
          </w:tcPr>
          <w:p w14:paraId="3FCBAB60"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244" w:type="dxa"/>
            <w:gridSpan w:val="2"/>
            <w:tcBorders>
              <w:top w:val="nil"/>
              <w:left w:val="nil"/>
              <w:bottom w:val="nil"/>
              <w:right w:val="nil"/>
            </w:tcBorders>
            <w:vAlign w:val="bottom"/>
            <w:hideMark/>
          </w:tcPr>
          <w:p w14:paraId="037A465D"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099" w:type="dxa"/>
            <w:gridSpan w:val="2"/>
            <w:tcBorders>
              <w:top w:val="nil"/>
              <w:left w:val="nil"/>
              <w:bottom w:val="nil"/>
              <w:right w:val="nil"/>
            </w:tcBorders>
            <w:vAlign w:val="bottom"/>
            <w:hideMark/>
          </w:tcPr>
          <w:p w14:paraId="04EA120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£000</w:t>
            </w:r>
          </w:p>
        </w:tc>
      </w:tr>
      <w:tr w:rsidR="00E91426" w:rsidRPr="00E91426" w14:paraId="4E2CA68A" w14:textId="77777777" w:rsidTr="00E91426">
        <w:trPr>
          <w:trHeight w:val="255"/>
        </w:trPr>
        <w:tc>
          <w:tcPr>
            <w:tcW w:w="6284" w:type="dxa"/>
            <w:gridSpan w:val="2"/>
            <w:tcBorders>
              <w:top w:val="nil"/>
              <w:left w:val="nil"/>
              <w:bottom w:val="nil"/>
              <w:right w:val="nil"/>
            </w:tcBorders>
            <w:vAlign w:val="bottom"/>
            <w:hideMark/>
          </w:tcPr>
          <w:p w14:paraId="7F17B462"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Carrying values of financial liabilities as at 31 March 2025</w:t>
            </w:r>
          </w:p>
        </w:tc>
        <w:tc>
          <w:tcPr>
            <w:tcW w:w="268" w:type="dxa"/>
            <w:tcBorders>
              <w:top w:val="nil"/>
              <w:left w:val="nil"/>
              <w:bottom w:val="nil"/>
              <w:right w:val="nil"/>
            </w:tcBorders>
            <w:vAlign w:val="bottom"/>
            <w:hideMark/>
          </w:tcPr>
          <w:p w14:paraId="4B700BF0"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1166" w:type="dxa"/>
            <w:gridSpan w:val="2"/>
            <w:tcBorders>
              <w:top w:val="nil"/>
              <w:left w:val="nil"/>
              <w:bottom w:val="nil"/>
              <w:right w:val="nil"/>
            </w:tcBorders>
            <w:noWrap/>
            <w:vAlign w:val="center"/>
            <w:hideMark/>
          </w:tcPr>
          <w:p w14:paraId="2486C53D" w14:textId="77777777" w:rsidR="00E91426" w:rsidRPr="00E91426" w:rsidRDefault="00E91426" w:rsidP="00E91426">
            <w:pPr>
              <w:widowControl/>
              <w:rPr>
                <w:rFonts w:ascii="Arial" w:eastAsia="Times New Roman" w:hAnsi="Arial" w:cs="Arial"/>
                <w:sz w:val="20"/>
                <w:szCs w:val="20"/>
                <w:lang w:val="en-GB" w:eastAsia="en-GB"/>
              </w:rPr>
            </w:pPr>
          </w:p>
        </w:tc>
        <w:tc>
          <w:tcPr>
            <w:tcW w:w="244" w:type="dxa"/>
            <w:gridSpan w:val="2"/>
            <w:tcBorders>
              <w:top w:val="nil"/>
              <w:left w:val="nil"/>
              <w:bottom w:val="nil"/>
              <w:right w:val="nil"/>
            </w:tcBorders>
            <w:vAlign w:val="bottom"/>
            <w:hideMark/>
          </w:tcPr>
          <w:p w14:paraId="614980D6" w14:textId="77777777" w:rsidR="00E91426" w:rsidRPr="00E91426" w:rsidRDefault="00E91426" w:rsidP="00E91426">
            <w:pPr>
              <w:widowControl/>
              <w:rPr>
                <w:rFonts w:ascii="Arial" w:eastAsia="Times New Roman" w:hAnsi="Arial" w:cs="Arial"/>
                <w:sz w:val="20"/>
                <w:szCs w:val="20"/>
                <w:lang w:val="en-GB" w:eastAsia="en-GB"/>
              </w:rPr>
            </w:pPr>
          </w:p>
        </w:tc>
        <w:tc>
          <w:tcPr>
            <w:tcW w:w="1099" w:type="dxa"/>
            <w:gridSpan w:val="2"/>
            <w:tcBorders>
              <w:top w:val="nil"/>
              <w:left w:val="nil"/>
              <w:bottom w:val="nil"/>
              <w:right w:val="nil"/>
            </w:tcBorders>
            <w:noWrap/>
            <w:vAlign w:val="center"/>
            <w:hideMark/>
          </w:tcPr>
          <w:p w14:paraId="5BE07D1D"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68600BA2" w14:textId="77777777" w:rsidTr="00E91426">
        <w:trPr>
          <w:trHeight w:val="255"/>
        </w:trPr>
        <w:tc>
          <w:tcPr>
            <w:tcW w:w="6284" w:type="dxa"/>
            <w:gridSpan w:val="2"/>
            <w:tcBorders>
              <w:top w:val="nil"/>
              <w:left w:val="nil"/>
              <w:bottom w:val="nil"/>
              <w:right w:val="nil"/>
            </w:tcBorders>
            <w:vAlign w:val="bottom"/>
            <w:hideMark/>
          </w:tcPr>
          <w:p w14:paraId="21FDD048"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Loans from the Department of Health and Social Care</w:t>
            </w:r>
          </w:p>
        </w:tc>
        <w:tc>
          <w:tcPr>
            <w:tcW w:w="268" w:type="dxa"/>
            <w:tcBorders>
              <w:top w:val="nil"/>
              <w:left w:val="nil"/>
              <w:bottom w:val="nil"/>
              <w:right w:val="nil"/>
            </w:tcBorders>
            <w:vAlign w:val="center"/>
            <w:hideMark/>
          </w:tcPr>
          <w:p w14:paraId="212C0CF6"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1166" w:type="dxa"/>
            <w:gridSpan w:val="2"/>
            <w:tcBorders>
              <w:top w:val="nil"/>
              <w:left w:val="nil"/>
              <w:bottom w:val="nil"/>
              <w:right w:val="nil"/>
            </w:tcBorders>
            <w:noWrap/>
            <w:vAlign w:val="bottom"/>
            <w:hideMark/>
          </w:tcPr>
          <w:p w14:paraId="31F9F2B0"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1,779</w:t>
            </w:r>
          </w:p>
        </w:tc>
        <w:tc>
          <w:tcPr>
            <w:tcW w:w="244" w:type="dxa"/>
            <w:gridSpan w:val="2"/>
            <w:tcBorders>
              <w:top w:val="nil"/>
              <w:left w:val="nil"/>
              <w:bottom w:val="nil"/>
              <w:right w:val="nil"/>
            </w:tcBorders>
            <w:vAlign w:val="bottom"/>
            <w:hideMark/>
          </w:tcPr>
          <w:p w14:paraId="5CE0220D"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99" w:type="dxa"/>
            <w:gridSpan w:val="2"/>
            <w:tcBorders>
              <w:top w:val="nil"/>
              <w:left w:val="nil"/>
              <w:bottom w:val="nil"/>
              <w:right w:val="nil"/>
            </w:tcBorders>
            <w:noWrap/>
            <w:vAlign w:val="bottom"/>
            <w:hideMark/>
          </w:tcPr>
          <w:p w14:paraId="1D873DF1"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1,779</w:t>
            </w:r>
          </w:p>
        </w:tc>
      </w:tr>
      <w:tr w:rsidR="00E91426" w:rsidRPr="00E91426" w14:paraId="11DE75C8" w14:textId="77777777" w:rsidTr="00E91426">
        <w:trPr>
          <w:trHeight w:val="255"/>
        </w:trPr>
        <w:tc>
          <w:tcPr>
            <w:tcW w:w="4966" w:type="dxa"/>
            <w:tcBorders>
              <w:top w:val="nil"/>
              <w:left w:val="nil"/>
              <w:bottom w:val="nil"/>
              <w:right w:val="nil"/>
            </w:tcBorders>
            <w:vAlign w:val="bottom"/>
            <w:hideMark/>
          </w:tcPr>
          <w:p w14:paraId="47AB31D3"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Obligations under finance leases</w:t>
            </w:r>
          </w:p>
        </w:tc>
        <w:tc>
          <w:tcPr>
            <w:tcW w:w="1318" w:type="dxa"/>
            <w:tcBorders>
              <w:top w:val="nil"/>
              <w:left w:val="nil"/>
              <w:bottom w:val="nil"/>
              <w:right w:val="nil"/>
            </w:tcBorders>
            <w:noWrap/>
            <w:vAlign w:val="bottom"/>
            <w:hideMark/>
          </w:tcPr>
          <w:p w14:paraId="0DA33BAE"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268" w:type="dxa"/>
            <w:tcBorders>
              <w:top w:val="nil"/>
              <w:left w:val="nil"/>
              <w:bottom w:val="nil"/>
              <w:right w:val="nil"/>
            </w:tcBorders>
            <w:vAlign w:val="center"/>
            <w:hideMark/>
          </w:tcPr>
          <w:p w14:paraId="4A353563" w14:textId="77777777" w:rsidR="00E91426" w:rsidRPr="00E91426" w:rsidRDefault="00E91426" w:rsidP="00E91426">
            <w:pPr>
              <w:widowControl/>
              <w:rPr>
                <w:rFonts w:ascii="Arial" w:eastAsia="Times New Roman" w:hAnsi="Arial" w:cs="Arial"/>
                <w:sz w:val="20"/>
                <w:szCs w:val="20"/>
                <w:lang w:val="en-GB" w:eastAsia="en-GB"/>
              </w:rPr>
            </w:pPr>
          </w:p>
        </w:tc>
        <w:tc>
          <w:tcPr>
            <w:tcW w:w="1166" w:type="dxa"/>
            <w:gridSpan w:val="2"/>
            <w:tcBorders>
              <w:top w:val="nil"/>
              <w:left w:val="nil"/>
              <w:bottom w:val="nil"/>
              <w:right w:val="nil"/>
            </w:tcBorders>
            <w:noWrap/>
            <w:vAlign w:val="bottom"/>
            <w:hideMark/>
          </w:tcPr>
          <w:p w14:paraId="764DF320"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1,267</w:t>
            </w:r>
          </w:p>
        </w:tc>
        <w:tc>
          <w:tcPr>
            <w:tcW w:w="244" w:type="dxa"/>
            <w:gridSpan w:val="2"/>
            <w:tcBorders>
              <w:top w:val="nil"/>
              <w:left w:val="nil"/>
              <w:bottom w:val="nil"/>
              <w:right w:val="nil"/>
            </w:tcBorders>
            <w:vAlign w:val="bottom"/>
            <w:hideMark/>
          </w:tcPr>
          <w:p w14:paraId="2774FC80"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99" w:type="dxa"/>
            <w:gridSpan w:val="2"/>
            <w:tcBorders>
              <w:top w:val="nil"/>
              <w:left w:val="nil"/>
              <w:bottom w:val="nil"/>
              <w:right w:val="nil"/>
            </w:tcBorders>
            <w:noWrap/>
            <w:vAlign w:val="bottom"/>
            <w:hideMark/>
          </w:tcPr>
          <w:p w14:paraId="4E07874D"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1,267</w:t>
            </w:r>
          </w:p>
        </w:tc>
      </w:tr>
      <w:tr w:rsidR="00E91426" w:rsidRPr="00E91426" w14:paraId="2D2EA8ED" w14:textId="77777777" w:rsidTr="00E91426">
        <w:trPr>
          <w:trHeight w:val="255"/>
        </w:trPr>
        <w:tc>
          <w:tcPr>
            <w:tcW w:w="6284" w:type="dxa"/>
            <w:gridSpan w:val="2"/>
            <w:tcBorders>
              <w:top w:val="nil"/>
              <w:left w:val="nil"/>
              <w:bottom w:val="nil"/>
              <w:right w:val="nil"/>
            </w:tcBorders>
            <w:vAlign w:val="bottom"/>
            <w:hideMark/>
          </w:tcPr>
          <w:p w14:paraId="1E594736"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 xml:space="preserve">Trade and other payables excluding non-financial liabilities </w:t>
            </w:r>
          </w:p>
        </w:tc>
        <w:tc>
          <w:tcPr>
            <w:tcW w:w="268" w:type="dxa"/>
            <w:tcBorders>
              <w:top w:val="nil"/>
              <w:left w:val="nil"/>
              <w:bottom w:val="nil"/>
              <w:right w:val="nil"/>
            </w:tcBorders>
            <w:vAlign w:val="center"/>
            <w:hideMark/>
          </w:tcPr>
          <w:p w14:paraId="620D9604"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1166" w:type="dxa"/>
            <w:gridSpan w:val="2"/>
            <w:tcBorders>
              <w:top w:val="nil"/>
              <w:left w:val="nil"/>
              <w:bottom w:val="nil"/>
              <w:right w:val="nil"/>
            </w:tcBorders>
            <w:noWrap/>
            <w:vAlign w:val="bottom"/>
            <w:hideMark/>
          </w:tcPr>
          <w:p w14:paraId="3E410885"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49,564</w:t>
            </w:r>
          </w:p>
        </w:tc>
        <w:tc>
          <w:tcPr>
            <w:tcW w:w="244" w:type="dxa"/>
            <w:gridSpan w:val="2"/>
            <w:tcBorders>
              <w:top w:val="nil"/>
              <w:left w:val="nil"/>
              <w:bottom w:val="nil"/>
              <w:right w:val="nil"/>
            </w:tcBorders>
            <w:vAlign w:val="bottom"/>
            <w:hideMark/>
          </w:tcPr>
          <w:p w14:paraId="5FF0B3D3"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99" w:type="dxa"/>
            <w:gridSpan w:val="2"/>
            <w:tcBorders>
              <w:top w:val="nil"/>
              <w:left w:val="nil"/>
              <w:bottom w:val="nil"/>
              <w:right w:val="nil"/>
            </w:tcBorders>
            <w:noWrap/>
            <w:vAlign w:val="bottom"/>
            <w:hideMark/>
          </w:tcPr>
          <w:p w14:paraId="302F99DE"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49,564</w:t>
            </w:r>
          </w:p>
        </w:tc>
      </w:tr>
      <w:tr w:rsidR="00E91426" w:rsidRPr="00E91426" w14:paraId="64063B80" w14:textId="77777777" w:rsidTr="00E91426">
        <w:trPr>
          <w:trHeight w:val="270"/>
        </w:trPr>
        <w:tc>
          <w:tcPr>
            <w:tcW w:w="4966" w:type="dxa"/>
            <w:tcBorders>
              <w:top w:val="nil"/>
              <w:left w:val="nil"/>
              <w:bottom w:val="nil"/>
              <w:right w:val="nil"/>
            </w:tcBorders>
            <w:noWrap/>
            <w:vAlign w:val="bottom"/>
            <w:hideMark/>
          </w:tcPr>
          <w:p w14:paraId="72134650"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Total at 31 March 2025</w:t>
            </w:r>
          </w:p>
        </w:tc>
        <w:tc>
          <w:tcPr>
            <w:tcW w:w="1318" w:type="dxa"/>
            <w:tcBorders>
              <w:top w:val="nil"/>
              <w:left w:val="nil"/>
              <w:bottom w:val="nil"/>
              <w:right w:val="nil"/>
            </w:tcBorders>
            <w:noWrap/>
            <w:vAlign w:val="bottom"/>
            <w:hideMark/>
          </w:tcPr>
          <w:p w14:paraId="687D706F"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268" w:type="dxa"/>
            <w:tcBorders>
              <w:top w:val="nil"/>
              <w:left w:val="nil"/>
              <w:bottom w:val="nil"/>
              <w:right w:val="nil"/>
            </w:tcBorders>
            <w:vAlign w:val="center"/>
            <w:hideMark/>
          </w:tcPr>
          <w:p w14:paraId="2F4F3874" w14:textId="77777777" w:rsidR="00E91426" w:rsidRPr="00E91426" w:rsidRDefault="00E91426" w:rsidP="00E91426">
            <w:pPr>
              <w:widowControl/>
              <w:rPr>
                <w:rFonts w:ascii="Arial" w:eastAsia="Times New Roman" w:hAnsi="Arial" w:cs="Arial"/>
                <w:sz w:val="20"/>
                <w:szCs w:val="20"/>
                <w:lang w:val="en-GB" w:eastAsia="en-GB"/>
              </w:rPr>
            </w:pPr>
          </w:p>
        </w:tc>
        <w:tc>
          <w:tcPr>
            <w:tcW w:w="1166" w:type="dxa"/>
            <w:gridSpan w:val="2"/>
            <w:tcBorders>
              <w:top w:val="single" w:sz="4" w:space="0" w:color="auto"/>
              <w:left w:val="nil"/>
              <w:bottom w:val="double" w:sz="6" w:space="0" w:color="auto"/>
              <w:right w:val="nil"/>
            </w:tcBorders>
            <w:noWrap/>
            <w:vAlign w:val="bottom"/>
            <w:hideMark/>
          </w:tcPr>
          <w:p w14:paraId="0D3583B9"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52,610</w:t>
            </w:r>
          </w:p>
        </w:tc>
        <w:tc>
          <w:tcPr>
            <w:tcW w:w="244" w:type="dxa"/>
            <w:gridSpan w:val="2"/>
            <w:tcBorders>
              <w:top w:val="nil"/>
              <w:left w:val="nil"/>
              <w:bottom w:val="nil"/>
              <w:right w:val="nil"/>
            </w:tcBorders>
            <w:vAlign w:val="bottom"/>
            <w:hideMark/>
          </w:tcPr>
          <w:p w14:paraId="590B11EB"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99" w:type="dxa"/>
            <w:gridSpan w:val="2"/>
            <w:tcBorders>
              <w:top w:val="single" w:sz="4" w:space="0" w:color="auto"/>
              <w:left w:val="nil"/>
              <w:bottom w:val="double" w:sz="6" w:space="0" w:color="auto"/>
              <w:right w:val="nil"/>
            </w:tcBorders>
            <w:noWrap/>
            <w:vAlign w:val="bottom"/>
            <w:hideMark/>
          </w:tcPr>
          <w:p w14:paraId="18BB49AD"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52,610</w:t>
            </w:r>
          </w:p>
        </w:tc>
      </w:tr>
      <w:tr w:rsidR="00E91426" w:rsidRPr="00E91426" w14:paraId="618D91AD" w14:textId="77777777" w:rsidTr="00E91426">
        <w:trPr>
          <w:gridAfter w:val="1"/>
          <w:wAfter w:w="18" w:type="dxa"/>
          <w:trHeight w:val="282"/>
        </w:trPr>
        <w:tc>
          <w:tcPr>
            <w:tcW w:w="9043" w:type="dxa"/>
            <w:gridSpan w:val="8"/>
            <w:tcBorders>
              <w:top w:val="nil"/>
              <w:left w:val="nil"/>
              <w:bottom w:val="nil"/>
              <w:right w:val="nil"/>
            </w:tcBorders>
            <w:vAlign w:val="center"/>
            <w:hideMark/>
          </w:tcPr>
          <w:p w14:paraId="5E258C8B"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r>
      <w:tr w:rsidR="00E91426" w:rsidRPr="00E91426" w14:paraId="0A3D4CB3" w14:textId="77777777" w:rsidTr="00E91426">
        <w:trPr>
          <w:gridAfter w:val="1"/>
          <w:wAfter w:w="18" w:type="dxa"/>
          <w:trHeight w:val="795"/>
        </w:trPr>
        <w:tc>
          <w:tcPr>
            <w:tcW w:w="4966" w:type="dxa"/>
            <w:tcBorders>
              <w:top w:val="nil"/>
              <w:left w:val="nil"/>
              <w:bottom w:val="nil"/>
              <w:right w:val="nil"/>
            </w:tcBorders>
            <w:vAlign w:val="bottom"/>
            <w:hideMark/>
          </w:tcPr>
          <w:p w14:paraId="0F1A8A3E" w14:textId="77777777" w:rsidR="00E91426" w:rsidRPr="00E91426" w:rsidRDefault="00E91426" w:rsidP="00E91426">
            <w:pPr>
              <w:widowControl/>
              <w:rPr>
                <w:rFonts w:ascii="Arial" w:eastAsia="Times New Roman" w:hAnsi="Arial" w:cs="Arial"/>
                <w:sz w:val="20"/>
                <w:szCs w:val="20"/>
                <w:lang w:val="en-GB" w:eastAsia="en-GB"/>
              </w:rPr>
            </w:pPr>
          </w:p>
        </w:tc>
        <w:tc>
          <w:tcPr>
            <w:tcW w:w="1318" w:type="dxa"/>
            <w:tcBorders>
              <w:top w:val="nil"/>
              <w:left w:val="nil"/>
              <w:bottom w:val="nil"/>
              <w:right w:val="nil"/>
            </w:tcBorders>
            <w:vAlign w:val="bottom"/>
            <w:hideMark/>
          </w:tcPr>
          <w:p w14:paraId="083631B0" w14:textId="77777777" w:rsidR="00E91426" w:rsidRPr="00E91426" w:rsidRDefault="00E91426" w:rsidP="00E91426">
            <w:pPr>
              <w:widowControl/>
              <w:rPr>
                <w:rFonts w:ascii="Arial" w:eastAsia="Times New Roman" w:hAnsi="Arial" w:cs="Arial"/>
                <w:sz w:val="20"/>
                <w:szCs w:val="20"/>
                <w:lang w:val="en-GB" w:eastAsia="en-GB"/>
              </w:rPr>
            </w:pPr>
          </w:p>
        </w:tc>
        <w:tc>
          <w:tcPr>
            <w:tcW w:w="1420" w:type="dxa"/>
            <w:gridSpan w:val="2"/>
            <w:tcBorders>
              <w:top w:val="nil"/>
              <w:left w:val="nil"/>
              <w:bottom w:val="nil"/>
              <w:right w:val="nil"/>
            </w:tcBorders>
            <w:hideMark/>
          </w:tcPr>
          <w:p w14:paraId="221CD32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w:t>
            </w:r>
            <w:r w:rsidRPr="00E91426">
              <w:rPr>
                <w:rFonts w:ascii="Arial" w:eastAsia="Times New Roman" w:hAnsi="Arial" w:cs="Arial"/>
                <w:bCs/>
                <w:color w:val="000000"/>
                <w:sz w:val="20"/>
                <w:szCs w:val="20"/>
                <w:lang w:val="en-GB" w:eastAsia="en-GB"/>
              </w:rPr>
              <w:t>Restated</w:t>
            </w:r>
          </w:p>
          <w:p w14:paraId="46DD4B12"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Held at amortised cost</w:t>
            </w:r>
          </w:p>
        </w:tc>
        <w:tc>
          <w:tcPr>
            <w:tcW w:w="239" w:type="dxa"/>
            <w:gridSpan w:val="2"/>
            <w:tcBorders>
              <w:top w:val="nil"/>
              <w:left w:val="nil"/>
              <w:bottom w:val="nil"/>
              <w:right w:val="nil"/>
            </w:tcBorders>
            <w:hideMark/>
          </w:tcPr>
          <w:p w14:paraId="3295CB7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100" w:type="dxa"/>
            <w:gridSpan w:val="2"/>
            <w:tcBorders>
              <w:top w:val="nil"/>
              <w:left w:val="nil"/>
              <w:bottom w:val="nil"/>
              <w:right w:val="nil"/>
            </w:tcBorders>
            <w:hideMark/>
          </w:tcPr>
          <w:p w14:paraId="37AAF9C8"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Restated</w:t>
            </w:r>
          </w:p>
          <w:p w14:paraId="353D42ED"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Total book value</w:t>
            </w:r>
          </w:p>
        </w:tc>
      </w:tr>
      <w:tr w:rsidR="00E91426" w:rsidRPr="00E91426" w14:paraId="128CF900" w14:textId="77777777" w:rsidTr="00E91426">
        <w:trPr>
          <w:trHeight w:val="282"/>
        </w:trPr>
        <w:tc>
          <w:tcPr>
            <w:tcW w:w="4966" w:type="dxa"/>
            <w:tcBorders>
              <w:top w:val="nil"/>
              <w:left w:val="nil"/>
              <w:bottom w:val="nil"/>
              <w:right w:val="nil"/>
            </w:tcBorders>
            <w:vAlign w:val="bottom"/>
            <w:hideMark/>
          </w:tcPr>
          <w:p w14:paraId="6CB43741"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318" w:type="dxa"/>
            <w:tcBorders>
              <w:top w:val="nil"/>
              <w:left w:val="nil"/>
              <w:bottom w:val="nil"/>
              <w:right w:val="nil"/>
            </w:tcBorders>
            <w:vAlign w:val="bottom"/>
            <w:hideMark/>
          </w:tcPr>
          <w:p w14:paraId="58B8BCB6" w14:textId="77777777" w:rsidR="00E91426" w:rsidRPr="00E91426" w:rsidRDefault="00E91426" w:rsidP="00E91426">
            <w:pPr>
              <w:widowControl/>
              <w:rPr>
                <w:rFonts w:ascii="Arial" w:eastAsia="Times New Roman" w:hAnsi="Arial" w:cs="Arial"/>
                <w:sz w:val="20"/>
                <w:szCs w:val="20"/>
                <w:lang w:val="en-GB" w:eastAsia="en-GB"/>
              </w:rPr>
            </w:pPr>
          </w:p>
        </w:tc>
        <w:tc>
          <w:tcPr>
            <w:tcW w:w="268" w:type="dxa"/>
            <w:tcBorders>
              <w:top w:val="nil"/>
              <w:left w:val="nil"/>
              <w:bottom w:val="nil"/>
              <w:right w:val="nil"/>
            </w:tcBorders>
            <w:vAlign w:val="bottom"/>
            <w:hideMark/>
          </w:tcPr>
          <w:p w14:paraId="422C74F3" w14:textId="77777777" w:rsidR="00E91426" w:rsidRPr="00E91426" w:rsidRDefault="00E91426" w:rsidP="00E91426">
            <w:pPr>
              <w:widowControl/>
              <w:rPr>
                <w:rFonts w:ascii="Arial" w:eastAsia="Times New Roman" w:hAnsi="Arial" w:cs="Arial"/>
                <w:sz w:val="20"/>
                <w:szCs w:val="20"/>
                <w:lang w:val="en-GB" w:eastAsia="en-GB"/>
              </w:rPr>
            </w:pPr>
          </w:p>
        </w:tc>
        <w:tc>
          <w:tcPr>
            <w:tcW w:w="1166" w:type="dxa"/>
            <w:gridSpan w:val="2"/>
            <w:tcBorders>
              <w:top w:val="nil"/>
              <w:left w:val="nil"/>
              <w:bottom w:val="nil"/>
              <w:right w:val="nil"/>
            </w:tcBorders>
            <w:vAlign w:val="bottom"/>
            <w:hideMark/>
          </w:tcPr>
          <w:p w14:paraId="3E8F5828"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244" w:type="dxa"/>
            <w:gridSpan w:val="2"/>
            <w:tcBorders>
              <w:top w:val="nil"/>
              <w:left w:val="nil"/>
              <w:bottom w:val="nil"/>
              <w:right w:val="nil"/>
            </w:tcBorders>
            <w:vAlign w:val="bottom"/>
            <w:hideMark/>
          </w:tcPr>
          <w:p w14:paraId="1C35D41F"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099" w:type="dxa"/>
            <w:gridSpan w:val="2"/>
            <w:tcBorders>
              <w:top w:val="nil"/>
              <w:left w:val="nil"/>
              <w:bottom w:val="nil"/>
              <w:right w:val="nil"/>
            </w:tcBorders>
            <w:vAlign w:val="bottom"/>
            <w:hideMark/>
          </w:tcPr>
          <w:p w14:paraId="581757B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£000</w:t>
            </w:r>
          </w:p>
        </w:tc>
      </w:tr>
      <w:tr w:rsidR="00E91426" w:rsidRPr="00E91426" w14:paraId="47DEDA10" w14:textId="77777777" w:rsidTr="00E91426">
        <w:trPr>
          <w:trHeight w:val="255"/>
        </w:trPr>
        <w:tc>
          <w:tcPr>
            <w:tcW w:w="6284" w:type="dxa"/>
            <w:gridSpan w:val="2"/>
            <w:tcBorders>
              <w:top w:val="nil"/>
              <w:left w:val="nil"/>
              <w:bottom w:val="nil"/>
              <w:right w:val="nil"/>
            </w:tcBorders>
            <w:vAlign w:val="bottom"/>
            <w:hideMark/>
          </w:tcPr>
          <w:p w14:paraId="45392F98"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Carrying values of financial liabilities as at 31 March 2024</w:t>
            </w:r>
          </w:p>
        </w:tc>
        <w:tc>
          <w:tcPr>
            <w:tcW w:w="268" w:type="dxa"/>
            <w:tcBorders>
              <w:top w:val="nil"/>
              <w:left w:val="nil"/>
              <w:bottom w:val="nil"/>
              <w:right w:val="nil"/>
            </w:tcBorders>
            <w:vAlign w:val="bottom"/>
            <w:hideMark/>
          </w:tcPr>
          <w:p w14:paraId="3DE3B5B5"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1166" w:type="dxa"/>
            <w:gridSpan w:val="2"/>
            <w:tcBorders>
              <w:top w:val="nil"/>
              <w:left w:val="nil"/>
              <w:bottom w:val="nil"/>
              <w:right w:val="nil"/>
            </w:tcBorders>
            <w:noWrap/>
            <w:vAlign w:val="center"/>
            <w:hideMark/>
          </w:tcPr>
          <w:p w14:paraId="63BEB246" w14:textId="77777777" w:rsidR="00E91426" w:rsidRPr="00E91426" w:rsidRDefault="00E91426" w:rsidP="00E91426">
            <w:pPr>
              <w:widowControl/>
              <w:rPr>
                <w:rFonts w:ascii="Arial" w:eastAsia="Times New Roman" w:hAnsi="Arial" w:cs="Arial"/>
                <w:sz w:val="20"/>
                <w:szCs w:val="20"/>
                <w:lang w:val="en-GB" w:eastAsia="en-GB"/>
              </w:rPr>
            </w:pPr>
          </w:p>
        </w:tc>
        <w:tc>
          <w:tcPr>
            <w:tcW w:w="244" w:type="dxa"/>
            <w:gridSpan w:val="2"/>
            <w:tcBorders>
              <w:top w:val="nil"/>
              <w:left w:val="nil"/>
              <w:bottom w:val="nil"/>
              <w:right w:val="nil"/>
            </w:tcBorders>
            <w:vAlign w:val="bottom"/>
            <w:hideMark/>
          </w:tcPr>
          <w:p w14:paraId="25CA193F" w14:textId="77777777" w:rsidR="00E91426" w:rsidRPr="00E91426" w:rsidRDefault="00E91426" w:rsidP="00E91426">
            <w:pPr>
              <w:widowControl/>
              <w:rPr>
                <w:rFonts w:ascii="Arial" w:eastAsia="Times New Roman" w:hAnsi="Arial" w:cs="Arial"/>
                <w:sz w:val="20"/>
                <w:szCs w:val="20"/>
                <w:lang w:val="en-GB" w:eastAsia="en-GB"/>
              </w:rPr>
            </w:pPr>
          </w:p>
        </w:tc>
        <w:tc>
          <w:tcPr>
            <w:tcW w:w="1099" w:type="dxa"/>
            <w:gridSpan w:val="2"/>
            <w:tcBorders>
              <w:top w:val="nil"/>
              <w:left w:val="nil"/>
              <w:bottom w:val="nil"/>
              <w:right w:val="nil"/>
            </w:tcBorders>
            <w:noWrap/>
            <w:vAlign w:val="center"/>
            <w:hideMark/>
          </w:tcPr>
          <w:p w14:paraId="55375C5A"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6344081F" w14:textId="77777777" w:rsidTr="00E91426">
        <w:trPr>
          <w:trHeight w:val="282"/>
        </w:trPr>
        <w:tc>
          <w:tcPr>
            <w:tcW w:w="6284" w:type="dxa"/>
            <w:gridSpan w:val="2"/>
            <w:tcBorders>
              <w:top w:val="nil"/>
              <w:left w:val="nil"/>
              <w:bottom w:val="nil"/>
              <w:right w:val="nil"/>
            </w:tcBorders>
            <w:noWrap/>
            <w:vAlign w:val="bottom"/>
            <w:hideMark/>
          </w:tcPr>
          <w:p w14:paraId="4B606AD5"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Loans from the Department of Health and Social Care</w:t>
            </w:r>
          </w:p>
        </w:tc>
        <w:tc>
          <w:tcPr>
            <w:tcW w:w="268" w:type="dxa"/>
            <w:tcBorders>
              <w:top w:val="nil"/>
              <w:left w:val="nil"/>
              <w:bottom w:val="nil"/>
              <w:right w:val="nil"/>
            </w:tcBorders>
            <w:vAlign w:val="center"/>
            <w:hideMark/>
          </w:tcPr>
          <w:p w14:paraId="4CEF511C"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1166" w:type="dxa"/>
            <w:gridSpan w:val="2"/>
            <w:tcBorders>
              <w:top w:val="nil"/>
              <w:left w:val="nil"/>
              <w:bottom w:val="nil"/>
              <w:right w:val="nil"/>
            </w:tcBorders>
            <w:noWrap/>
            <w:vAlign w:val="bottom"/>
            <w:hideMark/>
          </w:tcPr>
          <w:p w14:paraId="14076FF3"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1,907</w:t>
            </w:r>
          </w:p>
        </w:tc>
        <w:tc>
          <w:tcPr>
            <w:tcW w:w="244" w:type="dxa"/>
            <w:gridSpan w:val="2"/>
            <w:tcBorders>
              <w:top w:val="nil"/>
              <w:left w:val="nil"/>
              <w:bottom w:val="nil"/>
              <w:right w:val="nil"/>
            </w:tcBorders>
            <w:vAlign w:val="bottom"/>
            <w:hideMark/>
          </w:tcPr>
          <w:p w14:paraId="7C5E6968"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99" w:type="dxa"/>
            <w:gridSpan w:val="2"/>
            <w:tcBorders>
              <w:top w:val="nil"/>
              <w:left w:val="nil"/>
              <w:bottom w:val="nil"/>
              <w:right w:val="nil"/>
            </w:tcBorders>
            <w:noWrap/>
            <w:vAlign w:val="bottom"/>
            <w:hideMark/>
          </w:tcPr>
          <w:p w14:paraId="4CFEBA75"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1,907</w:t>
            </w:r>
          </w:p>
        </w:tc>
      </w:tr>
      <w:tr w:rsidR="00E91426" w:rsidRPr="00E91426" w14:paraId="2314B453" w14:textId="77777777" w:rsidTr="00E91426">
        <w:trPr>
          <w:trHeight w:val="255"/>
        </w:trPr>
        <w:tc>
          <w:tcPr>
            <w:tcW w:w="4966" w:type="dxa"/>
            <w:tcBorders>
              <w:top w:val="nil"/>
              <w:left w:val="nil"/>
              <w:bottom w:val="nil"/>
              <w:right w:val="nil"/>
            </w:tcBorders>
            <w:noWrap/>
            <w:vAlign w:val="bottom"/>
            <w:hideMark/>
          </w:tcPr>
          <w:p w14:paraId="43F88380"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Obligations under finance leases</w:t>
            </w:r>
          </w:p>
        </w:tc>
        <w:tc>
          <w:tcPr>
            <w:tcW w:w="1318" w:type="dxa"/>
            <w:tcBorders>
              <w:top w:val="nil"/>
              <w:left w:val="nil"/>
              <w:bottom w:val="nil"/>
              <w:right w:val="nil"/>
            </w:tcBorders>
            <w:noWrap/>
            <w:vAlign w:val="bottom"/>
            <w:hideMark/>
          </w:tcPr>
          <w:p w14:paraId="2FD9911B"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268" w:type="dxa"/>
            <w:tcBorders>
              <w:top w:val="nil"/>
              <w:left w:val="nil"/>
              <w:bottom w:val="nil"/>
              <w:right w:val="nil"/>
            </w:tcBorders>
            <w:vAlign w:val="center"/>
            <w:hideMark/>
          </w:tcPr>
          <w:p w14:paraId="48A076D9" w14:textId="77777777" w:rsidR="00E91426" w:rsidRPr="00E91426" w:rsidRDefault="00E91426" w:rsidP="00E91426">
            <w:pPr>
              <w:widowControl/>
              <w:rPr>
                <w:rFonts w:ascii="Arial" w:eastAsia="Times New Roman" w:hAnsi="Arial" w:cs="Arial"/>
                <w:sz w:val="20"/>
                <w:szCs w:val="20"/>
                <w:lang w:val="en-GB" w:eastAsia="en-GB"/>
              </w:rPr>
            </w:pPr>
          </w:p>
        </w:tc>
        <w:tc>
          <w:tcPr>
            <w:tcW w:w="1166" w:type="dxa"/>
            <w:gridSpan w:val="2"/>
            <w:tcBorders>
              <w:top w:val="nil"/>
              <w:left w:val="nil"/>
              <w:bottom w:val="nil"/>
              <w:right w:val="nil"/>
            </w:tcBorders>
            <w:noWrap/>
            <w:vAlign w:val="bottom"/>
            <w:hideMark/>
          </w:tcPr>
          <w:p w14:paraId="4EFC4BF5"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1,523</w:t>
            </w:r>
          </w:p>
        </w:tc>
        <w:tc>
          <w:tcPr>
            <w:tcW w:w="244" w:type="dxa"/>
            <w:gridSpan w:val="2"/>
            <w:tcBorders>
              <w:top w:val="nil"/>
              <w:left w:val="nil"/>
              <w:bottom w:val="nil"/>
              <w:right w:val="nil"/>
            </w:tcBorders>
            <w:vAlign w:val="bottom"/>
            <w:hideMark/>
          </w:tcPr>
          <w:p w14:paraId="3FFAC9C6"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99" w:type="dxa"/>
            <w:gridSpan w:val="2"/>
            <w:tcBorders>
              <w:top w:val="nil"/>
              <w:left w:val="nil"/>
              <w:bottom w:val="nil"/>
              <w:right w:val="nil"/>
            </w:tcBorders>
            <w:noWrap/>
            <w:vAlign w:val="bottom"/>
            <w:hideMark/>
          </w:tcPr>
          <w:p w14:paraId="131B8D9E"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1,523</w:t>
            </w:r>
          </w:p>
        </w:tc>
      </w:tr>
      <w:tr w:rsidR="00E91426" w:rsidRPr="00E91426" w14:paraId="057765CB" w14:textId="77777777" w:rsidTr="00E91426">
        <w:trPr>
          <w:trHeight w:val="282"/>
        </w:trPr>
        <w:tc>
          <w:tcPr>
            <w:tcW w:w="6284" w:type="dxa"/>
            <w:gridSpan w:val="2"/>
            <w:tcBorders>
              <w:top w:val="nil"/>
              <w:left w:val="nil"/>
              <w:bottom w:val="nil"/>
              <w:right w:val="nil"/>
            </w:tcBorders>
            <w:noWrap/>
            <w:vAlign w:val="bottom"/>
            <w:hideMark/>
          </w:tcPr>
          <w:p w14:paraId="6C56AA64"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 xml:space="preserve">Trade and other payables excluding non-financial liabilities </w:t>
            </w:r>
          </w:p>
        </w:tc>
        <w:tc>
          <w:tcPr>
            <w:tcW w:w="268" w:type="dxa"/>
            <w:tcBorders>
              <w:top w:val="nil"/>
              <w:left w:val="nil"/>
              <w:bottom w:val="nil"/>
              <w:right w:val="nil"/>
            </w:tcBorders>
            <w:vAlign w:val="center"/>
            <w:hideMark/>
          </w:tcPr>
          <w:p w14:paraId="53D3C127"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1166" w:type="dxa"/>
            <w:gridSpan w:val="2"/>
            <w:tcBorders>
              <w:top w:val="nil"/>
              <w:left w:val="nil"/>
              <w:bottom w:val="nil"/>
              <w:right w:val="nil"/>
            </w:tcBorders>
            <w:noWrap/>
            <w:vAlign w:val="bottom"/>
            <w:hideMark/>
          </w:tcPr>
          <w:p w14:paraId="7DA5D4B3"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49,586</w:t>
            </w:r>
          </w:p>
        </w:tc>
        <w:tc>
          <w:tcPr>
            <w:tcW w:w="244" w:type="dxa"/>
            <w:gridSpan w:val="2"/>
            <w:tcBorders>
              <w:top w:val="nil"/>
              <w:left w:val="nil"/>
              <w:bottom w:val="nil"/>
              <w:right w:val="nil"/>
            </w:tcBorders>
            <w:vAlign w:val="bottom"/>
            <w:hideMark/>
          </w:tcPr>
          <w:p w14:paraId="5DDDC791"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99" w:type="dxa"/>
            <w:gridSpan w:val="2"/>
            <w:tcBorders>
              <w:top w:val="nil"/>
              <w:left w:val="nil"/>
              <w:bottom w:val="nil"/>
              <w:right w:val="nil"/>
            </w:tcBorders>
            <w:noWrap/>
            <w:vAlign w:val="bottom"/>
            <w:hideMark/>
          </w:tcPr>
          <w:p w14:paraId="203DFF49"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49,586</w:t>
            </w:r>
          </w:p>
        </w:tc>
      </w:tr>
      <w:tr w:rsidR="00E91426" w:rsidRPr="00E91426" w14:paraId="744F3096" w14:textId="77777777" w:rsidTr="00E91426">
        <w:trPr>
          <w:trHeight w:val="282"/>
        </w:trPr>
        <w:tc>
          <w:tcPr>
            <w:tcW w:w="4966" w:type="dxa"/>
            <w:tcBorders>
              <w:top w:val="nil"/>
              <w:left w:val="nil"/>
              <w:bottom w:val="nil"/>
              <w:right w:val="nil"/>
            </w:tcBorders>
            <w:noWrap/>
            <w:vAlign w:val="bottom"/>
            <w:hideMark/>
          </w:tcPr>
          <w:p w14:paraId="5088E128"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Total at 31 March 2024</w:t>
            </w:r>
          </w:p>
        </w:tc>
        <w:tc>
          <w:tcPr>
            <w:tcW w:w="1318" w:type="dxa"/>
            <w:tcBorders>
              <w:top w:val="nil"/>
              <w:left w:val="nil"/>
              <w:bottom w:val="nil"/>
              <w:right w:val="nil"/>
            </w:tcBorders>
            <w:noWrap/>
            <w:vAlign w:val="bottom"/>
            <w:hideMark/>
          </w:tcPr>
          <w:p w14:paraId="2E328F27"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268" w:type="dxa"/>
            <w:tcBorders>
              <w:top w:val="nil"/>
              <w:left w:val="nil"/>
              <w:bottom w:val="nil"/>
              <w:right w:val="nil"/>
            </w:tcBorders>
            <w:vAlign w:val="center"/>
            <w:hideMark/>
          </w:tcPr>
          <w:p w14:paraId="64AA99EA" w14:textId="77777777" w:rsidR="00E91426" w:rsidRPr="00E91426" w:rsidRDefault="00E91426" w:rsidP="00E91426">
            <w:pPr>
              <w:widowControl/>
              <w:rPr>
                <w:rFonts w:ascii="Arial" w:eastAsia="Times New Roman" w:hAnsi="Arial" w:cs="Arial"/>
                <w:sz w:val="20"/>
                <w:szCs w:val="20"/>
                <w:lang w:val="en-GB" w:eastAsia="en-GB"/>
              </w:rPr>
            </w:pPr>
          </w:p>
        </w:tc>
        <w:tc>
          <w:tcPr>
            <w:tcW w:w="1166" w:type="dxa"/>
            <w:gridSpan w:val="2"/>
            <w:tcBorders>
              <w:top w:val="single" w:sz="4" w:space="0" w:color="auto"/>
              <w:left w:val="nil"/>
              <w:bottom w:val="double" w:sz="6" w:space="0" w:color="auto"/>
              <w:right w:val="nil"/>
            </w:tcBorders>
            <w:noWrap/>
            <w:vAlign w:val="bottom"/>
            <w:hideMark/>
          </w:tcPr>
          <w:p w14:paraId="7FDFA28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53,016</w:t>
            </w:r>
          </w:p>
        </w:tc>
        <w:tc>
          <w:tcPr>
            <w:tcW w:w="244" w:type="dxa"/>
            <w:gridSpan w:val="2"/>
            <w:tcBorders>
              <w:top w:val="nil"/>
              <w:left w:val="nil"/>
              <w:bottom w:val="nil"/>
              <w:right w:val="nil"/>
            </w:tcBorders>
            <w:vAlign w:val="bottom"/>
            <w:hideMark/>
          </w:tcPr>
          <w:p w14:paraId="416B5DA0"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099" w:type="dxa"/>
            <w:gridSpan w:val="2"/>
            <w:tcBorders>
              <w:top w:val="single" w:sz="4" w:space="0" w:color="auto"/>
              <w:left w:val="nil"/>
              <w:bottom w:val="double" w:sz="6" w:space="0" w:color="auto"/>
              <w:right w:val="nil"/>
            </w:tcBorders>
            <w:noWrap/>
            <w:vAlign w:val="bottom"/>
            <w:hideMark/>
          </w:tcPr>
          <w:p w14:paraId="4EF3A6B4"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53,016</w:t>
            </w:r>
          </w:p>
        </w:tc>
      </w:tr>
      <w:tr w:rsidR="00E91426" w:rsidRPr="00E91426" w14:paraId="4422D863" w14:textId="77777777" w:rsidTr="00E91426">
        <w:trPr>
          <w:trHeight w:val="282"/>
        </w:trPr>
        <w:tc>
          <w:tcPr>
            <w:tcW w:w="4966" w:type="dxa"/>
            <w:tcBorders>
              <w:top w:val="nil"/>
              <w:left w:val="nil"/>
              <w:bottom w:val="nil"/>
              <w:right w:val="nil"/>
            </w:tcBorders>
            <w:vAlign w:val="bottom"/>
            <w:hideMark/>
          </w:tcPr>
          <w:p w14:paraId="1D07EB99"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318" w:type="dxa"/>
            <w:tcBorders>
              <w:top w:val="nil"/>
              <w:left w:val="nil"/>
              <w:bottom w:val="nil"/>
              <w:right w:val="nil"/>
            </w:tcBorders>
            <w:vAlign w:val="bottom"/>
            <w:hideMark/>
          </w:tcPr>
          <w:p w14:paraId="53E5FEDC" w14:textId="77777777" w:rsidR="00E91426" w:rsidRPr="00E91426" w:rsidRDefault="00E91426" w:rsidP="00E91426">
            <w:pPr>
              <w:widowControl/>
              <w:rPr>
                <w:rFonts w:ascii="Arial" w:eastAsia="Times New Roman" w:hAnsi="Arial" w:cs="Arial"/>
                <w:sz w:val="20"/>
                <w:szCs w:val="20"/>
                <w:lang w:val="en-GB" w:eastAsia="en-GB"/>
              </w:rPr>
            </w:pPr>
          </w:p>
        </w:tc>
        <w:tc>
          <w:tcPr>
            <w:tcW w:w="268" w:type="dxa"/>
            <w:tcBorders>
              <w:top w:val="nil"/>
              <w:left w:val="nil"/>
              <w:bottom w:val="nil"/>
              <w:right w:val="nil"/>
            </w:tcBorders>
            <w:vAlign w:val="bottom"/>
            <w:hideMark/>
          </w:tcPr>
          <w:p w14:paraId="396F1331" w14:textId="77777777" w:rsidR="00E91426" w:rsidRPr="00E91426" w:rsidRDefault="00E91426" w:rsidP="00E91426">
            <w:pPr>
              <w:widowControl/>
              <w:rPr>
                <w:rFonts w:ascii="Arial" w:eastAsia="Times New Roman" w:hAnsi="Arial" w:cs="Arial"/>
                <w:sz w:val="20"/>
                <w:szCs w:val="20"/>
                <w:lang w:val="en-GB" w:eastAsia="en-GB"/>
              </w:rPr>
            </w:pPr>
          </w:p>
        </w:tc>
        <w:tc>
          <w:tcPr>
            <w:tcW w:w="1166" w:type="dxa"/>
            <w:gridSpan w:val="2"/>
            <w:tcBorders>
              <w:top w:val="nil"/>
              <w:left w:val="nil"/>
              <w:bottom w:val="nil"/>
              <w:right w:val="nil"/>
            </w:tcBorders>
            <w:vAlign w:val="bottom"/>
            <w:hideMark/>
          </w:tcPr>
          <w:p w14:paraId="75400D66" w14:textId="77777777" w:rsidR="00E91426" w:rsidRPr="00E91426" w:rsidRDefault="00E91426" w:rsidP="00E91426">
            <w:pPr>
              <w:widowControl/>
              <w:rPr>
                <w:rFonts w:ascii="Arial" w:eastAsia="Times New Roman" w:hAnsi="Arial" w:cs="Arial"/>
                <w:sz w:val="20"/>
                <w:szCs w:val="20"/>
                <w:lang w:val="en-GB" w:eastAsia="en-GB"/>
              </w:rPr>
            </w:pPr>
          </w:p>
        </w:tc>
        <w:tc>
          <w:tcPr>
            <w:tcW w:w="244" w:type="dxa"/>
            <w:gridSpan w:val="2"/>
            <w:tcBorders>
              <w:top w:val="nil"/>
              <w:left w:val="nil"/>
              <w:bottom w:val="nil"/>
              <w:right w:val="nil"/>
            </w:tcBorders>
            <w:vAlign w:val="bottom"/>
            <w:hideMark/>
          </w:tcPr>
          <w:p w14:paraId="354EF0A6" w14:textId="77777777" w:rsidR="00E91426" w:rsidRPr="00E91426" w:rsidRDefault="00E91426" w:rsidP="00E91426">
            <w:pPr>
              <w:widowControl/>
              <w:rPr>
                <w:rFonts w:ascii="Arial" w:eastAsia="Times New Roman" w:hAnsi="Arial" w:cs="Arial"/>
                <w:sz w:val="20"/>
                <w:szCs w:val="20"/>
                <w:lang w:val="en-GB" w:eastAsia="en-GB"/>
              </w:rPr>
            </w:pPr>
          </w:p>
        </w:tc>
        <w:tc>
          <w:tcPr>
            <w:tcW w:w="1099" w:type="dxa"/>
            <w:gridSpan w:val="2"/>
            <w:tcBorders>
              <w:top w:val="nil"/>
              <w:left w:val="nil"/>
              <w:bottom w:val="nil"/>
              <w:right w:val="nil"/>
            </w:tcBorders>
            <w:vAlign w:val="bottom"/>
            <w:hideMark/>
          </w:tcPr>
          <w:p w14:paraId="3072EE0B"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12261919" w14:textId="77777777" w:rsidTr="00E91426">
        <w:trPr>
          <w:gridAfter w:val="1"/>
          <w:wAfter w:w="18" w:type="dxa"/>
          <w:trHeight w:val="282"/>
        </w:trPr>
        <w:tc>
          <w:tcPr>
            <w:tcW w:w="9043" w:type="dxa"/>
            <w:gridSpan w:val="8"/>
            <w:tcBorders>
              <w:top w:val="nil"/>
              <w:left w:val="nil"/>
              <w:bottom w:val="nil"/>
              <w:right w:val="nil"/>
            </w:tcBorders>
            <w:vAlign w:val="bottom"/>
            <w:hideMark/>
          </w:tcPr>
          <w:p w14:paraId="07D4373E"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Note 23.3 Maturity of financial liabilities</w:t>
            </w:r>
          </w:p>
          <w:p w14:paraId="735800DD" w14:textId="77777777" w:rsidR="00E91426" w:rsidRPr="00E91426" w:rsidRDefault="00E91426" w:rsidP="00E91426">
            <w:pPr>
              <w:widowControl/>
              <w:rPr>
                <w:rFonts w:ascii="Arial" w:eastAsia="Times New Roman" w:hAnsi="Arial" w:cs="Arial"/>
                <w:b/>
                <w:bCs/>
                <w:color w:val="000000"/>
                <w:sz w:val="20"/>
                <w:szCs w:val="20"/>
                <w:lang w:val="en-GB" w:eastAsia="en-GB"/>
              </w:rPr>
            </w:pPr>
          </w:p>
        </w:tc>
      </w:tr>
      <w:tr w:rsidR="00E91426" w:rsidRPr="00E91426" w14:paraId="75192B3A" w14:textId="77777777" w:rsidTr="00E91426">
        <w:trPr>
          <w:gridAfter w:val="1"/>
          <w:wAfter w:w="18" w:type="dxa"/>
          <w:trHeight w:val="495"/>
        </w:trPr>
        <w:tc>
          <w:tcPr>
            <w:tcW w:w="9043" w:type="dxa"/>
            <w:gridSpan w:val="8"/>
            <w:tcBorders>
              <w:top w:val="nil"/>
              <w:left w:val="nil"/>
              <w:bottom w:val="nil"/>
              <w:right w:val="nil"/>
            </w:tcBorders>
            <w:vAlign w:val="bottom"/>
            <w:hideMark/>
          </w:tcPr>
          <w:tbl>
            <w:tblPr>
              <w:tblW w:w="8700" w:type="dxa"/>
              <w:tblLayout w:type="fixed"/>
              <w:tblLook w:val="04A0" w:firstRow="1" w:lastRow="0" w:firstColumn="1" w:lastColumn="0" w:noHBand="0" w:noVBand="1"/>
            </w:tblPr>
            <w:tblGrid>
              <w:gridCol w:w="4664"/>
              <w:gridCol w:w="1292"/>
              <w:gridCol w:w="236"/>
              <w:gridCol w:w="1136"/>
              <w:gridCol w:w="236"/>
              <w:gridCol w:w="1136"/>
            </w:tblGrid>
            <w:tr w:rsidR="00E91426" w:rsidRPr="00E91426" w14:paraId="3CA55E5A" w14:textId="77777777" w:rsidTr="00E91426">
              <w:trPr>
                <w:trHeight w:val="283"/>
              </w:trPr>
              <w:tc>
                <w:tcPr>
                  <w:tcW w:w="4780" w:type="dxa"/>
                  <w:tcBorders>
                    <w:top w:val="nil"/>
                    <w:left w:val="nil"/>
                    <w:bottom w:val="nil"/>
                    <w:right w:val="nil"/>
                  </w:tcBorders>
                  <w:vAlign w:val="bottom"/>
                  <w:hideMark/>
                </w:tcPr>
                <w:p w14:paraId="5A9D7C78" w14:textId="77777777" w:rsidR="00E91426" w:rsidRPr="00E91426" w:rsidRDefault="00E91426" w:rsidP="00E91426">
                  <w:pPr>
                    <w:widowControl/>
                    <w:rPr>
                      <w:rFonts w:ascii="Arial" w:eastAsia="Times New Roman" w:hAnsi="Arial" w:cs="Arial"/>
                      <w:sz w:val="20"/>
                      <w:szCs w:val="20"/>
                      <w:lang w:val="en-GB" w:eastAsia="en-GB"/>
                    </w:rPr>
                  </w:pPr>
                </w:p>
              </w:tc>
              <w:tc>
                <w:tcPr>
                  <w:tcW w:w="1320" w:type="dxa"/>
                  <w:tcBorders>
                    <w:top w:val="nil"/>
                    <w:left w:val="nil"/>
                    <w:bottom w:val="nil"/>
                    <w:right w:val="nil"/>
                  </w:tcBorders>
                  <w:vAlign w:val="bottom"/>
                  <w:hideMark/>
                </w:tcPr>
                <w:p w14:paraId="66BCDDC2" w14:textId="77777777" w:rsidR="00E91426" w:rsidRPr="00E91426" w:rsidRDefault="00E91426" w:rsidP="00E91426">
                  <w:pPr>
                    <w:widowControl/>
                    <w:rPr>
                      <w:rFonts w:ascii="Arial" w:eastAsia="Times New Roman" w:hAnsi="Arial" w:cs="Arial"/>
                      <w:sz w:val="20"/>
                      <w:szCs w:val="20"/>
                      <w:lang w:val="en-GB" w:eastAsia="en-GB"/>
                    </w:rPr>
                  </w:pPr>
                </w:p>
              </w:tc>
              <w:tc>
                <w:tcPr>
                  <w:tcW w:w="120" w:type="dxa"/>
                  <w:tcBorders>
                    <w:top w:val="nil"/>
                    <w:left w:val="nil"/>
                    <w:bottom w:val="nil"/>
                    <w:right w:val="nil"/>
                  </w:tcBorders>
                  <w:vAlign w:val="bottom"/>
                  <w:hideMark/>
                </w:tcPr>
                <w:p w14:paraId="76945754" w14:textId="77777777" w:rsidR="00E91426" w:rsidRPr="00E91426" w:rsidRDefault="00E91426" w:rsidP="00E91426">
                  <w:pPr>
                    <w:widowControl/>
                    <w:rPr>
                      <w:rFonts w:ascii="Arial" w:eastAsia="Times New Roman" w:hAnsi="Arial" w:cs="Arial"/>
                      <w:sz w:val="20"/>
                      <w:szCs w:val="20"/>
                      <w:lang w:val="en-GB" w:eastAsia="en-GB"/>
                    </w:rPr>
                  </w:pPr>
                </w:p>
              </w:tc>
              <w:tc>
                <w:tcPr>
                  <w:tcW w:w="1160" w:type="dxa"/>
                  <w:tcBorders>
                    <w:top w:val="nil"/>
                    <w:left w:val="nil"/>
                    <w:bottom w:val="nil"/>
                    <w:right w:val="nil"/>
                  </w:tcBorders>
                  <w:vAlign w:val="bottom"/>
                  <w:hideMark/>
                </w:tcPr>
                <w:p w14:paraId="33E73B62" w14:textId="77777777" w:rsidR="00E91426" w:rsidRPr="00E91426" w:rsidRDefault="00E91426" w:rsidP="00E91426">
                  <w:pPr>
                    <w:widowControl/>
                    <w:rPr>
                      <w:rFonts w:ascii="Arial" w:eastAsia="Times New Roman" w:hAnsi="Arial" w:cs="Arial"/>
                      <w:sz w:val="20"/>
                      <w:szCs w:val="20"/>
                      <w:lang w:val="en-GB" w:eastAsia="en-GB"/>
                    </w:rPr>
                  </w:pPr>
                </w:p>
              </w:tc>
              <w:tc>
                <w:tcPr>
                  <w:tcW w:w="160" w:type="dxa"/>
                  <w:tcBorders>
                    <w:top w:val="nil"/>
                    <w:left w:val="nil"/>
                    <w:bottom w:val="nil"/>
                    <w:right w:val="nil"/>
                  </w:tcBorders>
                  <w:vAlign w:val="bottom"/>
                  <w:hideMark/>
                </w:tcPr>
                <w:p w14:paraId="48DE00D5" w14:textId="77777777" w:rsidR="00E91426" w:rsidRPr="00E91426" w:rsidRDefault="00E91426" w:rsidP="00E91426">
                  <w:pPr>
                    <w:widowControl/>
                    <w:rPr>
                      <w:rFonts w:ascii="Arial" w:eastAsia="Times New Roman" w:hAnsi="Arial" w:cs="Arial"/>
                      <w:sz w:val="20"/>
                      <w:szCs w:val="20"/>
                      <w:lang w:val="en-GB" w:eastAsia="en-GB"/>
                    </w:rPr>
                  </w:pPr>
                </w:p>
              </w:tc>
              <w:tc>
                <w:tcPr>
                  <w:tcW w:w="1160" w:type="dxa"/>
                  <w:tcBorders>
                    <w:top w:val="nil"/>
                    <w:left w:val="nil"/>
                    <w:bottom w:val="nil"/>
                    <w:right w:val="nil"/>
                  </w:tcBorders>
                  <w:vAlign w:val="bottom"/>
                  <w:hideMark/>
                </w:tcPr>
                <w:p w14:paraId="07D2CA3E"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*Restated</w:t>
                  </w:r>
                </w:p>
              </w:tc>
            </w:tr>
            <w:tr w:rsidR="00E91426" w:rsidRPr="00E91426" w14:paraId="68C8312C" w14:textId="77777777" w:rsidTr="00E91426">
              <w:trPr>
                <w:trHeight w:val="283"/>
              </w:trPr>
              <w:tc>
                <w:tcPr>
                  <w:tcW w:w="4780" w:type="dxa"/>
                  <w:tcBorders>
                    <w:top w:val="nil"/>
                    <w:left w:val="nil"/>
                    <w:bottom w:val="nil"/>
                    <w:right w:val="nil"/>
                  </w:tcBorders>
                  <w:vAlign w:val="bottom"/>
                  <w:hideMark/>
                </w:tcPr>
                <w:p w14:paraId="2F217485"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320" w:type="dxa"/>
                  <w:tcBorders>
                    <w:top w:val="nil"/>
                    <w:left w:val="nil"/>
                    <w:bottom w:val="nil"/>
                    <w:right w:val="nil"/>
                  </w:tcBorders>
                  <w:vAlign w:val="bottom"/>
                  <w:hideMark/>
                </w:tcPr>
                <w:p w14:paraId="317FD348" w14:textId="77777777" w:rsidR="00E91426" w:rsidRPr="00E91426" w:rsidRDefault="00E91426" w:rsidP="00E91426">
                  <w:pPr>
                    <w:widowControl/>
                    <w:rPr>
                      <w:rFonts w:ascii="Arial" w:eastAsia="Times New Roman" w:hAnsi="Arial" w:cs="Arial"/>
                      <w:sz w:val="20"/>
                      <w:szCs w:val="20"/>
                      <w:lang w:val="en-GB" w:eastAsia="en-GB"/>
                    </w:rPr>
                  </w:pPr>
                </w:p>
              </w:tc>
              <w:tc>
                <w:tcPr>
                  <w:tcW w:w="120" w:type="dxa"/>
                  <w:tcBorders>
                    <w:top w:val="nil"/>
                    <w:left w:val="nil"/>
                    <w:bottom w:val="nil"/>
                    <w:right w:val="nil"/>
                  </w:tcBorders>
                  <w:vAlign w:val="bottom"/>
                  <w:hideMark/>
                </w:tcPr>
                <w:p w14:paraId="0FD93724" w14:textId="77777777" w:rsidR="00E91426" w:rsidRPr="00E91426" w:rsidRDefault="00E91426" w:rsidP="00E91426">
                  <w:pPr>
                    <w:widowControl/>
                    <w:rPr>
                      <w:rFonts w:ascii="Arial" w:eastAsia="Times New Roman" w:hAnsi="Arial" w:cs="Arial"/>
                      <w:sz w:val="20"/>
                      <w:szCs w:val="20"/>
                      <w:lang w:val="en-GB" w:eastAsia="en-GB"/>
                    </w:rPr>
                  </w:pPr>
                </w:p>
              </w:tc>
              <w:tc>
                <w:tcPr>
                  <w:tcW w:w="1160" w:type="dxa"/>
                  <w:tcBorders>
                    <w:top w:val="nil"/>
                    <w:left w:val="nil"/>
                    <w:bottom w:val="nil"/>
                    <w:right w:val="nil"/>
                  </w:tcBorders>
                  <w:vAlign w:val="bottom"/>
                  <w:hideMark/>
                </w:tcPr>
                <w:p w14:paraId="1B252C95"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2024/25</w:t>
                  </w:r>
                </w:p>
              </w:tc>
              <w:tc>
                <w:tcPr>
                  <w:tcW w:w="160" w:type="dxa"/>
                  <w:tcBorders>
                    <w:top w:val="nil"/>
                    <w:left w:val="nil"/>
                    <w:bottom w:val="nil"/>
                    <w:right w:val="nil"/>
                  </w:tcBorders>
                  <w:vAlign w:val="bottom"/>
                  <w:hideMark/>
                </w:tcPr>
                <w:p w14:paraId="7C2C150F"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160" w:type="dxa"/>
                  <w:tcBorders>
                    <w:top w:val="nil"/>
                    <w:left w:val="nil"/>
                    <w:bottom w:val="nil"/>
                    <w:right w:val="nil"/>
                  </w:tcBorders>
                  <w:vAlign w:val="bottom"/>
                  <w:hideMark/>
                </w:tcPr>
                <w:p w14:paraId="4230E4D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2023/24</w:t>
                  </w:r>
                </w:p>
              </w:tc>
            </w:tr>
            <w:tr w:rsidR="00E91426" w:rsidRPr="00E91426" w14:paraId="3ECBA6CB" w14:textId="77777777" w:rsidTr="00E91426">
              <w:trPr>
                <w:trHeight w:val="283"/>
              </w:trPr>
              <w:tc>
                <w:tcPr>
                  <w:tcW w:w="4780" w:type="dxa"/>
                  <w:tcBorders>
                    <w:top w:val="nil"/>
                    <w:left w:val="nil"/>
                    <w:bottom w:val="nil"/>
                    <w:right w:val="nil"/>
                  </w:tcBorders>
                  <w:vAlign w:val="bottom"/>
                  <w:hideMark/>
                </w:tcPr>
                <w:p w14:paraId="631344B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320" w:type="dxa"/>
                  <w:tcBorders>
                    <w:top w:val="nil"/>
                    <w:left w:val="nil"/>
                    <w:bottom w:val="nil"/>
                    <w:right w:val="nil"/>
                  </w:tcBorders>
                  <w:vAlign w:val="bottom"/>
                  <w:hideMark/>
                </w:tcPr>
                <w:p w14:paraId="75410C1B" w14:textId="77777777" w:rsidR="00E91426" w:rsidRPr="00E91426" w:rsidRDefault="00E91426" w:rsidP="00E91426">
                  <w:pPr>
                    <w:widowControl/>
                    <w:rPr>
                      <w:rFonts w:ascii="Arial" w:eastAsia="Times New Roman" w:hAnsi="Arial" w:cs="Arial"/>
                      <w:sz w:val="20"/>
                      <w:szCs w:val="20"/>
                      <w:lang w:val="en-GB" w:eastAsia="en-GB"/>
                    </w:rPr>
                  </w:pPr>
                </w:p>
              </w:tc>
              <w:tc>
                <w:tcPr>
                  <w:tcW w:w="120" w:type="dxa"/>
                  <w:tcBorders>
                    <w:top w:val="nil"/>
                    <w:left w:val="nil"/>
                    <w:bottom w:val="nil"/>
                    <w:right w:val="nil"/>
                  </w:tcBorders>
                  <w:vAlign w:val="bottom"/>
                  <w:hideMark/>
                </w:tcPr>
                <w:p w14:paraId="5B7A54E7" w14:textId="77777777" w:rsidR="00E91426" w:rsidRPr="00E91426" w:rsidRDefault="00E91426" w:rsidP="00E91426">
                  <w:pPr>
                    <w:widowControl/>
                    <w:rPr>
                      <w:rFonts w:ascii="Arial" w:eastAsia="Times New Roman" w:hAnsi="Arial" w:cs="Arial"/>
                      <w:sz w:val="20"/>
                      <w:szCs w:val="20"/>
                      <w:lang w:val="en-GB" w:eastAsia="en-GB"/>
                    </w:rPr>
                  </w:pPr>
                </w:p>
              </w:tc>
              <w:tc>
                <w:tcPr>
                  <w:tcW w:w="1160" w:type="dxa"/>
                  <w:tcBorders>
                    <w:top w:val="nil"/>
                    <w:left w:val="nil"/>
                    <w:bottom w:val="nil"/>
                    <w:right w:val="nil"/>
                  </w:tcBorders>
                  <w:vAlign w:val="bottom"/>
                  <w:hideMark/>
                </w:tcPr>
                <w:p w14:paraId="7F180DBC"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160" w:type="dxa"/>
                  <w:tcBorders>
                    <w:top w:val="nil"/>
                    <w:left w:val="nil"/>
                    <w:bottom w:val="nil"/>
                    <w:right w:val="nil"/>
                  </w:tcBorders>
                  <w:vAlign w:val="bottom"/>
                  <w:hideMark/>
                </w:tcPr>
                <w:p w14:paraId="58D3F41C"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160" w:type="dxa"/>
                  <w:tcBorders>
                    <w:top w:val="nil"/>
                    <w:left w:val="nil"/>
                    <w:bottom w:val="nil"/>
                    <w:right w:val="nil"/>
                  </w:tcBorders>
                  <w:vAlign w:val="bottom"/>
                  <w:hideMark/>
                </w:tcPr>
                <w:p w14:paraId="5648B81A"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r>
            <w:tr w:rsidR="00E91426" w:rsidRPr="00E91426" w14:paraId="03547E5A" w14:textId="77777777" w:rsidTr="00E91426">
              <w:trPr>
                <w:trHeight w:val="283"/>
              </w:trPr>
              <w:tc>
                <w:tcPr>
                  <w:tcW w:w="6100" w:type="dxa"/>
                  <w:gridSpan w:val="2"/>
                  <w:tcBorders>
                    <w:top w:val="nil"/>
                    <w:left w:val="nil"/>
                    <w:bottom w:val="nil"/>
                    <w:right w:val="nil"/>
                  </w:tcBorders>
                  <w:vAlign w:val="bottom"/>
                  <w:hideMark/>
                </w:tcPr>
                <w:p w14:paraId="25CAA26C"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In one year or less</w:t>
                  </w:r>
                </w:p>
              </w:tc>
              <w:tc>
                <w:tcPr>
                  <w:tcW w:w="120" w:type="dxa"/>
                  <w:tcBorders>
                    <w:top w:val="nil"/>
                    <w:left w:val="nil"/>
                    <w:bottom w:val="nil"/>
                    <w:right w:val="nil"/>
                  </w:tcBorders>
                  <w:vAlign w:val="bottom"/>
                  <w:hideMark/>
                </w:tcPr>
                <w:p w14:paraId="69C5D98E"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1160" w:type="dxa"/>
                  <w:tcBorders>
                    <w:top w:val="nil"/>
                    <w:left w:val="nil"/>
                    <w:bottom w:val="nil"/>
                    <w:right w:val="nil"/>
                  </w:tcBorders>
                  <w:noWrap/>
                  <w:vAlign w:val="bottom"/>
                  <w:hideMark/>
                </w:tcPr>
                <w:p w14:paraId="663811FF"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49,948</w:t>
                  </w:r>
                </w:p>
              </w:tc>
              <w:tc>
                <w:tcPr>
                  <w:tcW w:w="160" w:type="dxa"/>
                  <w:tcBorders>
                    <w:top w:val="nil"/>
                    <w:left w:val="nil"/>
                    <w:bottom w:val="nil"/>
                    <w:right w:val="nil"/>
                  </w:tcBorders>
                  <w:noWrap/>
                  <w:vAlign w:val="bottom"/>
                  <w:hideMark/>
                </w:tcPr>
                <w:p w14:paraId="101755AE"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160" w:type="dxa"/>
                  <w:tcBorders>
                    <w:top w:val="nil"/>
                    <w:left w:val="nil"/>
                    <w:bottom w:val="nil"/>
                    <w:right w:val="nil"/>
                  </w:tcBorders>
                  <w:noWrap/>
                  <w:vAlign w:val="bottom"/>
                  <w:hideMark/>
                </w:tcPr>
                <w:p w14:paraId="6A3EB938"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50,007</w:t>
                  </w:r>
                </w:p>
              </w:tc>
            </w:tr>
            <w:tr w:rsidR="00E91426" w:rsidRPr="00E91426" w14:paraId="7FAE5CF7" w14:textId="77777777" w:rsidTr="00E91426">
              <w:trPr>
                <w:trHeight w:val="283"/>
              </w:trPr>
              <w:tc>
                <w:tcPr>
                  <w:tcW w:w="6100" w:type="dxa"/>
                  <w:gridSpan w:val="2"/>
                  <w:tcBorders>
                    <w:top w:val="nil"/>
                    <w:left w:val="nil"/>
                    <w:bottom w:val="nil"/>
                    <w:right w:val="nil"/>
                  </w:tcBorders>
                  <w:vAlign w:val="bottom"/>
                  <w:hideMark/>
                </w:tcPr>
                <w:p w14:paraId="5B7FF07A"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In more than one year but not more than five years</w:t>
                  </w:r>
                </w:p>
              </w:tc>
              <w:tc>
                <w:tcPr>
                  <w:tcW w:w="120" w:type="dxa"/>
                  <w:tcBorders>
                    <w:top w:val="nil"/>
                    <w:left w:val="nil"/>
                    <w:bottom w:val="nil"/>
                    <w:right w:val="nil"/>
                  </w:tcBorders>
                  <w:vAlign w:val="bottom"/>
                  <w:hideMark/>
                </w:tcPr>
                <w:p w14:paraId="5639517C"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1160" w:type="dxa"/>
                  <w:tcBorders>
                    <w:top w:val="nil"/>
                    <w:left w:val="nil"/>
                    <w:bottom w:val="nil"/>
                    <w:right w:val="nil"/>
                  </w:tcBorders>
                  <w:noWrap/>
                  <w:vAlign w:val="bottom"/>
                  <w:hideMark/>
                </w:tcPr>
                <w:p w14:paraId="6FF7F8BB"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1,662</w:t>
                  </w:r>
                </w:p>
              </w:tc>
              <w:tc>
                <w:tcPr>
                  <w:tcW w:w="160" w:type="dxa"/>
                  <w:tcBorders>
                    <w:top w:val="nil"/>
                    <w:left w:val="nil"/>
                    <w:bottom w:val="nil"/>
                    <w:right w:val="nil"/>
                  </w:tcBorders>
                  <w:noWrap/>
                  <w:vAlign w:val="bottom"/>
                  <w:hideMark/>
                </w:tcPr>
                <w:p w14:paraId="170E1359"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160" w:type="dxa"/>
                  <w:tcBorders>
                    <w:top w:val="nil"/>
                    <w:left w:val="nil"/>
                    <w:bottom w:val="nil"/>
                    <w:right w:val="nil"/>
                  </w:tcBorders>
                  <w:noWrap/>
                  <w:vAlign w:val="bottom"/>
                  <w:hideMark/>
                </w:tcPr>
                <w:p w14:paraId="12090916"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1,852</w:t>
                  </w:r>
                </w:p>
              </w:tc>
            </w:tr>
            <w:tr w:rsidR="00E91426" w:rsidRPr="00E91426" w14:paraId="2BF381FE" w14:textId="77777777" w:rsidTr="00E91426">
              <w:trPr>
                <w:trHeight w:val="283"/>
              </w:trPr>
              <w:tc>
                <w:tcPr>
                  <w:tcW w:w="6100" w:type="dxa"/>
                  <w:gridSpan w:val="2"/>
                  <w:tcBorders>
                    <w:top w:val="nil"/>
                    <w:left w:val="nil"/>
                    <w:bottom w:val="nil"/>
                    <w:right w:val="nil"/>
                  </w:tcBorders>
                  <w:vAlign w:val="bottom"/>
                  <w:hideMark/>
                </w:tcPr>
                <w:p w14:paraId="5F3176F9"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In more than five years</w:t>
                  </w:r>
                </w:p>
              </w:tc>
              <w:tc>
                <w:tcPr>
                  <w:tcW w:w="120" w:type="dxa"/>
                  <w:tcBorders>
                    <w:top w:val="nil"/>
                    <w:left w:val="nil"/>
                    <w:bottom w:val="nil"/>
                    <w:right w:val="nil"/>
                  </w:tcBorders>
                  <w:vAlign w:val="bottom"/>
                  <w:hideMark/>
                </w:tcPr>
                <w:p w14:paraId="07AE296B"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1160" w:type="dxa"/>
                  <w:tcBorders>
                    <w:top w:val="nil"/>
                    <w:left w:val="nil"/>
                    <w:bottom w:val="nil"/>
                    <w:right w:val="nil"/>
                  </w:tcBorders>
                  <w:noWrap/>
                  <w:vAlign w:val="bottom"/>
                  <w:hideMark/>
                </w:tcPr>
                <w:p w14:paraId="3F77A41F"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1,329</w:t>
                  </w:r>
                </w:p>
              </w:tc>
              <w:tc>
                <w:tcPr>
                  <w:tcW w:w="160" w:type="dxa"/>
                  <w:tcBorders>
                    <w:top w:val="nil"/>
                    <w:left w:val="nil"/>
                    <w:bottom w:val="nil"/>
                    <w:right w:val="nil"/>
                  </w:tcBorders>
                  <w:noWrap/>
                  <w:vAlign w:val="bottom"/>
                  <w:hideMark/>
                </w:tcPr>
                <w:p w14:paraId="6BE00037"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160" w:type="dxa"/>
                  <w:tcBorders>
                    <w:top w:val="nil"/>
                    <w:left w:val="nil"/>
                    <w:bottom w:val="nil"/>
                    <w:right w:val="nil"/>
                  </w:tcBorders>
                  <w:noWrap/>
                  <w:vAlign w:val="bottom"/>
                  <w:hideMark/>
                </w:tcPr>
                <w:p w14:paraId="0B753EB6"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1,709</w:t>
                  </w:r>
                </w:p>
              </w:tc>
            </w:tr>
            <w:tr w:rsidR="00E91426" w:rsidRPr="00E91426" w14:paraId="1AD60309" w14:textId="77777777" w:rsidTr="00E91426">
              <w:trPr>
                <w:trHeight w:val="283"/>
              </w:trPr>
              <w:tc>
                <w:tcPr>
                  <w:tcW w:w="6100" w:type="dxa"/>
                  <w:gridSpan w:val="2"/>
                  <w:tcBorders>
                    <w:top w:val="nil"/>
                    <w:left w:val="nil"/>
                    <w:bottom w:val="nil"/>
                    <w:right w:val="nil"/>
                  </w:tcBorders>
                  <w:noWrap/>
                  <w:vAlign w:val="bottom"/>
                  <w:hideMark/>
                </w:tcPr>
                <w:p w14:paraId="37CEB7C1"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Total undiscounted financial liabilities</w:t>
                  </w:r>
                </w:p>
              </w:tc>
              <w:tc>
                <w:tcPr>
                  <w:tcW w:w="120" w:type="dxa"/>
                  <w:tcBorders>
                    <w:top w:val="nil"/>
                    <w:left w:val="nil"/>
                    <w:bottom w:val="nil"/>
                    <w:right w:val="nil"/>
                  </w:tcBorders>
                  <w:vAlign w:val="bottom"/>
                  <w:hideMark/>
                </w:tcPr>
                <w:p w14:paraId="106C2FB9"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1160" w:type="dxa"/>
                  <w:tcBorders>
                    <w:top w:val="single" w:sz="4" w:space="0" w:color="auto"/>
                    <w:left w:val="nil"/>
                    <w:bottom w:val="double" w:sz="6" w:space="0" w:color="auto"/>
                    <w:right w:val="nil"/>
                  </w:tcBorders>
                  <w:noWrap/>
                  <w:vAlign w:val="bottom"/>
                  <w:hideMark/>
                </w:tcPr>
                <w:p w14:paraId="216F800F"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52,939</w:t>
                  </w:r>
                </w:p>
              </w:tc>
              <w:tc>
                <w:tcPr>
                  <w:tcW w:w="160" w:type="dxa"/>
                  <w:tcBorders>
                    <w:top w:val="nil"/>
                    <w:left w:val="nil"/>
                    <w:bottom w:val="nil"/>
                    <w:right w:val="nil"/>
                  </w:tcBorders>
                  <w:noWrap/>
                  <w:vAlign w:val="bottom"/>
                  <w:hideMark/>
                </w:tcPr>
                <w:p w14:paraId="4D908D9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160" w:type="dxa"/>
                  <w:tcBorders>
                    <w:top w:val="single" w:sz="4" w:space="0" w:color="auto"/>
                    <w:left w:val="nil"/>
                    <w:bottom w:val="double" w:sz="6" w:space="0" w:color="auto"/>
                    <w:right w:val="nil"/>
                  </w:tcBorders>
                  <w:noWrap/>
                  <w:vAlign w:val="bottom"/>
                  <w:hideMark/>
                </w:tcPr>
                <w:p w14:paraId="3D9511BB"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53,568</w:t>
                  </w:r>
                </w:p>
              </w:tc>
            </w:tr>
            <w:tr w:rsidR="00E91426" w:rsidRPr="00E91426" w14:paraId="38C7711C" w14:textId="77777777" w:rsidTr="00E91426">
              <w:trPr>
                <w:trHeight w:val="460"/>
              </w:trPr>
              <w:tc>
                <w:tcPr>
                  <w:tcW w:w="8700" w:type="dxa"/>
                  <w:gridSpan w:val="6"/>
                  <w:tcBorders>
                    <w:top w:val="nil"/>
                    <w:left w:val="nil"/>
                    <w:bottom w:val="nil"/>
                    <w:right w:val="nil"/>
                  </w:tcBorders>
                  <w:hideMark/>
                </w:tcPr>
                <w:p w14:paraId="1F3F2A6B" w14:textId="77777777" w:rsidR="00E91426" w:rsidRPr="00E91426" w:rsidRDefault="00E91426" w:rsidP="00E91426">
                  <w:pPr>
                    <w:widowControl/>
                    <w:rPr>
                      <w:rFonts w:ascii="Arial" w:eastAsia="Times New Roman" w:hAnsi="Arial" w:cs="Arial"/>
                      <w:color w:val="000000"/>
                      <w:sz w:val="18"/>
                      <w:szCs w:val="18"/>
                      <w:lang w:val="en-GB" w:eastAsia="en-GB"/>
                    </w:rPr>
                  </w:pPr>
                </w:p>
                <w:p w14:paraId="554AFC8C" w14:textId="77777777" w:rsidR="00E91426" w:rsidRPr="00E91426" w:rsidRDefault="00E91426" w:rsidP="00E91426">
                  <w:pPr>
                    <w:widowControl/>
                    <w:rPr>
                      <w:rFonts w:ascii="Arial" w:eastAsia="Times New Roman" w:hAnsi="Arial" w:cs="Arial"/>
                      <w:color w:val="000000"/>
                      <w:sz w:val="18"/>
                      <w:szCs w:val="18"/>
                      <w:lang w:val="en-GB" w:eastAsia="en-GB"/>
                    </w:rPr>
                  </w:pPr>
                  <w:r w:rsidRPr="00E91426">
                    <w:rPr>
                      <w:rFonts w:ascii="Arial" w:eastAsia="Times New Roman" w:hAnsi="Arial" w:cs="Arial"/>
                      <w:color w:val="000000"/>
                      <w:sz w:val="18"/>
                      <w:szCs w:val="18"/>
                      <w:lang w:val="en-GB" w:eastAsia="en-GB"/>
                    </w:rPr>
                    <w:t>*balances within notes 23.2 and 23.3 have been restated to exclude pension related provisions previously classified as financial liabilities in error.</w:t>
                  </w:r>
                </w:p>
              </w:tc>
            </w:tr>
          </w:tbl>
          <w:p w14:paraId="564B0860" w14:textId="77777777" w:rsidR="00E91426" w:rsidRPr="00E91426" w:rsidRDefault="00E91426" w:rsidP="00E91426">
            <w:pPr>
              <w:widowControl/>
              <w:rPr>
                <w:rFonts w:ascii="Arial" w:eastAsia="Times New Roman" w:hAnsi="Arial" w:cs="Arial"/>
                <w:color w:val="000000"/>
                <w:sz w:val="18"/>
                <w:szCs w:val="18"/>
                <w:lang w:val="en-GB" w:eastAsia="en-GB"/>
              </w:rPr>
            </w:pPr>
          </w:p>
          <w:p w14:paraId="178D367A"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lastRenderedPageBreak/>
              <w:t xml:space="preserve">Note </w:t>
            </w:r>
            <w:proofErr w:type="gramStart"/>
            <w:r w:rsidRPr="00E91426">
              <w:rPr>
                <w:rFonts w:ascii="Arial" w:eastAsia="Times New Roman" w:hAnsi="Arial" w:cs="Arial"/>
                <w:b/>
                <w:bCs/>
                <w:color w:val="000000"/>
                <w:sz w:val="20"/>
                <w:szCs w:val="20"/>
                <w:lang w:val="en-GB" w:eastAsia="en-GB"/>
              </w:rPr>
              <w:t>23.4  Fair</w:t>
            </w:r>
            <w:proofErr w:type="gramEnd"/>
            <w:r w:rsidRPr="00E91426">
              <w:rPr>
                <w:rFonts w:ascii="Arial" w:eastAsia="Times New Roman" w:hAnsi="Arial" w:cs="Arial"/>
                <w:b/>
                <w:bCs/>
                <w:color w:val="000000"/>
                <w:sz w:val="20"/>
                <w:szCs w:val="20"/>
                <w:lang w:val="en-GB" w:eastAsia="en-GB"/>
              </w:rPr>
              <w:t xml:space="preserve"> values of financial assets and liabilities</w:t>
            </w:r>
          </w:p>
          <w:p w14:paraId="1F6F9381" w14:textId="77777777" w:rsidR="00E91426" w:rsidRPr="00E91426" w:rsidRDefault="00E91426" w:rsidP="00E91426">
            <w:pPr>
              <w:widowControl/>
              <w:rPr>
                <w:rFonts w:ascii="Arial" w:eastAsia="Times New Roman" w:hAnsi="Arial" w:cs="Arial"/>
                <w:color w:val="000000"/>
                <w:sz w:val="20"/>
                <w:szCs w:val="20"/>
                <w:lang w:val="en-GB" w:eastAsia="en-GB"/>
              </w:rPr>
            </w:pPr>
          </w:p>
          <w:p w14:paraId="167A83A6"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All financial assets and liabilities are held at book value which is deemed to be a reasonable approximation of fair value</w:t>
            </w:r>
          </w:p>
        </w:tc>
      </w:tr>
    </w:tbl>
    <w:p w14:paraId="619C4B8D" w14:textId="77777777" w:rsidR="00E91426" w:rsidRPr="00E91426" w:rsidRDefault="00E91426" w:rsidP="00E91426">
      <w:pPr>
        <w:widowControl/>
        <w:spacing w:after="160" w:line="259" w:lineRule="auto"/>
        <w:rPr>
          <w:rFonts w:ascii="Arial" w:eastAsia="Calibri" w:hAnsi="Arial" w:cs="Arial"/>
          <w:sz w:val="20"/>
          <w:szCs w:val="20"/>
          <w:lang w:val="en-GB"/>
        </w:rPr>
      </w:pPr>
    </w:p>
    <w:p w14:paraId="440B4740" w14:textId="77777777" w:rsidR="00E91426" w:rsidRPr="00E91426" w:rsidRDefault="00E91426" w:rsidP="00E91426">
      <w:pPr>
        <w:keepNext/>
        <w:keepLines/>
        <w:widowControl/>
        <w:spacing w:before="40" w:line="259" w:lineRule="auto"/>
        <w:outlineLvl w:val="1"/>
        <w:rPr>
          <w:rFonts w:ascii="Arial" w:eastAsia="Times New Roman" w:hAnsi="Arial" w:cs="Arial"/>
          <w:b/>
          <w:color w:val="000000"/>
          <w:sz w:val="20"/>
          <w:szCs w:val="20"/>
          <w:lang w:val="en-GB"/>
        </w:rPr>
      </w:pPr>
      <w:bookmarkStart w:id="87" w:name="_Toc195698721"/>
      <w:r w:rsidRPr="00E91426">
        <w:rPr>
          <w:rFonts w:ascii="Arial" w:eastAsia="Times New Roman" w:hAnsi="Arial" w:cs="Arial"/>
          <w:b/>
          <w:color w:val="000000"/>
          <w:sz w:val="20"/>
          <w:szCs w:val="20"/>
          <w:lang w:val="en-GB"/>
        </w:rPr>
        <w:t>Note 24 Losses and special payments</w:t>
      </w:r>
      <w:bookmarkEnd w:id="87"/>
    </w:p>
    <w:p w14:paraId="7FB932B8" w14:textId="77777777" w:rsidR="00E91426" w:rsidRPr="00E91426" w:rsidRDefault="00E91426" w:rsidP="00E91426">
      <w:pPr>
        <w:widowControl/>
        <w:spacing w:after="160" w:line="259" w:lineRule="auto"/>
        <w:rPr>
          <w:rFonts w:ascii="Arial" w:eastAsia="Calibri" w:hAnsi="Arial" w:cs="Arial"/>
          <w:sz w:val="20"/>
          <w:szCs w:val="20"/>
          <w:lang w:val="en-GB"/>
        </w:rPr>
      </w:pPr>
    </w:p>
    <w:tbl>
      <w:tblPr>
        <w:tblW w:w="8780" w:type="dxa"/>
        <w:tblLook w:val="04A0" w:firstRow="1" w:lastRow="0" w:firstColumn="1" w:lastColumn="0" w:noHBand="0" w:noVBand="1"/>
      </w:tblPr>
      <w:tblGrid>
        <w:gridCol w:w="4620"/>
        <w:gridCol w:w="1000"/>
        <w:gridCol w:w="1000"/>
        <w:gridCol w:w="222"/>
        <w:gridCol w:w="1000"/>
        <w:gridCol w:w="1000"/>
      </w:tblGrid>
      <w:tr w:rsidR="00E91426" w:rsidRPr="00E91426" w14:paraId="6A3F8915" w14:textId="77777777" w:rsidTr="00E91426">
        <w:trPr>
          <w:trHeight w:val="282"/>
        </w:trPr>
        <w:tc>
          <w:tcPr>
            <w:tcW w:w="4620" w:type="dxa"/>
            <w:tcBorders>
              <w:top w:val="nil"/>
              <w:left w:val="nil"/>
              <w:bottom w:val="nil"/>
              <w:right w:val="nil"/>
            </w:tcBorders>
            <w:vAlign w:val="bottom"/>
            <w:hideMark/>
          </w:tcPr>
          <w:p w14:paraId="7EDBC031" w14:textId="77777777" w:rsidR="00E91426" w:rsidRPr="00E91426" w:rsidRDefault="00E91426" w:rsidP="00E91426">
            <w:pPr>
              <w:widowControl/>
              <w:rPr>
                <w:rFonts w:ascii="Arial" w:eastAsia="Times New Roman" w:hAnsi="Arial" w:cs="Arial"/>
                <w:sz w:val="20"/>
                <w:szCs w:val="20"/>
                <w:lang w:val="en-GB" w:eastAsia="en-GB"/>
              </w:rPr>
            </w:pPr>
          </w:p>
        </w:tc>
        <w:tc>
          <w:tcPr>
            <w:tcW w:w="2000" w:type="dxa"/>
            <w:gridSpan w:val="2"/>
            <w:tcBorders>
              <w:top w:val="nil"/>
              <w:left w:val="nil"/>
              <w:bottom w:val="nil"/>
              <w:right w:val="nil"/>
            </w:tcBorders>
            <w:vAlign w:val="bottom"/>
            <w:hideMark/>
          </w:tcPr>
          <w:p w14:paraId="4F6901AD" w14:textId="77777777" w:rsidR="00E91426" w:rsidRPr="00E91426" w:rsidRDefault="00E91426" w:rsidP="00E91426">
            <w:pPr>
              <w:widowControl/>
              <w:jc w:val="center"/>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2024/25</w:t>
            </w:r>
          </w:p>
        </w:tc>
        <w:tc>
          <w:tcPr>
            <w:tcW w:w="160" w:type="dxa"/>
            <w:tcBorders>
              <w:top w:val="nil"/>
              <w:left w:val="nil"/>
              <w:bottom w:val="nil"/>
              <w:right w:val="nil"/>
            </w:tcBorders>
            <w:vAlign w:val="bottom"/>
            <w:hideMark/>
          </w:tcPr>
          <w:p w14:paraId="0A7216A7" w14:textId="77777777" w:rsidR="00E91426" w:rsidRPr="00E91426" w:rsidRDefault="00E91426" w:rsidP="00E91426">
            <w:pPr>
              <w:widowControl/>
              <w:jc w:val="center"/>
              <w:rPr>
                <w:rFonts w:ascii="Arial" w:eastAsia="Times New Roman" w:hAnsi="Arial" w:cs="Arial"/>
                <w:b/>
                <w:bCs/>
                <w:color w:val="000000"/>
                <w:sz w:val="20"/>
                <w:szCs w:val="20"/>
                <w:lang w:val="en-GB" w:eastAsia="en-GB"/>
              </w:rPr>
            </w:pPr>
          </w:p>
        </w:tc>
        <w:tc>
          <w:tcPr>
            <w:tcW w:w="2000" w:type="dxa"/>
            <w:gridSpan w:val="2"/>
            <w:tcBorders>
              <w:top w:val="nil"/>
              <w:left w:val="nil"/>
              <w:bottom w:val="nil"/>
              <w:right w:val="nil"/>
            </w:tcBorders>
            <w:vAlign w:val="bottom"/>
            <w:hideMark/>
          </w:tcPr>
          <w:p w14:paraId="55DBBF1C" w14:textId="77777777" w:rsidR="00E91426" w:rsidRPr="00E91426" w:rsidRDefault="00E91426" w:rsidP="00E91426">
            <w:pPr>
              <w:widowControl/>
              <w:jc w:val="center"/>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2023/24</w:t>
            </w:r>
          </w:p>
        </w:tc>
      </w:tr>
      <w:tr w:rsidR="00E91426" w:rsidRPr="00E91426" w14:paraId="2A3546F8" w14:textId="77777777" w:rsidTr="00E91426">
        <w:trPr>
          <w:trHeight w:val="840"/>
        </w:trPr>
        <w:tc>
          <w:tcPr>
            <w:tcW w:w="4620" w:type="dxa"/>
            <w:tcBorders>
              <w:top w:val="nil"/>
              <w:left w:val="nil"/>
              <w:bottom w:val="nil"/>
              <w:right w:val="nil"/>
            </w:tcBorders>
            <w:vAlign w:val="bottom"/>
            <w:hideMark/>
          </w:tcPr>
          <w:p w14:paraId="227AEAC2" w14:textId="77777777" w:rsidR="00E91426" w:rsidRPr="00E91426" w:rsidRDefault="00E91426" w:rsidP="00E91426">
            <w:pPr>
              <w:widowControl/>
              <w:jc w:val="center"/>
              <w:rPr>
                <w:rFonts w:ascii="Arial" w:eastAsia="Times New Roman" w:hAnsi="Arial" w:cs="Arial"/>
                <w:b/>
                <w:bCs/>
                <w:color w:val="000000"/>
                <w:sz w:val="20"/>
                <w:szCs w:val="20"/>
                <w:lang w:val="en-GB" w:eastAsia="en-GB"/>
              </w:rPr>
            </w:pPr>
          </w:p>
        </w:tc>
        <w:tc>
          <w:tcPr>
            <w:tcW w:w="1000" w:type="dxa"/>
            <w:tcBorders>
              <w:top w:val="nil"/>
              <w:left w:val="nil"/>
              <w:bottom w:val="nil"/>
              <w:right w:val="nil"/>
            </w:tcBorders>
            <w:hideMark/>
          </w:tcPr>
          <w:p w14:paraId="608CDF2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Total number of cases</w:t>
            </w:r>
          </w:p>
        </w:tc>
        <w:tc>
          <w:tcPr>
            <w:tcW w:w="1000" w:type="dxa"/>
            <w:tcBorders>
              <w:top w:val="nil"/>
              <w:left w:val="nil"/>
              <w:bottom w:val="nil"/>
              <w:right w:val="nil"/>
            </w:tcBorders>
            <w:hideMark/>
          </w:tcPr>
          <w:p w14:paraId="175AC53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Total value of cases</w:t>
            </w:r>
          </w:p>
        </w:tc>
        <w:tc>
          <w:tcPr>
            <w:tcW w:w="160" w:type="dxa"/>
            <w:tcBorders>
              <w:top w:val="nil"/>
              <w:left w:val="nil"/>
              <w:bottom w:val="nil"/>
              <w:right w:val="nil"/>
            </w:tcBorders>
            <w:hideMark/>
          </w:tcPr>
          <w:p w14:paraId="104CE990"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000" w:type="dxa"/>
            <w:tcBorders>
              <w:top w:val="nil"/>
              <w:left w:val="nil"/>
              <w:bottom w:val="nil"/>
              <w:right w:val="nil"/>
            </w:tcBorders>
            <w:hideMark/>
          </w:tcPr>
          <w:p w14:paraId="71A8E238"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Total number of cases</w:t>
            </w:r>
          </w:p>
        </w:tc>
        <w:tc>
          <w:tcPr>
            <w:tcW w:w="1000" w:type="dxa"/>
            <w:tcBorders>
              <w:top w:val="nil"/>
              <w:left w:val="nil"/>
              <w:bottom w:val="nil"/>
              <w:right w:val="nil"/>
            </w:tcBorders>
            <w:hideMark/>
          </w:tcPr>
          <w:p w14:paraId="76FB854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Total value of cases</w:t>
            </w:r>
          </w:p>
        </w:tc>
      </w:tr>
      <w:tr w:rsidR="00E91426" w:rsidRPr="00E91426" w14:paraId="1B018523" w14:textId="77777777" w:rsidTr="00E91426">
        <w:trPr>
          <w:trHeight w:val="282"/>
        </w:trPr>
        <w:tc>
          <w:tcPr>
            <w:tcW w:w="4620" w:type="dxa"/>
            <w:tcBorders>
              <w:top w:val="nil"/>
              <w:left w:val="nil"/>
              <w:bottom w:val="nil"/>
              <w:right w:val="nil"/>
            </w:tcBorders>
            <w:vAlign w:val="bottom"/>
            <w:hideMark/>
          </w:tcPr>
          <w:p w14:paraId="58F05EE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000" w:type="dxa"/>
            <w:tcBorders>
              <w:top w:val="nil"/>
              <w:left w:val="nil"/>
              <w:bottom w:val="nil"/>
              <w:right w:val="nil"/>
            </w:tcBorders>
            <w:vAlign w:val="bottom"/>
            <w:hideMark/>
          </w:tcPr>
          <w:p w14:paraId="1875905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Number </w:t>
            </w:r>
          </w:p>
        </w:tc>
        <w:tc>
          <w:tcPr>
            <w:tcW w:w="1000" w:type="dxa"/>
            <w:tcBorders>
              <w:top w:val="nil"/>
              <w:left w:val="nil"/>
              <w:bottom w:val="nil"/>
              <w:right w:val="nil"/>
            </w:tcBorders>
            <w:vAlign w:val="bottom"/>
            <w:hideMark/>
          </w:tcPr>
          <w:p w14:paraId="712F644C"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160" w:type="dxa"/>
            <w:tcBorders>
              <w:top w:val="nil"/>
              <w:left w:val="nil"/>
              <w:bottom w:val="nil"/>
              <w:right w:val="nil"/>
            </w:tcBorders>
            <w:vAlign w:val="bottom"/>
            <w:hideMark/>
          </w:tcPr>
          <w:p w14:paraId="422799C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000" w:type="dxa"/>
            <w:tcBorders>
              <w:top w:val="nil"/>
              <w:left w:val="nil"/>
              <w:bottom w:val="nil"/>
              <w:right w:val="nil"/>
            </w:tcBorders>
            <w:vAlign w:val="bottom"/>
            <w:hideMark/>
          </w:tcPr>
          <w:p w14:paraId="0442CC3F"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Number </w:t>
            </w:r>
          </w:p>
        </w:tc>
        <w:tc>
          <w:tcPr>
            <w:tcW w:w="1000" w:type="dxa"/>
            <w:tcBorders>
              <w:top w:val="nil"/>
              <w:left w:val="nil"/>
              <w:bottom w:val="nil"/>
              <w:right w:val="nil"/>
            </w:tcBorders>
            <w:vAlign w:val="bottom"/>
            <w:hideMark/>
          </w:tcPr>
          <w:p w14:paraId="11A250C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r>
      <w:tr w:rsidR="00E91426" w:rsidRPr="00E91426" w14:paraId="5477B687" w14:textId="77777777" w:rsidTr="00E91426">
        <w:trPr>
          <w:trHeight w:val="282"/>
        </w:trPr>
        <w:tc>
          <w:tcPr>
            <w:tcW w:w="4620" w:type="dxa"/>
            <w:tcBorders>
              <w:top w:val="nil"/>
              <w:left w:val="nil"/>
              <w:bottom w:val="nil"/>
              <w:right w:val="nil"/>
            </w:tcBorders>
            <w:vAlign w:val="bottom"/>
            <w:hideMark/>
          </w:tcPr>
          <w:p w14:paraId="245D54F3"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000" w:type="dxa"/>
            <w:tcBorders>
              <w:top w:val="nil"/>
              <w:left w:val="nil"/>
              <w:bottom w:val="nil"/>
              <w:right w:val="nil"/>
            </w:tcBorders>
            <w:noWrap/>
            <w:vAlign w:val="center"/>
            <w:hideMark/>
          </w:tcPr>
          <w:p w14:paraId="2B90C1D3" w14:textId="77777777" w:rsidR="00E91426" w:rsidRPr="00E91426" w:rsidRDefault="00E91426" w:rsidP="00E91426">
            <w:pPr>
              <w:widowControl/>
              <w:rPr>
                <w:rFonts w:ascii="Arial" w:eastAsia="Times New Roman" w:hAnsi="Arial" w:cs="Arial"/>
                <w:sz w:val="20"/>
                <w:szCs w:val="20"/>
                <w:lang w:val="en-GB" w:eastAsia="en-GB"/>
              </w:rPr>
            </w:pPr>
          </w:p>
        </w:tc>
        <w:tc>
          <w:tcPr>
            <w:tcW w:w="1000" w:type="dxa"/>
            <w:tcBorders>
              <w:top w:val="nil"/>
              <w:left w:val="nil"/>
              <w:bottom w:val="nil"/>
              <w:right w:val="nil"/>
            </w:tcBorders>
            <w:noWrap/>
            <w:vAlign w:val="center"/>
            <w:hideMark/>
          </w:tcPr>
          <w:p w14:paraId="6B68836E" w14:textId="77777777" w:rsidR="00E91426" w:rsidRPr="00E91426" w:rsidRDefault="00E91426" w:rsidP="00E91426">
            <w:pPr>
              <w:widowControl/>
              <w:rPr>
                <w:rFonts w:ascii="Arial" w:eastAsia="Times New Roman" w:hAnsi="Arial" w:cs="Arial"/>
                <w:sz w:val="20"/>
                <w:szCs w:val="20"/>
                <w:lang w:val="en-GB" w:eastAsia="en-GB"/>
              </w:rPr>
            </w:pPr>
          </w:p>
        </w:tc>
        <w:tc>
          <w:tcPr>
            <w:tcW w:w="160" w:type="dxa"/>
            <w:tcBorders>
              <w:top w:val="nil"/>
              <w:left w:val="nil"/>
              <w:bottom w:val="nil"/>
              <w:right w:val="nil"/>
            </w:tcBorders>
            <w:noWrap/>
            <w:vAlign w:val="center"/>
            <w:hideMark/>
          </w:tcPr>
          <w:p w14:paraId="2387139D" w14:textId="77777777" w:rsidR="00E91426" w:rsidRPr="00E91426" w:rsidRDefault="00E91426" w:rsidP="00E91426">
            <w:pPr>
              <w:widowControl/>
              <w:rPr>
                <w:rFonts w:ascii="Arial" w:eastAsia="Times New Roman" w:hAnsi="Arial" w:cs="Arial"/>
                <w:sz w:val="20"/>
                <w:szCs w:val="20"/>
                <w:lang w:val="en-GB" w:eastAsia="en-GB"/>
              </w:rPr>
            </w:pPr>
          </w:p>
        </w:tc>
        <w:tc>
          <w:tcPr>
            <w:tcW w:w="1000" w:type="dxa"/>
            <w:tcBorders>
              <w:top w:val="nil"/>
              <w:left w:val="nil"/>
              <w:bottom w:val="nil"/>
              <w:right w:val="nil"/>
            </w:tcBorders>
            <w:noWrap/>
            <w:vAlign w:val="center"/>
            <w:hideMark/>
          </w:tcPr>
          <w:p w14:paraId="1008433B" w14:textId="77777777" w:rsidR="00E91426" w:rsidRPr="00E91426" w:rsidRDefault="00E91426" w:rsidP="00E91426">
            <w:pPr>
              <w:widowControl/>
              <w:rPr>
                <w:rFonts w:ascii="Arial" w:eastAsia="Times New Roman" w:hAnsi="Arial" w:cs="Arial"/>
                <w:sz w:val="20"/>
                <w:szCs w:val="20"/>
                <w:lang w:val="en-GB" w:eastAsia="en-GB"/>
              </w:rPr>
            </w:pPr>
          </w:p>
        </w:tc>
        <w:tc>
          <w:tcPr>
            <w:tcW w:w="1000" w:type="dxa"/>
            <w:tcBorders>
              <w:top w:val="nil"/>
              <w:left w:val="nil"/>
              <w:bottom w:val="nil"/>
              <w:right w:val="nil"/>
            </w:tcBorders>
            <w:noWrap/>
            <w:vAlign w:val="center"/>
            <w:hideMark/>
          </w:tcPr>
          <w:p w14:paraId="2807F611"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0A843157" w14:textId="77777777" w:rsidTr="00E91426">
        <w:trPr>
          <w:trHeight w:val="282"/>
        </w:trPr>
        <w:tc>
          <w:tcPr>
            <w:tcW w:w="4620" w:type="dxa"/>
            <w:tcBorders>
              <w:top w:val="nil"/>
              <w:left w:val="nil"/>
              <w:bottom w:val="nil"/>
              <w:right w:val="nil"/>
            </w:tcBorders>
            <w:vAlign w:val="bottom"/>
            <w:hideMark/>
          </w:tcPr>
          <w:p w14:paraId="0FA23668"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Losses</w:t>
            </w:r>
          </w:p>
        </w:tc>
        <w:tc>
          <w:tcPr>
            <w:tcW w:w="1000" w:type="dxa"/>
            <w:tcBorders>
              <w:top w:val="nil"/>
              <w:left w:val="nil"/>
              <w:bottom w:val="nil"/>
              <w:right w:val="nil"/>
            </w:tcBorders>
            <w:noWrap/>
            <w:vAlign w:val="bottom"/>
            <w:hideMark/>
          </w:tcPr>
          <w:p w14:paraId="5D0DF3B2"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1000" w:type="dxa"/>
            <w:tcBorders>
              <w:top w:val="nil"/>
              <w:left w:val="nil"/>
              <w:bottom w:val="nil"/>
              <w:right w:val="nil"/>
            </w:tcBorders>
            <w:noWrap/>
            <w:vAlign w:val="bottom"/>
            <w:hideMark/>
          </w:tcPr>
          <w:p w14:paraId="7B4ACB2D"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60" w:type="dxa"/>
            <w:tcBorders>
              <w:top w:val="nil"/>
              <w:left w:val="nil"/>
              <w:bottom w:val="nil"/>
              <w:right w:val="nil"/>
            </w:tcBorders>
            <w:noWrap/>
            <w:vAlign w:val="bottom"/>
            <w:hideMark/>
          </w:tcPr>
          <w:p w14:paraId="7F61838A"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000" w:type="dxa"/>
            <w:tcBorders>
              <w:top w:val="nil"/>
              <w:left w:val="nil"/>
              <w:bottom w:val="nil"/>
              <w:right w:val="nil"/>
            </w:tcBorders>
            <w:noWrap/>
            <w:vAlign w:val="bottom"/>
            <w:hideMark/>
          </w:tcPr>
          <w:p w14:paraId="5B00519F"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000" w:type="dxa"/>
            <w:tcBorders>
              <w:top w:val="nil"/>
              <w:left w:val="nil"/>
              <w:bottom w:val="nil"/>
              <w:right w:val="nil"/>
            </w:tcBorders>
            <w:noWrap/>
            <w:vAlign w:val="bottom"/>
            <w:hideMark/>
          </w:tcPr>
          <w:p w14:paraId="364830C8" w14:textId="77777777" w:rsidR="00E91426" w:rsidRPr="00E91426" w:rsidRDefault="00E91426" w:rsidP="00E91426">
            <w:pPr>
              <w:widowControl/>
              <w:jc w:val="right"/>
              <w:rPr>
                <w:rFonts w:ascii="Arial" w:eastAsia="Times New Roman" w:hAnsi="Arial" w:cs="Arial"/>
                <w:sz w:val="20"/>
                <w:szCs w:val="20"/>
                <w:lang w:val="en-GB" w:eastAsia="en-GB"/>
              </w:rPr>
            </w:pPr>
          </w:p>
        </w:tc>
      </w:tr>
      <w:tr w:rsidR="00E91426" w:rsidRPr="00E91426" w14:paraId="78CC034D" w14:textId="77777777" w:rsidTr="00E91426">
        <w:trPr>
          <w:trHeight w:val="282"/>
        </w:trPr>
        <w:tc>
          <w:tcPr>
            <w:tcW w:w="4620" w:type="dxa"/>
            <w:tcBorders>
              <w:top w:val="nil"/>
              <w:left w:val="nil"/>
              <w:bottom w:val="nil"/>
              <w:right w:val="nil"/>
            </w:tcBorders>
            <w:vAlign w:val="bottom"/>
            <w:hideMark/>
          </w:tcPr>
          <w:p w14:paraId="0C65916D"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Fruitless payments</w:t>
            </w:r>
          </w:p>
        </w:tc>
        <w:tc>
          <w:tcPr>
            <w:tcW w:w="1000" w:type="dxa"/>
            <w:tcBorders>
              <w:top w:val="nil"/>
              <w:left w:val="nil"/>
              <w:bottom w:val="nil"/>
              <w:right w:val="nil"/>
            </w:tcBorders>
            <w:noWrap/>
            <w:vAlign w:val="bottom"/>
            <w:hideMark/>
          </w:tcPr>
          <w:p w14:paraId="2F88CCA1"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w:t>
            </w:r>
          </w:p>
        </w:tc>
        <w:tc>
          <w:tcPr>
            <w:tcW w:w="1000" w:type="dxa"/>
            <w:tcBorders>
              <w:top w:val="nil"/>
              <w:left w:val="nil"/>
              <w:bottom w:val="nil"/>
              <w:right w:val="nil"/>
            </w:tcBorders>
            <w:noWrap/>
            <w:vAlign w:val="bottom"/>
            <w:hideMark/>
          </w:tcPr>
          <w:p w14:paraId="2E1F01A6"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6</w:t>
            </w:r>
          </w:p>
        </w:tc>
        <w:tc>
          <w:tcPr>
            <w:tcW w:w="160" w:type="dxa"/>
            <w:tcBorders>
              <w:top w:val="nil"/>
              <w:left w:val="nil"/>
              <w:bottom w:val="nil"/>
              <w:right w:val="nil"/>
            </w:tcBorders>
            <w:noWrap/>
            <w:vAlign w:val="bottom"/>
            <w:hideMark/>
          </w:tcPr>
          <w:p w14:paraId="768F09E1"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00" w:type="dxa"/>
            <w:tcBorders>
              <w:top w:val="nil"/>
              <w:left w:val="nil"/>
              <w:bottom w:val="nil"/>
              <w:right w:val="nil"/>
            </w:tcBorders>
            <w:noWrap/>
            <w:vAlign w:val="bottom"/>
            <w:hideMark/>
          </w:tcPr>
          <w:p w14:paraId="687AEF00"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w:t>
            </w:r>
          </w:p>
        </w:tc>
        <w:tc>
          <w:tcPr>
            <w:tcW w:w="1000" w:type="dxa"/>
            <w:tcBorders>
              <w:top w:val="nil"/>
              <w:left w:val="nil"/>
              <w:bottom w:val="nil"/>
              <w:right w:val="nil"/>
            </w:tcBorders>
            <w:noWrap/>
            <w:vAlign w:val="bottom"/>
            <w:hideMark/>
          </w:tcPr>
          <w:p w14:paraId="4F2FD35A"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9</w:t>
            </w:r>
          </w:p>
        </w:tc>
      </w:tr>
      <w:tr w:rsidR="00E91426" w:rsidRPr="00E91426" w14:paraId="35CCF085" w14:textId="77777777" w:rsidTr="00E91426">
        <w:trPr>
          <w:trHeight w:val="282"/>
        </w:trPr>
        <w:tc>
          <w:tcPr>
            <w:tcW w:w="4620" w:type="dxa"/>
            <w:tcBorders>
              <w:top w:val="nil"/>
              <w:left w:val="nil"/>
              <w:bottom w:val="nil"/>
              <w:right w:val="nil"/>
            </w:tcBorders>
            <w:vAlign w:val="bottom"/>
            <w:hideMark/>
          </w:tcPr>
          <w:p w14:paraId="45A7987C"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Bad debts and claims abandoned</w:t>
            </w:r>
          </w:p>
        </w:tc>
        <w:tc>
          <w:tcPr>
            <w:tcW w:w="1000" w:type="dxa"/>
            <w:tcBorders>
              <w:top w:val="nil"/>
              <w:left w:val="nil"/>
              <w:bottom w:val="nil"/>
              <w:right w:val="nil"/>
            </w:tcBorders>
            <w:noWrap/>
            <w:vAlign w:val="bottom"/>
            <w:hideMark/>
          </w:tcPr>
          <w:p w14:paraId="49919C19"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111</w:t>
            </w:r>
          </w:p>
        </w:tc>
        <w:tc>
          <w:tcPr>
            <w:tcW w:w="1000" w:type="dxa"/>
            <w:tcBorders>
              <w:top w:val="nil"/>
              <w:left w:val="nil"/>
              <w:bottom w:val="nil"/>
              <w:right w:val="nil"/>
            </w:tcBorders>
            <w:noWrap/>
            <w:vAlign w:val="bottom"/>
            <w:hideMark/>
          </w:tcPr>
          <w:p w14:paraId="721E36C2"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292</w:t>
            </w:r>
          </w:p>
        </w:tc>
        <w:tc>
          <w:tcPr>
            <w:tcW w:w="160" w:type="dxa"/>
            <w:tcBorders>
              <w:top w:val="nil"/>
              <w:left w:val="nil"/>
              <w:bottom w:val="nil"/>
              <w:right w:val="nil"/>
            </w:tcBorders>
            <w:noWrap/>
            <w:vAlign w:val="bottom"/>
            <w:hideMark/>
          </w:tcPr>
          <w:p w14:paraId="0C279BDA"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00" w:type="dxa"/>
            <w:tcBorders>
              <w:top w:val="nil"/>
              <w:left w:val="nil"/>
              <w:bottom w:val="nil"/>
              <w:right w:val="nil"/>
            </w:tcBorders>
            <w:noWrap/>
            <w:vAlign w:val="bottom"/>
            <w:hideMark/>
          </w:tcPr>
          <w:p w14:paraId="6692B8E9"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115</w:t>
            </w:r>
          </w:p>
        </w:tc>
        <w:tc>
          <w:tcPr>
            <w:tcW w:w="1000" w:type="dxa"/>
            <w:tcBorders>
              <w:top w:val="nil"/>
              <w:left w:val="nil"/>
              <w:bottom w:val="nil"/>
              <w:right w:val="nil"/>
            </w:tcBorders>
            <w:noWrap/>
            <w:vAlign w:val="bottom"/>
            <w:hideMark/>
          </w:tcPr>
          <w:p w14:paraId="25CC9DC2"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85</w:t>
            </w:r>
          </w:p>
        </w:tc>
      </w:tr>
      <w:tr w:rsidR="00E91426" w:rsidRPr="00E91426" w14:paraId="610910F8" w14:textId="77777777" w:rsidTr="00E91426">
        <w:trPr>
          <w:trHeight w:val="282"/>
        </w:trPr>
        <w:tc>
          <w:tcPr>
            <w:tcW w:w="4620" w:type="dxa"/>
            <w:tcBorders>
              <w:top w:val="nil"/>
              <w:left w:val="nil"/>
              <w:bottom w:val="nil"/>
              <w:right w:val="nil"/>
            </w:tcBorders>
            <w:vAlign w:val="bottom"/>
            <w:hideMark/>
          </w:tcPr>
          <w:p w14:paraId="1233FE61"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Stores losses and damage to property</w:t>
            </w:r>
          </w:p>
        </w:tc>
        <w:tc>
          <w:tcPr>
            <w:tcW w:w="1000" w:type="dxa"/>
            <w:tcBorders>
              <w:top w:val="nil"/>
              <w:left w:val="nil"/>
              <w:bottom w:val="nil"/>
              <w:right w:val="nil"/>
            </w:tcBorders>
            <w:noWrap/>
            <w:vAlign w:val="bottom"/>
            <w:hideMark/>
          </w:tcPr>
          <w:p w14:paraId="6FB27D77"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13</w:t>
            </w:r>
          </w:p>
        </w:tc>
        <w:tc>
          <w:tcPr>
            <w:tcW w:w="1000" w:type="dxa"/>
            <w:tcBorders>
              <w:top w:val="nil"/>
              <w:left w:val="nil"/>
              <w:bottom w:val="nil"/>
              <w:right w:val="nil"/>
            </w:tcBorders>
            <w:noWrap/>
            <w:vAlign w:val="bottom"/>
            <w:hideMark/>
          </w:tcPr>
          <w:p w14:paraId="2D844135"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315</w:t>
            </w:r>
          </w:p>
        </w:tc>
        <w:tc>
          <w:tcPr>
            <w:tcW w:w="160" w:type="dxa"/>
            <w:tcBorders>
              <w:top w:val="nil"/>
              <w:left w:val="nil"/>
              <w:bottom w:val="nil"/>
              <w:right w:val="nil"/>
            </w:tcBorders>
            <w:noWrap/>
            <w:vAlign w:val="bottom"/>
            <w:hideMark/>
          </w:tcPr>
          <w:p w14:paraId="45C65536"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00" w:type="dxa"/>
            <w:tcBorders>
              <w:top w:val="nil"/>
              <w:left w:val="nil"/>
              <w:bottom w:val="nil"/>
              <w:right w:val="nil"/>
            </w:tcBorders>
            <w:noWrap/>
            <w:vAlign w:val="bottom"/>
            <w:hideMark/>
          </w:tcPr>
          <w:p w14:paraId="64BFD2FB"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14</w:t>
            </w:r>
          </w:p>
        </w:tc>
        <w:tc>
          <w:tcPr>
            <w:tcW w:w="1000" w:type="dxa"/>
            <w:tcBorders>
              <w:top w:val="nil"/>
              <w:left w:val="nil"/>
              <w:bottom w:val="nil"/>
              <w:right w:val="nil"/>
            </w:tcBorders>
            <w:noWrap/>
            <w:vAlign w:val="bottom"/>
            <w:hideMark/>
          </w:tcPr>
          <w:p w14:paraId="2E0DC346"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161</w:t>
            </w:r>
          </w:p>
        </w:tc>
      </w:tr>
      <w:tr w:rsidR="00E91426" w:rsidRPr="00E91426" w14:paraId="2F872722" w14:textId="77777777" w:rsidTr="00E91426">
        <w:trPr>
          <w:trHeight w:val="282"/>
        </w:trPr>
        <w:tc>
          <w:tcPr>
            <w:tcW w:w="4620" w:type="dxa"/>
            <w:tcBorders>
              <w:top w:val="nil"/>
              <w:left w:val="nil"/>
              <w:bottom w:val="nil"/>
              <w:right w:val="nil"/>
            </w:tcBorders>
            <w:vAlign w:val="bottom"/>
            <w:hideMark/>
          </w:tcPr>
          <w:p w14:paraId="33DCF14E"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Total losses</w:t>
            </w:r>
          </w:p>
        </w:tc>
        <w:tc>
          <w:tcPr>
            <w:tcW w:w="1000" w:type="dxa"/>
            <w:tcBorders>
              <w:top w:val="single" w:sz="4" w:space="0" w:color="auto"/>
              <w:left w:val="nil"/>
              <w:bottom w:val="single" w:sz="4" w:space="0" w:color="auto"/>
              <w:right w:val="nil"/>
            </w:tcBorders>
            <w:noWrap/>
            <w:vAlign w:val="bottom"/>
            <w:hideMark/>
          </w:tcPr>
          <w:p w14:paraId="3E2216CD"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125</w:t>
            </w:r>
          </w:p>
        </w:tc>
        <w:tc>
          <w:tcPr>
            <w:tcW w:w="1000" w:type="dxa"/>
            <w:tcBorders>
              <w:top w:val="single" w:sz="4" w:space="0" w:color="auto"/>
              <w:left w:val="nil"/>
              <w:bottom w:val="single" w:sz="4" w:space="0" w:color="auto"/>
              <w:right w:val="nil"/>
            </w:tcBorders>
            <w:noWrap/>
            <w:vAlign w:val="bottom"/>
            <w:hideMark/>
          </w:tcPr>
          <w:p w14:paraId="3CD18BAB"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613</w:t>
            </w:r>
          </w:p>
        </w:tc>
        <w:tc>
          <w:tcPr>
            <w:tcW w:w="160" w:type="dxa"/>
            <w:tcBorders>
              <w:top w:val="nil"/>
              <w:left w:val="nil"/>
              <w:bottom w:val="nil"/>
              <w:right w:val="nil"/>
            </w:tcBorders>
            <w:noWrap/>
            <w:vAlign w:val="bottom"/>
            <w:hideMark/>
          </w:tcPr>
          <w:p w14:paraId="4DE7E6C1"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000" w:type="dxa"/>
            <w:tcBorders>
              <w:top w:val="single" w:sz="4" w:space="0" w:color="auto"/>
              <w:left w:val="nil"/>
              <w:bottom w:val="single" w:sz="4" w:space="0" w:color="auto"/>
              <w:right w:val="nil"/>
            </w:tcBorders>
            <w:noWrap/>
            <w:vAlign w:val="bottom"/>
            <w:hideMark/>
          </w:tcPr>
          <w:p w14:paraId="548C467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130</w:t>
            </w:r>
          </w:p>
        </w:tc>
        <w:tc>
          <w:tcPr>
            <w:tcW w:w="1000" w:type="dxa"/>
            <w:tcBorders>
              <w:top w:val="single" w:sz="4" w:space="0" w:color="auto"/>
              <w:left w:val="nil"/>
              <w:bottom w:val="single" w:sz="4" w:space="0" w:color="auto"/>
              <w:right w:val="nil"/>
            </w:tcBorders>
            <w:noWrap/>
            <w:vAlign w:val="bottom"/>
            <w:hideMark/>
          </w:tcPr>
          <w:p w14:paraId="24782098"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255</w:t>
            </w:r>
          </w:p>
        </w:tc>
      </w:tr>
      <w:tr w:rsidR="00E91426" w:rsidRPr="00E91426" w14:paraId="7F10247B" w14:textId="77777777" w:rsidTr="00E91426">
        <w:trPr>
          <w:trHeight w:val="282"/>
        </w:trPr>
        <w:tc>
          <w:tcPr>
            <w:tcW w:w="4620" w:type="dxa"/>
            <w:tcBorders>
              <w:top w:val="nil"/>
              <w:left w:val="nil"/>
              <w:bottom w:val="nil"/>
              <w:right w:val="nil"/>
            </w:tcBorders>
            <w:vAlign w:val="bottom"/>
            <w:hideMark/>
          </w:tcPr>
          <w:p w14:paraId="6EF51ADE"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Special payments</w:t>
            </w:r>
          </w:p>
        </w:tc>
        <w:tc>
          <w:tcPr>
            <w:tcW w:w="1000" w:type="dxa"/>
            <w:tcBorders>
              <w:top w:val="nil"/>
              <w:left w:val="nil"/>
              <w:bottom w:val="nil"/>
              <w:right w:val="nil"/>
            </w:tcBorders>
            <w:noWrap/>
            <w:vAlign w:val="bottom"/>
            <w:hideMark/>
          </w:tcPr>
          <w:p w14:paraId="4C14967B"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1000" w:type="dxa"/>
            <w:tcBorders>
              <w:top w:val="nil"/>
              <w:left w:val="nil"/>
              <w:bottom w:val="nil"/>
              <w:right w:val="nil"/>
            </w:tcBorders>
            <w:noWrap/>
            <w:vAlign w:val="bottom"/>
            <w:hideMark/>
          </w:tcPr>
          <w:p w14:paraId="4CDDD2CF"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60" w:type="dxa"/>
            <w:tcBorders>
              <w:top w:val="nil"/>
              <w:left w:val="nil"/>
              <w:bottom w:val="nil"/>
              <w:right w:val="nil"/>
            </w:tcBorders>
            <w:noWrap/>
            <w:vAlign w:val="bottom"/>
            <w:hideMark/>
          </w:tcPr>
          <w:p w14:paraId="74ED3F24"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000" w:type="dxa"/>
            <w:tcBorders>
              <w:top w:val="nil"/>
              <w:left w:val="nil"/>
              <w:bottom w:val="nil"/>
              <w:right w:val="nil"/>
            </w:tcBorders>
            <w:noWrap/>
            <w:vAlign w:val="bottom"/>
            <w:hideMark/>
          </w:tcPr>
          <w:p w14:paraId="4C9C3027"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000" w:type="dxa"/>
            <w:tcBorders>
              <w:top w:val="nil"/>
              <w:left w:val="nil"/>
              <w:bottom w:val="nil"/>
              <w:right w:val="nil"/>
            </w:tcBorders>
            <w:noWrap/>
            <w:vAlign w:val="bottom"/>
            <w:hideMark/>
          </w:tcPr>
          <w:p w14:paraId="1EF02D8C" w14:textId="77777777" w:rsidR="00E91426" w:rsidRPr="00E91426" w:rsidRDefault="00E91426" w:rsidP="00E91426">
            <w:pPr>
              <w:widowControl/>
              <w:jc w:val="right"/>
              <w:rPr>
                <w:rFonts w:ascii="Arial" w:eastAsia="Times New Roman" w:hAnsi="Arial" w:cs="Arial"/>
                <w:sz w:val="20"/>
                <w:szCs w:val="20"/>
                <w:lang w:val="en-GB" w:eastAsia="en-GB"/>
              </w:rPr>
            </w:pPr>
          </w:p>
        </w:tc>
      </w:tr>
      <w:tr w:rsidR="00E91426" w:rsidRPr="00E91426" w14:paraId="6F05A137" w14:textId="77777777" w:rsidTr="00E91426">
        <w:trPr>
          <w:trHeight w:val="282"/>
        </w:trPr>
        <w:tc>
          <w:tcPr>
            <w:tcW w:w="4620" w:type="dxa"/>
            <w:tcBorders>
              <w:top w:val="nil"/>
              <w:left w:val="nil"/>
              <w:bottom w:val="nil"/>
              <w:right w:val="nil"/>
            </w:tcBorders>
            <w:vAlign w:val="bottom"/>
            <w:hideMark/>
          </w:tcPr>
          <w:p w14:paraId="29546D9C"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Ex-gratia payments</w:t>
            </w:r>
          </w:p>
        </w:tc>
        <w:tc>
          <w:tcPr>
            <w:tcW w:w="1000" w:type="dxa"/>
            <w:tcBorders>
              <w:top w:val="nil"/>
              <w:left w:val="nil"/>
              <w:bottom w:val="nil"/>
              <w:right w:val="nil"/>
            </w:tcBorders>
            <w:noWrap/>
            <w:vAlign w:val="bottom"/>
            <w:hideMark/>
          </w:tcPr>
          <w:p w14:paraId="26FDB4F1"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24</w:t>
            </w:r>
          </w:p>
        </w:tc>
        <w:tc>
          <w:tcPr>
            <w:tcW w:w="1000" w:type="dxa"/>
            <w:tcBorders>
              <w:top w:val="nil"/>
              <w:left w:val="nil"/>
              <w:bottom w:val="nil"/>
              <w:right w:val="nil"/>
            </w:tcBorders>
            <w:noWrap/>
            <w:vAlign w:val="bottom"/>
            <w:hideMark/>
          </w:tcPr>
          <w:p w14:paraId="6E134F06"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130</w:t>
            </w:r>
          </w:p>
        </w:tc>
        <w:tc>
          <w:tcPr>
            <w:tcW w:w="160" w:type="dxa"/>
            <w:tcBorders>
              <w:top w:val="nil"/>
              <w:left w:val="nil"/>
              <w:bottom w:val="nil"/>
              <w:right w:val="nil"/>
            </w:tcBorders>
            <w:noWrap/>
            <w:vAlign w:val="bottom"/>
            <w:hideMark/>
          </w:tcPr>
          <w:p w14:paraId="75CB9256"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00" w:type="dxa"/>
            <w:tcBorders>
              <w:top w:val="nil"/>
              <w:left w:val="nil"/>
              <w:bottom w:val="nil"/>
              <w:right w:val="nil"/>
            </w:tcBorders>
            <w:noWrap/>
            <w:vAlign w:val="bottom"/>
            <w:hideMark/>
          </w:tcPr>
          <w:p w14:paraId="1DB9E282"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17</w:t>
            </w:r>
          </w:p>
        </w:tc>
        <w:tc>
          <w:tcPr>
            <w:tcW w:w="1000" w:type="dxa"/>
            <w:tcBorders>
              <w:top w:val="nil"/>
              <w:left w:val="nil"/>
              <w:bottom w:val="nil"/>
              <w:right w:val="nil"/>
            </w:tcBorders>
            <w:noWrap/>
            <w:vAlign w:val="bottom"/>
            <w:hideMark/>
          </w:tcPr>
          <w:p w14:paraId="7F33530A"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48</w:t>
            </w:r>
          </w:p>
        </w:tc>
      </w:tr>
      <w:tr w:rsidR="00E91426" w:rsidRPr="00E91426" w14:paraId="1DF7EA87" w14:textId="77777777" w:rsidTr="00E91426">
        <w:trPr>
          <w:trHeight w:val="282"/>
        </w:trPr>
        <w:tc>
          <w:tcPr>
            <w:tcW w:w="4620" w:type="dxa"/>
            <w:tcBorders>
              <w:top w:val="nil"/>
              <w:left w:val="nil"/>
              <w:bottom w:val="nil"/>
              <w:right w:val="nil"/>
            </w:tcBorders>
            <w:vAlign w:val="bottom"/>
            <w:hideMark/>
          </w:tcPr>
          <w:p w14:paraId="46069B1D"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Special severance payments</w:t>
            </w:r>
          </w:p>
        </w:tc>
        <w:tc>
          <w:tcPr>
            <w:tcW w:w="1000" w:type="dxa"/>
            <w:tcBorders>
              <w:top w:val="nil"/>
              <w:left w:val="nil"/>
              <w:bottom w:val="nil"/>
              <w:right w:val="nil"/>
            </w:tcBorders>
            <w:noWrap/>
            <w:vAlign w:val="bottom"/>
            <w:hideMark/>
          </w:tcPr>
          <w:p w14:paraId="0679832D"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000" w:type="dxa"/>
            <w:tcBorders>
              <w:top w:val="nil"/>
              <w:left w:val="nil"/>
              <w:bottom w:val="nil"/>
              <w:right w:val="nil"/>
            </w:tcBorders>
            <w:noWrap/>
            <w:vAlign w:val="bottom"/>
            <w:hideMark/>
          </w:tcPr>
          <w:p w14:paraId="7EAA0E71"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60" w:type="dxa"/>
            <w:tcBorders>
              <w:top w:val="nil"/>
              <w:left w:val="nil"/>
              <w:bottom w:val="nil"/>
              <w:right w:val="nil"/>
            </w:tcBorders>
            <w:noWrap/>
            <w:vAlign w:val="bottom"/>
            <w:hideMark/>
          </w:tcPr>
          <w:p w14:paraId="5CF8EEA0"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00" w:type="dxa"/>
            <w:tcBorders>
              <w:top w:val="nil"/>
              <w:left w:val="nil"/>
              <w:bottom w:val="nil"/>
              <w:right w:val="nil"/>
            </w:tcBorders>
            <w:noWrap/>
            <w:vAlign w:val="bottom"/>
            <w:hideMark/>
          </w:tcPr>
          <w:p w14:paraId="54E7476A"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000" w:type="dxa"/>
            <w:tcBorders>
              <w:top w:val="nil"/>
              <w:left w:val="nil"/>
              <w:bottom w:val="nil"/>
              <w:right w:val="nil"/>
            </w:tcBorders>
            <w:noWrap/>
            <w:vAlign w:val="bottom"/>
            <w:hideMark/>
          </w:tcPr>
          <w:p w14:paraId="47AB9ECD"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r>
      <w:tr w:rsidR="00E91426" w:rsidRPr="00E91426" w14:paraId="78DB0065" w14:textId="77777777" w:rsidTr="00E91426">
        <w:trPr>
          <w:trHeight w:val="282"/>
        </w:trPr>
        <w:tc>
          <w:tcPr>
            <w:tcW w:w="4620" w:type="dxa"/>
            <w:tcBorders>
              <w:top w:val="nil"/>
              <w:left w:val="nil"/>
              <w:bottom w:val="nil"/>
              <w:right w:val="nil"/>
            </w:tcBorders>
            <w:vAlign w:val="bottom"/>
            <w:hideMark/>
          </w:tcPr>
          <w:p w14:paraId="4AECFE88"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Extra-statutory and extra-regulatory payments</w:t>
            </w:r>
          </w:p>
        </w:tc>
        <w:tc>
          <w:tcPr>
            <w:tcW w:w="1000" w:type="dxa"/>
            <w:tcBorders>
              <w:top w:val="nil"/>
              <w:left w:val="nil"/>
              <w:bottom w:val="nil"/>
              <w:right w:val="nil"/>
            </w:tcBorders>
            <w:noWrap/>
            <w:vAlign w:val="bottom"/>
            <w:hideMark/>
          </w:tcPr>
          <w:p w14:paraId="00ED77CF"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000" w:type="dxa"/>
            <w:tcBorders>
              <w:top w:val="nil"/>
              <w:left w:val="nil"/>
              <w:bottom w:val="nil"/>
              <w:right w:val="nil"/>
            </w:tcBorders>
            <w:noWrap/>
            <w:vAlign w:val="bottom"/>
            <w:hideMark/>
          </w:tcPr>
          <w:p w14:paraId="3119EFDB"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60" w:type="dxa"/>
            <w:tcBorders>
              <w:top w:val="nil"/>
              <w:left w:val="nil"/>
              <w:bottom w:val="nil"/>
              <w:right w:val="nil"/>
            </w:tcBorders>
            <w:noWrap/>
            <w:vAlign w:val="bottom"/>
            <w:hideMark/>
          </w:tcPr>
          <w:p w14:paraId="4B136C1E"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00" w:type="dxa"/>
            <w:tcBorders>
              <w:top w:val="nil"/>
              <w:left w:val="nil"/>
              <w:bottom w:val="nil"/>
              <w:right w:val="nil"/>
            </w:tcBorders>
            <w:noWrap/>
            <w:vAlign w:val="bottom"/>
            <w:hideMark/>
          </w:tcPr>
          <w:p w14:paraId="43278BC9"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000" w:type="dxa"/>
            <w:tcBorders>
              <w:top w:val="nil"/>
              <w:left w:val="nil"/>
              <w:bottom w:val="nil"/>
              <w:right w:val="nil"/>
            </w:tcBorders>
            <w:noWrap/>
            <w:vAlign w:val="bottom"/>
            <w:hideMark/>
          </w:tcPr>
          <w:p w14:paraId="5F2A67BF"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r>
      <w:tr w:rsidR="00E91426" w:rsidRPr="00E91426" w14:paraId="07254D11" w14:textId="77777777" w:rsidTr="00E91426">
        <w:trPr>
          <w:trHeight w:val="282"/>
        </w:trPr>
        <w:tc>
          <w:tcPr>
            <w:tcW w:w="4620" w:type="dxa"/>
            <w:tcBorders>
              <w:top w:val="nil"/>
              <w:left w:val="nil"/>
              <w:bottom w:val="nil"/>
              <w:right w:val="nil"/>
            </w:tcBorders>
            <w:vAlign w:val="bottom"/>
            <w:hideMark/>
          </w:tcPr>
          <w:p w14:paraId="04AB261F"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Total special payments</w:t>
            </w:r>
          </w:p>
        </w:tc>
        <w:tc>
          <w:tcPr>
            <w:tcW w:w="1000" w:type="dxa"/>
            <w:tcBorders>
              <w:top w:val="single" w:sz="4" w:space="0" w:color="auto"/>
              <w:left w:val="nil"/>
              <w:bottom w:val="single" w:sz="4" w:space="0" w:color="auto"/>
              <w:right w:val="nil"/>
            </w:tcBorders>
            <w:noWrap/>
            <w:vAlign w:val="bottom"/>
            <w:hideMark/>
          </w:tcPr>
          <w:p w14:paraId="34E2177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24</w:t>
            </w:r>
          </w:p>
        </w:tc>
        <w:tc>
          <w:tcPr>
            <w:tcW w:w="1000" w:type="dxa"/>
            <w:tcBorders>
              <w:top w:val="single" w:sz="4" w:space="0" w:color="auto"/>
              <w:left w:val="nil"/>
              <w:bottom w:val="single" w:sz="4" w:space="0" w:color="auto"/>
              <w:right w:val="nil"/>
            </w:tcBorders>
            <w:noWrap/>
            <w:vAlign w:val="bottom"/>
            <w:hideMark/>
          </w:tcPr>
          <w:p w14:paraId="60AA8CB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130</w:t>
            </w:r>
          </w:p>
        </w:tc>
        <w:tc>
          <w:tcPr>
            <w:tcW w:w="160" w:type="dxa"/>
            <w:tcBorders>
              <w:top w:val="nil"/>
              <w:left w:val="nil"/>
              <w:bottom w:val="nil"/>
              <w:right w:val="nil"/>
            </w:tcBorders>
            <w:noWrap/>
            <w:vAlign w:val="bottom"/>
            <w:hideMark/>
          </w:tcPr>
          <w:p w14:paraId="09E51E9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000" w:type="dxa"/>
            <w:tcBorders>
              <w:top w:val="single" w:sz="4" w:space="0" w:color="auto"/>
              <w:left w:val="nil"/>
              <w:bottom w:val="single" w:sz="4" w:space="0" w:color="auto"/>
              <w:right w:val="nil"/>
            </w:tcBorders>
            <w:noWrap/>
            <w:vAlign w:val="bottom"/>
            <w:hideMark/>
          </w:tcPr>
          <w:p w14:paraId="35D2BBE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17</w:t>
            </w:r>
          </w:p>
        </w:tc>
        <w:tc>
          <w:tcPr>
            <w:tcW w:w="1000" w:type="dxa"/>
            <w:tcBorders>
              <w:top w:val="single" w:sz="4" w:space="0" w:color="auto"/>
              <w:left w:val="nil"/>
              <w:bottom w:val="single" w:sz="4" w:space="0" w:color="auto"/>
              <w:right w:val="nil"/>
            </w:tcBorders>
            <w:noWrap/>
            <w:vAlign w:val="bottom"/>
            <w:hideMark/>
          </w:tcPr>
          <w:p w14:paraId="70805AB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48</w:t>
            </w:r>
          </w:p>
        </w:tc>
      </w:tr>
      <w:tr w:rsidR="00E91426" w:rsidRPr="00E91426" w14:paraId="38045279" w14:textId="77777777" w:rsidTr="00E91426">
        <w:trPr>
          <w:trHeight w:val="282"/>
        </w:trPr>
        <w:tc>
          <w:tcPr>
            <w:tcW w:w="4620" w:type="dxa"/>
            <w:tcBorders>
              <w:top w:val="nil"/>
              <w:left w:val="nil"/>
              <w:bottom w:val="nil"/>
              <w:right w:val="nil"/>
            </w:tcBorders>
            <w:noWrap/>
            <w:vAlign w:val="bottom"/>
            <w:hideMark/>
          </w:tcPr>
          <w:p w14:paraId="3D0A4158"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Total losses and special payments</w:t>
            </w:r>
          </w:p>
        </w:tc>
        <w:tc>
          <w:tcPr>
            <w:tcW w:w="1000" w:type="dxa"/>
            <w:tcBorders>
              <w:top w:val="nil"/>
              <w:left w:val="nil"/>
              <w:bottom w:val="double" w:sz="6" w:space="0" w:color="auto"/>
              <w:right w:val="nil"/>
            </w:tcBorders>
            <w:noWrap/>
            <w:vAlign w:val="bottom"/>
            <w:hideMark/>
          </w:tcPr>
          <w:p w14:paraId="4D79A15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149</w:t>
            </w:r>
          </w:p>
        </w:tc>
        <w:tc>
          <w:tcPr>
            <w:tcW w:w="1000" w:type="dxa"/>
            <w:tcBorders>
              <w:top w:val="nil"/>
              <w:left w:val="nil"/>
              <w:bottom w:val="double" w:sz="6" w:space="0" w:color="auto"/>
              <w:right w:val="nil"/>
            </w:tcBorders>
            <w:noWrap/>
            <w:vAlign w:val="bottom"/>
            <w:hideMark/>
          </w:tcPr>
          <w:p w14:paraId="4E2F4E50"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743</w:t>
            </w:r>
          </w:p>
        </w:tc>
        <w:tc>
          <w:tcPr>
            <w:tcW w:w="160" w:type="dxa"/>
            <w:tcBorders>
              <w:top w:val="nil"/>
              <w:left w:val="nil"/>
              <w:bottom w:val="nil"/>
              <w:right w:val="nil"/>
            </w:tcBorders>
            <w:noWrap/>
            <w:vAlign w:val="bottom"/>
            <w:hideMark/>
          </w:tcPr>
          <w:p w14:paraId="07DC2663"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000" w:type="dxa"/>
            <w:tcBorders>
              <w:top w:val="nil"/>
              <w:left w:val="nil"/>
              <w:bottom w:val="double" w:sz="6" w:space="0" w:color="auto"/>
              <w:right w:val="nil"/>
            </w:tcBorders>
            <w:noWrap/>
            <w:vAlign w:val="bottom"/>
            <w:hideMark/>
          </w:tcPr>
          <w:p w14:paraId="23B956D8"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147</w:t>
            </w:r>
          </w:p>
        </w:tc>
        <w:tc>
          <w:tcPr>
            <w:tcW w:w="1000" w:type="dxa"/>
            <w:tcBorders>
              <w:top w:val="nil"/>
              <w:left w:val="nil"/>
              <w:bottom w:val="double" w:sz="6" w:space="0" w:color="auto"/>
              <w:right w:val="nil"/>
            </w:tcBorders>
            <w:noWrap/>
            <w:vAlign w:val="bottom"/>
            <w:hideMark/>
          </w:tcPr>
          <w:p w14:paraId="18455CC3"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303</w:t>
            </w:r>
          </w:p>
        </w:tc>
      </w:tr>
    </w:tbl>
    <w:p w14:paraId="18DCB730" w14:textId="77777777" w:rsidR="00E91426" w:rsidRPr="00E91426" w:rsidRDefault="00E91426" w:rsidP="00E91426">
      <w:pPr>
        <w:widowControl/>
        <w:spacing w:after="160" w:line="259" w:lineRule="auto"/>
        <w:rPr>
          <w:rFonts w:ascii="Arial" w:eastAsia="Calibri" w:hAnsi="Arial" w:cs="Arial"/>
          <w:sz w:val="20"/>
          <w:szCs w:val="20"/>
          <w:lang w:val="en-GB"/>
        </w:rPr>
      </w:pPr>
    </w:p>
    <w:p w14:paraId="666C6DFF" w14:textId="77777777" w:rsidR="00E91426" w:rsidRPr="00E91426" w:rsidRDefault="00E91426" w:rsidP="00E91426">
      <w:pPr>
        <w:keepNext/>
        <w:keepLines/>
        <w:widowControl/>
        <w:spacing w:before="40" w:line="259" w:lineRule="auto"/>
        <w:outlineLvl w:val="1"/>
        <w:rPr>
          <w:rFonts w:ascii="Arial" w:eastAsia="Times New Roman" w:hAnsi="Arial" w:cs="Arial"/>
          <w:b/>
          <w:color w:val="000000"/>
          <w:sz w:val="20"/>
          <w:szCs w:val="20"/>
          <w:lang w:val="en-GB"/>
        </w:rPr>
      </w:pPr>
      <w:bookmarkStart w:id="88" w:name="_Toc195698722"/>
      <w:r w:rsidRPr="00E91426">
        <w:rPr>
          <w:rFonts w:ascii="Arial" w:eastAsia="Times New Roman" w:hAnsi="Arial" w:cs="Arial"/>
          <w:b/>
          <w:color w:val="000000"/>
          <w:sz w:val="20"/>
          <w:szCs w:val="20"/>
          <w:lang w:val="en-GB"/>
        </w:rPr>
        <w:t>Note 25 Gifts</w:t>
      </w:r>
      <w:bookmarkEnd w:id="88"/>
    </w:p>
    <w:p w14:paraId="68C4CD5D" w14:textId="77777777" w:rsidR="00E91426" w:rsidRPr="00E91426" w:rsidRDefault="00E91426" w:rsidP="00E91426">
      <w:pPr>
        <w:widowControl/>
        <w:spacing w:after="160" w:line="259" w:lineRule="auto"/>
        <w:rPr>
          <w:rFonts w:ascii="Arial" w:eastAsia="Calibri" w:hAnsi="Arial" w:cs="Arial"/>
          <w:sz w:val="20"/>
          <w:szCs w:val="20"/>
          <w:lang w:val="en-GB"/>
        </w:rPr>
      </w:pPr>
    </w:p>
    <w:p w14:paraId="6107610B" w14:textId="77777777" w:rsidR="00E91426" w:rsidRPr="00E91426" w:rsidRDefault="00E91426" w:rsidP="00E91426">
      <w:pPr>
        <w:widowControl/>
        <w:spacing w:after="160" w:line="259" w:lineRule="auto"/>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No gifts of more than £300,000 have been declared in 2024/25 or in the prior year 2023/24.</w:t>
      </w:r>
    </w:p>
    <w:p w14:paraId="7322D14A" w14:textId="77777777" w:rsidR="00E91426" w:rsidRPr="00E91426" w:rsidRDefault="00E91426" w:rsidP="00E91426">
      <w:pPr>
        <w:widowControl/>
        <w:spacing w:after="160" w:line="259" w:lineRule="auto"/>
        <w:rPr>
          <w:rFonts w:ascii="Arial" w:eastAsia="Calibri" w:hAnsi="Arial" w:cs="Arial"/>
          <w:sz w:val="20"/>
          <w:szCs w:val="20"/>
          <w:lang w:val="en-GB"/>
        </w:rPr>
      </w:pPr>
    </w:p>
    <w:p w14:paraId="19C3EC1C" w14:textId="77777777" w:rsidR="00E91426" w:rsidRPr="00E91426" w:rsidRDefault="00E91426" w:rsidP="00E91426">
      <w:pPr>
        <w:keepNext/>
        <w:keepLines/>
        <w:widowControl/>
        <w:spacing w:before="40" w:line="259" w:lineRule="auto"/>
        <w:outlineLvl w:val="1"/>
        <w:rPr>
          <w:rFonts w:ascii="Arial" w:eastAsia="Times New Roman" w:hAnsi="Arial" w:cs="Arial"/>
          <w:b/>
          <w:color w:val="000000"/>
          <w:sz w:val="20"/>
          <w:szCs w:val="20"/>
          <w:lang w:val="en-GB"/>
        </w:rPr>
      </w:pPr>
      <w:bookmarkStart w:id="89" w:name="_Toc195698723"/>
      <w:r w:rsidRPr="00E91426">
        <w:rPr>
          <w:rFonts w:ascii="Arial" w:eastAsia="Times New Roman" w:hAnsi="Arial" w:cs="Arial"/>
          <w:b/>
          <w:color w:val="000000"/>
          <w:sz w:val="20"/>
          <w:szCs w:val="20"/>
          <w:lang w:val="en-GB"/>
        </w:rPr>
        <w:t>Note 26 Third party assets</w:t>
      </w:r>
      <w:bookmarkEnd w:id="89"/>
    </w:p>
    <w:p w14:paraId="0C45BB20" w14:textId="77777777" w:rsidR="00E91426" w:rsidRPr="00E91426" w:rsidRDefault="00E91426" w:rsidP="00E91426">
      <w:pPr>
        <w:widowControl/>
        <w:spacing w:after="160" w:line="259" w:lineRule="auto"/>
        <w:rPr>
          <w:rFonts w:ascii="Arial" w:eastAsia="Calibri" w:hAnsi="Arial" w:cs="Arial"/>
          <w:sz w:val="20"/>
          <w:szCs w:val="20"/>
          <w:lang w:val="en-GB"/>
        </w:rPr>
      </w:pPr>
    </w:p>
    <w:p w14:paraId="6A288301" w14:textId="77777777" w:rsidR="00E91426" w:rsidRPr="00E91426" w:rsidRDefault="00E91426" w:rsidP="00E91426">
      <w:pPr>
        <w:widowControl/>
        <w:spacing w:after="160" w:line="259" w:lineRule="auto"/>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 xml:space="preserve">The Trust held £0k cash at bank and in hand at 31 March 2025 (£0k at 31 March 2024) which relates to monies held on behalf of patients.  </w:t>
      </w:r>
    </w:p>
    <w:p w14:paraId="2F36A909" w14:textId="77777777" w:rsidR="00E91426" w:rsidRPr="00E91426" w:rsidRDefault="00E91426" w:rsidP="00E91426">
      <w:pPr>
        <w:widowControl/>
        <w:spacing w:after="160" w:line="259" w:lineRule="auto"/>
        <w:rPr>
          <w:rFonts w:ascii="Arial" w:eastAsia="Calibri" w:hAnsi="Arial" w:cs="Arial"/>
          <w:sz w:val="20"/>
          <w:szCs w:val="20"/>
          <w:lang w:val="en-GB"/>
        </w:rPr>
      </w:pPr>
    </w:p>
    <w:p w14:paraId="5EFF98C8" w14:textId="77777777" w:rsidR="00E91426" w:rsidRPr="00E91426" w:rsidRDefault="00E91426" w:rsidP="00E91426">
      <w:pPr>
        <w:keepNext/>
        <w:keepLines/>
        <w:widowControl/>
        <w:spacing w:before="40" w:line="259" w:lineRule="auto"/>
        <w:outlineLvl w:val="1"/>
        <w:rPr>
          <w:rFonts w:ascii="Arial" w:eastAsia="Times New Roman" w:hAnsi="Arial" w:cs="Arial"/>
          <w:b/>
          <w:color w:val="000000"/>
          <w:sz w:val="20"/>
          <w:szCs w:val="20"/>
          <w:lang w:val="en-GB"/>
        </w:rPr>
      </w:pPr>
      <w:bookmarkStart w:id="90" w:name="_Toc195698724"/>
      <w:r w:rsidRPr="00E91426">
        <w:rPr>
          <w:rFonts w:ascii="Arial" w:eastAsia="Times New Roman" w:hAnsi="Arial" w:cs="Arial"/>
          <w:b/>
          <w:color w:val="000000"/>
          <w:sz w:val="20"/>
          <w:szCs w:val="20"/>
          <w:lang w:val="en-GB"/>
        </w:rPr>
        <w:t>Note 27 Public Dividend Capital payable</w:t>
      </w:r>
      <w:bookmarkEnd w:id="90"/>
    </w:p>
    <w:p w14:paraId="0E951AAF" w14:textId="77777777" w:rsidR="00E91426" w:rsidRPr="00E91426" w:rsidRDefault="00E91426" w:rsidP="00E91426">
      <w:pPr>
        <w:widowControl/>
        <w:spacing w:after="160" w:line="259" w:lineRule="auto"/>
        <w:rPr>
          <w:rFonts w:ascii="Arial" w:eastAsia="Calibri" w:hAnsi="Arial" w:cs="Arial"/>
          <w:sz w:val="20"/>
          <w:szCs w:val="20"/>
          <w:lang w:val="en-GB"/>
        </w:rPr>
      </w:pPr>
    </w:p>
    <w:p w14:paraId="092D5FE1" w14:textId="77777777" w:rsidR="00E91426" w:rsidRPr="00E91426" w:rsidRDefault="00E91426" w:rsidP="00E91426">
      <w:pPr>
        <w:widowControl/>
        <w:spacing w:after="160" w:line="259" w:lineRule="auto"/>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The Trust is required to demonstrate that the PDC dividend payable is in line with the actual rate of 3.5% of average relevant net assets £9,233k is payable this year (£8,835k 2023/24).</w:t>
      </w:r>
    </w:p>
    <w:p w14:paraId="2CC3E5F9" w14:textId="77777777" w:rsidR="00E91426" w:rsidRPr="00E91426" w:rsidRDefault="00E91426" w:rsidP="00E91426">
      <w:pPr>
        <w:widowControl/>
        <w:spacing w:after="160" w:line="259" w:lineRule="auto"/>
        <w:rPr>
          <w:rFonts w:ascii="Arial" w:eastAsia="Times New Roman" w:hAnsi="Arial" w:cs="Arial"/>
          <w:color w:val="000000"/>
          <w:sz w:val="20"/>
          <w:szCs w:val="20"/>
          <w:lang w:val="en-GB" w:eastAsia="en-GB"/>
        </w:rPr>
      </w:pPr>
    </w:p>
    <w:p w14:paraId="725A53E0" w14:textId="77777777" w:rsidR="00E91426" w:rsidRPr="00E91426" w:rsidRDefault="00E91426" w:rsidP="00E91426">
      <w:pPr>
        <w:keepNext/>
        <w:keepLines/>
        <w:widowControl/>
        <w:spacing w:before="40" w:line="259" w:lineRule="auto"/>
        <w:outlineLvl w:val="1"/>
        <w:rPr>
          <w:rFonts w:ascii="Arial" w:eastAsia="Times New Roman" w:hAnsi="Arial" w:cs="Arial"/>
          <w:b/>
          <w:color w:val="000000"/>
          <w:sz w:val="20"/>
          <w:szCs w:val="20"/>
          <w:lang w:val="en-GB"/>
        </w:rPr>
      </w:pPr>
      <w:bookmarkStart w:id="91" w:name="_Toc195698725"/>
      <w:r w:rsidRPr="00E91426">
        <w:rPr>
          <w:rFonts w:ascii="Arial" w:eastAsia="Times New Roman" w:hAnsi="Arial" w:cs="Arial"/>
          <w:b/>
          <w:color w:val="000000"/>
          <w:sz w:val="20"/>
          <w:szCs w:val="20"/>
          <w:lang w:val="en-GB"/>
        </w:rPr>
        <w:t>Note 28 Capital commitments</w:t>
      </w:r>
      <w:bookmarkEnd w:id="91"/>
    </w:p>
    <w:p w14:paraId="0E50B116" w14:textId="77777777" w:rsidR="00E91426" w:rsidRPr="00E91426" w:rsidRDefault="00E91426" w:rsidP="00E91426">
      <w:pPr>
        <w:widowControl/>
        <w:spacing w:after="160" w:line="259" w:lineRule="auto"/>
        <w:rPr>
          <w:rFonts w:ascii="Arial" w:eastAsia="Calibri" w:hAnsi="Arial" w:cs="Arial"/>
          <w:sz w:val="20"/>
          <w:szCs w:val="20"/>
          <w:lang w:val="en-GB"/>
        </w:rPr>
      </w:pPr>
    </w:p>
    <w:p w14:paraId="48A66472" w14:textId="77777777" w:rsidR="00E91426" w:rsidRPr="00E91426" w:rsidRDefault="00E91426" w:rsidP="00E91426">
      <w:pPr>
        <w:widowControl/>
        <w:spacing w:after="160" w:line="259" w:lineRule="auto"/>
        <w:rPr>
          <w:rFonts w:ascii="Arial" w:eastAsia="Times New Roman" w:hAnsi="Arial" w:cs="Arial"/>
          <w:color w:val="000000"/>
          <w:sz w:val="20"/>
          <w:szCs w:val="20"/>
          <w:lang w:val="en-GB" w:eastAsia="en-GB"/>
        </w:rPr>
        <w:sectPr w:rsidR="00E91426" w:rsidRPr="00E91426" w:rsidSect="00E91426">
          <w:pgSz w:w="11906" w:h="16838"/>
          <w:pgMar w:top="1276" w:right="284" w:bottom="993" w:left="1418" w:header="708" w:footer="708" w:gutter="0"/>
          <w:cols w:space="708"/>
          <w:docGrid w:linePitch="360"/>
        </w:sectPr>
      </w:pPr>
      <w:r w:rsidRPr="00E91426">
        <w:rPr>
          <w:rFonts w:ascii="Arial" w:eastAsia="Times New Roman" w:hAnsi="Arial" w:cs="Arial"/>
          <w:color w:val="000000"/>
          <w:sz w:val="20"/>
          <w:szCs w:val="20"/>
          <w:lang w:val="en-GB" w:eastAsia="en-GB"/>
        </w:rPr>
        <w:t>There are capital commitments in 2024/25 totalling £10,337k to report (£3,233k in 2023/24).</w:t>
      </w:r>
    </w:p>
    <w:p w14:paraId="32683FE2" w14:textId="77777777" w:rsidR="00E91426" w:rsidRPr="00E91426" w:rsidRDefault="00E91426" w:rsidP="00E91426">
      <w:pPr>
        <w:keepNext/>
        <w:keepLines/>
        <w:widowControl/>
        <w:spacing w:before="40" w:line="259" w:lineRule="auto"/>
        <w:outlineLvl w:val="1"/>
        <w:rPr>
          <w:rFonts w:ascii="Arial" w:eastAsia="Times New Roman" w:hAnsi="Arial" w:cs="Arial"/>
          <w:b/>
          <w:color w:val="000000"/>
          <w:sz w:val="20"/>
          <w:szCs w:val="20"/>
          <w:lang w:val="en-GB"/>
        </w:rPr>
      </w:pPr>
      <w:bookmarkStart w:id="92" w:name="_Toc195698726"/>
      <w:r w:rsidRPr="00E91426">
        <w:rPr>
          <w:rFonts w:ascii="Arial" w:eastAsia="Times New Roman" w:hAnsi="Arial" w:cs="Arial"/>
          <w:b/>
          <w:color w:val="000000"/>
          <w:sz w:val="20"/>
          <w:szCs w:val="20"/>
          <w:lang w:val="en-GB"/>
        </w:rPr>
        <w:lastRenderedPageBreak/>
        <w:t>Note 29 Related parties</w:t>
      </w:r>
      <w:bookmarkEnd w:id="92"/>
    </w:p>
    <w:p w14:paraId="64678C1A"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 xml:space="preserve">The Medway NHS Foundation Trust is a corporate body established by order of the Secretary of State for Health and Social Care. </w:t>
      </w:r>
    </w:p>
    <w:p w14:paraId="7376BAD4"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The Department of Health and Social Care is the parent department of the Medway NHS Foundation Trust.</w:t>
      </w:r>
    </w:p>
    <w:p w14:paraId="2CEA3ABF"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 xml:space="preserve">The Department of Health and Social Care is regarded as a related party.  During the year the Trust has had a significant number of material transactions with the Department and with other entities for which the Department is regarded as the parent Department.  </w:t>
      </w:r>
    </w:p>
    <w:p w14:paraId="30DC823C"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These entities are listed generally below and specifically were the value of income or expenditure exceeds £1m</w:t>
      </w:r>
    </w:p>
    <w:p w14:paraId="167D1144" w14:textId="77777777" w:rsidR="00E91426" w:rsidRPr="00E91426" w:rsidRDefault="00E91426" w:rsidP="00E00F90">
      <w:pPr>
        <w:widowControl/>
        <w:numPr>
          <w:ilvl w:val="0"/>
          <w:numId w:val="61"/>
        </w:numPr>
        <w:spacing w:after="160" w:line="259" w:lineRule="auto"/>
        <w:contextualSpacing/>
        <w:rPr>
          <w:rFonts w:ascii="Arial" w:eastAsia="Calibri" w:hAnsi="Arial" w:cs="Arial"/>
          <w:sz w:val="20"/>
          <w:szCs w:val="20"/>
          <w:lang w:val="en-GB"/>
        </w:rPr>
      </w:pPr>
      <w:r w:rsidRPr="00E91426">
        <w:rPr>
          <w:rFonts w:ascii="Arial" w:eastAsia="Calibri" w:hAnsi="Arial" w:cs="Arial"/>
          <w:sz w:val="20"/>
          <w:szCs w:val="20"/>
          <w:lang w:val="en-GB"/>
        </w:rPr>
        <w:t>Department of Health and Social Care ministers</w:t>
      </w:r>
    </w:p>
    <w:p w14:paraId="570C0C88" w14:textId="77777777" w:rsidR="00E91426" w:rsidRPr="00E91426" w:rsidRDefault="00E91426" w:rsidP="00E00F90">
      <w:pPr>
        <w:widowControl/>
        <w:numPr>
          <w:ilvl w:val="0"/>
          <w:numId w:val="61"/>
        </w:numPr>
        <w:spacing w:after="160" w:line="259" w:lineRule="auto"/>
        <w:contextualSpacing/>
        <w:rPr>
          <w:rFonts w:ascii="Arial" w:eastAsia="Calibri" w:hAnsi="Arial" w:cs="Arial"/>
          <w:sz w:val="20"/>
          <w:szCs w:val="20"/>
          <w:lang w:val="en-GB"/>
        </w:rPr>
      </w:pPr>
      <w:r w:rsidRPr="00E91426">
        <w:rPr>
          <w:rFonts w:ascii="Arial" w:eastAsia="Calibri" w:hAnsi="Arial" w:cs="Arial"/>
          <w:sz w:val="20"/>
          <w:szCs w:val="20"/>
          <w:lang w:val="en-GB"/>
        </w:rPr>
        <w:t>Board members of the Trust</w:t>
      </w:r>
    </w:p>
    <w:p w14:paraId="0449AB68" w14:textId="77777777" w:rsidR="00E91426" w:rsidRPr="00E91426" w:rsidRDefault="00E91426" w:rsidP="00E00F90">
      <w:pPr>
        <w:widowControl/>
        <w:numPr>
          <w:ilvl w:val="0"/>
          <w:numId w:val="61"/>
        </w:numPr>
        <w:spacing w:after="160" w:line="259" w:lineRule="auto"/>
        <w:contextualSpacing/>
        <w:rPr>
          <w:rFonts w:ascii="Arial" w:eastAsia="Calibri" w:hAnsi="Arial" w:cs="Arial"/>
          <w:sz w:val="20"/>
          <w:szCs w:val="20"/>
          <w:lang w:val="en-GB"/>
        </w:rPr>
      </w:pPr>
      <w:r w:rsidRPr="00E91426">
        <w:rPr>
          <w:rFonts w:ascii="Arial" w:eastAsia="Calibri" w:hAnsi="Arial" w:cs="Arial"/>
          <w:sz w:val="20"/>
          <w:szCs w:val="20"/>
          <w:lang w:val="en-GB"/>
        </w:rPr>
        <w:t>The Department of Health and Social Care</w:t>
      </w:r>
    </w:p>
    <w:p w14:paraId="19415AC6" w14:textId="77777777" w:rsidR="00E91426" w:rsidRPr="00E91426" w:rsidRDefault="00E91426" w:rsidP="00E00F90">
      <w:pPr>
        <w:widowControl/>
        <w:numPr>
          <w:ilvl w:val="0"/>
          <w:numId w:val="61"/>
        </w:numPr>
        <w:spacing w:after="160" w:line="259" w:lineRule="auto"/>
        <w:contextualSpacing/>
        <w:rPr>
          <w:rFonts w:ascii="Arial" w:eastAsia="Calibri" w:hAnsi="Arial" w:cs="Arial"/>
          <w:sz w:val="20"/>
          <w:szCs w:val="20"/>
          <w:lang w:val="en-GB"/>
        </w:rPr>
      </w:pPr>
      <w:r w:rsidRPr="00E91426">
        <w:rPr>
          <w:rFonts w:ascii="Arial" w:eastAsia="Calibri" w:hAnsi="Arial" w:cs="Arial"/>
          <w:sz w:val="20"/>
          <w:szCs w:val="20"/>
          <w:lang w:val="en-GB"/>
        </w:rPr>
        <w:t>Other NHS Providers</w:t>
      </w:r>
    </w:p>
    <w:p w14:paraId="7B4414EC" w14:textId="77777777" w:rsidR="00E91426" w:rsidRPr="00E91426" w:rsidRDefault="00E91426" w:rsidP="00E00F90">
      <w:pPr>
        <w:widowControl/>
        <w:numPr>
          <w:ilvl w:val="1"/>
          <w:numId w:val="61"/>
        </w:numPr>
        <w:spacing w:after="160" w:line="259" w:lineRule="auto"/>
        <w:contextualSpacing/>
        <w:rPr>
          <w:rFonts w:ascii="Arial" w:eastAsia="Calibri" w:hAnsi="Arial" w:cs="Arial"/>
          <w:sz w:val="20"/>
          <w:szCs w:val="20"/>
          <w:lang w:val="en-GB"/>
        </w:rPr>
      </w:pPr>
      <w:r w:rsidRPr="00E91426">
        <w:rPr>
          <w:rFonts w:ascii="Arial" w:eastAsia="Calibri" w:hAnsi="Arial" w:cs="Arial"/>
          <w:sz w:val="20"/>
          <w:szCs w:val="20"/>
          <w:lang w:val="en-GB"/>
        </w:rPr>
        <w:t>East Kent NHS Foundation Trust</w:t>
      </w:r>
    </w:p>
    <w:p w14:paraId="7DE3AE5F" w14:textId="77777777" w:rsidR="00E91426" w:rsidRPr="00E91426" w:rsidRDefault="00E91426" w:rsidP="00E00F90">
      <w:pPr>
        <w:widowControl/>
        <w:numPr>
          <w:ilvl w:val="1"/>
          <w:numId w:val="61"/>
        </w:numPr>
        <w:spacing w:after="160" w:line="259" w:lineRule="auto"/>
        <w:contextualSpacing/>
        <w:rPr>
          <w:rFonts w:ascii="Arial" w:eastAsia="Calibri" w:hAnsi="Arial" w:cs="Arial"/>
          <w:sz w:val="20"/>
          <w:szCs w:val="20"/>
          <w:lang w:val="en-GB"/>
        </w:rPr>
      </w:pPr>
      <w:r w:rsidRPr="00E91426">
        <w:rPr>
          <w:rFonts w:ascii="Arial" w:eastAsia="Calibri" w:hAnsi="Arial" w:cs="Arial"/>
          <w:sz w:val="20"/>
          <w:szCs w:val="20"/>
          <w:lang w:val="en-GB"/>
        </w:rPr>
        <w:t>Royal Surrey NHS Foundation Trust</w:t>
      </w:r>
    </w:p>
    <w:p w14:paraId="22A57078" w14:textId="77777777" w:rsidR="00E91426" w:rsidRPr="00E91426" w:rsidRDefault="00E91426" w:rsidP="00E00F90">
      <w:pPr>
        <w:widowControl/>
        <w:numPr>
          <w:ilvl w:val="1"/>
          <w:numId w:val="61"/>
        </w:numPr>
        <w:spacing w:after="160" w:line="259" w:lineRule="auto"/>
        <w:contextualSpacing/>
        <w:rPr>
          <w:rFonts w:ascii="Arial" w:eastAsia="Calibri" w:hAnsi="Arial" w:cs="Arial"/>
          <w:sz w:val="20"/>
          <w:szCs w:val="20"/>
          <w:lang w:val="en-GB"/>
        </w:rPr>
      </w:pPr>
      <w:r w:rsidRPr="00E91426">
        <w:rPr>
          <w:rFonts w:ascii="Arial" w:eastAsia="Calibri" w:hAnsi="Arial" w:cs="Arial"/>
          <w:sz w:val="20"/>
          <w:szCs w:val="20"/>
          <w:lang w:val="en-GB"/>
        </w:rPr>
        <w:t>Kent Community NHS Foundation Trust</w:t>
      </w:r>
    </w:p>
    <w:p w14:paraId="3FD86C1B" w14:textId="77777777" w:rsidR="00E91426" w:rsidRPr="00E91426" w:rsidRDefault="00E91426" w:rsidP="00E00F90">
      <w:pPr>
        <w:widowControl/>
        <w:numPr>
          <w:ilvl w:val="1"/>
          <w:numId w:val="61"/>
        </w:numPr>
        <w:spacing w:after="160" w:line="259" w:lineRule="auto"/>
        <w:contextualSpacing/>
        <w:rPr>
          <w:rFonts w:ascii="Arial" w:eastAsia="Calibri" w:hAnsi="Arial" w:cs="Arial"/>
          <w:sz w:val="20"/>
          <w:szCs w:val="20"/>
          <w:lang w:val="en-GB"/>
        </w:rPr>
      </w:pPr>
      <w:r w:rsidRPr="00E91426">
        <w:rPr>
          <w:rFonts w:ascii="Arial" w:eastAsia="Calibri" w:hAnsi="Arial" w:cs="Arial"/>
          <w:sz w:val="20"/>
          <w:szCs w:val="20"/>
          <w:lang w:val="en-GB"/>
        </w:rPr>
        <w:t>Dartford and Gravesham NHS Trust</w:t>
      </w:r>
    </w:p>
    <w:p w14:paraId="6CB830B5" w14:textId="77777777" w:rsidR="00E91426" w:rsidRPr="00E91426" w:rsidRDefault="00E91426" w:rsidP="00E00F90">
      <w:pPr>
        <w:widowControl/>
        <w:numPr>
          <w:ilvl w:val="1"/>
          <w:numId w:val="61"/>
        </w:numPr>
        <w:spacing w:after="160" w:line="259" w:lineRule="auto"/>
        <w:contextualSpacing/>
        <w:rPr>
          <w:rFonts w:ascii="Arial" w:eastAsia="Calibri" w:hAnsi="Arial" w:cs="Arial"/>
          <w:sz w:val="20"/>
          <w:szCs w:val="20"/>
          <w:lang w:val="en-GB"/>
        </w:rPr>
      </w:pPr>
      <w:r w:rsidRPr="00E91426">
        <w:rPr>
          <w:rFonts w:ascii="Arial" w:eastAsia="Calibri" w:hAnsi="Arial" w:cs="Arial"/>
          <w:sz w:val="20"/>
          <w:szCs w:val="20"/>
          <w:lang w:val="en-GB"/>
        </w:rPr>
        <w:t>Maidstone and Tunbridge Wells NHS Trust</w:t>
      </w:r>
    </w:p>
    <w:p w14:paraId="713174FB" w14:textId="77777777" w:rsidR="00E91426" w:rsidRPr="00E91426" w:rsidRDefault="00E91426" w:rsidP="00E00F90">
      <w:pPr>
        <w:widowControl/>
        <w:numPr>
          <w:ilvl w:val="0"/>
          <w:numId w:val="61"/>
        </w:numPr>
        <w:spacing w:after="160" w:line="259" w:lineRule="auto"/>
        <w:contextualSpacing/>
        <w:rPr>
          <w:rFonts w:ascii="Arial" w:eastAsia="Calibri" w:hAnsi="Arial" w:cs="Arial"/>
          <w:sz w:val="20"/>
          <w:szCs w:val="20"/>
          <w:lang w:val="en-GB"/>
        </w:rPr>
      </w:pPr>
      <w:r w:rsidRPr="00E91426">
        <w:rPr>
          <w:rFonts w:ascii="Arial" w:eastAsia="Calibri" w:hAnsi="Arial" w:cs="Arial"/>
          <w:sz w:val="20"/>
          <w:szCs w:val="20"/>
          <w:lang w:val="en-GB"/>
        </w:rPr>
        <w:t>NHS Commissioners</w:t>
      </w:r>
    </w:p>
    <w:p w14:paraId="1161AA50" w14:textId="77777777" w:rsidR="00E91426" w:rsidRPr="00E91426" w:rsidRDefault="00E91426" w:rsidP="00E00F90">
      <w:pPr>
        <w:widowControl/>
        <w:numPr>
          <w:ilvl w:val="1"/>
          <w:numId w:val="61"/>
        </w:numPr>
        <w:spacing w:after="160" w:line="259" w:lineRule="auto"/>
        <w:contextualSpacing/>
        <w:rPr>
          <w:rFonts w:ascii="Arial" w:eastAsia="Calibri" w:hAnsi="Arial" w:cs="Arial"/>
          <w:sz w:val="20"/>
          <w:szCs w:val="20"/>
          <w:lang w:val="en-GB"/>
        </w:rPr>
      </w:pPr>
      <w:r w:rsidRPr="00E91426">
        <w:rPr>
          <w:rFonts w:ascii="Arial" w:eastAsia="Calibri" w:hAnsi="Arial" w:cs="Arial"/>
          <w:sz w:val="20"/>
          <w:szCs w:val="20"/>
          <w:lang w:val="en-GB"/>
        </w:rPr>
        <w:t>NHS England</w:t>
      </w:r>
    </w:p>
    <w:p w14:paraId="6ACF6C8B" w14:textId="77777777" w:rsidR="00E91426" w:rsidRPr="00E91426" w:rsidRDefault="00E91426" w:rsidP="00E00F90">
      <w:pPr>
        <w:widowControl/>
        <w:numPr>
          <w:ilvl w:val="1"/>
          <w:numId w:val="61"/>
        </w:numPr>
        <w:spacing w:after="160" w:line="259" w:lineRule="auto"/>
        <w:contextualSpacing/>
        <w:rPr>
          <w:rFonts w:ascii="Arial" w:eastAsia="Calibri" w:hAnsi="Arial" w:cs="Arial"/>
          <w:sz w:val="20"/>
          <w:szCs w:val="20"/>
          <w:lang w:val="en-GB"/>
        </w:rPr>
      </w:pPr>
      <w:r w:rsidRPr="00E91426">
        <w:rPr>
          <w:rFonts w:ascii="Arial" w:eastAsia="Calibri" w:hAnsi="Arial" w:cs="Arial"/>
          <w:sz w:val="20"/>
          <w:szCs w:val="20"/>
          <w:lang w:val="en-GB"/>
        </w:rPr>
        <w:t>NHS Kent and Medway ICB</w:t>
      </w:r>
    </w:p>
    <w:p w14:paraId="3283F427" w14:textId="77777777" w:rsidR="00E91426" w:rsidRPr="00E91426" w:rsidRDefault="00E91426" w:rsidP="00E00F90">
      <w:pPr>
        <w:widowControl/>
        <w:numPr>
          <w:ilvl w:val="1"/>
          <w:numId w:val="61"/>
        </w:numPr>
        <w:spacing w:after="160" w:line="259" w:lineRule="auto"/>
        <w:contextualSpacing/>
        <w:rPr>
          <w:rFonts w:ascii="Arial" w:eastAsia="Calibri" w:hAnsi="Arial" w:cs="Arial"/>
          <w:sz w:val="20"/>
          <w:szCs w:val="20"/>
          <w:lang w:val="en-GB"/>
        </w:rPr>
      </w:pPr>
      <w:r w:rsidRPr="00E91426">
        <w:rPr>
          <w:rFonts w:ascii="Arial" w:eastAsia="Calibri" w:hAnsi="Arial" w:cs="Arial"/>
          <w:sz w:val="20"/>
          <w:szCs w:val="20"/>
          <w:lang w:val="en-GB"/>
        </w:rPr>
        <w:t>NHS South East London ICB</w:t>
      </w:r>
    </w:p>
    <w:p w14:paraId="0B3A4620" w14:textId="77777777" w:rsidR="00E91426" w:rsidRPr="00E91426" w:rsidRDefault="00E91426" w:rsidP="00E00F90">
      <w:pPr>
        <w:widowControl/>
        <w:numPr>
          <w:ilvl w:val="0"/>
          <w:numId w:val="61"/>
        </w:numPr>
        <w:spacing w:after="160" w:line="259" w:lineRule="auto"/>
        <w:contextualSpacing/>
        <w:rPr>
          <w:rFonts w:ascii="Arial" w:eastAsia="Calibri" w:hAnsi="Arial" w:cs="Arial"/>
          <w:sz w:val="20"/>
          <w:szCs w:val="20"/>
          <w:lang w:val="en-GB"/>
        </w:rPr>
      </w:pPr>
      <w:r w:rsidRPr="00E91426">
        <w:rPr>
          <w:rFonts w:ascii="Arial" w:eastAsia="Calibri" w:hAnsi="Arial" w:cs="Arial"/>
          <w:sz w:val="20"/>
          <w:szCs w:val="20"/>
          <w:lang w:val="en-GB"/>
        </w:rPr>
        <w:t>Other health bodies</w:t>
      </w:r>
    </w:p>
    <w:p w14:paraId="55A0F7D1" w14:textId="77777777" w:rsidR="00E91426" w:rsidRPr="00E91426" w:rsidRDefault="00E91426" w:rsidP="00E00F90">
      <w:pPr>
        <w:widowControl/>
        <w:numPr>
          <w:ilvl w:val="1"/>
          <w:numId w:val="61"/>
        </w:numPr>
        <w:spacing w:after="160" w:line="259" w:lineRule="auto"/>
        <w:contextualSpacing/>
        <w:rPr>
          <w:rFonts w:ascii="Arial" w:eastAsia="Calibri" w:hAnsi="Arial" w:cs="Arial"/>
          <w:sz w:val="20"/>
          <w:szCs w:val="20"/>
          <w:lang w:val="en-GB"/>
        </w:rPr>
      </w:pPr>
      <w:r w:rsidRPr="00E91426">
        <w:rPr>
          <w:rFonts w:ascii="Arial" w:eastAsia="Calibri" w:hAnsi="Arial" w:cs="Arial"/>
          <w:sz w:val="20"/>
          <w:szCs w:val="20"/>
          <w:lang w:val="en-GB"/>
        </w:rPr>
        <w:t>NHS Resolution</w:t>
      </w:r>
    </w:p>
    <w:p w14:paraId="1B4FDDA0" w14:textId="77777777" w:rsidR="00E91426" w:rsidRPr="00E91426" w:rsidRDefault="00E91426" w:rsidP="00E00F90">
      <w:pPr>
        <w:widowControl/>
        <w:numPr>
          <w:ilvl w:val="1"/>
          <w:numId w:val="61"/>
        </w:numPr>
        <w:spacing w:after="160" w:line="259" w:lineRule="auto"/>
        <w:contextualSpacing/>
        <w:rPr>
          <w:rFonts w:ascii="Arial" w:eastAsia="Calibri" w:hAnsi="Arial" w:cs="Arial"/>
          <w:sz w:val="20"/>
          <w:szCs w:val="20"/>
          <w:lang w:val="en-GB"/>
        </w:rPr>
      </w:pPr>
      <w:r w:rsidRPr="00E91426">
        <w:rPr>
          <w:rFonts w:ascii="Arial" w:eastAsia="Calibri" w:hAnsi="Arial" w:cs="Arial"/>
          <w:sz w:val="20"/>
          <w:szCs w:val="20"/>
          <w:lang w:val="en-GB"/>
        </w:rPr>
        <w:t>NHS Property Services</w:t>
      </w:r>
    </w:p>
    <w:p w14:paraId="61F60EA7" w14:textId="77777777" w:rsidR="00E91426" w:rsidRPr="00E91426" w:rsidRDefault="00E91426" w:rsidP="00E00F90">
      <w:pPr>
        <w:widowControl/>
        <w:numPr>
          <w:ilvl w:val="0"/>
          <w:numId w:val="61"/>
        </w:numPr>
        <w:spacing w:after="160" w:line="259" w:lineRule="auto"/>
        <w:contextualSpacing/>
        <w:rPr>
          <w:rFonts w:ascii="Arial" w:eastAsia="Calibri" w:hAnsi="Arial" w:cs="Arial"/>
          <w:sz w:val="20"/>
          <w:szCs w:val="20"/>
          <w:lang w:val="en-GB"/>
        </w:rPr>
      </w:pPr>
      <w:r w:rsidRPr="00E91426">
        <w:rPr>
          <w:rFonts w:ascii="Arial" w:eastAsia="Calibri" w:hAnsi="Arial" w:cs="Arial"/>
          <w:sz w:val="20"/>
          <w:szCs w:val="20"/>
          <w:lang w:val="en-GB"/>
        </w:rPr>
        <w:t>Other Government departments</w:t>
      </w:r>
    </w:p>
    <w:p w14:paraId="379CFA1B" w14:textId="77777777" w:rsidR="00E91426" w:rsidRPr="00E91426" w:rsidRDefault="00E91426" w:rsidP="00E00F90">
      <w:pPr>
        <w:widowControl/>
        <w:numPr>
          <w:ilvl w:val="1"/>
          <w:numId w:val="61"/>
        </w:numPr>
        <w:spacing w:after="160" w:line="259" w:lineRule="auto"/>
        <w:contextualSpacing/>
        <w:rPr>
          <w:rFonts w:ascii="Arial" w:eastAsia="Calibri" w:hAnsi="Arial" w:cs="Arial"/>
          <w:sz w:val="20"/>
          <w:szCs w:val="20"/>
          <w:lang w:val="en-GB"/>
        </w:rPr>
      </w:pPr>
      <w:r w:rsidRPr="00E91426">
        <w:rPr>
          <w:rFonts w:ascii="Arial" w:eastAsia="Calibri" w:hAnsi="Arial" w:cs="Arial"/>
          <w:sz w:val="20"/>
          <w:szCs w:val="20"/>
          <w:lang w:val="en-GB"/>
        </w:rPr>
        <w:t>HMRC</w:t>
      </w:r>
    </w:p>
    <w:p w14:paraId="1C33A4B1" w14:textId="77777777" w:rsidR="00E91426" w:rsidRPr="00E91426" w:rsidRDefault="00E91426" w:rsidP="00E00F90">
      <w:pPr>
        <w:widowControl/>
        <w:numPr>
          <w:ilvl w:val="1"/>
          <w:numId w:val="61"/>
        </w:numPr>
        <w:spacing w:after="160" w:line="259" w:lineRule="auto"/>
        <w:contextualSpacing/>
        <w:rPr>
          <w:rFonts w:ascii="Arial" w:eastAsia="Calibri" w:hAnsi="Arial" w:cs="Arial"/>
          <w:sz w:val="20"/>
          <w:szCs w:val="20"/>
          <w:lang w:val="en-GB"/>
        </w:rPr>
      </w:pPr>
      <w:r w:rsidRPr="00E91426">
        <w:rPr>
          <w:rFonts w:ascii="Arial" w:eastAsia="Calibri" w:hAnsi="Arial" w:cs="Arial"/>
          <w:sz w:val="20"/>
          <w:szCs w:val="20"/>
          <w:lang w:val="en-GB"/>
        </w:rPr>
        <w:t>NHS Pensions</w:t>
      </w:r>
    </w:p>
    <w:p w14:paraId="0441EDB3" w14:textId="77777777" w:rsidR="00E91426" w:rsidRPr="00E91426" w:rsidRDefault="00E91426" w:rsidP="00E00F90">
      <w:pPr>
        <w:widowControl/>
        <w:numPr>
          <w:ilvl w:val="0"/>
          <w:numId w:val="61"/>
        </w:numPr>
        <w:spacing w:after="160" w:line="259" w:lineRule="auto"/>
        <w:contextualSpacing/>
        <w:rPr>
          <w:rFonts w:ascii="Arial" w:eastAsia="Calibri" w:hAnsi="Arial" w:cs="Arial"/>
          <w:sz w:val="20"/>
          <w:szCs w:val="20"/>
          <w:lang w:val="en-GB"/>
        </w:rPr>
      </w:pPr>
      <w:r w:rsidRPr="00E91426">
        <w:rPr>
          <w:rFonts w:ascii="Arial" w:eastAsia="Calibri" w:hAnsi="Arial" w:cs="Arial"/>
          <w:sz w:val="20"/>
          <w:szCs w:val="20"/>
          <w:lang w:val="en-GB"/>
        </w:rPr>
        <w:t>Local authorities</w:t>
      </w:r>
    </w:p>
    <w:p w14:paraId="42D26889" w14:textId="77777777" w:rsidR="00E91426" w:rsidRDefault="00E91426" w:rsidP="00E91426">
      <w:pPr>
        <w:widowControl/>
        <w:spacing w:after="160" w:line="259" w:lineRule="auto"/>
        <w:rPr>
          <w:rFonts w:ascii="Arial" w:eastAsia="Calibri" w:hAnsi="Arial" w:cs="Arial"/>
          <w:sz w:val="20"/>
          <w:szCs w:val="20"/>
          <w:lang w:val="en-GB"/>
        </w:rPr>
      </w:pPr>
    </w:p>
    <w:p w14:paraId="7048A5DF" w14:textId="385C2A60"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Paragraph 25 of IAS 24 allows entities which are related parties because they are under the same government control to reduce the volume of the detailed disclosures so no further detail of transactions will be disclosed.</w:t>
      </w:r>
    </w:p>
    <w:p w14:paraId="2E103E8B"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The following related party balances are disclosed below the threshold due to materiality within that organisation</w:t>
      </w:r>
    </w:p>
    <w:p w14:paraId="403C2EF1" w14:textId="77777777" w:rsidR="00E91426" w:rsidRPr="00E91426" w:rsidRDefault="00E91426" w:rsidP="00E91426">
      <w:pPr>
        <w:widowControl/>
        <w:spacing w:after="160" w:line="259" w:lineRule="auto"/>
        <w:rPr>
          <w:rFonts w:ascii="Arial" w:eastAsia="Calibri" w:hAnsi="Arial" w:cs="Arial"/>
          <w:sz w:val="20"/>
          <w:szCs w:val="20"/>
          <w:lang w:val="en-GB"/>
        </w:rPr>
      </w:pPr>
    </w:p>
    <w:tbl>
      <w:tblPr>
        <w:tblW w:w="9509" w:type="dxa"/>
        <w:tblLook w:val="04A0" w:firstRow="1" w:lastRow="0" w:firstColumn="1" w:lastColumn="0" w:noHBand="0" w:noVBand="1"/>
      </w:tblPr>
      <w:tblGrid>
        <w:gridCol w:w="4099"/>
        <w:gridCol w:w="1397"/>
        <w:gridCol w:w="1373"/>
        <w:gridCol w:w="1267"/>
        <w:gridCol w:w="1373"/>
      </w:tblGrid>
      <w:tr w:rsidR="00E91426" w:rsidRPr="00E91426" w14:paraId="7711F985" w14:textId="77777777" w:rsidTr="00E91426">
        <w:trPr>
          <w:trHeight w:val="552"/>
        </w:trPr>
        <w:tc>
          <w:tcPr>
            <w:tcW w:w="4167" w:type="dxa"/>
            <w:tcBorders>
              <w:top w:val="nil"/>
              <w:left w:val="nil"/>
              <w:bottom w:val="nil"/>
              <w:right w:val="nil"/>
            </w:tcBorders>
            <w:hideMark/>
          </w:tcPr>
          <w:p w14:paraId="5FE1A239" w14:textId="77777777" w:rsidR="00E91426" w:rsidRPr="00E91426" w:rsidRDefault="00E91426" w:rsidP="00E91426">
            <w:pPr>
              <w:widowControl/>
              <w:rPr>
                <w:rFonts w:ascii="Arial" w:eastAsia="Times New Roman" w:hAnsi="Arial" w:cs="Arial"/>
                <w:sz w:val="20"/>
                <w:szCs w:val="20"/>
                <w:lang w:val="en-GB" w:eastAsia="en-GB"/>
              </w:rPr>
            </w:pPr>
          </w:p>
        </w:tc>
        <w:tc>
          <w:tcPr>
            <w:tcW w:w="1407" w:type="dxa"/>
            <w:tcBorders>
              <w:top w:val="nil"/>
              <w:left w:val="nil"/>
              <w:bottom w:val="nil"/>
              <w:right w:val="nil"/>
            </w:tcBorders>
            <w:hideMark/>
          </w:tcPr>
          <w:p w14:paraId="6E195A44" w14:textId="77777777" w:rsidR="00E91426" w:rsidRPr="00E91426" w:rsidRDefault="00E91426" w:rsidP="00E91426">
            <w:pPr>
              <w:widowControl/>
              <w:jc w:val="right"/>
              <w:rPr>
                <w:rFonts w:ascii="Arial" w:eastAsia="Times New Roman" w:hAnsi="Arial" w:cs="Arial"/>
                <w:b/>
                <w:bCs/>
                <w:sz w:val="20"/>
                <w:szCs w:val="20"/>
                <w:lang w:val="en-GB" w:eastAsia="en-GB"/>
              </w:rPr>
            </w:pPr>
            <w:r w:rsidRPr="00E91426">
              <w:rPr>
                <w:rFonts w:ascii="Arial" w:eastAsia="Times New Roman" w:hAnsi="Arial" w:cs="Arial"/>
                <w:b/>
                <w:bCs/>
                <w:sz w:val="20"/>
                <w:szCs w:val="20"/>
                <w:lang w:val="en-GB" w:eastAsia="en-GB"/>
              </w:rPr>
              <w:t>31st March 2025</w:t>
            </w:r>
          </w:p>
        </w:tc>
        <w:tc>
          <w:tcPr>
            <w:tcW w:w="1373" w:type="dxa"/>
            <w:tcBorders>
              <w:top w:val="nil"/>
              <w:left w:val="nil"/>
              <w:bottom w:val="nil"/>
              <w:right w:val="nil"/>
            </w:tcBorders>
            <w:hideMark/>
          </w:tcPr>
          <w:p w14:paraId="5DA8E2AE" w14:textId="77777777" w:rsidR="00E91426" w:rsidRPr="00E91426" w:rsidRDefault="00E91426" w:rsidP="00E91426">
            <w:pPr>
              <w:widowControl/>
              <w:jc w:val="right"/>
              <w:rPr>
                <w:rFonts w:ascii="Arial" w:eastAsia="Times New Roman" w:hAnsi="Arial" w:cs="Arial"/>
                <w:b/>
                <w:bCs/>
                <w:sz w:val="20"/>
                <w:szCs w:val="20"/>
                <w:lang w:val="en-GB" w:eastAsia="en-GB"/>
              </w:rPr>
            </w:pPr>
            <w:r w:rsidRPr="00E91426">
              <w:rPr>
                <w:rFonts w:ascii="Arial" w:eastAsia="Times New Roman" w:hAnsi="Arial" w:cs="Arial"/>
                <w:b/>
                <w:bCs/>
                <w:sz w:val="20"/>
                <w:szCs w:val="20"/>
                <w:lang w:val="en-GB" w:eastAsia="en-GB"/>
              </w:rPr>
              <w:t>31st March 2025</w:t>
            </w:r>
          </w:p>
        </w:tc>
        <w:tc>
          <w:tcPr>
            <w:tcW w:w="1275" w:type="dxa"/>
            <w:tcBorders>
              <w:top w:val="nil"/>
              <w:left w:val="nil"/>
              <w:bottom w:val="nil"/>
              <w:right w:val="nil"/>
            </w:tcBorders>
            <w:hideMark/>
          </w:tcPr>
          <w:p w14:paraId="330D1058" w14:textId="77777777" w:rsidR="00E91426" w:rsidRPr="00E91426" w:rsidRDefault="00E91426" w:rsidP="00E91426">
            <w:pPr>
              <w:widowControl/>
              <w:jc w:val="right"/>
              <w:rPr>
                <w:rFonts w:ascii="Arial" w:eastAsia="Times New Roman" w:hAnsi="Arial" w:cs="Arial"/>
                <w:b/>
                <w:bCs/>
                <w:sz w:val="20"/>
                <w:szCs w:val="20"/>
                <w:lang w:val="en-GB" w:eastAsia="en-GB"/>
              </w:rPr>
            </w:pPr>
            <w:r w:rsidRPr="00E91426">
              <w:rPr>
                <w:rFonts w:ascii="Arial" w:eastAsia="Times New Roman" w:hAnsi="Arial" w:cs="Arial"/>
                <w:b/>
                <w:bCs/>
                <w:sz w:val="20"/>
                <w:szCs w:val="20"/>
                <w:lang w:val="en-GB" w:eastAsia="en-GB"/>
              </w:rPr>
              <w:t>31st March 2024</w:t>
            </w:r>
          </w:p>
        </w:tc>
        <w:tc>
          <w:tcPr>
            <w:tcW w:w="1287" w:type="dxa"/>
            <w:tcBorders>
              <w:top w:val="nil"/>
              <w:left w:val="nil"/>
              <w:bottom w:val="nil"/>
              <w:right w:val="nil"/>
            </w:tcBorders>
            <w:hideMark/>
          </w:tcPr>
          <w:p w14:paraId="1738BF5C" w14:textId="77777777" w:rsidR="00E91426" w:rsidRPr="00E91426" w:rsidRDefault="00E91426" w:rsidP="00E91426">
            <w:pPr>
              <w:widowControl/>
              <w:jc w:val="right"/>
              <w:rPr>
                <w:rFonts w:ascii="Arial" w:eastAsia="Times New Roman" w:hAnsi="Arial" w:cs="Arial"/>
                <w:b/>
                <w:bCs/>
                <w:sz w:val="20"/>
                <w:szCs w:val="20"/>
                <w:lang w:val="en-GB" w:eastAsia="en-GB"/>
              </w:rPr>
            </w:pPr>
            <w:r w:rsidRPr="00E91426">
              <w:rPr>
                <w:rFonts w:ascii="Arial" w:eastAsia="Times New Roman" w:hAnsi="Arial" w:cs="Arial"/>
                <w:b/>
                <w:bCs/>
                <w:sz w:val="20"/>
                <w:szCs w:val="20"/>
                <w:lang w:val="en-GB" w:eastAsia="en-GB"/>
              </w:rPr>
              <w:t>31st March 2024</w:t>
            </w:r>
          </w:p>
        </w:tc>
      </w:tr>
      <w:tr w:rsidR="00E91426" w:rsidRPr="00E91426" w14:paraId="5AB37A88" w14:textId="77777777" w:rsidTr="00E91426">
        <w:trPr>
          <w:trHeight w:val="276"/>
        </w:trPr>
        <w:tc>
          <w:tcPr>
            <w:tcW w:w="4167" w:type="dxa"/>
            <w:tcBorders>
              <w:top w:val="nil"/>
              <w:left w:val="nil"/>
              <w:bottom w:val="nil"/>
              <w:right w:val="nil"/>
            </w:tcBorders>
            <w:hideMark/>
          </w:tcPr>
          <w:p w14:paraId="079E6000" w14:textId="77777777" w:rsidR="00E91426" w:rsidRPr="00E91426" w:rsidRDefault="00E91426" w:rsidP="00E91426">
            <w:pPr>
              <w:widowControl/>
              <w:jc w:val="right"/>
              <w:rPr>
                <w:rFonts w:ascii="Arial" w:eastAsia="Times New Roman" w:hAnsi="Arial" w:cs="Arial"/>
                <w:b/>
                <w:bCs/>
                <w:sz w:val="20"/>
                <w:szCs w:val="20"/>
                <w:lang w:val="en-GB" w:eastAsia="en-GB"/>
              </w:rPr>
            </w:pPr>
          </w:p>
        </w:tc>
        <w:tc>
          <w:tcPr>
            <w:tcW w:w="1407" w:type="dxa"/>
            <w:tcBorders>
              <w:top w:val="nil"/>
              <w:left w:val="nil"/>
              <w:bottom w:val="nil"/>
              <w:right w:val="nil"/>
            </w:tcBorders>
            <w:hideMark/>
          </w:tcPr>
          <w:p w14:paraId="61D59D11" w14:textId="77777777" w:rsidR="00E91426" w:rsidRPr="00E91426" w:rsidRDefault="00E91426" w:rsidP="00E91426">
            <w:pPr>
              <w:widowControl/>
              <w:jc w:val="right"/>
              <w:rPr>
                <w:rFonts w:ascii="Arial" w:eastAsia="Times New Roman" w:hAnsi="Arial" w:cs="Arial"/>
                <w:b/>
                <w:bCs/>
                <w:sz w:val="20"/>
                <w:szCs w:val="20"/>
                <w:lang w:val="en-GB" w:eastAsia="en-GB"/>
              </w:rPr>
            </w:pPr>
            <w:r w:rsidRPr="00E91426">
              <w:rPr>
                <w:rFonts w:ascii="Arial" w:eastAsia="Times New Roman" w:hAnsi="Arial" w:cs="Arial"/>
                <w:b/>
                <w:bCs/>
                <w:sz w:val="20"/>
                <w:szCs w:val="20"/>
                <w:lang w:val="en-GB" w:eastAsia="en-GB"/>
              </w:rPr>
              <w:t>£'000</w:t>
            </w:r>
          </w:p>
        </w:tc>
        <w:tc>
          <w:tcPr>
            <w:tcW w:w="1373" w:type="dxa"/>
            <w:tcBorders>
              <w:top w:val="nil"/>
              <w:left w:val="nil"/>
              <w:bottom w:val="nil"/>
              <w:right w:val="nil"/>
            </w:tcBorders>
            <w:hideMark/>
          </w:tcPr>
          <w:p w14:paraId="5AF77070" w14:textId="77777777" w:rsidR="00E91426" w:rsidRPr="00E91426" w:rsidRDefault="00E91426" w:rsidP="00E91426">
            <w:pPr>
              <w:widowControl/>
              <w:jc w:val="right"/>
              <w:rPr>
                <w:rFonts w:ascii="Arial" w:eastAsia="Times New Roman" w:hAnsi="Arial" w:cs="Arial"/>
                <w:b/>
                <w:bCs/>
                <w:sz w:val="20"/>
                <w:szCs w:val="20"/>
                <w:lang w:val="en-GB" w:eastAsia="en-GB"/>
              </w:rPr>
            </w:pPr>
            <w:r w:rsidRPr="00E91426">
              <w:rPr>
                <w:rFonts w:ascii="Arial" w:eastAsia="Times New Roman" w:hAnsi="Arial" w:cs="Arial"/>
                <w:b/>
                <w:bCs/>
                <w:sz w:val="20"/>
                <w:szCs w:val="20"/>
                <w:lang w:val="en-GB" w:eastAsia="en-GB"/>
              </w:rPr>
              <w:t>£'000</w:t>
            </w:r>
          </w:p>
        </w:tc>
        <w:tc>
          <w:tcPr>
            <w:tcW w:w="1275" w:type="dxa"/>
            <w:tcBorders>
              <w:top w:val="nil"/>
              <w:left w:val="nil"/>
              <w:bottom w:val="nil"/>
              <w:right w:val="nil"/>
            </w:tcBorders>
            <w:hideMark/>
          </w:tcPr>
          <w:p w14:paraId="61A15BAB" w14:textId="77777777" w:rsidR="00E91426" w:rsidRPr="00E91426" w:rsidRDefault="00E91426" w:rsidP="00E91426">
            <w:pPr>
              <w:widowControl/>
              <w:jc w:val="right"/>
              <w:rPr>
                <w:rFonts w:ascii="Arial" w:eastAsia="Times New Roman" w:hAnsi="Arial" w:cs="Arial"/>
                <w:b/>
                <w:bCs/>
                <w:sz w:val="20"/>
                <w:szCs w:val="20"/>
                <w:lang w:val="en-GB" w:eastAsia="en-GB"/>
              </w:rPr>
            </w:pPr>
            <w:r w:rsidRPr="00E91426">
              <w:rPr>
                <w:rFonts w:ascii="Arial" w:eastAsia="Times New Roman" w:hAnsi="Arial" w:cs="Arial"/>
                <w:b/>
                <w:bCs/>
                <w:sz w:val="20"/>
                <w:szCs w:val="20"/>
                <w:lang w:val="en-GB" w:eastAsia="en-GB"/>
              </w:rPr>
              <w:t>£'000</w:t>
            </w:r>
          </w:p>
        </w:tc>
        <w:tc>
          <w:tcPr>
            <w:tcW w:w="1287" w:type="dxa"/>
            <w:tcBorders>
              <w:top w:val="nil"/>
              <w:left w:val="nil"/>
              <w:bottom w:val="nil"/>
              <w:right w:val="nil"/>
            </w:tcBorders>
            <w:hideMark/>
          </w:tcPr>
          <w:p w14:paraId="064686F1" w14:textId="77777777" w:rsidR="00E91426" w:rsidRPr="00E91426" w:rsidRDefault="00E91426" w:rsidP="00E91426">
            <w:pPr>
              <w:widowControl/>
              <w:jc w:val="right"/>
              <w:rPr>
                <w:rFonts w:ascii="Arial" w:eastAsia="Times New Roman" w:hAnsi="Arial" w:cs="Arial"/>
                <w:b/>
                <w:bCs/>
                <w:sz w:val="20"/>
                <w:szCs w:val="20"/>
                <w:lang w:val="en-GB" w:eastAsia="en-GB"/>
              </w:rPr>
            </w:pPr>
            <w:r w:rsidRPr="00E91426">
              <w:rPr>
                <w:rFonts w:ascii="Arial" w:eastAsia="Times New Roman" w:hAnsi="Arial" w:cs="Arial"/>
                <w:b/>
                <w:bCs/>
                <w:sz w:val="20"/>
                <w:szCs w:val="20"/>
                <w:lang w:val="en-GB" w:eastAsia="en-GB"/>
              </w:rPr>
              <w:t>£'000</w:t>
            </w:r>
          </w:p>
        </w:tc>
      </w:tr>
      <w:tr w:rsidR="00E91426" w:rsidRPr="00E91426" w14:paraId="185616AA" w14:textId="77777777" w:rsidTr="00E91426">
        <w:trPr>
          <w:trHeight w:val="265"/>
        </w:trPr>
        <w:tc>
          <w:tcPr>
            <w:tcW w:w="4167" w:type="dxa"/>
            <w:tcBorders>
              <w:top w:val="nil"/>
              <w:left w:val="nil"/>
              <w:bottom w:val="nil"/>
              <w:right w:val="nil"/>
            </w:tcBorders>
            <w:hideMark/>
          </w:tcPr>
          <w:p w14:paraId="327088FA" w14:textId="77777777" w:rsidR="00E91426" w:rsidRPr="00E91426" w:rsidRDefault="00E91426" w:rsidP="00E91426">
            <w:pPr>
              <w:widowControl/>
              <w:jc w:val="right"/>
              <w:rPr>
                <w:rFonts w:ascii="Arial" w:eastAsia="Times New Roman" w:hAnsi="Arial" w:cs="Arial"/>
                <w:b/>
                <w:bCs/>
                <w:sz w:val="20"/>
                <w:szCs w:val="20"/>
                <w:lang w:val="en-GB" w:eastAsia="en-GB"/>
              </w:rPr>
            </w:pPr>
          </w:p>
        </w:tc>
        <w:tc>
          <w:tcPr>
            <w:tcW w:w="1407" w:type="dxa"/>
            <w:tcBorders>
              <w:top w:val="nil"/>
              <w:left w:val="nil"/>
              <w:bottom w:val="nil"/>
              <w:right w:val="nil"/>
            </w:tcBorders>
            <w:hideMark/>
          </w:tcPr>
          <w:p w14:paraId="2243A2EF" w14:textId="77777777" w:rsidR="00E91426" w:rsidRPr="00E91426" w:rsidRDefault="00E91426" w:rsidP="00E91426">
            <w:pPr>
              <w:widowControl/>
              <w:jc w:val="right"/>
              <w:rPr>
                <w:rFonts w:ascii="Arial" w:eastAsia="Times New Roman" w:hAnsi="Arial" w:cs="Arial"/>
                <w:b/>
                <w:bCs/>
                <w:sz w:val="20"/>
                <w:szCs w:val="20"/>
                <w:lang w:val="en-GB" w:eastAsia="en-GB"/>
              </w:rPr>
            </w:pPr>
            <w:r w:rsidRPr="00E91426">
              <w:rPr>
                <w:rFonts w:ascii="Arial" w:eastAsia="Times New Roman" w:hAnsi="Arial" w:cs="Arial"/>
                <w:b/>
                <w:bCs/>
                <w:sz w:val="20"/>
                <w:szCs w:val="20"/>
                <w:lang w:val="en-GB" w:eastAsia="en-GB"/>
              </w:rPr>
              <w:t>Income</w:t>
            </w:r>
          </w:p>
        </w:tc>
        <w:tc>
          <w:tcPr>
            <w:tcW w:w="1373" w:type="dxa"/>
            <w:tcBorders>
              <w:top w:val="nil"/>
              <w:left w:val="nil"/>
              <w:bottom w:val="nil"/>
              <w:right w:val="nil"/>
            </w:tcBorders>
            <w:hideMark/>
          </w:tcPr>
          <w:p w14:paraId="17CE6293" w14:textId="77777777" w:rsidR="00E91426" w:rsidRPr="00E91426" w:rsidRDefault="00E91426" w:rsidP="00E91426">
            <w:pPr>
              <w:widowControl/>
              <w:jc w:val="right"/>
              <w:rPr>
                <w:rFonts w:ascii="Arial" w:eastAsia="Times New Roman" w:hAnsi="Arial" w:cs="Arial"/>
                <w:b/>
                <w:bCs/>
                <w:sz w:val="20"/>
                <w:szCs w:val="20"/>
                <w:lang w:val="en-GB" w:eastAsia="en-GB"/>
              </w:rPr>
            </w:pPr>
            <w:r w:rsidRPr="00E91426">
              <w:rPr>
                <w:rFonts w:ascii="Arial" w:eastAsia="Times New Roman" w:hAnsi="Arial" w:cs="Arial"/>
                <w:b/>
                <w:bCs/>
                <w:sz w:val="20"/>
                <w:szCs w:val="20"/>
                <w:lang w:val="en-GB" w:eastAsia="en-GB"/>
              </w:rPr>
              <w:t>Receivables</w:t>
            </w:r>
          </w:p>
        </w:tc>
        <w:tc>
          <w:tcPr>
            <w:tcW w:w="1275" w:type="dxa"/>
            <w:tcBorders>
              <w:top w:val="nil"/>
              <w:left w:val="nil"/>
              <w:bottom w:val="nil"/>
              <w:right w:val="nil"/>
            </w:tcBorders>
            <w:hideMark/>
          </w:tcPr>
          <w:p w14:paraId="63A85A45" w14:textId="77777777" w:rsidR="00E91426" w:rsidRPr="00E91426" w:rsidRDefault="00E91426" w:rsidP="00E91426">
            <w:pPr>
              <w:widowControl/>
              <w:jc w:val="right"/>
              <w:rPr>
                <w:rFonts w:ascii="Arial" w:eastAsia="Times New Roman" w:hAnsi="Arial" w:cs="Arial"/>
                <w:b/>
                <w:bCs/>
                <w:sz w:val="20"/>
                <w:szCs w:val="20"/>
                <w:lang w:val="en-GB" w:eastAsia="en-GB"/>
              </w:rPr>
            </w:pPr>
            <w:r w:rsidRPr="00E91426">
              <w:rPr>
                <w:rFonts w:ascii="Arial" w:eastAsia="Times New Roman" w:hAnsi="Arial" w:cs="Arial"/>
                <w:b/>
                <w:bCs/>
                <w:sz w:val="20"/>
                <w:szCs w:val="20"/>
                <w:lang w:val="en-GB" w:eastAsia="en-GB"/>
              </w:rPr>
              <w:t>Income</w:t>
            </w:r>
          </w:p>
        </w:tc>
        <w:tc>
          <w:tcPr>
            <w:tcW w:w="1287" w:type="dxa"/>
            <w:tcBorders>
              <w:top w:val="nil"/>
              <w:left w:val="nil"/>
              <w:bottom w:val="nil"/>
              <w:right w:val="nil"/>
            </w:tcBorders>
            <w:hideMark/>
          </w:tcPr>
          <w:p w14:paraId="4C9C0419" w14:textId="77777777" w:rsidR="00E91426" w:rsidRPr="00E91426" w:rsidRDefault="00E91426" w:rsidP="00E91426">
            <w:pPr>
              <w:widowControl/>
              <w:jc w:val="right"/>
              <w:rPr>
                <w:rFonts w:ascii="Arial" w:eastAsia="Times New Roman" w:hAnsi="Arial" w:cs="Arial"/>
                <w:b/>
                <w:bCs/>
                <w:sz w:val="20"/>
                <w:szCs w:val="20"/>
                <w:lang w:val="en-GB" w:eastAsia="en-GB"/>
              </w:rPr>
            </w:pPr>
            <w:r w:rsidRPr="00E91426">
              <w:rPr>
                <w:rFonts w:ascii="Arial" w:eastAsia="Times New Roman" w:hAnsi="Arial" w:cs="Arial"/>
                <w:b/>
                <w:bCs/>
                <w:sz w:val="20"/>
                <w:szCs w:val="20"/>
                <w:lang w:val="en-GB" w:eastAsia="en-GB"/>
              </w:rPr>
              <w:t>Receivables</w:t>
            </w:r>
          </w:p>
        </w:tc>
      </w:tr>
      <w:tr w:rsidR="00E91426" w:rsidRPr="00E91426" w14:paraId="3DE27F3E" w14:textId="77777777" w:rsidTr="00E91426">
        <w:trPr>
          <w:trHeight w:val="265"/>
        </w:trPr>
        <w:tc>
          <w:tcPr>
            <w:tcW w:w="4167" w:type="dxa"/>
            <w:tcBorders>
              <w:top w:val="nil"/>
              <w:left w:val="nil"/>
              <w:bottom w:val="nil"/>
              <w:right w:val="nil"/>
            </w:tcBorders>
            <w:vAlign w:val="bottom"/>
            <w:hideMark/>
          </w:tcPr>
          <w:p w14:paraId="39B03A98" w14:textId="77777777" w:rsidR="00E91426" w:rsidRPr="00E91426" w:rsidRDefault="00E91426" w:rsidP="00E91426">
            <w:pPr>
              <w:widowControl/>
              <w:jc w:val="both"/>
              <w:rPr>
                <w:rFonts w:ascii="Arial" w:eastAsia="Times New Roman" w:hAnsi="Arial" w:cs="Arial"/>
                <w:sz w:val="20"/>
                <w:szCs w:val="20"/>
                <w:lang w:val="en-GB" w:eastAsia="en-GB"/>
              </w:rPr>
            </w:pPr>
            <w:r w:rsidRPr="00E91426">
              <w:rPr>
                <w:rFonts w:ascii="Arial" w:eastAsia="Times New Roman" w:hAnsi="Arial" w:cs="Arial"/>
                <w:sz w:val="20"/>
                <w:szCs w:val="20"/>
                <w:lang w:val="en-GB" w:eastAsia="en-GB"/>
              </w:rPr>
              <w:t xml:space="preserve"> Medway Hospital Charity</w:t>
            </w:r>
          </w:p>
        </w:tc>
        <w:tc>
          <w:tcPr>
            <w:tcW w:w="1407" w:type="dxa"/>
            <w:tcBorders>
              <w:top w:val="nil"/>
              <w:left w:val="nil"/>
              <w:bottom w:val="nil"/>
              <w:right w:val="nil"/>
            </w:tcBorders>
            <w:vAlign w:val="bottom"/>
            <w:hideMark/>
          </w:tcPr>
          <w:p w14:paraId="38C4B3F5" w14:textId="77777777" w:rsidR="00E91426" w:rsidRPr="00E91426" w:rsidRDefault="00E91426" w:rsidP="00E91426">
            <w:pPr>
              <w:widowControl/>
              <w:jc w:val="right"/>
              <w:rPr>
                <w:rFonts w:ascii="Arial" w:eastAsia="Times New Roman" w:hAnsi="Arial" w:cs="Arial"/>
                <w:sz w:val="20"/>
                <w:szCs w:val="20"/>
                <w:lang w:val="en-GB" w:eastAsia="en-GB"/>
              </w:rPr>
            </w:pPr>
            <w:r w:rsidRPr="00E91426">
              <w:rPr>
                <w:rFonts w:ascii="Arial" w:eastAsia="Times New Roman" w:hAnsi="Arial" w:cs="Arial"/>
                <w:sz w:val="20"/>
                <w:szCs w:val="20"/>
                <w:lang w:val="en-GB" w:eastAsia="en-GB"/>
              </w:rPr>
              <w:t>421</w:t>
            </w:r>
          </w:p>
        </w:tc>
        <w:tc>
          <w:tcPr>
            <w:tcW w:w="1373" w:type="dxa"/>
            <w:tcBorders>
              <w:top w:val="nil"/>
              <w:left w:val="nil"/>
              <w:bottom w:val="nil"/>
              <w:right w:val="nil"/>
            </w:tcBorders>
            <w:vAlign w:val="bottom"/>
            <w:hideMark/>
          </w:tcPr>
          <w:p w14:paraId="6D389691" w14:textId="77777777" w:rsidR="00E91426" w:rsidRPr="00E91426" w:rsidRDefault="00E91426" w:rsidP="00E91426">
            <w:pPr>
              <w:widowControl/>
              <w:jc w:val="right"/>
              <w:rPr>
                <w:rFonts w:ascii="Arial" w:eastAsia="Times New Roman" w:hAnsi="Arial" w:cs="Arial"/>
                <w:sz w:val="20"/>
                <w:szCs w:val="20"/>
                <w:lang w:val="en-GB" w:eastAsia="en-GB"/>
              </w:rPr>
            </w:pPr>
            <w:r w:rsidRPr="00E91426">
              <w:rPr>
                <w:rFonts w:ascii="Arial" w:eastAsia="Times New Roman" w:hAnsi="Arial" w:cs="Arial"/>
                <w:sz w:val="20"/>
                <w:szCs w:val="20"/>
                <w:lang w:val="en-GB" w:eastAsia="en-GB"/>
              </w:rPr>
              <w:t>0</w:t>
            </w:r>
          </w:p>
        </w:tc>
        <w:tc>
          <w:tcPr>
            <w:tcW w:w="1275" w:type="dxa"/>
            <w:tcBorders>
              <w:top w:val="nil"/>
              <w:left w:val="nil"/>
              <w:bottom w:val="nil"/>
              <w:right w:val="nil"/>
            </w:tcBorders>
            <w:vAlign w:val="bottom"/>
            <w:hideMark/>
          </w:tcPr>
          <w:p w14:paraId="2EF52D57" w14:textId="77777777" w:rsidR="00E91426" w:rsidRPr="00E91426" w:rsidRDefault="00E91426" w:rsidP="00E91426">
            <w:pPr>
              <w:widowControl/>
              <w:jc w:val="right"/>
              <w:rPr>
                <w:rFonts w:ascii="Arial" w:eastAsia="Times New Roman" w:hAnsi="Arial" w:cs="Arial"/>
                <w:sz w:val="20"/>
                <w:szCs w:val="20"/>
                <w:lang w:val="en-GB" w:eastAsia="en-GB"/>
              </w:rPr>
            </w:pPr>
            <w:r w:rsidRPr="00E91426">
              <w:rPr>
                <w:rFonts w:ascii="Arial" w:eastAsia="Times New Roman" w:hAnsi="Arial" w:cs="Arial"/>
                <w:sz w:val="20"/>
                <w:szCs w:val="20"/>
                <w:lang w:val="en-GB" w:eastAsia="en-GB"/>
              </w:rPr>
              <w:t>269</w:t>
            </w:r>
          </w:p>
        </w:tc>
        <w:tc>
          <w:tcPr>
            <w:tcW w:w="1287" w:type="dxa"/>
            <w:tcBorders>
              <w:top w:val="nil"/>
              <w:left w:val="nil"/>
              <w:bottom w:val="nil"/>
              <w:right w:val="nil"/>
            </w:tcBorders>
            <w:vAlign w:val="bottom"/>
            <w:hideMark/>
          </w:tcPr>
          <w:p w14:paraId="0ED93568" w14:textId="77777777" w:rsidR="00E91426" w:rsidRPr="00E91426" w:rsidRDefault="00E91426" w:rsidP="00E91426">
            <w:pPr>
              <w:widowControl/>
              <w:jc w:val="right"/>
              <w:rPr>
                <w:rFonts w:ascii="Arial" w:eastAsia="Times New Roman" w:hAnsi="Arial" w:cs="Arial"/>
                <w:sz w:val="20"/>
                <w:szCs w:val="20"/>
                <w:lang w:val="en-GB" w:eastAsia="en-GB"/>
              </w:rPr>
            </w:pPr>
            <w:r w:rsidRPr="00E91426">
              <w:rPr>
                <w:rFonts w:ascii="Arial" w:eastAsia="Times New Roman" w:hAnsi="Arial" w:cs="Arial"/>
                <w:sz w:val="20"/>
                <w:szCs w:val="20"/>
                <w:lang w:val="en-GB" w:eastAsia="en-GB"/>
              </w:rPr>
              <w:t>0</w:t>
            </w:r>
          </w:p>
        </w:tc>
      </w:tr>
    </w:tbl>
    <w:p w14:paraId="35384AA9" w14:textId="77777777" w:rsidR="00E91426" w:rsidRPr="00E91426" w:rsidRDefault="00E91426" w:rsidP="00E91426">
      <w:pPr>
        <w:widowControl/>
        <w:spacing w:after="160" w:line="259" w:lineRule="auto"/>
        <w:rPr>
          <w:rFonts w:ascii="Arial" w:eastAsia="Calibri" w:hAnsi="Arial" w:cs="Arial"/>
          <w:sz w:val="20"/>
          <w:szCs w:val="20"/>
          <w:lang w:val="en-GB"/>
        </w:rPr>
      </w:pPr>
    </w:p>
    <w:p w14:paraId="4B9506C4" w14:textId="77777777" w:rsidR="00E91426" w:rsidRPr="00E91426" w:rsidRDefault="00E91426" w:rsidP="00E91426">
      <w:pPr>
        <w:keepNext/>
        <w:keepLines/>
        <w:widowControl/>
        <w:spacing w:before="40" w:line="259" w:lineRule="auto"/>
        <w:outlineLvl w:val="1"/>
        <w:rPr>
          <w:rFonts w:ascii="Arial" w:eastAsia="Times New Roman" w:hAnsi="Arial" w:cs="Arial"/>
          <w:b/>
          <w:color w:val="000000"/>
          <w:sz w:val="20"/>
          <w:szCs w:val="20"/>
          <w:lang w:val="en-GB"/>
        </w:rPr>
      </w:pPr>
      <w:bookmarkStart w:id="93" w:name="_Toc195698727"/>
    </w:p>
    <w:p w14:paraId="2F317115" w14:textId="77777777" w:rsidR="00E91426" w:rsidRPr="00E91426" w:rsidRDefault="00E91426" w:rsidP="00E91426">
      <w:pPr>
        <w:keepNext/>
        <w:keepLines/>
        <w:widowControl/>
        <w:spacing w:before="40" w:line="259" w:lineRule="auto"/>
        <w:outlineLvl w:val="1"/>
        <w:rPr>
          <w:rFonts w:ascii="Arial" w:eastAsia="Times New Roman" w:hAnsi="Arial" w:cs="Arial"/>
          <w:b/>
          <w:color w:val="000000"/>
          <w:sz w:val="20"/>
          <w:szCs w:val="20"/>
          <w:lang w:val="en-GB"/>
        </w:rPr>
      </w:pPr>
    </w:p>
    <w:p w14:paraId="16CC1157" w14:textId="77777777" w:rsidR="00E91426" w:rsidRPr="00E91426" w:rsidRDefault="00E91426" w:rsidP="00E91426">
      <w:pPr>
        <w:keepNext/>
        <w:keepLines/>
        <w:widowControl/>
        <w:spacing w:before="40" w:line="259" w:lineRule="auto"/>
        <w:outlineLvl w:val="1"/>
        <w:rPr>
          <w:rFonts w:ascii="Arial" w:eastAsia="Times New Roman" w:hAnsi="Arial" w:cs="Arial"/>
          <w:b/>
          <w:color w:val="000000"/>
          <w:sz w:val="20"/>
          <w:szCs w:val="20"/>
          <w:lang w:val="en-GB"/>
        </w:rPr>
      </w:pPr>
      <w:r w:rsidRPr="00E91426">
        <w:rPr>
          <w:rFonts w:ascii="Arial" w:eastAsia="Times New Roman" w:hAnsi="Arial" w:cs="Arial"/>
          <w:b/>
          <w:color w:val="000000"/>
          <w:sz w:val="20"/>
          <w:szCs w:val="20"/>
          <w:lang w:val="en-GB"/>
        </w:rPr>
        <w:t>Note 30 Events after the reporting date</w:t>
      </w:r>
      <w:bookmarkEnd w:id="93"/>
    </w:p>
    <w:p w14:paraId="2DC200DC" w14:textId="77777777" w:rsidR="00E91426" w:rsidRPr="00E91426" w:rsidRDefault="00E91426" w:rsidP="00E91426">
      <w:pPr>
        <w:widowControl/>
        <w:spacing w:after="160" w:line="259" w:lineRule="auto"/>
        <w:rPr>
          <w:rFonts w:ascii="Arial" w:eastAsia="Calibri" w:hAnsi="Arial" w:cs="Arial"/>
          <w:sz w:val="20"/>
          <w:szCs w:val="20"/>
          <w:lang w:val="en-GB"/>
        </w:rPr>
      </w:pPr>
    </w:p>
    <w:p w14:paraId="06A7D1FD" w14:textId="77777777" w:rsidR="00E91426" w:rsidRPr="00E91426" w:rsidRDefault="00E91426" w:rsidP="00E91426">
      <w:pPr>
        <w:widowControl/>
        <w:spacing w:after="160" w:line="259" w:lineRule="auto"/>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There are currently no events after the reporting date</w:t>
      </w:r>
    </w:p>
    <w:p w14:paraId="53E707B5" w14:textId="77777777" w:rsidR="00BB1165" w:rsidRDefault="00BB1165">
      <w:pPr>
        <w:widowControl/>
        <w:spacing w:after="160" w:line="259" w:lineRule="auto"/>
        <w:rPr>
          <w:rFonts w:ascii="Arial" w:hAnsi="Arial" w:cs="Arial"/>
          <w:b/>
          <w:sz w:val="28"/>
          <w:szCs w:val="28"/>
          <w:lang w:val="en-GB"/>
        </w:rPr>
      </w:pPr>
    </w:p>
    <w:sectPr w:rsidR="00BB1165" w:rsidSect="00E91426">
      <w:pgSz w:w="11906" w:h="16838"/>
      <w:pgMar w:top="1134" w:right="1440" w:bottom="709"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63FF1D" w14:textId="77777777" w:rsidR="00FA3DE5" w:rsidRDefault="00FA3DE5" w:rsidP="0043017E">
      <w:r>
        <w:separator/>
      </w:r>
    </w:p>
  </w:endnote>
  <w:endnote w:type="continuationSeparator" w:id="0">
    <w:p w14:paraId="7B27CE8F" w14:textId="77777777" w:rsidR="00FA3DE5" w:rsidRDefault="00FA3DE5" w:rsidP="004301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320862" w14:textId="77777777" w:rsidR="001A0073" w:rsidRPr="006B58BA" w:rsidRDefault="001A0073">
    <w:pPr>
      <w:pStyle w:val="Footer"/>
      <w:jc w:val="right"/>
      <w:rPr>
        <w:rFonts w:ascii="Arial" w:hAnsi="Arial" w:cs="Arial"/>
        <w:sz w:val="16"/>
        <w:szCs w:val="16"/>
      </w:rPr>
    </w:pPr>
    <w:r w:rsidRPr="006B58BA">
      <w:rPr>
        <w:rFonts w:ascii="Arial" w:hAnsi="Arial" w:cs="Arial"/>
        <w:sz w:val="16"/>
        <w:szCs w:val="16"/>
      </w:rPr>
      <w:t xml:space="preserve">Page </w:t>
    </w:r>
    <w:sdt>
      <w:sdtPr>
        <w:rPr>
          <w:rFonts w:ascii="Arial" w:hAnsi="Arial" w:cs="Arial"/>
          <w:sz w:val="16"/>
          <w:szCs w:val="16"/>
        </w:rPr>
        <w:id w:val="941193353"/>
        <w:docPartObj>
          <w:docPartGallery w:val="Page Numbers (Bottom of Page)"/>
          <w:docPartUnique/>
        </w:docPartObj>
      </w:sdtPr>
      <w:sdtEndPr>
        <w:rPr>
          <w:noProof/>
        </w:rPr>
      </w:sdtEndPr>
      <w:sdtContent>
        <w:r w:rsidRPr="006B58BA">
          <w:rPr>
            <w:rFonts w:ascii="Arial" w:hAnsi="Arial" w:cs="Arial"/>
            <w:sz w:val="16"/>
            <w:szCs w:val="16"/>
          </w:rPr>
          <w:fldChar w:fldCharType="begin"/>
        </w:r>
        <w:r w:rsidRPr="006B58BA">
          <w:rPr>
            <w:rFonts w:ascii="Arial" w:hAnsi="Arial" w:cs="Arial"/>
            <w:sz w:val="16"/>
            <w:szCs w:val="16"/>
          </w:rPr>
          <w:instrText xml:space="preserve"> PAGE   \* MERGEFORMAT </w:instrText>
        </w:r>
        <w:r w:rsidRPr="006B58BA">
          <w:rPr>
            <w:rFonts w:ascii="Arial" w:hAnsi="Arial" w:cs="Arial"/>
            <w:sz w:val="16"/>
            <w:szCs w:val="16"/>
          </w:rPr>
          <w:fldChar w:fldCharType="separate"/>
        </w:r>
        <w:r w:rsidRPr="006B58BA">
          <w:rPr>
            <w:rFonts w:ascii="Arial" w:hAnsi="Arial" w:cs="Arial"/>
            <w:noProof/>
            <w:sz w:val="16"/>
            <w:szCs w:val="16"/>
          </w:rPr>
          <w:t>2</w:t>
        </w:r>
        <w:r w:rsidRPr="006B58BA">
          <w:rPr>
            <w:rFonts w:ascii="Arial" w:hAnsi="Arial" w:cs="Arial"/>
            <w:noProof/>
            <w:sz w:val="16"/>
            <w:szCs w:val="16"/>
          </w:rPr>
          <w:fldChar w:fldCharType="end"/>
        </w:r>
      </w:sdtContent>
    </w:sdt>
  </w:p>
  <w:p w14:paraId="4D787BA1" w14:textId="77777777" w:rsidR="001A0073" w:rsidRPr="006B58BA" w:rsidRDefault="001A0073" w:rsidP="006B58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80866561"/>
      <w:docPartObj>
        <w:docPartGallery w:val="Page Numbers (Bottom of Page)"/>
        <w:docPartUnique/>
      </w:docPartObj>
    </w:sdtPr>
    <w:sdtEndPr>
      <w:rPr>
        <w:rFonts w:ascii="Arial" w:hAnsi="Arial" w:cs="Arial"/>
        <w:noProof/>
        <w:sz w:val="18"/>
        <w:szCs w:val="18"/>
      </w:rPr>
    </w:sdtEndPr>
    <w:sdtContent>
      <w:p w14:paraId="0973E988" w14:textId="77777777" w:rsidR="001A0073" w:rsidRPr="001A0073" w:rsidRDefault="001A0073">
        <w:pPr>
          <w:pStyle w:val="Footer"/>
          <w:jc w:val="center"/>
          <w:rPr>
            <w:rFonts w:ascii="Arial" w:hAnsi="Arial" w:cs="Arial"/>
            <w:sz w:val="18"/>
            <w:szCs w:val="18"/>
          </w:rPr>
        </w:pPr>
        <w:r w:rsidRPr="001A0073">
          <w:rPr>
            <w:rFonts w:ascii="Arial" w:hAnsi="Arial" w:cs="Arial"/>
            <w:sz w:val="18"/>
            <w:szCs w:val="18"/>
          </w:rPr>
          <w:fldChar w:fldCharType="begin"/>
        </w:r>
        <w:r w:rsidRPr="001A0073">
          <w:rPr>
            <w:rFonts w:ascii="Arial" w:hAnsi="Arial" w:cs="Arial"/>
            <w:sz w:val="18"/>
            <w:szCs w:val="18"/>
          </w:rPr>
          <w:instrText xml:space="preserve"> PAGE   \* MERGEFORMAT </w:instrText>
        </w:r>
        <w:r w:rsidRPr="001A0073">
          <w:rPr>
            <w:rFonts w:ascii="Arial" w:hAnsi="Arial" w:cs="Arial"/>
            <w:sz w:val="18"/>
            <w:szCs w:val="18"/>
          </w:rPr>
          <w:fldChar w:fldCharType="separate"/>
        </w:r>
        <w:r w:rsidRPr="001A0073">
          <w:rPr>
            <w:rFonts w:ascii="Arial" w:hAnsi="Arial" w:cs="Arial"/>
            <w:noProof/>
            <w:sz w:val="18"/>
            <w:szCs w:val="18"/>
          </w:rPr>
          <w:t>2</w:t>
        </w:r>
        <w:r w:rsidRPr="001A0073">
          <w:rPr>
            <w:rFonts w:ascii="Arial" w:hAnsi="Arial" w:cs="Arial"/>
            <w:noProof/>
            <w:sz w:val="18"/>
            <w:szCs w:val="18"/>
          </w:rPr>
          <w:fldChar w:fldCharType="end"/>
        </w:r>
      </w:p>
    </w:sdtContent>
  </w:sdt>
  <w:p w14:paraId="3ED2CE30" w14:textId="77777777" w:rsidR="001A0073" w:rsidRDefault="001A007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24107697"/>
      <w:docPartObj>
        <w:docPartGallery w:val="Page Numbers (Bottom of Page)"/>
        <w:docPartUnique/>
      </w:docPartObj>
    </w:sdtPr>
    <w:sdtEndPr>
      <w:rPr>
        <w:noProof/>
      </w:rPr>
    </w:sdtEndPr>
    <w:sdtContent>
      <w:p w14:paraId="12AC71B1" w14:textId="77777777" w:rsidR="001A0073" w:rsidRDefault="001A007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C9253F6" w14:textId="77777777" w:rsidR="001A0073" w:rsidRDefault="001A00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095AB0" w14:textId="77777777" w:rsidR="00FA3DE5" w:rsidRDefault="00FA3DE5" w:rsidP="0043017E">
      <w:r>
        <w:separator/>
      </w:r>
    </w:p>
  </w:footnote>
  <w:footnote w:type="continuationSeparator" w:id="0">
    <w:p w14:paraId="4395B85C" w14:textId="77777777" w:rsidR="00FA3DE5" w:rsidRDefault="00FA3DE5" w:rsidP="0043017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52FAF"/>
    <w:multiLevelType w:val="multilevel"/>
    <w:tmpl w:val="18640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B9594C"/>
    <w:multiLevelType w:val="hybridMultilevel"/>
    <w:tmpl w:val="0A9A2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D740B7"/>
    <w:multiLevelType w:val="multilevel"/>
    <w:tmpl w:val="1094766C"/>
    <w:lvl w:ilvl="0">
      <w:start w:val="1"/>
      <w:numFmt w:val="bullet"/>
      <w:lvlText w:val=""/>
      <w:lvlJc w:val="left"/>
      <w:pPr>
        <w:tabs>
          <w:tab w:val="num" w:pos="720"/>
        </w:tabs>
        <w:ind w:left="720" w:hanging="360"/>
      </w:pPr>
      <w:rPr>
        <w:rFonts w:ascii="Symbol" w:hAnsi="Symbol" w:hint="default"/>
        <w:sz w:val="18"/>
        <w:szCs w:val="1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D7561D"/>
    <w:multiLevelType w:val="hybridMultilevel"/>
    <w:tmpl w:val="A7560FF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C0E24D1"/>
    <w:multiLevelType w:val="hybridMultilevel"/>
    <w:tmpl w:val="33E0AA3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AE2DCA"/>
    <w:multiLevelType w:val="hybridMultilevel"/>
    <w:tmpl w:val="9744B6F2"/>
    <w:lvl w:ilvl="0" w:tplc="0EF0913A">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536106"/>
    <w:multiLevelType w:val="hybridMultilevel"/>
    <w:tmpl w:val="D8864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E07305"/>
    <w:multiLevelType w:val="hybridMultilevel"/>
    <w:tmpl w:val="C74098E0"/>
    <w:lvl w:ilvl="0" w:tplc="08090011">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17CE7B52"/>
    <w:multiLevelType w:val="multilevel"/>
    <w:tmpl w:val="97E25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9742046"/>
    <w:multiLevelType w:val="hybridMultilevel"/>
    <w:tmpl w:val="A8CADB3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B0074E3"/>
    <w:multiLevelType w:val="multilevel"/>
    <w:tmpl w:val="15A26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B426C7D"/>
    <w:multiLevelType w:val="hybridMultilevel"/>
    <w:tmpl w:val="80282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E5558F"/>
    <w:multiLevelType w:val="hybridMultilevel"/>
    <w:tmpl w:val="485EB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972267"/>
    <w:multiLevelType w:val="hybridMultilevel"/>
    <w:tmpl w:val="C236306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FC15E16"/>
    <w:multiLevelType w:val="hybridMultilevel"/>
    <w:tmpl w:val="64FEE54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13E01BB"/>
    <w:multiLevelType w:val="multilevel"/>
    <w:tmpl w:val="FD323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1700FEB"/>
    <w:multiLevelType w:val="hybridMultilevel"/>
    <w:tmpl w:val="B2D8A952"/>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19A362C"/>
    <w:multiLevelType w:val="multilevel"/>
    <w:tmpl w:val="C8FE6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633241E"/>
    <w:multiLevelType w:val="multilevel"/>
    <w:tmpl w:val="BDCCA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76E4F18"/>
    <w:multiLevelType w:val="hybridMultilevel"/>
    <w:tmpl w:val="028AA30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C0D231E"/>
    <w:multiLevelType w:val="hybridMultilevel"/>
    <w:tmpl w:val="C0203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C654797"/>
    <w:multiLevelType w:val="hybridMultilevel"/>
    <w:tmpl w:val="4B2C26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2CB71FB6"/>
    <w:multiLevelType w:val="multilevel"/>
    <w:tmpl w:val="5E94C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E4E287E"/>
    <w:multiLevelType w:val="hybridMultilevel"/>
    <w:tmpl w:val="6D6E9B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2F4D5AC5"/>
    <w:multiLevelType w:val="multilevel"/>
    <w:tmpl w:val="F8709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039339B"/>
    <w:multiLevelType w:val="hybridMultilevel"/>
    <w:tmpl w:val="E050D79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05563C1"/>
    <w:multiLevelType w:val="multilevel"/>
    <w:tmpl w:val="6E182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2163696"/>
    <w:multiLevelType w:val="hybridMultilevel"/>
    <w:tmpl w:val="BF883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2465BF8"/>
    <w:multiLevelType w:val="hybridMultilevel"/>
    <w:tmpl w:val="29E4857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34231C4"/>
    <w:multiLevelType w:val="hybridMultilevel"/>
    <w:tmpl w:val="94EEF95A"/>
    <w:lvl w:ilvl="0" w:tplc="F4946E70">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5971932"/>
    <w:multiLevelType w:val="hybridMultilevel"/>
    <w:tmpl w:val="A1C47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5B17E1D"/>
    <w:multiLevelType w:val="multilevel"/>
    <w:tmpl w:val="C6182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6145AF6"/>
    <w:multiLevelType w:val="multilevel"/>
    <w:tmpl w:val="8E4C9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6EB0FB4"/>
    <w:multiLevelType w:val="hybridMultilevel"/>
    <w:tmpl w:val="41F8325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7090F9C"/>
    <w:multiLevelType w:val="multilevel"/>
    <w:tmpl w:val="CCA20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3B96239E"/>
    <w:multiLevelType w:val="multilevel"/>
    <w:tmpl w:val="42E48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2340052"/>
    <w:multiLevelType w:val="hybridMultilevel"/>
    <w:tmpl w:val="D57EC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34D29FF"/>
    <w:multiLevelType w:val="hybridMultilevel"/>
    <w:tmpl w:val="A608F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46C36B8"/>
    <w:multiLevelType w:val="multilevel"/>
    <w:tmpl w:val="FC0A9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488E40AA"/>
    <w:multiLevelType w:val="multilevel"/>
    <w:tmpl w:val="F9B89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4A3A48A0"/>
    <w:multiLevelType w:val="hybridMultilevel"/>
    <w:tmpl w:val="DEFAC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1B7333F"/>
    <w:multiLevelType w:val="hybridMultilevel"/>
    <w:tmpl w:val="70E0C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48962A7"/>
    <w:multiLevelType w:val="hybridMultilevel"/>
    <w:tmpl w:val="E3A608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552B0E01"/>
    <w:multiLevelType w:val="hybridMultilevel"/>
    <w:tmpl w:val="CD0A7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6960C77"/>
    <w:multiLevelType w:val="hybridMultilevel"/>
    <w:tmpl w:val="E25A52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56EB4FBC"/>
    <w:multiLevelType w:val="multilevel"/>
    <w:tmpl w:val="3F9CC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576633A6"/>
    <w:multiLevelType w:val="hybridMultilevel"/>
    <w:tmpl w:val="65C0EB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59B12D4F"/>
    <w:multiLevelType w:val="multilevel"/>
    <w:tmpl w:val="F80A3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637C61CB"/>
    <w:multiLevelType w:val="multilevel"/>
    <w:tmpl w:val="03369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6BC77DE9"/>
    <w:multiLevelType w:val="hybridMultilevel"/>
    <w:tmpl w:val="284651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6CAB3398"/>
    <w:multiLevelType w:val="multilevel"/>
    <w:tmpl w:val="F684C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6CDA2E24"/>
    <w:multiLevelType w:val="hybridMultilevel"/>
    <w:tmpl w:val="BB3ECBCE"/>
    <w:lvl w:ilvl="0" w:tplc="0EF0913A">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CFE26BA"/>
    <w:multiLevelType w:val="hybridMultilevel"/>
    <w:tmpl w:val="AE64CE42"/>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3" w15:restartNumberingAfterBreak="0">
    <w:nsid w:val="6DB329FC"/>
    <w:multiLevelType w:val="hybridMultilevel"/>
    <w:tmpl w:val="C8F61C8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6E0B74E9"/>
    <w:multiLevelType w:val="hybridMultilevel"/>
    <w:tmpl w:val="AE72CC7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6FB25C18"/>
    <w:multiLevelType w:val="multilevel"/>
    <w:tmpl w:val="A308E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71AA4C70"/>
    <w:multiLevelType w:val="multilevel"/>
    <w:tmpl w:val="6E8C4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727659BC"/>
    <w:multiLevelType w:val="multilevel"/>
    <w:tmpl w:val="BA48D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74E13D3A"/>
    <w:multiLevelType w:val="hybridMultilevel"/>
    <w:tmpl w:val="5A9EC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65B65D1"/>
    <w:multiLevelType w:val="multilevel"/>
    <w:tmpl w:val="835A9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76E92448"/>
    <w:multiLevelType w:val="hybridMultilevel"/>
    <w:tmpl w:val="6DAE09CA"/>
    <w:lvl w:ilvl="0" w:tplc="EBBAEC66">
      <w:start w:val="1"/>
      <w:numFmt w:val="lowerLetter"/>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78D261A8"/>
    <w:multiLevelType w:val="hybridMultilevel"/>
    <w:tmpl w:val="4C500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9482404"/>
    <w:multiLevelType w:val="multilevel"/>
    <w:tmpl w:val="C99E2E2C"/>
    <w:lvl w:ilvl="0">
      <w:start w:val="1"/>
      <w:numFmt w:val="bullet"/>
      <w:lvlText w:val=""/>
      <w:lvlJc w:val="left"/>
      <w:pPr>
        <w:tabs>
          <w:tab w:val="num" w:pos="284"/>
        </w:tabs>
        <w:ind w:left="284" w:hanging="284"/>
      </w:pPr>
      <w:rPr>
        <w:rFonts w:ascii="Symbol" w:hAnsi="Symbol" w:hint="default"/>
        <w:color w:val="auto"/>
      </w:rPr>
    </w:lvl>
    <w:lvl w:ilvl="1">
      <w:start w:val="1"/>
      <w:numFmt w:val="bullet"/>
      <w:lvlText w:val=""/>
      <w:lvlJc w:val="left"/>
      <w:pPr>
        <w:tabs>
          <w:tab w:val="num" w:pos="567"/>
        </w:tabs>
        <w:ind w:left="567" w:hanging="283"/>
      </w:pPr>
      <w:rPr>
        <w:rFonts w:ascii="Symbol" w:hAnsi="Symbol" w:hint="default"/>
      </w:rPr>
    </w:lvl>
    <w:lvl w:ilvl="2">
      <w:start w:val="1"/>
      <w:numFmt w:val="bullet"/>
      <w:lvlRestart w:val="0"/>
      <w:lvlText w:val=""/>
      <w:lvlJc w:val="left"/>
      <w:pPr>
        <w:tabs>
          <w:tab w:val="num" w:pos="851"/>
        </w:tabs>
        <w:ind w:left="851" w:hanging="284"/>
      </w:pPr>
      <w:rPr>
        <w:rFonts w:ascii="Symbol" w:hAnsi="Symbol" w:hint="default"/>
        <w:color w:val="auto"/>
      </w:rPr>
    </w:lvl>
    <w:lvl w:ilvl="3">
      <w:start w:val="1"/>
      <w:numFmt w:val="none"/>
      <w:lvlRestart w:val="0"/>
      <w:lvlText w:val=""/>
      <w:lvlJc w:val="left"/>
      <w:pPr>
        <w:tabs>
          <w:tab w:val="num" w:pos="851"/>
        </w:tabs>
        <w:ind w:left="851" w:firstLine="0"/>
      </w:pPr>
      <w:rPr>
        <w:rFonts w:hint="default"/>
      </w:rPr>
    </w:lvl>
    <w:lvl w:ilvl="4">
      <w:start w:val="1"/>
      <w:numFmt w:val="none"/>
      <w:lvlRestart w:val="0"/>
      <w:lvlText w:val=""/>
      <w:lvlJc w:val="left"/>
      <w:pPr>
        <w:tabs>
          <w:tab w:val="num" w:pos="851"/>
        </w:tabs>
        <w:ind w:left="851" w:firstLine="0"/>
      </w:pPr>
      <w:rPr>
        <w:rFonts w:hint="default"/>
      </w:rPr>
    </w:lvl>
    <w:lvl w:ilvl="5">
      <w:start w:val="1"/>
      <w:numFmt w:val="none"/>
      <w:lvlRestart w:val="0"/>
      <w:lvlText w:val=""/>
      <w:lvlJc w:val="left"/>
      <w:pPr>
        <w:tabs>
          <w:tab w:val="num" w:pos="851"/>
        </w:tabs>
        <w:ind w:left="851" w:firstLine="0"/>
      </w:pPr>
      <w:rPr>
        <w:rFonts w:hint="default"/>
      </w:rPr>
    </w:lvl>
    <w:lvl w:ilvl="6">
      <w:start w:val="1"/>
      <w:numFmt w:val="none"/>
      <w:lvlRestart w:val="0"/>
      <w:lvlText w:val=""/>
      <w:lvlJc w:val="left"/>
      <w:pPr>
        <w:tabs>
          <w:tab w:val="num" w:pos="851"/>
        </w:tabs>
        <w:ind w:left="851" w:firstLine="0"/>
      </w:pPr>
      <w:rPr>
        <w:rFonts w:hint="default"/>
      </w:rPr>
    </w:lvl>
    <w:lvl w:ilvl="7">
      <w:start w:val="1"/>
      <w:numFmt w:val="none"/>
      <w:lvlRestart w:val="0"/>
      <w:lvlText w:val=""/>
      <w:lvlJc w:val="left"/>
      <w:pPr>
        <w:tabs>
          <w:tab w:val="num" w:pos="851"/>
        </w:tabs>
        <w:ind w:left="851" w:firstLine="0"/>
      </w:pPr>
      <w:rPr>
        <w:rFonts w:hint="default"/>
      </w:rPr>
    </w:lvl>
    <w:lvl w:ilvl="8">
      <w:start w:val="1"/>
      <w:numFmt w:val="none"/>
      <w:lvlRestart w:val="0"/>
      <w:lvlText w:val=""/>
      <w:lvlJc w:val="left"/>
      <w:pPr>
        <w:ind w:left="851" w:firstLine="0"/>
      </w:pPr>
      <w:rPr>
        <w:rFonts w:hint="default"/>
      </w:rPr>
    </w:lvl>
  </w:abstractNum>
  <w:abstractNum w:abstractNumId="63" w15:restartNumberingAfterBreak="0">
    <w:nsid w:val="797A0F34"/>
    <w:multiLevelType w:val="hybridMultilevel"/>
    <w:tmpl w:val="059CA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EA42A15"/>
    <w:multiLevelType w:val="hybridMultilevel"/>
    <w:tmpl w:val="21B47F6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9515099">
    <w:abstractNumId w:val="20"/>
  </w:num>
  <w:num w:numId="2" w16cid:durableId="1552572024">
    <w:abstractNumId w:val="43"/>
  </w:num>
  <w:num w:numId="3" w16cid:durableId="962733472">
    <w:abstractNumId w:val="11"/>
  </w:num>
  <w:num w:numId="4" w16cid:durableId="593318015">
    <w:abstractNumId w:val="33"/>
  </w:num>
  <w:num w:numId="5" w16cid:durableId="316767329">
    <w:abstractNumId w:val="37"/>
  </w:num>
  <w:num w:numId="6" w16cid:durableId="801532140">
    <w:abstractNumId w:val="64"/>
  </w:num>
  <w:num w:numId="7" w16cid:durableId="1678579573">
    <w:abstractNumId w:val="54"/>
  </w:num>
  <w:num w:numId="8" w16cid:durableId="1708261652">
    <w:abstractNumId w:val="36"/>
  </w:num>
  <w:num w:numId="9" w16cid:durableId="513884195">
    <w:abstractNumId w:val="6"/>
  </w:num>
  <w:num w:numId="10" w16cid:durableId="1709448703">
    <w:abstractNumId w:val="23"/>
  </w:num>
  <w:num w:numId="11" w16cid:durableId="304433269">
    <w:abstractNumId w:val="14"/>
  </w:num>
  <w:num w:numId="12" w16cid:durableId="976031508">
    <w:abstractNumId w:val="3"/>
  </w:num>
  <w:num w:numId="13" w16cid:durableId="7174808">
    <w:abstractNumId w:val="19"/>
  </w:num>
  <w:num w:numId="14" w16cid:durableId="1339887042">
    <w:abstractNumId w:val="9"/>
  </w:num>
  <w:num w:numId="15" w16cid:durableId="550729697">
    <w:abstractNumId w:val="4"/>
  </w:num>
  <w:num w:numId="16" w16cid:durableId="1895239104">
    <w:abstractNumId w:val="13"/>
  </w:num>
  <w:num w:numId="17" w16cid:durableId="1702315213">
    <w:abstractNumId w:val="7"/>
  </w:num>
  <w:num w:numId="18" w16cid:durableId="700743610">
    <w:abstractNumId w:val="60"/>
  </w:num>
  <w:num w:numId="19" w16cid:durableId="1950041107">
    <w:abstractNumId w:val="46"/>
  </w:num>
  <w:num w:numId="20" w16cid:durableId="113915013">
    <w:abstractNumId w:val="42"/>
  </w:num>
  <w:num w:numId="21" w16cid:durableId="959065297">
    <w:abstractNumId w:val="34"/>
  </w:num>
  <w:num w:numId="22" w16cid:durableId="581448200">
    <w:abstractNumId w:val="21"/>
  </w:num>
  <w:num w:numId="23" w16cid:durableId="1142114325">
    <w:abstractNumId w:val="41"/>
  </w:num>
  <w:num w:numId="24" w16cid:durableId="506478673">
    <w:abstractNumId w:val="49"/>
  </w:num>
  <w:num w:numId="25" w16cid:durableId="767700415">
    <w:abstractNumId w:val="52"/>
  </w:num>
  <w:num w:numId="26" w16cid:durableId="337119248">
    <w:abstractNumId w:val="25"/>
  </w:num>
  <w:num w:numId="27" w16cid:durableId="1015497088">
    <w:abstractNumId w:val="44"/>
  </w:num>
  <w:num w:numId="28" w16cid:durableId="1882940172">
    <w:abstractNumId w:val="30"/>
  </w:num>
  <w:num w:numId="29" w16cid:durableId="1203588853">
    <w:abstractNumId w:val="28"/>
  </w:num>
  <w:num w:numId="30" w16cid:durableId="981539915">
    <w:abstractNumId w:val="20"/>
  </w:num>
  <w:num w:numId="31" w16cid:durableId="691804698">
    <w:abstractNumId w:val="53"/>
  </w:num>
  <w:num w:numId="32" w16cid:durableId="2012565021">
    <w:abstractNumId w:val="8"/>
  </w:num>
  <w:num w:numId="33" w16cid:durableId="273220737">
    <w:abstractNumId w:val="35"/>
  </w:num>
  <w:num w:numId="34" w16cid:durableId="1899393999">
    <w:abstractNumId w:val="38"/>
  </w:num>
  <w:num w:numId="35" w16cid:durableId="1651905927">
    <w:abstractNumId w:val="18"/>
  </w:num>
  <w:num w:numId="36" w16cid:durableId="403256395">
    <w:abstractNumId w:val="0"/>
  </w:num>
  <w:num w:numId="37" w16cid:durableId="80681993">
    <w:abstractNumId w:val="10"/>
  </w:num>
  <w:num w:numId="38" w16cid:durableId="75905822">
    <w:abstractNumId w:val="39"/>
  </w:num>
  <w:num w:numId="39" w16cid:durableId="1394305002">
    <w:abstractNumId w:val="45"/>
  </w:num>
  <w:num w:numId="40" w16cid:durableId="1469399051">
    <w:abstractNumId w:val="50"/>
  </w:num>
  <w:num w:numId="41" w16cid:durableId="1475292107">
    <w:abstractNumId w:val="32"/>
  </w:num>
  <w:num w:numId="42" w16cid:durableId="1798379130">
    <w:abstractNumId w:val="48"/>
  </w:num>
  <w:num w:numId="43" w16cid:durableId="992830107">
    <w:abstractNumId w:val="57"/>
  </w:num>
  <w:num w:numId="44" w16cid:durableId="770974557">
    <w:abstractNumId w:val="56"/>
  </w:num>
  <w:num w:numId="45" w16cid:durableId="1705397270">
    <w:abstractNumId w:val="15"/>
  </w:num>
  <w:num w:numId="46" w16cid:durableId="1448935787">
    <w:abstractNumId w:val="55"/>
  </w:num>
  <w:num w:numId="47" w16cid:durableId="540022317">
    <w:abstractNumId w:val="47"/>
  </w:num>
  <w:num w:numId="48" w16cid:durableId="16468163">
    <w:abstractNumId w:val="24"/>
  </w:num>
  <w:num w:numId="49" w16cid:durableId="598299520">
    <w:abstractNumId w:val="59"/>
  </w:num>
  <w:num w:numId="50" w16cid:durableId="1539512376">
    <w:abstractNumId w:val="17"/>
  </w:num>
  <w:num w:numId="51" w16cid:durableId="824471149">
    <w:abstractNumId w:val="22"/>
  </w:num>
  <w:num w:numId="52" w16cid:durableId="1071580772">
    <w:abstractNumId w:val="31"/>
  </w:num>
  <w:num w:numId="53" w16cid:durableId="286007026">
    <w:abstractNumId w:val="26"/>
  </w:num>
  <w:num w:numId="54" w16cid:durableId="1290866618">
    <w:abstractNumId w:val="40"/>
  </w:num>
  <w:num w:numId="55" w16cid:durableId="1752042398">
    <w:abstractNumId w:val="12"/>
  </w:num>
  <w:num w:numId="56" w16cid:durableId="2088572244">
    <w:abstractNumId w:val="16"/>
  </w:num>
  <w:num w:numId="57" w16cid:durableId="1741051770">
    <w:abstractNumId w:val="63"/>
  </w:num>
  <w:num w:numId="58" w16cid:durableId="1736388683">
    <w:abstractNumId w:val="58"/>
  </w:num>
  <w:num w:numId="59" w16cid:durableId="1508403685">
    <w:abstractNumId w:val="51"/>
  </w:num>
  <w:num w:numId="60" w16cid:durableId="187450904">
    <w:abstractNumId w:val="5"/>
  </w:num>
  <w:num w:numId="61" w16cid:durableId="1786390278">
    <w:abstractNumId w:val="29"/>
  </w:num>
  <w:num w:numId="62" w16cid:durableId="2118331767">
    <w:abstractNumId w:val="2"/>
  </w:num>
  <w:num w:numId="63" w16cid:durableId="1959294161">
    <w:abstractNumId w:val="27"/>
  </w:num>
  <w:num w:numId="64" w16cid:durableId="1462529012">
    <w:abstractNumId w:val="1"/>
  </w:num>
  <w:num w:numId="65" w16cid:durableId="379136993">
    <w:abstractNumId w:val="62"/>
  </w:num>
  <w:num w:numId="66" w16cid:durableId="2016492270">
    <w:abstractNumId w:val="61"/>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55C4"/>
    <w:rsid w:val="00003490"/>
    <w:rsid w:val="00004B5A"/>
    <w:rsid w:val="00005152"/>
    <w:rsid w:val="00005C33"/>
    <w:rsid w:val="00005CEF"/>
    <w:rsid w:val="00007EA1"/>
    <w:rsid w:val="00010A15"/>
    <w:rsid w:val="00012B1F"/>
    <w:rsid w:val="00012B71"/>
    <w:rsid w:val="000130E5"/>
    <w:rsid w:val="00015C9E"/>
    <w:rsid w:val="0001601E"/>
    <w:rsid w:val="00017376"/>
    <w:rsid w:val="0001752B"/>
    <w:rsid w:val="00020751"/>
    <w:rsid w:val="0002105B"/>
    <w:rsid w:val="00022B76"/>
    <w:rsid w:val="00024C96"/>
    <w:rsid w:val="00024E37"/>
    <w:rsid w:val="000255EB"/>
    <w:rsid w:val="00033BA8"/>
    <w:rsid w:val="00037E7A"/>
    <w:rsid w:val="00040653"/>
    <w:rsid w:val="000411AF"/>
    <w:rsid w:val="0004253F"/>
    <w:rsid w:val="00046396"/>
    <w:rsid w:val="00047BAD"/>
    <w:rsid w:val="00051276"/>
    <w:rsid w:val="000571A2"/>
    <w:rsid w:val="000653CE"/>
    <w:rsid w:val="000659CE"/>
    <w:rsid w:val="0007079A"/>
    <w:rsid w:val="00071AC6"/>
    <w:rsid w:val="00074053"/>
    <w:rsid w:val="00076502"/>
    <w:rsid w:val="00080C40"/>
    <w:rsid w:val="0008333F"/>
    <w:rsid w:val="0008360F"/>
    <w:rsid w:val="000859BC"/>
    <w:rsid w:val="00085EF6"/>
    <w:rsid w:val="00086932"/>
    <w:rsid w:val="000903F4"/>
    <w:rsid w:val="00093E90"/>
    <w:rsid w:val="000950D0"/>
    <w:rsid w:val="000956EE"/>
    <w:rsid w:val="00097E57"/>
    <w:rsid w:val="000A3CA7"/>
    <w:rsid w:val="000A5C3E"/>
    <w:rsid w:val="000A6E4A"/>
    <w:rsid w:val="000A72CE"/>
    <w:rsid w:val="000B213D"/>
    <w:rsid w:val="000B227D"/>
    <w:rsid w:val="000B3635"/>
    <w:rsid w:val="000B4E56"/>
    <w:rsid w:val="000B7298"/>
    <w:rsid w:val="000C0BD6"/>
    <w:rsid w:val="000C17BC"/>
    <w:rsid w:val="000C1D33"/>
    <w:rsid w:val="000C2CA6"/>
    <w:rsid w:val="000D0E43"/>
    <w:rsid w:val="000D7EA5"/>
    <w:rsid w:val="000E0349"/>
    <w:rsid w:val="000E22A2"/>
    <w:rsid w:val="000E3441"/>
    <w:rsid w:val="000E5B6E"/>
    <w:rsid w:val="000E61DB"/>
    <w:rsid w:val="000E7E94"/>
    <w:rsid w:val="000F3070"/>
    <w:rsid w:val="000F461C"/>
    <w:rsid w:val="000F6BEB"/>
    <w:rsid w:val="0010364A"/>
    <w:rsid w:val="00104238"/>
    <w:rsid w:val="00104583"/>
    <w:rsid w:val="001068AC"/>
    <w:rsid w:val="0011484C"/>
    <w:rsid w:val="00114DC4"/>
    <w:rsid w:val="00116C91"/>
    <w:rsid w:val="00117579"/>
    <w:rsid w:val="001175BC"/>
    <w:rsid w:val="00121053"/>
    <w:rsid w:val="00123C71"/>
    <w:rsid w:val="00125F27"/>
    <w:rsid w:val="00127505"/>
    <w:rsid w:val="001308AF"/>
    <w:rsid w:val="00133FE3"/>
    <w:rsid w:val="001359BC"/>
    <w:rsid w:val="0014065D"/>
    <w:rsid w:val="00141FFE"/>
    <w:rsid w:val="001433B5"/>
    <w:rsid w:val="00143BCB"/>
    <w:rsid w:val="0015044C"/>
    <w:rsid w:val="00151035"/>
    <w:rsid w:val="00152736"/>
    <w:rsid w:val="00154350"/>
    <w:rsid w:val="00156DD6"/>
    <w:rsid w:val="001609A1"/>
    <w:rsid w:val="001628DA"/>
    <w:rsid w:val="001653C8"/>
    <w:rsid w:val="00165EC6"/>
    <w:rsid w:val="00166C32"/>
    <w:rsid w:val="0017353E"/>
    <w:rsid w:val="001738AE"/>
    <w:rsid w:val="00174904"/>
    <w:rsid w:val="00174CB8"/>
    <w:rsid w:val="001826D7"/>
    <w:rsid w:val="00183ACE"/>
    <w:rsid w:val="00183FC6"/>
    <w:rsid w:val="00186516"/>
    <w:rsid w:val="00194591"/>
    <w:rsid w:val="00196320"/>
    <w:rsid w:val="00196767"/>
    <w:rsid w:val="001A0073"/>
    <w:rsid w:val="001A1E34"/>
    <w:rsid w:val="001A225F"/>
    <w:rsid w:val="001A26E7"/>
    <w:rsid w:val="001A2921"/>
    <w:rsid w:val="001A49E9"/>
    <w:rsid w:val="001A6569"/>
    <w:rsid w:val="001A7813"/>
    <w:rsid w:val="001B2869"/>
    <w:rsid w:val="001B29C1"/>
    <w:rsid w:val="001B3BFB"/>
    <w:rsid w:val="001C079B"/>
    <w:rsid w:val="001C13BE"/>
    <w:rsid w:val="001C2335"/>
    <w:rsid w:val="001C3ACB"/>
    <w:rsid w:val="001C6B18"/>
    <w:rsid w:val="001C7D7A"/>
    <w:rsid w:val="001D0E7C"/>
    <w:rsid w:val="001D1D73"/>
    <w:rsid w:val="001D2208"/>
    <w:rsid w:val="001D2C0F"/>
    <w:rsid w:val="001D320D"/>
    <w:rsid w:val="001D3238"/>
    <w:rsid w:val="001D53FC"/>
    <w:rsid w:val="001D606B"/>
    <w:rsid w:val="001D6C60"/>
    <w:rsid w:val="001E4EA2"/>
    <w:rsid w:val="001F3E1D"/>
    <w:rsid w:val="001F469C"/>
    <w:rsid w:val="001F5E51"/>
    <w:rsid w:val="001F7C79"/>
    <w:rsid w:val="00203886"/>
    <w:rsid w:val="00204318"/>
    <w:rsid w:val="002047A9"/>
    <w:rsid w:val="00206338"/>
    <w:rsid w:val="002071C3"/>
    <w:rsid w:val="002078A4"/>
    <w:rsid w:val="00212FB4"/>
    <w:rsid w:val="002135FD"/>
    <w:rsid w:val="00222622"/>
    <w:rsid w:val="0022278E"/>
    <w:rsid w:val="002244B8"/>
    <w:rsid w:val="002248E7"/>
    <w:rsid w:val="002354A3"/>
    <w:rsid w:val="002408A4"/>
    <w:rsid w:val="00241D36"/>
    <w:rsid w:val="00245130"/>
    <w:rsid w:val="002454B6"/>
    <w:rsid w:val="0024601A"/>
    <w:rsid w:val="00246F82"/>
    <w:rsid w:val="0025080C"/>
    <w:rsid w:val="00250A99"/>
    <w:rsid w:val="00252050"/>
    <w:rsid w:val="002520AD"/>
    <w:rsid w:val="00253DA1"/>
    <w:rsid w:val="002632A0"/>
    <w:rsid w:val="002633E3"/>
    <w:rsid w:val="00270910"/>
    <w:rsid w:val="00270D59"/>
    <w:rsid w:val="00273484"/>
    <w:rsid w:val="00276EC9"/>
    <w:rsid w:val="00281D38"/>
    <w:rsid w:val="00284B54"/>
    <w:rsid w:val="00284E63"/>
    <w:rsid w:val="00287C62"/>
    <w:rsid w:val="002917AC"/>
    <w:rsid w:val="00294DD2"/>
    <w:rsid w:val="002A1DB5"/>
    <w:rsid w:val="002A51C5"/>
    <w:rsid w:val="002A6DA2"/>
    <w:rsid w:val="002A7114"/>
    <w:rsid w:val="002B2B9D"/>
    <w:rsid w:val="002B3DD5"/>
    <w:rsid w:val="002B591C"/>
    <w:rsid w:val="002B5A69"/>
    <w:rsid w:val="002B5D92"/>
    <w:rsid w:val="002C0B6C"/>
    <w:rsid w:val="002C0FFD"/>
    <w:rsid w:val="002C322D"/>
    <w:rsid w:val="002C432C"/>
    <w:rsid w:val="002C61EA"/>
    <w:rsid w:val="002C67C5"/>
    <w:rsid w:val="002D15F6"/>
    <w:rsid w:val="002D20FD"/>
    <w:rsid w:val="002D2825"/>
    <w:rsid w:val="002D3563"/>
    <w:rsid w:val="002D35F7"/>
    <w:rsid w:val="002D7554"/>
    <w:rsid w:val="002E3C6F"/>
    <w:rsid w:val="002E41B8"/>
    <w:rsid w:val="002E4583"/>
    <w:rsid w:val="002E594A"/>
    <w:rsid w:val="002E680B"/>
    <w:rsid w:val="002E6E55"/>
    <w:rsid w:val="002F0875"/>
    <w:rsid w:val="002F1AFE"/>
    <w:rsid w:val="002F38DF"/>
    <w:rsid w:val="002F4377"/>
    <w:rsid w:val="002F4B0B"/>
    <w:rsid w:val="002F65E9"/>
    <w:rsid w:val="002F7D8F"/>
    <w:rsid w:val="003000C7"/>
    <w:rsid w:val="0030012F"/>
    <w:rsid w:val="003013D8"/>
    <w:rsid w:val="00301B12"/>
    <w:rsid w:val="00303DC4"/>
    <w:rsid w:val="0030600B"/>
    <w:rsid w:val="00311215"/>
    <w:rsid w:val="0031303C"/>
    <w:rsid w:val="00317722"/>
    <w:rsid w:val="00320645"/>
    <w:rsid w:val="003239D7"/>
    <w:rsid w:val="0032517B"/>
    <w:rsid w:val="00326F74"/>
    <w:rsid w:val="003316B6"/>
    <w:rsid w:val="00331D7F"/>
    <w:rsid w:val="00334839"/>
    <w:rsid w:val="00342FC3"/>
    <w:rsid w:val="003439F4"/>
    <w:rsid w:val="003450C0"/>
    <w:rsid w:val="00346DAC"/>
    <w:rsid w:val="003510B0"/>
    <w:rsid w:val="00354D17"/>
    <w:rsid w:val="00355B92"/>
    <w:rsid w:val="003562E5"/>
    <w:rsid w:val="00356DD8"/>
    <w:rsid w:val="0035727C"/>
    <w:rsid w:val="003642ED"/>
    <w:rsid w:val="0036543C"/>
    <w:rsid w:val="00365FF3"/>
    <w:rsid w:val="003719D5"/>
    <w:rsid w:val="003721DC"/>
    <w:rsid w:val="003753F6"/>
    <w:rsid w:val="00376665"/>
    <w:rsid w:val="00382708"/>
    <w:rsid w:val="00384531"/>
    <w:rsid w:val="00386A8D"/>
    <w:rsid w:val="003932CF"/>
    <w:rsid w:val="003A317F"/>
    <w:rsid w:val="003A3D0A"/>
    <w:rsid w:val="003A6553"/>
    <w:rsid w:val="003A6A65"/>
    <w:rsid w:val="003A7A8B"/>
    <w:rsid w:val="003B1589"/>
    <w:rsid w:val="003B173E"/>
    <w:rsid w:val="003C1E6A"/>
    <w:rsid w:val="003C40FB"/>
    <w:rsid w:val="003C48DF"/>
    <w:rsid w:val="003C4E6C"/>
    <w:rsid w:val="003C516F"/>
    <w:rsid w:val="003D07B6"/>
    <w:rsid w:val="003D3943"/>
    <w:rsid w:val="003D3CCD"/>
    <w:rsid w:val="003D41B9"/>
    <w:rsid w:val="003D5141"/>
    <w:rsid w:val="003D66B6"/>
    <w:rsid w:val="003E0770"/>
    <w:rsid w:val="003E280F"/>
    <w:rsid w:val="003E3697"/>
    <w:rsid w:val="003E4311"/>
    <w:rsid w:val="003E5107"/>
    <w:rsid w:val="003F0EF6"/>
    <w:rsid w:val="003F11E9"/>
    <w:rsid w:val="003F1B30"/>
    <w:rsid w:val="003F2226"/>
    <w:rsid w:val="003F3195"/>
    <w:rsid w:val="003F407B"/>
    <w:rsid w:val="003F6D07"/>
    <w:rsid w:val="00401DE1"/>
    <w:rsid w:val="004030DB"/>
    <w:rsid w:val="00403668"/>
    <w:rsid w:val="00403811"/>
    <w:rsid w:val="004057DC"/>
    <w:rsid w:val="00407203"/>
    <w:rsid w:val="004107B3"/>
    <w:rsid w:val="00410EFA"/>
    <w:rsid w:val="004112DD"/>
    <w:rsid w:val="004238A7"/>
    <w:rsid w:val="00424FDF"/>
    <w:rsid w:val="004258AF"/>
    <w:rsid w:val="00427F54"/>
    <w:rsid w:val="0043017E"/>
    <w:rsid w:val="004302F6"/>
    <w:rsid w:val="004306FE"/>
    <w:rsid w:val="0043574F"/>
    <w:rsid w:val="00436984"/>
    <w:rsid w:val="0043706F"/>
    <w:rsid w:val="00437F36"/>
    <w:rsid w:val="004425B4"/>
    <w:rsid w:val="0044308C"/>
    <w:rsid w:val="004440BF"/>
    <w:rsid w:val="004474C1"/>
    <w:rsid w:val="00447FB6"/>
    <w:rsid w:val="00451236"/>
    <w:rsid w:val="00451AC3"/>
    <w:rsid w:val="0045689C"/>
    <w:rsid w:val="0045720E"/>
    <w:rsid w:val="0045760F"/>
    <w:rsid w:val="004607BF"/>
    <w:rsid w:val="004611BA"/>
    <w:rsid w:val="00461E4C"/>
    <w:rsid w:val="00462482"/>
    <w:rsid w:val="00463410"/>
    <w:rsid w:val="00466F72"/>
    <w:rsid w:val="0047302D"/>
    <w:rsid w:val="0047398F"/>
    <w:rsid w:val="00476839"/>
    <w:rsid w:val="00476AB0"/>
    <w:rsid w:val="004771CD"/>
    <w:rsid w:val="00487176"/>
    <w:rsid w:val="00493D90"/>
    <w:rsid w:val="004949A4"/>
    <w:rsid w:val="004957CE"/>
    <w:rsid w:val="004A3F16"/>
    <w:rsid w:val="004A4377"/>
    <w:rsid w:val="004A6C56"/>
    <w:rsid w:val="004A729A"/>
    <w:rsid w:val="004A76FC"/>
    <w:rsid w:val="004B00FD"/>
    <w:rsid w:val="004B0844"/>
    <w:rsid w:val="004B6854"/>
    <w:rsid w:val="004B73DA"/>
    <w:rsid w:val="004C193B"/>
    <w:rsid w:val="004C4BA6"/>
    <w:rsid w:val="004C5903"/>
    <w:rsid w:val="004C5DB8"/>
    <w:rsid w:val="004C7725"/>
    <w:rsid w:val="004D0432"/>
    <w:rsid w:val="004D59E5"/>
    <w:rsid w:val="004D6E8A"/>
    <w:rsid w:val="004E2D2F"/>
    <w:rsid w:val="004E5CA8"/>
    <w:rsid w:val="004E7446"/>
    <w:rsid w:val="004F1241"/>
    <w:rsid w:val="004F2843"/>
    <w:rsid w:val="004F2DCD"/>
    <w:rsid w:val="004F66BB"/>
    <w:rsid w:val="004F6B27"/>
    <w:rsid w:val="00500ACD"/>
    <w:rsid w:val="00501B12"/>
    <w:rsid w:val="00505778"/>
    <w:rsid w:val="00506CFA"/>
    <w:rsid w:val="005101A9"/>
    <w:rsid w:val="005103A5"/>
    <w:rsid w:val="00513D2D"/>
    <w:rsid w:val="005140CA"/>
    <w:rsid w:val="0051480D"/>
    <w:rsid w:val="0051546D"/>
    <w:rsid w:val="00516F48"/>
    <w:rsid w:val="005208D9"/>
    <w:rsid w:val="00521BF8"/>
    <w:rsid w:val="00521E27"/>
    <w:rsid w:val="00522E2C"/>
    <w:rsid w:val="0052429B"/>
    <w:rsid w:val="005243DA"/>
    <w:rsid w:val="005269B8"/>
    <w:rsid w:val="005366B3"/>
    <w:rsid w:val="005420B4"/>
    <w:rsid w:val="00544388"/>
    <w:rsid w:val="005444DF"/>
    <w:rsid w:val="005470F8"/>
    <w:rsid w:val="00547B2A"/>
    <w:rsid w:val="00553FE2"/>
    <w:rsid w:val="0055506A"/>
    <w:rsid w:val="00556006"/>
    <w:rsid w:val="005648A9"/>
    <w:rsid w:val="005652D3"/>
    <w:rsid w:val="00565B24"/>
    <w:rsid w:val="00565D55"/>
    <w:rsid w:val="00567957"/>
    <w:rsid w:val="00570533"/>
    <w:rsid w:val="00571EF6"/>
    <w:rsid w:val="00572989"/>
    <w:rsid w:val="00573CC1"/>
    <w:rsid w:val="005746C6"/>
    <w:rsid w:val="00576AA2"/>
    <w:rsid w:val="005770C8"/>
    <w:rsid w:val="0058053D"/>
    <w:rsid w:val="005833C4"/>
    <w:rsid w:val="005864BF"/>
    <w:rsid w:val="00586A19"/>
    <w:rsid w:val="00593BE7"/>
    <w:rsid w:val="005948F6"/>
    <w:rsid w:val="00595C1F"/>
    <w:rsid w:val="005A0316"/>
    <w:rsid w:val="005A12EF"/>
    <w:rsid w:val="005A205B"/>
    <w:rsid w:val="005A31E2"/>
    <w:rsid w:val="005A4489"/>
    <w:rsid w:val="005B3799"/>
    <w:rsid w:val="005B447A"/>
    <w:rsid w:val="005B4DDE"/>
    <w:rsid w:val="005B5A95"/>
    <w:rsid w:val="005C2651"/>
    <w:rsid w:val="005C29FF"/>
    <w:rsid w:val="005C2C9E"/>
    <w:rsid w:val="005C3678"/>
    <w:rsid w:val="005C4D4A"/>
    <w:rsid w:val="005D4BF8"/>
    <w:rsid w:val="005D506E"/>
    <w:rsid w:val="005D7603"/>
    <w:rsid w:val="005E0AC5"/>
    <w:rsid w:val="005E4514"/>
    <w:rsid w:val="005E5BEF"/>
    <w:rsid w:val="005F2721"/>
    <w:rsid w:val="005F4002"/>
    <w:rsid w:val="005F53D9"/>
    <w:rsid w:val="00601340"/>
    <w:rsid w:val="00603661"/>
    <w:rsid w:val="00606BA7"/>
    <w:rsid w:val="0061146B"/>
    <w:rsid w:val="00611B4D"/>
    <w:rsid w:val="00613A0B"/>
    <w:rsid w:val="006147B3"/>
    <w:rsid w:val="006159C1"/>
    <w:rsid w:val="00616288"/>
    <w:rsid w:val="00616B0B"/>
    <w:rsid w:val="00616F1D"/>
    <w:rsid w:val="00617212"/>
    <w:rsid w:val="006209CF"/>
    <w:rsid w:val="00627FDE"/>
    <w:rsid w:val="00632464"/>
    <w:rsid w:val="00633998"/>
    <w:rsid w:val="00634A10"/>
    <w:rsid w:val="00634F82"/>
    <w:rsid w:val="00635EFA"/>
    <w:rsid w:val="00636BDD"/>
    <w:rsid w:val="00636C17"/>
    <w:rsid w:val="00640497"/>
    <w:rsid w:val="0064076B"/>
    <w:rsid w:val="0064152F"/>
    <w:rsid w:val="00646AE0"/>
    <w:rsid w:val="00647EA8"/>
    <w:rsid w:val="00652991"/>
    <w:rsid w:val="006567E4"/>
    <w:rsid w:val="0066251D"/>
    <w:rsid w:val="00662C24"/>
    <w:rsid w:val="0066611D"/>
    <w:rsid w:val="00673AFD"/>
    <w:rsid w:val="00673F77"/>
    <w:rsid w:val="00675FEA"/>
    <w:rsid w:val="006779A0"/>
    <w:rsid w:val="00677E1A"/>
    <w:rsid w:val="00684474"/>
    <w:rsid w:val="006917D5"/>
    <w:rsid w:val="00694646"/>
    <w:rsid w:val="00695BB6"/>
    <w:rsid w:val="00696BCD"/>
    <w:rsid w:val="00696EE6"/>
    <w:rsid w:val="006979BB"/>
    <w:rsid w:val="006A0460"/>
    <w:rsid w:val="006A52D9"/>
    <w:rsid w:val="006B3D36"/>
    <w:rsid w:val="006B58BA"/>
    <w:rsid w:val="006B5C59"/>
    <w:rsid w:val="006B6A04"/>
    <w:rsid w:val="006B74D7"/>
    <w:rsid w:val="006C06AA"/>
    <w:rsid w:val="006C2019"/>
    <w:rsid w:val="006C5473"/>
    <w:rsid w:val="006D3A9C"/>
    <w:rsid w:val="006D5B08"/>
    <w:rsid w:val="006E02C1"/>
    <w:rsid w:val="006E0320"/>
    <w:rsid w:val="006E3F9A"/>
    <w:rsid w:val="006E76B9"/>
    <w:rsid w:val="006F293D"/>
    <w:rsid w:val="006F38AF"/>
    <w:rsid w:val="006F3C2D"/>
    <w:rsid w:val="00703915"/>
    <w:rsid w:val="00705176"/>
    <w:rsid w:val="00705B0A"/>
    <w:rsid w:val="00705EED"/>
    <w:rsid w:val="0071040E"/>
    <w:rsid w:val="00712CC6"/>
    <w:rsid w:val="00713225"/>
    <w:rsid w:val="00714D1F"/>
    <w:rsid w:val="0071554A"/>
    <w:rsid w:val="00724EA8"/>
    <w:rsid w:val="00726DE9"/>
    <w:rsid w:val="0073015A"/>
    <w:rsid w:val="0073107A"/>
    <w:rsid w:val="00731C27"/>
    <w:rsid w:val="00732604"/>
    <w:rsid w:val="00741D22"/>
    <w:rsid w:val="00753C6E"/>
    <w:rsid w:val="00753D65"/>
    <w:rsid w:val="00756168"/>
    <w:rsid w:val="0075657F"/>
    <w:rsid w:val="00757B06"/>
    <w:rsid w:val="007620F5"/>
    <w:rsid w:val="00763DD7"/>
    <w:rsid w:val="0076486B"/>
    <w:rsid w:val="007729B0"/>
    <w:rsid w:val="007757A6"/>
    <w:rsid w:val="007759B7"/>
    <w:rsid w:val="0077620B"/>
    <w:rsid w:val="0077679F"/>
    <w:rsid w:val="00776905"/>
    <w:rsid w:val="00776CBB"/>
    <w:rsid w:val="00780311"/>
    <w:rsid w:val="007819B0"/>
    <w:rsid w:val="007848E4"/>
    <w:rsid w:val="007921A1"/>
    <w:rsid w:val="00792B35"/>
    <w:rsid w:val="007A0EC9"/>
    <w:rsid w:val="007A2186"/>
    <w:rsid w:val="007A223B"/>
    <w:rsid w:val="007A4964"/>
    <w:rsid w:val="007A6163"/>
    <w:rsid w:val="007B0384"/>
    <w:rsid w:val="007B07EA"/>
    <w:rsid w:val="007B0DA3"/>
    <w:rsid w:val="007B359E"/>
    <w:rsid w:val="007B3FB9"/>
    <w:rsid w:val="007B488B"/>
    <w:rsid w:val="007B52F0"/>
    <w:rsid w:val="007C025E"/>
    <w:rsid w:val="007C1827"/>
    <w:rsid w:val="007C483C"/>
    <w:rsid w:val="007C6577"/>
    <w:rsid w:val="007D20BD"/>
    <w:rsid w:val="007D4989"/>
    <w:rsid w:val="007D4C37"/>
    <w:rsid w:val="007D5C23"/>
    <w:rsid w:val="007E2F2A"/>
    <w:rsid w:val="007E69A7"/>
    <w:rsid w:val="007E782E"/>
    <w:rsid w:val="007F4041"/>
    <w:rsid w:val="007F4271"/>
    <w:rsid w:val="00802E14"/>
    <w:rsid w:val="008109BC"/>
    <w:rsid w:val="00815330"/>
    <w:rsid w:val="0081639F"/>
    <w:rsid w:val="008163AA"/>
    <w:rsid w:val="00820562"/>
    <w:rsid w:val="0082479B"/>
    <w:rsid w:val="00831B2C"/>
    <w:rsid w:val="00832C5B"/>
    <w:rsid w:val="008336A5"/>
    <w:rsid w:val="00840C57"/>
    <w:rsid w:val="008418A0"/>
    <w:rsid w:val="00843979"/>
    <w:rsid w:val="0084620F"/>
    <w:rsid w:val="008469C4"/>
    <w:rsid w:val="00846B4A"/>
    <w:rsid w:val="00851C92"/>
    <w:rsid w:val="008525C1"/>
    <w:rsid w:val="00853D6F"/>
    <w:rsid w:val="008543A1"/>
    <w:rsid w:val="00857415"/>
    <w:rsid w:val="00857F72"/>
    <w:rsid w:val="008605D3"/>
    <w:rsid w:val="00861C90"/>
    <w:rsid w:val="00861E0C"/>
    <w:rsid w:val="00863F60"/>
    <w:rsid w:val="00864A5B"/>
    <w:rsid w:val="008651CB"/>
    <w:rsid w:val="008655C4"/>
    <w:rsid w:val="00865CA4"/>
    <w:rsid w:val="00867B7A"/>
    <w:rsid w:val="00867BF1"/>
    <w:rsid w:val="00870E11"/>
    <w:rsid w:val="00870E42"/>
    <w:rsid w:val="00872BCC"/>
    <w:rsid w:val="00875985"/>
    <w:rsid w:val="008800A9"/>
    <w:rsid w:val="008841FE"/>
    <w:rsid w:val="008859C1"/>
    <w:rsid w:val="00885B57"/>
    <w:rsid w:val="00886E0D"/>
    <w:rsid w:val="0088779B"/>
    <w:rsid w:val="0089069E"/>
    <w:rsid w:val="0089097E"/>
    <w:rsid w:val="008918B9"/>
    <w:rsid w:val="00891EC3"/>
    <w:rsid w:val="008967BF"/>
    <w:rsid w:val="008A0627"/>
    <w:rsid w:val="008A601C"/>
    <w:rsid w:val="008B1601"/>
    <w:rsid w:val="008B183C"/>
    <w:rsid w:val="008B2347"/>
    <w:rsid w:val="008B27EF"/>
    <w:rsid w:val="008B5E89"/>
    <w:rsid w:val="008C3C06"/>
    <w:rsid w:val="008C5389"/>
    <w:rsid w:val="008C628B"/>
    <w:rsid w:val="008D6990"/>
    <w:rsid w:val="008E1ABF"/>
    <w:rsid w:val="008E4FBB"/>
    <w:rsid w:val="008E678F"/>
    <w:rsid w:val="008E7284"/>
    <w:rsid w:val="008F4137"/>
    <w:rsid w:val="008F41D2"/>
    <w:rsid w:val="008F5174"/>
    <w:rsid w:val="00903AF2"/>
    <w:rsid w:val="00904347"/>
    <w:rsid w:val="00907F63"/>
    <w:rsid w:val="00910B2F"/>
    <w:rsid w:val="00911C13"/>
    <w:rsid w:val="00913528"/>
    <w:rsid w:val="00914501"/>
    <w:rsid w:val="00917963"/>
    <w:rsid w:val="00917D80"/>
    <w:rsid w:val="009249FE"/>
    <w:rsid w:val="009301DF"/>
    <w:rsid w:val="00931803"/>
    <w:rsid w:val="00933BC0"/>
    <w:rsid w:val="00942ACD"/>
    <w:rsid w:val="00946D54"/>
    <w:rsid w:val="00952A9D"/>
    <w:rsid w:val="0095324F"/>
    <w:rsid w:val="00954DF6"/>
    <w:rsid w:val="00955D93"/>
    <w:rsid w:val="0095744E"/>
    <w:rsid w:val="0096045C"/>
    <w:rsid w:val="00960D42"/>
    <w:rsid w:val="00962705"/>
    <w:rsid w:val="00962BAC"/>
    <w:rsid w:val="00964C97"/>
    <w:rsid w:val="00966003"/>
    <w:rsid w:val="00966F20"/>
    <w:rsid w:val="00967876"/>
    <w:rsid w:val="00970F7D"/>
    <w:rsid w:val="00974935"/>
    <w:rsid w:val="00977D42"/>
    <w:rsid w:val="00977FC1"/>
    <w:rsid w:val="00981030"/>
    <w:rsid w:val="00981433"/>
    <w:rsid w:val="009824C3"/>
    <w:rsid w:val="00982903"/>
    <w:rsid w:val="00983279"/>
    <w:rsid w:val="009837F5"/>
    <w:rsid w:val="00984A5E"/>
    <w:rsid w:val="009875FA"/>
    <w:rsid w:val="00991783"/>
    <w:rsid w:val="00992811"/>
    <w:rsid w:val="009A440F"/>
    <w:rsid w:val="009A51AE"/>
    <w:rsid w:val="009A7A46"/>
    <w:rsid w:val="009A7EA3"/>
    <w:rsid w:val="009B0D7A"/>
    <w:rsid w:val="009B3944"/>
    <w:rsid w:val="009B5862"/>
    <w:rsid w:val="009B6711"/>
    <w:rsid w:val="009B78CC"/>
    <w:rsid w:val="009D00E3"/>
    <w:rsid w:val="009D0215"/>
    <w:rsid w:val="009D1EB2"/>
    <w:rsid w:val="009D5ED1"/>
    <w:rsid w:val="009D60F1"/>
    <w:rsid w:val="009D6CAE"/>
    <w:rsid w:val="009D7DA4"/>
    <w:rsid w:val="009E6C30"/>
    <w:rsid w:val="009F27DF"/>
    <w:rsid w:val="009F56FB"/>
    <w:rsid w:val="009F5EE8"/>
    <w:rsid w:val="009F64D1"/>
    <w:rsid w:val="009F65E1"/>
    <w:rsid w:val="009F74B7"/>
    <w:rsid w:val="009F759E"/>
    <w:rsid w:val="00A020A4"/>
    <w:rsid w:val="00A021CA"/>
    <w:rsid w:val="00A04CEE"/>
    <w:rsid w:val="00A05525"/>
    <w:rsid w:val="00A061BF"/>
    <w:rsid w:val="00A105BE"/>
    <w:rsid w:val="00A14AEA"/>
    <w:rsid w:val="00A14BD7"/>
    <w:rsid w:val="00A15DFA"/>
    <w:rsid w:val="00A16B3A"/>
    <w:rsid w:val="00A17477"/>
    <w:rsid w:val="00A1757F"/>
    <w:rsid w:val="00A24BB0"/>
    <w:rsid w:val="00A25375"/>
    <w:rsid w:val="00A274D9"/>
    <w:rsid w:val="00A27AE6"/>
    <w:rsid w:val="00A32663"/>
    <w:rsid w:val="00A32C7B"/>
    <w:rsid w:val="00A33ECD"/>
    <w:rsid w:val="00A3465D"/>
    <w:rsid w:val="00A43A2C"/>
    <w:rsid w:val="00A44670"/>
    <w:rsid w:val="00A45829"/>
    <w:rsid w:val="00A47CDD"/>
    <w:rsid w:val="00A47F6A"/>
    <w:rsid w:val="00A5063B"/>
    <w:rsid w:val="00A51E45"/>
    <w:rsid w:val="00A56F95"/>
    <w:rsid w:val="00A574C5"/>
    <w:rsid w:val="00A624D7"/>
    <w:rsid w:val="00A6512E"/>
    <w:rsid w:val="00A66427"/>
    <w:rsid w:val="00A667DC"/>
    <w:rsid w:val="00A67553"/>
    <w:rsid w:val="00A71C7C"/>
    <w:rsid w:val="00A75750"/>
    <w:rsid w:val="00A7627B"/>
    <w:rsid w:val="00A80F62"/>
    <w:rsid w:val="00A8129D"/>
    <w:rsid w:val="00A818CA"/>
    <w:rsid w:val="00A82237"/>
    <w:rsid w:val="00A8432B"/>
    <w:rsid w:val="00A870BF"/>
    <w:rsid w:val="00A87A8D"/>
    <w:rsid w:val="00A90DB3"/>
    <w:rsid w:val="00A91688"/>
    <w:rsid w:val="00A9561A"/>
    <w:rsid w:val="00A96F9F"/>
    <w:rsid w:val="00A973D5"/>
    <w:rsid w:val="00AA0DBC"/>
    <w:rsid w:val="00AA4543"/>
    <w:rsid w:val="00AA6C5D"/>
    <w:rsid w:val="00AA7E09"/>
    <w:rsid w:val="00AB1092"/>
    <w:rsid w:val="00AB7530"/>
    <w:rsid w:val="00AC0BAB"/>
    <w:rsid w:val="00AC37B5"/>
    <w:rsid w:val="00AC438A"/>
    <w:rsid w:val="00AC7E22"/>
    <w:rsid w:val="00AD27F3"/>
    <w:rsid w:val="00AD483B"/>
    <w:rsid w:val="00AD5544"/>
    <w:rsid w:val="00AE27B6"/>
    <w:rsid w:val="00AE29ED"/>
    <w:rsid w:val="00AE5937"/>
    <w:rsid w:val="00AE66CE"/>
    <w:rsid w:val="00AF00CD"/>
    <w:rsid w:val="00AF2476"/>
    <w:rsid w:val="00AF396E"/>
    <w:rsid w:val="00AF4066"/>
    <w:rsid w:val="00B00FE2"/>
    <w:rsid w:val="00B032A8"/>
    <w:rsid w:val="00B050CD"/>
    <w:rsid w:val="00B06561"/>
    <w:rsid w:val="00B1649A"/>
    <w:rsid w:val="00B17CEB"/>
    <w:rsid w:val="00B233A8"/>
    <w:rsid w:val="00B246C8"/>
    <w:rsid w:val="00B30B98"/>
    <w:rsid w:val="00B377D0"/>
    <w:rsid w:val="00B401A6"/>
    <w:rsid w:val="00B407EB"/>
    <w:rsid w:val="00B4082D"/>
    <w:rsid w:val="00B40D4E"/>
    <w:rsid w:val="00B41F45"/>
    <w:rsid w:val="00B47D4C"/>
    <w:rsid w:val="00B50159"/>
    <w:rsid w:val="00B50786"/>
    <w:rsid w:val="00B50EC8"/>
    <w:rsid w:val="00B514A4"/>
    <w:rsid w:val="00B516B0"/>
    <w:rsid w:val="00B53057"/>
    <w:rsid w:val="00B53F92"/>
    <w:rsid w:val="00B60071"/>
    <w:rsid w:val="00B614E4"/>
    <w:rsid w:val="00B63123"/>
    <w:rsid w:val="00B643FB"/>
    <w:rsid w:val="00B65BA3"/>
    <w:rsid w:val="00B66CF0"/>
    <w:rsid w:val="00B671D0"/>
    <w:rsid w:val="00B6789D"/>
    <w:rsid w:val="00B71249"/>
    <w:rsid w:val="00B729D4"/>
    <w:rsid w:val="00B72F59"/>
    <w:rsid w:val="00B7692B"/>
    <w:rsid w:val="00B80003"/>
    <w:rsid w:val="00B802E4"/>
    <w:rsid w:val="00B81208"/>
    <w:rsid w:val="00B820D5"/>
    <w:rsid w:val="00B82BA2"/>
    <w:rsid w:val="00B86342"/>
    <w:rsid w:val="00BA1D81"/>
    <w:rsid w:val="00BA2F85"/>
    <w:rsid w:val="00BA353A"/>
    <w:rsid w:val="00BA3D5A"/>
    <w:rsid w:val="00BA4352"/>
    <w:rsid w:val="00BA4E6C"/>
    <w:rsid w:val="00BA5370"/>
    <w:rsid w:val="00BA5BE5"/>
    <w:rsid w:val="00BA7324"/>
    <w:rsid w:val="00BB1165"/>
    <w:rsid w:val="00BB18AB"/>
    <w:rsid w:val="00BB2EC3"/>
    <w:rsid w:val="00BB47FA"/>
    <w:rsid w:val="00BC172E"/>
    <w:rsid w:val="00BC1C00"/>
    <w:rsid w:val="00BC2890"/>
    <w:rsid w:val="00BC58FD"/>
    <w:rsid w:val="00BC77D8"/>
    <w:rsid w:val="00BD036B"/>
    <w:rsid w:val="00BD39E7"/>
    <w:rsid w:val="00BD6533"/>
    <w:rsid w:val="00BD6F67"/>
    <w:rsid w:val="00BE04E0"/>
    <w:rsid w:val="00BE136D"/>
    <w:rsid w:val="00BE2099"/>
    <w:rsid w:val="00BE54C0"/>
    <w:rsid w:val="00BE5F81"/>
    <w:rsid w:val="00BE683B"/>
    <w:rsid w:val="00BE7DE1"/>
    <w:rsid w:val="00BF053F"/>
    <w:rsid w:val="00BF07BD"/>
    <w:rsid w:val="00BF0A36"/>
    <w:rsid w:val="00BF4565"/>
    <w:rsid w:val="00BF5D4C"/>
    <w:rsid w:val="00BF67DA"/>
    <w:rsid w:val="00BF7435"/>
    <w:rsid w:val="00C03457"/>
    <w:rsid w:val="00C036F0"/>
    <w:rsid w:val="00C058DA"/>
    <w:rsid w:val="00C06BB3"/>
    <w:rsid w:val="00C0799C"/>
    <w:rsid w:val="00C07FF4"/>
    <w:rsid w:val="00C1081B"/>
    <w:rsid w:val="00C123B3"/>
    <w:rsid w:val="00C14571"/>
    <w:rsid w:val="00C16186"/>
    <w:rsid w:val="00C16CB9"/>
    <w:rsid w:val="00C171F9"/>
    <w:rsid w:val="00C2476A"/>
    <w:rsid w:val="00C30BE6"/>
    <w:rsid w:val="00C32C30"/>
    <w:rsid w:val="00C33F88"/>
    <w:rsid w:val="00C36874"/>
    <w:rsid w:val="00C41FE3"/>
    <w:rsid w:val="00C4210B"/>
    <w:rsid w:val="00C440BD"/>
    <w:rsid w:val="00C45459"/>
    <w:rsid w:val="00C47DAA"/>
    <w:rsid w:val="00C507B1"/>
    <w:rsid w:val="00C63875"/>
    <w:rsid w:val="00C648D6"/>
    <w:rsid w:val="00C66611"/>
    <w:rsid w:val="00C67E64"/>
    <w:rsid w:val="00C67F80"/>
    <w:rsid w:val="00C74C2C"/>
    <w:rsid w:val="00C7764D"/>
    <w:rsid w:val="00C77882"/>
    <w:rsid w:val="00C778F2"/>
    <w:rsid w:val="00C81C4F"/>
    <w:rsid w:val="00C82828"/>
    <w:rsid w:val="00C82CB3"/>
    <w:rsid w:val="00C8342C"/>
    <w:rsid w:val="00C83699"/>
    <w:rsid w:val="00C84827"/>
    <w:rsid w:val="00C903E9"/>
    <w:rsid w:val="00C94B08"/>
    <w:rsid w:val="00CA115E"/>
    <w:rsid w:val="00CA1963"/>
    <w:rsid w:val="00CA1CE1"/>
    <w:rsid w:val="00CA2EC0"/>
    <w:rsid w:val="00CA370F"/>
    <w:rsid w:val="00CA645B"/>
    <w:rsid w:val="00CB4ED3"/>
    <w:rsid w:val="00CB6871"/>
    <w:rsid w:val="00CC030B"/>
    <w:rsid w:val="00CC17A0"/>
    <w:rsid w:val="00CC2260"/>
    <w:rsid w:val="00CC39D8"/>
    <w:rsid w:val="00CC6E43"/>
    <w:rsid w:val="00CC76FF"/>
    <w:rsid w:val="00CD0631"/>
    <w:rsid w:val="00CD148F"/>
    <w:rsid w:val="00CD42D0"/>
    <w:rsid w:val="00CD5FBD"/>
    <w:rsid w:val="00CD7A03"/>
    <w:rsid w:val="00CE00B6"/>
    <w:rsid w:val="00CE1F76"/>
    <w:rsid w:val="00CE4A72"/>
    <w:rsid w:val="00CE69E5"/>
    <w:rsid w:val="00CF0342"/>
    <w:rsid w:val="00CF0977"/>
    <w:rsid w:val="00CF2EE6"/>
    <w:rsid w:val="00CF4B25"/>
    <w:rsid w:val="00CF7C1E"/>
    <w:rsid w:val="00D011E8"/>
    <w:rsid w:val="00D012AA"/>
    <w:rsid w:val="00D020F8"/>
    <w:rsid w:val="00D0514B"/>
    <w:rsid w:val="00D055F4"/>
    <w:rsid w:val="00D05C8A"/>
    <w:rsid w:val="00D11D74"/>
    <w:rsid w:val="00D15BA2"/>
    <w:rsid w:val="00D1707A"/>
    <w:rsid w:val="00D17BF7"/>
    <w:rsid w:val="00D20C34"/>
    <w:rsid w:val="00D30216"/>
    <w:rsid w:val="00D30693"/>
    <w:rsid w:val="00D31004"/>
    <w:rsid w:val="00D32106"/>
    <w:rsid w:val="00D34473"/>
    <w:rsid w:val="00D366B0"/>
    <w:rsid w:val="00D4158B"/>
    <w:rsid w:val="00D43B96"/>
    <w:rsid w:val="00D44FDD"/>
    <w:rsid w:val="00D453A3"/>
    <w:rsid w:val="00D50222"/>
    <w:rsid w:val="00D513ED"/>
    <w:rsid w:val="00D51B80"/>
    <w:rsid w:val="00D5247F"/>
    <w:rsid w:val="00D5614E"/>
    <w:rsid w:val="00D57120"/>
    <w:rsid w:val="00D611A1"/>
    <w:rsid w:val="00D612D6"/>
    <w:rsid w:val="00D64219"/>
    <w:rsid w:val="00D67EEF"/>
    <w:rsid w:val="00D70E6D"/>
    <w:rsid w:val="00D718FF"/>
    <w:rsid w:val="00D72969"/>
    <w:rsid w:val="00D81472"/>
    <w:rsid w:val="00D86D40"/>
    <w:rsid w:val="00D91BE3"/>
    <w:rsid w:val="00D978DF"/>
    <w:rsid w:val="00DA0163"/>
    <w:rsid w:val="00DA5D7E"/>
    <w:rsid w:val="00DA603E"/>
    <w:rsid w:val="00DA61CC"/>
    <w:rsid w:val="00DB0006"/>
    <w:rsid w:val="00DB069B"/>
    <w:rsid w:val="00DB0F59"/>
    <w:rsid w:val="00DB1A0C"/>
    <w:rsid w:val="00DB1A66"/>
    <w:rsid w:val="00DB2F43"/>
    <w:rsid w:val="00DC23DE"/>
    <w:rsid w:val="00DC31A5"/>
    <w:rsid w:val="00DC488E"/>
    <w:rsid w:val="00DC5A2D"/>
    <w:rsid w:val="00DD1B79"/>
    <w:rsid w:val="00DD21EA"/>
    <w:rsid w:val="00DD4E7E"/>
    <w:rsid w:val="00DD7866"/>
    <w:rsid w:val="00DE120E"/>
    <w:rsid w:val="00DE12D8"/>
    <w:rsid w:val="00DE6DB2"/>
    <w:rsid w:val="00DF608E"/>
    <w:rsid w:val="00E00F90"/>
    <w:rsid w:val="00E01D9E"/>
    <w:rsid w:val="00E050BA"/>
    <w:rsid w:val="00E06452"/>
    <w:rsid w:val="00E11B80"/>
    <w:rsid w:val="00E159A8"/>
    <w:rsid w:val="00E15D13"/>
    <w:rsid w:val="00E161EC"/>
    <w:rsid w:val="00E16CE6"/>
    <w:rsid w:val="00E23EAF"/>
    <w:rsid w:val="00E251D1"/>
    <w:rsid w:val="00E26EA3"/>
    <w:rsid w:val="00E27200"/>
    <w:rsid w:val="00E2746B"/>
    <w:rsid w:val="00E27FFD"/>
    <w:rsid w:val="00E307BF"/>
    <w:rsid w:val="00E321DB"/>
    <w:rsid w:val="00E3240C"/>
    <w:rsid w:val="00E37D86"/>
    <w:rsid w:val="00E42DAD"/>
    <w:rsid w:val="00E47927"/>
    <w:rsid w:val="00E50AF0"/>
    <w:rsid w:val="00E50EF8"/>
    <w:rsid w:val="00E51AD3"/>
    <w:rsid w:val="00E5290B"/>
    <w:rsid w:val="00E5309E"/>
    <w:rsid w:val="00E5529E"/>
    <w:rsid w:val="00E568BF"/>
    <w:rsid w:val="00E600CB"/>
    <w:rsid w:val="00E63CA7"/>
    <w:rsid w:val="00E64FE3"/>
    <w:rsid w:val="00E663B4"/>
    <w:rsid w:val="00E75E07"/>
    <w:rsid w:val="00E76895"/>
    <w:rsid w:val="00E81003"/>
    <w:rsid w:val="00E836AA"/>
    <w:rsid w:val="00E83FFB"/>
    <w:rsid w:val="00E867E5"/>
    <w:rsid w:val="00E86A10"/>
    <w:rsid w:val="00E86BB9"/>
    <w:rsid w:val="00E87DA4"/>
    <w:rsid w:val="00E91426"/>
    <w:rsid w:val="00E925F8"/>
    <w:rsid w:val="00E93149"/>
    <w:rsid w:val="00EA120B"/>
    <w:rsid w:val="00EA24BF"/>
    <w:rsid w:val="00EA35E7"/>
    <w:rsid w:val="00EB1710"/>
    <w:rsid w:val="00EB250D"/>
    <w:rsid w:val="00EB6707"/>
    <w:rsid w:val="00EB6C17"/>
    <w:rsid w:val="00EB76ED"/>
    <w:rsid w:val="00EC57BC"/>
    <w:rsid w:val="00ED15E1"/>
    <w:rsid w:val="00ED354B"/>
    <w:rsid w:val="00ED4E2B"/>
    <w:rsid w:val="00ED4E41"/>
    <w:rsid w:val="00ED63D7"/>
    <w:rsid w:val="00ED7133"/>
    <w:rsid w:val="00ED74B6"/>
    <w:rsid w:val="00ED7971"/>
    <w:rsid w:val="00EE76D2"/>
    <w:rsid w:val="00EE7A24"/>
    <w:rsid w:val="00EF1B6B"/>
    <w:rsid w:val="00EF2A07"/>
    <w:rsid w:val="00EF3648"/>
    <w:rsid w:val="00F00616"/>
    <w:rsid w:val="00F03E13"/>
    <w:rsid w:val="00F03FC9"/>
    <w:rsid w:val="00F05B39"/>
    <w:rsid w:val="00F10032"/>
    <w:rsid w:val="00F11086"/>
    <w:rsid w:val="00F12076"/>
    <w:rsid w:val="00F13958"/>
    <w:rsid w:val="00F13EBC"/>
    <w:rsid w:val="00F13F02"/>
    <w:rsid w:val="00F154BE"/>
    <w:rsid w:val="00F22DAA"/>
    <w:rsid w:val="00F252D0"/>
    <w:rsid w:val="00F266AD"/>
    <w:rsid w:val="00F275E2"/>
    <w:rsid w:val="00F309A9"/>
    <w:rsid w:val="00F30EC7"/>
    <w:rsid w:val="00F31F50"/>
    <w:rsid w:val="00F351D5"/>
    <w:rsid w:val="00F352C9"/>
    <w:rsid w:val="00F45C23"/>
    <w:rsid w:val="00F46465"/>
    <w:rsid w:val="00F46C10"/>
    <w:rsid w:val="00F470BD"/>
    <w:rsid w:val="00F52143"/>
    <w:rsid w:val="00F53BC9"/>
    <w:rsid w:val="00F55B4A"/>
    <w:rsid w:val="00F56284"/>
    <w:rsid w:val="00F57924"/>
    <w:rsid w:val="00F6095F"/>
    <w:rsid w:val="00F61810"/>
    <w:rsid w:val="00F64274"/>
    <w:rsid w:val="00F65123"/>
    <w:rsid w:val="00F663F3"/>
    <w:rsid w:val="00F66FD9"/>
    <w:rsid w:val="00F678D0"/>
    <w:rsid w:val="00F703BC"/>
    <w:rsid w:val="00F71ED8"/>
    <w:rsid w:val="00F723BB"/>
    <w:rsid w:val="00F761F9"/>
    <w:rsid w:val="00F77B9E"/>
    <w:rsid w:val="00F80045"/>
    <w:rsid w:val="00F8019C"/>
    <w:rsid w:val="00F82F43"/>
    <w:rsid w:val="00F84B3A"/>
    <w:rsid w:val="00F851F1"/>
    <w:rsid w:val="00F90A69"/>
    <w:rsid w:val="00F91075"/>
    <w:rsid w:val="00F91A6F"/>
    <w:rsid w:val="00F94F34"/>
    <w:rsid w:val="00F9677B"/>
    <w:rsid w:val="00F9743D"/>
    <w:rsid w:val="00FA077F"/>
    <w:rsid w:val="00FA332B"/>
    <w:rsid w:val="00FA3DE5"/>
    <w:rsid w:val="00FA6838"/>
    <w:rsid w:val="00FB15BA"/>
    <w:rsid w:val="00FB1CC8"/>
    <w:rsid w:val="00FB1E47"/>
    <w:rsid w:val="00FB23C9"/>
    <w:rsid w:val="00FB3203"/>
    <w:rsid w:val="00FB5975"/>
    <w:rsid w:val="00FB64FC"/>
    <w:rsid w:val="00FB6AA9"/>
    <w:rsid w:val="00FC01B3"/>
    <w:rsid w:val="00FC2E6B"/>
    <w:rsid w:val="00FC3144"/>
    <w:rsid w:val="00FC314F"/>
    <w:rsid w:val="00FC349A"/>
    <w:rsid w:val="00FC534D"/>
    <w:rsid w:val="00FD18CC"/>
    <w:rsid w:val="00FD2B58"/>
    <w:rsid w:val="00FD3323"/>
    <w:rsid w:val="00FD36F9"/>
    <w:rsid w:val="00FD37EA"/>
    <w:rsid w:val="00FD5ECC"/>
    <w:rsid w:val="00FE08E8"/>
    <w:rsid w:val="00FE2BDB"/>
    <w:rsid w:val="00FE5D4B"/>
    <w:rsid w:val="00FE6B25"/>
    <w:rsid w:val="00FE6D78"/>
    <w:rsid w:val="00FE7423"/>
    <w:rsid w:val="00FF1745"/>
    <w:rsid w:val="00FF1B08"/>
    <w:rsid w:val="00FF3061"/>
    <w:rsid w:val="00FF7302"/>
    <w:rsid w:val="00FF7E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1834A6"/>
  <w15:chartTrackingRefBased/>
  <w15:docId w15:val="{7CFC3177-D930-4AAE-9844-B53A4083A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C1E6A"/>
    <w:pPr>
      <w:widowControl w:val="0"/>
      <w:spacing w:after="0" w:line="240" w:lineRule="auto"/>
    </w:pPr>
    <w:rPr>
      <w:lang w:val="en-US"/>
    </w:rPr>
  </w:style>
  <w:style w:type="paragraph" w:styleId="Heading1">
    <w:name w:val="heading 1"/>
    <w:basedOn w:val="Normal"/>
    <w:next w:val="Normal"/>
    <w:link w:val="Heading1Char"/>
    <w:uiPriority w:val="9"/>
    <w:qFormat/>
    <w:rsid w:val="00010A1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8655C4"/>
    <w:pPr>
      <w:spacing w:before="58"/>
      <w:ind w:left="160"/>
      <w:outlineLvl w:val="1"/>
    </w:pPr>
    <w:rPr>
      <w:rFonts w:ascii="Arial Rounded MT Bold" w:eastAsia="Arial Rounded MT Bold" w:hAnsi="Arial Rounded MT Bold"/>
      <w:sz w:val="32"/>
      <w:szCs w:val="32"/>
    </w:rPr>
  </w:style>
  <w:style w:type="paragraph" w:styleId="Heading3">
    <w:name w:val="heading 3"/>
    <w:basedOn w:val="Normal"/>
    <w:next w:val="Normal"/>
    <w:link w:val="Heading3Char"/>
    <w:uiPriority w:val="9"/>
    <w:semiHidden/>
    <w:unhideWhenUsed/>
    <w:qFormat/>
    <w:rsid w:val="00123C71"/>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4440BF"/>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4440BF"/>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655C4"/>
    <w:rPr>
      <w:rFonts w:ascii="Arial Rounded MT Bold" w:eastAsia="Arial Rounded MT Bold" w:hAnsi="Arial Rounded MT Bold"/>
      <w:sz w:val="32"/>
      <w:szCs w:val="32"/>
      <w:lang w:val="en-US"/>
    </w:rPr>
  </w:style>
  <w:style w:type="character" w:customStyle="1" w:styleId="Heading4Char">
    <w:name w:val="Heading 4 Char"/>
    <w:basedOn w:val="DefaultParagraphFont"/>
    <w:link w:val="Heading4"/>
    <w:uiPriority w:val="9"/>
    <w:semiHidden/>
    <w:rsid w:val="004440BF"/>
    <w:rPr>
      <w:rFonts w:asciiTheme="majorHAnsi" w:eastAsiaTheme="majorEastAsia" w:hAnsiTheme="majorHAnsi" w:cstheme="majorBidi"/>
      <w:i/>
      <w:iCs/>
      <w:color w:val="2E74B5" w:themeColor="accent1" w:themeShade="BF"/>
      <w:lang w:val="en-US"/>
    </w:rPr>
  </w:style>
  <w:style w:type="character" w:customStyle="1" w:styleId="Heading5Char">
    <w:name w:val="Heading 5 Char"/>
    <w:basedOn w:val="DefaultParagraphFont"/>
    <w:link w:val="Heading5"/>
    <w:uiPriority w:val="9"/>
    <w:semiHidden/>
    <w:rsid w:val="004440BF"/>
    <w:rPr>
      <w:rFonts w:asciiTheme="majorHAnsi" w:eastAsiaTheme="majorEastAsia" w:hAnsiTheme="majorHAnsi" w:cstheme="majorBidi"/>
      <w:color w:val="2E74B5" w:themeColor="accent1" w:themeShade="BF"/>
      <w:lang w:val="en-US"/>
    </w:rPr>
  </w:style>
  <w:style w:type="table" w:customStyle="1" w:styleId="TableNormal1">
    <w:name w:val="Table Normal1"/>
    <w:uiPriority w:val="2"/>
    <w:semiHidden/>
    <w:unhideWhenUsed/>
    <w:qFormat/>
    <w:rsid w:val="001D6C60"/>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D6C60"/>
  </w:style>
  <w:style w:type="paragraph" w:styleId="Header">
    <w:name w:val="header"/>
    <w:basedOn w:val="Normal"/>
    <w:link w:val="HeaderChar"/>
    <w:uiPriority w:val="99"/>
    <w:unhideWhenUsed/>
    <w:rsid w:val="0043017E"/>
    <w:pPr>
      <w:tabs>
        <w:tab w:val="center" w:pos="4513"/>
        <w:tab w:val="right" w:pos="9026"/>
      </w:tabs>
    </w:pPr>
  </w:style>
  <w:style w:type="character" w:customStyle="1" w:styleId="HeaderChar">
    <w:name w:val="Header Char"/>
    <w:basedOn w:val="DefaultParagraphFont"/>
    <w:link w:val="Header"/>
    <w:uiPriority w:val="99"/>
    <w:rsid w:val="0043017E"/>
    <w:rPr>
      <w:lang w:val="en-US"/>
    </w:rPr>
  </w:style>
  <w:style w:type="paragraph" w:styleId="Footer">
    <w:name w:val="footer"/>
    <w:basedOn w:val="Normal"/>
    <w:link w:val="FooterChar"/>
    <w:uiPriority w:val="99"/>
    <w:unhideWhenUsed/>
    <w:rsid w:val="0043017E"/>
    <w:pPr>
      <w:tabs>
        <w:tab w:val="center" w:pos="4513"/>
        <w:tab w:val="right" w:pos="9026"/>
      </w:tabs>
    </w:pPr>
  </w:style>
  <w:style w:type="character" w:customStyle="1" w:styleId="FooterChar">
    <w:name w:val="Footer Char"/>
    <w:basedOn w:val="DefaultParagraphFont"/>
    <w:link w:val="Footer"/>
    <w:uiPriority w:val="99"/>
    <w:rsid w:val="0043017E"/>
    <w:rPr>
      <w:lang w:val="en-US"/>
    </w:rPr>
  </w:style>
  <w:style w:type="paragraph" w:styleId="BodyText">
    <w:name w:val="Body Text"/>
    <w:basedOn w:val="Normal"/>
    <w:link w:val="BodyTextChar"/>
    <w:uiPriority w:val="1"/>
    <w:qFormat/>
    <w:rsid w:val="0043017E"/>
    <w:pPr>
      <w:spacing w:before="119"/>
      <w:ind w:left="160"/>
    </w:pPr>
    <w:rPr>
      <w:rFonts w:ascii="Arial" w:eastAsia="Arial" w:hAnsi="Arial"/>
    </w:rPr>
  </w:style>
  <w:style w:type="character" w:customStyle="1" w:styleId="BodyTextChar">
    <w:name w:val="Body Text Char"/>
    <w:basedOn w:val="DefaultParagraphFont"/>
    <w:link w:val="BodyText"/>
    <w:uiPriority w:val="1"/>
    <w:rsid w:val="0043017E"/>
    <w:rPr>
      <w:rFonts w:ascii="Arial" w:eastAsia="Arial" w:hAnsi="Arial"/>
      <w:lang w:val="en-US"/>
    </w:rPr>
  </w:style>
  <w:style w:type="character" w:customStyle="1" w:styleId="Heading1Char">
    <w:name w:val="Heading 1 Char"/>
    <w:basedOn w:val="DefaultParagraphFont"/>
    <w:link w:val="Heading1"/>
    <w:uiPriority w:val="9"/>
    <w:rsid w:val="00010A15"/>
    <w:rPr>
      <w:rFonts w:asciiTheme="majorHAnsi" w:eastAsiaTheme="majorEastAsia" w:hAnsiTheme="majorHAnsi" w:cstheme="majorBidi"/>
      <w:color w:val="2E74B5" w:themeColor="accent1" w:themeShade="BF"/>
      <w:sz w:val="32"/>
      <w:szCs w:val="32"/>
      <w:lang w:val="en-US"/>
    </w:r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
    <w:basedOn w:val="Normal"/>
    <w:link w:val="ListParagraphChar"/>
    <w:uiPriority w:val="34"/>
    <w:qFormat/>
    <w:rsid w:val="00516F48"/>
    <w:pPr>
      <w:ind w:left="720"/>
      <w:contextualSpacing/>
    </w:pPr>
  </w:style>
  <w:style w:type="paragraph" w:styleId="PlainText">
    <w:name w:val="Plain Text"/>
    <w:basedOn w:val="Normal"/>
    <w:link w:val="PlainTextChar"/>
    <w:uiPriority w:val="99"/>
    <w:unhideWhenUsed/>
    <w:rsid w:val="00D366B0"/>
    <w:pPr>
      <w:widowControl/>
    </w:pPr>
    <w:rPr>
      <w:rFonts w:ascii="Calibri" w:hAnsi="Calibri"/>
      <w:szCs w:val="21"/>
      <w:lang w:val="en-GB"/>
    </w:rPr>
  </w:style>
  <w:style w:type="character" w:customStyle="1" w:styleId="PlainTextChar">
    <w:name w:val="Plain Text Char"/>
    <w:basedOn w:val="DefaultParagraphFont"/>
    <w:link w:val="PlainText"/>
    <w:uiPriority w:val="99"/>
    <w:rsid w:val="00D366B0"/>
    <w:rPr>
      <w:rFonts w:ascii="Calibri" w:hAnsi="Calibri"/>
      <w:szCs w:val="21"/>
    </w:rPr>
  </w:style>
  <w:style w:type="table" w:styleId="TableGrid">
    <w:name w:val="Table Grid"/>
    <w:basedOn w:val="TableNormal"/>
    <w:uiPriority w:val="39"/>
    <w:rsid w:val="00F05B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984A5E"/>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3240C"/>
    <w:rPr>
      <w:color w:val="0563C1" w:themeColor="hyperlink"/>
      <w:u w:val="single"/>
    </w:rPr>
  </w:style>
  <w:style w:type="character" w:customStyle="1" w:styleId="Heading3Char">
    <w:name w:val="Heading 3 Char"/>
    <w:basedOn w:val="DefaultParagraphFont"/>
    <w:link w:val="Heading3"/>
    <w:uiPriority w:val="9"/>
    <w:semiHidden/>
    <w:rsid w:val="00123C71"/>
    <w:rPr>
      <w:rFonts w:asciiTheme="majorHAnsi" w:eastAsiaTheme="majorEastAsia" w:hAnsiTheme="majorHAnsi" w:cstheme="majorBidi"/>
      <w:color w:val="1F4D78" w:themeColor="accent1" w:themeShade="7F"/>
      <w:sz w:val="24"/>
      <w:szCs w:val="24"/>
      <w:lang w:val="en-US"/>
    </w:rPr>
  </w:style>
  <w:style w:type="character" w:styleId="CommentReference">
    <w:name w:val="annotation reference"/>
    <w:basedOn w:val="DefaultParagraphFont"/>
    <w:uiPriority w:val="99"/>
    <w:semiHidden/>
    <w:unhideWhenUsed/>
    <w:rsid w:val="003D3CCD"/>
    <w:rPr>
      <w:sz w:val="16"/>
      <w:szCs w:val="16"/>
    </w:rPr>
  </w:style>
  <w:style w:type="paragraph" w:styleId="CommentText">
    <w:name w:val="annotation text"/>
    <w:basedOn w:val="Normal"/>
    <w:link w:val="CommentTextChar"/>
    <w:uiPriority w:val="99"/>
    <w:semiHidden/>
    <w:unhideWhenUsed/>
    <w:rsid w:val="003D3CCD"/>
    <w:rPr>
      <w:sz w:val="20"/>
      <w:szCs w:val="20"/>
    </w:rPr>
  </w:style>
  <w:style w:type="character" w:customStyle="1" w:styleId="CommentTextChar">
    <w:name w:val="Comment Text Char"/>
    <w:basedOn w:val="DefaultParagraphFont"/>
    <w:link w:val="CommentText"/>
    <w:uiPriority w:val="99"/>
    <w:semiHidden/>
    <w:rsid w:val="003D3CCD"/>
    <w:rPr>
      <w:sz w:val="20"/>
      <w:szCs w:val="20"/>
      <w:lang w:val="en-US"/>
    </w:rPr>
  </w:style>
  <w:style w:type="paragraph" w:styleId="CommentSubject">
    <w:name w:val="annotation subject"/>
    <w:basedOn w:val="CommentText"/>
    <w:next w:val="CommentText"/>
    <w:link w:val="CommentSubjectChar"/>
    <w:uiPriority w:val="99"/>
    <w:semiHidden/>
    <w:unhideWhenUsed/>
    <w:rsid w:val="003D3CCD"/>
    <w:rPr>
      <w:b/>
      <w:bCs/>
    </w:rPr>
  </w:style>
  <w:style w:type="character" w:customStyle="1" w:styleId="CommentSubjectChar">
    <w:name w:val="Comment Subject Char"/>
    <w:basedOn w:val="CommentTextChar"/>
    <w:link w:val="CommentSubject"/>
    <w:uiPriority w:val="99"/>
    <w:semiHidden/>
    <w:rsid w:val="003D3CCD"/>
    <w:rPr>
      <w:b/>
      <w:bCs/>
      <w:sz w:val="20"/>
      <w:szCs w:val="20"/>
      <w:lang w:val="en-US"/>
    </w:rPr>
  </w:style>
  <w:style w:type="paragraph" w:styleId="BalloonText">
    <w:name w:val="Balloon Text"/>
    <w:basedOn w:val="Normal"/>
    <w:link w:val="BalloonTextChar"/>
    <w:uiPriority w:val="99"/>
    <w:semiHidden/>
    <w:unhideWhenUsed/>
    <w:rsid w:val="003D3CC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3CCD"/>
    <w:rPr>
      <w:rFonts w:ascii="Segoe UI" w:hAnsi="Segoe UI" w:cs="Segoe UI"/>
      <w:sz w:val="18"/>
      <w:szCs w:val="18"/>
      <w:lang w:val="en-US"/>
    </w:rPr>
  </w:style>
  <w:style w:type="paragraph" w:styleId="Revision">
    <w:name w:val="Revision"/>
    <w:hidden/>
    <w:uiPriority w:val="99"/>
    <w:semiHidden/>
    <w:rsid w:val="002D2825"/>
    <w:pPr>
      <w:spacing w:after="0" w:line="240" w:lineRule="auto"/>
    </w:pPr>
    <w:rPr>
      <w:lang w:val="en-US"/>
    </w:rPr>
  </w:style>
  <w:style w:type="character" w:styleId="FollowedHyperlink">
    <w:name w:val="FollowedHyperlink"/>
    <w:basedOn w:val="DefaultParagraphFont"/>
    <w:uiPriority w:val="99"/>
    <w:semiHidden/>
    <w:unhideWhenUsed/>
    <w:rsid w:val="002A51C5"/>
    <w:rPr>
      <w:color w:val="954F72" w:themeColor="followedHyperlink"/>
      <w:u w:val="single"/>
    </w:rPr>
  </w:style>
  <w:style w:type="paragraph" w:styleId="NormalWeb">
    <w:name w:val="Normal (Web)"/>
    <w:basedOn w:val="Normal"/>
    <w:uiPriority w:val="99"/>
    <w:unhideWhenUsed/>
    <w:rsid w:val="00B60071"/>
    <w:pPr>
      <w:widowControl/>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commentcontentpara">
    <w:name w:val="commentcontentpara"/>
    <w:basedOn w:val="Normal"/>
    <w:rsid w:val="00613A0B"/>
    <w:pPr>
      <w:widowControl/>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UnresolvedMention1">
    <w:name w:val="Unresolved Mention1"/>
    <w:basedOn w:val="DefaultParagraphFont"/>
    <w:uiPriority w:val="99"/>
    <w:semiHidden/>
    <w:unhideWhenUsed/>
    <w:rsid w:val="00CF2EE6"/>
    <w:rPr>
      <w:color w:val="605E5C"/>
      <w:shd w:val="clear" w:color="auto" w:fill="E1DFDD"/>
    </w:rPr>
  </w:style>
  <w:style w:type="table" w:customStyle="1" w:styleId="TableGrid2">
    <w:name w:val="Table Grid2"/>
    <w:basedOn w:val="TableNormal"/>
    <w:next w:val="TableGrid"/>
    <w:uiPriority w:val="39"/>
    <w:rsid w:val="00CA11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1148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1148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1148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0C17BC"/>
    <w:pPr>
      <w:widowControl/>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0C17BC"/>
  </w:style>
  <w:style w:type="character" w:customStyle="1" w:styleId="eop">
    <w:name w:val="eop"/>
    <w:basedOn w:val="DefaultParagraphFont"/>
    <w:rsid w:val="000C17BC"/>
  </w:style>
  <w:style w:type="paragraph" w:customStyle="1" w:styleId="Default">
    <w:name w:val="Default"/>
    <w:rsid w:val="008C3C06"/>
    <w:pPr>
      <w:autoSpaceDE w:val="0"/>
      <w:autoSpaceDN w:val="0"/>
      <w:adjustRightInd w:val="0"/>
      <w:spacing w:after="0" w:line="240" w:lineRule="auto"/>
    </w:pPr>
    <w:rPr>
      <w:rFonts w:ascii="Calibri" w:hAnsi="Calibri" w:cs="Calibri"/>
      <w:color w:val="000000"/>
      <w:sz w:val="24"/>
      <w:szCs w:val="24"/>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qFormat/>
    <w:rsid w:val="00462482"/>
    <w:rPr>
      <w:lang w:val="en-US"/>
    </w:rPr>
  </w:style>
  <w:style w:type="paragraph" w:styleId="FootnoteText">
    <w:name w:val="footnote text"/>
    <w:basedOn w:val="Normal"/>
    <w:link w:val="FootnoteTextChar"/>
    <w:uiPriority w:val="99"/>
    <w:semiHidden/>
    <w:unhideWhenUsed/>
    <w:rsid w:val="005864BF"/>
    <w:rPr>
      <w:sz w:val="20"/>
      <w:szCs w:val="20"/>
    </w:rPr>
  </w:style>
  <w:style w:type="character" w:customStyle="1" w:styleId="FootnoteTextChar">
    <w:name w:val="Footnote Text Char"/>
    <w:basedOn w:val="DefaultParagraphFont"/>
    <w:link w:val="FootnoteText"/>
    <w:uiPriority w:val="99"/>
    <w:semiHidden/>
    <w:rsid w:val="005864BF"/>
    <w:rPr>
      <w:sz w:val="20"/>
      <w:szCs w:val="20"/>
      <w:lang w:val="en-US"/>
    </w:rPr>
  </w:style>
  <w:style w:type="character" w:styleId="FootnoteReference">
    <w:name w:val="footnote reference"/>
    <w:basedOn w:val="DefaultParagraphFont"/>
    <w:uiPriority w:val="99"/>
    <w:semiHidden/>
    <w:unhideWhenUsed/>
    <w:rsid w:val="005864BF"/>
    <w:rPr>
      <w:vertAlign w:val="superscript"/>
    </w:rPr>
  </w:style>
  <w:style w:type="paragraph" w:styleId="NoSpacing">
    <w:name w:val="No Spacing"/>
    <w:uiPriority w:val="1"/>
    <w:qFormat/>
    <w:rsid w:val="00F57924"/>
    <w:pPr>
      <w:spacing w:after="0" w:line="240" w:lineRule="auto"/>
    </w:pPr>
    <w:rPr>
      <w:kern w:val="2"/>
      <w14:ligatures w14:val="standardContextual"/>
    </w:rPr>
  </w:style>
  <w:style w:type="character" w:customStyle="1" w:styleId="superscript">
    <w:name w:val="superscript"/>
    <w:basedOn w:val="DefaultParagraphFont"/>
    <w:rsid w:val="004E2D2F"/>
  </w:style>
  <w:style w:type="character" w:customStyle="1" w:styleId="tabchar">
    <w:name w:val="tabchar"/>
    <w:basedOn w:val="DefaultParagraphFont"/>
    <w:rsid w:val="000130E5"/>
  </w:style>
  <w:style w:type="character" w:styleId="UnresolvedMention">
    <w:name w:val="Unresolved Mention"/>
    <w:basedOn w:val="DefaultParagraphFont"/>
    <w:uiPriority w:val="99"/>
    <w:semiHidden/>
    <w:unhideWhenUsed/>
    <w:rsid w:val="007921A1"/>
    <w:rPr>
      <w:color w:val="605E5C"/>
      <w:shd w:val="clear" w:color="auto" w:fill="E1DFDD"/>
    </w:rPr>
  </w:style>
  <w:style w:type="paragraph" w:customStyle="1" w:styleId="LetterSubHeading1">
    <w:name w:val="Letter Sub Heading 1"/>
    <w:basedOn w:val="Heading3"/>
    <w:next w:val="BodyText"/>
    <w:uiPriority w:val="1"/>
    <w:qFormat/>
    <w:rsid w:val="00BA7324"/>
    <w:pPr>
      <w:keepLines w:val="0"/>
      <w:widowControl/>
      <w:spacing w:before="240" w:after="120" w:line="240" w:lineRule="atLeast"/>
    </w:pPr>
    <w:rPr>
      <w:rFonts w:asciiTheme="minorHAnsi" w:eastAsia="Times New Roman" w:hAnsiTheme="minorHAnsi" w:cstheme="minorHAnsi"/>
      <w:b/>
      <w:bCs/>
      <w:color w:val="5B9BD5" w:themeColor="accent1"/>
      <w:kern w:val="32"/>
      <w:sz w:val="18"/>
      <w:szCs w:val="18"/>
      <w:lang w:val="en-GB"/>
    </w:rPr>
  </w:style>
  <w:style w:type="paragraph" w:customStyle="1" w:styleId="LetterSubHeading1Black">
    <w:name w:val="Letter Sub Heading 1 Black"/>
    <w:basedOn w:val="LetterSubHeading1"/>
    <w:next w:val="BodyText"/>
    <w:uiPriority w:val="1"/>
    <w:qFormat/>
    <w:rsid w:val="00BA7324"/>
    <w:rPr>
      <w:color w:val="000000" w:themeColor="text1"/>
    </w:rPr>
  </w:style>
  <w:style w:type="paragraph" w:styleId="TOCHeading">
    <w:name w:val="TOC Heading"/>
    <w:basedOn w:val="Heading1"/>
    <w:next w:val="Normal"/>
    <w:uiPriority w:val="39"/>
    <w:unhideWhenUsed/>
    <w:qFormat/>
    <w:rsid w:val="00634A10"/>
    <w:pPr>
      <w:widowControl/>
      <w:spacing w:line="259" w:lineRule="auto"/>
      <w:outlineLvl w:val="9"/>
    </w:pPr>
  </w:style>
  <w:style w:type="paragraph" w:styleId="TOC1">
    <w:name w:val="toc 1"/>
    <w:basedOn w:val="Normal"/>
    <w:next w:val="Normal"/>
    <w:autoRedefine/>
    <w:uiPriority w:val="39"/>
    <w:unhideWhenUsed/>
    <w:rsid w:val="00634A10"/>
    <w:pPr>
      <w:widowControl/>
      <w:spacing w:after="100" w:line="259" w:lineRule="auto"/>
    </w:pPr>
    <w:rPr>
      <w:lang w:val="en-GB"/>
    </w:rPr>
  </w:style>
  <w:style w:type="paragraph" w:styleId="TOC2">
    <w:name w:val="toc 2"/>
    <w:basedOn w:val="Normal"/>
    <w:next w:val="Normal"/>
    <w:autoRedefine/>
    <w:uiPriority w:val="39"/>
    <w:unhideWhenUsed/>
    <w:rsid w:val="00634A10"/>
    <w:pPr>
      <w:widowControl/>
      <w:spacing w:after="100" w:line="259" w:lineRule="auto"/>
      <w:ind w:left="220"/>
    </w:pPr>
    <w:rPr>
      <w:lang w:val="en-GB"/>
    </w:rPr>
  </w:style>
  <w:style w:type="numbering" w:customStyle="1" w:styleId="NoList1">
    <w:name w:val="No List1"/>
    <w:next w:val="NoList"/>
    <w:uiPriority w:val="99"/>
    <w:semiHidden/>
    <w:unhideWhenUsed/>
    <w:rsid w:val="00E914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362">
      <w:bodyDiv w:val="1"/>
      <w:marLeft w:val="0"/>
      <w:marRight w:val="0"/>
      <w:marTop w:val="0"/>
      <w:marBottom w:val="0"/>
      <w:divBdr>
        <w:top w:val="none" w:sz="0" w:space="0" w:color="auto"/>
        <w:left w:val="none" w:sz="0" w:space="0" w:color="auto"/>
        <w:bottom w:val="none" w:sz="0" w:space="0" w:color="auto"/>
        <w:right w:val="none" w:sz="0" w:space="0" w:color="auto"/>
      </w:divBdr>
    </w:div>
    <w:div w:id="4553743">
      <w:bodyDiv w:val="1"/>
      <w:marLeft w:val="0"/>
      <w:marRight w:val="0"/>
      <w:marTop w:val="0"/>
      <w:marBottom w:val="0"/>
      <w:divBdr>
        <w:top w:val="none" w:sz="0" w:space="0" w:color="auto"/>
        <w:left w:val="none" w:sz="0" w:space="0" w:color="auto"/>
        <w:bottom w:val="none" w:sz="0" w:space="0" w:color="auto"/>
        <w:right w:val="none" w:sz="0" w:space="0" w:color="auto"/>
      </w:divBdr>
    </w:div>
    <w:div w:id="5640343">
      <w:bodyDiv w:val="1"/>
      <w:marLeft w:val="0"/>
      <w:marRight w:val="0"/>
      <w:marTop w:val="0"/>
      <w:marBottom w:val="0"/>
      <w:divBdr>
        <w:top w:val="none" w:sz="0" w:space="0" w:color="auto"/>
        <w:left w:val="none" w:sz="0" w:space="0" w:color="auto"/>
        <w:bottom w:val="none" w:sz="0" w:space="0" w:color="auto"/>
        <w:right w:val="none" w:sz="0" w:space="0" w:color="auto"/>
      </w:divBdr>
    </w:div>
    <w:div w:id="7953169">
      <w:bodyDiv w:val="1"/>
      <w:marLeft w:val="0"/>
      <w:marRight w:val="0"/>
      <w:marTop w:val="0"/>
      <w:marBottom w:val="0"/>
      <w:divBdr>
        <w:top w:val="none" w:sz="0" w:space="0" w:color="auto"/>
        <w:left w:val="none" w:sz="0" w:space="0" w:color="auto"/>
        <w:bottom w:val="none" w:sz="0" w:space="0" w:color="auto"/>
        <w:right w:val="none" w:sz="0" w:space="0" w:color="auto"/>
      </w:divBdr>
    </w:div>
    <w:div w:id="9845733">
      <w:bodyDiv w:val="1"/>
      <w:marLeft w:val="0"/>
      <w:marRight w:val="0"/>
      <w:marTop w:val="0"/>
      <w:marBottom w:val="0"/>
      <w:divBdr>
        <w:top w:val="none" w:sz="0" w:space="0" w:color="auto"/>
        <w:left w:val="none" w:sz="0" w:space="0" w:color="auto"/>
        <w:bottom w:val="none" w:sz="0" w:space="0" w:color="auto"/>
        <w:right w:val="none" w:sz="0" w:space="0" w:color="auto"/>
      </w:divBdr>
    </w:div>
    <w:div w:id="13962285">
      <w:bodyDiv w:val="1"/>
      <w:marLeft w:val="0"/>
      <w:marRight w:val="0"/>
      <w:marTop w:val="0"/>
      <w:marBottom w:val="0"/>
      <w:divBdr>
        <w:top w:val="none" w:sz="0" w:space="0" w:color="auto"/>
        <w:left w:val="none" w:sz="0" w:space="0" w:color="auto"/>
        <w:bottom w:val="none" w:sz="0" w:space="0" w:color="auto"/>
        <w:right w:val="none" w:sz="0" w:space="0" w:color="auto"/>
      </w:divBdr>
    </w:div>
    <w:div w:id="15009648">
      <w:bodyDiv w:val="1"/>
      <w:marLeft w:val="0"/>
      <w:marRight w:val="0"/>
      <w:marTop w:val="0"/>
      <w:marBottom w:val="0"/>
      <w:divBdr>
        <w:top w:val="none" w:sz="0" w:space="0" w:color="auto"/>
        <w:left w:val="none" w:sz="0" w:space="0" w:color="auto"/>
        <w:bottom w:val="none" w:sz="0" w:space="0" w:color="auto"/>
        <w:right w:val="none" w:sz="0" w:space="0" w:color="auto"/>
      </w:divBdr>
    </w:div>
    <w:div w:id="16082924">
      <w:bodyDiv w:val="1"/>
      <w:marLeft w:val="0"/>
      <w:marRight w:val="0"/>
      <w:marTop w:val="0"/>
      <w:marBottom w:val="0"/>
      <w:divBdr>
        <w:top w:val="none" w:sz="0" w:space="0" w:color="auto"/>
        <w:left w:val="none" w:sz="0" w:space="0" w:color="auto"/>
        <w:bottom w:val="none" w:sz="0" w:space="0" w:color="auto"/>
        <w:right w:val="none" w:sz="0" w:space="0" w:color="auto"/>
      </w:divBdr>
    </w:div>
    <w:div w:id="22899889">
      <w:bodyDiv w:val="1"/>
      <w:marLeft w:val="0"/>
      <w:marRight w:val="0"/>
      <w:marTop w:val="0"/>
      <w:marBottom w:val="0"/>
      <w:divBdr>
        <w:top w:val="none" w:sz="0" w:space="0" w:color="auto"/>
        <w:left w:val="none" w:sz="0" w:space="0" w:color="auto"/>
        <w:bottom w:val="none" w:sz="0" w:space="0" w:color="auto"/>
        <w:right w:val="none" w:sz="0" w:space="0" w:color="auto"/>
      </w:divBdr>
    </w:div>
    <w:div w:id="33162636">
      <w:bodyDiv w:val="1"/>
      <w:marLeft w:val="0"/>
      <w:marRight w:val="0"/>
      <w:marTop w:val="0"/>
      <w:marBottom w:val="0"/>
      <w:divBdr>
        <w:top w:val="none" w:sz="0" w:space="0" w:color="auto"/>
        <w:left w:val="none" w:sz="0" w:space="0" w:color="auto"/>
        <w:bottom w:val="none" w:sz="0" w:space="0" w:color="auto"/>
        <w:right w:val="none" w:sz="0" w:space="0" w:color="auto"/>
      </w:divBdr>
    </w:div>
    <w:div w:id="33971176">
      <w:bodyDiv w:val="1"/>
      <w:marLeft w:val="0"/>
      <w:marRight w:val="0"/>
      <w:marTop w:val="0"/>
      <w:marBottom w:val="0"/>
      <w:divBdr>
        <w:top w:val="none" w:sz="0" w:space="0" w:color="auto"/>
        <w:left w:val="none" w:sz="0" w:space="0" w:color="auto"/>
        <w:bottom w:val="none" w:sz="0" w:space="0" w:color="auto"/>
        <w:right w:val="none" w:sz="0" w:space="0" w:color="auto"/>
      </w:divBdr>
    </w:div>
    <w:div w:id="34893570">
      <w:bodyDiv w:val="1"/>
      <w:marLeft w:val="0"/>
      <w:marRight w:val="0"/>
      <w:marTop w:val="0"/>
      <w:marBottom w:val="0"/>
      <w:divBdr>
        <w:top w:val="none" w:sz="0" w:space="0" w:color="auto"/>
        <w:left w:val="none" w:sz="0" w:space="0" w:color="auto"/>
        <w:bottom w:val="none" w:sz="0" w:space="0" w:color="auto"/>
        <w:right w:val="none" w:sz="0" w:space="0" w:color="auto"/>
      </w:divBdr>
    </w:div>
    <w:div w:id="35744280">
      <w:bodyDiv w:val="1"/>
      <w:marLeft w:val="0"/>
      <w:marRight w:val="0"/>
      <w:marTop w:val="0"/>
      <w:marBottom w:val="0"/>
      <w:divBdr>
        <w:top w:val="none" w:sz="0" w:space="0" w:color="auto"/>
        <w:left w:val="none" w:sz="0" w:space="0" w:color="auto"/>
        <w:bottom w:val="none" w:sz="0" w:space="0" w:color="auto"/>
        <w:right w:val="none" w:sz="0" w:space="0" w:color="auto"/>
      </w:divBdr>
    </w:div>
    <w:div w:id="37820930">
      <w:bodyDiv w:val="1"/>
      <w:marLeft w:val="0"/>
      <w:marRight w:val="0"/>
      <w:marTop w:val="0"/>
      <w:marBottom w:val="0"/>
      <w:divBdr>
        <w:top w:val="none" w:sz="0" w:space="0" w:color="auto"/>
        <w:left w:val="none" w:sz="0" w:space="0" w:color="auto"/>
        <w:bottom w:val="none" w:sz="0" w:space="0" w:color="auto"/>
        <w:right w:val="none" w:sz="0" w:space="0" w:color="auto"/>
      </w:divBdr>
    </w:div>
    <w:div w:id="38553614">
      <w:bodyDiv w:val="1"/>
      <w:marLeft w:val="0"/>
      <w:marRight w:val="0"/>
      <w:marTop w:val="0"/>
      <w:marBottom w:val="0"/>
      <w:divBdr>
        <w:top w:val="none" w:sz="0" w:space="0" w:color="auto"/>
        <w:left w:val="none" w:sz="0" w:space="0" w:color="auto"/>
        <w:bottom w:val="none" w:sz="0" w:space="0" w:color="auto"/>
        <w:right w:val="none" w:sz="0" w:space="0" w:color="auto"/>
      </w:divBdr>
    </w:div>
    <w:div w:id="53553874">
      <w:bodyDiv w:val="1"/>
      <w:marLeft w:val="0"/>
      <w:marRight w:val="0"/>
      <w:marTop w:val="0"/>
      <w:marBottom w:val="0"/>
      <w:divBdr>
        <w:top w:val="none" w:sz="0" w:space="0" w:color="auto"/>
        <w:left w:val="none" w:sz="0" w:space="0" w:color="auto"/>
        <w:bottom w:val="none" w:sz="0" w:space="0" w:color="auto"/>
        <w:right w:val="none" w:sz="0" w:space="0" w:color="auto"/>
      </w:divBdr>
    </w:div>
    <w:div w:id="59836306">
      <w:bodyDiv w:val="1"/>
      <w:marLeft w:val="0"/>
      <w:marRight w:val="0"/>
      <w:marTop w:val="0"/>
      <w:marBottom w:val="0"/>
      <w:divBdr>
        <w:top w:val="none" w:sz="0" w:space="0" w:color="auto"/>
        <w:left w:val="none" w:sz="0" w:space="0" w:color="auto"/>
        <w:bottom w:val="none" w:sz="0" w:space="0" w:color="auto"/>
        <w:right w:val="none" w:sz="0" w:space="0" w:color="auto"/>
      </w:divBdr>
    </w:div>
    <w:div w:id="60062456">
      <w:bodyDiv w:val="1"/>
      <w:marLeft w:val="0"/>
      <w:marRight w:val="0"/>
      <w:marTop w:val="0"/>
      <w:marBottom w:val="0"/>
      <w:divBdr>
        <w:top w:val="none" w:sz="0" w:space="0" w:color="auto"/>
        <w:left w:val="none" w:sz="0" w:space="0" w:color="auto"/>
        <w:bottom w:val="none" w:sz="0" w:space="0" w:color="auto"/>
        <w:right w:val="none" w:sz="0" w:space="0" w:color="auto"/>
      </w:divBdr>
    </w:div>
    <w:div w:id="65539577">
      <w:bodyDiv w:val="1"/>
      <w:marLeft w:val="0"/>
      <w:marRight w:val="0"/>
      <w:marTop w:val="0"/>
      <w:marBottom w:val="0"/>
      <w:divBdr>
        <w:top w:val="none" w:sz="0" w:space="0" w:color="auto"/>
        <w:left w:val="none" w:sz="0" w:space="0" w:color="auto"/>
        <w:bottom w:val="none" w:sz="0" w:space="0" w:color="auto"/>
        <w:right w:val="none" w:sz="0" w:space="0" w:color="auto"/>
      </w:divBdr>
    </w:div>
    <w:div w:id="88698509">
      <w:bodyDiv w:val="1"/>
      <w:marLeft w:val="0"/>
      <w:marRight w:val="0"/>
      <w:marTop w:val="0"/>
      <w:marBottom w:val="0"/>
      <w:divBdr>
        <w:top w:val="none" w:sz="0" w:space="0" w:color="auto"/>
        <w:left w:val="none" w:sz="0" w:space="0" w:color="auto"/>
        <w:bottom w:val="none" w:sz="0" w:space="0" w:color="auto"/>
        <w:right w:val="none" w:sz="0" w:space="0" w:color="auto"/>
      </w:divBdr>
    </w:div>
    <w:div w:id="91047262">
      <w:bodyDiv w:val="1"/>
      <w:marLeft w:val="0"/>
      <w:marRight w:val="0"/>
      <w:marTop w:val="0"/>
      <w:marBottom w:val="0"/>
      <w:divBdr>
        <w:top w:val="none" w:sz="0" w:space="0" w:color="auto"/>
        <w:left w:val="none" w:sz="0" w:space="0" w:color="auto"/>
        <w:bottom w:val="none" w:sz="0" w:space="0" w:color="auto"/>
        <w:right w:val="none" w:sz="0" w:space="0" w:color="auto"/>
      </w:divBdr>
    </w:div>
    <w:div w:id="95054571">
      <w:bodyDiv w:val="1"/>
      <w:marLeft w:val="0"/>
      <w:marRight w:val="0"/>
      <w:marTop w:val="0"/>
      <w:marBottom w:val="0"/>
      <w:divBdr>
        <w:top w:val="none" w:sz="0" w:space="0" w:color="auto"/>
        <w:left w:val="none" w:sz="0" w:space="0" w:color="auto"/>
        <w:bottom w:val="none" w:sz="0" w:space="0" w:color="auto"/>
        <w:right w:val="none" w:sz="0" w:space="0" w:color="auto"/>
      </w:divBdr>
    </w:div>
    <w:div w:id="98375790">
      <w:bodyDiv w:val="1"/>
      <w:marLeft w:val="0"/>
      <w:marRight w:val="0"/>
      <w:marTop w:val="0"/>
      <w:marBottom w:val="0"/>
      <w:divBdr>
        <w:top w:val="none" w:sz="0" w:space="0" w:color="auto"/>
        <w:left w:val="none" w:sz="0" w:space="0" w:color="auto"/>
        <w:bottom w:val="none" w:sz="0" w:space="0" w:color="auto"/>
        <w:right w:val="none" w:sz="0" w:space="0" w:color="auto"/>
      </w:divBdr>
    </w:div>
    <w:div w:id="109591887">
      <w:bodyDiv w:val="1"/>
      <w:marLeft w:val="0"/>
      <w:marRight w:val="0"/>
      <w:marTop w:val="0"/>
      <w:marBottom w:val="0"/>
      <w:divBdr>
        <w:top w:val="none" w:sz="0" w:space="0" w:color="auto"/>
        <w:left w:val="none" w:sz="0" w:space="0" w:color="auto"/>
        <w:bottom w:val="none" w:sz="0" w:space="0" w:color="auto"/>
        <w:right w:val="none" w:sz="0" w:space="0" w:color="auto"/>
      </w:divBdr>
    </w:div>
    <w:div w:id="117988498">
      <w:bodyDiv w:val="1"/>
      <w:marLeft w:val="0"/>
      <w:marRight w:val="0"/>
      <w:marTop w:val="0"/>
      <w:marBottom w:val="0"/>
      <w:divBdr>
        <w:top w:val="none" w:sz="0" w:space="0" w:color="auto"/>
        <w:left w:val="none" w:sz="0" w:space="0" w:color="auto"/>
        <w:bottom w:val="none" w:sz="0" w:space="0" w:color="auto"/>
        <w:right w:val="none" w:sz="0" w:space="0" w:color="auto"/>
      </w:divBdr>
    </w:div>
    <w:div w:id="134035243">
      <w:bodyDiv w:val="1"/>
      <w:marLeft w:val="0"/>
      <w:marRight w:val="0"/>
      <w:marTop w:val="0"/>
      <w:marBottom w:val="0"/>
      <w:divBdr>
        <w:top w:val="none" w:sz="0" w:space="0" w:color="auto"/>
        <w:left w:val="none" w:sz="0" w:space="0" w:color="auto"/>
        <w:bottom w:val="none" w:sz="0" w:space="0" w:color="auto"/>
        <w:right w:val="none" w:sz="0" w:space="0" w:color="auto"/>
      </w:divBdr>
    </w:div>
    <w:div w:id="136148891">
      <w:bodyDiv w:val="1"/>
      <w:marLeft w:val="0"/>
      <w:marRight w:val="0"/>
      <w:marTop w:val="0"/>
      <w:marBottom w:val="0"/>
      <w:divBdr>
        <w:top w:val="none" w:sz="0" w:space="0" w:color="auto"/>
        <w:left w:val="none" w:sz="0" w:space="0" w:color="auto"/>
        <w:bottom w:val="none" w:sz="0" w:space="0" w:color="auto"/>
        <w:right w:val="none" w:sz="0" w:space="0" w:color="auto"/>
      </w:divBdr>
    </w:div>
    <w:div w:id="143400530">
      <w:bodyDiv w:val="1"/>
      <w:marLeft w:val="0"/>
      <w:marRight w:val="0"/>
      <w:marTop w:val="0"/>
      <w:marBottom w:val="0"/>
      <w:divBdr>
        <w:top w:val="none" w:sz="0" w:space="0" w:color="auto"/>
        <w:left w:val="none" w:sz="0" w:space="0" w:color="auto"/>
        <w:bottom w:val="none" w:sz="0" w:space="0" w:color="auto"/>
        <w:right w:val="none" w:sz="0" w:space="0" w:color="auto"/>
      </w:divBdr>
    </w:div>
    <w:div w:id="152070515">
      <w:bodyDiv w:val="1"/>
      <w:marLeft w:val="0"/>
      <w:marRight w:val="0"/>
      <w:marTop w:val="0"/>
      <w:marBottom w:val="0"/>
      <w:divBdr>
        <w:top w:val="none" w:sz="0" w:space="0" w:color="auto"/>
        <w:left w:val="none" w:sz="0" w:space="0" w:color="auto"/>
        <w:bottom w:val="none" w:sz="0" w:space="0" w:color="auto"/>
        <w:right w:val="none" w:sz="0" w:space="0" w:color="auto"/>
      </w:divBdr>
    </w:div>
    <w:div w:id="154106713">
      <w:bodyDiv w:val="1"/>
      <w:marLeft w:val="0"/>
      <w:marRight w:val="0"/>
      <w:marTop w:val="0"/>
      <w:marBottom w:val="0"/>
      <w:divBdr>
        <w:top w:val="none" w:sz="0" w:space="0" w:color="auto"/>
        <w:left w:val="none" w:sz="0" w:space="0" w:color="auto"/>
        <w:bottom w:val="none" w:sz="0" w:space="0" w:color="auto"/>
        <w:right w:val="none" w:sz="0" w:space="0" w:color="auto"/>
      </w:divBdr>
    </w:div>
    <w:div w:id="158467491">
      <w:bodyDiv w:val="1"/>
      <w:marLeft w:val="0"/>
      <w:marRight w:val="0"/>
      <w:marTop w:val="0"/>
      <w:marBottom w:val="0"/>
      <w:divBdr>
        <w:top w:val="none" w:sz="0" w:space="0" w:color="auto"/>
        <w:left w:val="none" w:sz="0" w:space="0" w:color="auto"/>
        <w:bottom w:val="none" w:sz="0" w:space="0" w:color="auto"/>
        <w:right w:val="none" w:sz="0" w:space="0" w:color="auto"/>
      </w:divBdr>
    </w:div>
    <w:div w:id="163054065">
      <w:bodyDiv w:val="1"/>
      <w:marLeft w:val="0"/>
      <w:marRight w:val="0"/>
      <w:marTop w:val="0"/>
      <w:marBottom w:val="0"/>
      <w:divBdr>
        <w:top w:val="none" w:sz="0" w:space="0" w:color="auto"/>
        <w:left w:val="none" w:sz="0" w:space="0" w:color="auto"/>
        <w:bottom w:val="none" w:sz="0" w:space="0" w:color="auto"/>
        <w:right w:val="none" w:sz="0" w:space="0" w:color="auto"/>
      </w:divBdr>
    </w:div>
    <w:div w:id="168642828">
      <w:bodyDiv w:val="1"/>
      <w:marLeft w:val="0"/>
      <w:marRight w:val="0"/>
      <w:marTop w:val="0"/>
      <w:marBottom w:val="0"/>
      <w:divBdr>
        <w:top w:val="none" w:sz="0" w:space="0" w:color="auto"/>
        <w:left w:val="none" w:sz="0" w:space="0" w:color="auto"/>
        <w:bottom w:val="none" w:sz="0" w:space="0" w:color="auto"/>
        <w:right w:val="none" w:sz="0" w:space="0" w:color="auto"/>
      </w:divBdr>
    </w:div>
    <w:div w:id="169873445">
      <w:bodyDiv w:val="1"/>
      <w:marLeft w:val="0"/>
      <w:marRight w:val="0"/>
      <w:marTop w:val="0"/>
      <w:marBottom w:val="0"/>
      <w:divBdr>
        <w:top w:val="none" w:sz="0" w:space="0" w:color="auto"/>
        <w:left w:val="none" w:sz="0" w:space="0" w:color="auto"/>
        <w:bottom w:val="none" w:sz="0" w:space="0" w:color="auto"/>
        <w:right w:val="none" w:sz="0" w:space="0" w:color="auto"/>
      </w:divBdr>
    </w:div>
    <w:div w:id="173813632">
      <w:bodyDiv w:val="1"/>
      <w:marLeft w:val="0"/>
      <w:marRight w:val="0"/>
      <w:marTop w:val="0"/>
      <w:marBottom w:val="0"/>
      <w:divBdr>
        <w:top w:val="none" w:sz="0" w:space="0" w:color="auto"/>
        <w:left w:val="none" w:sz="0" w:space="0" w:color="auto"/>
        <w:bottom w:val="none" w:sz="0" w:space="0" w:color="auto"/>
        <w:right w:val="none" w:sz="0" w:space="0" w:color="auto"/>
      </w:divBdr>
    </w:div>
    <w:div w:id="174004489">
      <w:bodyDiv w:val="1"/>
      <w:marLeft w:val="0"/>
      <w:marRight w:val="0"/>
      <w:marTop w:val="0"/>
      <w:marBottom w:val="0"/>
      <w:divBdr>
        <w:top w:val="none" w:sz="0" w:space="0" w:color="auto"/>
        <w:left w:val="none" w:sz="0" w:space="0" w:color="auto"/>
        <w:bottom w:val="none" w:sz="0" w:space="0" w:color="auto"/>
        <w:right w:val="none" w:sz="0" w:space="0" w:color="auto"/>
      </w:divBdr>
    </w:div>
    <w:div w:id="188032226">
      <w:bodyDiv w:val="1"/>
      <w:marLeft w:val="0"/>
      <w:marRight w:val="0"/>
      <w:marTop w:val="0"/>
      <w:marBottom w:val="0"/>
      <w:divBdr>
        <w:top w:val="none" w:sz="0" w:space="0" w:color="auto"/>
        <w:left w:val="none" w:sz="0" w:space="0" w:color="auto"/>
        <w:bottom w:val="none" w:sz="0" w:space="0" w:color="auto"/>
        <w:right w:val="none" w:sz="0" w:space="0" w:color="auto"/>
      </w:divBdr>
    </w:div>
    <w:div w:id="188689129">
      <w:bodyDiv w:val="1"/>
      <w:marLeft w:val="0"/>
      <w:marRight w:val="0"/>
      <w:marTop w:val="0"/>
      <w:marBottom w:val="0"/>
      <w:divBdr>
        <w:top w:val="none" w:sz="0" w:space="0" w:color="auto"/>
        <w:left w:val="none" w:sz="0" w:space="0" w:color="auto"/>
        <w:bottom w:val="none" w:sz="0" w:space="0" w:color="auto"/>
        <w:right w:val="none" w:sz="0" w:space="0" w:color="auto"/>
      </w:divBdr>
    </w:div>
    <w:div w:id="197083184">
      <w:bodyDiv w:val="1"/>
      <w:marLeft w:val="0"/>
      <w:marRight w:val="0"/>
      <w:marTop w:val="0"/>
      <w:marBottom w:val="0"/>
      <w:divBdr>
        <w:top w:val="none" w:sz="0" w:space="0" w:color="auto"/>
        <w:left w:val="none" w:sz="0" w:space="0" w:color="auto"/>
        <w:bottom w:val="none" w:sz="0" w:space="0" w:color="auto"/>
        <w:right w:val="none" w:sz="0" w:space="0" w:color="auto"/>
      </w:divBdr>
    </w:div>
    <w:div w:id="202057319">
      <w:bodyDiv w:val="1"/>
      <w:marLeft w:val="0"/>
      <w:marRight w:val="0"/>
      <w:marTop w:val="0"/>
      <w:marBottom w:val="0"/>
      <w:divBdr>
        <w:top w:val="none" w:sz="0" w:space="0" w:color="auto"/>
        <w:left w:val="none" w:sz="0" w:space="0" w:color="auto"/>
        <w:bottom w:val="none" w:sz="0" w:space="0" w:color="auto"/>
        <w:right w:val="none" w:sz="0" w:space="0" w:color="auto"/>
      </w:divBdr>
    </w:div>
    <w:div w:id="213586764">
      <w:bodyDiv w:val="1"/>
      <w:marLeft w:val="0"/>
      <w:marRight w:val="0"/>
      <w:marTop w:val="0"/>
      <w:marBottom w:val="0"/>
      <w:divBdr>
        <w:top w:val="none" w:sz="0" w:space="0" w:color="auto"/>
        <w:left w:val="none" w:sz="0" w:space="0" w:color="auto"/>
        <w:bottom w:val="none" w:sz="0" w:space="0" w:color="auto"/>
        <w:right w:val="none" w:sz="0" w:space="0" w:color="auto"/>
      </w:divBdr>
    </w:div>
    <w:div w:id="217784814">
      <w:bodyDiv w:val="1"/>
      <w:marLeft w:val="0"/>
      <w:marRight w:val="0"/>
      <w:marTop w:val="0"/>
      <w:marBottom w:val="0"/>
      <w:divBdr>
        <w:top w:val="none" w:sz="0" w:space="0" w:color="auto"/>
        <w:left w:val="none" w:sz="0" w:space="0" w:color="auto"/>
        <w:bottom w:val="none" w:sz="0" w:space="0" w:color="auto"/>
        <w:right w:val="none" w:sz="0" w:space="0" w:color="auto"/>
      </w:divBdr>
    </w:div>
    <w:div w:id="226959553">
      <w:bodyDiv w:val="1"/>
      <w:marLeft w:val="0"/>
      <w:marRight w:val="0"/>
      <w:marTop w:val="0"/>
      <w:marBottom w:val="0"/>
      <w:divBdr>
        <w:top w:val="none" w:sz="0" w:space="0" w:color="auto"/>
        <w:left w:val="none" w:sz="0" w:space="0" w:color="auto"/>
        <w:bottom w:val="none" w:sz="0" w:space="0" w:color="auto"/>
        <w:right w:val="none" w:sz="0" w:space="0" w:color="auto"/>
      </w:divBdr>
    </w:div>
    <w:div w:id="245576332">
      <w:bodyDiv w:val="1"/>
      <w:marLeft w:val="0"/>
      <w:marRight w:val="0"/>
      <w:marTop w:val="0"/>
      <w:marBottom w:val="0"/>
      <w:divBdr>
        <w:top w:val="none" w:sz="0" w:space="0" w:color="auto"/>
        <w:left w:val="none" w:sz="0" w:space="0" w:color="auto"/>
        <w:bottom w:val="none" w:sz="0" w:space="0" w:color="auto"/>
        <w:right w:val="none" w:sz="0" w:space="0" w:color="auto"/>
      </w:divBdr>
      <w:divsChild>
        <w:div w:id="421991935">
          <w:marLeft w:val="0"/>
          <w:marRight w:val="0"/>
          <w:marTop w:val="0"/>
          <w:marBottom w:val="0"/>
          <w:divBdr>
            <w:top w:val="none" w:sz="0" w:space="0" w:color="auto"/>
            <w:left w:val="none" w:sz="0" w:space="0" w:color="auto"/>
            <w:bottom w:val="none" w:sz="0" w:space="0" w:color="auto"/>
            <w:right w:val="none" w:sz="0" w:space="0" w:color="auto"/>
          </w:divBdr>
          <w:divsChild>
            <w:div w:id="178157734">
              <w:marLeft w:val="0"/>
              <w:marRight w:val="0"/>
              <w:marTop w:val="0"/>
              <w:marBottom w:val="0"/>
              <w:divBdr>
                <w:top w:val="none" w:sz="0" w:space="0" w:color="auto"/>
                <w:left w:val="none" w:sz="0" w:space="0" w:color="auto"/>
                <w:bottom w:val="none" w:sz="0" w:space="0" w:color="auto"/>
                <w:right w:val="none" w:sz="0" w:space="0" w:color="auto"/>
              </w:divBdr>
            </w:div>
          </w:divsChild>
        </w:div>
        <w:div w:id="2077967951">
          <w:marLeft w:val="0"/>
          <w:marRight w:val="0"/>
          <w:marTop w:val="0"/>
          <w:marBottom w:val="0"/>
          <w:divBdr>
            <w:top w:val="none" w:sz="0" w:space="0" w:color="auto"/>
            <w:left w:val="none" w:sz="0" w:space="0" w:color="auto"/>
            <w:bottom w:val="none" w:sz="0" w:space="0" w:color="auto"/>
            <w:right w:val="none" w:sz="0" w:space="0" w:color="auto"/>
          </w:divBdr>
          <w:divsChild>
            <w:div w:id="1436050265">
              <w:marLeft w:val="0"/>
              <w:marRight w:val="0"/>
              <w:marTop w:val="0"/>
              <w:marBottom w:val="0"/>
              <w:divBdr>
                <w:top w:val="none" w:sz="0" w:space="0" w:color="auto"/>
                <w:left w:val="none" w:sz="0" w:space="0" w:color="auto"/>
                <w:bottom w:val="none" w:sz="0" w:space="0" w:color="auto"/>
                <w:right w:val="none" w:sz="0" w:space="0" w:color="auto"/>
              </w:divBdr>
            </w:div>
          </w:divsChild>
        </w:div>
        <w:div w:id="1597906390">
          <w:marLeft w:val="0"/>
          <w:marRight w:val="0"/>
          <w:marTop w:val="0"/>
          <w:marBottom w:val="0"/>
          <w:divBdr>
            <w:top w:val="none" w:sz="0" w:space="0" w:color="auto"/>
            <w:left w:val="none" w:sz="0" w:space="0" w:color="auto"/>
            <w:bottom w:val="none" w:sz="0" w:space="0" w:color="auto"/>
            <w:right w:val="none" w:sz="0" w:space="0" w:color="auto"/>
          </w:divBdr>
          <w:divsChild>
            <w:div w:id="1915384826">
              <w:marLeft w:val="0"/>
              <w:marRight w:val="0"/>
              <w:marTop w:val="0"/>
              <w:marBottom w:val="0"/>
              <w:divBdr>
                <w:top w:val="none" w:sz="0" w:space="0" w:color="auto"/>
                <w:left w:val="none" w:sz="0" w:space="0" w:color="auto"/>
                <w:bottom w:val="none" w:sz="0" w:space="0" w:color="auto"/>
                <w:right w:val="none" w:sz="0" w:space="0" w:color="auto"/>
              </w:divBdr>
            </w:div>
          </w:divsChild>
        </w:div>
        <w:div w:id="1132552134">
          <w:marLeft w:val="0"/>
          <w:marRight w:val="0"/>
          <w:marTop w:val="0"/>
          <w:marBottom w:val="0"/>
          <w:divBdr>
            <w:top w:val="none" w:sz="0" w:space="0" w:color="auto"/>
            <w:left w:val="none" w:sz="0" w:space="0" w:color="auto"/>
            <w:bottom w:val="none" w:sz="0" w:space="0" w:color="auto"/>
            <w:right w:val="none" w:sz="0" w:space="0" w:color="auto"/>
          </w:divBdr>
          <w:divsChild>
            <w:div w:id="978728245">
              <w:marLeft w:val="0"/>
              <w:marRight w:val="0"/>
              <w:marTop w:val="0"/>
              <w:marBottom w:val="0"/>
              <w:divBdr>
                <w:top w:val="none" w:sz="0" w:space="0" w:color="auto"/>
                <w:left w:val="none" w:sz="0" w:space="0" w:color="auto"/>
                <w:bottom w:val="none" w:sz="0" w:space="0" w:color="auto"/>
                <w:right w:val="none" w:sz="0" w:space="0" w:color="auto"/>
              </w:divBdr>
            </w:div>
          </w:divsChild>
        </w:div>
        <w:div w:id="1606420455">
          <w:marLeft w:val="0"/>
          <w:marRight w:val="0"/>
          <w:marTop w:val="0"/>
          <w:marBottom w:val="0"/>
          <w:divBdr>
            <w:top w:val="none" w:sz="0" w:space="0" w:color="auto"/>
            <w:left w:val="none" w:sz="0" w:space="0" w:color="auto"/>
            <w:bottom w:val="none" w:sz="0" w:space="0" w:color="auto"/>
            <w:right w:val="none" w:sz="0" w:space="0" w:color="auto"/>
          </w:divBdr>
          <w:divsChild>
            <w:div w:id="1171480678">
              <w:marLeft w:val="0"/>
              <w:marRight w:val="0"/>
              <w:marTop w:val="0"/>
              <w:marBottom w:val="0"/>
              <w:divBdr>
                <w:top w:val="none" w:sz="0" w:space="0" w:color="auto"/>
                <w:left w:val="none" w:sz="0" w:space="0" w:color="auto"/>
                <w:bottom w:val="none" w:sz="0" w:space="0" w:color="auto"/>
                <w:right w:val="none" w:sz="0" w:space="0" w:color="auto"/>
              </w:divBdr>
            </w:div>
          </w:divsChild>
        </w:div>
        <w:div w:id="2118597141">
          <w:marLeft w:val="0"/>
          <w:marRight w:val="0"/>
          <w:marTop w:val="0"/>
          <w:marBottom w:val="0"/>
          <w:divBdr>
            <w:top w:val="none" w:sz="0" w:space="0" w:color="auto"/>
            <w:left w:val="none" w:sz="0" w:space="0" w:color="auto"/>
            <w:bottom w:val="none" w:sz="0" w:space="0" w:color="auto"/>
            <w:right w:val="none" w:sz="0" w:space="0" w:color="auto"/>
          </w:divBdr>
          <w:divsChild>
            <w:div w:id="815151308">
              <w:marLeft w:val="0"/>
              <w:marRight w:val="0"/>
              <w:marTop w:val="0"/>
              <w:marBottom w:val="0"/>
              <w:divBdr>
                <w:top w:val="none" w:sz="0" w:space="0" w:color="auto"/>
                <w:left w:val="none" w:sz="0" w:space="0" w:color="auto"/>
                <w:bottom w:val="none" w:sz="0" w:space="0" w:color="auto"/>
                <w:right w:val="none" w:sz="0" w:space="0" w:color="auto"/>
              </w:divBdr>
            </w:div>
          </w:divsChild>
        </w:div>
        <w:div w:id="1633169544">
          <w:marLeft w:val="0"/>
          <w:marRight w:val="0"/>
          <w:marTop w:val="0"/>
          <w:marBottom w:val="0"/>
          <w:divBdr>
            <w:top w:val="none" w:sz="0" w:space="0" w:color="auto"/>
            <w:left w:val="none" w:sz="0" w:space="0" w:color="auto"/>
            <w:bottom w:val="none" w:sz="0" w:space="0" w:color="auto"/>
            <w:right w:val="none" w:sz="0" w:space="0" w:color="auto"/>
          </w:divBdr>
          <w:divsChild>
            <w:div w:id="1577787657">
              <w:marLeft w:val="0"/>
              <w:marRight w:val="0"/>
              <w:marTop w:val="0"/>
              <w:marBottom w:val="0"/>
              <w:divBdr>
                <w:top w:val="none" w:sz="0" w:space="0" w:color="auto"/>
                <w:left w:val="none" w:sz="0" w:space="0" w:color="auto"/>
                <w:bottom w:val="none" w:sz="0" w:space="0" w:color="auto"/>
                <w:right w:val="none" w:sz="0" w:space="0" w:color="auto"/>
              </w:divBdr>
            </w:div>
          </w:divsChild>
        </w:div>
        <w:div w:id="2037727217">
          <w:marLeft w:val="0"/>
          <w:marRight w:val="0"/>
          <w:marTop w:val="0"/>
          <w:marBottom w:val="0"/>
          <w:divBdr>
            <w:top w:val="none" w:sz="0" w:space="0" w:color="auto"/>
            <w:left w:val="none" w:sz="0" w:space="0" w:color="auto"/>
            <w:bottom w:val="none" w:sz="0" w:space="0" w:color="auto"/>
            <w:right w:val="none" w:sz="0" w:space="0" w:color="auto"/>
          </w:divBdr>
          <w:divsChild>
            <w:div w:id="2051879719">
              <w:marLeft w:val="0"/>
              <w:marRight w:val="0"/>
              <w:marTop w:val="0"/>
              <w:marBottom w:val="0"/>
              <w:divBdr>
                <w:top w:val="none" w:sz="0" w:space="0" w:color="auto"/>
                <w:left w:val="none" w:sz="0" w:space="0" w:color="auto"/>
                <w:bottom w:val="none" w:sz="0" w:space="0" w:color="auto"/>
                <w:right w:val="none" w:sz="0" w:space="0" w:color="auto"/>
              </w:divBdr>
            </w:div>
          </w:divsChild>
        </w:div>
        <w:div w:id="63112044">
          <w:marLeft w:val="0"/>
          <w:marRight w:val="0"/>
          <w:marTop w:val="0"/>
          <w:marBottom w:val="0"/>
          <w:divBdr>
            <w:top w:val="none" w:sz="0" w:space="0" w:color="auto"/>
            <w:left w:val="none" w:sz="0" w:space="0" w:color="auto"/>
            <w:bottom w:val="none" w:sz="0" w:space="0" w:color="auto"/>
            <w:right w:val="none" w:sz="0" w:space="0" w:color="auto"/>
          </w:divBdr>
          <w:divsChild>
            <w:div w:id="405108914">
              <w:marLeft w:val="0"/>
              <w:marRight w:val="0"/>
              <w:marTop w:val="0"/>
              <w:marBottom w:val="0"/>
              <w:divBdr>
                <w:top w:val="none" w:sz="0" w:space="0" w:color="auto"/>
                <w:left w:val="none" w:sz="0" w:space="0" w:color="auto"/>
                <w:bottom w:val="none" w:sz="0" w:space="0" w:color="auto"/>
                <w:right w:val="none" w:sz="0" w:space="0" w:color="auto"/>
              </w:divBdr>
            </w:div>
          </w:divsChild>
        </w:div>
        <w:div w:id="1439980364">
          <w:marLeft w:val="0"/>
          <w:marRight w:val="0"/>
          <w:marTop w:val="0"/>
          <w:marBottom w:val="0"/>
          <w:divBdr>
            <w:top w:val="none" w:sz="0" w:space="0" w:color="auto"/>
            <w:left w:val="none" w:sz="0" w:space="0" w:color="auto"/>
            <w:bottom w:val="none" w:sz="0" w:space="0" w:color="auto"/>
            <w:right w:val="none" w:sz="0" w:space="0" w:color="auto"/>
          </w:divBdr>
          <w:divsChild>
            <w:div w:id="1487162632">
              <w:marLeft w:val="0"/>
              <w:marRight w:val="0"/>
              <w:marTop w:val="0"/>
              <w:marBottom w:val="0"/>
              <w:divBdr>
                <w:top w:val="none" w:sz="0" w:space="0" w:color="auto"/>
                <w:left w:val="none" w:sz="0" w:space="0" w:color="auto"/>
                <w:bottom w:val="none" w:sz="0" w:space="0" w:color="auto"/>
                <w:right w:val="none" w:sz="0" w:space="0" w:color="auto"/>
              </w:divBdr>
            </w:div>
          </w:divsChild>
        </w:div>
        <w:div w:id="1677342813">
          <w:marLeft w:val="0"/>
          <w:marRight w:val="0"/>
          <w:marTop w:val="0"/>
          <w:marBottom w:val="0"/>
          <w:divBdr>
            <w:top w:val="none" w:sz="0" w:space="0" w:color="auto"/>
            <w:left w:val="none" w:sz="0" w:space="0" w:color="auto"/>
            <w:bottom w:val="none" w:sz="0" w:space="0" w:color="auto"/>
            <w:right w:val="none" w:sz="0" w:space="0" w:color="auto"/>
          </w:divBdr>
          <w:divsChild>
            <w:div w:id="353699559">
              <w:marLeft w:val="0"/>
              <w:marRight w:val="0"/>
              <w:marTop w:val="0"/>
              <w:marBottom w:val="0"/>
              <w:divBdr>
                <w:top w:val="none" w:sz="0" w:space="0" w:color="auto"/>
                <w:left w:val="none" w:sz="0" w:space="0" w:color="auto"/>
                <w:bottom w:val="none" w:sz="0" w:space="0" w:color="auto"/>
                <w:right w:val="none" w:sz="0" w:space="0" w:color="auto"/>
              </w:divBdr>
            </w:div>
          </w:divsChild>
        </w:div>
        <w:div w:id="957875190">
          <w:marLeft w:val="0"/>
          <w:marRight w:val="0"/>
          <w:marTop w:val="0"/>
          <w:marBottom w:val="0"/>
          <w:divBdr>
            <w:top w:val="none" w:sz="0" w:space="0" w:color="auto"/>
            <w:left w:val="none" w:sz="0" w:space="0" w:color="auto"/>
            <w:bottom w:val="none" w:sz="0" w:space="0" w:color="auto"/>
            <w:right w:val="none" w:sz="0" w:space="0" w:color="auto"/>
          </w:divBdr>
          <w:divsChild>
            <w:div w:id="1473861112">
              <w:marLeft w:val="0"/>
              <w:marRight w:val="0"/>
              <w:marTop w:val="0"/>
              <w:marBottom w:val="0"/>
              <w:divBdr>
                <w:top w:val="none" w:sz="0" w:space="0" w:color="auto"/>
                <w:left w:val="none" w:sz="0" w:space="0" w:color="auto"/>
                <w:bottom w:val="none" w:sz="0" w:space="0" w:color="auto"/>
                <w:right w:val="none" w:sz="0" w:space="0" w:color="auto"/>
              </w:divBdr>
            </w:div>
          </w:divsChild>
        </w:div>
        <w:div w:id="760758875">
          <w:marLeft w:val="0"/>
          <w:marRight w:val="0"/>
          <w:marTop w:val="0"/>
          <w:marBottom w:val="0"/>
          <w:divBdr>
            <w:top w:val="none" w:sz="0" w:space="0" w:color="auto"/>
            <w:left w:val="none" w:sz="0" w:space="0" w:color="auto"/>
            <w:bottom w:val="none" w:sz="0" w:space="0" w:color="auto"/>
            <w:right w:val="none" w:sz="0" w:space="0" w:color="auto"/>
          </w:divBdr>
          <w:divsChild>
            <w:div w:id="1898542596">
              <w:marLeft w:val="0"/>
              <w:marRight w:val="0"/>
              <w:marTop w:val="0"/>
              <w:marBottom w:val="0"/>
              <w:divBdr>
                <w:top w:val="none" w:sz="0" w:space="0" w:color="auto"/>
                <w:left w:val="none" w:sz="0" w:space="0" w:color="auto"/>
                <w:bottom w:val="none" w:sz="0" w:space="0" w:color="auto"/>
                <w:right w:val="none" w:sz="0" w:space="0" w:color="auto"/>
              </w:divBdr>
            </w:div>
          </w:divsChild>
        </w:div>
        <w:div w:id="605621607">
          <w:marLeft w:val="0"/>
          <w:marRight w:val="0"/>
          <w:marTop w:val="0"/>
          <w:marBottom w:val="0"/>
          <w:divBdr>
            <w:top w:val="none" w:sz="0" w:space="0" w:color="auto"/>
            <w:left w:val="none" w:sz="0" w:space="0" w:color="auto"/>
            <w:bottom w:val="none" w:sz="0" w:space="0" w:color="auto"/>
            <w:right w:val="none" w:sz="0" w:space="0" w:color="auto"/>
          </w:divBdr>
          <w:divsChild>
            <w:div w:id="899174206">
              <w:marLeft w:val="0"/>
              <w:marRight w:val="0"/>
              <w:marTop w:val="0"/>
              <w:marBottom w:val="0"/>
              <w:divBdr>
                <w:top w:val="none" w:sz="0" w:space="0" w:color="auto"/>
                <w:left w:val="none" w:sz="0" w:space="0" w:color="auto"/>
                <w:bottom w:val="none" w:sz="0" w:space="0" w:color="auto"/>
                <w:right w:val="none" w:sz="0" w:space="0" w:color="auto"/>
              </w:divBdr>
            </w:div>
          </w:divsChild>
        </w:div>
        <w:div w:id="2129156602">
          <w:marLeft w:val="0"/>
          <w:marRight w:val="0"/>
          <w:marTop w:val="0"/>
          <w:marBottom w:val="0"/>
          <w:divBdr>
            <w:top w:val="none" w:sz="0" w:space="0" w:color="auto"/>
            <w:left w:val="none" w:sz="0" w:space="0" w:color="auto"/>
            <w:bottom w:val="none" w:sz="0" w:space="0" w:color="auto"/>
            <w:right w:val="none" w:sz="0" w:space="0" w:color="auto"/>
          </w:divBdr>
          <w:divsChild>
            <w:div w:id="742489474">
              <w:marLeft w:val="0"/>
              <w:marRight w:val="0"/>
              <w:marTop w:val="0"/>
              <w:marBottom w:val="0"/>
              <w:divBdr>
                <w:top w:val="none" w:sz="0" w:space="0" w:color="auto"/>
                <w:left w:val="none" w:sz="0" w:space="0" w:color="auto"/>
                <w:bottom w:val="none" w:sz="0" w:space="0" w:color="auto"/>
                <w:right w:val="none" w:sz="0" w:space="0" w:color="auto"/>
              </w:divBdr>
            </w:div>
          </w:divsChild>
        </w:div>
        <w:div w:id="471489">
          <w:marLeft w:val="0"/>
          <w:marRight w:val="0"/>
          <w:marTop w:val="0"/>
          <w:marBottom w:val="0"/>
          <w:divBdr>
            <w:top w:val="none" w:sz="0" w:space="0" w:color="auto"/>
            <w:left w:val="none" w:sz="0" w:space="0" w:color="auto"/>
            <w:bottom w:val="none" w:sz="0" w:space="0" w:color="auto"/>
            <w:right w:val="none" w:sz="0" w:space="0" w:color="auto"/>
          </w:divBdr>
          <w:divsChild>
            <w:div w:id="2104765817">
              <w:marLeft w:val="0"/>
              <w:marRight w:val="0"/>
              <w:marTop w:val="0"/>
              <w:marBottom w:val="0"/>
              <w:divBdr>
                <w:top w:val="none" w:sz="0" w:space="0" w:color="auto"/>
                <w:left w:val="none" w:sz="0" w:space="0" w:color="auto"/>
                <w:bottom w:val="none" w:sz="0" w:space="0" w:color="auto"/>
                <w:right w:val="none" w:sz="0" w:space="0" w:color="auto"/>
              </w:divBdr>
            </w:div>
          </w:divsChild>
        </w:div>
        <w:div w:id="265356092">
          <w:marLeft w:val="0"/>
          <w:marRight w:val="0"/>
          <w:marTop w:val="0"/>
          <w:marBottom w:val="0"/>
          <w:divBdr>
            <w:top w:val="none" w:sz="0" w:space="0" w:color="auto"/>
            <w:left w:val="none" w:sz="0" w:space="0" w:color="auto"/>
            <w:bottom w:val="none" w:sz="0" w:space="0" w:color="auto"/>
            <w:right w:val="none" w:sz="0" w:space="0" w:color="auto"/>
          </w:divBdr>
          <w:divsChild>
            <w:div w:id="1303534629">
              <w:marLeft w:val="0"/>
              <w:marRight w:val="0"/>
              <w:marTop w:val="0"/>
              <w:marBottom w:val="0"/>
              <w:divBdr>
                <w:top w:val="none" w:sz="0" w:space="0" w:color="auto"/>
                <w:left w:val="none" w:sz="0" w:space="0" w:color="auto"/>
                <w:bottom w:val="none" w:sz="0" w:space="0" w:color="auto"/>
                <w:right w:val="none" w:sz="0" w:space="0" w:color="auto"/>
              </w:divBdr>
            </w:div>
          </w:divsChild>
        </w:div>
        <w:div w:id="1539199787">
          <w:marLeft w:val="0"/>
          <w:marRight w:val="0"/>
          <w:marTop w:val="0"/>
          <w:marBottom w:val="0"/>
          <w:divBdr>
            <w:top w:val="none" w:sz="0" w:space="0" w:color="auto"/>
            <w:left w:val="none" w:sz="0" w:space="0" w:color="auto"/>
            <w:bottom w:val="none" w:sz="0" w:space="0" w:color="auto"/>
            <w:right w:val="none" w:sz="0" w:space="0" w:color="auto"/>
          </w:divBdr>
          <w:divsChild>
            <w:div w:id="534655235">
              <w:marLeft w:val="0"/>
              <w:marRight w:val="0"/>
              <w:marTop w:val="0"/>
              <w:marBottom w:val="0"/>
              <w:divBdr>
                <w:top w:val="none" w:sz="0" w:space="0" w:color="auto"/>
                <w:left w:val="none" w:sz="0" w:space="0" w:color="auto"/>
                <w:bottom w:val="none" w:sz="0" w:space="0" w:color="auto"/>
                <w:right w:val="none" w:sz="0" w:space="0" w:color="auto"/>
              </w:divBdr>
            </w:div>
          </w:divsChild>
        </w:div>
        <w:div w:id="1972706484">
          <w:marLeft w:val="0"/>
          <w:marRight w:val="0"/>
          <w:marTop w:val="0"/>
          <w:marBottom w:val="0"/>
          <w:divBdr>
            <w:top w:val="none" w:sz="0" w:space="0" w:color="auto"/>
            <w:left w:val="none" w:sz="0" w:space="0" w:color="auto"/>
            <w:bottom w:val="none" w:sz="0" w:space="0" w:color="auto"/>
            <w:right w:val="none" w:sz="0" w:space="0" w:color="auto"/>
          </w:divBdr>
          <w:divsChild>
            <w:div w:id="880284296">
              <w:marLeft w:val="0"/>
              <w:marRight w:val="0"/>
              <w:marTop w:val="0"/>
              <w:marBottom w:val="0"/>
              <w:divBdr>
                <w:top w:val="none" w:sz="0" w:space="0" w:color="auto"/>
                <w:left w:val="none" w:sz="0" w:space="0" w:color="auto"/>
                <w:bottom w:val="none" w:sz="0" w:space="0" w:color="auto"/>
                <w:right w:val="none" w:sz="0" w:space="0" w:color="auto"/>
              </w:divBdr>
            </w:div>
          </w:divsChild>
        </w:div>
        <w:div w:id="1240596894">
          <w:marLeft w:val="0"/>
          <w:marRight w:val="0"/>
          <w:marTop w:val="0"/>
          <w:marBottom w:val="0"/>
          <w:divBdr>
            <w:top w:val="none" w:sz="0" w:space="0" w:color="auto"/>
            <w:left w:val="none" w:sz="0" w:space="0" w:color="auto"/>
            <w:bottom w:val="none" w:sz="0" w:space="0" w:color="auto"/>
            <w:right w:val="none" w:sz="0" w:space="0" w:color="auto"/>
          </w:divBdr>
          <w:divsChild>
            <w:div w:id="942421214">
              <w:marLeft w:val="0"/>
              <w:marRight w:val="0"/>
              <w:marTop w:val="0"/>
              <w:marBottom w:val="0"/>
              <w:divBdr>
                <w:top w:val="none" w:sz="0" w:space="0" w:color="auto"/>
                <w:left w:val="none" w:sz="0" w:space="0" w:color="auto"/>
                <w:bottom w:val="none" w:sz="0" w:space="0" w:color="auto"/>
                <w:right w:val="none" w:sz="0" w:space="0" w:color="auto"/>
              </w:divBdr>
            </w:div>
          </w:divsChild>
        </w:div>
        <w:div w:id="181747683">
          <w:marLeft w:val="0"/>
          <w:marRight w:val="0"/>
          <w:marTop w:val="0"/>
          <w:marBottom w:val="0"/>
          <w:divBdr>
            <w:top w:val="none" w:sz="0" w:space="0" w:color="auto"/>
            <w:left w:val="none" w:sz="0" w:space="0" w:color="auto"/>
            <w:bottom w:val="none" w:sz="0" w:space="0" w:color="auto"/>
            <w:right w:val="none" w:sz="0" w:space="0" w:color="auto"/>
          </w:divBdr>
          <w:divsChild>
            <w:div w:id="410934459">
              <w:marLeft w:val="0"/>
              <w:marRight w:val="0"/>
              <w:marTop w:val="0"/>
              <w:marBottom w:val="0"/>
              <w:divBdr>
                <w:top w:val="none" w:sz="0" w:space="0" w:color="auto"/>
                <w:left w:val="none" w:sz="0" w:space="0" w:color="auto"/>
                <w:bottom w:val="none" w:sz="0" w:space="0" w:color="auto"/>
                <w:right w:val="none" w:sz="0" w:space="0" w:color="auto"/>
              </w:divBdr>
            </w:div>
          </w:divsChild>
        </w:div>
        <w:div w:id="2043087801">
          <w:marLeft w:val="0"/>
          <w:marRight w:val="0"/>
          <w:marTop w:val="0"/>
          <w:marBottom w:val="0"/>
          <w:divBdr>
            <w:top w:val="none" w:sz="0" w:space="0" w:color="auto"/>
            <w:left w:val="none" w:sz="0" w:space="0" w:color="auto"/>
            <w:bottom w:val="none" w:sz="0" w:space="0" w:color="auto"/>
            <w:right w:val="none" w:sz="0" w:space="0" w:color="auto"/>
          </w:divBdr>
          <w:divsChild>
            <w:div w:id="1960259774">
              <w:marLeft w:val="0"/>
              <w:marRight w:val="0"/>
              <w:marTop w:val="0"/>
              <w:marBottom w:val="0"/>
              <w:divBdr>
                <w:top w:val="none" w:sz="0" w:space="0" w:color="auto"/>
                <w:left w:val="none" w:sz="0" w:space="0" w:color="auto"/>
                <w:bottom w:val="none" w:sz="0" w:space="0" w:color="auto"/>
                <w:right w:val="none" w:sz="0" w:space="0" w:color="auto"/>
              </w:divBdr>
            </w:div>
          </w:divsChild>
        </w:div>
        <w:div w:id="703021639">
          <w:marLeft w:val="0"/>
          <w:marRight w:val="0"/>
          <w:marTop w:val="0"/>
          <w:marBottom w:val="0"/>
          <w:divBdr>
            <w:top w:val="none" w:sz="0" w:space="0" w:color="auto"/>
            <w:left w:val="none" w:sz="0" w:space="0" w:color="auto"/>
            <w:bottom w:val="none" w:sz="0" w:space="0" w:color="auto"/>
            <w:right w:val="none" w:sz="0" w:space="0" w:color="auto"/>
          </w:divBdr>
          <w:divsChild>
            <w:div w:id="1380593235">
              <w:marLeft w:val="0"/>
              <w:marRight w:val="0"/>
              <w:marTop w:val="0"/>
              <w:marBottom w:val="0"/>
              <w:divBdr>
                <w:top w:val="none" w:sz="0" w:space="0" w:color="auto"/>
                <w:left w:val="none" w:sz="0" w:space="0" w:color="auto"/>
                <w:bottom w:val="none" w:sz="0" w:space="0" w:color="auto"/>
                <w:right w:val="none" w:sz="0" w:space="0" w:color="auto"/>
              </w:divBdr>
            </w:div>
          </w:divsChild>
        </w:div>
        <w:div w:id="721056213">
          <w:marLeft w:val="0"/>
          <w:marRight w:val="0"/>
          <w:marTop w:val="0"/>
          <w:marBottom w:val="0"/>
          <w:divBdr>
            <w:top w:val="none" w:sz="0" w:space="0" w:color="auto"/>
            <w:left w:val="none" w:sz="0" w:space="0" w:color="auto"/>
            <w:bottom w:val="none" w:sz="0" w:space="0" w:color="auto"/>
            <w:right w:val="none" w:sz="0" w:space="0" w:color="auto"/>
          </w:divBdr>
          <w:divsChild>
            <w:div w:id="1141120160">
              <w:marLeft w:val="0"/>
              <w:marRight w:val="0"/>
              <w:marTop w:val="0"/>
              <w:marBottom w:val="0"/>
              <w:divBdr>
                <w:top w:val="none" w:sz="0" w:space="0" w:color="auto"/>
                <w:left w:val="none" w:sz="0" w:space="0" w:color="auto"/>
                <w:bottom w:val="none" w:sz="0" w:space="0" w:color="auto"/>
                <w:right w:val="none" w:sz="0" w:space="0" w:color="auto"/>
              </w:divBdr>
            </w:div>
          </w:divsChild>
        </w:div>
        <w:div w:id="1730960006">
          <w:marLeft w:val="0"/>
          <w:marRight w:val="0"/>
          <w:marTop w:val="0"/>
          <w:marBottom w:val="0"/>
          <w:divBdr>
            <w:top w:val="none" w:sz="0" w:space="0" w:color="auto"/>
            <w:left w:val="none" w:sz="0" w:space="0" w:color="auto"/>
            <w:bottom w:val="none" w:sz="0" w:space="0" w:color="auto"/>
            <w:right w:val="none" w:sz="0" w:space="0" w:color="auto"/>
          </w:divBdr>
          <w:divsChild>
            <w:div w:id="548803735">
              <w:marLeft w:val="0"/>
              <w:marRight w:val="0"/>
              <w:marTop w:val="0"/>
              <w:marBottom w:val="0"/>
              <w:divBdr>
                <w:top w:val="none" w:sz="0" w:space="0" w:color="auto"/>
                <w:left w:val="none" w:sz="0" w:space="0" w:color="auto"/>
                <w:bottom w:val="none" w:sz="0" w:space="0" w:color="auto"/>
                <w:right w:val="none" w:sz="0" w:space="0" w:color="auto"/>
              </w:divBdr>
            </w:div>
          </w:divsChild>
        </w:div>
        <w:div w:id="327247053">
          <w:marLeft w:val="0"/>
          <w:marRight w:val="0"/>
          <w:marTop w:val="0"/>
          <w:marBottom w:val="0"/>
          <w:divBdr>
            <w:top w:val="none" w:sz="0" w:space="0" w:color="auto"/>
            <w:left w:val="none" w:sz="0" w:space="0" w:color="auto"/>
            <w:bottom w:val="none" w:sz="0" w:space="0" w:color="auto"/>
            <w:right w:val="none" w:sz="0" w:space="0" w:color="auto"/>
          </w:divBdr>
          <w:divsChild>
            <w:div w:id="1651707712">
              <w:marLeft w:val="0"/>
              <w:marRight w:val="0"/>
              <w:marTop w:val="0"/>
              <w:marBottom w:val="0"/>
              <w:divBdr>
                <w:top w:val="none" w:sz="0" w:space="0" w:color="auto"/>
                <w:left w:val="none" w:sz="0" w:space="0" w:color="auto"/>
                <w:bottom w:val="none" w:sz="0" w:space="0" w:color="auto"/>
                <w:right w:val="none" w:sz="0" w:space="0" w:color="auto"/>
              </w:divBdr>
            </w:div>
          </w:divsChild>
        </w:div>
        <w:div w:id="1434783759">
          <w:marLeft w:val="0"/>
          <w:marRight w:val="0"/>
          <w:marTop w:val="0"/>
          <w:marBottom w:val="0"/>
          <w:divBdr>
            <w:top w:val="none" w:sz="0" w:space="0" w:color="auto"/>
            <w:left w:val="none" w:sz="0" w:space="0" w:color="auto"/>
            <w:bottom w:val="none" w:sz="0" w:space="0" w:color="auto"/>
            <w:right w:val="none" w:sz="0" w:space="0" w:color="auto"/>
          </w:divBdr>
          <w:divsChild>
            <w:div w:id="822506863">
              <w:marLeft w:val="0"/>
              <w:marRight w:val="0"/>
              <w:marTop w:val="0"/>
              <w:marBottom w:val="0"/>
              <w:divBdr>
                <w:top w:val="none" w:sz="0" w:space="0" w:color="auto"/>
                <w:left w:val="none" w:sz="0" w:space="0" w:color="auto"/>
                <w:bottom w:val="none" w:sz="0" w:space="0" w:color="auto"/>
                <w:right w:val="none" w:sz="0" w:space="0" w:color="auto"/>
              </w:divBdr>
            </w:div>
          </w:divsChild>
        </w:div>
        <w:div w:id="1483350015">
          <w:marLeft w:val="0"/>
          <w:marRight w:val="0"/>
          <w:marTop w:val="0"/>
          <w:marBottom w:val="0"/>
          <w:divBdr>
            <w:top w:val="none" w:sz="0" w:space="0" w:color="auto"/>
            <w:left w:val="none" w:sz="0" w:space="0" w:color="auto"/>
            <w:bottom w:val="none" w:sz="0" w:space="0" w:color="auto"/>
            <w:right w:val="none" w:sz="0" w:space="0" w:color="auto"/>
          </w:divBdr>
          <w:divsChild>
            <w:div w:id="404450000">
              <w:marLeft w:val="0"/>
              <w:marRight w:val="0"/>
              <w:marTop w:val="0"/>
              <w:marBottom w:val="0"/>
              <w:divBdr>
                <w:top w:val="none" w:sz="0" w:space="0" w:color="auto"/>
                <w:left w:val="none" w:sz="0" w:space="0" w:color="auto"/>
                <w:bottom w:val="none" w:sz="0" w:space="0" w:color="auto"/>
                <w:right w:val="none" w:sz="0" w:space="0" w:color="auto"/>
              </w:divBdr>
            </w:div>
          </w:divsChild>
        </w:div>
        <w:div w:id="408700244">
          <w:marLeft w:val="0"/>
          <w:marRight w:val="0"/>
          <w:marTop w:val="0"/>
          <w:marBottom w:val="0"/>
          <w:divBdr>
            <w:top w:val="none" w:sz="0" w:space="0" w:color="auto"/>
            <w:left w:val="none" w:sz="0" w:space="0" w:color="auto"/>
            <w:bottom w:val="none" w:sz="0" w:space="0" w:color="auto"/>
            <w:right w:val="none" w:sz="0" w:space="0" w:color="auto"/>
          </w:divBdr>
          <w:divsChild>
            <w:div w:id="2126078636">
              <w:marLeft w:val="0"/>
              <w:marRight w:val="0"/>
              <w:marTop w:val="0"/>
              <w:marBottom w:val="0"/>
              <w:divBdr>
                <w:top w:val="none" w:sz="0" w:space="0" w:color="auto"/>
                <w:left w:val="none" w:sz="0" w:space="0" w:color="auto"/>
                <w:bottom w:val="none" w:sz="0" w:space="0" w:color="auto"/>
                <w:right w:val="none" w:sz="0" w:space="0" w:color="auto"/>
              </w:divBdr>
            </w:div>
          </w:divsChild>
        </w:div>
        <w:div w:id="1802185388">
          <w:marLeft w:val="0"/>
          <w:marRight w:val="0"/>
          <w:marTop w:val="0"/>
          <w:marBottom w:val="0"/>
          <w:divBdr>
            <w:top w:val="none" w:sz="0" w:space="0" w:color="auto"/>
            <w:left w:val="none" w:sz="0" w:space="0" w:color="auto"/>
            <w:bottom w:val="none" w:sz="0" w:space="0" w:color="auto"/>
            <w:right w:val="none" w:sz="0" w:space="0" w:color="auto"/>
          </w:divBdr>
          <w:divsChild>
            <w:div w:id="1377583501">
              <w:marLeft w:val="0"/>
              <w:marRight w:val="0"/>
              <w:marTop w:val="0"/>
              <w:marBottom w:val="0"/>
              <w:divBdr>
                <w:top w:val="none" w:sz="0" w:space="0" w:color="auto"/>
                <w:left w:val="none" w:sz="0" w:space="0" w:color="auto"/>
                <w:bottom w:val="none" w:sz="0" w:space="0" w:color="auto"/>
                <w:right w:val="none" w:sz="0" w:space="0" w:color="auto"/>
              </w:divBdr>
            </w:div>
          </w:divsChild>
        </w:div>
        <w:div w:id="182792210">
          <w:marLeft w:val="0"/>
          <w:marRight w:val="0"/>
          <w:marTop w:val="0"/>
          <w:marBottom w:val="0"/>
          <w:divBdr>
            <w:top w:val="none" w:sz="0" w:space="0" w:color="auto"/>
            <w:left w:val="none" w:sz="0" w:space="0" w:color="auto"/>
            <w:bottom w:val="none" w:sz="0" w:space="0" w:color="auto"/>
            <w:right w:val="none" w:sz="0" w:space="0" w:color="auto"/>
          </w:divBdr>
          <w:divsChild>
            <w:div w:id="484324439">
              <w:marLeft w:val="0"/>
              <w:marRight w:val="0"/>
              <w:marTop w:val="0"/>
              <w:marBottom w:val="0"/>
              <w:divBdr>
                <w:top w:val="none" w:sz="0" w:space="0" w:color="auto"/>
                <w:left w:val="none" w:sz="0" w:space="0" w:color="auto"/>
                <w:bottom w:val="none" w:sz="0" w:space="0" w:color="auto"/>
                <w:right w:val="none" w:sz="0" w:space="0" w:color="auto"/>
              </w:divBdr>
            </w:div>
          </w:divsChild>
        </w:div>
        <w:div w:id="1288119112">
          <w:marLeft w:val="0"/>
          <w:marRight w:val="0"/>
          <w:marTop w:val="0"/>
          <w:marBottom w:val="0"/>
          <w:divBdr>
            <w:top w:val="none" w:sz="0" w:space="0" w:color="auto"/>
            <w:left w:val="none" w:sz="0" w:space="0" w:color="auto"/>
            <w:bottom w:val="none" w:sz="0" w:space="0" w:color="auto"/>
            <w:right w:val="none" w:sz="0" w:space="0" w:color="auto"/>
          </w:divBdr>
          <w:divsChild>
            <w:div w:id="933903193">
              <w:marLeft w:val="0"/>
              <w:marRight w:val="0"/>
              <w:marTop w:val="0"/>
              <w:marBottom w:val="0"/>
              <w:divBdr>
                <w:top w:val="none" w:sz="0" w:space="0" w:color="auto"/>
                <w:left w:val="none" w:sz="0" w:space="0" w:color="auto"/>
                <w:bottom w:val="none" w:sz="0" w:space="0" w:color="auto"/>
                <w:right w:val="none" w:sz="0" w:space="0" w:color="auto"/>
              </w:divBdr>
            </w:div>
          </w:divsChild>
        </w:div>
        <w:div w:id="59791731">
          <w:marLeft w:val="0"/>
          <w:marRight w:val="0"/>
          <w:marTop w:val="0"/>
          <w:marBottom w:val="0"/>
          <w:divBdr>
            <w:top w:val="none" w:sz="0" w:space="0" w:color="auto"/>
            <w:left w:val="none" w:sz="0" w:space="0" w:color="auto"/>
            <w:bottom w:val="none" w:sz="0" w:space="0" w:color="auto"/>
            <w:right w:val="none" w:sz="0" w:space="0" w:color="auto"/>
          </w:divBdr>
          <w:divsChild>
            <w:div w:id="129832805">
              <w:marLeft w:val="0"/>
              <w:marRight w:val="0"/>
              <w:marTop w:val="0"/>
              <w:marBottom w:val="0"/>
              <w:divBdr>
                <w:top w:val="none" w:sz="0" w:space="0" w:color="auto"/>
                <w:left w:val="none" w:sz="0" w:space="0" w:color="auto"/>
                <w:bottom w:val="none" w:sz="0" w:space="0" w:color="auto"/>
                <w:right w:val="none" w:sz="0" w:space="0" w:color="auto"/>
              </w:divBdr>
            </w:div>
          </w:divsChild>
        </w:div>
        <w:div w:id="710232233">
          <w:marLeft w:val="0"/>
          <w:marRight w:val="0"/>
          <w:marTop w:val="0"/>
          <w:marBottom w:val="0"/>
          <w:divBdr>
            <w:top w:val="none" w:sz="0" w:space="0" w:color="auto"/>
            <w:left w:val="none" w:sz="0" w:space="0" w:color="auto"/>
            <w:bottom w:val="none" w:sz="0" w:space="0" w:color="auto"/>
            <w:right w:val="none" w:sz="0" w:space="0" w:color="auto"/>
          </w:divBdr>
          <w:divsChild>
            <w:div w:id="639268376">
              <w:marLeft w:val="0"/>
              <w:marRight w:val="0"/>
              <w:marTop w:val="0"/>
              <w:marBottom w:val="0"/>
              <w:divBdr>
                <w:top w:val="none" w:sz="0" w:space="0" w:color="auto"/>
                <w:left w:val="none" w:sz="0" w:space="0" w:color="auto"/>
                <w:bottom w:val="none" w:sz="0" w:space="0" w:color="auto"/>
                <w:right w:val="none" w:sz="0" w:space="0" w:color="auto"/>
              </w:divBdr>
            </w:div>
          </w:divsChild>
        </w:div>
        <w:div w:id="38825508">
          <w:marLeft w:val="0"/>
          <w:marRight w:val="0"/>
          <w:marTop w:val="0"/>
          <w:marBottom w:val="0"/>
          <w:divBdr>
            <w:top w:val="none" w:sz="0" w:space="0" w:color="auto"/>
            <w:left w:val="none" w:sz="0" w:space="0" w:color="auto"/>
            <w:bottom w:val="none" w:sz="0" w:space="0" w:color="auto"/>
            <w:right w:val="none" w:sz="0" w:space="0" w:color="auto"/>
          </w:divBdr>
          <w:divsChild>
            <w:div w:id="184907868">
              <w:marLeft w:val="0"/>
              <w:marRight w:val="0"/>
              <w:marTop w:val="0"/>
              <w:marBottom w:val="0"/>
              <w:divBdr>
                <w:top w:val="none" w:sz="0" w:space="0" w:color="auto"/>
                <w:left w:val="none" w:sz="0" w:space="0" w:color="auto"/>
                <w:bottom w:val="none" w:sz="0" w:space="0" w:color="auto"/>
                <w:right w:val="none" w:sz="0" w:space="0" w:color="auto"/>
              </w:divBdr>
            </w:div>
          </w:divsChild>
        </w:div>
        <w:div w:id="1425804178">
          <w:marLeft w:val="0"/>
          <w:marRight w:val="0"/>
          <w:marTop w:val="0"/>
          <w:marBottom w:val="0"/>
          <w:divBdr>
            <w:top w:val="none" w:sz="0" w:space="0" w:color="auto"/>
            <w:left w:val="none" w:sz="0" w:space="0" w:color="auto"/>
            <w:bottom w:val="none" w:sz="0" w:space="0" w:color="auto"/>
            <w:right w:val="none" w:sz="0" w:space="0" w:color="auto"/>
          </w:divBdr>
          <w:divsChild>
            <w:div w:id="2055498411">
              <w:marLeft w:val="0"/>
              <w:marRight w:val="0"/>
              <w:marTop w:val="0"/>
              <w:marBottom w:val="0"/>
              <w:divBdr>
                <w:top w:val="none" w:sz="0" w:space="0" w:color="auto"/>
                <w:left w:val="none" w:sz="0" w:space="0" w:color="auto"/>
                <w:bottom w:val="none" w:sz="0" w:space="0" w:color="auto"/>
                <w:right w:val="none" w:sz="0" w:space="0" w:color="auto"/>
              </w:divBdr>
            </w:div>
          </w:divsChild>
        </w:div>
        <w:div w:id="1898591602">
          <w:marLeft w:val="0"/>
          <w:marRight w:val="0"/>
          <w:marTop w:val="0"/>
          <w:marBottom w:val="0"/>
          <w:divBdr>
            <w:top w:val="none" w:sz="0" w:space="0" w:color="auto"/>
            <w:left w:val="none" w:sz="0" w:space="0" w:color="auto"/>
            <w:bottom w:val="none" w:sz="0" w:space="0" w:color="auto"/>
            <w:right w:val="none" w:sz="0" w:space="0" w:color="auto"/>
          </w:divBdr>
          <w:divsChild>
            <w:div w:id="1969817917">
              <w:marLeft w:val="0"/>
              <w:marRight w:val="0"/>
              <w:marTop w:val="0"/>
              <w:marBottom w:val="0"/>
              <w:divBdr>
                <w:top w:val="none" w:sz="0" w:space="0" w:color="auto"/>
                <w:left w:val="none" w:sz="0" w:space="0" w:color="auto"/>
                <w:bottom w:val="none" w:sz="0" w:space="0" w:color="auto"/>
                <w:right w:val="none" w:sz="0" w:space="0" w:color="auto"/>
              </w:divBdr>
            </w:div>
          </w:divsChild>
        </w:div>
        <w:div w:id="634027613">
          <w:marLeft w:val="0"/>
          <w:marRight w:val="0"/>
          <w:marTop w:val="0"/>
          <w:marBottom w:val="0"/>
          <w:divBdr>
            <w:top w:val="none" w:sz="0" w:space="0" w:color="auto"/>
            <w:left w:val="none" w:sz="0" w:space="0" w:color="auto"/>
            <w:bottom w:val="none" w:sz="0" w:space="0" w:color="auto"/>
            <w:right w:val="none" w:sz="0" w:space="0" w:color="auto"/>
          </w:divBdr>
          <w:divsChild>
            <w:div w:id="1640066834">
              <w:marLeft w:val="0"/>
              <w:marRight w:val="0"/>
              <w:marTop w:val="0"/>
              <w:marBottom w:val="0"/>
              <w:divBdr>
                <w:top w:val="none" w:sz="0" w:space="0" w:color="auto"/>
                <w:left w:val="none" w:sz="0" w:space="0" w:color="auto"/>
                <w:bottom w:val="none" w:sz="0" w:space="0" w:color="auto"/>
                <w:right w:val="none" w:sz="0" w:space="0" w:color="auto"/>
              </w:divBdr>
            </w:div>
          </w:divsChild>
        </w:div>
        <w:div w:id="497815510">
          <w:marLeft w:val="0"/>
          <w:marRight w:val="0"/>
          <w:marTop w:val="0"/>
          <w:marBottom w:val="0"/>
          <w:divBdr>
            <w:top w:val="none" w:sz="0" w:space="0" w:color="auto"/>
            <w:left w:val="none" w:sz="0" w:space="0" w:color="auto"/>
            <w:bottom w:val="none" w:sz="0" w:space="0" w:color="auto"/>
            <w:right w:val="none" w:sz="0" w:space="0" w:color="auto"/>
          </w:divBdr>
          <w:divsChild>
            <w:div w:id="1704937294">
              <w:marLeft w:val="0"/>
              <w:marRight w:val="0"/>
              <w:marTop w:val="0"/>
              <w:marBottom w:val="0"/>
              <w:divBdr>
                <w:top w:val="none" w:sz="0" w:space="0" w:color="auto"/>
                <w:left w:val="none" w:sz="0" w:space="0" w:color="auto"/>
                <w:bottom w:val="none" w:sz="0" w:space="0" w:color="auto"/>
                <w:right w:val="none" w:sz="0" w:space="0" w:color="auto"/>
              </w:divBdr>
            </w:div>
          </w:divsChild>
        </w:div>
        <w:div w:id="1392459091">
          <w:marLeft w:val="0"/>
          <w:marRight w:val="0"/>
          <w:marTop w:val="0"/>
          <w:marBottom w:val="0"/>
          <w:divBdr>
            <w:top w:val="none" w:sz="0" w:space="0" w:color="auto"/>
            <w:left w:val="none" w:sz="0" w:space="0" w:color="auto"/>
            <w:bottom w:val="none" w:sz="0" w:space="0" w:color="auto"/>
            <w:right w:val="none" w:sz="0" w:space="0" w:color="auto"/>
          </w:divBdr>
          <w:divsChild>
            <w:div w:id="583808289">
              <w:marLeft w:val="0"/>
              <w:marRight w:val="0"/>
              <w:marTop w:val="0"/>
              <w:marBottom w:val="0"/>
              <w:divBdr>
                <w:top w:val="none" w:sz="0" w:space="0" w:color="auto"/>
                <w:left w:val="none" w:sz="0" w:space="0" w:color="auto"/>
                <w:bottom w:val="none" w:sz="0" w:space="0" w:color="auto"/>
                <w:right w:val="none" w:sz="0" w:space="0" w:color="auto"/>
              </w:divBdr>
            </w:div>
          </w:divsChild>
        </w:div>
        <w:div w:id="1324621297">
          <w:marLeft w:val="0"/>
          <w:marRight w:val="0"/>
          <w:marTop w:val="0"/>
          <w:marBottom w:val="0"/>
          <w:divBdr>
            <w:top w:val="none" w:sz="0" w:space="0" w:color="auto"/>
            <w:left w:val="none" w:sz="0" w:space="0" w:color="auto"/>
            <w:bottom w:val="none" w:sz="0" w:space="0" w:color="auto"/>
            <w:right w:val="none" w:sz="0" w:space="0" w:color="auto"/>
          </w:divBdr>
          <w:divsChild>
            <w:div w:id="1156650348">
              <w:marLeft w:val="0"/>
              <w:marRight w:val="0"/>
              <w:marTop w:val="0"/>
              <w:marBottom w:val="0"/>
              <w:divBdr>
                <w:top w:val="none" w:sz="0" w:space="0" w:color="auto"/>
                <w:left w:val="none" w:sz="0" w:space="0" w:color="auto"/>
                <w:bottom w:val="none" w:sz="0" w:space="0" w:color="auto"/>
                <w:right w:val="none" w:sz="0" w:space="0" w:color="auto"/>
              </w:divBdr>
            </w:div>
          </w:divsChild>
        </w:div>
        <w:div w:id="727925598">
          <w:marLeft w:val="0"/>
          <w:marRight w:val="0"/>
          <w:marTop w:val="0"/>
          <w:marBottom w:val="0"/>
          <w:divBdr>
            <w:top w:val="none" w:sz="0" w:space="0" w:color="auto"/>
            <w:left w:val="none" w:sz="0" w:space="0" w:color="auto"/>
            <w:bottom w:val="none" w:sz="0" w:space="0" w:color="auto"/>
            <w:right w:val="none" w:sz="0" w:space="0" w:color="auto"/>
          </w:divBdr>
          <w:divsChild>
            <w:div w:id="1171916825">
              <w:marLeft w:val="0"/>
              <w:marRight w:val="0"/>
              <w:marTop w:val="0"/>
              <w:marBottom w:val="0"/>
              <w:divBdr>
                <w:top w:val="none" w:sz="0" w:space="0" w:color="auto"/>
                <w:left w:val="none" w:sz="0" w:space="0" w:color="auto"/>
                <w:bottom w:val="none" w:sz="0" w:space="0" w:color="auto"/>
                <w:right w:val="none" w:sz="0" w:space="0" w:color="auto"/>
              </w:divBdr>
            </w:div>
          </w:divsChild>
        </w:div>
        <w:div w:id="1890221436">
          <w:marLeft w:val="0"/>
          <w:marRight w:val="0"/>
          <w:marTop w:val="0"/>
          <w:marBottom w:val="0"/>
          <w:divBdr>
            <w:top w:val="none" w:sz="0" w:space="0" w:color="auto"/>
            <w:left w:val="none" w:sz="0" w:space="0" w:color="auto"/>
            <w:bottom w:val="none" w:sz="0" w:space="0" w:color="auto"/>
            <w:right w:val="none" w:sz="0" w:space="0" w:color="auto"/>
          </w:divBdr>
          <w:divsChild>
            <w:div w:id="393819249">
              <w:marLeft w:val="0"/>
              <w:marRight w:val="0"/>
              <w:marTop w:val="0"/>
              <w:marBottom w:val="0"/>
              <w:divBdr>
                <w:top w:val="none" w:sz="0" w:space="0" w:color="auto"/>
                <w:left w:val="none" w:sz="0" w:space="0" w:color="auto"/>
                <w:bottom w:val="none" w:sz="0" w:space="0" w:color="auto"/>
                <w:right w:val="none" w:sz="0" w:space="0" w:color="auto"/>
              </w:divBdr>
            </w:div>
          </w:divsChild>
        </w:div>
        <w:div w:id="1876691433">
          <w:marLeft w:val="0"/>
          <w:marRight w:val="0"/>
          <w:marTop w:val="0"/>
          <w:marBottom w:val="0"/>
          <w:divBdr>
            <w:top w:val="none" w:sz="0" w:space="0" w:color="auto"/>
            <w:left w:val="none" w:sz="0" w:space="0" w:color="auto"/>
            <w:bottom w:val="none" w:sz="0" w:space="0" w:color="auto"/>
            <w:right w:val="none" w:sz="0" w:space="0" w:color="auto"/>
          </w:divBdr>
          <w:divsChild>
            <w:div w:id="1022780025">
              <w:marLeft w:val="0"/>
              <w:marRight w:val="0"/>
              <w:marTop w:val="0"/>
              <w:marBottom w:val="0"/>
              <w:divBdr>
                <w:top w:val="none" w:sz="0" w:space="0" w:color="auto"/>
                <w:left w:val="none" w:sz="0" w:space="0" w:color="auto"/>
                <w:bottom w:val="none" w:sz="0" w:space="0" w:color="auto"/>
                <w:right w:val="none" w:sz="0" w:space="0" w:color="auto"/>
              </w:divBdr>
            </w:div>
          </w:divsChild>
        </w:div>
        <w:div w:id="1168861869">
          <w:marLeft w:val="0"/>
          <w:marRight w:val="0"/>
          <w:marTop w:val="0"/>
          <w:marBottom w:val="0"/>
          <w:divBdr>
            <w:top w:val="none" w:sz="0" w:space="0" w:color="auto"/>
            <w:left w:val="none" w:sz="0" w:space="0" w:color="auto"/>
            <w:bottom w:val="none" w:sz="0" w:space="0" w:color="auto"/>
            <w:right w:val="none" w:sz="0" w:space="0" w:color="auto"/>
          </w:divBdr>
          <w:divsChild>
            <w:div w:id="666789513">
              <w:marLeft w:val="0"/>
              <w:marRight w:val="0"/>
              <w:marTop w:val="0"/>
              <w:marBottom w:val="0"/>
              <w:divBdr>
                <w:top w:val="none" w:sz="0" w:space="0" w:color="auto"/>
                <w:left w:val="none" w:sz="0" w:space="0" w:color="auto"/>
                <w:bottom w:val="none" w:sz="0" w:space="0" w:color="auto"/>
                <w:right w:val="none" w:sz="0" w:space="0" w:color="auto"/>
              </w:divBdr>
            </w:div>
          </w:divsChild>
        </w:div>
        <w:div w:id="204224065">
          <w:marLeft w:val="0"/>
          <w:marRight w:val="0"/>
          <w:marTop w:val="0"/>
          <w:marBottom w:val="0"/>
          <w:divBdr>
            <w:top w:val="none" w:sz="0" w:space="0" w:color="auto"/>
            <w:left w:val="none" w:sz="0" w:space="0" w:color="auto"/>
            <w:bottom w:val="none" w:sz="0" w:space="0" w:color="auto"/>
            <w:right w:val="none" w:sz="0" w:space="0" w:color="auto"/>
          </w:divBdr>
          <w:divsChild>
            <w:div w:id="71779290">
              <w:marLeft w:val="0"/>
              <w:marRight w:val="0"/>
              <w:marTop w:val="0"/>
              <w:marBottom w:val="0"/>
              <w:divBdr>
                <w:top w:val="none" w:sz="0" w:space="0" w:color="auto"/>
                <w:left w:val="none" w:sz="0" w:space="0" w:color="auto"/>
                <w:bottom w:val="none" w:sz="0" w:space="0" w:color="auto"/>
                <w:right w:val="none" w:sz="0" w:space="0" w:color="auto"/>
              </w:divBdr>
            </w:div>
          </w:divsChild>
        </w:div>
        <w:div w:id="1963464288">
          <w:marLeft w:val="0"/>
          <w:marRight w:val="0"/>
          <w:marTop w:val="0"/>
          <w:marBottom w:val="0"/>
          <w:divBdr>
            <w:top w:val="none" w:sz="0" w:space="0" w:color="auto"/>
            <w:left w:val="none" w:sz="0" w:space="0" w:color="auto"/>
            <w:bottom w:val="none" w:sz="0" w:space="0" w:color="auto"/>
            <w:right w:val="none" w:sz="0" w:space="0" w:color="auto"/>
          </w:divBdr>
          <w:divsChild>
            <w:div w:id="1941833288">
              <w:marLeft w:val="0"/>
              <w:marRight w:val="0"/>
              <w:marTop w:val="0"/>
              <w:marBottom w:val="0"/>
              <w:divBdr>
                <w:top w:val="none" w:sz="0" w:space="0" w:color="auto"/>
                <w:left w:val="none" w:sz="0" w:space="0" w:color="auto"/>
                <w:bottom w:val="none" w:sz="0" w:space="0" w:color="auto"/>
                <w:right w:val="none" w:sz="0" w:space="0" w:color="auto"/>
              </w:divBdr>
            </w:div>
          </w:divsChild>
        </w:div>
        <w:div w:id="743457376">
          <w:marLeft w:val="0"/>
          <w:marRight w:val="0"/>
          <w:marTop w:val="0"/>
          <w:marBottom w:val="0"/>
          <w:divBdr>
            <w:top w:val="none" w:sz="0" w:space="0" w:color="auto"/>
            <w:left w:val="none" w:sz="0" w:space="0" w:color="auto"/>
            <w:bottom w:val="none" w:sz="0" w:space="0" w:color="auto"/>
            <w:right w:val="none" w:sz="0" w:space="0" w:color="auto"/>
          </w:divBdr>
          <w:divsChild>
            <w:div w:id="1894731793">
              <w:marLeft w:val="0"/>
              <w:marRight w:val="0"/>
              <w:marTop w:val="0"/>
              <w:marBottom w:val="0"/>
              <w:divBdr>
                <w:top w:val="none" w:sz="0" w:space="0" w:color="auto"/>
                <w:left w:val="none" w:sz="0" w:space="0" w:color="auto"/>
                <w:bottom w:val="none" w:sz="0" w:space="0" w:color="auto"/>
                <w:right w:val="none" w:sz="0" w:space="0" w:color="auto"/>
              </w:divBdr>
            </w:div>
          </w:divsChild>
        </w:div>
        <w:div w:id="253637559">
          <w:marLeft w:val="0"/>
          <w:marRight w:val="0"/>
          <w:marTop w:val="0"/>
          <w:marBottom w:val="0"/>
          <w:divBdr>
            <w:top w:val="none" w:sz="0" w:space="0" w:color="auto"/>
            <w:left w:val="none" w:sz="0" w:space="0" w:color="auto"/>
            <w:bottom w:val="none" w:sz="0" w:space="0" w:color="auto"/>
            <w:right w:val="none" w:sz="0" w:space="0" w:color="auto"/>
          </w:divBdr>
          <w:divsChild>
            <w:div w:id="1987779366">
              <w:marLeft w:val="0"/>
              <w:marRight w:val="0"/>
              <w:marTop w:val="0"/>
              <w:marBottom w:val="0"/>
              <w:divBdr>
                <w:top w:val="none" w:sz="0" w:space="0" w:color="auto"/>
                <w:left w:val="none" w:sz="0" w:space="0" w:color="auto"/>
                <w:bottom w:val="none" w:sz="0" w:space="0" w:color="auto"/>
                <w:right w:val="none" w:sz="0" w:space="0" w:color="auto"/>
              </w:divBdr>
            </w:div>
          </w:divsChild>
        </w:div>
        <w:div w:id="309526851">
          <w:marLeft w:val="0"/>
          <w:marRight w:val="0"/>
          <w:marTop w:val="0"/>
          <w:marBottom w:val="0"/>
          <w:divBdr>
            <w:top w:val="none" w:sz="0" w:space="0" w:color="auto"/>
            <w:left w:val="none" w:sz="0" w:space="0" w:color="auto"/>
            <w:bottom w:val="none" w:sz="0" w:space="0" w:color="auto"/>
            <w:right w:val="none" w:sz="0" w:space="0" w:color="auto"/>
          </w:divBdr>
          <w:divsChild>
            <w:div w:id="140537607">
              <w:marLeft w:val="0"/>
              <w:marRight w:val="0"/>
              <w:marTop w:val="0"/>
              <w:marBottom w:val="0"/>
              <w:divBdr>
                <w:top w:val="none" w:sz="0" w:space="0" w:color="auto"/>
                <w:left w:val="none" w:sz="0" w:space="0" w:color="auto"/>
                <w:bottom w:val="none" w:sz="0" w:space="0" w:color="auto"/>
                <w:right w:val="none" w:sz="0" w:space="0" w:color="auto"/>
              </w:divBdr>
            </w:div>
          </w:divsChild>
        </w:div>
        <w:div w:id="1885671330">
          <w:marLeft w:val="0"/>
          <w:marRight w:val="0"/>
          <w:marTop w:val="0"/>
          <w:marBottom w:val="0"/>
          <w:divBdr>
            <w:top w:val="none" w:sz="0" w:space="0" w:color="auto"/>
            <w:left w:val="none" w:sz="0" w:space="0" w:color="auto"/>
            <w:bottom w:val="none" w:sz="0" w:space="0" w:color="auto"/>
            <w:right w:val="none" w:sz="0" w:space="0" w:color="auto"/>
          </w:divBdr>
          <w:divsChild>
            <w:div w:id="1866165559">
              <w:marLeft w:val="0"/>
              <w:marRight w:val="0"/>
              <w:marTop w:val="0"/>
              <w:marBottom w:val="0"/>
              <w:divBdr>
                <w:top w:val="none" w:sz="0" w:space="0" w:color="auto"/>
                <w:left w:val="none" w:sz="0" w:space="0" w:color="auto"/>
                <w:bottom w:val="none" w:sz="0" w:space="0" w:color="auto"/>
                <w:right w:val="none" w:sz="0" w:space="0" w:color="auto"/>
              </w:divBdr>
            </w:div>
          </w:divsChild>
        </w:div>
        <w:div w:id="2129739230">
          <w:marLeft w:val="0"/>
          <w:marRight w:val="0"/>
          <w:marTop w:val="0"/>
          <w:marBottom w:val="0"/>
          <w:divBdr>
            <w:top w:val="none" w:sz="0" w:space="0" w:color="auto"/>
            <w:left w:val="none" w:sz="0" w:space="0" w:color="auto"/>
            <w:bottom w:val="none" w:sz="0" w:space="0" w:color="auto"/>
            <w:right w:val="none" w:sz="0" w:space="0" w:color="auto"/>
          </w:divBdr>
          <w:divsChild>
            <w:div w:id="1283075989">
              <w:marLeft w:val="0"/>
              <w:marRight w:val="0"/>
              <w:marTop w:val="0"/>
              <w:marBottom w:val="0"/>
              <w:divBdr>
                <w:top w:val="none" w:sz="0" w:space="0" w:color="auto"/>
                <w:left w:val="none" w:sz="0" w:space="0" w:color="auto"/>
                <w:bottom w:val="none" w:sz="0" w:space="0" w:color="auto"/>
                <w:right w:val="none" w:sz="0" w:space="0" w:color="auto"/>
              </w:divBdr>
            </w:div>
          </w:divsChild>
        </w:div>
        <w:div w:id="1926260829">
          <w:marLeft w:val="0"/>
          <w:marRight w:val="0"/>
          <w:marTop w:val="0"/>
          <w:marBottom w:val="0"/>
          <w:divBdr>
            <w:top w:val="none" w:sz="0" w:space="0" w:color="auto"/>
            <w:left w:val="none" w:sz="0" w:space="0" w:color="auto"/>
            <w:bottom w:val="none" w:sz="0" w:space="0" w:color="auto"/>
            <w:right w:val="none" w:sz="0" w:space="0" w:color="auto"/>
          </w:divBdr>
          <w:divsChild>
            <w:div w:id="60102984">
              <w:marLeft w:val="0"/>
              <w:marRight w:val="0"/>
              <w:marTop w:val="0"/>
              <w:marBottom w:val="0"/>
              <w:divBdr>
                <w:top w:val="none" w:sz="0" w:space="0" w:color="auto"/>
                <w:left w:val="none" w:sz="0" w:space="0" w:color="auto"/>
                <w:bottom w:val="none" w:sz="0" w:space="0" w:color="auto"/>
                <w:right w:val="none" w:sz="0" w:space="0" w:color="auto"/>
              </w:divBdr>
            </w:div>
          </w:divsChild>
        </w:div>
        <w:div w:id="593516345">
          <w:marLeft w:val="0"/>
          <w:marRight w:val="0"/>
          <w:marTop w:val="0"/>
          <w:marBottom w:val="0"/>
          <w:divBdr>
            <w:top w:val="none" w:sz="0" w:space="0" w:color="auto"/>
            <w:left w:val="none" w:sz="0" w:space="0" w:color="auto"/>
            <w:bottom w:val="none" w:sz="0" w:space="0" w:color="auto"/>
            <w:right w:val="none" w:sz="0" w:space="0" w:color="auto"/>
          </w:divBdr>
          <w:divsChild>
            <w:div w:id="1495104118">
              <w:marLeft w:val="0"/>
              <w:marRight w:val="0"/>
              <w:marTop w:val="0"/>
              <w:marBottom w:val="0"/>
              <w:divBdr>
                <w:top w:val="none" w:sz="0" w:space="0" w:color="auto"/>
                <w:left w:val="none" w:sz="0" w:space="0" w:color="auto"/>
                <w:bottom w:val="none" w:sz="0" w:space="0" w:color="auto"/>
                <w:right w:val="none" w:sz="0" w:space="0" w:color="auto"/>
              </w:divBdr>
            </w:div>
          </w:divsChild>
        </w:div>
        <w:div w:id="1993941706">
          <w:marLeft w:val="0"/>
          <w:marRight w:val="0"/>
          <w:marTop w:val="0"/>
          <w:marBottom w:val="0"/>
          <w:divBdr>
            <w:top w:val="none" w:sz="0" w:space="0" w:color="auto"/>
            <w:left w:val="none" w:sz="0" w:space="0" w:color="auto"/>
            <w:bottom w:val="none" w:sz="0" w:space="0" w:color="auto"/>
            <w:right w:val="none" w:sz="0" w:space="0" w:color="auto"/>
          </w:divBdr>
          <w:divsChild>
            <w:div w:id="1340623273">
              <w:marLeft w:val="0"/>
              <w:marRight w:val="0"/>
              <w:marTop w:val="0"/>
              <w:marBottom w:val="0"/>
              <w:divBdr>
                <w:top w:val="none" w:sz="0" w:space="0" w:color="auto"/>
                <w:left w:val="none" w:sz="0" w:space="0" w:color="auto"/>
                <w:bottom w:val="none" w:sz="0" w:space="0" w:color="auto"/>
                <w:right w:val="none" w:sz="0" w:space="0" w:color="auto"/>
              </w:divBdr>
            </w:div>
          </w:divsChild>
        </w:div>
        <w:div w:id="1642423403">
          <w:marLeft w:val="0"/>
          <w:marRight w:val="0"/>
          <w:marTop w:val="0"/>
          <w:marBottom w:val="0"/>
          <w:divBdr>
            <w:top w:val="none" w:sz="0" w:space="0" w:color="auto"/>
            <w:left w:val="none" w:sz="0" w:space="0" w:color="auto"/>
            <w:bottom w:val="none" w:sz="0" w:space="0" w:color="auto"/>
            <w:right w:val="none" w:sz="0" w:space="0" w:color="auto"/>
          </w:divBdr>
          <w:divsChild>
            <w:div w:id="810100321">
              <w:marLeft w:val="0"/>
              <w:marRight w:val="0"/>
              <w:marTop w:val="0"/>
              <w:marBottom w:val="0"/>
              <w:divBdr>
                <w:top w:val="none" w:sz="0" w:space="0" w:color="auto"/>
                <w:left w:val="none" w:sz="0" w:space="0" w:color="auto"/>
                <w:bottom w:val="none" w:sz="0" w:space="0" w:color="auto"/>
                <w:right w:val="none" w:sz="0" w:space="0" w:color="auto"/>
              </w:divBdr>
            </w:div>
          </w:divsChild>
        </w:div>
        <w:div w:id="767696129">
          <w:marLeft w:val="0"/>
          <w:marRight w:val="0"/>
          <w:marTop w:val="0"/>
          <w:marBottom w:val="0"/>
          <w:divBdr>
            <w:top w:val="none" w:sz="0" w:space="0" w:color="auto"/>
            <w:left w:val="none" w:sz="0" w:space="0" w:color="auto"/>
            <w:bottom w:val="none" w:sz="0" w:space="0" w:color="auto"/>
            <w:right w:val="none" w:sz="0" w:space="0" w:color="auto"/>
          </w:divBdr>
          <w:divsChild>
            <w:div w:id="155850668">
              <w:marLeft w:val="0"/>
              <w:marRight w:val="0"/>
              <w:marTop w:val="0"/>
              <w:marBottom w:val="0"/>
              <w:divBdr>
                <w:top w:val="none" w:sz="0" w:space="0" w:color="auto"/>
                <w:left w:val="none" w:sz="0" w:space="0" w:color="auto"/>
                <w:bottom w:val="none" w:sz="0" w:space="0" w:color="auto"/>
                <w:right w:val="none" w:sz="0" w:space="0" w:color="auto"/>
              </w:divBdr>
            </w:div>
          </w:divsChild>
        </w:div>
        <w:div w:id="743064227">
          <w:marLeft w:val="0"/>
          <w:marRight w:val="0"/>
          <w:marTop w:val="0"/>
          <w:marBottom w:val="0"/>
          <w:divBdr>
            <w:top w:val="none" w:sz="0" w:space="0" w:color="auto"/>
            <w:left w:val="none" w:sz="0" w:space="0" w:color="auto"/>
            <w:bottom w:val="none" w:sz="0" w:space="0" w:color="auto"/>
            <w:right w:val="none" w:sz="0" w:space="0" w:color="auto"/>
          </w:divBdr>
          <w:divsChild>
            <w:div w:id="1275401502">
              <w:marLeft w:val="0"/>
              <w:marRight w:val="0"/>
              <w:marTop w:val="0"/>
              <w:marBottom w:val="0"/>
              <w:divBdr>
                <w:top w:val="none" w:sz="0" w:space="0" w:color="auto"/>
                <w:left w:val="none" w:sz="0" w:space="0" w:color="auto"/>
                <w:bottom w:val="none" w:sz="0" w:space="0" w:color="auto"/>
                <w:right w:val="none" w:sz="0" w:space="0" w:color="auto"/>
              </w:divBdr>
            </w:div>
          </w:divsChild>
        </w:div>
        <w:div w:id="1235579735">
          <w:marLeft w:val="0"/>
          <w:marRight w:val="0"/>
          <w:marTop w:val="0"/>
          <w:marBottom w:val="0"/>
          <w:divBdr>
            <w:top w:val="none" w:sz="0" w:space="0" w:color="auto"/>
            <w:left w:val="none" w:sz="0" w:space="0" w:color="auto"/>
            <w:bottom w:val="none" w:sz="0" w:space="0" w:color="auto"/>
            <w:right w:val="none" w:sz="0" w:space="0" w:color="auto"/>
          </w:divBdr>
          <w:divsChild>
            <w:div w:id="2083673246">
              <w:marLeft w:val="0"/>
              <w:marRight w:val="0"/>
              <w:marTop w:val="0"/>
              <w:marBottom w:val="0"/>
              <w:divBdr>
                <w:top w:val="none" w:sz="0" w:space="0" w:color="auto"/>
                <w:left w:val="none" w:sz="0" w:space="0" w:color="auto"/>
                <w:bottom w:val="none" w:sz="0" w:space="0" w:color="auto"/>
                <w:right w:val="none" w:sz="0" w:space="0" w:color="auto"/>
              </w:divBdr>
            </w:div>
          </w:divsChild>
        </w:div>
        <w:div w:id="731583323">
          <w:marLeft w:val="0"/>
          <w:marRight w:val="0"/>
          <w:marTop w:val="0"/>
          <w:marBottom w:val="0"/>
          <w:divBdr>
            <w:top w:val="none" w:sz="0" w:space="0" w:color="auto"/>
            <w:left w:val="none" w:sz="0" w:space="0" w:color="auto"/>
            <w:bottom w:val="none" w:sz="0" w:space="0" w:color="auto"/>
            <w:right w:val="none" w:sz="0" w:space="0" w:color="auto"/>
          </w:divBdr>
          <w:divsChild>
            <w:div w:id="132992981">
              <w:marLeft w:val="0"/>
              <w:marRight w:val="0"/>
              <w:marTop w:val="0"/>
              <w:marBottom w:val="0"/>
              <w:divBdr>
                <w:top w:val="none" w:sz="0" w:space="0" w:color="auto"/>
                <w:left w:val="none" w:sz="0" w:space="0" w:color="auto"/>
                <w:bottom w:val="none" w:sz="0" w:space="0" w:color="auto"/>
                <w:right w:val="none" w:sz="0" w:space="0" w:color="auto"/>
              </w:divBdr>
            </w:div>
          </w:divsChild>
        </w:div>
        <w:div w:id="334960214">
          <w:marLeft w:val="0"/>
          <w:marRight w:val="0"/>
          <w:marTop w:val="0"/>
          <w:marBottom w:val="0"/>
          <w:divBdr>
            <w:top w:val="none" w:sz="0" w:space="0" w:color="auto"/>
            <w:left w:val="none" w:sz="0" w:space="0" w:color="auto"/>
            <w:bottom w:val="none" w:sz="0" w:space="0" w:color="auto"/>
            <w:right w:val="none" w:sz="0" w:space="0" w:color="auto"/>
          </w:divBdr>
          <w:divsChild>
            <w:div w:id="230508776">
              <w:marLeft w:val="0"/>
              <w:marRight w:val="0"/>
              <w:marTop w:val="0"/>
              <w:marBottom w:val="0"/>
              <w:divBdr>
                <w:top w:val="none" w:sz="0" w:space="0" w:color="auto"/>
                <w:left w:val="none" w:sz="0" w:space="0" w:color="auto"/>
                <w:bottom w:val="none" w:sz="0" w:space="0" w:color="auto"/>
                <w:right w:val="none" w:sz="0" w:space="0" w:color="auto"/>
              </w:divBdr>
            </w:div>
          </w:divsChild>
        </w:div>
        <w:div w:id="758333537">
          <w:marLeft w:val="0"/>
          <w:marRight w:val="0"/>
          <w:marTop w:val="0"/>
          <w:marBottom w:val="0"/>
          <w:divBdr>
            <w:top w:val="none" w:sz="0" w:space="0" w:color="auto"/>
            <w:left w:val="none" w:sz="0" w:space="0" w:color="auto"/>
            <w:bottom w:val="none" w:sz="0" w:space="0" w:color="auto"/>
            <w:right w:val="none" w:sz="0" w:space="0" w:color="auto"/>
          </w:divBdr>
          <w:divsChild>
            <w:div w:id="1682511418">
              <w:marLeft w:val="0"/>
              <w:marRight w:val="0"/>
              <w:marTop w:val="0"/>
              <w:marBottom w:val="0"/>
              <w:divBdr>
                <w:top w:val="none" w:sz="0" w:space="0" w:color="auto"/>
                <w:left w:val="none" w:sz="0" w:space="0" w:color="auto"/>
                <w:bottom w:val="none" w:sz="0" w:space="0" w:color="auto"/>
                <w:right w:val="none" w:sz="0" w:space="0" w:color="auto"/>
              </w:divBdr>
            </w:div>
          </w:divsChild>
        </w:div>
        <w:div w:id="458383139">
          <w:marLeft w:val="0"/>
          <w:marRight w:val="0"/>
          <w:marTop w:val="0"/>
          <w:marBottom w:val="0"/>
          <w:divBdr>
            <w:top w:val="none" w:sz="0" w:space="0" w:color="auto"/>
            <w:left w:val="none" w:sz="0" w:space="0" w:color="auto"/>
            <w:bottom w:val="none" w:sz="0" w:space="0" w:color="auto"/>
            <w:right w:val="none" w:sz="0" w:space="0" w:color="auto"/>
          </w:divBdr>
          <w:divsChild>
            <w:div w:id="1660963779">
              <w:marLeft w:val="0"/>
              <w:marRight w:val="0"/>
              <w:marTop w:val="0"/>
              <w:marBottom w:val="0"/>
              <w:divBdr>
                <w:top w:val="none" w:sz="0" w:space="0" w:color="auto"/>
                <w:left w:val="none" w:sz="0" w:space="0" w:color="auto"/>
                <w:bottom w:val="none" w:sz="0" w:space="0" w:color="auto"/>
                <w:right w:val="none" w:sz="0" w:space="0" w:color="auto"/>
              </w:divBdr>
            </w:div>
          </w:divsChild>
        </w:div>
        <w:div w:id="2106920320">
          <w:marLeft w:val="0"/>
          <w:marRight w:val="0"/>
          <w:marTop w:val="0"/>
          <w:marBottom w:val="0"/>
          <w:divBdr>
            <w:top w:val="none" w:sz="0" w:space="0" w:color="auto"/>
            <w:left w:val="none" w:sz="0" w:space="0" w:color="auto"/>
            <w:bottom w:val="none" w:sz="0" w:space="0" w:color="auto"/>
            <w:right w:val="none" w:sz="0" w:space="0" w:color="auto"/>
          </w:divBdr>
          <w:divsChild>
            <w:div w:id="1776366799">
              <w:marLeft w:val="0"/>
              <w:marRight w:val="0"/>
              <w:marTop w:val="0"/>
              <w:marBottom w:val="0"/>
              <w:divBdr>
                <w:top w:val="none" w:sz="0" w:space="0" w:color="auto"/>
                <w:left w:val="none" w:sz="0" w:space="0" w:color="auto"/>
                <w:bottom w:val="none" w:sz="0" w:space="0" w:color="auto"/>
                <w:right w:val="none" w:sz="0" w:space="0" w:color="auto"/>
              </w:divBdr>
            </w:div>
          </w:divsChild>
        </w:div>
        <w:div w:id="2007856908">
          <w:marLeft w:val="0"/>
          <w:marRight w:val="0"/>
          <w:marTop w:val="0"/>
          <w:marBottom w:val="0"/>
          <w:divBdr>
            <w:top w:val="none" w:sz="0" w:space="0" w:color="auto"/>
            <w:left w:val="none" w:sz="0" w:space="0" w:color="auto"/>
            <w:bottom w:val="none" w:sz="0" w:space="0" w:color="auto"/>
            <w:right w:val="none" w:sz="0" w:space="0" w:color="auto"/>
          </w:divBdr>
          <w:divsChild>
            <w:div w:id="1780291382">
              <w:marLeft w:val="0"/>
              <w:marRight w:val="0"/>
              <w:marTop w:val="0"/>
              <w:marBottom w:val="0"/>
              <w:divBdr>
                <w:top w:val="none" w:sz="0" w:space="0" w:color="auto"/>
                <w:left w:val="none" w:sz="0" w:space="0" w:color="auto"/>
                <w:bottom w:val="none" w:sz="0" w:space="0" w:color="auto"/>
                <w:right w:val="none" w:sz="0" w:space="0" w:color="auto"/>
              </w:divBdr>
            </w:div>
          </w:divsChild>
        </w:div>
        <w:div w:id="798840430">
          <w:marLeft w:val="0"/>
          <w:marRight w:val="0"/>
          <w:marTop w:val="0"/>
          <w:marBottom w:val="0"/>
          <w:divBdr>
            <w:top w:val="none" w:sz="0" w:space="0" w:color="auto"/>
            <w:left w:val="none" w:sz="0" w:space="0" w:color="auto"/>
            <w:bottom w:val="none" w:sz="0" w:space="0" w:color="auto"/>
            <w:right w:val="none" w:sz="0" w:space="0" w:color="auto"/>
          </w:divBdr>
          <w:divsChild>
            <w:div w:id="1137335250">
              <w:marLeft w:val="0"/>
              <w:marRight w:val="0"/>
              <w:marTop w:val="0"/>
              <w:marBottom w:val="0"/>
              <w:divBdr>
                <w:top w:val="none" w:sz="0" w:space="0" w:color="auto"/>
                <w:left w:val="none" w:sz="0" w:space="0" w:color="auto"/>
                <w:bottom w:val="none" w:sz="0" w:space="0" w:color="auto"/>
                <w:right w:val="none" w:sz="0" w:space="0" w:color="auto"/>
              </w:divBdr>
            </w:div>
          </w:divsChild>
        </w:div>
        <w:div w:id="2052993064">
          <w:marLeft w:val="0"/>
          <w:marRight w:val="0"/>
          <w:marTop w:val="0"/>
          <w:marBottom w:val="0"/>
          <w:divBdr>
            <w:top w:val="none" w:sz="0" w:space="0" w:color="auto"/>
            <w:left w:val="none" w:sz="0" w:space="0" w:color="auto"/>
            <w:bottom w:val="none" w:sz="0" w:space="0" w:color="auto"/>
            <w:right w:val="none" w:sz="0" w:space="0" w:color="auto"/>
          </w:divBdr>
          <w:divsChild>
            <w:div w:id="1622880392">
              <w:marLeft w:val="0"/>
              <w:marRight w:val="0"/>
              <w:marTop w:val="0"/>
              <w:marBottom w:val="0"/>
              <w:divBdr>
                <w:top w:val="none" w:sz="0" w:space="0" w:color="auto"/>
                <w:left w:val="none" w:sz="0" w:space="0" w:color="auto"/>
                <w:bottom w:val="none" w:sz="0" w:space="0" w:color="auto"/>
                <w:right w:val="none" w:sz="0" w:space="0" w:color="auto"/>
              </w:divBdr>
            </w:div>
          </w:divsChild>
        </w:div>
        <w:div w:id="120460046">
          <w:marLeft w:val="0"/>
          <w:marRight w:val="0"/>
          <w:marTop w:val="0"/>
          <w:marBottom w:val="0"/>
          <w:divBdr>
            <w:top w:val="none" w:sz="0" w:space="0" w:color="auto"/>
            <w:left w:val="none" w:sz="0" w:space="0" w:color="auto"/>
            <w:bottom w:val="none" w:sz="0" w:space="0" w:color="auto"/>
            <w:right w:val="none" w:sz="0" w:space="0" w:color="auto"/>
          </w:divBdr>
          <w:divsChild>
            <w:div w:id="125902944">
              <w:marLeft w:val="0"/>
              <w:marRight w:val="0"/>
              <w:marTop w:val="0"/>
              <w:marBottom w:val="0"/>
              <w:divBdr>
                <w:top w:val="none" w:sz="0" w:space="0" w:color="auto"/>
                <w:left w:val="none" w:sz="0" w:space="0" w:color="auto"/>
                <w:bottom w:val="none" w:sz="0" w:space="0" w:color="auto"/>
                <w:right w:val="none" w:sz="0" w:space="0" w:color="auto"/>
              </w:divBdr>
            </w:div>
          </w:divsChild>
        </w:div>
        <w:div w:id="1122728063">
          <w:marLeft w:val="0"/>
          <w:marRight w:val="0"/>
          <w:marTop w:val="0"/>
          <w:marBottom w:val="0"/>
          <w:divBdr>
            <w:top w:val="none" w:sz="0" w:space="0" w:color="auto"/>
            <w:left w:val="none" w:sz="0" w:space="0" w:color="auto"/>
            <w:bottom w:val="none" w:sz="0" w:space="0" w:color="auto"/>
            <w:right w:val="none" w:sz="0" w:space="0" w:color="auto"/>
          </w:divBdr>
          <w:divsChild>
            <w:div w:id="268971827">
              <w:marLeft w:val="0"/>
              <w:marRight w:val="0"/>
              <w:marTop w:val="0"/>
              <w:marBottom w:val="0"/>
              <w:divBdr>
                <w:top w:val="none" w:sz="0" w:space="0" w:color="auto"/>
                <w:left w:val="none" w:sz="0" w:space="0" w:color="auto"/>
                <w:bottom w:val="none" w:sz="0" w:space="0" w:color="auto"/>
                <w:right w:val="none" w:sz="0" w:space="0" w:color="auto"/>
              </w:divBdr>
            </w:div>
          </w:divsChild>
        </w:div>
        <w:div w:id="211432203">
          <w:marLeft w:val="0"/>
          <w:marRight w:val="0"/>
          <w:marTop w:val="0"/>
          <w:marBottom w:val="0"/>
          <w:divBdr>
            <w:top w:val="none" w:sz="0" w:space="0" w:color="auto"/>
            <w:left w:val="none" w:sz="0" w:space="0" w:color="auto"/>
            <w:bottom w:val="none" w:sz="0" w:space="0" w:color="auto"/>
            <w:right w:val="none" w:sz="0" w:space="0" w:color="auto"/>
          </w:divBdr>
          <w:divsChild>
            <w:div w:id="1408113483">
              <w:marLeft w:val="0"/>
              <w:marRight w:val="0"/>
              <w:marTop w:val="0"/>
              <w:marBottom w:val="0"/>
              <w:divBdr>
                <w:top w:val="none" w:sz="0" w:space="0" w:color="auto"/>
                <w:left w:val="none" w:sz="0" w:space="0" w:color="auto"/>
                <w:bottom w:val="none" w:sz="0" w:space="0" w:color="auto"/>
                <w:right w:val="none" w:sz="0" w:space="0" w:color="auto"/>
              </w:divBdr>
            </w:div>
          </w:divsChild>
        </w:div>
        <w:div w:id="159735977">
          <w:marLeft w:val="0"/>
          <w:marRight w:val="0"/>
          <w:marTop w:val="0"/>
          <w:marBottom w:val="0"/>
          <w:divBdr>
            <w:top w:val="none" w:sz="0" w:space="0" w:color="auto"/>
            <w:left w:val="none" w:sz="0" w:space="0" w:color="auto"/>
            <w:bottom w:val="none" w:sz="0" w:space="0" w:color="auto"/>
            <w:right w:val="none" w:sz="0" w:space="0" w:color="auto"/>
          </w:divBdr>
          <w:divsChild>
            <w:div w:id="975837256">
              <w:marLeft w:val="0"/>
              <w:marRight w:val="0"/>
              <w:marTop w:val="0"/>
              <w:marBottom w:val="0"/>
              <w:divBdr>
                <w:top w:val="none" w:sz="0" w:space="0" w:color="auto"/>
                <w:left w:val="none" w:sz="0" w:space="0" w:color="auto"/>
                <w:bottom w:val="none" w:sz="0" w:space="0" w:color="auto"/>
                <w:right w:val="none" w:sz="0" w:space="0" w:color="auto"/>
              </w:divBdr>
            </w:div>
          </w:divsChild>
        </w:div>
        <w:div w:id="1085108330">
          <w:marLeft w:val="0"/>
          <w:marRight w:val="0"/>
          <w:marTop w:val="0"/>
          <w:marBottom w:val="0"/>
          <w:divBdr>
            <w:top w:val="none" w:sz="0" w:space="0" w:color="auto"/>
            <w:left w:val="none" w:sz="0" w:space="0" w:color="auto"/>
            <w:bottom w:val="none" w:sz="0" w:space="0" w:color="auto"/>
            <w:right w:val="none" w:sz="0" w:space="0" w:color="auto"/>
          </w:divBdr>
          <w:divsChild>
            <w:div w:id="1754399109">
              <w:marLeft w:val="0"/>
              <w:marRight w:val="0"/>
              <w:marTop w:val="0"/>
              <w:marBottom w:val="0"/>
              <w:divBdr>
                <w:top w:val="none" w:sz="0" w:space="0" w:color="auto"/>
                <w:left w:val="none" w:sz="0" w:space="0" w:color="auto"/>
                <w:bottom w:val="none" w:sz="0" w:space="0" w:color="auto"/>
                <w:right w:val="none" w:sz="0" w:space="0" w:color="auto"/>
              </w:divBdr>
            </w:div>
          </w:divsChild>
        </w:div>
        <w:div w:id="2013026519">
          <w:marLeft w:val="0"/>
          <w:marRight w:val="0"/>
          <w:marTop w:val="0"/>
          <w:marBottom w:val="0"/>
          <w:divBdr>
            <w:top w:val="none" w:sz="0" w:space="0" w:color="auto"/>
            <w:left w:val="none" w:sz="0" w:space="0" w:color="auto"/>
            <w:bottom w:val="none" w:sz="0" w:space="0" w:color="auto"/>
            <w:right w:val="none" w:sz="0" w:space="0" w:color="auto"/>
          </w:divBdr>
          <w:divsChild>
            <w:div w:id="953438240">
              <w:marLeft w:val="0"/>
              <w:marRight w:val="0"/>
              <w:marTop w:val="0"/>
              <w:marBottom w:val="0"/>
              <w:divBdr>
                <w:top w:val="none" w:sz="0" w:space="0" w:color="auto"/>
                <w:left w:val="none" w:sz="0" w:space="0" w:color="auto"/>
                <w:bottom w:val="none" w:sz="0" w:space="0" w:color="auto"/>
                <w:right w:val="none" w:sz="0" w:space="0" w:color="auto"/>
              </w:divBdr>
            </w:div>
          </w:divsChild>
        </w:div>
        <w:div w:id="10688456">
          <w:marLeft w:val="0"/>
          <w:marRight w:val="0"/>
          <w:marTop w:val="0"/>
          <w:marBottom w:val="0"/>
          <w:divBdr>
            <w:top w:val="none" w:sz="0" w:space="0" w:color="auto"/>
            <w:left w:val="none" w:sz="0" w:space="0" w:color="auto"/>
            <w:bottom w:val="none" w:sz="0" w:space="0" w:color="auto"/>
            <w:right w:val="none" w:sz="0" w:space="0" w:color="auto"/>
          </w:divBdr>
          <w:divsChild>
            <w:div w:id="1701121572">
              <w:marLeft w:val="0"/>
              <w:marRight w:val="0"/>
              <w:marTop w:val="0"/>
              <w:marBottom w:val="0"/>
              <w:divBdr>
                <w:top w:val="none" w:sz="0" w:space="0" w:color="auto"/>
                <w:left w:val="none" w:sz="0" w:space="0" w:color="auto"/>
                <w:bottom w:val="none" w:sz="0" w:space="0" w:color="auto"/>
                <w:right w:val="none" w:sz="0" w:space="0" w:color="auto"/>
              </w:divBdr>
            </w:div>
          </w:divsChild>
        </w:div>
        <w:div w:id="853230164">
          <w:marLeft w:val="0"/>
          <w:marRight w:val="0"/>
          <w:marTop w:val="0"/>
          <w:marBottom w:val="0"/>
          <w:divBdr>
            <w:top w:val="none" w:sz="0" w:space="0" w:color="auto"/>
            <w:left w:val="none" w:sz="0" w:space="0" w:color="auto"/>
            <w:bottom w:val="none" w:sz="0" w:space="0" w:color="auto"/>
            <w:right w:val="none" w:sz="0" w:space="0" w:color="auto"/>
          </w:divBdr>
          <w:divsChild>
            <w:div w:id="1755009404">
              <w:marLeft w:val="0"/>
              <w:marRight w:val="0"/>
              <w:marTop w:val="0"/>
              <w:marBottom w:val="0"/>
              <w:divBdr>
                <w:top w:val="none" w:sz="0" w:space="0" w:color="auto"/>
                <w:left w:val="none" w:sz="0" w:space="0" w:color="auto"/>
                <w:bottom w:val="none" w:sz="0" w:space="0" w:color="auto"/>
                <w:right w:val="none" w:sz="0" w:space="0" w:color="auto"/>
              </w:divBdr>
            </w:div>
          </w:divsChild>
        </w:div>
        <w:div w:id="322585141">
          <w:marLeft w:val="0"/>
          <w:marRight w:val="0"/>
          <w:marTop w:val="0"/>
          <w:marBottom w:val="0"/>
          <w:divBdr>
            <w:top w:val="none" w:sz="0" w:space="0" w:color="auto"/>
            <w:left w:val="none" w:sz="0" w:space="0" w:color="auto"/>
            <w:bottom w:val="none" w:sz="0" w:space="0" w:color="auto"/>
            <w:right w:val="none" w:sz="0" w:space="0" w:color="auto"/>
          </w:divBdr>
          <w:divsChild>
            <w:div w:id="1037855235">
              <w:marLeft w:val="0"/>
              <w:marRight w:val="0"/>
              <w:marTop w:val="0"/>
              <w:marBottom w:val="0"/>
              <w:divBdr>
                <w:top w:val="none" w:sz="0" w:space="0" w:color="auto"/>
                <w:left w:val="none" w:sz="0" w:space="0" w:color="auto"/>
                <w:bottom w:val="none" w:sz="0" w:space="0" w:color="auto"/>
                <w:right w:val="none" w:sz="0" w:space="0" w:color="auto"/>
              </w:divBdr>
            </w:div>
          </w:divsChild>
        </w:div>
        <w:div w:id="1192840616">
          <w:marLeft w:val="0"/>
          <w:marRight w:val="0"/>
          <w:marTop w:val="0"/>
          <w:marBottom w:val="0"/>
          <w:divBdr>
            <w:top w:val="none" w:sz="0" w:space="0" w:color="auto"/>
            <w:left w:val="none" w:sz="0" w:space="0" w:color="auto"/>
            <w:bottom w:val="none" w:sz="0" w:space="0" w:color="auto"/>
            <w:right w:val="none" w:sz="0" w:space="0" w:color="auto"/>
          </w:divBdr>
          <w:divsChild>
            <w:div w:id="1946116425">
              <w:marLeft w:val="0"/>
              <w:marRight w:val="0"/>
              <w:marTop w:val="0"/>
              <w:marBottom w:val="0"/>
              <w:divBdr>
                <w:top w:val="none" w:sz="0" w:space="0" w:color="auto"/>
                <w:left w:val="none" w:sz="0" w:space="0" w:color="auto"/>
                <w:bottom w:val="none" w:sz="0" w:space="0" w:color="auto"/>
                <w:right w:val="none" w:sz="0" w:space="0" w:color="auto"/>
              </w:divBdr>
            </w:div>
          </w:divsChild>
        </w:div>
        <w:div w:id="1787576029">
          <w:marLeft w:val="0"/>
          <w:marRight w:val="0"/>
          <w:marTop w:val="0"/>
          <w:marBottom w:val="0"/>
          <w:divBdr>
            <w:top w:val="none" w:sz="0" w:space="0" w:color="auto"/>
            <w:left w:val="none" w:sz="0" w:space="0" w:color="auto"/>
            <w:bottom w:val="none" w:sz="0" w:space="0" w:color="auto"/>
            <w:right w:val="none" w:sz="0" w:space="0" w:color="auto"/>
          </w:divBdr>
          <w:divsChild>
            <w:div w:id="1085346420">
              <w:marLeft w:val="0"/>
              <w:marRight w:val="0"/>
              <w:marTop w:val="0"/>
              <w:marBottom w:val="0"/>
              <w:divBdr>
                <w:top w:val="none" w:sz="0" w:space="0" w:color="auto"/>
                <w:left w:val="none" w:sz="0" w:space="0" w:color="auto"/>
                <w:bottom w:val="none" w:sz="0" w:space="0" w:color="auto"/>
                <w:right w:val="none" w:sz="0" w:space="0" w:color="auto"/>
              </w:divBdr>
            </w:div>
          </w:divsChild>
        </w:div>
        <w:div w:id="139689642">
          <w:marLeft w:val="0"/>
          <w:marRight w:val="0"/>
          <w:marTop w:val="0"/>
          <w:marBottom w:val="0"/>
          <w:divBdr>
            <w:top w:val="none" w:sz="0" w:space="0" w:color="auto"/>
            <w:left w:val="none" w:sz="0" w:space="0" w:color="auto"/>
            <w:bottom w:val="none" w:sz="0" w:space="0" w:color="auto"/>
            <w:right w:val="none" w:sz="0" w:space="0" w:color="auto"/>
          </w:divBdr>
          <w:divsChild>
            <w:div w:id="794838007">
              <w:marLeft w:val="0"/>
              <w:marRight w:val="0"/>
              <w:marTop w:val="0"/>
              <w:marBottom w:val="0"/>
              <w:divBdr>
                <w:top w:val="none" w:sz="0" w:space="0" w:color="auto"/>
                <w:left w:val="none" w:sz="0" w:space="0" w:color="auto"/>
                <w:bottom w:val="none" w:sz="0" w:space="0" w:color="auto"/>
                <w:right w:val="none" w:sz="0" w:space="0" w:color="auto"/>
              </w:divBdr>
            </w:div>
          </w:divsChild>
        </w:div>
        <w:div w:id="2109736172">
          <w:marLeft w:val="0"/>
          <w:marRight w:val="0"/>
          <w:marTop w:val="0"/>
          <w:marBottom w:val="0"/>
          <w:divBdr>
            <w:top w:val="none" w:sz="0" w:space="0" w:color="auto"/>
            <w:left w:val="none" w:sz="0" w:space="0" w:color="auto"/>
            <w:bottom w:val="none" w:sz="0" w:space="0" w:color="auto"/>
            <w:right w:val="none" w:sz="0" w:space="0" w:color="auto"/>
          </w:divBdr>
          <w:divsChild>
            <w:div w:id="1714885456">
              <w:marLeft w:val="0"/>
              <w:marRight w:val="0"/>
              <w:marTop w:val="0"/>
              <w:marBottom w:val="0"/>
              <w:divBdr>
                <w:top w:val="none" w:sz="0" w:space="0" w:color="auto"/>
                <w:left w:val="none" w:sz="0" w:space="0" w:color="auto"/>
                <w:bottom w:val="none" w:sz="0" w:space="0" w:color="auto"/>
                <w:right w:val="none" w:sz="0" w:space="0" w:color="auto"/>
              </w:divBdr>
            </w:div>
          </w:divsChild>
        </w:div>
        <w:div w:id="482359433">
          <w:marLeft w:val="0"/>
          <w:marRight w:val="0"/>
          <w:marTop w:val="0"/>
          <w:marBottom w:val="0"/>
          <w:divBdr>
            <w:top w:val="none" w:sz="0" w:space="0" w:color="auto"/>
            <w:left w:val="none" w:sz="0" w:space="0" w:color="auto"/>
            <w:bottom w:val="none" w:sz="0" w:space="0" w:color="auto"/>
            <w:right w:val="none" w:sz="0" w:space="0" w:color="auto"/>
          </w:divBdr>
          <w:divsChild>
            <w:div w:id="1632176499">
              <w:marLeft w:val="0"/>
              <w:marRight w:val="0"/>
              <w:marTop w:val="0"/>
              <w:marBottom w:val="0"/>
              <w:divBdr>
                <w:top w:val="none" w:sz="0" w:space="0" w:color="auto"/>
                <w:left w:val="none" w:sz="0" w:space="0" w:color="auto"/>
                <w:bottom w:val="none" w:sz="0" w:space="0" w:color="auto"/>
                <w:right w:val="none" w:sz="0" w:space="0" w:color="auto"/>
              </w:divBdr>
            </w:div>
          </w:divsChild>
        </w:div>
        <w:div w:id="1691252055">
          <w:marLeft w:val="0"/>
          <w:marRight w:val="0"/>
          <w:marTop w:val="0"/>
          <w:marBottom w:val="0"/>
          <w:divBdr>
            <w:top w:val="none" w:sz="0" w:space="0" w:color="auto"/>
            <w:left w:val="none" w:sz="0" w:space="0" w:color="auto"/>
            <w:bottom w:val="none" w:sz="0" w:space="0" w:color="auto"/>
            <w:right w:val="none" w:sz="0" w:space="0" w:color="auto"/>
          </w:divBdr>
          <w:divsChild>
            <w:div w:id="2099328246">
              <w:marLeft w:val="0"/>
              <w:marRight w:val="0"/>
              <w:marTop w:val="0"/>
              <w:marBottom w:val="0"/>
              <w:divBdr>
                <w:top w:val="none" w:sz="0" w:space="0" w:color="auto"/>
                <w:left w:val="none" w:sz="0" w:space="0" w:color="auto"/>
                <w:bottom w:val="none" w:sz="0" w:space="0" w:color="auto"/>
                <w:right w:val="none" w:sz="0" w:space="0" w:color="auto"/>
              </w:divBdr>
            </w:div>
          </w:divsChild>
        </w:div>
        <w:div w:id="1678580811">
          <w:marLeft w:val="0"/>
          <w:marRight w:val="0"/>
          <w:marTop w:val="0"/>
          <w:marBottom w:val="0"/>
          <w:divBdr>
            <w:top w:val="none" w:sz="0" w:space="0" w:color="auto"/>
            <w:left w:val="none" w:sz="0" w:space="0" w:color="auto"/>
            <w:bottom w:val="none" w:sz="0" w:space="0" w:color="auto"/>
            <w:right w:val="none" w:sz="0" w:space="0" w:color="auto"/>
          </w:divBdr>
          <w:divsChild>
            <w:div w:id="712770573">
              <w:marLeft w:val="0"/>
              <w:marRight w:val="0"/>
              <w:marTop w:val="0"/>
              <w:marBottom w:val="0"/>
              <w:divBdr>
                <w:top w:val="none" w:sz="0" w:space="0" w:color="auto"/>
                <w:left w:val="none" w:sz="0" w:space="0" w:color="auto"/>
                <w:bottom w:val="none" w:sz="0" w:space="0" w:color="auto"/>
                <w:right w:val="none" w:sz="0" w:space="0" w:color="auto"/>
              </w:divBdr>
            </w:div>
          </w:divsChild>
        </w:div>
        <w:div w:id="1030569158">
          <w:marLeft w:val="0"/>
          <w:marRight w:val="0"/>
          <w:marTop w:val="0"/>
          <w:marBottom w:val="0"/>
          <w:divBdr>
            <w:top w:val="none" w:sz="0" w:space="0" w:color="auto"/>
            <w:left w:val="none" w:sz="0" w:space="0" w:color="auto"/>
            <w:bottom w:val="none" w:sz="0" w:space="0" w:color="auto"/>
            <w:right w:val="none" w:sz="0" w:space="0" w:color="auto"/>
          </w:divBdr>
          <w:divsChild>
            <w:div w:id="42100137">
              <w:marLeft w:val="0"/>
              <w:marRight w:val="0"/>
              <w:marTop w:val="0"/>
              <w:marBottom w:val="0"/>
              <w:divBdr>
                <w:top w:val="none" w:sz="0" w:space="0" w:color="auto"/>
                <w:left w:val="none" w:sz="0" w:space="0" w:color="auto"/>
                <w:bottom w:val="none" w:sz="0" w:space="0" w:color="auto"/>
                <w:right w:val="none" w:sz="0" w:space="0" w:color="auto"/>
              </w:divBdr>
            </w:div>
          </w:divsChild>
        </w:div>
        <w:div w:id="1674382854">
          <w:marLeft w:val="0"/>
          <w:marRight w:val="0"/>
          <w:marTop w:val="0"/>
          <w:marBottom w:val="0"/>
          <w:divBdr>
            <w:top w:val="none" w:sz="0" w:space="0" w:color="auto"/>
            <w:left w:val="none" w:sz="0" w:space="0" w:color="auto"/>
            <w:bottom w:val="none" w:sz="0" w:space="0" w:color="auto"/>
            <w:right w:val="none" w:sz="0" w:space="0" w:color="auto"/>
          </w:divBdr>
          <w:divsChild>
            <w:div w:id="2133400500">
              <w:marLeft w:val="0"/>
              <w:marRight w:val="0"/>
              <w:marTop w:val="0"/>
              <w:marBottom w:val="0"/>
              <w:divBdr>
                <w:top w:val="none" w:sz="0" w:space="0" w:color="auto"/>
                <w:left w:val="none" w:sz="0" w:space="0" w:color="auto"/>
                <w:bottom w:val="none" w:sz="0" w:space="0" w:color="auto"/>
                <w:right w:val="none" w:sz="0" w:space="0" w:color="auto"/>
              </w:divBdr>
            </w:div>
          </w:divsChild>
        </w:div>
        <w:div w:id="1440684384">
          <w:marLeft w:val="0"/>
          <w:marRight w:val="0"/>
          <w:marTop w:val="0"/>
          <w:marBottom w:val="0"/>
          <w:divBdr>
            <w:top w:val="none" w:sz="0" w:space="0" w:color="auto"/>
            <w:left w:val="none" w:sz="0" w:space="0" w:color="auto"/>
            <w:bottom w:val="none" w:sz="0" w:space="0" w:color="auto"/>
            <w:right w:val="none" w:sz="0" w:space="0" w:color="auto"/>
          </w:divBdr>
          <w:divsChild>
            <w:div w:id="251010606">
              <w:marLeft w:val="0"/>
              <w:marRight w:val="0"/>
              <w:marTop w:val="0"/>
              <w:marBottom w:val="0"/>
              <w:divBdr>
                <w:top w:val="none" w:sz="0" w:space="0" w:color="auto"/>
                <w:left w:val="none" w:sz="0" w:space="0" w:color="auto"/>
                <w:bottom w:val="none" w:sz="0" w:space="0" w:color="auto"/>
                <w:right w:val="none" w:sz="0" w:space="0" w:color="auto"/>
              </w:divBdr>
            </w:div>
          </w:divsChild>
        </w:div>
        <w:div w:id="1113087629">
          <w:marLeft w:val="0"/>
          <w:marRight w:val="0"/>
          <w:marTop w:val="0"/>
          <w:marBottom w:val="0"/>
          <w:divBdr>
            <w:top w:val="none" w:sz="0" w:space="0" w:color="auto"/>
            <w:left w:val="none" w:sz="0" w:space="0" w:color="auto"/>
            <w:bottom w:val="none" w:sz="0" w:space="0" w:color="auto"/>
            <w:right w:val="none" w:sz="0" w:space="0" w:color="auto"/>
          </w:divBdr>
          <w:divsChild>
            <w:div w:id="445079090">
              <w:marLeft w:val="0"/>
              <w:marRight w:val="0"/>
              <w:marTop w:val="0"/>
              <w:marBottom w:val="0"/>
              <w:divBdr>
                <w:top w:val="none" w:sz="0" w:space="0" w:color="auto"/>
                <w:left w:val="none" w:sz="0" w:space="0" w:color="auto"/>
                <w:bottom w:val="none" w:sz="0" w:space="0" w:color="auto"/>
                <w:right w:val="none" w:sz="0" w:space="0" w:color="auto"/>
              </w:divBdr>
            </w:div>
          </w:divsChild>
        </w:div>
        <w:div w:id="97334932">
          <w:marLeft w:val="0"/>
          <w:marRight w:val="0"/>
          <w:marTop w:val="0"/>
          <w:marBottom w:val="0"/>
          <w:divBdr>
            <w:top w:val="none" w:sz="0" w:space="0" w:color="auto"/>
            <w:left w:val="none" w:sz="0" w:space="0" w:color="auto"/>
            <w:bottom w:val="none" w:sz="0" w:space="0" w:color="auto"/>
            <w:right w:val="none" w:sz="0" w:space="0" w:color="auto"/>
          </w:divBdr>
          <w:divsChild>
            <w:div w:id="1611354198">
              <w:marLeft w:val="0"/>
              <w:marRight w:val="0"/>
              <w:marTop w:val="0"/>
              <w:marBottom w:val="0"/>
              <w:divBdr>
                <w:top w:val="none" w:sz="0" w:space="0" w:color="auto"/>
                <w:left w:val="none" w:sz="0" w:space="0" w:color="auto"/>
                <w:bottom w:val="none" w:sz="0" w:space="0" w:color="auto"/>
                <w:right w:val="none" w:sz="0" w:space="0" w:color="auto"/>
              </w:divBdr>
            </w:div>
          </w:divsChild>
        </w:div>
        <w:div w:id="914708626">
          <w:marLeft w:val="0"/>
          <w:marRight w:val="0"/>
          <w:marTop w:val="0"/>
          <w:marBottom w:val="0"/>
          <w:divBdr>
            <w:top w:val="none" w:sz="0" w:space="0" w:color="auto"/>
            <w:left w:val="none" w:sz="0" w:space="0" w:color="auto"/>
            <w:bottom w:val="none" w:sz="0" w:space="0" w:color="auto"/>
            <w:right w:val="none" w:sz="0" w:space="0" w:color="auto"/>
          </w:divBdr>
          <w:divsChild>
            <w:div w:id="1476794868">
              <w:marLeft w:val="0"/>
              <w:marRight w:val="0"/>
              <w:marTop w:val="0"/>
              <w:marBottom w:val="0"/>
              <w:divBdr>
                <w:top w:val="none" w:sz="0" w:space="0" w:color="auto"/>
                <w:left w:val="none" w:sz="0" w:space="0" w:color="auto"/>
                <w:bottom w:val="none" w:sz="0" w:space="0" w:color="auto"/>
                <w:right w:val="none" w:sz="0" w:space="0" w:color="auto"/>
              </w:divBdr>
            </w:div>
          </w:divsChild>
        </w:div>
        <w:div w:id="762147216">
          <w:marLeft w:val="0"/>
          <w:marRight w:val="0"/>
          <w:marTop w:val="0"/>
          <w:marBottom w:val="0"/>
          <w:divBdr>
            <w:top w:val="none" w:sz="0" w:space="0" w:color="auto"/>
            <w:left w:val="none" w:sz="0" w:space="0" w:color="auto"/>
            <w:bottom w:val="none" w:sz="0" w:space="0" w:color="auto"/>
            <w:right w:val="none" w:sz="0" w:space="0" w:color="auto"/>
          </w:divBdr>
          <w:divsChild>
            <w:div w:id="1877430425">
              <w:marLeft w:val="0"/>
              <w:marRight w:val="0"/>
              <w:marTop w:val="0"/>
              <w:marBottom w:val="0"/>
              <w:divBdr>
                <w:top w:val="none" w:sz="0" w:space="0" w:color="auto"/>
                <w:left w:val="none" w:sz="0" w:space="0" w:color="auto"/>
                <w:bottom w:val="none" w:sz="0" w:space="0" w:color="auto"/>
                <w:right w:val="none" w:sz="0" w:space="0" w:color="auto"/>
              </w:divBdr>
            </w:div>
          </w:divsChild>
        </w:div>
        <w:div w:id="995105778">
          <w:marLeft w:val="0"/>
          <w:marRight w:val="0"/>
          <w:marTop w:val="0"/>
          <w:marBottom w:val="0"/>
          <w:divBdr>
            <w:top w:val="none" w:sz="0" w:space="0" w:color="auto"/>
            <w:left w:val="none" w:sz="0" w:space="0" w:color="auto"/>
            <w:bottom w:val="none" w:sz="0" w:space="0" w:color="auto"/>
            <w:right w:val="none" w:sz="0" w:space="0" w:color="auto"/>
          </w:divBdr>
          <w:divsChild>
            <w:div w:id="1555848206">
              <w:marLeft w:val="0"/>
              <w:marRight w:val="0"/>
              <w:marTop w:val="0"/>
              <w:marBottom w:val="0"/>
              <w:divBdr>
                <w:top w:val="none" w:sz="0" w:space="0" w:color="auto"/>
                <w:left w:val="none" w:sz="0" w:space="0" w:color="auto"/>
                <w:bottom w:val="none" w:sz="0" w:space="0" w:color="auto"/>
                <w:right w:val="none" w:sz="0" w:space="0" w:color="auto"/>
              </w:divBdr>
            </w:div>
          </w:divsChild>
        </w:div>
        <w:div w:id="973025145">
          <w:marLeft w:val="0"/>
          <w:marRight w:val="0"/>
          <w:marTop w:val="0"/>
          <w:marBottom w:val="0"/>
          <w:divBdr>
            <w:top w:val="none" w:sz="0" w:space="0" w:color="auto"/>
            <w:left w:val="none" w:sz="0" w:space="0" w:color="auto"/>
            <w:bottom w:val="none" w:sz="0" w:space="0" w:color="auto"/>
            <w:right w:val="none" w:sz="0" w:space="0" w:color="auto"/>
          </w:divBdr>
          <w:divsChild>
            <w:div w:id="321469803">
              <w:marLeft w:val="0"/>
              <w:marRight w:val="0"/>
              <w:marTop w:val="0"/>
              <w:marBottom w:val="0"/>
              <w:divBdr>
                <w:top w:val="none" w:sz="0" w:space="0" w:color="auto"/>
                <w:left w:val="none" w:sz="0" w:space="0" w:color="auto"/>
                <w:bottom w:val="none" w:sz="0" w:space="0" w:color="auto"/>
                <w:right w:val="none" w:sz="0" w:space="0" w:color="auto"/>
              </w:divBdr>
            </w:div>
          </w:divsChild>
        </w:div>
        <w:div w:id="1008219884">
          <w:marLeft w:val="0"/>
          <w:marRight w:val="0"/>
          <w:marTop w:val="0"/>
          <w:marBottom w:val="0"/>
          <w:divBdr>
            <w:top w:val="none" w:sz="0" w:space="0" w:color="auto"/>
            <w:left w:val="none" w:sz="0" w:space="0" w:color="auto"/>
            <w:bottom w:val="none" w:sz="0" w:space="0" w:color="auto"/>
            <w:right w:val="none" w:sz="0" w:space="0" w:color="auto"/>
          </w:divBdr>
          <w:divsChild>
            <w:div w:id="1406761377">
              <w:marLeft w:val="0"/>
              <w:marRight w:val="0"/>
              <w:marTop w:val="0"/>
              <w:marBottom w:val="0"/>
              <w:divBdr>
                <w:top w:val="none" w:sz="0" w:space="0" w:color="auto"/>
                <w:left w:val="none" w:sz="0" w:space="0" w:color="auto"/>
                <w:bottom w:val="none" w:sz="0" w:space="0" w:color="auto"/>
                <w:right w:val="none" w:sz="0" w:space="0" w:color="auto"/>
              </w:divBdr>
            </w:div>
          </w:divsChild>
        </w:div>
        <w:div w:id="903873970">
          <w:marLeft w:val="0"/>
          <w:marRight w:val="0"/>
          <w:marTop w:val="0"/>
          <w:marBottom w:val="0"/>
          <w:divBdr>
            <w:top w:val="none" w:sz="0" w:space="0" w:color="auto"/>
            <w:left w:val="none" w:sz="0" w:space="0" w:color="auto"/>
            <w:bottom w:val="none" w:sz="0" w:space="0" w:color="auto"/>
            <w:right w:val="none" w:sz="0" w:space="0" w:color="auto"/>
          </w:divBdr>
          <w:divsChild>
            <w:div w:id="390231890">
              <w:marLeft w:val="0"/>
              <w:marRight w:val="0"/>
              <w:marTop w:val="0"/>
              <w:marBottom w:val="0"/>
              <w:divBdr>
                <w:top w:val="none" w:sz="0" w:space="0" w:color="auto"/>
                <w:left w:val="none" w:sz="0" w:space="0" w:color="auto"/>
                <w:bottom w:val="none" w:sz="0" w:space="0" w:color="auto"/>
                <w:right w:val="none" w:sz="0" w:space="0" w:color="auto"/>
              </w:divBdr>
            </w:div>
          </w:divsChild>
        </w:div>
        <w:div w:id="781456404">
          <w:marLeft w:val="0"/>
          <w:marRight w:val="0"/>
          <w:marTop w:val="0"/>
          <w:marBottom w:val="0"/>
          <w:divBdr>
            <w:top w:val="none" w:sz="0" w:space="0" w:color="auto"/>
            <w:left w:val="none" w:sz="0" w:space="0" w:color="auto"/>
            <w:bottom w:val="none" w:sz="0" w:space="0" w:color="auto"/>
            <w:right w:val="none" w:sz="0" w:space="0" w:color="auto"/>
          </w:divBdr>
          <w:divsChild>
            <w:div w:id="1954825632">
              <w:marLeft w:val="0"/>
              <w:marRight w:val="0"/>
              <w:marTop w:val="0"/>
              <w:marBottom w:val="0"/>
              <w:divBdr>
                <w:top w:val="none" w:sz="0" w:space="0" w:color="auto"/>
                <w:left w:val="none" w:sz="0" w:space="0" w:color="auto"/>
                <w:bottom w:val="none" w:sz="0" w:space="0" w:color="auto"/>
                <w:right w:val="none" w:sz="0" w:space="0" w:color="auto"/>
              </w:divBdr>
            </w:div>
          </w:divsChild>
        </w:div>
        <w:div w:id="230894207">
          <w:marLeft w:val="0"/>
          <w:marRight w:val="0"/>
          <w:marTop w:val="0"/>
          <w:marBottom w:val="0"/>
          <w:divBdr>
            <w:top w:val="none" w:sz="0" w:space="0" w:color="auto"/>
            <w:left w:val="none" w:sz="0" w:space="0" w:color="auto"/>
            <w:bottom w:val="none" w:sz="0" w:space="0" w:color="auto"/>
            <w:right w:val="none" w:sz="0" w:space="0" w:color="auto"/>
          </w:divBdr>
          <w:divsChild>
            <w:div w:id="1125660092">
              <w:marLeft w:val="0"/>
              <w:marRight w:val="0"/>
              <w:marTop w:val="0"/>
              <w:marBottom w:val="0"/>
              <w:divBdr>
                <w:top w:val="none" w:sz="0" w:space="0" w:color="auto"/>
                <w:left w:val="none" w:sz="0" w:space="0" w:color="auto"/>
                <w:bottom w:val="none" w:sz="0" w:space="0" w:color="auto"/>
                <w:right w:val="none" w:sz="0" w:space="0" w:color="auto"/>
              </w:divBdr>
            </w:div>
          </w:divsChild>
        </w:div>
        <w:div w:id="1800226298">
          <w:marLeft w:val="0"/>
          <w:marRight w:val="0"/>
          <w:marTop w:val="0"/>
          <w:marBottom w:val="0"/>
          <w:divBdr>
            <w:top w:val="none" w:sz="0" w:space="0" w:color="auto"/>
            <w:left w:val="none" w:sz="0" w:space="0" w:color="auto"/>
            <w:bottom w:val="none" w:sz="0" w:space="0" w:color="auto"/>
            <w:right w:val="none" w:sz="0" w:space="0" w:color="auto"/>
          </w:divBdr>
          <w:divsChild>
            <w:div w:id="1569801614">
              <w:marLeft w:val="0"/>
              <w:marRight w:val="0"/>
              <w:marTop w:val="0"/>
              <w:marBottom w:val="0"/>
              <w:divBdr>
                <w:top w:val="none" w:sz="0" w:space="0" w:color="auto"/>
                <w:left w:val="none" w:sz="0" w:space="0" w:color="auto"/>
                <w:bottom w:val="none" w:sz="0" w:space="0" w:color="auto"/>
                <w:right w:val="none" w:sz="0" w:space="0" w:color="auto"/>
              </w:divBdr>
            </w:div>
          </w:divsChild>
        </w:div>
        <w:div w:id="1203782326">
          <w:marLeft w:val="0"/>
          <w:marRight w:val="0"/>
          <w:marTop w:val="0"/>
          <w:marBottom w:val="0"/>
          <w:divBdr>
            <w:top w:val="none" w:sz="0" w:space="0" w:color="auto"/>
            <w:left w:val="none" w:sz="0" w:space="0" w:color="auto"/>
            <w:bottom w:val="none" w:sz="0" w:space="0" w:color="auto"/>
            <w:right w:val="none" w:sz="0" w:space="0" w:color="auto"/>
          </w:divBdr>
          <w:divsChild>
            <w:div w:id="694187452">
              <w:marLeft w:val="0"/>
              <w:marRight w:val="0"/>
              <w:marTop w:val="0"/>
              <w:marBottom w:val="0"/>
              <w:divBdr>
                <w:top w:val="none" w:sz="0" w:space="0" w:color="auto"/>
                <w:left w:val="none" w:sz="0" w:space="0" w:color="auto"/>
                <w:bottom w:val="none" w:sz="0" w:space="0" w:color="auto"/>
                <w:right w:val="none" w:sz="0" w:space="0" w:color="auto"/>
              </w:divBdr>
            </w:div>
          </w:divsChild>
        </w:div>
        <w:div w:id="569582360">
          <w:marLeft w:val="0"/>
          <w:marRight w:val="0"/>
          <w:marTop w:val="0"/>
          <w:marBottom w:val="0"/>
          <w:divBdr>
            <w:top w:val="none" w:sz="0" w:space="0" w:color="auto"/>
            <w:left w:val="none" w:sz="0" w:space="0" w:color="auto"/>
            <w:bottom w:val="none" w:sz="0" w:space="0" w:color="auto"/>
            <w:right w:val="none" w:sz="0" w:space="0" w:color="auto"/>
          </w:divBdr>
          <w:divsChild>
            <w:div w:id="1793131154">
              <w:marLeft w:val="0"/>
              <w:marRight w:val="0"/>
              <w:marTop w:val="0"/>
              <w:marBottom w:val="0"/>
              <w:divBdr>
                <w:top w:val="none" w:sz="0" w:space="0" w:color="auto"/>
                <w:left w:val="none" w:sz="0" w:space="0" w:color="auto"/>
                <w:bottom w:val="none" w:sz="0" w:space="0" w:color="auto"/>
                <w:right w:val="none" w:sz="0" w:space="0" w:color="auto"/>
              </w:divBdr>
            </w:div>
          </w:divsChild>
        </w:div>
        <w:div w:id="189683022">
          <w:marLeft w:val="0"/>
          <w:marRight w:val="0"/>
          <w:marTop w:val="0"/>
          <w:marBottom w:val="0"/>
          <w:divBdr>
            <w:top w:val="none" w:sz="0" w:space="0" w:color="auto"/>
            <w:left w:val="none" w:sz="0" w:space="0" w:color="auto"/>
            <w:bottom w:val="none" w:sz="0" w:space="0" w:color="auto"/>
            <w:right w:val="none" w:sz="0" w:space="0" w:color="auto"/>
          </w:divBdr>
          <w:divsChild>
            <w:div w:id="1707948627">
              <w:marLeft w:val="0"/>
              <w:marRight w:val="0"/>
              <w:marTop w:val="0"/>
              <w:marBottom w:val="0"/>
              <w:divBdr>
                <w:top w:val="none" w:sz="0" w:space="0" w:color="auto"/>
                <w:left w:val="none" w:sz="0" w:space="0" w:color="auto"/>
                <w:bottom w:val="none" w:sz="0" w:space="0" w:color="auto"/>
                <w:right w:val="none" w:sz="0" w:space="0" w:color="auto"/>
              </w:divBdr>
            </w:div>
          </w:divsChild>
        </w:div>
        <w:div w:id="1347514052">
          <w:marLeft w:val="0"/>
          <w:marRight w:val="0"/>
          <w:marTop w:val="0"/>
          <w:marBottom w:val="0"/>
          <w:divBdr>
            <w:top w:val="none" w:sz="0" w:space="0" w:color="auto"/>
            <w:left w:val="none" w:sz="0" w:space="0" w:color="auto"/>
            <w:bottom w:val="none" w:sz="0" w:space="0" w:color="auto"/>
            <w:right w:val="none" w:sz="0" w:space="0" w:color="auto"/>
          </w:divBdr>
          <w:divsChild>
            <w:div w:id="910192009">
              <w:marLeft w:val="0"/>
              <w:marRight w:val="0"/>
              <w:marTop w:val="0"/>
              <w:marBottom w:val="0"/>
              <w:divBdr>
                <w:top w:val="none" w:sz="0" w:space="0" w:color="auto"/>
                <w:left w:val="none" w:sz="0" w:space="0" w:color="auto"/>
                <w:bottom w:val="none" w:sz="0" w:space="0" w:color="auto"/>
                <w:right w:val="none" w:sz="0" w:space="0" w:color="auto"/>
              </w:divBdr>
            </w:div>
          </w:divsChild>
        </w:div>
        <w:div w:id="493766533">
          <w:marLeft w:val="0"/>
          <w:marRight w:val="0"/>
          <w:marTop w:val="0"/>
          <w:marBottom w:val="0"/>
          <w:divBdr>
            <w:top w:val="none" w:sz="0" w:space="0" w:color="auto"/>
            <w:left w:val="none" w:sz="0" w:space="0" w:color="auto"/>
            <w:bottom w:val="none" w:sz="0" w:space="0" w:color="auto"/>
            <w:right w:val="none" w:sz="0" w:space="0" w:color="auto"/>
          </w:divBdr>
          <w:divsChild>
            <w:div w:id="1875730997">
              <w:marLeft w:val="0"/>
              <w:marRight w:val="0"/>
              <w:marTop w:val="0"/>
              <w:marBottom w:val="0"/>
              <w:divBdr>
                <w:top w:val="none" w:sz="0" w:space="0" w:color="auto"/>
                <w:left w:val="none" w:sz="0" w:space="0" w:color="auto"/>
                <w:bottom w:val="none" w:sz="0" w:space="0" w:color="auto"/>
                <w:right w:val="none" w:sz="0" w:space="0" w:color="auto"/>
              </w:divBdr>
            </w:div>
          </w:divsChild>
        </w:div>
        <w:div w:id="1063988544">
          <w:marLeft w:val="0"/>
          <w:marRight w:val="0"/>
          <w:marTop w:val="0"/>
          <w:marBottom w:val="0"/>
          <w:divBdr>
            <w:top w:val="none" w:sz="0" w:space="0" w:color="auto"/>
            <w:left w:val="none" w:sz="0" w:space="0" w:color="auto"/>
            <w:bottom w:val="none" w:sz="0" w:space="0" w:color="auto"/>
            <w:right w:val="none" w:sz="0" w:space="0" w:color="auto"/>
          </w:divBdr>
          <w:divsChild>
            <w:div w:id="1606378535">
              <w:marLeft w:val="0"/>
              <w:marRight w:val="0"/>
              <w:marTop w:val="0"/>
              <w:marBottom w:val="0"/>
              <w:divBdr>
                <w:top w:val="none" w:sz="0" w:space="0" w:color="auto"/>
                <w:left w:val="none" w:sz="0" w:space="0" w:color="auto"/>
                <w:bottom w:val="none" w:sz="0" w:space="0" w:color="auto"/>
                <w:right w:val="none" w:sz="0" w:space="0" w:color="auto"/>
              </w:divBdr>
            </w:div>
          </w:divsChild>
        </w:div>
        <w:div w:id="105318678">
          <w:marLeft w:val="0"/>
          <w:marRight w:val="0"/>
          <w:marTop w:val="0"/>
          <w:marBottom w:val="0"/>
          <w:divBdr>
            <w:top w:val="none" w:sz="0" w:space="0" w:color="auto"/>
            <w:left w:val="none" w:sz="0" w:space="0" w:color="auto"/>
            <w:bottom w:val="none" w:sz="0" w:space="0" w:color="auto"/>
            <w:right w:val="none" w:sz="0" w:space="0" w:color="auto"/>
          </w:divBdr>
          <w:divsChild>
            <w:div w:id="318970014">
              <w:marLeft w:val="0"/>
              <w:marRight w:val="0"/>
              <w:marTop w:val="0"/>
              <w:marBottom w:val="0"/>
              <w:divBdr>
                <w:top w:val="none" w:sz="0" w:space="0" w:color="auto"/>
                <w:left w:val="none" w:sz="0" w:space="0" w:color="auto"/>
                <w:bottom w:val="none" w:sz="0" w:space="0" w:color="auto"/>
                <w:right w:val="none" w:sz="0" w:space="0" w:color="auto"/>
              </w:divBdr>
            </w:div>
          </w:divsChild>
        </w:div>
        <w:div w:id="973678892">
          <w:marLeft w:val="0"/>
          <w:marRight w:val="0"/>
          <w:marTop w:val="0"/>
          <w:marBottom w:val="0"/>
          <w:divBdr>
            <w:top w:val="none" w:sz="0" w:space="0" w:color="auto"/>
            <w:left w:val="none" w:sz="0" w:space="0" w:color="auto"/>
            <w:bottom w:val="none" w:sz="0" w:space="0" w:color="auto"/>
            <w:right w:val="none" w:sz="0" w:space="0" w:color="auto"/>
          </w:divBdr>
          <w:divsChild>
            <w:div w:id="196551464">
              <w:marLeft w:val="0"/>
              <w:marRight w:val="0"/>
              <w:marTop w:val="0"/>
              <w:marBottom w:val="0"/>
              <w:divBdr>
                <w:top w:val="none" w:sz="0" w:space="0" w:color="auto"/>
                <w:left w:val="none" w:sz="0" w:space="0" w:color="auto"/>
                <w:bottom w:val="none" w:sz="0" w:space="0" w:color="auto"/>
                <w:right w:val="none" w:sz="0" w:space="0" w:color="auto"/>
              </w:divBdr>
            </w:div>
          </w:divsChild>
        </w:div>
        <w:div w:id="16347949">
          <w:marLeft w:val="0"/>
          <w:marRight w:val="0"/>
          <w:marTop w:val="0"/>
          <w:marBottom w:val="0"/>
          <w:divBdr>
            <w:top w:val="none" w:sz="0" w:space="0" w:color="auto"/>
            <w:left w:val="none" w:sz="0" w:space="0" w:color="auto"/>
            <w:bottom w:val="none" w:sz="0" w:space="0" w:color="auto"/>
            <w:right w:val="none" w:sz="0" w:space="0" w:color="auto"/>
          </w:divBdr>
          <w:divsChild>
            <w:div w:id="396705870">
              <w:marLeft w:val="0"/>
              <w:marRight w:val="0"/>
              <w:marTop w:val="0"/>
              <w:marBottom w:val="0"/>
              <w:divBdr>
                <w:top w:val="none" w:sz="0" w:space="0" w:color="auto"/>
                <w:left w:val="none" w:sz="0" w:space="0" w:color="auto"/>
                <w:bottom w:val="none" w:sz="0" w:space="0" w:color="auto"/>
                <w:right w:val="none" w:sz="0" w:space="0" w:color="auto"/>
              </w:divBdr>
            </w:div>
          </w:divsChild>
        </w:div>
        <w:div w:id="1664353924">
          <w:marLeft w:val="0"/>
          <w:marRight w:val="0"/>
          <w:marTop w:val="0"/>
          <w:marBottom w:val="0"/>
          <w:divBdr>
            <w:top w:val="none" w:sz="0" w:space="0" w:color="auto"/>
            <w:left w:val="none" w:sz="0" w:space="0" w:color="auto"/>
            <w:bottom w:val="none" w:sz="0" w:space="0" w:color="auto"/>
            <w:right w:val="none" w:sz="0" w:space="0" w:color="auto"/>
          </w:divBdr>
          <w:divsChild>
            <w:div w:id="1039934833">
              <w:marLeft w:val="0"/>
              <w:marRight w:val="0"/>
              <w:marTop w:val="0"/>
              <w:marBottom w:val="0"/>
              <w:divBdr>
                <w:top w:val="none" w:sz="0" w:space="0" w:color="auto"/>
                <w:left w:val="none" w:sz="0" w:space="0" w:color="auto"/>
                <w:bottom w:val="none" w:sz="0" w:space="0" w:color="auto"/>
                <w:right w:val="none" w:sz="0" w:space="0" w:color="auto"/>
              </w:divBdr>
            </w:div>
          </w:divsChild>
        </w:div>
        <w:div w:id="2014136888">
          <w:marLeft w:val="0"/>
          <w:marRight w:val="0"/>
          <w:marTop w:val="0"/>
          <w:marBottom w:val="0"/>
          <w:divBdr>
            <w:top w:val="none" w:sz="0" w:space="0" w:color="auto"/>
            <w:left w:val="none" w:sz="0" w:space="0" w:color="auto"/>
            <w:bottom w:val="none" w:sz="0" w:space="0" w:color="auto"/>
            <w:right w:val="none" w:sz="0" w:space="0" w:color="auto"/>
          </w:divBdr>
          <w:divsChild>
            <w:div w:id="289630402">
              <w:marLeft w:val="0"/>
              <w:marRight w:val="0"/>
              <w:marTop w:val="0"/>
              <w:marBottom w:val="0"/>
              <w:divBdr>
                <w:top w:val="none" w:sz="0" w:space="0" w:color="auto"/>
                <w:left w:val="none" w:sz="0" w:space="0" w:color="auto"/>
                <w:bottom w:val="none" w:sz="0" w:space="0" w:color="auto"/>
                <w:right w:val="none" w:sz="0" w:space="0" w:color="auto"/>
              </w:divBdr>
            </w:div>
          </w:divsChild>
        </w:div>
        <w:div w:id="346253266">
          <w:marLeft w:val="0"/>
          <w:marRight w:val="0"/>
          <w:marTop w:val="0"/>
          <w:marBottom w:val="0"/>
          <w:divBdr>
            <w:top w:val="none" w:sz="0" w:space="0" w:color="auto"/>
            <w:left w:val="none" w:sz="0" w:space="0" w:color="auto"/>
            <w:bottom w:val="none" w:sz="0" w:space="0" w:color="auto"/>
            <w:right w:val="none" w:sz="0" w:space="0" w:color="auto"/>
          </w:divBdr>
          <w:divsChild>
            <w:div w:id="1701662102">
              <w:marLeft w:val="0"/>
              <w:marRight w:val="0"/>
              <w:marTop w:val="0"/>
              <w:marBottom w:val="0"/>
              <w:divBdr>
                <w:top w:val="none" w:sz="0" w:space="0" w:color="auto"/>
                <w:left w:val="none" w:sz="0" w:space="0" w:color="auto"/>
                <w:bottom w:val="none" w:sz="0" w:space="0" w:color="auto"/>
                <w:right w:val="none" w:sz="0" w:space="0" w:color="auto"/>
              </w:divBdr>
            </w:div>
          </w:divsChild>
        </w:div>
        <w:div w:id="913121996">
          <w:marLeft w:val="0"/>
          <w:marRight w:val="0"/>
          <w:marTop w:val="0"/>
          <w:marBottom w:val="0"/>
          <w:divBdr>
            <w:top w:val="none" w:sz="0" w:space="0" w:color="auto"/>
            <w:left w:val="none" w:sz="0" w:space="0" w:color="auto"/>
            <w:bottom w:val="none" w:sz="0" w:space="0" w:color="auto"/>
            <w:right w:val="none" w:sz="0" w:space="0" w:color="auto"/>
          </w:divBdr>
          <w:divsChild>
            <w:div w:id="178324592">
              <w:marLeft w:val="0"/>
              <w:marRight w:val="0"/>
              <w:marTop w:val="0"/>
              <w:marBottom w:val="0"/>
              <w:divBdr>
                <w:top w:val="none" w:sz="0" w:space="0" w:color="auto"/>
                <w:left w:val="none" w:sz="0" w:space="0" w:color="auto"/>
                <w:bottom w:val="none" w:sz="0" w:space="0" w:color="auto"/>
                <w:right w:val="none" w:sz="0" w:space="0" w:color="auto"/>
              </w:divBdr>
            </w:div>
          </w:divsChild>
        </w:div>
        <w:div w:id="2077194137">
          <w:marLeft w:val="0"/>
          <w:marRight w:val="0"/>
          <w:marTop w:val="0"/>
          <w:marBottom w:val="0"/>
          <w:divBdr>
            <w:top w:val="none" w:sz="0" w:space="0" w:color="auto"/>
            <w:left w:val="none" w:sz="0" w:space="0" w:color="auto"/>
            <w:bottom w:val="none" w:sz="0" w:space="0" w:color="auto"/>
            <w:right w:val="none" w:sz="0" w:space="0" w:color="auto"/>
          </w:divBdr>
          <w:divsChild>
            <w:div w:id="116531863">
              <w:marLeft w:val="0"/>
              <w:marRight w:val="0"/>
              <w:marTop w:val="0"/>
              <w:marBottom w:val="0"/>
              <w:divBdr>
                <w:top w:val="none" w:sz="0" w:space="0" w:color="auto"/>
                <w:left w:val="none" w:sz="0" w:space="0" w:color="auto"/>
                <w:bottom w:val="none" w:sz="0" w:space="0" w:color="auto"/>
                <w:right w:val="none" w:sz="0" w:space="0" w:color="auto"/>
              </w:divBdr>
            </w:div>
          </w:divsChild>
        </w:div>
        <w:div w:id="1355037602">
          <w:marLeft w:val="0"/>
          <w:marRight w:val="0"/>
          <w:marTop w:val="0"/>
          <w:marBottom w:val="0"/>
          <w:divBdr>
            <w:top w:val="none" w:sz="0" w:space="0" w:color="auto"/>
            <w:left w:val="none" w:sz="0" w:space="0" w:color="auto"/>
            <w:bottom w:val="none" w:sz="0" w:space="0" w:color="auto"/>
            <w:right w:val="none" w:sz="0" w:space="0" w:color="auto"/>
          </w:divBdr>
          <w:divsChild>
            <w:div w:id="1567296144">
              <w:marLeft w:val="0"/>
              <w:marRight w:val="0"/>
              <w:marTop w:val="0"/>
              <w:marBottom w:val="0"/>
              <w:divBdr>
                <w:top w:val="none" w:sz="0" w:space="0" w:color="auto"/>
                <w:left w:val="none" w:sz="0" w:space="0" w:color="auto"/>
                <w:bottom w:val="none" w:sz="0" w:space="0" w:color="auto"/>
                <w:right w:val="none" w:sz="0" w:space="0" w:color="auto"/>
              </w:divBdr>
            </w:div>
          </w:divsChild>
        </w:div>
        <w:div w:id="499808942">
          <w:marLeft w:val="0"/>
          <w:marRight w:val="0"/>
          <w:marTop w:val="0"/>
          <w:marBottom w:val="0"/>
          <w:divBdr>
            <w:top w:val="none" w:sz="0" w:space="0" w:color="auto"/>
            <w:left w:val="none" w:sz="0" w:space="0" w:color="auto"/>
            <w:bottom w:val="none" w:sz="0" w:space="0" w:color="auto"/>
            <w:right w:val="none" w:sz="0" w:space="0" w:color="auto"/>
          </w:divBdr>
          <w:divsChild>
            <w:div w:id="1095712509">
              <w:marLeft w:val="0"/>
              <w:marRight w:val="0"/>
              <w:marTop w:val="0"/>
              <w:marBottom w:val="0"/>
              <w:divBdr>
                <w:top w:val="none" w:sz="0" w:space="0" w:color="auto"/>
                <w:left w:val="none" w:sz="0" w:space="0" w:color="auto"/>
                <w:bottom w:val="none" w:sz="0" w:space="0" w:color="auto"/>
                <w:right w:val="none" w:sz="0" w:space="0" w:color="auto"/>
              </w:divBdr>
            </w:div>
          </w:divsChild>
        </w:div>
        <w:div w:id="1442803116">
          <w:marLeft w:val="0"/>
          <w:marRight w:val="0"/>
          <w:marTop w:val="0"/>
          <w:marBottom w:val="0"/>
          <w:divBdr>
            <w:top w:val="none" w:sz="0" w:space="0" w:color="auto"/>
            <w:left w:val="none" w:sz="0" w:space="0" w:color="auto"/>
            <w:bottom w:val="none" w:sz="0" w:space="0" w:color="auto"/>
            <w:right w:val="none" w:sz="0" w:space="0" w:color="auto"/>
          </w:divBdr>
          <w:divsChild>
            <w:div w:id="110250278">
              <w:marLeft w:val="0"/>
              <w:marRight w:val="0"/>
              <w:marTop w:val="0"/>
              <w:marBottom w:val="0"/>
              <w:divBdr>
                <w:top w:val="none" w:sz="0" w:space="0" w:color="auto"/>
                <w:left w:val="none" w:sz="0" w:space="0" w:color="auto"/>
                <w:bottom w:val="none" w:sz="0" w:space="0" w:color="auto"/>
                <w:right w:val="none" w:sz="0" w:space="0" w:color="auto"/>
              </w:divBdr>
            </w:div>
          </w:divsChild>
        </w:div>
        <w:div w:id="1977569060">
          <w:marLeft w:val="0"/>
          <w:marRight w:val="0"/>
          <w:marTop w:val="0"/>
          <w:marBottom w:val="0"/>
          <w:divBdr>
            <w:top w:val="none" w:sz="0" w:space="0" w:color="auto"/>
            <w:left w:val="none" w:sz="0" w:space="0" w:color="auto"/>
            <w:bottom w:val="none" w:sz="0" w:space="0" w:color="auto"/>
            <w:right w:val="none" w:sz="0" w:space="0" w:color="auto"/>
          </w:divBdr>
          <w:divsChild>
            <w:div w:id="248776244">
              <w:marLeft w:val="0"/>
              <w:marRight w:val="0"/>
              <w:marTop w:val="0"/>
              <w:marBottom w:val="0"/>
              <w:divBdr>
                <w:top w:val="none" w:sz="0" w:space="0" w:color="auto"/>
                <w:left w:val="none" w:sz="0" w:space="0" w:color="auto"/>
                <w:bottom w:val="none" w:sz="0" w:space="0" w:color="auto"/>
                <w:right w:val="none" w:sz="0" w:space="0" w:color="auto"/>
              </w:divBdr>
            </w:div>
          </w:divsChild>
        </w:div>
        <w:div w:id="2025741800">
          <w:marLeft w:val="0"/>
          <w:marRight w:val="0"/>
          <w:marTop w:val="0"/>
          <w:marBottom w:val="0"/>
          <w:divBdr>
            <w:top w:val="none" w:sz="0" w:space="0" w:color="auto"/>
            <w:left w:val="none" w:sz="0" w:space="0" w:color="auto"/>
            <w:bottom w:val="none" w:sz="0" w:space="0" w:color="auto"/>
            <w:right w:val="none" w:sz="0" w:space="0" w:color="auto"/>
          </w:divBdr>
          <w:divsChild>
            <w:div w:id="669215061">
              <w:marLeft w:val="0"/>
              <w:marRight w:val="0"/>
              <w:marTop w:val="0"/>
              <w:marBottom w:val="0"/>
              <w:divBdr>
                <w:top w:val="none" w:sz="0" w:space="0" w:color="auto"/>
                <w:left w:val="none" w:sz="0" w:space="0" w:color="auto"/>
                <w:bottom w:val="none" w:sz="0" w:space="0" w:color="auto"/>
                <w:right w:val="none" w:sz="0" w:space="0" w:color="auto"/>
              </w:divBdr>
            </w:div>
          </w:divsChild>
        </w:div>
        <w:div w:id="437258497">
          <w:marLeft w:val="0"/>
          <w:marRight w:val="0"/>
          <w:marTop w:val="0"/>
          <w:marBottom w:val="0"/>
          <w:divBdr>
            <w:top w:val="none" w:sz="0" w:space="0" w:color="auto"/>
            <w:left w:val="none" w:sz="0" w:space="0" w:color="auto"/>
            <w:bottom w:val="none" w:sz="0" w:space="0" w:color="auto"/>
            <w:right w:val="none" w:sz="0" w:space="0" w:color="auto"/>
          </w:divBdr>
          <w:divsChild>
            <w:div w:id="1087112390">
              <w:marLeft w:val="0"/>
              <w:marRight w:val="0"/>
              <w:marTop w:val="0"/>
              <w:marBottom w:val="0"/>
              <w:divBdr>
                <w:top w:val="none" w:sz="0" w:space="0" w:color="auto"/>
                <w:left w:val="none" w:sz="0" w:space="0" w:color="auto"/>
                <w:bottom w:val="none" w:sz="0" w:space="0" w:color="auto"/>
                <w:right w:val="none" w:sz="0" w:space="0" w:color="auto"/>
              </w:divBdr>
            </w:div>
          </w:divsChild>
        </w:div>
        <w:div w:id="767969955">
          <w:marLeft w:val="0"/>
          <w:marRight w:val="0"/>
          <w:marTop w:val="0"/>
          <w:marBottom w:val="0"/>
          <w:divBdr>
            <w:top w:val="none" w:sz="0" w:space="0" w:color="auto"/>
            <w:left w:val="none" w:sz="0" w:space="0" w:color="auto"/>
            <w:bottom w:val="none" w:sz="0" w:space="0" w:color="auto"/>
            <w:right w:val="none" w:sz="0" w:space="0" w:color="auto"/>
          </w:divBdr>
          <w:divsChild>
            <w:div w:id="2145156249">
              <w:marLeft w:val="0"/>
              <w:marRight w:val="0"/>
              <w:marTop w:val="0"/>
              <w:marBottom w:val="0"/>
              <w:divBdr>
                <w:top w:val="none" w:sz="0" w:space="0" w:color="auto"/>
                <w:left w:val="none" w:sz="0" w:space="0" w:color="auto"/>
                <w:bottom w:val="none" w:sz="0" w:space="0" w:color="auto"/>
                <w:right w:val="none" w:sz="0" w:space="0" w:color="auto"/>
              </w:divBdr>
            </w:div>
          </w:divsChild>
        </w:div>
        <w:div w:id="889537709">
          <w:marLeft w:val="0"/>
          <w:marRight w:val="0"/>
          <w:marTop w:val="0"/>
          <w:marBottom w:val="0"/>
          <w:divBdr>
            <w:top w:val="none" w:sz="0" w:space="0" w:color="auto"/>
            <w:left w:val="none" w:sz="0" w:space="0" w:color="auto"/>
            <w:bottom w:val="none" w:sz="0" w:space="0" w:color="auto"/>
            <w:right w:val="none" w:sz="0" w:space="0" w:color="auto"/>
          </w:divBdr>
          <w:divsChild>
            <w:div w:id="1582136373">
              <w:marLeft w:val="0"/>
              <w:marRight w:val="0"/>
              <w:marTop w:val="0"/>
              <w:marBottom w:val="0"/>
              <w:divBdr>
                <w:top w:val="none" w:sz="0" w:space="0" w:color="auto"/>
                <w:left w:val="none" w:sz="0" w:space="0" w:color="auto"/>
                <w:bottom w:val="none" w:sz="0" w:space="0" w:color="auto"/>
                <w:right w:val="none" w:sz="0" w:space="0" w:color="auto"/>
              </w:divBdr>
            </w:div>
          </w:divsChild>
        </w:div>
        <w:div w:id="565922115">
          <w:marLeft w:val="0"/>
          <w:marRight w:val="0"/>
          <w:marTop w:val="0"/>
          <w:marBottom w:val="0"/>
          <w:divBdr>
            <w:top w:val="none" w:sz="0" w:space="0" w:color="auto"/>
            <w:left w:val="none" w:sz="0" w:space="0" w:color="auto"/>
            <w:bottom w:val="none" w:sz="0" w:space="0" w:color="auto"/>
            <w:right w:val="none" w:sz="0" w:space="0" w:color="auto"/>
          </w:divBdr>
          <w:divsChild>
            <w:div w:id="1236743062">
              <w:marLeft w:val="0"/>
              <w:marRight w:val="0"/>
              <w:marTop w:val="0"/>
              <w:marBottom w:val="0"/>
              <w:divBdr>
                <w:top w:val="none" w:sz="0" w:space="0" w:color="auto"/>
                <w:left w:val="none" w:sz="0" w:space="0" w:color="auto"/>
                <w:bottom w:val="none" w:sz="0" w:space="0" w:color="auto"/>
                <w:right w:val="none" w:sz="0" w:space="0" w:color="auto"/>
              </w:divBdr>
            </w:div>
          </w:divsChild>
        </w:div>
        <w:div w:id="1179195630">
          <w:marLeft w:val="0"/>
          <w:marRight w:val="0"/>
          <w:marTop w:val="0"/>
          <w:marBottom w:val="0"/>
          <w:divBdr>
            <w:top w:val="none" w:sz="0" w:space="0" w:color="auto"/>
            <w:left w:val="none" w:sz="0" w:space="0" w:color="auto"/>
            <w:bottom w:val="none" w:sz="0" w:space="0" w:color="auto"/>
            <w:right w:val="none" w:sz="0" w:space="0" w:color="auto"/>
          </w:divBdr>
          <w:divsChild>
            <w:div w:id="980841078">
              <w:marLeft w:val="0"/>
              <w:marRight w:val="0"/>
              <w:marTop w:val="0"/>
              <w:marBottom w:val="0"/>
              <w:divBdr>
                <w:top w:val="none" w:sz="0" w:space="0" w:color="auto"/>
                <w:left w:val="none" w:sz="0" w:space="0" w:color="auto"/>
                <w:bottom w:val="none" w:sz="0" w:space="0" w:color="auto"/>
                <w:right w:val="none" w:sz="0" w:space="0" w:color="auto"/>
              </w:divBdr>
            </w:div>
          </w:divsChild>
        </w:div>
        <w:div w:id="1736586590">
          <w:marLeft w:val="0"/>
          <w:marRight w:val="0"/>
          <w:marTop w:val="0"/>
          <w:marBottom w:val="0"/>
          <w:divBdr>
            <w:top w:val="none" w:sz="0" w:space="0" w:color="auto"/>
            <w:left w:val="none" w:sz="0" w:space="0" w:color="auto"/>
            <w:bottom w:val="none" w:sz="0" w:space="0" w:color="auto"/>
            <w:right w:val="none" w:sz="0" w:space="0" w:color="auto"/>
          </w:divBdr>
          <w:divsChild>
            <w:div w:id="2071541102">
              <w:marLeft w:val="0"/>
              <w:marRight w:val="0"/>
              <w:marTop w:val="0"/>
              <w:marBottom w:val="0"/>
              <w:divBdr>
                <w:top w:val="none" w:sz="0" w:space="0" w:color="auto"/>
                <w:left w:val="none" w:sz="0" w:space="0" w:color="auto"/>
                <w:bottom w:val="none" w:sz="0" w:space="0" w:color="auto"/>
                <w:right w:val="none" w:sz="0" w:space="0" w:color="auto"/>
              </w:divBdr>
            </w:div>
          </w:divsChild>
        </w:div>
        <w:div w:id="1942952099">
          <w:marLeft w:val="0"/>
          <w:marRight w:val="0"/>
          <w:marTop w:val="0"/>
          <w:marBottom w:val="0"/>
          <w:divBdr>
            <w:top w:val="none" w:sz="0" w:space="0" w:color="auto"/>
            <w:left w:val="none" w:sz="0" w:space="0" w:color="auto"/>
            <w:bottom w:val="none" w:sz="0" w:space="0" w:color="auto"/>
            <w:right w:val="none" w:sz="0" w:space="0" w:color="auto"/>
          </w:divBdr>
          <w:divsChild>
            <w:div w:id="1913201970">
              <w:marLeft w:val="0"/>
              <w:marRight w:val="0"/>
              <w:marTop w:val="0"/>
              <w:marBottom w:val="0"/>
              <w:divBdr>
                <w:top w:val="none" w:sz="0" w:space="0" w:color="auto"/>
                <w:left w:val="none" w:sz="0" w:space="0" w:color="auto"/>
                <w:bottom w:val="none" w:sz="0" w:space="0" w:color="auto"/>
                <w:right w:val="none" w:sz="0" w:space="0" w:color="auto"/>
              </w:divBdr>
            </w:div>
          </w:divsChild>
        </w:div>
        <w:div w:id="1002200636">
          <w:marLeft w:val="0"/>
          <w:marRight w:val="0"/>
          <w:marTop w:val="0"/>
          <w:marBottom w:val="0"/>
          <w:divBdr>
            <w:top w:val="none" w:sz="0" w:space="0" w:color="auto"/>
            <w:left w:val="none" w:sz="0" w:space="0" w:color="auto"/>
            <w:bottom w:val="none" w:sz="0" w:space="0" w:color="auto"/>
            <w:right w:val="none" w:sz="0" w:space="0" w:color="auto"/>
          </w:divBdr>
          <w:divsChild>
            <w:div w:id="885143497">
              <w:marLeft w:val="0"/>
              <w:marRight w:val="0"/>
              <w:marTop w:val="0"/>
              <w:marBottom w:val="0"/>
              <w:divBdr>
                <w:top w:val="none" w:sz="0" w:space="0" w:color="auto"/>
                <w:left w:val="none" w:sz="0" w:space="0" w:color="auto"/>
                <w:bottom w:val="none" w:sz="0" w:space="0" w:color="auto"/>
                <w:right w:val="none" w:sz="0" w:space="0" w:color="auto"/>
              </w:divBdr>
            </w:div>
          </w:divsChild>
        </w:div>
        <w:div w:id="1438913492">
          <w:marLeft w:val="0"/>
          <w:marRight w:val="0"/>
          <w:marTop w:val="0"/>
          <w:marBottom w:val="0"/>
          <w:divBdr>
            <w:top w:val="none" w:sz="0" w:space="0" w:color="auto"/>
            <w:left w:val="none" w:sz="0" w:space="0" w:color="auto"/>
            <w:bottom w:val="none" w:sz="0" w:space="0" w:color="auto"/>
            <w:right w:val="none" w:sz="0" w:space="0" w:color="auto"/>
          </w:divBdr>
          <w:divsChild>
            <w:div w:id="1389188408">
              <w:marLeft w:val="0"/>
              <w:marRight w:val="0"/>
              <w:marTop w:val="0"/>
              <w:marBottom w:val="0"/>
              <w:divBdr>
                <w:top w:val="none" w:sz="0" w:space="0" w:color="auto"/>
                <w:left w:val="none" w:sz="0" w:space="0" w:color="auto"/>
                <w:bottom w:val="none" w:sz="0" w:space="0" w:color="auto"/>
                <w:right w:val="none" w:sz="0" w:space="0" w:color="auto"/>
              </w:divBdr>
            </w:div>
          </w:divsChild>
        </w:div>
        <w:div w:id="1931497714">
          <w:marLeft w:val="0"/>
          <w:marRight w:val="0"/>
          <w:marTop w:val="0"/>
          <w:marBottom w:val="0"/>
          <w:divBdr>
            <w:top w:val="none" w:sz="0" w:space="0" w:color="auto"/>
            <w:left w:val="none" w:sz="0" w:space="0" w:color="auto"/>
            <w:bottom w:val="none" w:sz="0" w:space="0" w:color="auto"/>
            <w:right w:val="none" w:sz="0" w:space="0" w:color="auto"/>
          </w:divBdr>
          <w:divsChild>
            <w:div w:id="710151695">
              <w:marLeft w:val="0"/>
              <w:marRight w:val="0"/>
              <w:marTop w:val="0"/>
              <w:marBottom w:val="0"/>
              <w:divBdr>
                <w:top w:val="none" w:sz="0" w:space="0" w:color="auto"/>
                <w:left w:val="none" w:sz="0" w:space="0" w:color="auto"/>
                <w:bottom w:val="none" w:sz="0" w:space="0" w:color="auto"/>
                <w:right w:val="none" w:sz="0" w:space="0" w:color="auto"/>
              </w:divBdr>
            </w:div>
          </w:divsChild>
        </w:div>
        <w:div w:id="110756816">
          <w:marLeft w:val="0"/>
          <w:marRight w:val="0"/>
          <w:marTop w:val="0"/>
          <w:marBottom w:val="0"/>
          <w:divBdr>
            <w:top w:val="none" w:sz="0" w:space="0" w:color="auto"/>
            <w:left w:val="none" w:sz="0" w:space="0" w:color="auto"/>
            <w:bottom w:val="none" w:sz="0" w:space="0" w:color="auto"/>
            <w:right w:val="none" w:sz="0" w:space="0" w:color="auto"/>
          </w:divBdr>
          <w:divsChild>
            <w:div w:id="2123649754">
              <w:marLeft w:val="0"/>
              <w:marRight w:val="0"/>
              <w:marTop w:val="0"/>
              <w:marBottom w:val="0"/>
              <w:divBdr>
                <w:top w:val="none" w:sz="0" w:space="0" w:color="auto"/>
                <w:left w:val="none" w:sz="0" w:space="0" w:color="auto"/>
                <w:bottom w:val="none" w:sz="0" w:space="0" w:color="auto"/>
                <w:right w:val="none" w:sz="0" w:space="0" w:color="auto"/>
              </w:divBdr>
            </w:div>
          </w:divsChild>
        </w:div>
        <w:div w:id="613680416">
          <w:marLeft w:val="0"/>
          <w:marRight w:val="0"/>
          <w:marTop w:val="0"/>
          <w:marBottom w:val="0"/>
          <w:divBdr>
            <w:top w:val="none" w:sz="0" w:space="0" w:color="auto"/>
            <w:left w:val="none" w:sz="0" w:space="0" w:color="auto"/>
            <w:bottom w:val="none" w:sz="0" w:space="0" w:color="auto"/>
            <w:right w:val="none" w:sz="0" w:space="0" w:color="auto"/>
          </w:divBdr>
          <w:divsChild>
            <w:div w:id="1473324549">
              <w:marLeft w:val="0"/>
              <w:marRight w:val="0"/>
              <w:marTop w:val="0"/>
              <w:marBottom w:val="0"/>
              <w:divBdr>
                <w:top w:val="none" w:sz="0" w:space="0" w:color="auto"/>
                <w:left w:val="none" w:sz="0" w:space="0" w:color="auto"/>
                <w:bottom w:val="none" w:sz="0" w:space="0" w:color="auto"/>
                <w:right w:val="none" w:sz="0" w:space="0" w:color="auto"/>
              </w:divBdr>
            </w:div>
          </w:divsChild>
        </w:div>
        <w:div w:id="867958827">
          <w:marLeft w:val="0"/>
          <w:marRight w:val="0"/>
          <w:marTop w:val="0"/>
          <w:marBottom w:val="0"/>
          <w:divBdr>
            <w:top w:val="none" w:sz="0" w:space="0" w:color="auto"/>
            <w:left w:val="none" w:sz="0" w:space="0" w:color="auto"/>
            <w:bottom w:val="none" w:sz="0" w:space="0" w:color="auto"/>
            <w:right w:val="none" w:sz="0" w:space="0" w:color="auto"/>
          </w:divBdr>
          <w:divsChild>
            <w:div w:id="896860912">
              <w:marLeft w:val="0"/>
              <w:marRight w:val="0"/>
              <w:marTop w:val="0"/>
              <w:marBottom w:val="0"/>
              <w:divBdr>
                <w:top w:val="none" w:sz="0" w:space="0" w:color="auto"/>
                <w:left w:val="none" w:sz="0" w:space="0" w:color="auto"/>
                <w:bottom w:val="none" w:sz="0" w:space="0" w:color="auto"/>
                <w:right w:val="none" w:sz="0" w:space="0" w:color="auto"/>
              </w:divBdr>
            </w:div>
          </w:divsChild>
        </w:div>
        <w:div w:id="2026400027">
          <w:marLeft w:val="0"/>
          <w:marRight w:val="0"/>
          <w:marTop w:val="0"/>
          <w:marBottom w:val="0"/>
          <w:divBdr>
            <w:top w:val="none" w:sz="0" w:space="0" w:color="auto"/>
            <w:left w:val="none" w:sz="0" w:space="0" w:color="auto"/>
            <w:bottom w:val="none" w:sz="0" w:space="0" w:color="auto"/>
            <w:right w:val="none" w:sz="0" w:space="0" w:color="auto"/>
          </w:divBdr>
          <w:divsChild>
            <w:div w:id="1742288543">
              <w:marLeft w:val="0"/>
              <w:marRight w:val="0"/>
              <w:marTop w:val="0"/>
              <w:marBottom w:val="0"/>
              <w:divBdr>
                <w:top w:val="none" w:sz="0" w:space="0" w:color="auto"/>
                <w:left w:val="none" w:sz="0" w:space="0" w:color="auto"/>
                <w:bottom w:val="none" w:sz="0" w:space="0" w:color="auto"/>
                <w:right w:val="none" w:sz="0" w:space="0" w:color="auto"/>
              </w:divBdr>
            </w:div>
          </w:divsChild>
        </w:div>
        <w:div w:id="1817068074">
          <w:marLeft w:val="0"/>
          <w:marRight w:val="0"/>
          <w:marTop w:val="0"/>
          <w:marBottom w:val="0"/>
          <w:divBdr>
            <w:top w:val="none" w:sz="0" w:space="0" w:color="auto"/>
            <w:left w:val="none" w:sz="0" w:space="0" w:color="auto"/>
            <w:bottom w:val="none" w:sz="0" w:space="0" w:color="auto"/>
            <w:right w:val="none" w:sz="0" w:space="0" w:color="auto"/>
          </w:divBdr>
          <w:divsChild>
            <w:div w:id="1516847942">
              <w:marLeft w:val="0"/>
              <w:marRight w:val="0"/>
              <w:marTop w:val="0"/>
              <w:marBottom w:val="0"/>
              <w:divBdr>
                <w:top w:val="none" w:sz="0" w:space="0" w:color="auto"/>
                <w:left w:val="none" w:sz="0" w:space="0" w:color="auto"/>
                <w:bottom w:val="none" w:sz="0" w:space="0" w:color="auto"/>
                <w:right w:val="none" w:sz="0" w:space="0" w:color="auto"/>
              </w:divBdr>
            </w:div>
          </w:divsChild>
        </w:div>
        <w:div w:id="282077250">
          <w:marLeft w:val="0"/>
          <w:marRight w:val="0"/>
          <w:marTop w:val="0"/>
          <w:marBottom w:val="0"/>
          <w:divBdr>
            <w:top w:val="none" w:sz="0" w:space="0" w:color="auto"/>
            <w:left w:val="none" w:sz="0" w:space="0" w:color="auto"/>
            <w:bottom w:val="none" w:sz="0" w:space="0" w:color="auto"/>
            <w:right w:val="none" w:sz="0" w:space="0" w:color="auto"/>
          </w:divBdr>
          <w:divsChild>
            <w:div w:id="1746141808">
              <w:marLeft w:val="0"/>
              <w:marRight w:val="0"/>
              <w:marTop w:val="0"/>
              <w:marBottom w:val="0"/>
              <w:divBdr>
                <w:top w:val="none" w:sz="0" w:space="0" w:color="auto"/>
                <w:left w:val="none" w:sz="0" w:space="0" w:color="auto"/>
                <w:bottom w:val="none" w:sz="0" w:space="0" w:color="auto"/>
                <w:right w:val="none" w:sz="0" w:space="0" w:color="auto"/>
              </w:divBdr>
            </w:div>
          </w:divsChild>
        </w:div>
        <w:div w:id="1770464935">
          <w:marLeft w:val="0"/>
          <w:marRight w:val="0"/>
          <w:marTop w:val="0"/>
          <w:marBottom w:val="0"/>
          <w:divBdr>
            <w:top w:val="none" w:sz="0" w:space="0" w:color="auto"/>
            <w:left w:val="none" w:sz="0" w:space="0" w:color="auto"/>
            <w:bottom w:val="none" w:sz="0" w:space="0" w:color="auto"/>
            <w:right w:val="none" w:sz="0" w:space="0" w:color="auto"/>
          </w:divBdr>
          <w:divsChild>
            <w:div w:id="1871184348">
              <w:marLeft w:val="0"/>
              <w:marRight w:val="0"/>
              <w:marTop w:val="0"/>
              <w:marBottom w:val="0"/>
              <w:divBdr>
                <w:top w:val="none" w:sz="0" w:space="0" w:color="auto"/>
                <w:left w:val="none" w:sz="0" w:space="0" w:color="auto"/>
                <w:bottom w:val="none" w:sz="0" w:space="0" w:color="auto"/>
                <w:right w:val="none" w:sz="0" w:space="0" w:color="auto"/>
              </w:divBdr>
            </w:div>
          </w:divsChild>
        </w:div>
        <w:div w:id="2032299094">
          <w:marLeft w:val="0"/>
          <w:marRight w:val="0"/>
          <w:marTop w:val="0"/>
          <w:marBottom w:val="0"/>
          <w:divBdr>
            <w:top w:val="none" w:sz="0" w:space="0" w:color="auto"/>
            <w:left w:val="none" w:sz="0" w:space="0" w:color="auto"/>
            <w:bottom w:val="none" w:sz="0" w:space="0" w:color="auto"/>
            <w:right w:val="none" w:sz="0" w:space="0" w:color="auto"/>
          </w:divBdr>
          <w:divsChild>
            <w:div w:id="1742634690">
              <w:marLeft w:val="0"/>
              <w:marRight w:val="0"/>
              <w:marTop w:val="0"/>
              <w:marBottom w:val="0"/>
              <w:divBdr>
                <w:top w:val="none" w:sz="0" w:space="0" w:color="auto"/>
                <w:left w:val="none" w:sz="0" w:space="0" w:color="auto"/>
                <w:bottom w:val="none" w:sz="0" w:space="0" w:color="auto"/>
                <w:right w:val="none" w:sz="0" w:space="0" w:color="auto"/>
              </w:divBdr>
            </w:div>
          </w:divsChild>
        </w:div>
        <w:div w:id="1583832939">
          <w:marLeft w:val="0"/>
          <w:marRight w:val="0"/>
          <w:marTop w:val="0"/>
          <w:marBottom w:val="0"/>
          <w:divBdr>
            <w:top w:val="none" w:sz="0" w:space="0" w:color="auto"/>
            <w:left w:val="none" w:sz="0" w:space="0" w:color="auto"/>
            <w:bottom w:val="none" w:sz="0" w:space="0" w:color="auto"/>
            <w:right w:val="none" w:sz="0" w:space="0" w:color="auto"/>
          </w:divBdr>
          <w:divsChild>
            <w:div w:id="1060444618">
              <w:marLeft w:val="0"/>
              <w:marRight w:val="0"/>
              <w:marTop w:val="0"/>
              <w:marBottom w:val="0"/>
              <w:divBdr>
                <w:top w:val="none" w:sz="0" w:space="0" w:color="auto"/>
                <w:left w:val="none" w:sz="0" w:space="0" w:color="auto"/>
                <w:bottom w:val="none" w:sz="0" w:space="0" w:color="auto"/>
                <w:right w:val="none" w:sz="0" w:space="0" w:color="auto"/>
              </w:divBdr>
            </w:div>
          </w:divsChild>
        </w:div>
        <w:div w:id="1897618807">
          <w:marLeft w:val="0"/>
          <w:marRight w:val="0"/>
          <w:marTop w:val="0"/>
          <w:marBottom w:val="0"/>
          <w:divBdr>
            <w:top w:val="none" w:sz="0" w:space="0" w:color="auto"/>
            <w:left w:val="none" w:sz="0" w:space="0" w:color="auto"/>
            <w:bottom w:val="none" w:sz="0" w:space="0" w:color="auto"/>
            <w:right w:val="none" w:sz="0" w:space="0" w:color="auto"/>
          </w:divBdr>
          <w:divsChild>
            <w:div w:id="713430701">
              <w:marLeft w:val="0"/>
              <w:marRight w:val="0"/>
              <w:marTop w:val="0"/>
              <w:marBottom w:val="0"/>
              <w:divBdr>
                <w:top w:val="none" w:sz="0" w:space="0" w:color="auto"/>
                <w:left w:val="none" w:sz="0" w:space="0" w:color="auto"/>
                <w:bottom w:val="none" w:sz="0" w:space="0" w:color="auto"/>
                <w:right w:val="none" w:sz="0" w:space="0" w:color="auto"/>
              </w:divBdr>
            </w:div>
          </w:divsChild>
        </w:div>
        <w:div w:id="1913269584">
          <w:marLeft w:val="0"/>
          <w:marRight w:val="0"/>
          <w:marTop w:val="0"/>
          <w:marBottom w:val="0"/>
          <w:divBdr>
            <w:top w:val="none" w:sz="0" w:space="0" w:color="auto"/>
            <w:left w:val="none" w:sz="0" w:space="0" w:color="auto"/>
            <w:bottom w:val="none" w:sz="0" w:space="0" w:color="auto"/>
            <w:right w:val="none" w:sz="0" w:space="0" w:color="auto"/>
          </w:divBdr>
          <w:divsChild>
            <w:div w:id="857429685">
              <w:marLeft w:val="0"/>
              <w:marRight w:val="0"/>
              <w:marTop w:val="0"/>
              <w:marBottom w:val="0"/>
              <w:divBdr>
                <w:top w:val="none" w:sz="0" w:space="0" w:color="auto"/>
                <w:left w:val="none" w:sz="0" w:space="0" w:color="auto"/>
                <w:bottom w:val="none" w:sz="0" w:space="0" w:color="auto"/>
                <w:right w:val="none" w:sz="0" w:space="0" w:color="auto"/>
              </w:divBdr>
            </w:div>
          </w:divsChild>
        </w:div>
        <w:div w:id="1658345140">
          <w:marLeft w:val="0"/>
          <w:marRight w:val="0"/>
          <w:marTop w:val="0"/>
          <w:marBottom w:val="0"/>
          <w:divBdr>
            <w:top w:val="none" w:sz="0" w:space="0" w:color="auto"/>
            <w:left w:val="none" w:sz="0" w:space="0" w:color="auto"/>
            <w:bottom w:val="none" w:sz="0" w:space="0" w:color="auto"/>
            <w:right w:val="none" w:sz="0" w:space="0" w:color="auto"/>
          </w:divBdr>
          <w:divsChild>
            <w:div w:id="2032030728">
              <w:marLeft w:val="0"/>
              <w:marRight w:val="0"/>
              <w:marTop w:val="0"/>
              <w:marBottom w:val="0"/>
              <w:divBdr>
                <w:top w:val="none" w:sz="0" w:space="0" w:color="auto"/>
                <w:left w:val="none" w:sz="0" w:space="0" w:color="auto"/>
                <w:bottom w:val="none" w:sz="0" w:space="0" w:color="auto"/>
                <w:right w:val="none" w:sz="0" w:space="0" w:color="auto"/>
              </w:divBdr>
            </w:div>
          </w:divsChild>
        </w:div>
        <w:div w:id="262957001">
          <w:marLeft w:val="0"/>
          <w:marRight w:val="0"/>
          <w:marTop w:val="0"/>
          <w:marBottom w:val="0"/>
          <w:divBdr>
            <w:top w:val="none" w:sz="0" w:space="0" w:color="auto"/>
            <w:left w:val="none" w:sz="0" w:space="0" w:color="auto"/>
            <w:bottom w:val="none" w:sz="0" w:space="0" w:color="auto"/>
            <w:right w:val="none" w:sz="0" w:space="0" w:color="auto"/>
          </w:divBdr>
          <w:divsChild>
            <w:div w:id="1455447581">
              <w:marLeft w:val="0"/>
              <w:marRight w:val="0"/>
              <w:marTop w:val="0"/>
              <w:marBottom w:val="0"/>
              <w:divBdr>
                <w:top w:val="none" w:sz="0" w:space="0" w:color="auto"/>
                <w:left w:val="none" w:sz="0" w:space="0" w:color="auto"/>
                <w:bottom w:val="none" w:sz="0" w:space="0" w:color="auto"/>
                <w:right w:val="none" w:sz="0" w:space="0" w:color="auto"/>
              </w:divBdr>
            </w:div>
          </w:divsChild>
        </w:div>
        <w:div w:id="1260944406">
          <w:marLeft w:val="0"/>
          <w:marRight w:val="0"/>
          <w:marTop w:val="0"/>
          <w:marBottom w:val="0"/>
          <w:divBdr>
            <w:top w:val="none" w:sz="0" w:space="0" w:color="auto"/>
            <w:left w:val="none" w:sz="0" w:space="0" w:color="auto"/>
            <w:bottom w:val="none" w:sz="0" w:space="0" w:color="auto"/>
            <w:right w:val="none" w:sz="0" w:space="0" w:color="auto"/>
          </w:divBdr>
          <w:divsChild>
            <w:div w:id="507982293">
              <w:marLeft w:val="0"/>
              <w:marRight w:val="0"/>
              <w:marTop w:val="0"/>
              <w:marBottom w:val="0"/>
              <w:divBdr>
                <w:top w:val="none" w:sz="0" w:space="0" w:color="auto"/>
                <w:left w:val="none" w:sz="0" w:space="0" w:color="auto"/>
                <w:bottom w:val="none" w:sz="0" w:space="0" w:color="auto"/>
                <w:right w:val="none" w:sz="0" w:space="0" w:color="auto"/>
              </w:divBdr>
            </w:div>
          </w:divsChild>
        </w:div>
        <w:div w:id="1467553123">
          <w:marLeft w:val="0"/>
          <w:marRight w:val="0"/>
          <w:marTop w:val="0"/>
          <w:marBottom w:val="0"/>
          <w:divBdr>
            <w:top w:val="none" w:sz="0" w:space="0" w:color="auto"/>
            <w:left w:val="none" w:sz="0" w:space="0" w:color="auto"/>
            <w:bottom w:val="none" w:sz="0" w:space="0" w:color="auto"/>
            <w:right w:val="none" w:sz="0" w:space="0" w:color="auto"/>
          </w:divBdr>
          <w:divsChild>
            <w:div w:id="216089120">
              <w:marLeft w:val="0"/>
              <w:marRight w:val="0"/>
              <w:marTop w:val="0"/>
              <w:marBottom w:val="0"/>
              <w:divBdr>
                <w:top w:val="none" w:sz="0" w:space="0" w:color="auto"/>
                <w:left w:val="none" w:sz="0" w:space="0" w:color="auto"/>
                <w:bottom w:val="none" w:sz="0" w:space="0" w:color="auto"/>
                <w:right w:val="none" w:sz="0" w:space="0" w:color="auto"/>
              </w:divBdr>
            </w:div>
          </w:divsChild>
        </w:div>
        <w:div w:id="1121729226">
          <w:marLeft w:val="0"/>
          <w:marRight w:val="0"/>
          <w:marTop w:val="0"/>
          <w:marBottom w:val="0"/>
          <w:divBdr>
            <w:top w:val="none" w:sz="0" w:space="0" w:color="auto"/>
            <w:left w:val="none" w:sz="0" w:space="0" w:color="auto"/>
            <w:bottom w:val="none" w:sz="0" w:space="0" w:color="auto"/>
            <w:right w:val="none" w:sz="0" w:space="0" w:color="auto"/>
          </w:divBdr>
          <w:divsChild>
            <w:div w:id="1916432086">
              <w:marLeft w:val="0"/>
              <w:marRight w:val="0"/>
              <w:marTop w:val="0"/>
              <w:marBottom w:val="0"/>
              <w:divBdr>
                <w:top w:val="none" w:sz="0" w:space="0" w:color="auto"/>
                <w:left w:val="none" w:sz="0" w:space="0" w:color="auto"/>
                <w:bottom w:val="none" w:sz="0" w:space="0" w:color="auto"/>
                <w:right w:val="none" w:sz="0" w:space="0" w:color="auto"/>
              </w:divBdr>
            </w:div>
          </w:divsChild>
        </w:div>
        <w:div w:id="934246745">
          <w:marLeft w:val="0"/>
          <w:marRight w:val="0"/>
          <w:marTop w:val="0"/>
          <w:marBottom w:val="0"/>
          <w:divBdr>
            <w:top w:val="none" w:sz="0" w:space="0" w:color="auto"/>
            <w:left w:val="none" w:sz="0" w:space="0" w:color="auto"/>
            <w:bottom w:val="none" w:sz="0" w:space="0" w:color="auto"/>
            <w:right w:val="none" w:sz="0" w:space="0" w:color="auto"/>
          </w:divBdr>
          <w:divsChild>
            <w:div w:id="1988237795">
              <w:marLeft w:val="0"/>
              <w:marRight w:val="0"/>
              <w:marTop w:val="0"/>
              <w:marBottom w:val="0"/>
              <w:divBdr>
                <w:top w:val="none" w:sz="0" w:space="0" w:color="auto"/>
                <w:left w:val="none" w:sz="0" w:space="0" w:color="auto"/>
                <w:bottom w:val="none" w:sz="0" w:space="0" w:color="auto"/>
                <w:right w:val="none" w:sz="0" w:space="0" w:color="auto"/>
              </w:divBdr>
            </w:div>
          </w:divsChild>
        </w:div>
        <w:div w:id="951130382">
          <w:marLeft w:val="0"/>
          <w:marRight w:val="0"/>
          <w:marTop w:val="0"/>
          <w:marBottom w:val="0"/>
          <w:divBdr>
            <w:top w:val="none" w:sz="0" w:space="0" w:color="auto"/>
            <w:left w:val="none" w:sz="0" w:space="0" w:color="auto"/>
            <w:bottom w:val="none" w:sz="0" w:space="0" w:color="auto"/>
            <w:right w:val="none" w:sz="0" w:space="0" w:color="auto"/>
          </w:divBdr>
          <w:divsChild>
            <w:div w:id="1687749003">
              <w:marLeft w:val="0"/>
              <w:marRight w:val="0"/>
              <w:marTop w:val="0"/>
              <w:marBottom w:val="0"/>
              <w:divBdr>
                <w:top w:val="none" w:sz="0" w:space="0" w:color="auto"/>
                <w:left w:val="none" w:sz="0" w:space="0" w:color="auto"/>
                <w:bottom w:val="none" w:sz="0" w:space="0" w:color="auto"/>
                <w:right w:val="none" w:sz="0" w:space="0" w:color="auto"/>
              </w:divBdr>
            </w:div>
          </w:divsChild>
        </w:div>
        <w:div w:id="1575583612">
          <w:marLeft w:val="0"/>
          <w:marRight w:val="0"/>
          <w:marTop w:val="0"/>
          <w:marBottom w:val="0"/>
          <w:divBdr>
            <w:top w:val="none" w:sz="0" w:space="0" w:color="auto"/>
            <w:left w:val="none" w:sz="0" w:space="0" w:color="auto"/>
            <w:bottom w:val="none" w:sz="0" w:space="0" w:color="auto"/>
            <w:right w:val="none" w:sz="0" w:space="0" w:color="auto"/>
          </w:divBdr>
          <w:divsChild>
            <w:div w:id="773787898">
              <w:marLeft w:val="0"/>
              <w:marRight w:val="0"/>
              <w:marTop w:val="0"/>
              <w:marBottom w:val="0"/>
              <w:divBdr>
                <w:top w:val="none" w:sz="0" w:space="0" w:color="auto"/>
                <w:left w:val="none" w:sz="0" w:space="0" w:color="auto"/>
                <w:bottom w:val="none" w:sz="0" w:space="0" w:color="auto"/>
                <w:right w:val="none" w:sz="0" w:space="0" w:color="auto"/>
              </w:divBdr>
            </w:div>
          </w:divsChild>
        </w:div>
        <w:div w:id="2112823433">
          <w:marLeft w:val="0"/>
          <w:marRight w:val="0"/>
          <w:marTop w:val="0"/>
          <w:marBottom w:val="0"/>
          <w:divBdr>
            <w:top w:val="none" w:sz="0" w:space="0" w:color="auto"/>
            <w:left w:val="none" w:sz="0" w:space="0" w:color="auto"/>
            <w:bottom w:val="none" w:sz="0" w:space="0" w:color="auto"/>
            <w:right w:val="none" w:sz="0" w:space="0" w:color="auto"/>
          </w:divBdr>
          <w:divsChild>
            <w:div w:id="1926302691">
              <w:marLeft w:val="0"/>
              <w:marRight w:val="0"/>
              <w:marTop w:val="0"/>
              <w:marBottom w:val="0"/>
              <w:divBdr>
                <w:top w:val="none" w:sz="0" w:space="0" w:color="auto"/>
                <w:left w:val="none" w:sz="0" w:space="0" w:color="auto"/>
                <w:bottom w:val="none" w:sz="0" w:space="0" w:color="auto"/>
                <w:right w:val="none" w:sz="0" w:space="0" w:color="auto"/>
              </w:divBdr>
            </w:div>
          </w:divsChild>
        </w:div>
        <w:div w:id="179244781">
          <w:marLeft w:val="0"/>
          <w:marRight w:val="0"/>
          <w:marTop w:val="0"/>
          <w:marBottom w:val="0"/>
          <w:divBdr>
            <w:top w:val="none" w:sz="0" w:space="0" w:color="auto"/>
            <w:left w:val="none" w:sz="0" w:space="0" w:color="auto"/>
            <w:bottom w:val="none" w:sz="0" w:space="0" w:color="auto"/>
            <w:right w:val="none" w:sz="0" w:space="0" w:color="auto"/>
          </w:divBdr>
          <w:divsChild>
            <w:div w:id="951013071">
              <w:marLeft w:val="0"/>
              <w:marRight w:val="0"/>
              <w:marTop w:val="0"/>
              <w:marBottom w:val="0"/>
              <w:divBdr>
                <w:top w:val="none" w:sz="0" w:space="0" w:color="auto"/>
                <w:left w:val="none" w:sz="0" w:space="0" w:color="auto"/>
                <w:bottom w:val="none" w:sz="0" w:space="0" w:color="auto"/>
                <w:right w:val="none" w:sz="0" w:space="0" w:color="auto"/>
              </w:divBdr>
            </w:div>
          </w:divsChild>
        </w:div>
        <w:div w:id="1040321723">
          <w:marLeft w:val="0"/>
          <w:marRight w:val="0"/>
          <w:marTop w:val="0"/>
          <w:marBottom w:val="0"/>
          <w:divBdr>
            <w:top w:val="none" w:sz="0" w:space="0" w:color="auto"/>
            <w:left w:val="none" w:sz="0" w:space="0" w:color="auto"/>
            <w:bottom w:val="none" w:sz="0" w:space="0" w:color="auto"/>
            <w:right w:val="none" w:sz="0" w:space="0" w:color="auto"/>
          </w:divBdr>
          <w:divsChild>
            <w:div w:id="948316925">
              <w:marLeft w:val="0"/>
              <w:marRight w:val="0"/>
              <w:marTop w:val="0"/>
              <w:marBottom w:val="0"/>
              <w:divBdr>
                <w:top w:val="none" w:sz="0" w:space="0" w:color="auto"/>
                <w:left w:val="none" w:sz="0" w:space="0" w:color="auto"/>
                <w:bottom w:val="none" w:sz="0" w:space="0" w:color="auto"/>
                <w:right w:val="none" w:sz="0" w:space="0" w:color="auto"/>
              </w:divBdr>
            </w:div>
          </w:divsChild>
        </w:div>
        <w:div w:id="163858592">
          <w:marLeft w:val="0"/>
          <w:marRight w:val="0"/>
          <w:marTop w:val="0"/>
          <w:marBottom w:val="0"/>
          <w:divBdr>
            <w:top w:val="none" w:sz="0" w:space="0" w:color="auto"/>
            <w:left w:val="none" w:sz="0" w:space="0" w:color="auto"/>
            <w:bottom w:val="none" w:sz="0" w:space="0" w:color="auto"/>
            <w:right w:val="none" w:sz="0" w:space="0" w:color="auto"/>
          </w:divBdr>
          <w:divsChild>
            <w:div w:id="2065637528">
              <w:marLeft w:val="0"/>
              <w:marRight w:val="0"/>
              <w:marTop w:val="0"/>
              <w:marBottom w:val="0"/>
              <w:divBdr>
                <w:top w:val="none" w:sz="0" w:space="0" w:color="auto"/>
                <w:left w:val="none" w:sz="0" w:space="0" w:color="auto"/>
                <w:bottom w:val="none" w:sz="0" w:space="0" w:color="auto"/>
                <w:right w:val="none" w:sz="0" w:space="0" w:color="auto"/>
              </w:divBdr>
            </w:div>
          </w:divsChild>
        </w:div>
        <w:div w:id="1547837076">
          <w:marLeft w:val="0"/>
          <w:marRight w:val="0"/>
          <w:marTop w:val="0"/>
          <w:marBottom w:val="0"/>
          <w:divBdr>
            <w:top w:val="none" w:sz="0" w:space="0" w:color="auto"/>
            <w:left w:val="none" w:sz="0" w:space="0" w:color="auto"/>
            <w:bottom w:val="none" w:sz="0" w:space="0" w:color="auto"/>
            <w:right w:val="none" w:sz="0" w:space="0" w:color="auto"/>
          </w:divBdr>
          <w:divsChild>
            <w:div w:id="1030372405">
              <w:marLeft w:val="0"/>
              <w:marRight w:val="0"/>
              <w:marTop w:val="0"/>
              <w:marBottom w:val="0"/>
              <w:divBdr>
                <w:top w:val="none" w:sz="0" w:space="0" w:color="auto"/>
                <w:left w:val="none" w:sz="0" w:space="0" w:color="auto"/>
                <w:bottom w:val="none" w:sz="0" w:space="0" w:color="auto"/>
                <w:right w:val="none" w:sz="0" w:space="0" w:color="auto"/>
              </w:divBdr>
            </w:div>
          </w:divsChild>
        </w:div>
        <w:div w:id="801535278">
          <w:marLeft w:val="0"/>
          <w:marRight w:val="0"/>
          <w:marTop w:val="0"/>
          <w:marBottom w:val="0"/>
          <w:divBdr>
            <w:top w:val="none" w:sz="0" w:space="0" w:color="auto"/>
            <w:left w:val="none" w:sz="0" w:space="0" w:color="auto"/>
            <w:bottom w:val="none" w:sz="0" w:space="0" w:color="auto"/>
            <w:right w:val="none" w:sz="0" w:space="0" w:color="auto"/>
          </w:divBdr>
          <w:divsChild>
            <w:div w:id="840968396">
              <w:marLeft w:val="0"/>
              <w:marRight w:val="0"/>
              <w:marTop w:val="0"/>
              <w:marBottom w:val="0"/>
              <w:divBdr>
                <w:top w:val="none" w:sz="0" w:space="0" w:color="auto"/>
                <w:left w:val="none" w:sz="0" w:space="0" w:color="auto"/>
                <w:bottom w:val="none" w:sz="0" w:space="0" w:color="auto"/>
                <w:right w:val="none" w:sz="0" w:space="0" w:color="auto"/>
              </w:divBdr>
            </w:div>
          </w:divsChild>
        </w:div>
        <w:div w:id="1897693098">
          <w:marLeft w:val="0"/>
          <w:marRight w:val="0"/>
          <w:marTop w:val="0"/>
          <w:marBottom w:val="0"/>
          <w:divBdr>
            <w:top w:val="none" w:sz="0" w:space="0" w:color="auto"/>
            <w:left w:val="none" w:sz="0" w:space="0" w:color="auto"/>
            <w:bottom w:val="none" w:sz="0" w:space="0" w:color="auto"/>
            <w:right w:val="none" w:sz="0" w:space="0" w:color="auto"/>
          </w:divBdr>
          <w:divsChild>
            <w:div w:id="358160972">
              <w:marLeft w:val="0"/>
              <w:marRight w:val="0"/>
              <w:marTop w:val="0"/>
              <w:marBottom w:val="0"/>
              <w:divBdr>
                <w:top w:val="none" w:sz="0" w:space="0" w:color="auto"/>
                <w:left w:val="none" w:sz="0" w:space="0" w:color="auto"/>
                <w:bottom w:val="none" w:sz="0" w:space="0" w:color="auto"/>
                <w:right w:val="none" w:sz="0" w:space="0" w:color="auto"/>
              </w:divBdr>
            </w:div>
          </w:divsChild>
        </w:div>
        <w:div w:id="1727144111">
          <w:marLeft w:val="0"/>
          <w:marRight w:val="0"/>
          <w:marTop w:val="0"/>
          <w:marBottom w:val="0"/>
          <w:divBdr>
            <w:top w:val="none" w:sz="0" w:space="0" w:color="auto"/>
            <w:left w:val="none" w:sz="0" w:space="0" w:color="auto"/>
            <w:bottom w:val="none" w:sz="0" w:space="0" w:color="auto"/>
            <w:right w:val="none" w:sz="0" w:space="0" w:color="auto"/>
          </w:divBdr>
          <w:divsChild>
            <w:div w:id="1138230905">
              <w:marLeft w:val="0"/>
              <w:marRight w:val="0"/>
              <w:marTop w:val="0"/>
              <w:marBottom w:val="0"/>
              <w:divBdr>
                <w:top w:val="none" w:sz="0" w:space="0" w:color="auto"/>
                <w:left w:val="none" w:sz="0" w:space="0" w:color="auto"/>
                <w:bottom w:val="none" w:sz="0" w:space="0" w:color="auto"/>
                <w:right w:val="none" w:sz="0" w:space="0" w:color="auto"/>
              </w:divBdr>
            </w:div>
          </w:divsChild>
        </w:div>
        <w:div w:id="1183780667">
          <w:marLeft w:val="0"/>
          <w:marRight w:val="0"/>
          <w:marTop w:val="0"/>
          <w:marBottom w:val="0"/>
          <w:divBdr>
            <w:top w:val="none" w:sz="0" w:space="0" w:color="auto"/>
            <w:left w:val="none" w:sz="0" w:space="0" w:color="auto"/>
            <w:bottom w:val="none" w:sz="0" w:space="0" w:color="auto"/>
            <w:right w:val="none" w:sz="0" w:space="0" w:color="auto"/>
          </w:divBdr>
          <w:divsChild>
            <w:div w:id="1921940904">
              <w:marLeft w:val="0"/>
              <w:marRight w:val="0"/>
              <w:marTop w:val="0"/>
              <w:marBottom w:val="0"/>
              <w:divBdr>
                <w:top w:val="none" w:sz="0" w:space="0" w:color="auto"/>
                <w:left w:val="none" w:sz="0" w:space="0" w:color="auto"/>
                <w:bottom w:val="none" w:sz="0" w:space="0" w:color="auto"/>
                <w:right w:val="none" w:sz="0" w:space="0" w:color="auto"/>
              </w:divBdr>
            </w:div>
          </w:divsChild>
        </w:div>
        <w:div w:id="457601766">
          <w:marLeft w:val="0"/>
          <w:marRight w:val="0"/>
          <w:marTop w:val="0"/>
          <w:marBottom w:val="0"/>
          <w:divBdr>
            <w:top w:val="none" w:sz="0" w:space="0" w:color="auto"/>
            <w:left w:val="none" w:sz="0" w:space="0" w:color="auto"/>
            <w:bottom w:val="none" w:sz="0" w:space="0" w:color="auto"/>
            <w:right w:val="none" w:sz="0" w:space="0" w:color="auto"/>
          </w:divBdr>
          <w:divsChild>
            <w:div w:id="1703021286">
              <w:marLeft w:val="0"/>
              <w:marRight w:val="0"/>
              <w:marTop w:val="0"/>
              <w:marBottom w:val="0"/>
              <w:divBdr>
                <w:top w:val="none" w:sz="0" w:space="0" w:color="auto"/>
                <w:left w:val="none" w:sz="0" w:space="0" w:color="auto"/>
                <w:bottom w:val="none" w:sz="0" w:space="0" w:color="auto"/>
                <w:right w:val="none" w:sz="0" w:space="0" w:color="auto"/>
              </w:divBdr>
            </w:div>
          </w:divsChild>
        </w:div>
        <w:div w:id="1387221134">
          <w:marLeft w:val="0"/>
          <w:marRight w:val="0"/>
          <w:marTop w:val="0"/>
          <w:marBottom w:val="0"/>
          <w:divBdr>
            <w:top w:val="none" w:sz="0" w:space="0" w:color="auto"/>
            <w:left w:val="none" w:sz="0" w:space="0" w:color="auto"/>
            <w:bottom w:val="none" w:sz="0" w:space="0" w:color="auto"/>
            <w:right w:val="none" w:sz="0" w:space="0" w:color="auto"/>
          </w:divBdr>
          <w:divsChild>
            <w:div w:id="2125074916">
              <w:marLeft w:val="0"/>
              <w:marRight w:val="0"/>
              <w:marTop w:val="0"/>
              <w:marBottom w:val="0"/>
              <w:divBdr>
                <w:top w:val="none" w:sz="0" w:space="0" w:color="auto"/>
                <w:left w:val="none" w:sz="0" w:space="0" w:color="auto"/>
                <w:bottom w:val="none" w:sz="0" w:space="0" w:color="auto"/>
                <w:right w:val="none" w:sz="0" w:space="0" w:color="auto"/>
              </w:divBdr>
            </w:div>
          </w:divsChild>
        </w:div>
        <w:div w:id="1528177992">
          <w:marLeft w:val="0"/>
          <w:marRight w:val="0"/>
          <w:marTop w:val="0"/>
          <w:marBottom w:val="0"/>
          <w:divBdr>
            <w:top w:val="none" w:sz="0" w:space="0" w:color="auto"/>
            <w:left w:val="none" w:sz="0" w:space="0" w:color="auto"/>
            <w:bottom w:val="none" w:sz="0" w:space="0" w:color="auto"/>
            <w:right w:val="none" w:sz="0" w:space="0" w:color="auto"/>
          </w:divBdr>
          <w:divsChild>
            <w:div w:id="1936015230">
              <w:marLeft w:val="0"/>
              <w:marRight w:val="0"/>
              <w:marTop w:val="0"/>
              <w:marBottom w:val="0"/>
              <w:divBdr>
                <w:top w:val="none" w:sz="0" w:space="0" w:color="auto"/>
                <w:left w:val="none" w:sz="0" w:space="0" w:color="auto"/>
                <w:bottom w:val="none" w:sz="0" w:space="0" w:color="auto"/>
                <w:right w:val="none" w:sz="0" w:space="0" w:color="auto"/>
              </w:divBdr>
            </w:div>
          </w:divsChild>
        </w:div>
        <w:div w:id="85200037">
          <w:marLeft w:val="0"/>
          <w:marRight w:val="0"/>
          <w:marTop w:val="0"/>
          <w:marBottom w:val="0"/>
          <w:divBdr>
            <w:top w:val="none" w:sz="0" w:space="0" w:color="auto"/>
            <w:left w:val="none" w:sz="0" w:space="0" w:color="auto"/>
            <w:bottom w:val="none" w:sz="0" w:space="0" w:color="auto"/>
            <w:right w:val="none" w:sz="0" w:space="0" w:color="auto"/>
          </w:divBdr>
          <w:divsChild>
            <w:div w:id="1201669107">
              <w:marLeft w:val="0"/>
              <w:marRight w:val="0"/>
              <w:marTop w:val="0"/>
              <w:marBottom w:val="0"/>
              <w:divBdr>
                <w:top w:val="none" w:sz="0" w:space="0" w:color="auto"/>
                <w:left w:val="none" w:sz="0" w:space="0" w:color="auto"/>
                <w:bottom w:val="none" w:sz="0" w:space="0" w:color="auto"/>
                <w:right w:val="none" w:sz="0" w:space="0" w:color="auto"/>
              </w:divBdr>
            </w:div>
          </w:divsChild>
        </w:div>
        <w:div w:id="250700428">
          <w:marLeft w:val="0"/>
          <w:marRight w:val="0"/>
          <w:marTop w:val="0"/>
          <w:marBottom w:val="0"/>
          <w:divBdr>
            <w:top w:val="none" w:sz="0" w:space="0" w:color="auto"/>
            <w:left w:val="none" w:sz="0" w:space="0" w:color="auto"/>
            <w:bottom w:val="none" w:sz="0" w:space="0" w:color="auto"/>
            <w:right w:val="none" w:sz="0" w:space="0" w:color="auto"/>
          </w:divBdr>
          <w:divsChild>
            <w:div w:id="331296591">
              <w:marLeft w:val="0"/>
              <w:marRight w:val="0"/>
              <w:marTop w:val="0"/>
              <w:marBottom w:val="0"/>
              <w:divBdr>
                <w:top w:val="none" w:sz="0" w:space="0" w:color="auto"/>
                <w:left w:val="none" w:sz="0" w:space="0" w:color="auto"/>
                <w:bottom w:val="none" w:sz="0" w:space="0" w:color="auto"/>
                <w:right w:val="none" w:sz="0" w:space="0" w:color="auto"/>
              </w:divBdr>
            </w:div>
          </w:divsChild>
        </w:div>
        <w:div w:id="1535188882">
          <w:marLeft w:val="0"/>
          <w:marRight w:val="0"/>
          <w:marTop w:val="0"/>
          <w:marBottom w:val="0"/>
          <w:divBdr>
            <w:top w:val="none" w:sz="0" w:space="0" w:color="auto"/>
            <w:left w:val="none" w:sz="0" w:space="0" w:color="auto"/>
            <w:bottom w:val="none" w:sz="0" w:space="0" w:color="auto"/>
            <w:right w:val="none" w:sz="0" w:space="0" w:color="auto"/>
          </w:divBdr>
          <w:divsChild>
            <w:div w:id="864096159">
              <w:marLeft w:val="0"/>
              <w:marRight w:val="0"/>
              <w:marTop w:val="0"/>
              <w:marBottom w:val="0"/>
              <w:divBdr>
                <w:top w:val="none" w:sz="0" w:space="0" w:color="auto"/>
                <w:left w:val="none" w:sz="0" w:space="0" w:color="auto"/>
                <w:bottom w:val="none" w:sz="0" w:space="0" w:color="auto"/>
                <w:right w:val="none" w:sz="0" w:space="0" w:color="auto"/>
              </w:divBdr>
            </w:div>
          </w:divsChild>
        </w:div>
        <w:div w:id="826434464">
          <w:marLeft w:val="0"/>
          <w:marRight w:val="0"/>
          <w:marTop w:val="0"/>
          <w:marBottom w:val="0"/>
          <w:divBdr>
            <w:top w:val="none" w:sz="0" w:space="0" w:color="auto"/>
            <w:left w:val="none" w:sz="0" w:space="0" w:color="auto"/>
            <w:bottom w:val="none" w:sz="0" w:space="0" w:color="auto"/>
            <w:right w:val="none" w:sz="0" w:space="0" w:color="auto"/>
          </w:divBdr>
          <w:divsChild>
            <w:div w:id="817840130">
              <w:marLeft w:val="0"/>
              <w:marRight w:val="0"/>
              <w:marTop w:val="0"/>
              <w:marBottom w:val="0"/>
              <w:divBdr>
                <w:top w:val="none" w:sz="0" w:space="0" w:color="auto"/>
                <w:left w:val="none" w:sz="0" w:space="0" w:color="auto"/>
                <w:bottom w:val="none" w:sz="0" w:space="0" w:color="auto"/>
                <w:right w:val="none" w:sz="0" w:space="0" w:color="auto"/>
              </w:divBdr>
            </w:div>
          </w:divsChild>
        </w:div>
        <w:div w:id="668019519">
          <w:marLeft w:val="0"/>
          <w:marRight w:val="0"/>
          <w:marTop w:val="0"/>
          <w:marBottom w:val="0"/>
          <w:divBdr>
            <w:top w:val="none" w:sz="0" w:space="0" w:color="auto"/>
            <w:left w:val="none" w:sz="0" w:space="0" w:color="auto"/>
            <w:bottom w:val="none" w:sz="0" w:space="0" w:color="auto"/>
            <w:right w:val="none" w:sz="0" w:space="0" w:color="auto"/>
          </w:divBdr>
          <w:divsChild>
            <w:div w:id="243227532">
              <w:marLeft w:val="0"/>
              <w:marRight w:val="0"/>
              <w:marTop w:val="0"/>
              <w:marBottom w:val="0"/>
              <w:divBdr>
                <w:top w:val="none" w:sz="0" w:space="0" w:color="auto"/>
                <w:left w:val="none" w:sz="0" w:space="0" w:color="auto"/>
                <w:bottom w:val="none" w:sz="0" w:space="0" w:color="auto"/>
                <w:right w:val="none" w:sz="0" w:space="0" w:color="auto"/>
              </w:divBdr>
            </w:div>
          </w:divsChild>
        </w:div>
        <w:div w:id="1733039243">
          <w:marLeft w:val="0"/>
          <w:marRight w:val="0"/>
          <w:marTop w:val="0"/>
          <w:marBottom w:val="0"/>
          <w:divBdr>
            <w:top w:val="none" w:sz="0" w:space="0" w:color="auto"/>
            <w:left w:val="none" w:sz="0" w:space="0" w:color="auto"/>
            <w:bottom w:val="none" w:sz="0" w:space="0" w:color="auto"/>
            <w:right w:val="none" w:sz="0" w:space="0" w:color="auto"/>
          </w:divBdr>
          <w:divsChild>
            <w:div w:id="466434285">
              <w:marLeft w:val="0"/>
              <w:marRight w:val="0"/>
              <w:marTop w:val="0"/>
              <w:marBottom w:val="0"/>
              <w:divBdr>
                <w:top w:val="none" w:sz="0" w:space="0" w:color="auto"/>
                <w:left w:val="none" w:sz="0" w:space="0" w:color="auto"/>
                <w:bottom w:val="none" w:sz="0" w:space="0" w:color="auto"/>
                <w:right w:val="none" w:sz="0" w:space="0" w:color="auto"/>
              </w:divBdr>
            </w:div>
          </w:divsChild>
        </w:div>
        <w:div w:id="1128624808">
          <w:marLeft w:val="0"/>
          <w:marRight w:val="0"/>
          <w:marTop w:val="0"/>
          <w:marBottom w:val="0"/>
          <w:divBdr>
            <w:top w:val="none" w:sz="0" w:space="0" w:color="auto"/>
            <w:left w:val="none" w:sz="0" w:space="0" w:color="auto"/>
            <w:bottom w:val="none" w:sz="0" w:space="0" w:color="auto"/>
            <w:right w:val="none" w:sz="0" w:space="0" w:color="auto"/>
          </w:divBdr>
          <w:divsChild>
            <w:div w:id="396636322">
              <w:marLeft w:val="0"/>
              <w:marRight w:val="0"/>
              <w:marTop w:val="0"/>
              <w:marBottom w:val="0"/>
              <w:divBdr>
                <w:top w:val="none" w:sz="0" w:space="0" w:color="auto"/>
                <w:left w:val="none" w:sz="0" w:space="0" w:color="auto"/>
                <w:bottom w:val="none" w:sz="0" w:space="0" w:color="auto"/>
                <w:right w:val="none" w:sz="0" w:space="0" w:color="auto"/>
              </w:divBdr>
            </w:div>
          </w:divsChild>
        </w:div>
        <w:div w:id="2064476249">
          <w:marLeft w:val="0"/>
          <w:marRight w:val="0"/>
          <w:marTop w:val="0"/>
          <w:marBottom w:val="0"/>
          <w:divBdr>
            <w:top w:val="none" w:sz="0" w:space="0" w:color="auto"/>
            <w:left w:val="none" w:sz="0" w:space="0" w:color="auto"/>
            <w:bottom w:val="none" w:sz="0" w:space="0" w:color="auto"/>
            <w:right w:val="none" w:sz="0" w:space="0" w:color="auto"/>
          </w:divBdr>
          <w:divsChild>
            <w:div w:id="1047686652">
              <w:marLeft w:val="0"/>
              <w:marRight w:val="0"/>
              <w:marTop w:val="0"/>
              <w:marBottom w:val="0"/>
              <w:divBdr>
                <w:top w:val="none" w:sz="0" w:space="0" w:color="auto"/>
                <w:left w:val="none" w:sz="0" w:space="0" w:color="auto"/>
                <w:bottom w:val="none" w:sz="0" w:space="0" w:color="auto"/>
                <w:right w:val="none" w:sz="0" w:space="0" w:color="auto"/>
              </w:divBdr>
            </w:div>
          </w:divsChild>
        </w:div>
        <w:div w:id="1508322342">
          <w:marLeft w:val="0"/>
          <w:marRight w:val="0"/>
          <w:marTop w:val="0"/>
          <w:marBottom w:val="0"/>
          <w:divBdr>
            <w:top w:val="none" w:sz="0" w:space="0" w:color="auto"/>
            <w:left w:val="none" w:sz="0" w:space="0" w:color="auto"/>
            <w:bottom w:val="none" w:sz="0" w:space="0" w:color="auto"/>
            <w:right w:val="none" w:sz="0" w:space="0" w:color="auto"/>
          </w:divBdr>
          <w:divsChild>
            <w:div w:id="1443762833">
              <w:marLeft w:val="0"/>
              <w:marRight w:val="0"/>
              <w:marTop w:val="0"/>
              <w:marBottom w:val="0"/>
              <w:divBdr>
                <w:top w:val="none" w:sz="0" w:space="0" w:color="auto"/>
                <w:left w:val="none" w:sz="0" w:space="0" w:color="auto"/>
                <w:bottom w:val="none" w:sz="0" w:space="0" w:color="auto"/>
                <w:right w:val="none" w:sz="0" w:space="0" w:color="auto"/>
              </w:divBdr>
            </w:div>
          </w:divsChild>
        </w:div>
        <w:div w:id="798258977">
          <w:marLeft w:val="0"/>
          <w:marRight w:val="0"/>
          <w:marTop w:val="0"/>
          <w:marBottom w:val="0"/>
          <w:divBdr>
            <w:top w:val="none" w:sz="0" w:space="0" w:color="auto"/>
            <w:left w:val="none" w:sz="0" w:space="0" w:color="auto"/>
            <w:bottom w:val="none" w:sz="0" w:space="0" w:color="auto"/>
            <w:right w:val="none" w:sz="0" w:space="0" w:color="auto"/>
          </w:divBdr>
          <w:divsChild>
            <w:div w:id="1199129072">
              <w:marLeft w:val="0"/>
              <w:marRight w:val="0"/>
              <w:marTop w:val="0"/>
              <w:marBottom w:val="0"/>
              <w:divBdr>
                <w:top w:val="none" w:sz="0" w:space="0" w:color="auto"/>
                <w:left w:val="none" w:sz="0" w:space="0" w:color="auto"/>
                <w:bottom w:val="none" w:sz="0" w:space="0" w:color="auto"/>
                <w:right w:val="none" w:sz="0" w:space="0" w:color="auto"/>
              </w:divBdr>
            </w:div>
          </w:divsChild>
        </w:div>
        <w:div w:id="1372001767">
          <w:marLeft w:val="0"/>
          <w:marRight w:val="0"/>
          <w:marTop w:val="0"/>
          <w:marBottom w:val="0"/>
          <w:divBdr>
            <w:top w:val="none" w:sz="0" w:space="0" w:color="auto"/>
            <w:left w:val="none" w:sz="0" w:space="0" w:color="auto"/>
            <w:bottom w:val="none" w:sz="0" w:space="0" w:color="auto"/>
            <w:right w:val="none" w:sz="0" w:space="0" w:color="auto"/>
          </w:divBdr>
          <w:divsChild>
            <w:div w:id="1190873048">
              <w:marLeft w:val="0"/>
              <w:marRight w:val="0"/>
              <w:marTop w:val="0"/>
              <w:marBottom w:val="0"/>
              <w:divBdr>
                <w:top w:val="none" w:sz="0" w:space="0" w:color="auto"/>
                <w:left w:val="none" w:sz="0" w:space="0" w:color="auto"/>
                <w:bottom w:val="none" w:sz="0" w:space="0" w:color="auto"/>
                <w:right w:val="none" w:sz="0" w:space="0" w:color="auto"/>
              </w:divBdr>
            </w:div>
          </w:divsChild>
        </w:div>
        <w:div w:id="2083409428">
          <w:marLeft w:val="0"/>
          <w:marRight w:val="0"/>
          <w:marTop w:val="0"/>
          <w:marBottom w:val="0"/>
          <w:divBdr>
            <w:top w:val="none" w:sz="0" w:space="0" w:color="auto"/>
            <w:left w:val="none" w:sz="0" w:space="0" w:color="auto"/>
            <w:bottom w:val="none" w:sz="0" w:space="0" w:color="auto"/>
            <w:right w:val="none" w:sz="0" w:space="0" w:color="auto"/>
          </w:divBdr>
          <w:divsChild>
            <w:div w:id="1207061856">
              <w:marLeft w:val="0"/>
              <w:marRight w:val="0"/>
              <w:marTop w:val="0"/>
              <w:marBottom w:val="0"/>
              <w:divBdr>
                <w:top w:val="none" w:sz="0" w:space="0" w:color="auto"/>
                <w:left w:val="none" w:sz="0" w:space="0" w:color="auto"/>
                <w:bottom w:val="none" w:sz="0" w:space="0" w:color="auto"/>
                <w:right w:val="none" w:sz="0" w:space="0" w:color="auto"/>
              </w:divBdr>
            </w:div>
          </w:divsChild>
        </w:div>
        <w:div w:id="1710179836">
          <w:marLeft w:val="0"/>
          <w:marRight w:val="0"/>
          <w:marTop w:val="0"/>
          <w:marBottom w:val="0"/>
          <w:divBdr>
            <w:top w:val="none" w:sz="0" w:space="0" w:color="auto"/>
            <w:left w:val="none" w:sz="0" w:space="0" w:color="auto"/>
            <w:bottom w:val="none" w:sz="0" w:space="0" w:color="auto"/>
            <w:right w:val="none" w:sz="0" w:space="0" w:color="auto"/>
          </w:divBdr>
          <w:divsChild>
            <w:div w:id="2071297602">
              <w:marLeft w:val="0"/>
              <w:marRight w:val="0"/>
              <w:marTop w:val="0"/>
              <w:marBottom w:val="0"/>
              <w:divBdr>
                <w:top w:val="none" w:sz="0" w:space="0" w:color="auto"/>
                <w:left w:val="none" w:sz="0" w:space="0" w:color="auto"/>
                <w:bottom w:val="none" w:sz="0" w:space="0" w:color="auto"/>
                <w:right w:val="none" w:sz="0" w:space="0" w:color="auto"/>
              </w:divBdr>
            </w:div>
          </w:divsChild>
        </w:div>
        <w:div w:id="990476614">
          <w:marLeft w:val="0"/>
          <w:marRight w:val="0"/>
          <w:marTop w:val="0"/>
          <w:marBottom w:val="0"/>
          <w:divBdr>
            <w:top w:val="none" w:sz="0" w:space="0" w:color="auto"/>
            <w:left w:val="none" w:sz="0" w:space="0" w:color="auto"/>
            <w:bottom w:val="none" w:sz="0" w:space="0" w:color="auto"/>
            <w:right w:val="none" w:sz="0" w:space="0" w:color="auto"/>
          </w:divBdr>
          <w:divsChild>
            <w:div w:id="33118282">
              <w:marLeft w:val="0"/>
              <w:marRight w:val="0"/>
              <w:marTop w:val="0"/>
              <w:marBottom w:val="0"/>
              <w:divBdr>
                <w:top w:val="none" w:sz="0" w:space="0" w:color="auto"/>
                <w:left w:val="none" w:sz="0" w:space="0" w:color="auto"/>
                <w:bottom w:val="none" w:sz="0" w:space="0" w:color="auto"/>
                <w:right w:val="none" w:sz="0" w:space="0" w:color="auto"/>
              </w:divBdr>
            </w:div>
          </w:divsChild>
        </w:div>
        <w:div w:id="129591756">
          <w:marLeft w:val="0"/>
          <w:marRight w:val="0"/>
          <w:marTop w:val="0"/>
          <w:marBottom w:val="0"/>
          <w:divBdr>
            <w:top w:val="none" w:sz="0" w:space="0" w:color="auto"/>
            <w:left w:val="none" w:sz="0" w:space="0" w:color="auto"/>
            <w:bottom w:val="none" w:sz="0" w:space="0" w:color="auto"/>
            <w:right w:val="none" w:sz="0" w:space="0" w:color="auto"/>
          </w:divBdr>
          <w:divsChild>
            <w:div w:id="665398102">
              <w:marLeft w:val="0"/>
              <w:marRight w:val="0"/>
              <w:marTop w:val="0"/>
              <w:marBottom w:val="0"/>
              <w:divBdr>
                <w:top w:val="none" w:sz="0" w:space="0" w:color="auto"/>
                <w:left w:val="none" w:sz="0" w:space="0" w:color="auto"/>
                <w:bottom w:val="none" w:sz="0" w:space="0" w:color="auto"/>
                <w:right w:val="none" w:sz="0" w:space="0" w:color="auto"/>
              </w:divBdr>
            </w:div>
          </w:divsChild>
        </w:div>
        <w:div w:id="1007244351">
          <w:marLeft w:val="0"/>
          <w:marRight w:val="0"/>
          <w:marTop w:val="0"/>
          <w:marBottom w:val="0"/>
          <w:divBdr>
            <w:top w:val="none" w:sz="0" w:space="0" w:color="auto"/>
            <w:left w:val="none" w:sz="0" w:space="0" w:color="auto"/>
            <w:bottom w:val="none" w:sz="0" w:space="0" w:color="auto"/>
            <w:right w:val="none" w:sz="0" w:space="0" w:color="auto"/>
          </w:divBdr>
          <w:divsChild>
            <w:div w:id="1674263184">
              <w:marLeft w:val="0"/>
              <w:marRight w:val="0"/>
              <w:marTop w:val="0"/>
              <w:marBottom w:val="0"/>
              <w:divBdr>
                <w:top w:val="none" w:sz="0" w:space="0" w:color="auto"/>
                <w:left w:val="none" w:sz="0" w:space="0" w:color="auto"/>
                <w:bottom w:val="none" w:sz="0" w:space="0" w:color="auto"/>
                <w:right w:val="none" w:sz="0" w:space="0" w:color="auto"/>
              </w:divBdr>
            </w:div>
          </w:divsChild>
        </w:div>
        <w:div w:id="2037844615">
          <w:marLeft w:val="0"/>
          <w:marRight w:val="0"/>
          <w:marTop w:val="0"/>
          <w:marBottom w:val="0"/>
          <w:divBdr>
            <w:top w:val="none" w:sz="0" w:space="0" w:color="auto"/>
            <w:left w:val="none" w:sz="0" w:space="0" w:color="auto"/>
            <w:bottom w:val="none" w:sz="0" w:space="0" w:color="auto"/>
            <w:right w:val="none" w:sz="0" w:space="0" w:color="auto"/>
          </w:divBdr>
          <w:divsChild>
            <w:div w:id="170221161">
              <w:marLeft w:val="0"/>
              <w:marRight w:val="0"/>
              <w:marTop w:val="0"/>
              <w:marBottom w:val="0"/>
              <w:divBdr>
                <w:top w:val="none" w:sz="0" w:space="0" w:color="auto"/>
                <w:left w:val="none" w:sz="0" w:space="0" w:color="auto"/>
                <w:bottom w:val="none" w:sz="0" w:space="0" w:color="auto"/>
                <w:right w:val="none" w:sz="0" w:space="0" w:color="auto"/>
              </w:divBdr>
            </w:div>
          </w:divsChild>
        </w:div>
        <w:div w:id="1030184235">
          <w:marLeft w:val="0"/>
          <w:marRight w:val="0"/>
          <w:marTop w:val="0"/>
          <w:marBottom w:val="0"/>
          <w:divBdr>
            <w:top w:val="none" w:sz="0" w:space="0" w:color="auto"/>
            <w:left w:val="none" w:sz="0" w:space="0" w:color="auto"/>
            <w:bottom w:val="none" w:sz="0" w:space="0" w:color="auto"/>
            <w:right w:val="none" w:sz="0" w:space="0" w:color="auto"/>
          </w:divBdr>
          <w:divsChild>
            <w:div w:id="1781606791">
              <w:marLeft w:val="0"/>
              <w:marRight w:val="0"/>
              <w:marTop w:val="0"/>
              <w:marBottom w:val="0"/>
              <w:divBdr>
                <w:top w:val="none" w:sz="0" w:space="0" w:color="auto"/>
                <w:left w:val="none" w:sz="0" w:space="0" w:color="auto"/>
                <w:bottom w:val="none" w:sz="0" w:space="0" w:color="auto"/>
                <w:right w:val="none" w:sz="0" w:space="0" w:color="auto"/>
              </w:divBdr>
            </w:div>
          </w:divsChild>
        </w:div>
        <w:div w:id="27222855">
          <w:marLeft w:val="0"/>
          <w:marRight w:val="0"/>
          <w:marTop w:val="0"/>
          <w:marBottom w:val="0"/>
          <w:divBdr>
            <w:top w:val="none" w:sz="0" w:space="0" w:color="auto"/>
            <w:left w:val="none" w:sz="0" w:space="0" w:color="auto"/>
            <w:bottom w:val="none" w:sz="0" w:space="0" w:color="auto"/>
            <w:right w:val="none" w:sz="0" w:space="0" w:color="auto"/>
          </w:divBdr>
          <w:divsChild>
            <w:div w:id="1709837640">
              <w:marLeft w:val="0"/>
              <w:marRight w:val="0"/>
              <w:marTop w:val="0"/>
              <w:marBottom w:val="0"/>
              <w:divBdr>
                <w:top w:val="none" w:sz="0" w:space="0" w:color="auto"/>
                <w:left w:val="none" w:sz="0" w:space="0" w:color="auto"/>
                <w:bottom w:val="none" w:sz="0" w:space="0" w:color="auto"/>
                <w:right w:val="none" w:sz="0" w:space="0" w:color="auto"/>
              </w:divBdr>
            </w:div>
          </w:divsChild>
        </w:div>
        <w:div w:id="686909041">
          <w:marLeft w:val="0"/>
          <w:marRight w:val="0"/>
          <w:marTop w:val="0"/>
          <w:marBottom w:val="0"/>
          <w:divBdr>
            <w:top w:val="none" w:sz="0" w:space="0" w:color="auto"/>
            <w:left w:val="none" w:sz="0" w:space="0" w:color="auto"/>
            <w:bottom w:val="none" w:sz="0" w:space="0" w:color="auto"/>
            <w:right w:val="none" w:sz="0" w:space="0" w:color="auto"/>
          </w:divBdr>
          <w:divsChild>
            <w:div w:id="1315722043">
              <w:marLeft w:val="0"/>
              <w:marRight w:val="0"/>
              <w:marTop w:val="0"/>
              <w:marBottom w:val="0"/>
              <w:divBdr>
                <w:top w:val="none" w:sz="0" w:space="0" w:color="auto"/>
                <w:left w:val="none" w:sz="0" w:space="0" w:color="auto"/>
                <w:bottom w:val="none" w:sz="0" w:space="0" w:color="auto"/>
                <w:right w:val="none" w:sz="0" w:space="0" w:color="auto"/>
              </w:divBdr>
            </w:div>
          </w:divsChild>
        </w:div>
        <w:div w:id="491138771">
          <w:marLeft w:val="0"/>
          <w:marRight w:val="0"/>
          <w:marTop w:val="0"/>
          <w:marBottom w:val="0"/>
          <w:divBdr>
            <w:top w:val="none" w:sz="0" w:space="0" w:color="auto"/>
            <w:left w:val="none" w:sz="0" w:space="0" w:color="auto"/>
            <w:bottom w:val="none" w:sz="0" w:space="0" w:color="auto"/>
            <w:right w:val="none" w:sz="0" w:space="0" w:color="auto"/>
          </w:divBdr>
          <w:divsChild>
            <w:div w:id="579367021">
              <w:marLeft w:val="0"/>
              <w:marRight w:val="0"/>
              <w:marTop w:val="0"/>
              <w:marBottom w:val="0"/>
              <w:divBdr>
                <w:top w:val="none" w:sz="0" w:space="0" w:color="auto"/>
                <w:left w:val="none" w:sz="0" w:space="0" w:color="auto"/>
                <w:bottom w:val="none" w:sz="0" w:space="0" w:color="auto"/>
                <w:right w:val="none" w:sz="0" w:space="0" w:color="auto"/>
              </w:divBdr>
            </w:div>
          </w:divsChild>
        </w:div>
        <w:div w:id="1525361433">
          <w:marLeft w:val="0"/>
          <w:marRight w:val="0"/>
          <w:marTop w:val="0"/>
          <w:marBottom w:val="0"/>
          <w:divBdr>
            <w:top w:val="none" w:sz="0" w:space="0" w:color="auto"/>
            <w:left w:val="none" w:sz="0" w:space="0" w:color="auto"/>
            <w:bottom w:val="none" w:sz="0" w:space="0" w:color="auto"/>
            <w:right w:val="none" w:sz="0" w:space="0" w:color="auto"/>
          </w:divBdr>
          <w:divsChild>
            <w:div w:id="1808429280">
              <w:marLeft w:val="0"/>
              <w:marRight w:val="0"/>
              <w:marTop w:val="0"/>
              <w:marBottom w:val="0"/>
              <w:divBdr>
                <w:top w:val="none" w:sz="0" w:space="0" w:color="auto"/>
                <w:left w:val="none" w:sz="0" w:space="0" w:color="auto"/>
                <w:bottom w:val="none" w:sz="0" w:space="0" w:color="auto"/>
                <w:right w:val="none" w:sz="0" w:space="0" w:color="auto"/>
              </w:divBdr>
            </w:div>
          </w:divsChild>
        </w:div>
        <w:div w:id="1439444580">
          <w:marLeft w:val="0"/>
          <w:marRight w:val="0"/>
          <w:marTop w:val="0"/>
          <w:marBottom w:val="0"/>
          <w:divBdr>
            <w:top w:val="none" w:sz="0" w:space="0" w:color="auto"/>
            <w:left w:val="none" w:sz="0" w:space="0" w:color="auto"/>
            <w:bottom w:val="none" w:sz="0" w:space="0" w:color="auto"/>
            <w:right w:val="none" w:sz="0" w:space="0" w:color="auto"/>
          </w:divBdr>
          <w:divsChild>
            <w:div w:id="1940403860">
              <w:marLeft w:val="0"/>
              <w:marRight w:val="0"/>
              <w:marTop w:val="0"/>
              <w:marBottom w:val="0"/>
              <w:divBdr>
                <w:top w:val="none" w:sz="0" w:space="0" w:color="auto"/>
                <w:left w:val="none" w:sz="0" w:space="0" w:color="auto"/>
                <w:bottom w:val="none" w:sz="0" w:space="0" w:color="auto"/>
                <w:right w:val="none" w:sz="0" w:space="0" w:color="auto"/>
              </w:divBdr>
            </w:div>
          </w:divsChild>
        </w:div>
        <w:div w:id="480273650">
          <w:marLeft w:val="0"/>
          <w:marRight w:val="0"/>
          <w:marTop w:val="0"/>
          <w:marBottom w:val="0"/>
          <w:divBdr>
            <w:top w:val="none" w:sz="0" w:space="0" w:color="auto"/>
            <w:left w:val="none" w:sz="0" w:space="0" w:color="auto"/>
            <w:bottom w:val="none" w:sz="0" w:space="0" w:color="auto"/>
            <w:right w:val="none" w:sz="0" w:space="0" w:color="auto"/>
          </w:divBdr>
          <w:divsChild>
            <w:div w:id="1185168736">
              <w:marLeft w:val="0"/>
              <w:marRight w:val="0"/>
              <w:marTop w:val="0"/>
              <w:marBottom w:val="0"/>
              <w:divBdr>
                <w:top w:val="none" w:sz="0" w:space="0" w:color="auto"/>
                <w:left w:val="none" w:sz="0" w:space="0" w:color="auto"/>
                <w:bottom w:val="none" w:sz="0" w:space="0" w:color="auto"/>
                <w:right w:val="none" w:sz="0" w:space="0" w:color="auto"/>
              </w:divBdr>
            </w:div>
          </w:divsChild>
        </w:div>
        <w:div w:id="318118713">
          <w:marLeft w:val="0"/>
          <w:marRight w:val="0"/>
          <w:marTop w:val="0"/>
          <w:marBottom w:val="0"/>
          <w:divBdr>
            <w:top w:val="none" w:sz="0" w:space="0" w:color="auto"/>
            <w:left w:val="none" w:sz="0" w:space="0" w:color="auto"/>
            <w:bottom w:val="none" w:sz="0" w:space="0" w:color="auto"/>
            <w:right w:val="none" w:sz="0" w:space="0" w:color="auto"/>
          </w:divBdr>
          <w:divsChild>
            <w:div w:id="1146632500">
              <w:marLeft w:val="0"/>
              <w:marRight w:val="0"/>
              <w:marTop w:val="0"/>
              <w:marBottom w:val="0"/>
              <w:divBdr>
                <w:top w:val="none" w:sz="0" w:space="0" w:color="auto"/>
                <w:left w:val="none" w:sz="0" w:space="0" w:color="auto"/>
                <w:bottom w:val="none" w:sz="0" w:space="0" w:color="auto"/>
                <w:right w:val="none" w:sz="0" w:space="0" w:color="auto"/>
              </w:divBdr>
            </w:div>
          </w:divsChild>
        </w:div>
        <w:div w:id="1658800620">
          <w:marLeft w:val="0"/>
          <w:marRight w:val="0"/>
          <w:marTop w:val="0"/>
          <w:marBottom w:val="0"/>
          <w:divBdr>
            <w:top w:val="none" w:sz="0" w:space="0" w:color="auto"/>
            <w:left w:val="none" w:sz="0" w:space="0" w:color="auto"/>
            <w:bottom w:val="none" w:sz="0" w:space="0" w:color="auto"/>
            <w:right w:val="none" w:sz="0" w:space="0" w:color="auto"/>
          </w:divBdr>
          <w:divsChild>
            <w:div w:id="2090957291">
              <w:marLeft w:val="0"/>
              <w:marRight w:val="0"/>
              <w:marTop w:val="0"/>
              <w:marBottom w:val="0"/>
              <w:divBdr>
                <w:top w:val="none" w:sz="0" w:space="0" w:color="auto"/>
                <w:left w:val="none" w:sz="0" w:space="0" w:color="auto"/>
                <w:bottom w:val="none" w:sz="0" w:space="0" w:color="auto"/>
                <w:right w:val="none" w:sz="0" w:space="0" w:color="auto"/>
              </w:divBdr>
            </w:div>
          </w:divsChild>
        </w:div>
        <w:div w:id="2145346596">
          <w:marLeft w:val="0"/>
          <w:marRight w:val="0"/>
          <w:marTop w:val="0"/>
          <w:marBottom w:val="0"/>
          <w:divBdr>
            <w:top w:val="none" w:sz="0" w:space="0" w:color="auto"/>
            <w:left w:val="none" w:sz="0" w:space="0" w:color="auto"/>
            <w:bottom w:val="none" w:sz="0" w:space="0" w:color="auto"/>
            <w:right w:val="none" w:sz="0" w:space="0" w:color="auto"/>
          </w:divBdr>
          <w:divsChild>
            <w:div w:id="66340188">
              <w:marLeft w:val="0"/>
              <w:marRight w:val="0"/>
              <w:marTop w:val="0"/>
              <w:marBottom w:val="0"/>
              <w:divBdr>
                <w:top w:val="none" w:sz="0" w:space="0" w:color="auto"/>
                <w:left w:val="none" w:sz="0" w:space="0" w:color="auto"/>
                <w:bottom w:val="none" w:sz="0" w:space="0" w:color="auto"/>
                <w:right w:val="none" w:sz="0" w:space="0" w:color="auto"/>
              </w:divBdr>
            </w:div>
          </w:divsChild>
        </w:div>
        <w:div w:id="1970815022">
          <w:marLeft w:val="0"/>
          <w:marRight w:val="0"/>
          <w:marTop w:val="0"/>
          <w:marBottom w:val="0"/>
          <w:divBdr>
            <w:top w:val="none" w:sz="0" w:space="0" w:color="auto"/>
            <w:left w:val="none" w:sz="0" w:space="0" w:color="auto"/>
            <w:bottom w:val="none" w:sz="0" w:space="0" w:color="auto"/>
            <w:right w:val="none" w:sz="0" w:space="0" w:color="auto"/>
          </w:divBdr>
          <w:divsChild>
            <w:div w:id="1559631066">
              <w:marLeft w:val="0"/>
              <w:marRight w:val="0"/>
              <w:marTop w:val="0"/>
              <w:marBottom w:val="0"/>
              <w:divBdr>
                <w:top w:val="none" w:sz="0" w:space="0" w:color="auto"/>
                <w:left w:val="none" w:sz="0" w:space="0" w:color="auto"/>
                <w:bottom w:val="none" w:sz="0" w:space="0" w:color="auto"/>
                <w:right w:val="none" w:sz="0" w:space="0" w:color="auto"/>
              </w:divBdr>
            </w:div>
          </w:divsChild>
        </w:div>
        <w:div w:id="1072042358">
          <w:marLeft w:val="0"/>
          <w:marRight w:val="0"/>
          <w:marTop w:val="0"/>
          <w:marBottom w:val="0"/>
          <w:divBdr>
            <w:top w:val="none" w:sz="0" w:space="0" w:color="auto"/>
            <w:left w:val="none" w:sz="0" w:space="0" w:color="auto"/>
            <w:bottom w:val="none" w:sz="0" w:space="0" w:color="auto"/>
            <w:right w:val="none" w:sz="0" w:space="0" w:color="auto"/>
          </w:divBdr>
          <w:divsChild>
            <w:div w:id="817646319">
              <w:marLeft w:val="0"/>
              <w:marRight w:val="0"/>
              <w:marTop w:val="0"/>
              <w:marBottom w:val="0"/>
              <w:divBdr>
                <w:top w:val="none" w:sz="0" w:space="0" w:color="auto"/>
                <w:left w:val="none" w:sz="0" w:space="0" w:color="auto"/>
                <w:bottom w:val="none" w:sz="0" w:space="0" w:color="auto"/>
                <w:right w:val="none" w:sz="0" w:space="0" w:color="auto"/>
              </w:divBdr>
            </w:div>
          </w:divsChild>
        </w:div>
        <w:div w:id="1675258217">
          <w:marLeft w:val="0"/>
          <w:marRight w:val="0"/>
          <w:marTop w:val="0"/>
          <w:marBottom w:val="0"/>
          <w:divBdr>
            <w:top w:val="none" w:sz="0" w:space="0" w:color="auto"/>
            <w:left w:val="none" w:sz="0" w:space="0" w:color="auto"/>
            <w:bottom w:val="none" w:sz="0" w:space="0" w:color="auto"/>
            <w:right w:val="none" w:sz="0" w:space="0" w:color="auto"/>
          </w:divBdr>
          <w:divsChild>
            <w:div w:id="1815444965">
              <w:marLeft w:val="0"/>
              <w:marRight w:val="0"/>
              <w:marTop w:val="0"/>
              <w:marBottom w:val="0"/>
              <w:divBdr>
                <w:top w:val="none" w:sz="0" w:space="0" w:color="auto"/>
                <w:left w:val="none" w:sz="0" w:space="0" w:color="auto"/>
                <w:bottom w:val="none" w:sz="0" w:space="0" w:color="auto"/>
                <w:right w:val="none" w:sz="0" w:space="0" w:color="auto"/>
              </w:divBdr>
            </w:div>
          </w:divsChild>
        </w:div>
        <w:div w:id="1526401455">
          <w:marLeft w:val="0"/>
          <w:marRight w:val="0"/>
          <w:marTop w:val="0"/>
          <w:marBottom w:val="0"/>
          <w:divBdr>
            <w:top w:val="none" w:sz="0" w:space="0" w:color="auto"/>
            <w:left w:val="none" w:sz="0" w:space="0" w:color="auto"/>
            <w:bottom w:val="none" w:sz="0" w:space="0" w:color="auto"/>
            <w:right w:val="none" w:sz="0" w:space="0" w:color="auto"/>
          </w:divBdr>
          <w:divsChild>
            <w:div w:id="195967302">
              <w:marLeft w:val="0"/>
              <w:marRight w:val="0"/>
              <w:marTop w:val="0"/>
              <w:marBottom w:val="0"/>
              <w:divBdr>
                <w:top w:val="none" w:sz="0" w:space="0" w:color="auto"/>
                <w:left w:val="none" w:sz="0" w:space="0" w:color="auto"/>
                <w:bottom w:val="none" w:sz="0" w:space="0" w:color="auto"/>
                <w:right w:val="none" w:sz="0" w:space="0" w:color="auto"/>
              </w:divBdr>
            </w:div>
          </w:divsChild>
        </w:div>
        <w:div w:id="397169370">
          <w:marLeft w:val="0"/>
          <w:marRight w:val="0"/>
          <w:marTop w:val="0"/>
          <w:marBottom w:val="0"/>
          <w:divBdr>
            <w:top w:val="none" w:sz="0" w:space="0" w:color="auto"/>
            <w:left w:val="none" w:sz="0" w:space="0" w:color="auto"/>
            <w:bottom w:val="none" w:sz="0" w:space="0" w:color="auto"/>
            <w:right w:val="none" w:sz="0" w:space="0" w:color="auto"/>
          </w:divBdr>
          <w:divsChild>
            <w:div w:id="451245058">
              <w:marLeft w:val="0"/>
              <w:marRight w:val="0"/>
              <w:marTop w:val="0"/>
              <w:marBottom w:val="0"/>
              <w:divBdr>
                <w:top w:val="none" w:sz="0" w:space="0" w:color="auto"/>
                <w:left w:val="none" w:sz="0" w:space="0" w:color="auto"/>
                <w:bottom w:val="none" w:sz="0" w:space="0" w:color="auto"/>
                <w:right w:val="none" w:sz="0" w:space="0" w:color="auto"/>
              </w:divBdr>
            </w:div>
          </w:divsChild>
        </w:div>
        <w:div w:id="853805508">
          <w:marLeft w:val="0"/>
          <w:marRight w:val="0"/>
          <w:marTop w:val="0"/>
          <w:marBottom w:val="0"/>
          <w:divBdr>
            <w:top w:val="none" w:sz="0" w:space="0" w:color="auto"/>
            <w:left w:val="none" w:sz="0" w:space="0" w:color="auto"/>
            <w:bottom w:val="none" w:sz="0" w:space="0" w:color="auto"/>
            <w:right w:val="none" w:sz="0" w:space="0" w:color="auto"/>
          </w:divBdr>
          <w:divsChild>
            <w:div w:id="483667956">
              <w:marLeft w:val="0"/>
              <w:marRight w:val="0"/>
              <w:marTop w:val="0"/>
              <w:marBottom w:val="0"/>
              <w:divBdr>
                <w:top w:val="none" w:sz="0" w:space="0" w:color="auto"/>
                <w:left w:val="none" w:sz="0" w:space="0" w:color="auto"/>
                <w:bottom w:val="none" w:sz="0" w:space="0" w:color="auto"/>
                <w:right w:val="none" w:sz="0" w:space="0" w:color="auto"/>
              </w:divBdr>
            </w:div>
          </w:divsChild>
        </w:div>
        <w:div w:id="993264821">
          <w:marLeft w:val="0"/>
          <w:marRight w:val="0"/>
          <w:marTop w:val="0"/>
          <w:marBottom w:val="0"/>
          <w:divBdr>
            <w:top w:val="none" w:sz="0" w:space="0" w:color="auto"/>
            <w:left w:val="none" w:sz="0" w:space="0" w:color="auto"/>
            <w:bottom w:val="none" w:sz="0" w:space="0" w:color="auto"/>
            <w:right w:val="none" w:sz="0" w:space="0" w:color="auto"/>
          </w:divBdr>
          <w:divsChild>
            <w:div w:id="774834825">
              <w:marLeft w:val="0"/>
              <w:marRight w:val="0"/>
              <w:marTop w:val="0"/>
              <w:marBottom w:val="0"/>
              <w:divBdr>
                <w:top w:val="none" w:sz="0" w:space="0" w:color="auto"/>
                <w:left w:val="none" w:sz="0" w:space="0" w:color="auto"/>
                <w:bottom w:val="none" w:sz="0" w:space="0" w:color="auto"/>
                <w:right w:val="none" w:sz="0" w:space="0" w:color="auto"/>
              </w:divBdr>
            </w:div>
          </w:divsChild>
        </w:div>
        <w:div w:id="309214472">
          <w:marLeft w:val="0"/>
          <w:marRight w:val="0"/>
          <w:marTop w:val="0"/>
          <w:marBottom w:val="0"/>
          <w:divBdr>
            <w:top w:val="none" w:sz="0" w:space="0" w:color="auto"/>
            <w:left w:val="none" w:sz="0" w:space="0" w:color="auto"/>
            <w:bottom w:val="none" w:sz="0" w:space="0" w:color="auto"/>
            <w:right w:val="none" w:sz="0" w:space="0" w:color="auto"/>
          </w:divBdr>
          <w:divsChild>
            <w:div w:id="295724750">
              <w:marLeft w:val="0"/>
              <w:marRight w:val="0"/>
              <w:marTop w:val="0"/>
              <w:marBottom w:val="0"/>
              <w:divBdr>
                <w:top w:val="none" w:sz="0" w:space="0" w:color="auto"/>
                <w:left w:val="none" w:sz="0" w:space="0" w:color="auto"/>
                <w:bottom w:val="none" w:sz="0" w:space="0" w:color="auto"/>
                <w:right w:val="none" w:sz="0" w:space="0" w:color="auto"/>
              </w:divBdr>
            </w:div>
          </w:divsChild>
        </w:div>
        <w:div w:id="739447106">
          <w:marLeft w:val="0"/>
          <w:marRight w:val="0"/>
          <w:marTop w:val="0"/>
          <w:marBottom w:val="0"/>
          <w:divBdr>
            <w:top w:val="none" w:sz="0" w:space="0" w:color="auto"/>
            <w:left w:val="none" w:sz="0" w:space="0" w:color="auto"/>
            <w:bottom w:val="none" w:sz="0" w:space="0" w:color="auto"/>
            <w:right w:val="none" w:sz="0" w:space="0" w:color="auto"/>
          </w:divBdr>
          <w:divsChild>
            <w:div w:id="1845050427">
              <w:marLeft w:val="0"/>
              <w:marRight w:val="0"/>
              <w:marTop w:val="0"/>
              <w:marBottom w:val="0"/>
              <w:divBdr>
                <w:top w:val="none" w:sz="0" w:space="0" w:color="auto"/>
                <w:left w:val="none" w:sz="0" w:space="0" w:color="auto"/>
                <w:bottom w:val="none" w:sz="0" w:space="0" w:color="auto"/>
                <w:right w:val="none" w:sz="0" w:space="0" w:color="auto"/>
              </w:divBdr>
            </w:div>
          </w:divsChild>
        </w:div>
        <w:div w:id="363605848">
          <w:marLeft w:val="0"/>
          <w:marRight w:val="0"/>
          <w:marTop w:val="0"/>
          <w:marBottom w:val="0"/>
          <w:divBdr>
            <w:top w:val="none" w:sz="0" w:space="0" w:color="auto"/>
            <w:left w:val="none" w:sz="0" w:space="0" w:color="auto"/>
            <w:bottom w:val="none" w:sz="0" w:space="0" w:color="auto"/>
            <w:right w:val="none" w:sz="0" w:space="0" w:color="auto"/>
          </w:divBdr>
          <w:divsChild>
            <w:div w:id="726028744">
              <w:marLeft w:val="0"/>
              <w:marRight w:val="0"/>
              <w:marTop w:val="0"/>
              <w:marBottom w:val="0"/>
              <w:divBdr>
                <w:top w:val="none" w:sz="0" w:space="0" w:color="auto"/>
                <w:left w:val="none" w:sz="0" w:space="0" w:color="auto"/>
                <w:bottom w:val="none" w:sz="0" w:space="0" w:color="auto"/>
                <w:right w:val="none" w:sz="0" w:space="0" w:color="auto"/>
              </w:divBdr>
            </w:div>
          </w:divsChild>
        </w:div>
        <w:div w:id="1879321601">
          <w:marLeft w:val="0"/>
          <w:marRight w:val="0"/>
          <w:marTop w:val="0"/>
          <w:marBottom w:val="0"/>
          <w:divBdr>
            <w:top w:val="none" w:sz="0" w:space="0" w:color="auto"/>
            <w:left w:val="none" w:sz="0" w:space="0" w:color="auto"/>
            <w:bottom w:val="none" w:sz="0" w:space="0" w:color="auto"/>
            <w:right w:val="none" w:sz="0" w:space="0" w:color="auto"/>
          </w:divBdr>
          <w:divsChild>
            <w:div w:id="1532302744">
              <w:marLeft w:val="0"/>
              <w:marRight w:val="0"/>
              <w:marTop w:val="0"/>
              <w:marBottom w:val="0"/>
              <w:divBdr>
                <w:top w:val="none" w:sz="0" w:space="0" w:color="auto"/>
                <w:left w:val="none" w:sz="0" w:space="0" w:color="auto"/>
                <w:bottom w:val="none" w:sz="0" w:space="0" w:color="auto"/>
                <w:right w:val="none" w:sz="0" w:space="0" w:color="auto"/>
              </w:divBdr>
            </w:div>
          </w:divsChild>
        </w:div>
        <w:div w:id="1941601707">
          <w:marLeft w:val="0"/>
          <w:marRight w:val="0"/>
          <w:marTop w:val="0"/>
          <w:marBottom w:val="0"/>
          <w:divBdr>
            <w:top w:val="none" w:sz="0" w:space="0" w:color="auto"/>
            <w:left w:val="none" w:sz="0" w:space="0" w:color="auto"/>
            <w:bottom w:val="none" w:sz="0" w:space="0" w:color="auto"/>
            <w:right w:val="none" w:sz="0" w:space="0" w:color="auto"/>
          </w:divBdr>
          <w:divsChild>
            <w:div w:id="1079863066">
              <w:marLeft w:val="0"/>
              <w:marRight w:val="0"/>
              <w:marTop w:val="0"/>
              <w:marBottom w:val="0"/>
              <w:divBdr>
                <w:top w:val="none" w:sz="0" w:space="0" w:color="auto"/>
                <w:left w:val="none" w:sz="0" w:space="0" w:color="auto"/>
                <w:bottom w:val="none" w:sz="0" w:space="0" w:color="auto"/>
                <w:right w:val="none" w:sz="0" w:space="0" w:color="auto"/>
              </w:divBdr>
            </w:div>
          </w:divsChild>
        </w:div>
        <w:div w:id="1133211348">
          <w:marLeft w:val="0"/>
          <w:marRight w:val="0"/>
          <w:marTop w:val="0"/>
          <w:marBottom w:val="0"/>
          <w:divBdr>
            <w:top w:val="none" w:sz="0" w:space="0" w:color="auto"/>
            <w:left w:val="none" w:sz="0" w:space="0" w:color="auto"/>
            <w:bottom w:val="none" w:sz="0" w:space="0" w:color="auto"/>
            <w:right w:val="none" w:sz="0" w:space="0" w:color="auto"/>
          </w:divBdr>
          <w:divsChild>
            <w:div w:id="599876807">
              <w:marLeft w:val="0"/>
              <w:marRight w:val="0"/>
              <w:marTop w:val="0"/>
              <w:marBottom w:val="0"/>
              <w:divBdr>
                <w:top w:val="none" w:sz="0" w:space="0" w:color="auto"/>
                <w:left w:val="none" w:sz="0" w:space="0" w:color="auto"/>
                <w:bottom w:val="none" w:sz="0" w:space="0" w:color="auto"/>
                <w:right w:val="none" w:sz="0" w:space="0" w:color="auto"/>
              </w:divBdr>
            </w:div>
          </w:divsChild>
        </w:div>
        <w:div w:id="699628549">
          <w:marLeft w:val="0"/>
          <w:marRight w:val="0"/>
          <w:marTop w:val="0"/>
          <w:marBottom w:val="0"/>
          <w:divBdr>
            <w:top w:val="none" w:sz="0" w:space="0" w:color="auto"/>
            <w:left w:val="none" w:sz="0" w:space="0" w:color="auto"/>
            <w:bottom w:val="none" w:sz="0" w:space="0" w:color="auto"/>
            <w:right w:val="none" w:sz="0" w:space="0" w:color="auto"/>
          </w:divBdr>
          <w:divsChild>
            <w:div w:id="1888031833">
              <w:marLeft w:val="0"/>
              <w:marRight w:val="0"/>
              <w:marTop w:val="0"/>
              <w:marBottom w:val="0"/>
              <w:divBdr>
                <w:top w:val="none" w:sz="0" w:space="0" w:color="auto"/>
                <w:left w:val="none" w:sz="0" w:space="0" w:color="auto"/>
                <w:bottom w:val="none" w:sz="0" w:space="0" w:color="auto"/>
                <w:right w:val="none" w:sz="0" w:space="0" w:color="auto"/>
              </w:divBdr>
            </w:div>
          </w:divsChild>
        </w:div>
        <w:div w:id="1800802360">
          <w:marLeft w:val="0"/>
          <w:marRight w:val="0"/>
          <w:marTop w:val="0"/>
          <w:marBottom w:val="0"/>
          <w:divBdr>
            <w:top w:val="none" w:sz="0" w:space="0" w:color="auto"/>
            <w:left w:val="none" w:sz="0" w:space="0" w:color="auto"/>
            <w:bottom w:val="none" w:sz="0" w:space="0" w:color="auto"/>
            <w:right w:val="none" w:sz="0" w:space="0" w:color="auto"/>
          </w:divBdr>
          <w:divsChild>
            <w:div w:id="1869179717">
              <w:marLeft w:val="0"/>
              <w:marRight w:val="0"/>
              <w:marTop w:val="0"/>
              <w:marBottom w:val="0"/>
              <w:divBdr>
                <w:top w:val="none" w:sz="0" w:space="0" w:color="auto"/>
                <w:left w:val="none" w:sz="0" w:space="0" w:color="auto"/>
                <w:bottom w:val="none" w:sz="0" w:space="0" w:color="auto"/>
                <w:right w:val="none" w:sz="0" w:space="0" w:color="auto"/>
              </w:divBdr>
            </w:div>
          </w:divsChild>
        </w:div>
        <w:div w:id="1771509470">
          <w:marLeft w:val="0"/>
          <w:marRight w:val="0"/>
          <w:marTop w:val="0"/>
          <w:marBottom w:val="0"/>
          <w:divBdr>
            <w:top w:val="none" w:sz="0" w:space="0" w:color="auto"/>
            <w:left w:val="none" w:sz="0" w:space="0" w:color="auto"/>
            <w:bottom w:val="none" w:sz="0" w:space="0" w:color="auto"/>
            <w:right w:val="none" w:sz="0" w:space="0" w:color="auto"/>
          </w:divBdr>
          <w:divsChild>
            <w:div w:id="811673048">
              <w:marLeft w:val="0"/>
              <w:marRight w:val="0"/>
              <w:marTop w:val="0"/>
              <w:marBottom w:val="0"/>
              <w:divBdr>
                <w:top w:val="none" w:sz="0" w:space="0" w:color="auto"/>
                <w:left w:val="none" w:sz="0" w:space="0" w:color="auto"/>
                <w:bottom w:val="none" w:sz="0" w:space="0" w:color="auto"/>
                <w:right w:val="none" w:sz="0" w:space="0" w:color="auto"/>
              </w:divBdr>
            </w:div>
          </w:divsChild>
        </w:div>
        <w:div w:id="277563539">
          <w:marLeft w:val="0"/>
          <w:marRight w:val="0"/>
          <w:marTop w:val="0"/>
          <w:marBottom w:val="0"/>
          <w:divBdr>
            <w:top w:val="none" w:sz="0" w:space="0" w:color="auto"/>
            <w:left w:val="none" w:sz="0" w:space="0" w:color="auto"/>
            <w:bottom w:val="none" w:sz="0" w:space="0" w:color="auto"/>
            <w:right w:val="none" w:sz="0" w:space="0" w:color="auto"/>
          </w:divBdr>
          <w:divsChild>
            <w:div w:id="1232228922">
              <w:marLeft w:val="0"/>
              <w:marRight w:val="0"/>
              <w:marTop w:val="0"/>
              <w:marBottom w:val="0"/>
              <w:divBdr>
                <w:top w:val="none" w:sz="0" w:space="0" w:color="auto"/>
                <w:left w:val="none" w:sz="0" w:space="0" w:color="auto"/>
                <w:bottom w:val="none" w:sz="0" w:space="0" w:color="auto"/>
                <w:right w:val="none" w:sz="0" w:space="0" w:color="auto"/>
              </w:divBdr>
            </w:div>
          </w:divsChild>
        </w:div>
        <w:div w:id="192117728">
          <w:marLeft w:val="0"/>
          <w:marRight w:val="0"/>
          <w:marTop w:val="0"/>
          <w:marBottom w:val="0"/>
          <w:divBdr>
            <w:top w:val="none" w:sz="0" w:space="0" w:color="auto"/>
            <w:left w:val="none" w:sz="0" w:space="0" w:color="auto"/>
            <w:bottom w:val="none" w:sz="0" w:space="0" w:color="auto"/>
            <w:right w:val="none" w:sz="0" w:space="0" w:color="auto"/>
          </w:divBdr>
          <w:divsChild>
            <w:div w:id="1202782942">
              <w:marLeft w:val="0"/>
              <w:marRight w:val="0"/>
              <w:marTop w:val="0"/>
              <w:marBottom w:val="0"/>
              <w:divBdr>
                <w:top w:val="none" w:sz="0" w:space="0" w:color="auto"/>
                <w:left w:val="none" w:sz="0" w:space="0" w:color="auto"/>
                <w:bottom w:val="none" w:sz="0" w:space="0" w:color="auto"/>
                <w:right w:val="none" w:sz="0" w:space="0" w:color="auto"/>
              </w:divBdr>
            </w:div>
          </w:divsChild>
        </w:div>
        <w:div w:id="286470778">
          <w:marLeft w:val="0"/>
          <w:marRight w:val="0"/>
          <w:marTop w:val="0"/>
          <w:marBottom w:val="0"/>
          <w:divBdr>
            <w:top w:val="none" w:sz="0" w:space="0" w:color="auto"/>
            <w:left w:val="none" w:sz="0" w:space="0" w:color="auto"/>
            <w:bottom w:val="none" w:sz="0" w:space="0" w:color="auto"/>
            <w:right w:val="none" w:sz="0" w:space="0" w:color="auto"/>
          </w:divBdr>
          <w:divsChild>
            <w:div w:id="2069257019">
              <w:marLeft w:val="0"/>
              <w:marRight w:val="0"/>
              <w:marTop w:val="0"/>
              <w:marBottom w:val="0"/>
              <w:divBdr>
                <w:top w:val="none" w:sz="0" w:space="0" w:color="auto"/>
                <w:left w:val="none" w:sz="0" w:space="0" w:color="auto"/>
                <w:bottom w:val="none" w:sz="0" w:space="0" w:color="auto"/>
                <w:right w:val="none" w:sz="0" w:space="0" w:color="auto"/>
              </w:divBdr>
            </w:div>
          </w:divsChild>
        </w:div>
        <w:div w:id="1592934116">
          <w:marLeft w:val="0"/>
          <w:marRight w:val="0"/>
          <w:marTop w:val="0"/>
          <w:marBottom w:val="0"/>
          <w:divBdr>
            <w:top w:val="none" w:sz="0" w:space="0" w:color="auto"/>
            <w:left w:val="none" w:sz="0" w:space="0" w:color="auto"/>
            <w:bottom w:val="none" w:sz="0" w:space="0" w:color="auto"/>
            <w:right w:val="none" w:sz="0" w:space="0" w:color="auto"/>
          </w:divBdr>
          <w:divsChild>
            <w:div w:id="306133635">
              <w:marLeft w:val="0"/>
              <w:marRight w:val="0"/>
              <w:marTop w:val="0"/>
              <w:marBottom w:val="0"/>
              <w:divBdr>
                <w:top w:val="none" w:sz="0" w:space="0" w:color="auto"/>
                <w:left w:val="none" w:sz="0" w:space="0" w:color="auto"/>
                <w:bottom w:val="none" w:sz="0" w:space="0" w:color="auto"/>
                <w:right w:val="none" w:sz="0" w:space="0" w:color="auto"/>
              </w:divBdr>
            </w:div>
          </w:divsChild>
        </w:div>
        <w:div w:id="497116864">
          <w:marLeft w:val="0"/>
          <w:marRight w:val="0"/>
          <w:marTop w:val="0"/>
          <w:marBottom w:val="0"/>
          <w:divBdr>
            <w:top w:val="none" w:sz="0" w:space="0" w:color="auto"/>
            <w:left w:val="none" w:sz="0" w:space="0" w:color="auto"/>
            <w:bottom w:val="none" w:sz="0" w:space="0" w:color="auto"/>
            <w:right w:val="none" w:sz="0" w:space="0" w:color="auto"/>
          </w:divBdr>
          <w:divsChild>
            <w:div w:id="1242326924">
              <w:marLeft w:val="0"/>
              <w:marRight w:val="0"/>
              <w:marTop w:val="0"/>
              <w:marBottom w:val="0"/>
              <w:divBdr>
                <w:top w:val="none" w:sz="0" w:space="0" w:color="auto"/>
                <w:left w:val="none" w:sz="0" w:space="0" w:color="auto"/>
                <w:bottom w:val="none" w:sz="0" w:space="0" w:color="auto"/>
                <w:right w:val="none" w:sz="0" w:space="0" w:color="auto"/>
              </w:divBdr>
            </w:div>
          </w:divsChild>
        </w:div>
        <w:div w:id="615646938">
          <w:marLeft w:val="0"/>
          <w:marRight w:val="0"/>
          <w:marTop w:val="0"/>
          <w:marBottom w:val="0"/>
          <w:divBdr>
            <w:top w:val="none" w:sz="0" w:space="0" w:color="auto"/>
            <w:left w:val="none" w:sz="0" w:space="0" w:color="auto"/>
            <w:bottom w:val="none" w:sz="0" w:space="0" w:color="auto"/>
            <w:right w:val="none" w:sz="0" w:space="0" w:color="auto"/>
          </w:divBdr>
          <w:divsChild>
            <w:div w:id="2055882991">
              <w:marLeft w:val="0"/>
              <w:marRight w:val="0"/>
              <w:marTop w:val="0"/>
              <w:marBottom w:val="0"/>
              <w:divBdr>
                <w:top w:val="none" w:sz="0" w:space="0" w:color="auto"/>
                <w:left w:val="none" w:sz="0" w:space="0" w:color="auto"/>
                <w:bottom w:val="none" w:sz="0" w:space="0" w:color="auto"/>
                <w:right w:val="none" w:sz="0" w:space="0" w:color="auto"/>
              </w:divBdr>
            </w:div>
          </w:divsChild>
        </w:div>
        <w:div w:id="530385245">
          <w:marLeft w:val="0"/>
          <w:marRight w:val="0"/>
          <w:marTop w:val="0"/>
          <w:marBottom w:val="0"/>
          <w:divBdr>
            <w:top w:val="none" w:sz="0" w:space="0" w:color="auto"/>
            <w:left w:val="none" w:sz="0" w:space="0" w:color="auto"/>
            <w:bottom w:val="none" w:sz="0" w:space="0" w:color="auto"/>
            <w:right w:val="none" w:sz="0" w:space="0" w:color="auto"/>
          </w:divBdr>
          <w:divsChild>
            <w:div w:id="1651859200">
              <w:marLeft w:val="0"/>
              <w:marRight w:val="0"/>
              <w:marTop w:val="0"/>
              <w:marBottom w:val="0"/>
              <w:divBdr>
                <w:top w:val="none" w:sz="0" w:space="0" w:color="auto"/>
                <w:left w:val="none" w:sz="0" w:space="0" w:color="auto"/>
                <w:bottom w:val="none" w:sz="0" w:space="0" w:color="auto"/>
                <w:right w:val="none" w:sz="0" w:space="0" w:color="auto"/>
              </w:divBdr>
            </w:div>
          </w:divsChild>
        </w:div>
        <w:div w:id="700938286">
          <w:marLeft w:val="0"/>
          <w:marRight w:val="0"/>
          <w:marTop w:val="0"/>
          <w:marBottom w:val="0"/>
          <w:divBdr>
            <w:top w:val="none" w:sz="0" w:space="0" w:color="auto"/>
            <w:left w:val="none" w:sz="0" w:space="0" w:color="auto"/>
            <w:bottom w:val="none" w:sz="0" w:space="0" w:color="auto"/>
            <w:right w:val="none" w:sz="0" w:space="0" w:color="auto"/>
          </w:divBdr>
          <w:divsChild>
            <w:div w:id="749041523">
              <w:marLeft w:val="0"/>
              <w:marRight w:val="0"/>
              <w:marTop w:val="0"/>
              <w:marBottom w:val="0"/>
              <w:divBdr>
                <w:top w:val="none" w:sz="0" w:space="0" w:color="auto"/>
                <w:left w:val="none" w:sz="0" w:space="0" w:color="auto"/>
                <w:bottom w:val="none" w:sz="0" w:space="0" w:color="auto"/>
                <w:right w:val="none" w:sz="0" w:space="0" w:color="auto"/>
              </w:divBdr>
            </w:div>
          </w:divsChild>
        </w:div>
        <w:div w:id="427044946">
          <w:marLeft w:val="0"/>
          <w:marRight w:val="0"/>
          <w:marTop w:val="0"/>
          <w:marBottom w:val="0"/>
          <w:divBdr>
            <w:top w:val="none" w:sz="0" w:space="0" w:color="auto"/>
            <w:left w:val="none" w:sz="0" w:space="0" w:color="auto"/>
            <w:bottom w:val="none" w:sz="0" w:space="0" w:color="auto"/>
            <w:right w:val="none" w:sz="0" w:space="0" w:color="auto"/>
          </w:divBdr>
          <w:divsChild>
            <w:div w:id="935091347">
              <w:marLeft w:val="0"/>
              <w:marRight w:val="0"/>
              <w:marTop w:val="0"/>
              <w:marBottom w:val="0"/>
              <w:divBdr>
                <w:top w:val="none" w:sz="0" w:space="0" w:color="auto"/>
                <w:left w:val="none" w:sz="0" w:space="0" w:color="auto"/>
                <w:bottom w:val="none" w:sz="0" w:space="0" w:color="auto"/>
                <w:right w:val="none" w:sz="0" w:space="0" w:color="auto"/>
              </w:divBdr>
            </w:div>
          </w:divsChild>
        </w:div>
        <w:div w:id="1107000547">
          <w:marLeft w:val="0"/>
          <w:marRight w:val="0"/>
          <w:marTop w:val="0"/>
          <w:marBottom w:val="0"/>
          <w:divBdr>
            <w:top w:val="none" w:sz="0" w:space="0" w:color="auto"/>
            <w:left w:val="none" w:sz="0" w:space="0" w:color="auto"/>
            <w:bottom w:val="none" w:sz="0" w:space="0" w:color="auto"/>
            <w:right w:val="none" w:sz="0" w:space="0" w:color="auto"/>
          </w:divBdr>
          <w:divsChild>
            <w:div w:id="1088423351">
              <w:marLeft w:val="0"/>
              <w:marRight w:val="0"/>
              <w:marTop w:val="0"/>
              <w:marBottom w:val="0"/>
              <w:divBdr>
                <w:top w:val="none" w:sz="0" w:space="0" w:color="auto"/>
                <w:left w:val="none" w:sz="0" w:space="0" w:color="auto"/>
                <w:bottom w:val="none" w:sz="0" w:space="0" w:color="auto"/>
                <w:right w:val="none" w:sz="0" w:space="0" w:color="auto"/>
              </w:divBdr>
            </w:div>
          </w:divsChild>
        </w:div>
        <w:div w:id="1600680233">
          <w:marLeft w:val="0"/>
          <w:marRight w:val="0"/>
          <w:marTop w:val="0"/>
          <w:marBottom w:val="0"/>
          <w:divBdr>
            <w:top w:val="none" w:sz="0" w:space="0" w:color="auto"/>
            <w:left w:val="none" w:sz="0" w:space="0" w:color="auto"/>
            <w:bottom w:val="none" w:sz="0" w:space="0" w:color="auto"/>
            <w:right w:val="none" w:sz="0" w:space="0" w:color="auto"/>
          </w:divBdr>
          <w:divsChild>
            <w:div w:id="810368520">
              <w:marLeft w:val="0"/>
              <w:marRight w:val="0"/>
              <w:marTop w:val="0"/>
              <w:marBottom w:val="0"/>
              <w:divBdr>
                <w:top w:val="none" w:sz="0" w:space="0" w:color="auto"/>
                <w:left w:val="none" w:sz="0" w:space="0" w:color="auto"/>
                <w:bottom w:val="none" w:sz="0" w:space="0" w:color="auto"/>
                <w:right w:val="none" w:sz="0" w:space="0" w:color="auto"/>
              </w:divBdr>
            </w:div>
          </w:divsChild>
        </w:div>
        <w:div w:id="1956789814">
          <w:marLeft w:val="0"/>
          <w:marRight w:val="0"/>
          <w:marTop w:val="0"/>
          <w:marBottom w:val="0"/>
          <w:divBdr>
            <w:top w:val="none" w:sz="0" w:space="0" w:color="auto"/>
            <w:left w:val="none" w:sz="0" w:space="0" w:color="auto"/>
            <w:bottom w:val="none" w:sz="0" w:space="0" w:color="auto"/>
            <w:right w:val="none" w:sz="0" w:space="0" w:color="auto"/>
          </w:divBdr>
          <w:divsChild>
            <w:div w:id="1668244313">
              <w:marLeft w:val="0"/>
              <w:marRight w:val="0"/>
              <w:marTop w:val="0"/>
              <w:marBottom w:val="0"/>
              <w:divBdr>
                <w:top w:val="none" w:sz="0" w:space="0" w:color="auto"/>
                <w:left w:val="none" w:sz="0" w:space="0" w:color="auto"/>
                <w:bottom w:val="none" w:sz="0" w:space="0" w:color="auto"/>
                <w:right w:val="none" w:sz="0" w:space="0" w:color="auto"/>
              </w:divBdr>
            </w:div>
          </w:divsChild>
        </w:div>
        <w:div w:id="2141456828">
          <w:marLeft w:val="0"/>
          <w:marRight w:val="0"/>
          <w:marTop w:val="0"/>
          <w:marBottom w:val="0"/>
          <w:divBdr>
            <w:top w:val="none" w:sz="0" w:space="0" w:color="auto"/>
            <w:left w:val="none" w:sz="0" w:space="0" w:color="auto"/>
            <w:bottom w:val="none" w:sz="0" w:space="0" w:color="auto"/>
            <w:right w:val="none" w:sz="0" w:space="0" w:color="auto"/>
          </w:divBdr>
          <w:divsChild>
            <w:div w:id="1261641096">
              <w:marLeft w:val="0"/>
              <w:marRight w:val="0"/>
              <w:marTop w:val="0"/>
              <w:marBottom w:val="0"/>
              <w:divBdr>
                <w:top w:val="none" w:sz="0" w:space="0" w:color="auto"/>
                <w:left w:val="none" w:sz="0" w:space="0" w:color="auto"/>
                <w:bottom w:val="none" w:sz="0" w:space="0" w:color="auto"/>
                <w:right w:val="none" w:sz="0" w:space="0" w:color="auto"/>
              </w:divBdr>
            </w:div>
          </w:divsChild>
        </w:div>
        <w:div w:id="1251357624">
          <w:marLeft w:val="0"/>
          <w:marRight w:val="0"/>
          <w:marTop w:val="0"/>
          <w:marBottom w:val="0"/>
          <w:divBdr>
            <w:top w:val="none" w:sz="0" w:space="0" w:color="auto"/>
            <w:left w:val="none" w:sz="0" w:space="0" w:color="auto"/>
            <w:bottom w:val="none" w:sz="0" w:space="0" w:color="auto"/>
            <w:right w:val="none" w:sz="0" w:space="0" w:color="auto"/>
          </w:divBdr>
          <w:divsChild>
            <w:div w:id="2094357973">
              <w:marLeft w:val="0"/>
              <w:marRight w:val="0"/>
              <w:marTop w:val="0"/>
              <w:marBottom w:val="0"/>
              <w:divBdr>
                <w:top w:val="none" w:sz="0" w:space="0" w:color="auto"/>
                <w:left w:val="none" w:sz="0" w:space="0" w:color="auto"/>
                <w:bottom w:val="none" w:sz="0" w:space="0" w:color="auto"/>
                <w:right w:val="none" w:sz="0" w:space="0" w:color="auto"/>
              </w:divBdr>
            </w:div>
          </w:divsChild>
        </w:div>
        <w:div w:id="1564560915">
          <w:marLeft w:val="0"/>
          <w:marRight w:val="0"/>
          <w:marTop w:val="0"/>
          <w:marBottom w:val="0"/>
          <w:divBdr>
            <w:top w:val="none" w:sz="0" w:space="0" w:color="auto"/>
            <w:left w:val="none" w:sz="0" w:space="0" w:color="auto"/>
            <w:bottom w:val="none" w:sz="0" w:space="0" w:color="auto"/>
            <w:right w:val="none" w:sz="0" w:space="0" w:color="auto"/>
          </w:divBdr>
          <w:divsChild>
            <w:div w:id="65556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513306">
      <w:bodyDiv w:val="1"/>
      <w:marLeft w:val="0"/>
      <w:marRight w:val="0"/>
      <w:marTop w:val="0"/>
      <w:marBottom w:val="0"/>
      <w:divBdr>
        <w:top w:val="none" w:sz="0" w:space="0" w:color="auto"/>
        <w:left w:val="none" w:sz="0" w:space="0" w:color="auto"/>
        <w:bottom w:val="none" w:sz="0" w:space="0" w:color="auto"/>
        <w:right w:val="none" w:sz="0" w:space="0" w:color="auto"/>
      </w:divBdr>
    </w:div>
    <w:div w:id="250428637">
      <w:bodyDiv w:val="1"/>
      <w:marLeft w:val="0"/>
      <w:marRight w:val="0"/>
      <w:marTop w:val="0"/>
      <w:marBottom w:val="0"/>
      <w:divBdr>
        <w:top w:val="none" w:sz="0" w:space="0" w:color="auto"/>
        <w:left w:val="none" w:sz="0" w:space="0" w:color="auto"/>
        <w:bottom w:val="none" w:sz="0" w:space="0" w:color="auto"/>
        <w:right w:val="none" w:sz="0" w:space="0" w:color="auto"/>
      </w:divBdr>
    </w:div>
    <w:div w:id="250434294">
      <w:bodyDiv w:val="1"/>
      <w:marLeft w:val="0"/>
      <w:marRight w:val="0"/>
      <w:marTop w:val="0"/>
      <w:marBottom w:val="0"/>
      <w:divBdr>
        <w:top w:val="none" w:sz="0" w:space="0" w:color="auto"/>
        <w:left w:val="none" w:sz="0" w:space="0" w:color="auto"/>
        <w:bottom w:val="none" w:sz="0" w:space="0" w:color="auto"/>
        <w:right w:val="none" w:sz="0" w:space="0" w:color="auto"/>
      </w:divBdr>
    </w:div>
    <w:div w:id="251594717">
      <w:bodyDiv w:val="1"/>
      <w:marLeft w:val="0"/>
      <w:marRight w:val="0"/>
      <w:marTop w:val="0"/>
      <w:marBottom w:val="0"/>
      <w:divBdr>
        <w:top w:val="none" w:sz="0" w:space="0" w:color="auto"/>
        <w:left w:val="none" w:sz="0" w:space="0" w:color="auto"/>
        <w:bottom w:val="none" w:sz="0" w:space="0" w:color="auto"/>
        <w:right w:val="none" w:sz="0" w:space="0" w:color="auto"/>
      </w:divBdr>
    </w:div>
    <w:div w:id="258178340">
      <w:bodyDiv w:val="1"/>
      <w:marLeft w:val="0"/>
      <w:marRight w:val="0"/>
      <w:marTop w:val="0"/>
      <w:marBottom w:val="0"/>
      <w:divBdr>
        <w:top w:val="none" w:sz="0" w:space="0" w:color="auto"/>
        <w:left w:val="none" w:sz="0" w:space="0" w:color="auto"/>
        <w:bottom w:val="none" w:sz="0" w:space="0" w:color="auto"/>
        <w:right w:val="none" w:sz="0" w:space="0" w:color="auto"/>
      </w:divBdr>
    </w:div>
    <w:div w:id="261499453">
      <w:bodyDiv w:val="1"/>
      <w:marLeft w:val="0"/>
      <w:marRight w:val="0"/>
      <w:marTop w:val="0"/>
      <w:marBottom w:val="0"/>
      <w:divBdr>
        <w:top w:val="none" w:sz="0" w:space="0" w:color="auto"/>
        <w:left w:val="none" w:sz="0" w:space="0" w:color="auto"/>
        <w:bottom w:val="none" w:sz="0" w:space="0" w:color="auto"/>
        <w:right w:val="none" w:sz="0" w:space="0" w:color="auto"/>
      </w:divBdr>
    </w:div>
    <w:div w:id="265163105">
      <w:bodyDiv w:val="1"/>
      <w:marLeft w:val="0"/>
      <w:marRight w:val="0"/>
      <w:marTop w:val="0"/>
      <w:marBottom w:val="0"/>
      <w:divBdr>
        <w:top w:val="none" w:sz="0" w:space="0" w:color="auto"/>
        <w:left w:val="none" w:sz="0" w:space="0" w:color="auto"/>
        <w:bottom w:val="none" w:sz="0" w:space="0" w:color="auto"/>
        <w:right w:val="none" w:sz="0" w:space="0" w:color="auto"/>
      </w:divBdr>
    </w:div>
    <w:div w:id="269894944">
      <w:bodyDiv w:val="1"/>
      <w:marLeft w:val="0"/>
      <w:marRight w:val="0"/>
      <w:marTop w:val="0"/>
      <w:marBottom w:val="0"/>
      <w:divBdr>
        <w:top w:val="none" w:sz="0" w:space="0" w:color="auto"/>
        <w:left w:val="none" w:sz="0" w:space="0" w:color="auto"/>
        <w:bottom w:val="none" w:sz="0" w:space="0" w:color="auto"/>
        <w:right w:val="none" w:sz="0" w:space="0" w:color="auto"/>
      </w:divBdr>
    </w:div>
    <w:div w:id="282271656">
      <w:bodyDiv w:val="1"/>
      <w:marLeft w:val="0"/>
      <w:marRight w:val="0"/>
      <w:marTop w:val="0"/>
      <w:marBottom w:val="0"/>
      <w:divBdr>
        <w:top w:val="none" w:sz="0" w:space="0" w:color="auto"/>
        <w:left w:val="none" w:sz="0" w:space="0" w:color="auto"/>
        <w:bottom w:val="none" w:sz="0" w:space="0" w:color="auto"/>
        <w:right w:val="none" w:sz="0" w:space="0" w:color="auto"/>
      </w:divBdr>
      <w:divsChild>
        <w:div w:id="405301152">
          <w:marLeft w:val="0"/>
          <w:marRight w:val="0"/>
          <w:marTop w:val="0"/>
          <w:marBottom w:val="0"/>
          <w:divBdr>
            <w:top w:val="none" w:sz="0" w:space="0" w:color="auto"/>
            <w:left w:val="none" w:sz="0" w:space="0" w:color="auto"/>
            <w:bottom w:val="none" w:sz="0" w:space="0" w:color="auto"/>
            <w:right w:val="none" w:sz="0" w:space="0" w:color="auto"/>
          </w:divBdr>
        </w:div>
      </w:divsChild>
    </w:div>
    <w:div w:id="284586469">
      <w:bodyDiv w:val="1"/>
      <w:marLeft w:val="0"/>
      <w:marRight w:val="0"/>
      <w:marTop w:val="0"/>
      <w:marBottom w:val="0"/>
      <w:divBdr>
        <w:top w:val="none" w:sz="0" w:space="0" w:color="auto"/>
        <w:left w:val="none" w:sz="0" w:space="0" w:color="auto"/>
        <w:bottom w:val="none" w:sz="0" w:space="0" w:color="auto"/>
        <w:right w:val="none" w:sz="0" w:space="0" w:color="auto"/>
      </w:divBdr>
    </w:div>
    <w:div w:id="293683774">
      <w:bodyDiv w:val="1"/>
      <w:marLeft w:val="0"/>
      <w:marRight w:val="0"/>
      <w:marTop w:val="0"/>
      <w:marBottom w:val="0"/>
      <w:divBdr>
        <w:top w:val="none" w:sz="0" w:space="0" w:color="auto"/>
        <w:left w:val="none" w:sz="0" w:space="0" w:color="auto"/>
        <w:bottom w:val="none" w:sz="0" w:space="0" w:color="auto"/>
        <w:right w:val="none" w:sz="0" w:space="0" w:color="auto"/>
      </w:divBdr>
    </w:div>
    <w:div w:id="303317556">
      <w:bodyDiv w:val="1"/>
      <w:marLeft w:val="0"/>
      <w:marRight w:val="0"/>
      <w:marTop w:val="0"/>
      <w:marBottom w:val="0"/>
      <w:divBdr>
        <w:top w:val="none" w:sz="0" w:space="0" w:color="auto"/>
        <w:left w:val="none" w:sz="0" w:space="0" w:color="auto"/>
        <w:bottom w:val="none" w:sz="0" w:space="0" w:color="auto"/>
        <w:right w:val="none" w:sz="0" w:space="0" w:color="auto"/>
      </w:divBdr>
    </w:div>
    <w:div w:id="304551313">
      <w:bodyDiv w:val="1"/>
      <w:marLeft w:val="0"/>
      <w:marRight w:val="0"/>
      <w:marTop w:val="0"/>
      <w:marBottom w:val="0"/>
      <w:divBdr>
        <w:top w:val="none" w:sz="0" w:space="0" w:color="auto"/>
        <w:left w:val="none" w:sz="0" w:space="0" w:color="auto"/>
        <w:bottom w:val="none" w:sz="0" w:space="0" w:color="auto"/>
        <w:right w:val="none" w:sz="0" w:space="0" w:color="auto"/>
      </w:divBdr>
      <w:divsChild>
        <w:div w:id="1581476279">
          <w:marLeft w:val="0"/>
          <w:marRight w:val="0"/>
          <w:marTop w:val="0"/>
          <w:marBottom w:val="0"/>
          <w:divBdr>
            <w:top w:val="none" w:sz="0" w:space="0" w:color="auto"/>
            <w:left w:val="none" w:sz="0" w:space="0" w:color="auto"/>
            <w:bottom w:val="none" w:sz="0" w:space="0" w:color="auto"/>
            <w:right w:val="none" w:sz="0" w:space="0" w:color="auto"/>
          </w:divBdr>
        </w:div>
        <w:div w:id="724715371">
          <w:marLeft w:val="0"/>
          <w:marRight w:val="0"/>
          <w:marTop w:val="0"/>
          <w:marBottom w:val="0"/>
          <w:divBdr>
            <w:top w:val="none" w:sz="0" w:space="0" w:color="auto"/>
            <w:left w:val="none" w:sz="0" w:space="0" w:color="auto"/>
            <w:bottom w:val="none" w:sz="0" w:space="0" w:color="auto"/>
            <w:right w:val="none" w:sz="0" w:space="0" w:color="auto"/>
          </w:divBdr>
        </w:div>
        <w:div w:id="1841118975">
          <w:marLeft w:val="0"/>
          <w:marRight w:val="0"/>
          <w:marTop w:val="0"/>
          <w:marBottom w:val="0"/>
          <w:divBdr>
            <w:top w:val="none" w:sz="0" w:space="0" w:color="auto"/>
            <w:left w:val="none" w:sz="0" w:space="0" w:color="auto"/>
            <w:bottom w:val="none" w:sz="0" w:space="0" w:color="auto"/>
            <w:right w:val="none" w:sz="0" w:space="0" w:color="auto"/>
          </w:divBdr>
        </w:div>
        <w:div w:id="1186165883">
          <w:marLeft w:val="0"/>
          <w:marRight w:val="0"/>
          <w:marTop w:val="0"/>
          <w:marBottom w:val="0"/>
          <w:divBdr>
            <w:top w:val="none" w:sz="0" w:space="0" w:color="auto"/>
            <w:left w:val="none" w:sz="0" w:space="0" w:color="auto"/>
            <w:bottom w:val="none" w:sz="0" w:space="0" w:color="auto"/>
            <w:right w:val="none" w:sz="0" w:space="0" w:color="auto"/>
          </w:divBdr>
        </w:div>
        <w:div w:id="1326207459">
          <w:marLeft w:val="0"/>
          <w:marRight w:val="0"/>
          <w:marTop w:val="0"/>
          <w:marBottom w:val="0"/>
          <w:divBdr>
            <w:top w:val="none" w:sz="0" w:space="0" w:color="auto"/>
            <w:left w:val="none" w:sz="0" w:space="0" w:color="auto"/>
            <w:bottom w:val="none" w:sz="0" w:space="0" w:color="auto"/>
            <w:right w:val="none" w:sz="0" w:space="0" w:color="auto"/>
          </w:divBdr>
        </w:div>
        <w:div w:id="582682022">
          <w:marLeft w:val="0"/>
          <w:marRight w:val="0"/>
          <w:marTop w:val="0"/>
          <w:marBottom w:val="0"/>
          <w:divBdr>
            <w:top w:val="none" w:sz="0" w:space="0" w:color="auto"/>
            <w:left w:val="none" w:sz="0" w:space="0" w:color="auto"/>
            <w:bottom w:val="none" w:sz="0" w:space="0" w:color="auto"/>
            <w:right w:val="none" w:sz="0" w:space="0" w:color="auto"/>
          </w:divBdr>
        </w:div>
        <w:div w:id="812987932">
          <w:marLeft w:val="0"/>
          <w:marRight w:val="0"/>
          <w:marTop w:val="0"/>
          <w:marBottom w:val="0"/>
          <w:divBdr>
            <w:top w:val="none" w:sz="0" w:space="0" w:color="auto"/>
            <w:left w:val="none" w:sz="0" w:space="0" w:color="auto"/>
            <w:bottom w:val="none" w:sz="0" w:space="0" w:color="auto"/>
            <w:right w:val="none" w:sz="0" w:space="0" w:color="auto"/>
          </w:divBdr>
        </w:div>
        <w:div w:id="1632638096">
          <w:marLeft w:val="0"/>
          <w:marRight w:val="0"/>
          <w:marTop w:val="0"/>
          <w:marBottom w:val="0"/>
          <w:divBdr>
            <w:top w:val="none" w:sz="0" w:space="0" w:color="auto"/>
            <w:left w:val="none" w:sz="0" w:space="0" w:color="auto"/>
            <w:bottom w:val="none" w:sz="0" w:space="0" w:color="auto"/>
            <w:right w:val="none" w:sz="0" w:space="0" w:color="auto"/>
          </w:divBdr>
        </w:div>
        <w:div w:id="1924685039">
          <w:marLeft w:val="0"/>
          <w:marRight w:val="0"/>
          <w:marTop w:val="0"/>
          <w:marBottom w:val="0"/>
          <w:divBdr>
            <w:top w:val="none" w:sz="0" w:space="0" w:color="auto"/>
            <w:left w:val="none" w:sz="0" w:space="0" w:color="auto"/>
            <w:bottom w:val="none" w:sz="0" w:space="0" w:color="auto"/>
            <w:right w:val="none" w:sz="0" w:space="0" w:color="auto"/>
          </w:divBdr>
        </w:div>
        <w:div w:id="1745175864">
          <w:marLeft w:val="0"/>
          <w:marRight w:val="0"/>
          <w:marTop w:val="0"/>
          <w:marBottom w:val="0"/>
          <w:divBdr>
            <w:top w:val="none" w:sz="0" w:space="0" w:color="auto"/>
            <w:left w:val="none" w:sz="0" w:space="0" w:color="auto"/>
            <w:bottom w:val="none" w:sz="0" w:space="0" w:color="auto"/>
            <w:right w:val="none" w:sz="0" w:space="0" w:color="auto"/>
          </w:divBdr>
        </w:div>
        <w:div w:id="454375945">
          <w:marLeft w:val="0"/>
          <w:marRight w:val="0"/>
          <w:marTop w:val="0"/>
          <w:marBottom w:val="0"/>
          <w:divBdr>
            <w:top w:val="none" w:sz="0" w:space="0" w:color="auto"/>
            <w:left w:val="none" w:sz="0" w:space="0" w:color="auto"/>
            <w:bottom w:val="none" w:sz="0" w:space="0" w:color="auto"/>
            <w:right w:val="none" w:sz="0" w:space="0" w:color="auto"/>
          </w:divBdr>
        </w:div>
        <w:div w:id="31393870">
          <w:marLeft w:val="0"/>
          <w:marRight w:val="0"/>
          <w:marTop w:val="0"/>
          <w:marBottom w:val="0"/>
          <w:divBdr>
            <w:top w:val="none" w:sz="0" w:space="0" w:color="auto"/>
            <w:left w:val="none" w:sz="0" w:space="0" w:color="auto"/>
            <w:bottom w:val="none" w:sz="0" w:space="0" w:color="auto"/>
            <w:right w:val="none" w:sz="0" w:space="0" w:color="auto"/>
          </w:divBdr>
        </w:div>
        <w:div w:id="280379608">
          <w:marLeft w:val="0"/>
          <w:marRight w:val="0"/>
          <w:marTop w:val="0"/>
          <w:marBottom w:val="0"/>
          <w:divBdr>
            <w:top w:val="none" w:sz="0" w:space="0" w:color="auto"/>
            <w:left w:val="none" w:sz="0" w:space="0" w:color="auto"/>
            <w:bottom w:val="none" w:sz="0" w:space="0" w:color="auto"/>
            <w:right w:val="none" w:sz="0" w:space="0" w:color="auto"/>
          </w:divBdr>
        </w:div>
        <w:div w:id="744838048">
          <w:marLeft w:val="0"/>
          <w:marRight w:val="0"/>
          <w:marTop w:val="0"/>
          <w:marBottom w:val="0"/>
          <w:divBdr>
            <w:top w:val="none" w:sz="0" w:space="0" w:color="auto"/>
            <w:left w:val="none" w:sz="0" w:space="0" w:color="auto"/>
            <w:bottom w:val="none" w:sz="0" w:space="0" w:color="auto"/>
            <w:right w:val="none" w:sz="0" w:space="0" w:color="auto"/>
          </w:divBdr>
        </w:div>
        <w:div w:id="1399085846">
          <w:marLeft w:val="0"/>
          <w:marRight w:val="0"/>
          <w:marTop w:val="0"/>
          <w:marBottom w:val="0"/>
          <w:divBdr>
            <w:top w:val="none" w:sz="0" w:space="0" w:color="auto"/>
            <w:left w:val="none" w:sz="0" w:space="0" w:color="auto"/>
            <w:bottom w:val="none" w:sz="0" w:space="0" w:color="auto"/>
            <w:right w:val="none" w:sz="0" w:space="0" w:color="auto"/>
          </w:divBdr>
        </w:div>
        <w:div w:id="142551697">
          <w:marLeft w:val="0"/>
          <w:marRight w:val="0"/>
          <w:marTop w:val="0"/>
          <w:marBottom w:val="0"/>
          <w:divBdr>
            <w:top w:val="none" w:sz="0" w:space="0" w:color="auto"/>
            <w:left w:val="none" w:sz="0" w:space="0" w:color="auto"/>
            <w:bottom w:val="none" w:sz="0" w:space="0" w:color="auto"/>
            <w:right w:val="none" w:sz="0" w:space="0" w:color="auto"/>
          </w:divBdr>
        </w:div>
        <w:div w:id="461923391">
          <w:marLeft w:val="0"/>
          <w:marRight w:val="0"/>
          <w:marTop w:val="0"/>
          <w:marBottom w:val="0"/>
          <w:divBdr>
            <w:top w:val="none" w:sz="0" w:space="0" w:color="auto"/>
            <w:left w:val="none" w:sz="0" w:space="0" w:color="auto"/>
            <w:bottom w:val="none" w:sz="0" w:space="0" w:color="auto"/>
            <w:right w:val="none" w:sz="0" w:space="0" w:color="auto"/>
          </w:divBdr>
        </w:div>
        <w:div w:id="2013753106">
          <w:marLeft w:val="0"/>
          <w:marRight w:val="0"/>
          <w:marTop w:val="0"/>
          <w:marBottom w:val="0"/>
          <w:divBdr>
            <w:top w:val="none" w:sz="0" w:space="0" w:color="auto"/>
            <w:left w:val="none" w:sz="0" w:space="0" w:color="auto"/>
            <w:bottom w:val="none" w:sz="0" w:space="0" w:color="auto"/>
            <w:right w:val="none" w:sz="0" w:space="0" w:color="auto"/>
          </w:divBdr>
        </w:div>
        <w:div w:id="716471857">
          <w:marLeft w:val="0"/>
          <w:marRight w:val="0"/>
          <w:marTop w:val="0"/>
          <w:marBottom w:val="0"/>
          <w:divBdr>
            <w:top w:val="none" w:sz="0" w:space="0" w:color="auto"/>
            <w:left w:val="none" w:sz="0" w:space="0" w:color="auto"/>
            <w:bottom w:val="none" w:sz="0" w:space="0" w:color="auto"/>
            <w:right w:val="none" w:sz="0" w:space="0" w:color="auto"/>
          </w:divBdr>
        </w:div>
        <w:div w:id="1418945857">
          <w:marLeft w:val="0"/>
          <w:marRight w:val="0"/>
          <w:marTop w:val="0"/>
          <w:marBottom w:val="0"/>
          <w:divBdr>
            <w:top w:val="none" w:sz="0" w:space="0" w:color="auto"/>
            <w:left w:val="none" w:sz="0" w:space="0" w:color="auto"/>
            <w:bottom w:val="none" w:sz="0" w:space="0" w:color="auto"/>
            <w:right w:val="none" w:sz="0" w:space="0" w:color="auto"/>
          </w:divBdr>
        </w:div>
        <w:div w:id="177737125">
          <w:marLeft w:val="0"/>
          <w:marRight w:val="0"/>
          <w:marTop w:val="0"/>
          <w:marBottom w:val="0"/>
          <w:divBdr>
            <w:top w:val="none" w:sz="0" w:space="0" w:color="auto"/>
            <w:left w:val="none" w:sz="0" w:space="0" w:color="auto"/>
            <w:bottom w:val="none" w:sz="0" w:space="0" w:color="auto"/>
            <w:right w:val="none" w:sz="0" w:space="0" w:color="auto"/>
          </w:divBdr>
        </w:div>
        <w:div w:id="2079204830">
          <w:marLeft w:val="0"/>
          <w:marRight w:val="0"/>
          <w:marTop w:val="0"/>
          <w:marBottom w:val="0"/>
          <w:divBdr>
            <w:top w:val="none" w:sz="0" w:space="0" w:color="auto"/>
            <w:left w:val="none" w:sz="0" w:space="0" w:color="auto"/>
            <w:bottom w:val="none" w:sz="0" w:space="0" w:color="auto"/>
            <w:right w:val="none" w:sz="0" w:space="0" w:color="auto"/>
          </w:divBdr>
        </w:div>
        <w:div w:id="1527404442">
          <w:marLeft w:val="0"/>
          <w:marRight w:val="0"/>
          <w:marTop w:val="0"/>
          <w:marBottom w:val="0"/>
          <w:divBdr>
            <w:top w:val="none" w:sz="0" w:space="0" w:color="auto"/>
            <w:left w:val="none" w:sz="0" w:space="0" w:color="auto"/>
            <w:bottom w:val="none" w:sz="0" w:space="0" w:color="auto"/>
            <w:right w:val="none" w:sz="0" w:space="0" w:color="auto"/>
          </w:divBdr>
        </w:div>
        <w:div w:id="1458525013">
          <w:marLeft w:val="0"/>
          <w:marRight w:val="0"/>
          <w:marTop w:val="0"/>
          <w:marBottom w:val="0"/>
          <w:divBdr>
            <w:top w:val="none" w:sz="0" w:space="0" w:color="auto"/>
            <w:left w:val="none" w:sz="0" w:space="0" w:color="auto"/>
            <w:bottom w:val="none" w:sz="0" w:space="0" w:color="auto"/>
            <w:right w:val="none" w:sz="0" w:space="0" w:color="auto"/>
          </w:divBdr>
        </w:div>
      </w:divsChild>
    </w:div>
    <w:div w:id="307320067">
      <w:bodyDiv w:val="1"/>
      <w:marLeft w:val="0"/>
      <w:marRight w:val="0"/>
      <w:marTop w:val="0"/>
      <w:marBottom w:val="0"/>
      <w:divBdr>
        <w:top w:val="none" w:sz="0" w:space="0" w:color="auto"/>
        <w:left w:val="none" w:sz="0" w:space="0" w:color="auto"/>
        <w:bottom w:val="none" w:sz="0" w:space="0" w:color="auto"/>
        <w:right w:val="none" w:sz="0" w:space="0" w:color="auto"/>
      </w:divBdr>
    </w:div>
    <w:div w:id="316152922">
      <w:bodyDiv w:val="1"/>
      <w:marLeft w:val="0"/>
      <w:marRight w:val="0"/>
      <w:marTop w:val="0"/>
      <w:marBottom w:val="0"/>
      <w:divBdr>
        <w:top w:val="none" w:sz="0" w:space="0" w:color="auto"/>
        <w:left w:val="none" w:sz="0" w:space="0" w:color="auto"/>
        <w:bottom w:val="none" w:sz="0" w:space="0" w:color="auto"/>
        <w:right w:val="none" w:sz="0" w:space="0" w:color="auto"/>
      </w:divBdr>
    </w:div>
    <w:div w:id="316303902">
      <w:bodyDiv w:val="1"/>
      <w:marLeft w:val="0"/>
      <w:marRight w:val="0"/>
      <w:marTop w:val="0"/>
      <w:marBottom w:val="0"/>
      <w:divBdr>
        <w:top w:val="none" w:sz="0" w:space="0" w:color="auto"/>
        <w:left w:val="none" w:sz="0" w:space="0" w:color="auto"/>
        <w:bottom w:val="none" w:sz="0" w:space="0" w:color="auto"/>
        <w:right w:val="none" w:sz="0" w:space="0" w:color="auto"/>
      </w:divBdr>
    </w:div>
    <w:div w:id="322003274">
      <w:bodyDiv w:val="1"/>
      <w:marLeft w:val="0"/>
      <w:marRight w:val="0"/>
      <w:marTop w:val="0"/>
      <w:marBottom w:val="0"/>
      <w:divBdr>
        <w:top w:val="none" w:sz="0" w:space="0" w:color="auto"/>
        <w:left w:val="none" w:sz="0" w:space="0" w:color="auto"/>
        <w:bottom w:val="none" w:sz="0" w:space="0" w:color="auto"/>
        <w:right w:val="none" w:sz="0" w:space="0" w:color="auto"/>
      </w:divBdr>
    </w:div>
    <w:div w:id="326324490">
      <w:bodyDiv w:val="1"/>
      <w:marLeft w:val="0"/>
      <w:marRight w:val="0"/>
      <w:marTop w:val="0"/>
      <w:marBottom w:val="0"/>
      <w:divBdr>
        <w:top w:val="none" w:sz="0" w:space="0" w:color="auto"/>
        <w:left w:val="none" w:sz="0" w:space="0" w:color="auto"/>
        <w:bottom w:val="none" w:sz="0" w:space="0" w:color="auto"/>
        <w:right w:val="none" w:sz="0" w:space="0" w:color="auto"/>
      </w:divBdr>
    </w:div>
    <w:div w:id="327175426">
      <w:bodyDiv w:val="1"/>
      <w:marLeft w:val="0"/>
      <w:marRight w:val="0"/>
      <w:marTop w:val="0"/>
      <w:marBottom w:val="0"/>
      <w:divBdr>
        <w:top w:val="none" w:sz="0" w:space="0" w:color="auto"/>
        <w:left w:val="none" w:sz="0" w:space="0" w:color="auto"/>
        <w:bottom w:val="none" w:sz="0" w:space="0" w:color="auto"/>
        <w:right w:val="none" w:sz="0" w:space="0" w:color="auto"/>
      </w:divBdr>
    </w:div>
    <w:div w:id="332688757">
      <w:bodyDiv w:val="1"/>
      <w:marLeft w:val="0"/>
      <w:marRight w:val="0"/>
      <w:marTop w:val="0"/>
      <w:marBottom w:val="0"/>
      <w:divBdr>
        <w:top w:val="none" w:sz="0" w:space="0" w:color="auto"/>
        <w:left w:val="none" w:sz="0" w:space="0" w:color="auto"/>
        <w:bottom w:val="none" w:sz="0" w:space="0" w:color="auto"/>
        <w:right w:val="none" w:sz="0" w:space="0" w:color="auto"/>
      </w:divBdr>
    </w:div>
    <w:div w:id="336494489">
      <w:bodyDiv w:val="1"/>
      <w:marLeft w:val="0"/>
      <w:marRight w:val="0"/>
      <w:marTop w:val="0"/>
      <w:marBottom w:val="0"/>
      <w:divBdr>
        <w:top w:val="none" w:sz="0" w:space="0" w:color="auto"/>
        <w:left w:val="none" w:sz="0" w:space="0" w:color="auto"/>
        <w:bottom w:val="none" w:sz="0" w:space="0" w:color="auto"/>
        <w:right w:val="none" w:sz="0" w:space="0" w:color="auto"/>
      </w:divBdr>
    </w:div>
    <w:div w:id="341781907">
      <w:bodyDiv w:val="1"/>
      <w:marLeft w:val="0"/>
      <w:marRight w:val="0"/>
      <w:marTop w:val="0"/>
      <w:marBottom w:val="0"/>
      <w:divBdr>
        <w:top w:val="none" w:sz="0" w:space="0" w:color="auto"/>
        <w:left w:val="none" w:sz="0" w:space="0" w:color="auto"/>
        <w:bottom w:val="none" w:sz="0" w:space="0" w:color="auto"/>
        <w:right w:val="none" w:sz="0" w:space="0" w:color="auto"/>
      </w:divBdr>
    </w:div>
    <w:div w:id="352151297">
      <w:bodyDiv w:val="1"/>
      <w:marLeft w:val="0"/>
      <w:marRight w:val="0"/>
      <w:marTop w:val="0"/>
      <w:marBottom w:val="0"/>
      <w:divBdr>
        <w:top w:val="none" w:sz="0" w:space="0" w:color="auto"/>
        <w:left w:val="none" w:sz="0" w:space="0" w:color="auto"/>
        <w:bottom w:val="none" w:sz="0" w:space="0" w:color="auto"/>
        <w:right w:val="none" w:sz="0" w:space="0" w:color="auto"/>
      </w:divBdr>
    </w:div>
    <w:div w:id="354382296">
      <w:bodyDiv w:val="1"/>
      <w:marLeft w:val="0"/>
      <w:marRight w:val="0"/>
      <w:marTop w:val="0"/>
      <w:marBottom w:val="0"/>
      <w:divBdr>
        <w:top w:val="none" w:sz="0" w:space="0" w:color="auto"/>
        <w:left w:val="none" w:sz="0" w:space="0" w:color="auto"/>
        <w:bottom w:val="none" w:sz="0" w:space="0" w:color="auto"/>
        <w:right w:val="none" w:sz="0" w:space="0" w:color="auto"/>
      </w:divBdr>
    </w:div>
    <w:div w:id="355422189">
      <w:bodyDiv w:val="1"/>
      <w:marLeft w:val="0"/>
      <w:marRight w:val="0"/>
      <w:marTop w:val="0"/>
      <w:marBottom w:val="0"/>
      <w:divBdr>
        <w:top w:val="none" w:sz="0" w:space="0" w:color="auto"/>
        <w:left w:val="none" w:sz="0" w:space="0" w:color="auto"/>
        <w:bottom w:val="none" w:sz="0" w:space="0" w:color="auto"/>
        <w:right w:val="none" w:sz="0" w:space="0" w:color="auto"/>
      </w:divBdr>
    </w:div>
    <w:div w:id="355695879">
      <w:bodyDiv w:val="1"/>
      <w:marLeft w:val="0"/>
      <w:marRight w:val="0"/>
      <w:marTop w:val="0"/>
      <w:marBottom w:val="0"/>
      <w:divBdr>
        <w:top w:val="none" w:sz="0" w:space="0" w:color="auto"/>
        <w:left w:val="none" w:sz="0" w:space="0" w:color="auto"/>
        <w:bottom w:val="none" w:sz="0" w:space="0" w:color="auto"/>
        <w:right w:val="none" w:sz="0" w:space="0" w:color="auto"/>
      </w:divBdr>
    </w:div>
    <w:div w:id="370497369">
      <w:bodyDiv w:val="1"/>
      <w:marLeft w:val="0"/>
      <w:marRight w:val="0"/>
      <w:marTop w:val="0"/>
      <w:marBottom w:val="0"/>
      <w:divBdr>
        <w:top w:val="none" w:sz="0" w:space="0" w:color="auto"/>
        <w:left w:val="none" w:sz="0" w:space="0" w:color="auto"/>
        <w:bottom w:val="none" w:sz="0" w:space="0" w:color="auto"/>
        <w:right w:val="none" w:sz="0" w:space="0" w:color="auto"/>
      </w:divBdr>
    </w:div>
    <w:div w:id="388967293">
      <w:bodyDiv w:val="1"/>
      <w:marLeft w:val="0"/>
      <w:marRight w:val="0"/>
      <w:marTop w:val="0"/>
      <w:marBottom w:val="0"/>
      <w:divBdr>
        <w:top w:val="none" w:sz="0" w:space="0" w:color="auto"/>
        <w:left w:val="none" w:sz="0" w:space="0" w:color="auto"/>
        <w:bottom w:val="none" w:sz="0" w:space="0" w:color="auto"/>
        <w:right w:val="none" w:sz="0" w:space="0" w:color="auto"/>
      </w:divBdr>
      <w:divsChild>
        <w:div w:id="499203538">
          <w:marLeft w:val="0"/>
          <w:marRight w:val="0"/>
          <w:marTop w:val="0"/>
          <w:marBottom w:val="0"/>
          <w:divBdr>
            <w:top w:val="none" w:sz="0" w:space="0" w:color="auto"/>
            <w:left w:val="none" w:sz="0" w:space="0" w:color="auto"/>
            <w:bottom w:val="none" w:sz="0" w:space="0" w:color="auto"/>
            <w:right w:val="none" w:sz="0" w:space="0" w:color="auto"/>
          </w:divBdr>
        </w:div>
        <w:div w:id="1016419540">
          <w:marLeft w:val="0"/>
          <w:marRight w:val="0"/>
          <w:marTop w:val="0"/>
          <w:marBottom w:val="0"/>
          <w:divBdr>
            <w:top w:val="none" w:sz="0" w:space="0" w:color="auto"/>
            <w:left w:val="none" w:sz="0" w:space="0" w:color="auto"/>
            <w:bottom w:val="none" w:sz="0" w:space="0" w:color="auto"/>
            <w:right w:val="none" w:sz="0" w:space="0" w:color="auto"/>
          </w:divBdr>
        </w:div>
        <w:div w:id="2047018529">
          <w:marLeft w:val="0"/>
          <w:marRight w:val="0"/>
          <w:marTop w:val="0"/>
          <w:marBottom w:val="0"/>
          <w:divBdr>
            <w:top w:val="none" w:sz="0" w:space="0" w:color="auto"/>
            <w:left w:val="none" w:sz="0" w:space="0" w:color="auto"/>
            <w:bottom w:val="none" w:sz="0" w:space="0" w:color="auto"/>
            <w:right w:val="none" w:sz="0" w:space="0" w:color="auto"/>
          </w:divBdr>
        </w:div>
        <w:div w:id="435176921">
          <w:marLeft w:val="0"/>
          <w:marRight w:val="0"/>
          <w:marTop w:val="0"/>
          <w:marBottom w:val="0"/>
          <w:divBdr>
            <w:top w:val="none" w:sz="0" w:space="0" w:color="auto"/>
            <w:left w:val="none" w:sz="0" w:space="0" w:color="auto"/>
            <w:bottom w:val="none" w:sz="0" w:space="0" w:color="auto"/>
            <w:right w:val="none" w:sz="0" w:space="0" w:color="auto"/>
          </w:divBdr>
        </w:div>
        <w:div w:id="1415203876">
          <w:marLeft w:val="0"/>
          <w:marRight w:val="0"/>
          <w:marTop w:val="0"/>
          <w:marBottom w:val="0"/>
          <w:divBdr>
            <w:top w:val="none" w:sz="0" w:space="0" w:color="auto"/>
            <w:left w:val="none" w:sz="0" w:space="0" w:color="auto"/>
            <w:bottom w:val="none" w:sz="0" w:space="0" w:color="auto"/>
            <w:right w:val="none" w:sz="0" w:space="0" w:color="auto"/>
          </w:divBdr>
          <w:divsChild>
            <w:div w:id="2081630296">
              <w:marLeft w:val="0"/>
              <w:marRight w:val="0"/>
              <w:marTop w:val="30"/>
              <w:marBottom w:val="30"/>
              <w:divBdr>
                <w:top w:val="none" w:sz="0" w:space="0" w:color="auto"/>
                <w:left w:val="none" w:sz="0" w:space="0" w:color="auto"/>
                <w:bottom w:val="none" w:sz="0" w:space="0" w:color="auto"/>
                <w:right w:val="none" w:sz="0" w:space="0" w:color="auto"/>
              </w:divBdr>
              <w:divsChild>
                <w:div w:id="378169513">
                  <w:marLeft w:val="0"/>
                  <w:marRight w:val="0"/>
                  <w:marTop w:val="0"/>
                  <w:marBottom w:val="0"/>
                  <w:divBdr>
                    <w:top w:val="none" w:sz="0" w:space="0" w:color="auto"/>
                    <w:left w:val="none" w:sz="0" w:space="0" w:color="auto"/>
                    <w:bottom w:val="none" w:sz="0" w:space="0" w:color="auto"/>
                    <w:right w:val="none" w:sz="0" w:space="0" w:color="auto"/>
                  </w:divBdr>
                  <w:divsChild>
                    <w:div w:id="704258805">
                      <w:marLeft w:val="0"/>
                      <w:marRight w:val="0"/>
                      <w:marTop w:val="0"/>
                      <w:marBottom w:val="0"/>
                      <w:divBdr>
                        <w:top w:val="none" w:sz="0" w:space="0" w:color="auto"/>
                        <w:left w:val="none" w:sz="0" w:space="0" w:color="auto"/>
                        <w:bottom w:val="none" w:sz="0" w:space="0" w:color="auto"/>
                        <w:right w:val="none" w:sz="0" w:space="0" w:color="auto"/>
                      </w:divBdr>
                    </w:div>
                  </w:divsChild>
                </w:div>
                <w:div w:id="402873795">
                  <w:marLeft w:val="0"/>
                  <w:marRight w:val="0"/>
                  <w:marTop w:val="0"/>
                  <w:marBottom w:val="0"/>
                  <w:divBdr>
                    <w:top w:val="none" w:sz="0" w:space="0" w:color="auto"/>
                    <w:left w:val="none" w:sz="0" w:space="0" w:color="auto"/>
                    <w:bottom w:val="none" w:sz="0" w:space="0" w:color="auto"/>
                    <w:right w:val="none" w:sz="0" w:space="0" w:color="auto"/>
                  </w:divBdr>
                  <w:divsChild>
                    <w:div w:id="841967884">
                      <w:marLeft w:val="0"/>
                      <w:marRight w:val="0"/>
                      <w:marTop w:val="0"/>
                      <w:marBottom w:val="0"/>
                      <w:divBdr>
                        <w:top w:val="none" w:sz="0" w:space="0" w:color="auto"/>
                        <w:left w:val="none" w:sz="0" w:space="0" w:color="auto"/>
                        <w:bottom w:val="none" w:sz="0" w:space="0" w:color="auto"/>
                        <w:right w:val="none" w:sz="0" w:space="0" w:color="auto"/>
                      </w:divBdr>
                    </w:div>
                  </w:divsChild>
                </w:div>
                <w:div w:id="1154492124">
                  <w:marLeft w:val="0"/>
                  <w:marRight w:val="0"/>
                  <w:marTop w:val="0"/>
                  <w:marBottom w:val="0"/>
                  <w:divBdr>
                    <w:top w:val="none" w:sz="0" w:space="0" w:color="auto"/>
                    <w:left w:val="none" w:sz="0" w:space="0" w:color="auto"/>
                    <w:bottom w:val="none" w:sz="0" w:space="0" w:color="auto"/>
                    <w:right w:val="none" w:sz="0" w:space="0" w:color="auto"/>
                  </w:divBdr>
                  <w:divsChild>
                    <w:div w:id="384303199">
                      <w:marLeft w:val="0"/>
                      <w:marRight w:val="0"/>
                      <w:marTop w:val="0"/>
                      <w:marBottom w:val="0"/>
                      <w:divBdr>
                        <w:top w:val="none" w:sz="0" w:space="0" w:color="auto"/>
                        <w:left w:val="none" w:sz="0" w:space="0" w:color="auto"/>
                        <w:bottom w:val="none" w:sz="0" w:space="0" w:color="auto"/>
                        <w:right w:val="none" w:sz="0" w:space="0" w:color="auto"/>
                      </w:divBdr>
                    </w:div>
                  </w:divsChild>
                </w:div>
                <w:div w:id="1567642765">
                  <w:marLeft w:val="0"/>
                  <w:marRight w:val="0"/>
                  <w:marTop w:val="0"/>
                  <w:marBottom w:val="0"/>
                  <w:divBdr>
                    <w:top w:val="none" w:sz="0" w:space="0" w:color="auto"/>
                    <w:left w:val="none" w:sz="0" w:space="0" w:color="auto"/>
                    <w:bottom w:val="none" w:sz="0" w:space="0" w:color="auto"/>
                    <w:right w:val="none" w:sz="0" w:space="0" w:color="auto"/>
                  </w:divBdr>
                  <w:divsChild>
                    <w:div w:id="1240598938">
                      <w:marLeft w:val="0"/>
                      <w:marRight w:val="0"/>
                      <w:marTop w:val="0"/>
                      <w:marBottom w:val="0"/>
                      <w:divBdr>
                        <w:top w:val="none" w:sz="0" w:space="0" w:color="auto"/>
                        <w:left w:val="none" w:sz="0" w:space="0" w:color="auto"/>
                        <w:bottom w:val="none" w:sz="0" w:space="0" w:color="auto"/>
                        <w:right w:val="none" w:sz="0" w:space="0" w:color="auto"/>
                      </w:divBdr>
                    </w:div>
                  </w:divsChild>
                </w:div>
                <w:div w:id="507987564">
                  <w:marLeft w:val="0"/>
                  <w:marRight w:val="0"/>
                  <w:marTop w:val="0"/>
                  <w:marBottom w:val="0"/>
                  <w:divBdr>
                    <w:top w:val="none" w:sz="0" w:space="0" w:color="auto"/>
                    <w:left w:val="none" w:sz="0" w:space="0" w:color="auto"/>
                    <w:bottom w:val="none" w:sz="0" w:space="0" w:color="auto"/>
                    <w:right w:val="none" w:sz="0" w:space="0" w:color="auto"/>
                  </w:divBdr>
                  <w:divsChild>
                    <w:div w:id="1042703775">
                      <w:marLeft w:val="0"/>
                      <w:marRight w:val="0"/>
                      <w:marTop w:val="0"/>
                      <w:marBottom w:val="0"/>
                      <w:divBdr>
                        <w:top w:val="none" w:sz="0" w:space="0" w:color="auto"/>
                        <w:left w:val="none" w:sz="0" w:space="0" w:color="auto"/>
                        <w:bottom w:val="none" w:sz="0" w:space="0" w:color="auto"/>
                        <w:right w:val="none" w:sz="0" w:space="0" w:color="auto"/>
                      </w:divBdr>
                    </w:div>
                  </w:divsChild>
                </w:div>
                <w:div w:id="805119898">
                  <w:marLeft w:val="0"/>
                  <w:marRight w:val="0"/>
                  <w:marTop w:val="0"/>
                  <w:marBottom w:val="0"/>
                  <w:divBdr>
                    <w:top w:val="none" w:sz="0" w:space="0" w:color="auto"/>
                    <w:left w:val="none" w:sz="0" w:space="0" w:color="auto"/>
                    <w:bottom w:val="none" w:sz="0" w:space="0" w:color="auto"/>
                    <w:right w:val="none" w:sz="0" w:space="0" w:color="auto"/>
                  </w:divBdr>
                  <w:divsChild>
                    <w:div w:id="121349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9420855">
      <w:bodyDiv w:val="1"/>
      <w:marLeft w:val="0"/>
      <w:marRight w:val="0"/>
      <w:marTop w:val="0"/>
      <w:marBottom w:val="0"/>
      <w:divBdr>
        <w:top w:val="none" w:sz="0" w:space="0" w:color="auto"/>
        <w:left w:val="none" w:sz="0" w:space="0" w:color="auto"/>
        <w:bottom w:val="none" w:sz="0" w:space="0" w:color="auto"/>
        <w:right w:val="none" w:sz="0" w:space="0" w:color="auto"/>
      </w:divBdr>
    </w:div>
    <w:div w:id="390471854">
      <w:bodyDiv w:val="1"/>
      <w:marLeft w:val="0"/>
      <w:marRight w:val="0"/>
      <w:marTop w:val="0"/>
      <w:marBottom w:val="0"/>
      <w:divBdr>
        <w:top w:val="none" w:sz="0" w:space="0" w:color="auto"/>
        <w:left w:val="none" w:sz="0" w:space="0" w:color="auto"/>
        <w:bottom w:val="none" w:sz="0" w:space="0" w:color="auto"/>
        <w:right w:val="none" w:sz="0" w:space="0" w:color="auto"/>
      </w:divBdr>
    </w:div>
    <w:div w:id="393044396">
      <w:bodyDiv w:val="1"/>
      <w:marLeft w:val="0"/>
      <w:marRight w:val="0"/>
      <w:marTop w:val="0"/>
      <w:marBottom w:val="0"/>
      <w:divBdr>
        <w:top w:val="none" w:sz="0" w:space="0" w:color="auto"/>
        <w:left w:val="none" w:sz="0" w:space="0" w:color="auto"/>
        <w:bottom w:val="none" w:sz="0" w:space="0" w:color="auto"/>
        <w:right w:val="none" w:sz="0" w:space="0" w:color="auto"/>
      </w:divBdr>
    </w:div>
    <w:div w:id="400561371">
      <w:bodyDiv w:val="1"/>
      <w:marLeft w:val="0"/>
      <w:marRight w:val="0"/>
      <w:marTop w:val="0"/>
      <w:marBottom w:val="0"/>
      <w:divBdr>
        <w:top w:val="none" w:sz="0" w:space="0" w:color="auto"/>
        <w:left w:val="none" w:sz="0" w:space="0" w:color="auto"/>
        <w:bottom w:val="none" w:sz="0" w:space="0" w:color="auto"/>
        <w:right w:val="none" w:sz="0" w:space="0" w:color="auto"/>
      </w:divBdr>
    </w:div>
    <w:div w:id="405151679">
      <w:bodyDiv w:val="1"/>
      <w:marLeft w:val="0"/>
      <w:marRight w:val="0"/>
      <w:marTop w:val="0"/>
      <w:marBottom w:val="0"/>
      <w:divBdr>
        <w:top w:val="none" w:sz="0" w:space="0" w:color="auto"/>
        <w:left w:val="none" w:sz="0" w:space="0" w:color="auto"/>
        <w:bottom w:val="none" w:sz="0" w:space="0" w:color="auto"/>
        <w:right w:val="none" w:sz="0" w:space="0" w:color="auto"/>
      </w:divBdr>
    </w:div>
    <w:div w:id="427770501">
      <w:bodyDiv w:val="1"/>
      <w:marLeft w:val="0"/>
      <w:marRight w:val="0"/>
      <w:marTop w:val="0"/>
      <w:marBottom w:val="0"/>
      <w:divBdr>
        <w:top w:val="none" w:sz="0" w:space="0" w:color="auto"/>
        <w:left w:val="none" w:sz="0" w:space="0" w:color="auto"/>
        <w:bottom w:val="none" w:sz="0" w:space="0" w:color="auto"/>
        <w:right w:val="none" w:sz="0" w:space="0" w:color="auto"/>
      </w:divBdr>
    </w:div>
    <w:div w:id="440346523">
      <w:bodyDiv w:val="1"/>
      <w:marLeft w:val="0"/>
      <w:marRight w:val="0"/>
      <w:marTop w:val="0"/>
      <w:marBottom w:val="0"/>
      <w:divBdr>
        <w:top w:val="none" w:sz="0" w:space="0" w:color="auto"/>
        <w:left w:val="none" w:sz="0" w:space="0" w:color="auto"/>
        <w:bottom w:val="none" w:sz="0" w:space="0" w:color="auto"/>
        <w:right w:val="none" w:sz="0" w:space="0" w:color="auto"/>
      </w:divBdr>
    </w:div>
    <w:div w:id="453796408">
      <w:bodyDiv w:val="1"/>
      <w:marLeft w:val="0"/>
      <w:marRight w:val="0"/>
      <w:marTop w:val="0"/>
      <w:marBottom w:val="0"/>
      <w:divBdr>
        <w:top w:val="none" w:sz="0" w:space="0" w:color="auto"/>
        <w:left w:val="none" w:sz="0" w:space="0" w:color="auto"/>
        <w:bottom w:val="none" w:sz="0" w:space="0" w:color="auto"/>
        <w:right w:val="none" w:sz="0" w:space="0" w:color="auto"/>
      </w:divBdr>
    </w:div>
    <w:div w:id="456802086">
      <w:bodyDiv w:val="1"/>
      <w:marLeft w:val="0"/>
      <w:marRight w:val="0"/>
      <w:marTop w:val="0"/>
      <w:marBottom w:val="0"/>
      <w:divBdr>
        <w:top w:val="none" w:sz="0" w:space="0" w:color="auto"/>
        <w:left w:val="none" w:sz="0" w:space="0" w:color="auto"/>
        <w:bottom w:val="none" w:sz="0" w:space="0" w:color="auto"/>
        <w:right w:val="none" w:sz="0" w:space="0" w:color="auto"/>
      </w:divBdr>
    </w:div>
    <w:div w:id="458304529">
      <w:bodyDiv w:val="1"/>
      <w:marLeft w:val="0"/>
      <w:marRight w:val="0"/>
      <w:marTop w:val="0"/>
      <w:marBottom w:val="0"/>
      <w:divBdr>
        <w:top w:val="none" w:sz="0" w:space="0" w:color="auto"/>
        <w:left w:val="none" w:sz="0" w:space="0" w:color="auto"/>
        <w:bottom w:val="none" w:sz="0" w:space="0" w:color="auto"/>
        <w:right w:val="none" w:sz="0" w:space="0" w:color="auto"/>
      </w:divBdr>
    </w:div>
    <w:div w:id="461188881">
      <w:bodyDiv w:val="1"/>
      <w:marLeft w:val="0"/>
      <w:marRight w:val="0"/>
      <w:marTop w:val="0"/>
      <w:marBottom w:val="0"/>
      <w:divBdr>
        <w:top w:val="none" w:sz="0" w:space="0" w:color="auto"/>
        <w:left w:val="none" w:sz="0" w:space="0" w:color="auto"/>
        <w:bottom w:val="none" w:sz="0" w:space="0" w:color="auto"/>
        <w:right w:val="none" w:sz="0" w:space="0" w:color="auto"/>
      </w:divBdr>
    </w:div>
    <w:div w:id="462583293">
      <w:bodyDiv w:val="1"/>
      <w:marLeft w:val="0"/>
      <w:marRight w:val="0"/>
      <w:marTop w:val="0"/>
      <w:marBottom w:val="0"/>
      <w:divBdr>
        <w:top w:val="none" w:sz="0" w:space="0" w:color="auto"/>
        <w:left w:val="none" w:sz="0" w:space="0" w:color="auto"/>
        <w:bottom w:val="none" w:sz="0" w:space="0" w:color="auto"/>
        <w:right w:val="none" w:sz="0" w:space="0" w:color="auto"/>
      </w:divBdr>
    </w:div>
    <w:div w:id="477770773">
      <w:bodyDiv w:val="1"/>
      <w:marLeft w:val="0"/>
      <w:marRight w:val="0"/>
      <w:marTop w:val="0"/>
      <w:marBottom w:val="0"/>
      <w:divBdr>
        <w:top w:val="none" w:sz="0" w:space="0" w:color="auto"/>
        <w:left w:val="none" w:sz="0" w:space="0" w:color="auto"/>
        <w:bottom w:val="none" w:sz="0" w:space="0" w:color="auto"/>
        <w:right w:val="none" w:sz="0" w:space="0" w:color="auto"/>
      </w:divBdr>
    </w:div>
    <w:div w:id="478807301">
      <w:bodyDiv w:val="1"/>
      <w:marLeft w:val="0"/>
      <w:marRight w:val="0"/>
      <w:marTop w:val="0"/>
      <w:marBottom w:val="0"/>
      <w:divBdr>
        <w:top w:val="none" w:sz="0" w:space="0" w:color="auto"/>
        <w:left w:val="none" w:sz="0" w:space="0" w:color="auto"/>
        <w:bottom w:val="none" w:sz="0" w:space="0" w:color="auto"/>
        <w:right w:val="none" w:sz="0" w:space="0" w:color="auto"/>
      </w:divBdr>
    </w:div>
    <w:div w:id="480541404">
      <w:bodyDiv w:val="1"/>
      <w:marLeft w:val="0"/>
      <w:marRight w:val="0"/>
      <w:marTop w:val="0"/>
      <w:marBottom w:val="0"/>
      <w:divBdr>
        <w:top w:val="none" w:sz="0" w:space="0" w:color="auto"/>
        <w:left w:val="none" w:sz="0" w:space="0" w:color="auto"/>
        <w:bottom w:val="none" w:sz="0" w:space="0" w:color="auto"/>
        <w:right w:val="none" w:sz="0" w:space="0" w:color="auto"/>
      </w:divBdr>
    </w:div>
    <w:div w:id="489371190">
      <w:bodyDiv w:val="1"/>
      <w:marLeft w:val="0"/>
      <w:marRight w:val="0"/>
      <w:marTop w:val="0"/>
      <w:marBottom w:val="0"/>
      <w:divBdr>
        <w:top w:val="none" w:sz="0" w:space="0" w:color="auto"/>
        <w:left w:val="none" w:sz="0" w:space="0" w:color="auto"/>
        <w:bottom w:val="none" w:sz="0" w:space="0" w:color="auto"/>
        <w:right w:val="none" w:sz="0" w:space="0" w:color="auto"/>
      </w:divBdr>
    </w:div>
    <w:div w:id="490562169">
      <w:bodyDiv w:val="1"/>
      <w:marLeft w:val="0"/>
      <w:marRight w:val="0"/>
      <w:marTop w:val="0"/>
      <w:marBottom w:val="0"/>
      <w:divBdr>
        <w:top w:val="none" w:sz="0" w:space="0" w:color="auto"/>
        <w:left w:val="none" w:sz="0" w:space="0" w:color="auto"/>
        <w:bottom w:val="none" w:sz="0" w:space="0" w:color="auto"/>
        <w:right w:val="none" w:sz="0" w:space="0" w:color="auto"/>
      </w:divBdr>
    </w:div>
    <w:div w:id="490948679">
      <w:bodyDiv w:val="1"/>
      <w:marLeft w:val="0"/>
      <w:marRight w:val="0"/>
      <w:marTop w:val="0"/>
      <w:marBottom w:val="0"/>
      <w:divBdr>
        <w:top w:val="none" w:sz="0" w:space="0" w:color="auto"/>
        <w:left w:val="none" w:sz="0" w:space="0" w:color="auto"/>
        <w:bottom w:val="none" w:sz="0" w:space="0" w:color="auto"/>
        <w:right w:val="none" w:sz="0" w:space="0" w:color="auto"/>
      </w:divBdr>
    </w:div>
    <w:div w:id="493186736">
      <w:bodyDiv w:val="1"/>
      <w:marLeft w:val="0"/>
      <w:marRight w:val="0"/>
      <w:marTop w:val="0"/>
      <w:marBottom w:val="0"/>
      <w:divBdr>
        <w:top w:val="none" w:sz="0" w:space="0" w:color="auto"/>
        <w:left w:val="none" w:sz="0" w:space="0" w:color="auto"/>
        <w:bottom w:val="none" w:sz="0" w:space="0" w:color="auto"/>
        <w:right w:val="none" w:sz="0" w:space="0" w:color="auto"/>
      </w:divBdr>
    </w:div>
    <w:div w:id="494538617">
      <w:bodyDiv w:val="1"/>
      <w:marLeft w:val="0"/>
      <w:marRight w:val="0"/>
      <w:marTop w:val="0"/>
      <w:marBottom w:val="0"/>
      <w:divBdr>
        <w:top w:val="none" w:sz="0" w:space="0" w:color="auto"/>
        <w:left w:val="none" w:sz="0" w:space="0" w:color="auto"/>
        <w:bottom w:val="none" w:sz="0" w:space="0" w:color="auto"/>
        <w:right w:val="none" w:sz="0" w:space="0" w:color="auto"/>
      </w:divBdr>
    </w:div>
    <w:div w:id="497157677">
      <w:bodyDiv w:val="1"/>
      <w:marLeft w:val="0"/>
      <w:marRight w:val="0"/>
      <w:marTop w:val="0"/>
      <w:marBottom w:val="0"/>
      <w:divBdr>
        <w:top w:val="none" w:sz="0" w:space="0" w:color="auto"/>
        <w:left w:val="none" w:sz="0" w:space="0" w:color="auto"/>
        <w:bottom w:val="none" w:sz="0" w:space="0" w:color="auto"/>
        <w:right w:val="none" w:sz="0" w:space="0" w:color="auto"/>
      </w:divBdr>
      <w:divsChild>
        <w:div w:id="962349836">
          <w:marLeft w:val="0"/>
          <w:marRight w:val="0"/>
          <w:marTop w:val="0"/>
          <w:marBottom w:val="0"/>
          <w:divBdr>
            <w:top w:val="none" w:sz="0" w:space="0" w:color="auto"/>
            <w:left w:val="none" w:sz="0" w:space="0" w:color="auto"/>
            <w:bottom w:val="none" w:sz="0" w:space="0" w:color="auto"/>
            <w:right w:val="none" w:sz="0" w:space="0" w:color="auto"/>
          </w:divBdr>
          <w:divsChild>
            <w:div w:id="2106069494">
              <w:marLeft w:val="0"/>
              <w:marRight w:val="0"/>
              <w:marTop w:val="0"/>
              <w:marBottom w:val="0"/>
              <w:divBdr>
                <w:top w:val="none" w:sz="0" w:space="0" w:color="auto"/>
                <w:left w:val="none" w:sz="0" w:space="0" w:color="auto"/>
                <w:bottom w:val="none" w:sz="0" w:space="0" w:color="auto"/>
                <w:right w:val="none" w:sz="0" w:space="0" w:color="auto"/>
              </w:divBdr>
            </w:div>
            <w:div w:id="627706447">
              <w:marLeft w:val="0"/>
              <w:marRight w:val="0"/>
              <w:marTop w:val="0"/>
              <w:marBottom w:val="0"/>
              <w:divBdr>
                <w:top w:val="none" w:sz="0" w:space="0" w:color="auto"/>
                <w:left w:val="none" w:sz="0" w:space="0" w:color="auto"/>
                <w:bottom w:val="none" w:sz="0" w:space="0" w:color="auto"/>
                <w:right w:val="none" w:sz="0" w:space="0" w:color="auto"/>
              </w:divBdr>
            </w:div>
            <w:div w:id="67702192">
              <w:marLeft w:val="0"/>
              <w:marRight w:val="0"/>
              <w:marTop w:val="0"/>
              <w:marBottom w:val="0"/>
              <w:divBdr>
                <w:top w:val="none" w:sz="0" w:space="0" w:color="auto"/>
                <w:left w:val="none" w:sz="0" w:space="0" w:color="auto"/>
                <w:bottom w:val="none" w:sz="0" w:space="0" w:color="auto"/>
                <w:right w:val="none" w:sz="0" w:space="0" w:color="auto"/>
              </w:divBdr>
            </w:div>
            <w:div w:id="782651961">
              <w:marLeft w:val="0"/>
              <w:marRight w:val="0"/>
              <w:marTop w:val="0"/>
              <w:marBottom w:val="0"/>
              <w:divBdr>
                <w:top w:val="none" w:sz="0" w:space="0" w:color="auto"/>
                <w:left w:val="none" w:sz="0" w:space="0" w:color="auto"/>
                <w:bottom w:val="none" w:sz="0" w:space="0" w:color="auto"/>
                <w:right w:val="none" w:sz="0" w:space="0" w:color="auto"/>
              </w:divBdr>
            </w:div>
            <w:div w:id="94136507">
              <w:marLeft w:val="0"/>
              <w:marRight w:val="0"/>
              <w:marTop w:val="0"/>
              <w:marBottom w:val="0"/>
              <w:divBdr>
                <w:top w:val="none" w:sz="0" w:space="0" w:color="auto"/>
                <w:left w:val="none" w:sz="0" w:space="0" w:color="auto"/>
                <w:bottom w:val="none" w:sz="0" w:space="0" w:color="auto"/>
                <w:right w:val="none" w:sz="0" w:space="0" w:color="auto"/>
              </w:divBdr>
            </w:div>
            <w:div w:id="681706161">
              <w:marLeft w:val="0"/>
              <w:marRight w:val="0"/>
              <w:marTop w:val="0"/>
              <w:marBottom w:val="0"/>
              <w:divBdr>
                <w:top w:val="none" w:sz="0" w:space="0" w:color="auto"/>
                <w:left w:val="none" w:sz="0" w:space="0" w:color="auto"/>
                <w:bottom w:val="none" w:sz="0" w:space="0" w:color="auto"/>
                <w:right w:val="none" w:sz="0" w:space="0" w:color="auto"/>
              </w:divBdr>
            </w:div>
            <w:div w:id="1183858481">
              <w:marLeft w:val="0"/>
              <w:marRight w:val="0"/>
              <w:marTop w:val="0"/>
              <w:marBottom w:val="0"/>
              <w:divBdr>
                <w:top w:val="none" w:sz="0" w:space="0" w:color="auto"/>
                <w:left w:val="none" w:sz="0" w:space="0" w:color="auto"/>
                <w:bottom w:val="none" w:sz="0" w:space="0" w:color="auto"/>
                <w:right w:val="none" w:sz="0" w:space="0" w:color="auto"/>
              </w:divBdr>
            </w:div>
            <w:div w:id="1416510830">
              <w:marLeft w:val="0"/>
              <w:marRight w:val="0"/>
              <w:marTop w:val="0"/>
              <w:marBottom w:val="0"/>
              <w:divBdr>
                <w:top w:val="none" w:sz="0" w:space="0" w:color="auto"/>
                <w:left w:val="none" w:sz="0" w:space="0" w:color="auto"/>
                <w:bottom w:val="none" w:sz="0" w:space="0" w:color="auto"/>
                <w:right w:val="none" w:sz="0" w:space="0" w:color="auto"/>
              </w:divBdr>
            </w:div>
          </w:divsChild>
        </w:div>
        <w:div w:id="249049365">
          <w:marLeft w:val="0"/>
          <w:marRight w:val="0"/>
          <w:marTop w:val="0"/>
          <w:marBottom w:val="0"/>
          <w:divBdr>
            <w:top w:val="none" w:sz="0" w:space="0" w:color="auto"/>
            <w:left w:val="none" w:sz="0" w:space="0" w:color="auto"/>
            <w:bottom w:val="none" w:sz="0" w:space="0" w:color="auto"/>
            <w:right w:val="none" w:sz="0" w:space="0" w:color="auto"/>
          </w:divBdr>
          <w:divsChild>
            <w:div w:id="1391492820">
              <w:marLeft w:val="0"/>
              <w:marRight w:val="0"/>
              <w:marTop w:val="0"/>
              <w:marBottom w:val="0"/>
              <w:divBdr>
                <w:top w:val="none" w:sz="0" w:space="0" w:color="auto"/>
                <w:left w:val="none" w:sz="0" w:space="0" w:color="auto"/>
                <w:bottom w:val="none" w:sz="0" w:space="0" w:color="auto"/>
                <w:right w:val="none" w:sz="0" w:space="0" w:color="auto"/>
              </w:divBdr>
            </w:div>
            <w:div w:id="812984800">
              <w:marLeft w:val="0"/>
              <w:marRight w:val="0"/>
              <w:marTop w:val="0"/>
              <w:marBottom w:val="0"/>
              <w:divBdr>
                <w:top w:val="none" w:sz="0" w:space="0" w:color="auto"/>
                <w:left w:val="none" w:sz="0" w:space="0" w:color="auto"/>
                <w:bottom w:val="none" w:sz="0" w:space="0" w:color="auto"/>
                <w:right w:val="none" w:sz="0" w:space="0" w:color="auto"/>
              </w:divBdr>
            </w:div>
            <w:div w:id="106627123">
              <w:marLeft w:val="0"/>
              <w:marRight w:val="0"/>
              <w:marTop w:val="0"/>
              <w:marBottom w:val="0"/>
              <w:divBdr>
                <w:top w:val="none" w:sz="0" w:space="0" w:color="auto"/>
                <w:left w:val="none" w:sz="0" w:space="0" w:color="auto"/>
                <w:bottom w:val="none" w:sz="0" w:space="0" w:color="auto"/>
                <w:right w:val="none" w:sz="0" w:space="0" w:color="auto"/>
              </w:divBdr>
            </w:div>
            <w:div w:id="950279912">
              <w:marLeft w:val="0"/>
              <w:marRight w:val="0"/>
              <w:marTop w:val="0"/>
              <w:marBottom w:val="0"/>
              <w:divBdr>
                <w:top w:val="none" w:sz="0" w:space="0" w:color="auto"/>
                <w:left w:val="none" w:sz="0" w:space="0" w:color="auto"/>
                <w:bottom w:val="none" w:sz="0" w:space="0" w:color="auto"/>
                <w:right w:val="none" w:sz="0" w:space="0" w:color="auto"/>
              </w:divBdr>
            </w:div>
            <w:div w:id="1021779738">
              <w:marLeft w:val="0"/>
              <w:marRight w:val="0"/>
              <w:marTop w:val="0"/>
              <w:marBottom w:val="0"/>
              <w:divBdr>
                <w:top w:val="none" w:sz="0" w:space="0" w:color="auto"/>
                <w:left w:val="none" w:sz="0" w:space="0" w:color="auto"/>
                <w:bottom w:val="none" w:sz="0" w:space="0" w:color="auto"/>
                <w:right w:val="none" w:sz="0" w:space="0" w:color="auto"/>
              </w:divBdr>
            </w:div>
            <w:div w:id="817038938">
              <w:marLeft w:val="0"/>
              <w:marRight w:val="0"/>
              <w:marTop w:val="0"/>
              <w:marBottom w:val="0"/>
              <w:divBdr>
                <w:top w:val="none" w:sz="0" w:space="0" w:color="auto"/>
                <w:left w:val="none" w:sz="0" w:space="0" w:color="auto"/>
                <w:bottom w:val="none" w:sz="0" w:space="0" w:color="auto"/>
                <w:right w:val="none" w:sz="0" w:space="0" w:color="auto"/>
              </w:divBdr>
            </w:div>
            <w:div w:id="350760292">
              <w:marLeft w:val="0"/>
              <w:marRight w:val="0"/>
              <w:marTop w:val="0"/>
              <w:marBottom w:val="0"/>
              <w:divBdr>
                <w:top w:val="none" w:sz="0" w:space="0" w:color="auto"/>
                <w:left w:val="none" w:sz="0" w:space="0" w:color="auto"/>
                <w:bottom w:val="none" w:sz="0" w:space="0" w:color="auto"/>
                <w:right w:val="none" w:sz="0" w:space="0" w:color="auto"/>
              </w:divBdr>
            </w:div>
            <w:div w:id="1640573477">
              <w:marLeft w:val="0"/>
              <w:marRight w:val="0"/>
              <w:marTop w:val="0"/>
              <w:marBottom w:val="0"/>
              <w:divBdr>
                <w:top w:val="none" w:sz="0" w:space="0" w:color="auto"/>
                <w:left w:val="none" w:sz="0" w:space="0" w:color="auto"/>
                <w:bottom w:val="none" w:sz="0" w:space="0" w:color="auto"/>
                <w:right w:val="none" w:sz="0" w:space="0" w:color="auto"/>
              </w:divBdr>
            </w:div>
            <w:div w:id="1597665612">
              <w:marLeft w:val="0"/>
              <w:marRight w:val="0"/>
              <w:marTop w:val="0"/>
              <w:marBottom w:val="0"/>
              <w:divBdr>
                <w:top w:val="none" w:sz="0" w:space="0" w:color="auto"/>
                <w:left w:val="none" w:sz="0" w:space="0" w:color="auto"/>
                <w:bottom w:val="none" w:sz="0" w:space="0" w:color="auto"/>
                <w:right w:val="none" w:sz="0" w:space="0" w:color="auto"/>
              </w:divBdr>
            </w:div>
            <w:div w:id="202793998">
              <w:marLeft w:val="0"/>
              <w:marRight w:val="0"/>
              <w:marTop w:val="0"/>
              <w:marBottom w:val="0"/>
              <w:divBdr>
                <w:top w:val="none" w:sz="0" w:space="0" w:color="auto"/>
                <w:left w:val="none" w:sz="0" w:space="0" w:color="auto"/>
                <w:bottom w:val="none" w:sz="0" w:space="0" w:color="auto"/>
                <w:right w:val="none" w:sz="0" w:space="0" w:color="auto"/>
              </w:divBdr>
            </w:div>
            <w:div w:id="535313289">
              <w:marLeft w:val="0"/>
              <w:marRight w:val="0"/>
              <w:marTop w:val="0"/>
              <w:marBottom w:val="0"/>
              <w:divBdr>
                <w:top w:val="none" w:sz="0" w:space="0" w:color="auto"/>
                <w:left w:val="none" w:sz="0" w:space="0" w:color="auto"/>
                <w:bottom w:val="none" w:sz="0" w:space="0" w:color="auto"/>
                <w:right w:val="none" w:sz="0" w:space="0" w:color="auto"/>
              </w:divBdr>
            </w:div>
          </w:divsChild>
        </w:div>
        <w:div w:id="349377128">
          <w:marLeft w:val="0"/>
          <w:marRight w:val="0"/>
          <w:marTop w:val="0"/>
          <w:marBottom w:val="0"/>
          <w:divBdr>
            <w:top w:val="none" w:sz="0" w:space="0" w:color="auto"/>
            <w:left w:val="none" w:sz="0" w:space="0" w:color="auto"/>
            <w:bottom w:val="none" w:sz="0" w:space="0" w:color="auto"/>
            <w:right w:val="none" w:sz="0" w:space="0" w:color="auto"/>
          </w:divBdr>
        </w:div>
        <w:div w:id="640187250">
          <w:marLeft w:val="0"/>
          <w:marRight w:val="0"/>
          <w:marTop w:val="0"/>
          <w:marBottom w:val="0"/>
          <w:divBdr>
            <w:top w:val="none" w:sz="0" w:space="0" w:color="auto"/>
            <w:left w:val="none" w:sz="0" w:space="0" w:color="auto"/>
            <w:bottom w:val="none" w:sz="0" w:space="0" w:color="auto"/>
            <w:right w:val="none" w:sz="0" w:space="0" w:color="auto"/>
          </w:divBdr>
        </w:div>
        <w:div w:id="2108303046">
          <w:marLeft w:val="0"/>
          <w:marRight w:val="0"/>
          <w:marTop w:val="0"/>
          <w:marBottom w:val="0"/>
          <w:divBdr>
            <w:top w:val="none" w:sz="0" w:space="0" w:color="auto"/>
            <w:left w:val="none" w:sz="0" w:space="0" w:color="auto"/>
            <w:bottom w:val="none" w:sz="0" w:space="0" w:color="auto"/>
            <w:right w:val="none" w:sz="0" w:space="0" w:color="auto"/>
          </w:divBdr>
        </w:div>
      </w:divsChild>
    </w:div>
    <w:div w:id="504906958">
      <w:bodyDiv w:val="1"/>
      <w:marLeft w:val="0"/>
      <w:marRight w:val="0"/>
      <w:marTop w:val="0"/>
      <w:marBottom w:val="0"/>
      <w:divBdr>
        <w:top w:val="none" w:sz="0" w:space="0" w:color="auto"/>
        <w:left w:val="none" w:sz="0" w:space="0" w:color="auto"/>
        <w:bottom w:val="none" w:sz="0" w:space="0" w:color="auto"/>
        <w:right w:val="none" w:sz="0" w:space="0" w:color="auto"/>
      </w:divBdr>
    </w:div>
    <w:div w:id="511073252">
      <w:bodyDiv w:val="1"/>
      <w:marLeft w:val="0"/>
      <w:marRight w:val="0"/>
      <w:marTop w:val="0"/>
      <w:marBottom w:val="0"/>
      <w:divBdr>
        <w:top w:val="none" w:sz="0" w:space="0" w:color="auto"/>
        <w:left w:val="none" w:sz="0" w:space="0" w:color="auto"/>
        <w:bottom w:val="none" w:sz="0" w:space="0" w:color="auto"/>
        <w:right w:val="none" w:sz="0" w:space="0" w:color="auto"/>
      </w:divBdr>
    </w:div>
    <w:div w:id="514417912">
      <w:bodyDiv w:val="1"/>
      <w:marLeft w:val="0"/>
      <w:marRight w:val="0"/>
      <w:marTop w:val="0"/>
      <w:marBottom w:val="0"/>
      <w:divBdr>
        <w:top w:val="none" w:sz="0" w:space="0" w:color="auto"/>
        <w:left w:val="none" w:sz="0" w:space="0" w:color="auto"/>
        <w:bottom w:val="none" w:sz="0" w:space="0" w:color="auto"/>
        <w:right w:val="none" w:sz="0" w:space="0" w:color="auto"/>
      </w:divBdr>
    </w:div>
    <w:div w:id="520440600">
      <w:bodyDiv w:val="1"/>
      <w:marLeft w:val="0"/>
      <w:marRight w:val="0"/>
      <w:marTop w:val="0"/>
      <w:marBottom w:val="0"/>
      <w:divBdr>
        <w:top w:val="none" w:sz="0" w:space="0" w:color="auto"/>
        <w:left w:val="none" w:sz="0" w:space="0" w:color="auto"/>
        <w:bottom w:val="none" w:sz="0" w:space="0" w:color="auto"/>
        <w:right w:val="none" w:sz="0" w:space="0" w:color="auto"/>
      </w:divBdr>
    </w:div>
    <w:div w:id="529029329">
      <w:bodyDiv w:val="1"/>
      <w:marLeft w:val="0"/>
      <w:marRight w:val="0"/>
      <w:marTop w:val="0"/>
      <w:marBottom w:val="0"/>
      <w:divBdr>
        <w:top w:val="none" w:sz="0" w:space="0" w:color="auto"/>
        <w:left w:val="none" w:sz="0" w:space="0" w:color="auto"/>
        <w:bottom w:val="none" w:sz="0" w:space="0" w:color="auto"/>
        <w:right w:val="none" w:sz="0" w:space="0" w:color="auto"/>
      </w:divBdr>
    </w:div>
    <w:div w:id="530073260">
      <w:bodyDiv w:val="1"/>
      <w:marLeft w:val="0"/>
      <w:marRight w:val="0"/>
      <w:marTop w:val="0"/>
      <w:marBottom w:val="0"/>
      <w:divBdr>
        <w:top w:val="none" w:sz="0" w:space="0" w:color="auto"/>
        <w:left w:val="none" w:sz="0" w:space="0" w:color="auto"/>
        <w:bottom w:val="none" w:sz="0" w:space="0" w:color="auto"/>
        <w:right w:val="none" w:sz="0" w:space="0" w:color="auto"/>
      </w:divBdr>
    </w:div>
    <w:div w:id="530268413">
      <w:bodyDiv w:val="1"/>
      <w:marLeft w:val="0"/>
      <w:marRight w:val="0"/>
      <w:marTop w:val="0"/>
      <w:marBottom w:val="0"/>
      <w:divBdr>
        <w:top w:val="none" w:sz="0" w:space="0" w:color="auto"/>
        <w:left w:val="none" w:sz="0" w:space="0" w:color="auto"/>
        <w:bottom w:val="none" w:sz="0" w:space="0" w:color="auto"/>
        <w:right w:val="none" w:sz="0" w:space="0" w:color="auto"/>
      </w:divBdr>
    </w:div>
    <w:div w:id="532421230">
      <w:bodyDiv w:val="1"/>
      <w:marLeft w:val="0"/>
      <w:marRight w:val="0"/>
      <w:marTop w:val="0"/>
      <w:marBottom w:val="0"/>
      <w:divBdr>
        <w:top w:val="none" w:sz="0" w:space="0" w:color="auto"/>
        <w:left w:val="none" w:sz="0" w:space="0" w:color="auto"/>
        <w:bottom w:val="none" w:sz="0" w:space="0" w:color="auto"/>
        <w:right w:val="none" w:sz="0" w:space="0" w:color="auto"/>
      </w:divBdr>
      <w:divsChild>
        <w:div w:id="255868092">
          <w:marLeft w:val="0"/>
          <w:marRight w:val="0"/>
          <w:marTop w:val="0"/>
          <w:marBottom w:val="0"/>
          <w:divBdr>
            <w:top w:val="none" w:sz="0" w:space="0" w:color="auto"/>
            <w:left w:val="none" w:sz="0" w:space="0" w:color="auto"/>
            <w:bottom w:val="none" w:sz="0" w:space="0" w:color="auto"/>
            <w:right w:val="none" w:sz="0" w:space="0" w:color="auto"/>
          </w:divBdr>
        </w:div>
        <w:div w:id="52778074">
          <w:marLeft w:val="0"/>
          <w:marRight w:val="0"/>
          <w:marTop w:val="0"/>
          <w:marBottom w:val="0"/>
          <w:divBdr>
            <w:top w:val="none" w:sz="0" w:space="0" w:color="auto"/>
            <w:left w:val="none" w:sz="0" w:space="0" w:color="auto"/>
            <w:bottom w:val="none" w:sz="0" w:space="0" w:color="auto"/>
            <w:right w:val="none" w:sz="0" w:space="0" w:color="auto"/>
          </w:divBdr>
        </w:div>
        <w:div w:id="554244999">
          <w:marLeft w:val="0"/>
          <w:marRight w:val="0"/>
          <w:marTop w:val="0"/>
          <w:marBottom w:val="0"/>
          <w:divBdr>
            <w:top w:val="none" w:sz="0" w:space="0" w:color="auto"/>
            <w:left w:val="none" w:sz="0" w:space="0" w:color="auto"/>
            <w:bottom w:val="none" w:sz="0" w:space="0" w:color="auto"/>
            <w:right w:val="none" w:sz="0" w:space="0" w:color="auto"/>
          </w:divBdr>
        </w:div>
        <w:div w:id="417136900">
          <w:marLeft w:val="0"/>
          <w:marRight w:val="0"/>
          <w:marTop w:val="0"/>
          <w:marBottom w:val="0"/>
          <w:divBdr>
            <w:top w:val="none" w:sz="0" w:space="0" w:color="auto"/>
            <w:left w:val="none" w:sz="0" w:space="0" w:color="auto"/>
            <w:bottom w:val="none" w:sz="0" w:space="0" w:color="auto"/>
            <w:right w:val="none" w:sz="0" w:space="0" w:color="auto"/>
          </w:divBdr>
        </w:div>
        <w:div w:id="1927112145">
          <w:marLeft w:val="0"/>
          <w:marRight w:val="0"/>
          <w:marTop w:val="0"/>
          <w:marBottom w:val="0"/>
          <w:divBdr>
            <w:top w:val="none" w:sz="0" w:space="0" w:color="auto"/>
            <w:left w:val="none" w:sz="0" w:space="0" w:color="auto"/>
            <w:bottom w:val="none" w:sz="0" w:space="0" w:color="auto"/>
            <w:right w:val="none" w:sz="0" w:space="0" w:color="auto"/>
          </w:divBdr>
        </w:div>
        <w:div w:id="853886098">
          <w:marLeft w:val="0"/>
          <w:marRight w:val="0"/>
          <w:marTop w:val="0"/>
          <w:marBottom w:val="0"/>
          <w:divBdr>
            <w:top w:val="none" w:sz="0" w:space="0" w:color="auto"/>
            <w:left w:val="none" w:sz="0" w:space="0" w:color="auto"/>
            <w:bottom w:val="none" w:sz="0" w:space="0" w:color="auto"/>
            <w:right w:val="none" w:sz="0" w:space="0" w:color="auto"/>
          </w:divBdr>
        </w:div>
      </w:divsChild>
    </w:div>
    <w:div w:id="534387491">
      <w:bodyDiv w:val="1"/>
      <w:marLeft w:val="0"/>
      <w:marRight w:val="0"/>
      <w:marTop w:val="0"/>
      <w:marBottom w:val="0"/>
      <w:divBdr>
        <w:top w:val="none" w:sz="0" w:space="0" w:color="auto"/>
        <w:left w:val="none" w:sz="0" w:space="0" w:color="auto"/>
        <w:bottom w:val="none" w:sz="0" w:space="0" w:color="auto"/>
        <w:right w:val="none" w:sz="0" w:space="0" w:color="auto"/>
      </w:divBdr>
    </w:div>
    <w:div w:id="537935334">
      <w:bodyDiv w:val="1"/>
      <w:marLeft w:val="0"/>
      <w:marRight w:val="0"/>
      <w:marTop w:val="0"/>
      <w:marBottom w:val="0"/>
      <w:divBdr>
        <w:top w:val="none" w:sz="0" w:space="0" w:color="auto"/>
        <w:left w:val="none" w:sz="0" w:space="0" w:color="auto"/>
        <w:bottom w:val="none" w:sz="0" w:space="0" w:color="auto"/>
        <w:right w:val="none" w:sz="0" w:space="0" w:color="auto"/>
      </w:divBdr>
    </w:div>
    <w:div w:id="541132969">
      <w:bodyDiv w:val="1"/>
      <w:marLeft w:val="0"/>
      <w:marRight w:val="0"/>
      <w:marTop w:val="0"/>
      <w:marBottom w:val="0"/>
      <w:divBdr>
        <w:top w:val="none" w:sz="0" w:space="0" w:color="auto"/>
        <w:left w:val="none" w:sz="0" w:space="0" w:color="auto"/>
        <w:bottom w:val="none" w:sz="0" w:space="0" w:color="auto"/>
        <w:right w:val="none" w:sz="0" w:space="0" w:color="auto"/>
      </w:divBdr>
    </w:div>
    <w:div w:id="542444549">
      <w:bodyDiv w:val="1"/>
      <w:marLeft w:val="0"/>
      <w:marRight w:val="0"/>
      <w:marTop w:val="0"/>
      <w:marBottom w:val="0"/>
      <w:divBdr>
        <w:top w:val="none" w:sz="0" w:space="0" w:color="auto"/>
        <w:left w:val="none" w:sz="0" w:space="0" w:color="auto"/>
        <w:bottom w:val="none" w:sz="0" w:space="0" w:color="auto"/>
        <w:right w:val="none" w:sz="0" w:space="0" w:color="auto"/>
      </w:divBdr>
    </w:div>
    <w:div w:id="545603444">
      <w:bodyDiv w:val="1"/>
      <w:marLeft w:val="0"/>
      <w:marRight w:val="0"/>
      <w:marTop w:val="0"/>
      <w:marBottom w:val="0"/>
      <w:divBdr>
        <w:top w:val="none" w:sz="0" w:space="0" w:color="auto"/>
        <w:left w:val="none" w:sz="0" w:space="0" w:color="auto"/>
        <w:bottom w:val="none" w:sz="0" w:space="0" w:color="auto"/>
        <w:right w:val="none" w:sz="0" w:space="0" w:color="auto"/>
      </w:divBdr>
    </w:div>
    <w:div w:id="554122950">
      <w:bodyDiv w:val="1"/>
      <w:marLeft w:val="0"/>
      <w:marRight w:val="0"/>
      <w:marTop w:val="0"/>
      <w:marBottom w:val="0"/>
      <w:divBdr>
        <w:top w:val="none" w:sz="0" w:space="0" w:color="auto"/>
        <w:left w:val="none" w:sz="0" w:space="0" w:color="auto"/>
        <w:bottom w:val="none" w:sz="0" w:space="0" w:color="auto"/>
        <w:right w:val="none" w:sz="0" w:space="0" w:color="auto"/>
      </w:divBdr>
    </w:div>
    <w:div w:id="559635977">
      <w:bodyDiv w:val="1"/>
      <w:marLeft w:val="0"/>
      <w:marRight w:val="0"/>
      <w:marTop w:val="0"/>
      <w:marBottom w:val="0"/>
      <w:divBdr>
        <w:top w:val="none" w:sz="0" w:space="0" w:color="auto"/>
        <w:left w:val="none" w:sz="0" w:space="0" w:color="auto"/>
        <w:bottom w:val="none" w:sz="0" w:space="0" w:color="auto"/>
        <w:right w:val="none" w:sz="0" w:space="0" w:color="auto"/>
      </w:divBdr>
    </w:div>
    <w:div w:id="564418308">
      <w:bodyDiv w:val="1"/>
      <w:marLeft w:val="0"/>
      <w:marRight w:val="0"/>
      <w:marTop w:val="0"/>
      <w:marBottom w:val="0"/>
      <w:divBdr>
        <w:top w:val="none" w:sz="0" w:space="0" w:color="auto"/>
        <w:left w:val="none" w:sz="0" w:space="0" w:color="auto"/>
        <w:bottom w:val="none" w:sz="0" w:space="0" w:color="auto"/>
        <w:right w:val="none" w:sz="0" w:space="0" w:color="auto"/>
      </w:divBdr>
      <w:divsChild>
        <w:div w:id="1065836018">
          <w:marLeft w:val="0"/>
          <w:marRight w:val="0"/>
          <w:marTop w:val="0"/>
          <w:marBottom w:val="0"/>
          <w:divBdr>
            <w:top w:val="none" w:sz="0" w:space="0" w:color="auto"/>
            <w:left w:val="none" w:sz="0" w:space="0" w:color="auto"/>
            <w:bottom w:val="none" w:sz="0" w:space="0" w:color="auto"/>
            <w:right w:val="none" w:sz="0" w:space="0" w:color="auto"/>
          </w:divBdr>
        </w:div>
        <w:div w:id="959386041">
          <w:marLeft w:val="0"/>
          <w:marRight w:val="0"/>
          <w:marTop w:val="0"/>
          <w:marBottom w:val="0"/>
          <w:divBdr>
            <w:top w:val="none" w:sz="0" w:space="0" w:color="auto"/>
            <w:left w:val="none" w:sz="0" w:space="0" w:color="auto"/>
            <w:bottom w:val="none" w:sz="0" w:space="0" w:color="auto"/>
            <w:right w:val="none" w:sz="0" w:space="0" w:color="auto"/>
          </w:divBdr>
        </w:div>
        <w:div w:id="1987778343">
          <w:marLeft w:val="0"/>
          <w:marRight w:val="0"/>
          <w:marTop w:val="0"/>
          <w:marBottom w:val="0"/>
          <w:divBdr>
            <w:top w:val="none" w:sz="0" w:space="0" w:color="auto"/>
            <w:left w:val="none" w:sz="0" w:space="0" w:color="auto"/>
            <w:bottom w:val="none" w:sz="0" w:space="0" w:color="auto"/>
            <w:right w:val="none" w:sz="0" w:space="0" w:color="auto"/>
          </w:divBdr>
        </w:div>
        <w:div w:id="1312634620">
          <w:marLeft w:val="0"/>
          <w:marRight w:val="0"/>
          <w:marTop w:val="0"/>
          <w:marBottom w:val="0"/>
          <w:divBdr>
            <w:top w:val="none" w:sz="0" w:space="0" w:color="auto"/>
            <w:left w:val="none" w:sz="0" w:space="0" w:color="auto"/>
            <w:bottom w:val="none" w:sz="0" w:space="0" w:color="auto"/>
            <w:right w:val="none" w:sz="0" w:space="0" w:color="auto"/>
          </w:divBdr>
        </w:div>
        <w:div w:id="1745028224">
          <w:marLeft w:val="0"/>
          <w:marRight w:val="0"/>
          <w:marTop w:val="0"/>
          <w:marBottom w:val="0"/>
          <w:divBdr>
            <w:top w:val="none" w:sz="0" w:space="0" w:color="auto"/>
            <w:left w:val="none" w:sz="0" w:space="0" w:color="auto"/>
            <w:bottom w:val="none" w:sz="0" w:space="0" w:color="auto"/>
            <w:right w:val="none" w:sz="0" w:space="0" w:color="auto"/>
          </w:divBdr>
        </w:div>
      </w:divsChild>
    </w:div>
    <w:div w:id="568808404">
      <w:bodyDiv w:val="1"/>
      <w:marLeft w:val="0"/>
      <w:marRight w:val="0"/>
      <w:marTop w:val="0"/>
      <w:marBottom w:val="0"/>
      <w:divBdr>
        <w:top w:val="none" w:sz="0" w:space="0" w:color="auto"/>
        <w:left w:val="none" w:sz="0" w:space="0" w:color="auto"/>
        <w:bottom w:val="none" w:sz="0" w:space="0" w:color="auto"/>
        <w:right w:val="none" w:sz="0" w:space="0" w:color="auto"/>
      </w:divBdr>
    </w:div>
    <w:div w:id="577515408">
      <w:bodyDiv w:val="1"/>
      <w:marLeft w:val="0"/>
      <w:marRight w:val="0"/>
      <w:marTop w:val="0"/>
      <w:marBottom w:val="0"/>
      <w:divBdr>
        <w:top w:val="none" w:sz="0" w:space="0" w:color="auto"/>
        <w:left w:val="none" w:sz="0" w:space="0" w:color="auto"/>
        <w:bottom w:val="none" w:sz="0" w:space="0" w:color="auto"/>
        <w:right w:val="none" w:sz="0" w:space="0" w:color="auto"/>
      </w:divBdr>
    </w:div>
    <w:div w:id="588732829">
      <w:bodyDiv w:val="1"/>
      <w:marLeft w:val="0"/>
      <w:marRight w:val="0"/>
      <w:marTop w:val="0"/>
      <w:marBottom w:val="0"/>
      <w:divBdr>
        <w:top w:val="none" w:sz="0" w:space="0" w:color="auto"/>
        <w:left w:val="none" w:sz="0" w:space="0" w:color="auto"/>
        <w:bottom w:val="none" w:sz="0" w:space="0" w:color="auto"/>
        <w:right w:val="none" w:sz="0" w:space="0" w:color="auto"/>
      </w:divBdr>
    </w:div>
    <w:div w:id="589196123">
      <w:bodyDiv w:val="1"/>
      <w:marLeft w:val="0"/>
      <w:marRight w:val="0"/>
      <w:marTop w:val="0"/>
      <w:marBottom w:val="0"/>
      <w:divBdr>
        <w:top w:val="none" w:sz="0" w:space="0" w:color="auto"/>
        <w:left w:val="none" w:sz="0" w:space="0" w:color="auto"/>
        <w:bottom w:val="none" w:sz="0" w:space="0" w:color="auto"/>
        <w:right w:val="none" w:sz="0" w:space="0" w:color="auto"/>
      </w:divBdr>
    </w:div>
    <w:div w:id="591668462">
      <w:bodyDiv w:val="1"/>
      <w:marLeft w:val="0"/>
      <w:marRight w:val="0"/>
      <w:marTop w:val="0"/>
      <w:marBottom w:val="0"/>
      <w:divBdr>
        <w:top w:val="none" w:sz="0" w:space="0" w:color="auto"/>
        <w:left w:val="none" w:sz="0" w:space="0" w:color="auto"/>
        <w:bottom w:val="none" w:sz="0" w:space="0" w:color="auto"/>
        <w:right w:val="none" w:sz="0" w:space="0" w:color="auto"/>
      </w:divBdr>
      <w:divsChild>
        <w:div w:id="1579705472">
          <w:marLeft w:val="0"/>
          <w:marRight w:val="0"/>
          <w:marTop w:val="0"/>
          <w:marBottom w:val="0"/>
          <w:divBdr>
            <w:top w:val="none" w:sz="0" w:space="0" w:color="auto"/>
            <w:left w:val="none" w:sz="0" w:space="0" w:color="auto"/>
            <w:bottom w:val="none" w:sz="0" w:space="0" w:color="auto"/>
            <w:right w:val="none" w:sz="0" w:space="0" w:color="auto"/>
          </w:divBdr>
        </w:div>
        <w:div w:id="905385170">
          <w:marLeft w:val="0"/>
          <w:marRight w:val="0"/>
          <w:marTop w:val="0"/>
          <w:marBottom w:val="0"/>
          <w:divBdr>
            <w:top w:val="none" w:sz="0" w:space="0" w:color="auto"/>
            <w:left w:val="none" w:sz="0" w:space="0" w:color="auto"/>
            <w:bottom w:val="none" w:sz="0" w:space="0" w:color="auto"/>
            <w:right w:val="none" w:sz="0" w:space="0" w:color="auto"/>
          </w:divBdr>
        </w:div>
        <w:div w:id="1227759375">
          <w:marLeft w:val="0"/>
          <w:marRight w:val="0"/>
          <w:marTop w:val="0"/>
          <w:marBottom w:val="0"/>
          <w:divBdr>
            <w:top w:val="none" w:sz="0" w:space="0" w:color="auto"/>
            <w:left w:val="none" w:sz="0" w:space="0" w:color="auto"/>
            <w:bottom w:val="none" w:sz="0" w:space="0" w:color="auto"/>
            <w:right w:val="none" w:sz="0" w:space="0" w:color="auto"/>
          </w:divBdr>
        </w:div>
        <w:div w:id="358355477">
          <w:marLeft w:val="0"/>
          <w:marRight w:val="0"/>
          <w:marTop w:val="0"/>
          <w:marBottom w:val="0"/>
          <w:divBdr>
            <w:top w:val="none" w:sz="0" w:space="0" w:color="auto"/>
            <w:left w:val="none" w:sz="0" w:space="0" w:color="auto"/>
            <w:bottom w:val="none" w:sz="0" w:space="0" w:color="auto"/>
            <w:right w:val="none" w:sz="0" w:space="0" w:color="auto"/>
          </w:divBdr>
        </w:div>
        <w:div w:id="863440897">
          <w:marLeft w:val="0"/>
          <w:marRight w:val="0"/>
          <w:marTop w:val="0"/>
          <w:marBottom w:val="0"/>
          <w:divBdr>
            <w:top w:val="none" w:sz="0" w:space="0" w:color="auto"/>
            <w:left w:val="none" w:sz="0" w:space="0" w:color="auto"/>
            <w:bottom w:val="none" w:sz="0" w:space="0" w:color="auto"/>
            <w:right w:val="none" w:sz="0" w:space="0" w:color="auto"/>
          </w:divBdr>
        </w:div>
        <w:div w:id="1934896631">
          <w:marLeft w:val="0"/>
          <w:marRight w:val="0"/>
          <w:marTop w:val="0"/>
          <w:marBottom w:val="0"/>
          <w:divBdr>
            <w:top w:val="none" w:sz="0" w:space="0" w:color="auto"/>
            <w:left w:val="none" w:sz="0" w:space="0" w:color="auto"/>
            <w:bottom w:val="none" w:sz="0" w:space="0" w:color="auto"/>
            <w:right w:val="none" w:sz="0" w:space="0" w:color="auto"/>
          </w:divBdr>
        </w:div>
        <w:div w:id="523130693">
          <w:marLeft w:val="0"/>
          <w:marRight w:val="0"/>
          <w:marTop w:val="0"/>
          <w:marBottom w:val="0"/>
          <w:divBdr>
            <w:top w:val="none" w:sz="0" w:space="0" w:color="auto"/>
            <w:left w:val="none" w:sz="0" w:space="0" w:color="auto"/>
            <w:bottom w:val="none" w:sz="0" w:space="0" w:color="auto"/>
            <w:right w:val="none" w:sz="0" w:space="0" w:color="auto"/>
          </w:divBdr>
          <w:divsChild>
            <w:div w:id="1663045250">
              <w:marLeft w:val="0"/>
              <w:marRight w:val="0"/>
              <w:marTop w:val="30"/>
              <w:marBottom w:val="30"/>
              <w:divBdr>
                <w:top w:val="none" w:sz="0" w:space="0" w:color="auto"/>
                <w:left w:val="none" w:sz="0" w:space="0" w:color="auto"/>
                <w:bottom w:val="none" w:sz="0" w:space="0" w:color="auto"/>
                <w:right w:val="none" w:sz="0" w:space="0" w:color="auto"/>
              </w:divBdr>
              <w:divsChild>
                <w:div w:id="736585537">
                  <w:marLeft w:val="0"/>
                  <w:marRight w:val="0"/>
                  <w:marTop w:val="0"/>
                  <w:marBottom w:val="0"/>
                  <w:divBdr>
                    <w:top w:val="none" w:sz="0" w:space="0" w:color="auto"/>
                    <w:left w:val="none" w:sz="0" w:space="0" w:color="auto"/>
                    <w:bottom w:val="none" w:sz="0" w:space="0" w:color="auto"/>
                    <w:right w:val="none" w:sz="0" w:space="0" w:color="auto"/>
                  </w:divBdr>
                  <w:divsChild>
                    <w:div w:id="1817339095">
                      <w:marLeft w:val="0"/>
                      <w:marRight w:val="0"/>
                      <w:marTop w:val="0"/>
                      <w:marBottom w:val="0"/>
                      <w:divBdr>
                        <w:top w:val="none" w:sz="0" w:space="0" w:color="auto"/>
                        <w:left w:val="none" w:sz="0" w:space="0" w:color="auto"/>
                        <w:bottom w:val="none" w:sz="0" w:space="0" w:color="auto"/>
                        <w:right w:val="none" w:sz="0" w:space="0" w:color="auto"/>
                      </w:divBdr>
                    </w:div>
                  </w:divsChild>
                </w:div>
                <w:div w:id="1625579295">
                  <w:marLeft w:val="0"/>
                  <w:marRight w:val="0"/>
                  <w:marTop w:val="0"/>
                  <w:marBottom w:val="0"/>
                  <w:divBdr>
                    <w:top w:val="none" w:sz="0" w:space="0" w:color="auto"/>
                    <w:left w:val="none" w:sz="0" w:space="0" w:color="auto"/>
                    <w:bottom w:val="none" w:sz="0" w:space="0" w:color="auto"/>
                    <w:right w:val="none" w:sz="0" w:space="0" w:color="auto"/>
                  </w:divBdr>
                  <w:divsChild>
                    <w:div w:id="1032801428">
                      <w:marLeft w:val="0"/>
                      <w:marRight w:val="0"/>
                      <w:marTop w:val="0"/>
                      <w:marBottom w:val="0"/>
                      <w:divBdr>
                        <w:top w:val="none" w:sz="0" w:space="0" w:color="auto"/>
                        <w:left w:val="none" w:sz="0" w:space="0" w:color="auto"/>
                        <w:bottom w:val="none" w:sz="0" w:space="0" w:color="auto"/>
                        <w:right w:val="none" w:sz="0" w:space="0" w:color="auto"/>
                      </w:divBdr>
                    </w:div>
                  </w:divsChild>
                </w:div>
                <w:div w:id="1740979207">
                  <w:marLeft w:val="0"/>
                  <w:marRight w:val="0"/>
                  <w:marTop w:val="0"/>
                  <w:marBottom w:val="0"/>
                  <w:divBdr>
                    <w:top w:val="none" w:sz="0" w:space="0" w:color="auto"/>
                    <w:left w:val="none" w:sz="0" w:space="0" w:color="auto"/>
                    <w:bottom w:val="none" w:sz="0" w:space="0" w:color="auto"/>
                    <w:right w:val="none" w:sz="0" w:space="0" w:color="auto"/>
                  </w:divBdr>
                  <w:divsChild>
                    <w:div w:id="1234043730">
                      <w:marLeft w:val="0"/>
                      <w:marRight w:val="0"/>
                      <w:marTop w:val="0"/>
                      <w:marBottom w:val="0"/>
                      <w:divBdr>
                        <w:top w:val="none" w:sz="0" w:space="0" w:color="auto"/>
                        <w:left w:val="none" w:sz="0" w:space="0" w:color="auto"/>
                        <w:bottom w:val="none" w:sz="0" w:space="0" w:color="auto"/>
                        <w:right w:val="none" w:sz="0" w:space="0" w:color="auto"/>
                      </w:divBdr>
                    </w:div>
                  </w:divsChild>
                </w:div>
                <w:div w:id="524053195">
                  <w:marLeft w:val="0"/>
                  <w:marRight w:val="0"/>
                  <w:marTop w:val="0"/>
                  <w:marBottom w:val="0"/>
                  <w:divBdr>
                    <w:top w:val="none" w:sz="0" w:space="0" w:color="auto"/>
                    <w:left w:val="none" w:sz="0" w:space="0" w:color="auto"/>
                    <w:bottom w:val="none" w:sz="0" w:space="0" w:color="auto"/>
                    <w:right w:val="none" w:sz="0" w:space="0" w:color="auto"/>
                  </w:divBdr>
                  <w:divsChild>
                    <w:div w:id="1681086234">
                      <w:marLeft w:val="0"/>
                      <w:marRight w:val="0"/>
                      <w:marTop w:val="0"/>
                      <w:marBottom w:val="0"/>
                      <w:divBdr>
                        <w:top w:val="none" w:sz="0" w:space="0" w:color="auto"/>
                        <w:left w:val="none" w:sz="0" w:space="0" w:color="auto"/>
                        <w:bottom w:val="none" w:sz="0" w:space="0" w:color="auto"/>
                        <w:right w:val="none" w:sz="0" w:space="0" w:color="auto"/>
                      </w:divBdr>
                    </w:div>
                  </w:divsChild>
                </w:div>
                <w:div w:id="1952935905">
                  <w:marLeft w:val="0"/>
                  <w:marRight w:val="0"/>
                  <w:marTop w:val="0"/>
                  <w:marBottom w:val="0"/>
                  <w:divBdr>
                    <w:top w:val="none" w:sz="0" w:space="0" w:color="auto"/>
                    <w:left w:val="none" w:sz="0" w:space="0" w:color="auto"/>
                    <w:bottom w:val="none" w:sz="0" w:space="0" w:color="auto"/>
                    <w:right w:val="none" w:sz="0" w:space="0" w:color="auto"/>
                  </w:divBdr>
                  <w:divsChild>
                    <w:div w:id="332879184">
                      <w:marLeft w:val="0"/>
                      <w:marRight w:val="0"/>
                      <w:marTop w:val="0"/>
                      <w:marBottom w:val="0"/>
                      <w:divBdr>
                        <w:top w:val="none" w:sz="0" w:space="0" w:color="auto"/>
                        <w:left w:val="none" w:sz="0" w:space="0" w:color="auto"/>
                        <w:bottom w:val="none" w:sz="0" w:space="0" w:color="auto"/>
                        <w:right w:val="none" w:sz="0" w:space="0" w:color="auto"/>
                      </w:divBdr>
                    </w:div>
                  </w:divsChild>
                </w:div>
                <w:div w:id="68308964">
                  <w:marLeft w:val="0"/>
                  <w:marRight w:val="0"/>
                  <w:marTop w:val="0"/>
                  <w:marBottom w:val="0"/>
                  <w:divBdr>
                    <w:top w:val="none" w:sz="0" w:space="0" w:color="auto"/>
                    <w:left w:val="none" w:sz="0" w:space="0" w:color="auto"/>
                    <w:bottom w:val="none" w:sz="0" w:space="0" w:color="auto"/>
                    <w:right w:val="none" w:sz="0" w:space="0" w:color="auto"/>
                  </w:divBdr>
                  <w:divsChild>
                    <w:div w:id="1177963355">
                      <w:marLeft w:val="0"/>
                      <w:marRight w:val="0"/>
                      <w:marTop w:val="0"/>
                      <w:marBottom w:val="0"/>
                      <w:divBdr>
                        <w:top w:val="none" w:sz="0" w:space="0" w:color="auto"/>
                        <w:left w:val="none" w:sz="0" w:space="0" w:color="auto"/>
                        <w:bottom w:val="none" w:sz="0" w:space="0" w:color="auto"/>
                        <w:right w:val="none" w:sz="0" w:space="0" w:color="auto"/>
                      </w:divBdr>
                    </w:div>
                  </w:divsChild>
                </w:div>
                <w:div w:id="1143157475">
                  <w:marLeft w:val="0"/>
                  <w:marRight w:val="0"/>
                  <w:marTop w:val="0"/>
                  <w:marBottom w:val="0"/>
                  <w:divBdr>
                    <w:top w:val="none" w:sz="0" w:space="0" w:color="auto"/>
                    <w:left w:val="none" w:sz="0" w:space="0" w:color="auto"/>
                    <w:bottom w:val="none" w:sz="0" w:space="0" w:color="auto"/>
                    <w:right w:val="none" w:sz="0" w:space="0" w:color="auto"/>
                  </w:divBdr>
                  <w:divsChild>
                    <w:div w:id="280066041">
                      <w:marLeft w:val="0"/>
                      <w:marRight w:val="0"/>
                      <w:marTop w:val="0"/>
                      <w:marBottom w:val="0"/>
                      <w:divBdr>
                        <w:top w:val="none" w:sz="0" w:space="0" w:color="auto"/>
                        <w:left w:val="none" w:sz="0" w:space="0" w:color="auto"/>
                        <w:bottom w:val="none" w:sz="0" w:space="0" w:color="auto"/>
                        <w:right w:val="none" w:sz="0" w:space="0" w:color="auto"/>
                      </w:divBdr>
                    </w:div>
                  </w:divsChild>
                </w:div>
                <w:div w:id="820854013">
                  <w:marLeft w:val="0"/>
                  <w:marRight w:val="0"/>
                  <w:marTop w:val="0"/>
                  <w:marBottom w:val="0"/>
                  <w:divBdr>
                    <w:top w:val="none" w:sz="0" w:space="0" w:color="auto"/>
                    <w:left w:val="none" w:sz="0" w:space="0" w:color="auto"/>
                    <w:bottom w:val="none" w:sz="0" w:space="0" w:color="auto"/>
                    <w:right w:val="none" w:sz="0" w:space="0" w:color="auto"/>
                  </w:divBdr>
                  <w:divsChild>
                    <w:div w:id="1325550091">
                      <w:marLeft w:val="0"/>
                      <w:marRight w:val="0"/>
                      <w:marTop w:val="0"/>
                      <w:marBottom w:val="0"/>
                      <w:divBdr>
                        <w:top w:val="none" w:sz="0" w:space="0" w:color="auto"/>
                        <w:left w:val="none" w:sz="0" w:space="0" w:color="auto"/>
                        <w:bottom w:val="none" w:sz="0" w:space="0" w:color="auto"/>
                        <w:right w:val="none" w:sz="0" w:space="0" w:color="auto"/>
                      </w:divBdr>
                    </w:div>
                  </w:divsChild>
                </w:div>
                <w:div w:id="1138575029">
                  <w:marLeft w:val="0"/>
                  <w:marRight w:val="0"/>
                  <w:marTop w:val="0"/>
                  <w:marBottom w:val="0"/>
                  <w:divBdr>
                    <w:top w:val="none" w:sz="0" w:space="0" w:color="auto"/>
                    <w:left w:val="none" w:sz="0" w:space="0" w:color="auto"/>
                    <w:bottom w:val="none" w:sz="0" w:space="0" w:color="auto"/>
                    <w:right w:val="none" w:sz="0" w:space="0" w:color="auto"/>
                  </w:divBdr>
                  <w:divsChild>
                    <w:div w:id="1656883949">
                      <w:marLeft w:val="0"/>
                      <w:marRight w:val="0"/>
                      <w:marTop w:val="0"/>
                      <w:marBottom w:val="0"/>
                      <w:divBdr>
                        <w:top w:val="none" w:sz="0" w:space="0" w:color="auto"/>
                        <w:left w:val="none" w:sz="0" w:space="0" w:color="auto"/>
                        <w:bottom w:val="none" w:sz="0" w:space="0" w:color="auto"/>
                        <w:right w:val="none" w:sz="0" w:space="0" w:color="auto"/>
                      </w:divBdr>
                    </w:div>
                  </w:divsChild>
                </w:div>
                <w:div w:id="1389720368">
                  <w:marLeft w:val="0"/>
                  <w:marRight w:val="0"/>
                  <w:marTop w:val="0"/>
                  <w:marBottom w:val="0"/>
                  <w:divBdr>
                    <w:top w:val="none" w:sz="0" w:space="0" w:color="auto"/>
                    <w:left w:val="none" w:sz="0" w:space="0" w:color="auto"/>
                    <w:bottom w:val="none" w:sz="0" w:space="0" w:color="auto"/>
                    <w:right w:val="none" w:sz="0" w:space="0" w:color="auto"/>
                  </w:divBdr>
                  <w:divsChild>
                    <w:div w:id="990208859">
                      <w:marLeft w:val="0"/>
                      <w:marRight w:val="0"/>
                      <w:marTop w:val="0"/>
                      <w:marBottom w:val="0"/>
                      <w:divBdr>
                        <w:top w:val="none" w:sz="0" w:space="0" w:color="auto"/>
                        <w:left w:val="none" w:sz="0" w:space="0" w:color="auto"/>
                        <w:bottom w:val="none" w:sz="0" w:space="0" w:color="auto"/>
                        <w:right w:val="none" w:sz="0" w:space="0" w:color="auto"/>
                      </w:divBdr>
                    </w:div>
                  </w:divsChild>
                </w:div>
                <w:div w:id="888419588">
                  <w:marLeft w:val="0"/>
                  <w:marRight w:val="0"/>
                  <w:marTop w:val="0"/>
                  <w:marBottom w:val="0"/>
                  <w:divBdr>
                    <w:top w:val="none" w:sz="0" w:space="0" w:color="auto"/>
                    <w:left w:val="none" w:sz="0" w:space="0" w:color="auto"/>
                    <w:bottom w:val="none" w:sz="0" w:space="0" w:color="auto"/>
                    <w:right w:val="none" w:sz="0" w:space="0" w:color="auto"/>
                  </w:divBdr>
                  <w:divsChild>
                    <w:div w:id="536548341">
                      <w:marLeft w:val="0"/>
                      <w:marRight w:val="0"/>
                      <w:marTop w:val="0"/>
                      <w:marBottom w:val="0"/>
                      <w:divBdr>
                        <w:top w:val="none" w:sz="0" w:space="0" w:color="auto"/>
                        <w:left w:val="none" w:sz="0" w:space="0" w:color="auto"/>
                        <w:bottom w:val="none" w:sz="0" w:space="0" w:color="auto"/>
                        <w:right w:val="none" w:sz="0" w:space="0" w:color="auto"/>
                      </w:divBdr>
                    </w:div>
                  </w:divsChild>
                </w:div>
                <w:div w:id="48042071">
                  <w:marLeft w:val="0"/>
                  <w:marRight w:val="0"/>
                  <w:marTop w:val="0"/>
                  <w:marBottom w:val="0"/>
                  <w:divBdr>
                    <w:top w:val="none" w:sz="0" w:space="0" w:color="auto"/>
                    <w:left w:val="none" w:sz="0" w:space="0" w:color="auto"/>
                    <w:bottom w:val="none" w:sz="0" w:space="0" w:color="auto"/>
                    <w:right w:val="none" w:sz="0" w:space="0" w:color="auto"/>
                  </w:divBdr>
                  <w:divsChild>
                    <w:div w:id="1877161187">
                      <w:marLeft w:val="0"/>
                      <w:marRight w:val="0"/>
                      <w:marTop w:val="0"/>
                      <w:marBottom w:val="0"/>
                      <w:divBdr>
                        <w:top w:val="none" w:sz="0" w:space="0" w:color="auto"/>
                        <w:left w:val="none" w:sz="0" w:space="0" w:color="auto"/>
                        <w:bottom w:val="none" w:sz="0" w:space="0" w:color="auto"/>
                        <w:right w:val="none" w:sz="0" w:space="0" w:color="auto"/>
                      </w:divBdr>
                    </w:div>
                  </w:divsChild>
                </w:div>
                <w:div w:id="1368070993">
                  <w:marLeft w:val="0"/>
                  <w:marRight w:val="0"/>
                  <w:marTop w:val="0"/>
                  <w:marBottom w:val="0"/>
                  <w:divBdr>
                    <w:top w:val="none" w:sz="0" w:space="0" w:color="auto"/>
                    <w:left w:val="none" w:sz="0" w:space="0" w:color="auto"/>
                    <w:bottom w:val="none" w:sz="0" w:space="0" w:color="auto"/>
                    <w:right w:val="none" w:sz="0" w:space="0" w:color="auto"/>
                  </w:divBdr>
                  <w:divsChild>
                    <w:div w:id="1666979083">
                      <w:marLeft w:val="0"/>
                      <w:marRight w:val="0"/>
                      <w:marTop w:val="0"/>
                      <w:marBottom w:val="0"/>
                      <w:divBdr>
                        <w:top w:val="none" w:sz="0" w:space="0" w:color="auto"/>
                        <w:left w:val="none" w:sz="0" w:space="0" w:color="auto"/>
                        <w:bottom w:val="none" w:sz="0" w:space="0" w:color="auto"/>
                        <w:right w:val="none" w:sz="0" w:space="0" w:color="auto"/>
                      </w:divBdr>
                    </w:div>
                  </w:divsChild>
                </w:div>
                <w:div w:id="1395621182">
                  <w:marLeft w:val="0"/>
                  <w:marRight w:val="0"/>
                  <w:marTop w:val="0"/>
                  <w:marBottom w:val="0"/>
                  <w:divBdr>
                    <w:top w:val="none" w:sz="0" w:space="0" w:color="auto"/>
                    <w:left w:val="none" w:sz="0" w:space="0" w:color="auto"/>
                    <w:bottom w:val="none" w:sz="0" w:space="0" w:color="auto"/>
                    <w:right w:val="none" w:sz="0" w:space="0" w:color="auto"/>
                  </w:divBdr>
                  <w:divsChild>
                    <w:div w:id="61373754">
                      <w:marLeft w:val="0"/>
                      <w:marRight w:val="0"/>
                      <w:marTop w:val="0"/>
                      <w:marBottom w:val="0"/>
                      <w:divBdr>
                        <w:top w:val="none" w:sz="0" w:space="0" w:color="auto"/>
                        <w:left w:val="none" w:sz="0" w:space="0" w:color="auto"/>
                        <w:bottom w:val="none" w:sz="0" w:space="0" w:color="auto"/>
                        <w:right w:val="none" w:sz="0" w:space="0" w:color="auto"/>
                      </w:divBdr>
                    </w:div>
                  </w:divsChild>
                </w:div>
                <w:div w:id="1828402437">
                  <w:marLeft w:val="0"/>
                  <w:marRight w:val="0"/>
                  <w:marTop w:val="0"/>
                  <w:marBottom w:val="0"/>
                  <w:divBdr>
                    <w:top w:val="none" w:sz="0" w:space="0" w:color="auto"/>
                    <w:left w:val="none" w:sz="0" w:space="0" w:color="auto"/>
                    <w:bottom w:val="none" w:sz="0" w:space="0" w:color="auto"/>
                    <w:right w:val="none" w:sz="0" w:space="0" w:color="auto"/>
                  </w:divBdr>
                  <w:divsChild>
                    <w:div w:id="1520046434">
                      <w:marLeft w:val="0"/>
                      <w:marRight w:val="0"/>
                      <w:marTop w:val="0"/>
                      <w:marBottom w:val="0"/>
                      <w:divBdr>
                        <w:top w:val="none" w:sz="0" w:space="0" w:color="auto"/>
                        <w:left w:val="none" w:sz="0" w:space="0" w:color="auto"/>
                        <w:bottom w:val="none" w:sz="0" w:space="0" w:color="auto"/>
                        <w:right w:val="none" w:sz="0" w:space="0" w:color="auto"/>
                      </w:divBdr>
                    </w:div>
                  </w:divsChild>
                </w:div>
                <w:div w:id="1229880295">
                  <w:marLeft w:val="0"/>
                  <w:marRight w:val="0"/>
                  <w:marTop w:val="0"/>
                  <w:marBottom w:val="0"/>
                  <w:divBdr>
                    <w:top w:val="none" w:sz="0" w:space="0" w:color="auto"/>
                    <w:left w:val="none" w:sz="0" w:space="0" w:color="auto"/>
                    <w:bottom w:val="none" w:sz="0" w:space="0" w:color="auto"/>
                    <w:right w:val="none" w:sz="0" w:space="0" w:color="auto"/>
                  </w:divBdr>
                  <w:divsChild>
                    <w:div w:id="623464479">
                      <w:marLeft w:val="0"/>
                      <w:marRight w:val="0"/>
                      <w:marTop w:val="0"/>
                      <w:marBottom w:val="0"/>
                      <w:divBdr>
                        <w:top w:val="none" w:sz="0" w:space="0" w:color="auto"/>
                        <w:left w:val="none" w:sz="0" w:space="0" w:color="auto"/>
                        <w:bottom w:val="none" w:sz="0" w:space="0" w:color="auto"/>
                        <w:right w:val="none" w:sz="0" w:space="0" w:color="auto"/>
                      </w:divBdr>
                    </w:div>
                  </w:divsChild>
                </w:div>
                <w:div w:id="1302886274">
                  <w:marLeft w:val="0"/>
                  <w:marRight w:val="0"/>
                  <w:marTop w:val="0"/>
                  <w:marBottom w:val="0"/>
                  <w:divBdr>
                    <w:top w:val="none" w:sz="0" w:space="0" w:color="auto"/>
                    <w:left w:val="none" w:sz="0" w:space="0" w:color="auto"/>
                    <w:bottom w:val="none" w:sz="0" w:space="0" w:color="auto"/>
                    <w:right w:val="none" w:sz="0" w:space="0" w:color="auto"/>
                  </w:divBdr>
                  <w:divsChild>
                    <w:div w:id="2124374065">
                      <w:marLeft w:val="0"/>
                      <w:marRight w:val="0"/>
                      <w:marTop w:val="0"/>
                      <w:marBottom w:val="0"/>
                      <w:divBdr>
                        <w:top w:val="none" w:sz="0" w:space="0" w:color="auto"/>
                        <w:left w:val="none" w:sz="0" w:space="0" w:color="auto"/>
                        <w:bottom w:val="none" w:sz="0" w:space="0" w:color="auto"/>
                        <w:right w:val="none" w:sz="0" w:space="0" w:color="auto"/>
                      </w:divBdr>
                    </w:div>
                  </w:divsChild>
                </w:div>
                <w:div w:id="1283419071">
                  <w:marLeft w:val="0"/>
                  <w:marRight w:val="0"/>
                  <w:marTop w:val="0"/>
                  <w:marBottom w:val="0"/>
                  <w:divBdr>
                    <w:top w:val="none" w:sz="0" w:space="0" w:color="auto"/>
                    <w:left w:val="none" w:sz="0" w:space="0" w:color="auto"/>
                    <w:bottom w:val="none" w:sz="0" w:space="0" w:color="auto"/>
                    <w:right w:val="none" w:sz="0" w:space="0" w:color="auto"/>
                  </w:divBdr>
                  <w:divsChild>
                    <w:div w:id="1355810114">
                      <w:marLeft w:val="0"/>
                      <w:marRight w:val="0"/>
                      <w:marTop w:val="0"/>
                      <w:marBottom w:val="0"/>
                      <w:divBdr>
                        <w:top w:val="none" w:sz="0" w:space="0" w:color="auto"/>
                        <w:left w:val="none" w:sz="0" w:space="0" w:color="auto"/>
                        <w:bottom w:val="none" w:sz="0" w:space="0" w:color="auto"/>
                        <w:right w:val="none" w:sz="0" w:space="0" w:color="auto"/>
                      </w:divBdr>
                    </w:div>
                  </w:divsChild>
                </w:div>
                <w:div w:id="201944458">
                  <w:marLeft w:val="0"/>
                  <w:marRight w:val="0"/>
                  <w:marTop w:val="0"/>
                  <w:marBottom w:val="0"/>
                  <w:divBdr>
                    <w:top w:val="none" w:sz="0" w:space="0" w:color="auto"/>
                    <w:left w:val="none" w:sz="0" w:space="0" w:color="auto"/>
                    <w:bottom w:val="none" w:sz="0" w:space="0" w:color="auto"/>
                    <w:right w:val="none" w:sz="0" w:space="0" w:color="auto"/>
                  </w:divBdr>
                  <w:divsChild>
                    <w:div w:id="447966863">
                      <w:marLeft w:val="0"/>
                      <w:marRight w:val="0"/>
                      <w:marTop w:val="0"/>
                      <w:marBottom w:val="0"/>
                      <w:divBdr>
                        <w:top w:val="none" w:sz="0" w:space="0" w:color="auto"/>
                        <w:left w:val="none" w:sz="0" w:space="0" w:color="auto"/>
                        <w:bottom w:val="none" w:sz="0" w:space="0" w:color="auto"/>
                        <w:right w:val="none" w:sz="0" w:space="0" w:color="auto"/>
                      </w:divBdr>
                    </w:div>
                  </w:divsChild>
                </w:div>
                <w:div w:id="2019186561">
                  <w:marLeft w:val="0"/>
                  <w:marRight w:val="0"/>
                  <w:marTop w:val="0"/>
                  <w:marBottom w:val="0"/>
                  <w:divBdr>
                    <w:top w:val="none" w:sz="0" w:space="0" w:color="auto"/>
                    <w:left w:val="none" w:sz="0" w:space="0" w:color="auto"/>
                    <w:bottom w:val="none" w:sz="0" w:space="0" w:color="auto"/>
                    <w:right w:val="none" w:sz="0" w:space="0" w:color="auto"/>
                  </w:divBdr>
                  <w:divsChild>
                    <w:div w:id="1825776465">
                      <w:marLeft w:val="0"/>
                      <w:marRight w:val="0"/>
                      <w:marTop w:val="0"/>
                      <w:marBottom w:val="0"/>
                      <w:divBdr>
                        <w:top w:val="none" w:sz="0" w:space="0" w:color="auto"/>
                        <w:left w:val="none" w:sz="0" w:space="0" w:color="auto"/>
                        <w:bottom w:val="none" w:sz="0" w:space="0" w:color="auto"/>
                        <w:right w:val="none" w:sz="0" w:space="0" w:color="auto"/>
                      </w:divBdr>
                    </w:div>
                  </w:divsChild>
                </w:div>
                <w:div w:id="1860583421">
                  <w:marLeft w:val="0"/>
                  <w:marRight w:val="0"/>
                  <w:marTop w:val="0"/>
                  <w:marBottom w:val="0"/>
                  <w:divBdr>
                    <w:top w:val="none" w:sz="0" w:space="0" w:color="auto"/>
                    <w:left w:val="none" w:sz="0" w:space="0" w:color="auto"/>
                    <w:bottom w:val="none" w:sz="0" w:space="0" w:color="auto"/>
                    <w:right w:val="none" w:sz="0" w:space="0" w:color="auto"/>
                  </w:divBdr>
                  <w:divsChild>
                    <w:div w:id="177697759">
                      <w:marLeft w:val="0"/>
                      <w:marRight w:val="0"/>
                      <w:marTop w:val="0"/>
                      <w:marBottom w:val="0"/>
                      <w:divBdr>
                        <w:top w:val="none" w:sz="0" w:space="0" w:color="auto"/>
                        <w:left w:val="none" w:sz="0" w:space="0" w:color="auto"/>
                        <w:bottom w:val="none" w:sz="0" w:space="0" w:color="auto"/>
                        <w:right w:val="none" w:sz="0" w:space="0" w:color="auto"/>
                      </w:divBdr>
                    </w:div>
                  </w:divsChild>
                </w:div>
                <w:div w:id="634456224">
                  <w:marLeft w:val="0"/>
                  <w:marRight w:val="0"/>
                  <w:marTop w:val="0"/>
                  <w:marBottom w:val="0"/>
                  <w:divBdr>
                    <w:top w:val="none" w:sz="0" w:space="0" w:color="auto"/>
                    <w:left w:val="none" w:sz="0" w:space="0" w:color="auto"/>
                    <w:bottom w:val="none" w:sz="0" w:space="0" w:color="auto"/>
                    <w:right w:val="none" w:sz="0" w:space="0" w:color="auto"/>
                  </w:divBdr>
                  <w:divsChild>
                    <w:div w:id="1937204402">
                      <w:marLeft w:val="0"/>
                      <w:marRight w:val="0"/>
                      <w:marTop w:val="0"/>
                      <w:marBottom w:val="0"/>
                      <w:divBdr>
                        <w:top w:val="none" w:sz="0" w:space="0" w:color="auto"/>
                        <w:left w:val="none" w:sz="0" w:space="0" w:color="auto"/>
                        <w:bottom w:val="none" w:sz="0" w:space="0" w:color="auto"/>
                        <w:right w:val="none" w:sz="0" w:space="0" w:color="auto"/>
                      </w:divBdr>
                    </w:div>
                  </w:divsChild>
                </w:div>
                <w:div w:id="915361715">
                  <w:marLeft w:val="0"/>
                  <w:marRight w:val="0"/>
                  <w:marTop w:val="0"/>
                  <w:marBottom w:val="0"/>
                  <w:divBdr>
                    <w:top w:val="none" w:sz="0" w:space="0" w:color="auto"/>
                    <w:left w:val="none" w:sz="0" w:space="0" w:color="auto"/>
                    <w:bottom w:val="none" w:sz="0" w:space="0" w:color="auto"/>
                    <w:right w:val="none" w:sz="0" w:space="0" w:color="auto"/>
                  </w:divBdr>
                  <w:divsChild>
                    <w:div w:id="1952130048">
                      <w:marLeft w:val="0"/>
                      <w:marRight w:val="0"/>
                      <w:marTop w:val="0"/>
                      <w:marBottom w:val="0"/>
                      <w:divBdr>
                        <w:top w:val="none" w:sz="0" w:space="0" w:color="auto"/>
                        <w:left w:val="none" w:sz="0" w:space="0" w:color="auto"/>
                        <w:bottom w:val="none" w:sz="0" w:space="0" w:color="auto"/>
                        <w:right w:val="none" w:sz="0" w:space="0" w:color="auto"/>
                      </w:divBdr>
                    </w:div>
                  </w:divsChild>
                </w:div>
                <w:div w:id="73747628">
                  <w:marLeft w:val="0"/>
                  <w:marRight w:val="0"/>
                  <w:marTop w:val="0"/>
                  <w:marBottom w:val="0"/>
                  <w:divBdr>
                    <w:top w:val="none" w:sz="0" w:space="0" w:color="auto"/>
                    <w:left w:val="none" w:sz="0" w:space="0" w:color="auto"/>
                    <w:bottom w:val="none" w:sz="0" w:space="0" w:color="auto"/>
                    <w:right w:val="none" w:sz="0" w:space="0" w:color="auto"/>
                  </w:divBdr>
                  <w:divsChild>
                    <w:div w:id="824400722">
                      <w:marLeft w:val="0"/>
                      <w:marRight w:val="0"/>
                      <w:marTop w:val="0"/>
                      <w:marBottom w:val="0"/>
                      <w:divBdr>
                        <w:top w:val="none" w:sz="0" w:space="0" w:color="auto"/>
                        <w:left w:val="none" w:sz="0" w:space="0" w:color="auto"/>
                        <w:bottom w:val="none" w:sz="0" w:space="0" w:color="auto"/>
                        <w:right w:val="none" w:sz="0" w:space="0" w:color="auto"/>
                      </w:divBdr>
                    </w:div>
                  </w:divsChild>
                </w:div>
                <w:div w:id="361176790">
                  <w:marLeft w:val="0"/>
                  <w:marRight w:val="0"/>
                  <w:marTop w:val="0"/>
                  <w:marBottom w:val="0"/>
                  <w:divBdr>
                    <w:top w:val="none" w:sz="0" w:space="0" w:color="auto"/>
                    <w:left w:val="none" w:sz="0" w:space="0" w:color="auto"/>
                    <w:bottom w:val="none" w:sz="0" w:space="0" w:color="auto"/>
                    <w:right w:val="none" w:sz="0" w:space="0" w:color="auto"/>
                  </w:divBdr>
                  <w:divsChild>
                    <w:div w:id="44333996">
                      <w:marLeft w:val="0"/>
                      <w:marRight w:val="0"/>
                      <w:marTop w:val="0"/>
                      <w:marBottom w:val="0"/>
                      <w:divBdr>
                        <w:top w:val="none" w:sz="0" w:space="0" w:color="auto"/>
                        <w:left w:val="none" w:sz="0" w:space="0" w:color="auto"/>
                        <w:bottom w:val="none" w:sz="0" w:space="0" w:color="auto"/>
                        <w:right w:val="none" w:sz="0" w:space="0" w:color="auto"/>
                      </w:divBdr>
                    </w:div>
                  </w:divsChild>
                </w:div>
                <w:div w:id="1629315239">
                  <w:marLeft w:val="0"/>
                  <w:marRight w:val="0"/>
                  <w:marTop w:val="0"/>
                  <w:marBottom w:val="0"/>
                  <w:divBdr>
                    <w:top w:val="none" w:sz="0" w:space="0" w:color="auto"/>
                    <w:left w:val="none" w:sz="0" w:space="0" w:color="auto"/>
                    <w:bottom w:val="none" w:sz="0" w:space="0" w:color="auto"/>
                    <w:right w:val="none" w:sz="0" w:space="0" w:color="auto"/>
                  </w:divBdr>
                  <w:divsChild>
                    <w:div w:id="374964159">
                      <w:marLeft w:val="0"/>
                      <w:marRight w:val="0"/>
                      <w:marTop w:val="0"/>
                      <w:marBottom w:val="0"/>
                      <w:divBdr>
                        <w:top w:val="none" w:sz="0" w:space="0" w:color="auto"/>
                        <w:left w:val="none" w:sz="0" w:space="0" w:color="auto"/>
                        <w:bottom w:val="none" w:sz="0" w:space="0" w:color="auto"/>
                        <w:right w:val="none" w:sz="0" w:space="0" w:color="auto"/>
                      </w:divBdr>
                    </w:div>
                  </w:divsChild>
                </w:div>
                <w:div w:id="1129132767">
                  <w:marLeft w:val="0"/>
                  <w:marRight w:val="0"/>
                  <w:marTop w:val="0"/>
                  <w:marBottom w:val="0"/>
                  <w:divBdr>
                    <w:top w:val="none" w:sz="0" w:space="0" w:color="auto"/>
                    <w:left w:val="none" w:sz="0" w:space="0" w:color="auto"/>
                    <w:bottom w:val="none" w:sz="0" w:space="0" w:color="auto"/>
                    <w:right w:val="none" w:sz="0" w:space="0" w:color="auto"/>
                  </w:divBdr>
                  <w:divsChild>
                    <w:div w:id="2121105175">
                      <w:marLeft w:val="0"/>
                      <w:marRight w:val="0"/>
                      <w:marTop w:val="0"/>
                      <w:marBottom w:val="0"/>
                      <w:divBdr>
                        <w:top w:val="none" w:sz="0" w:space="0" w:color="auto"/>
                        <w:left w:val="none" w:sz="0" w:space="0" w:color="auto"/>
                        <w:bottom w:val="none" w:sz="0" w:space="0" w:color="auto"/>
                        <w:right w:val="none" w:sz="0" w:space="0" w:color="auto"/>
                      </w:divBdr>
                    </w:div>
                  </w:divsChild>
                </w:div>
                <w:div w:id="1470048761">
                  <w:marLeft w:val="0"/>
                  <w:marRight w:val="0"/>
                  <w:marTop w:val="0"/>
                  <w:marBottom w:val="0"/>
                  <w:divBdr>
                    <w:top w:val="none" w:sz="0" w:space="0" w:color="auto"/>
                    <w:left w:val="none" w:sz="0" w:space="0" w:color="auto"/>
                    <w:bottom w:val="none" w:sz="0" w:space="0" w:color="auto"/>
                    <w:right w:val="none" w:sz="0" w:space="0" w:color="auto"/>
                  </w:divBdr>
                  <w:divsChild>
                    <w:div w:id="971206696">
                      <w:marLeft w:val="0"/>
                      <w:marRight w:val="0"/>
                      <w:marTop w:val="0"/>
                      <w:marBottom w:val="0"/>
                      <w:divBdr>
                        <w:top w:val="none" w:sz="0" w:space="0" w:color="auto"/>
                        <w:left w:val="none" w:sz="0" w:space="0" w:color="auto"/>
                        <w:bottom w:val="none" w:sz="0" w:space="0" w:color="auto"/>
                        <w:right w:val="none" w:sz="0" w:space="0" w:color="auto"/>
                      </w:divBdr>
                    </w:div>
                  </w:divsChild>
                </w:div>
                <w:div w:id="1080441444">
                  <w:marLeft w:val="0"/>
                  <w:marRight w:val="0"/>
                  <w:marTop w:val="0"/>
                  <w:marBottom w:val="0"/>
                  <w:divBdr>
                    <w:top w:val="none" w:sz="0" w:space="0" w:color="auto"/>
                    <w:left w:val="none" w:sz="0" w:space="0" w:color="auto"/>
                    <w:bottom w:val="none" w:sz="0" w:space="0" w:color="auto"/>
                    <w:right w:val="none" w:sz="0" w:space="0" w:color="auto"/>
                  </w:divBdr>
                  <w:divsChild>
                    <w:div w:id="1070345407">
                      <w:marLeft w:val="0"/>
                      <w:marRight w:val="0"/>
                      <w:marTop w:val="0"/>
                      <w:marBottom w:val="0"/>
                      <w:divBdr>
                        <w:top w:val="none" w:sz="0" w:space="0" w:color="auto"/>
                        <w:left w:val="none" w:sz="0" w:space="0" w:color="auto"/>
                        <w:bottom w:val="none" w:sz="0" w:space="0" w:color="auto"/>
                        <w:right w:val="none" w:sz="0" w:space="0" w:color="auto"/>
                      </w:divBdr>
                    </w:div>
                  </w:divsChild>
                </w:div>
                <w:div w:id="1670254635">
                  <w:marLeft w:val="0"/>
                  <w:marRight w:val="0"/>
                  <w:marTop w:val="0"/>
                  <w:marBottom w:val="0"/>
                  <w:divBdr>
                    <w:top w:val="none" w:sz="0" w:space="0" w:color="auto"/>
                    <w:left w:val="none" w:sz="0" w:space="0" w:color="auto"/>
                    <w:bottom w:val="none" w:sz="0" w:space="0" w:color="auto"/>
                    <w:right w:val="none" w:sz="0" w:space="0" w:color="auto"/>
                  </w:divBdr>
                  <w:divsChild>
                    <w:div w:id="821115547">
                      <w:marLeft w:val="0"/>
                      <w:marRight w:val="0"/>
                      <w:marTop w:val="0"/>
                      <w:marBottom w:val="0"/>
                      <w:divBdr>
                        <w:top w:val="none" w:sz="0" w:space="0" w:color="auto"/>
                        <w:left w:val="none" w:sz="0" w:space="0" w:color="auto"/>
                        <w:bottom w:val="none" w:sz="0" w:space="0" w:color="auto"/>
                        <w:right w:val="none" w:sz="0" w:space="0" w:color="auto"/>
                      </w:divBdr>
                    </w:div>
                  </w:divsChild>
                </w:div>
                <w:div w:id="1998919342">
                  <w:marLeft w:val="0"/>
                  <w:marRight w:val="0"/>
                  <w:marTop w:val="0"/>
                  <w:marBottom w:val="0"/>
                  <w:divBdr>
                    <w:top w:val="none" w:sz="0" w:space="0" w:color="auto"/>
                    <w:left w:val="none" w:sz="0" w:space="0" w:color="auto"/>
                    <w:bottom w:val="none" w:sz="0" w:space="0" w:color="auto"/>
                    <w:right w:val="none" w:sz="0" w:space="0" w:color="auto"/>
                  </w:divBdr>
                  <w:divsChild>
                    <w:div w:id="1332023303">
                      <w:marLeft w:val="0"/>
                      <w:marRight w:val="0"/>
                      <w:marTop w:val="0"/>
                      <w:marBottom w:val="0"/>
                      <w:divBdr>
                        <w:top w:val="none" w:sz="0" w:space="0" w:color="auto"/>
                        <w:left w:val="none" w:sz="0" w:space="0" w:color="auto"/>
                        <w:bottom w:val="none" w:sz="0" w:space="0" w:color="auto"/>
                        <w:right w:val="none" w:sz="0" w:space="0" w:color="auto"/>
                      </w:divBdr>
                    </w:div>
                  </w:divsChild>
                </w:div>
                <w:div w:id="1396778010">
                  <w:marLeft w:val="0"/>
                  <w:marRight w:val="0"/>
                  <w:marTop w:val="0"/>
                  <w:marBottom w:val="0"/>
                  <w:divBdr>
                    <w:top w:val="none" w:sz="0" w:space="0" w:color="auto"/>
                    <w:left w:val="none" w:sz="0" w:space="0" w:color="auto"/>
                    <w:bottom w:val="none" w:sz="0" w:space="0" w:color="auto"/>
                    <w:right w:val="none" w:sz="0" w:space="0" w:color="auto"/>
                  </w:divBdr>
                  <w:divsChild>
                    <w:div w:id="475076525">
                      <w:marLeft w:val="0"/>
                      <w:marRight w:val="0"/>
                      <w:marTop w:val="0"/>
                      <w:marBottom w:val="0"/>
                      <w:divBdr>
                        <w:top w:val="none" w:sz="0" w:space="0" w:color="auto"/>
                        <w:left w:val="none" w:sz="0" w:space="0" w:color="auto"/>
                        <w:bottom w:val="none" w:sz="0" w:space="0" w:color="auto"/>
                        <w:right w:val="none" w:sz="0" w:space="0" w:color="auto"/>
                      </w:divBdr>
                    </w:div>
                  </w:divsChild>
                </w:div>
                <w:div w:id="410397708">
                  <w:marLeft w:val="0"/>
                  <w:marRight w:val="0"/>
                  <w:marTop w:val="0"/>
                  <w:marBottom w:val="0"/>
                  <w:divBdr>
                    <w:top w:val="none" w:sz="0" w:space="0" w:color="auto"/>
                    <w:left w:val="none" w:sz="0" w:space="0" w:color="auto"/>
                    <w:bottom w:val="none" w:sz="0" w:space="0" w:color="auto"/>
                    <w:right w:val="none" w:sz="0" w:space="0" w:color="auto"/>
                  </w:divBdr>
                  <w:divsChild>
                    <w:div w:id="237521409">
                      <w:marLeft w:val="0"/>
                      <w:marRight w:val="0"/>
                      <w:marTop w:val="0"/>
                      <w:marBottom w:val="0"/>
                      <w:divBdr>
                        <w:top w:val="none" w:sz="0" w:space="0" w:color="auto"/>
                        <w:left w:val="none" w:sz="0" w:space="0" w:color="auto"/>
                        <w:bottom w:val="none" w:sz="0" w:space="0" w:color="auto"/>
                        <w:right w:val="none" w:sz="0" w:space="0" w:color="auto"/>
                      </w:divBdr>
                    </w:div>
                  </w:divsChild>
                </w:div>
                <w:div w:id="219220290">
                  <w:marLeft w:val="0"/>
                  <w:marRight w:val="0"/>
                  <w:marTop w:val="0"/>
                  <w:marBottom w:val="0"/>
                  <w:divBdr>
                    <w:top w:val="none" w:sz="0" w:space="0" w:color="auto"/>
                    <w:left w:val="none" w:sz="0" w:space="0" w:color="auto"/>
                    <w:bottom w:val="none" w:sz="0" w:space="0" w:color="auto"/>
                    <w:right w:val="none" w:sz="0" w:space="0" w:color="auto"/>
                  </w:divBdr>
                  <w:divsChild>
                    <w:div w:id="1769688970">
                      <w:marLeft w:val="0"/>
                      <w:marRight w:val="0"/>
                      <w:marTop w:val="0"/>
                      <w:marBottom w:val="0"/>
                      <w:divBdr>
                        <w:top w:val="none" w:sz="0" w:space="0" w:color="auto"/>
                        <w:left w:val="none" w:sz="0" w:space="0" w:color="auto"/>
                        <w:bottom w:val="none" w:sz="0" w:space="0" w:color="auto"/>
                        <w:right w:val="none" w:sz="0" w:space="0" w:color="auto"/>
                      </w:divBdr>
                    </w:div>
                  </w:divsChild>
                </w:div>
                <w:div w:id="417599537">
                  <w:marLeft w:val="0"/>
                  <w:marRight w:val="0"/>
                  <w:marTop w:val="0"/>
                  <w:marBottom w:val="0"/>
                  <w:divBdr>
                    <w:top w:val="none" w:sz="0" w:space="0" w:color="auto"/>
                    <w:left w:val="none" w:sz="0" w:space="0" w:color="auto"/>
                    <w:bottom w:val="none" w:sz="0" w:space="0" w:color="auto"/>
                    <w:right w:val="none" w:sz="0" w:space="0" w:color="auto"/>
                  </w:divBdr>
                  <w:divsChild>
                    <w:div w:id="668367454">
                      <w:marLeft w:val="0"/>
                      <w:marRight w:val="0"/>
                      <w:marTop w:val="0"/>
                      <w:marBottom w:val="0"/>
                      <w:divBdr>
                        <w:top w:val="none" w:sz="0" w:space="0" w:color="auto"/>
                        <w:left w:val="none" w:sz="0" w:space="0" w:color="auto"/>
                        <w:bottom w:val="none" w:sz="0" w:space="0" w:color="auto"/>
                        <w:right w:val="none" w:sz="0" w:space="0" w:color="auto"/>
                      </w:divBdr>
                    </w:div>
                  </w:divsChild>
                </w:div>
                <w:div w:id="2010133910">
                  <w:marLeft w:val="0"/>
                  <w:marRight w:val="0"/>
                  <w:marTop w:val="0"/>
                  <w:marBottom w:val="0"/>
                  <w:divBdr>
                    <w:top w:val="none" w:sz="0" w:space="0" w:color="auto"/>
                    <w:left w:val="none" w:sz="0" w:space="0" w:color="auto"/>
                    <w:bottom w:val="none" w:sz="0" w:space="0" w:color="auto"/>
                    <w:right w:val="none" w:sz="0" w:space="0" w:color="auto"/>
                  </w:divBdr>
                  <w:divsChild>
                    <w:div w:id="1177696006">
                      <w:marLeft w:val="0"/>
                      <w:marRight w:val="0"/>
                      <w:marTop w:val="0"/>
                      <w:marBottom w:val="0"/>
                      <w:divBdr>
                        <w:top w:val="none" w:sz="0" w:space="0" w:color="auto"/>
                        <w:left w:val="none" w:sz="0" w:space="0" w:color="auto"/>
                        <w:bottom w:val="none" w:sz="0" w:space="0" w:color="auto"/>
                        <w:right w:val="none" w:sz="0" w:space="0" w:color="auto"/>
                      </w:divBdr>
                    </w:div>
                  </w:divsChild>
                </w:div>
                <w:div w:id="1152714102">
                  <w:marLeft w:val="0"/>
                  <w:marRight w:val="0"/>
                  <w:marTop w:val="0"/>
                  <w:marBottom w:val="0"/>
                  <w:divBdr>
                    <w:top w:val="none" w:sz="0" w:space="0" w:color="auto"/>
                    <w:left w:val="none" w:sz="0" w:space="0" w:color="auto"/>
                    <w:bottom w:val="none" w:sz="0" w:space="0" w:color="auto"/>
                    <w:right w:val="none" w:sz="0" w:space="0" w:color="auto"/>
                  </w:divBdr>
                  <w:divsChild>
                    <w:div w:id="1452089458">
                      <w:marLeft w:val="0"/>
                      <w:marRight w:val="0"/>
                      <w:marTop w:val="0"/>
                      <w:marBottom w:val="0"/>
                      <w:divBdr>
                        <w:top w:val="none" w:sz="0" w:space="0" w:color="auto"/>
                        <w:left w:val="none" w:sz="0" w:space="0" w:color="auto"/>
                        <w:bottom w:val="none" w:sz="0" w:space="0" w:color="auto"/>
                        <w:right w:val="none" w:sz="0" w:space="0" w:color="auto"/>
                      </w:divBdr>
                    </w:div>
                  </w:divsChild>
                </w:div>
                <w:div w:id="164252367">
                  <w:marLeft w:val="0"/>
                  <w:marRight w:val="0"/>
                  <w:marTop w:val="0"/>
                  <w:marBottom w:val="0"/>
                  <w:divBdr>
                    <w:top w:val="none" w:sz="0" w:space="0" w:color="auto"/>
                    <w:left w:val="none" w:sz="0" w:space="0" w:color="auto"/>
                    <w:bottom w:val="none" w:sz="0" w:space="0" w:color="auto"/>
                    <w:right w:val="none" w:sz="0" w:space="0" w:color="auto"/>
                  </w:divBdr>
                  <w:divsChild>
                    <w:div w:id="348261887">
                      <w:marLeft w:val="0"/>
                      <w:marRight w:val="0"/>
                      <w:marTop w:val="0"/>
                      <w:marBottom w:val="0"/>
                      <w:divBdr>
                        <w:top w:val="none" w:sz="0" w:space="0" w:color="auto"/>
                        <w:left w:val="none" w:sz="0" w:space="0" w:color="auto"/>
                        <w:bottom w:val="none" w:sz="0" w:space="0" w:color="auto"/>
                        <w:right w:val="none" w:sz="0" w:space="0" w:color="auto"/>
                      </w:divBdr>
                    </w:div>
                  </w:divsChild>
                </w:div>
                <w:div w:id="362708167">
                  <w:marLeft w:val="0"/>
                  <w:marRight w:val="0"/>
                  <w:marTop w:val="0"/>
                  <w:marBottom w:val="0"/>
                  <w:divBdr>
                    <w:top w:val="none" w:sz="0" w:space="0" w:color="auto"/>
                    <w:left w:val="none" w:sz="0" w:space="0" w:color="auto"/>
                    <w:bottom w:val="none" w:sz="0" w:space="0" w:color="auto"/>
                    <w:right w:val="none" w:sz="0" w:space="0" w:color="auto"/>
                  </w:divBdr>
                  <w:divsChild>
                    <w:div w:id="301737654">
                      <w:marLeft w:val="0"/>
                      <w:marRight w:val="0"/>
                      <w:marTop w:val="0"/>
                      <w:marBottom w:val="0"/>
                      <w:divBdr>
                        <w:top w:val="none" w:sz="0" w:space="0" w:color="auto"/>
                        <w:left w:val="none" w:sz="0" w:space="0" w:color="auto"/>
                        <w:bottom w:val="none" w:sz="0" w:space="0" w:color="auto"/>
                        <w:right w:val="none" w:sz="0" w:space="0" w:color="auto"/>
                      </w:divBdr>
                    </w:div>
                  </w:divsChild>
                </w:div>
                <w:div w:id="892034770">
                  <w:marLeft w:val="0"/>
                  <w:marRight w:val="0"/>
                  <w:marTop w:val="0"/>
                  <w:marBottom w:val="0"/>
                  <w:divBdr>
                    <w:top w:val="none" w:sz="0" w:space="0" w:color="auto"/>
                    <w:left w:val="none" w:sz="0" w:space="0" w:color="auto"/>
                    <w:bottom w:val="none" w:sz="0" w:space="0" w:color="auto"/>
                    <w:right w:val="none" w:sz="0" w:space="0" w:color="auto"/>
                  </w:divBdr>
                  <w:divsChild>
                    <w:div w:id="196352670">
                      <w:marLeft w:val="0"/>
                      <w:marRight w:val="0"/>
                      <w:marTop w:val="0"/>
                      <w:marBottom w:val="0"/>
                      <w:divBdr>
                        <w:top w:val="none" w:sz="0" w:space="0" w:color="auto"/>
                        <w:left w:val="none" w:sz="0" w:space="0" w:color="auto"/>
                        <w:bottom w:val="none" w:sz="0" w:space="0" w:color="auto"/>
                        <w:right w:val="none" w:sz="0" w:space="0" w:color="auto"/>
                      </w:divBdr>
                    </w:div>
                  </w:divsChild>
                </w:div>
                <w:div w:id="1381589663">
                  <w:marLeft w:val="0"/>
                  <w:marRight w:val="0"/>
                  <w:marTop w:val="0"/>
                  <w:marBottom w:val="0"/>
                  <w:divBdr>
                    <w:top w:val="none" w:sz="0" w:space="0" w:color="auto"/>
                    <w:left w:val="none" w:sz="0" w:space="0" w:color="auto"/>
                    <w:bottom w:val="none" w:sz="0" w:space="0" w:color="auto"/>
                    <w:right w:val="none" w:sz="0" w:space="0" w:color="auto"/>
                  </w:divBdr>
                  <w:divsChild>
                    <w:div w:id="1130590198">
                      <w:marLeft w:val="0"/>
                      <w:marRight w:val="0"/>
                      <w:marTop w:val="0"/>
                      <w:marBottom w:val="0"/>
                      <w:divBdr>
                        <w:top w:val="none" w:sz="0" w:space="0" w:color="auto"/>
                        <w:left w:val="none" w:sz="0" w:space="0" w:color="auto"/>
                        <w:bottom w:val="none" w:sz="0" w:space="0" w:color="auto"/>
                        <w:right w:val="none" w:sz="0" w:space="0" w:color="auto"/>
                      </w:divBdr>
                    </w:div>
                  </w:divsChild>
                </w:div>
                <w:div w:id="1243367123">
                  <w:marLeft w:val="0"/>
                  <w:marRight w:val="0"/>
                  <w:marTop w:val="0"/>
                  <w:marBottom w:val="0"/>
                  <w:divBdr>
                    <w:top w:val="none" w:sz="0" w:space="0" w:color="auto"/>
                    <w:left w:val="none" w:sz="0" w:space="0" w:color="auto"/>
                    <w:bottom w:val="none" w:sz="0" w:space="0" w:color="auto"/>
                    <w:right w:val="none" w:sz="0" w:space="0" w:color="auto"/>
                  </w:divBdr>
                  <w:divsChild>
                    <w:div w:id="345256361">
                      <w:marLeft w:val="0"/>
                      <w:marRight w:val="0"/>
                      <w:marTop w:val="0"/>
                      <w:marBottom w:val="0"/>
                      <w:divBdr>
                        <w:top w:val="none" w:sz="0" w:space="0" w:color="auto"/>
                        <w:left w:val="none" w:sz="0" w:space="0" w:color="auto"/>
                        <w:bottom w:val="none" w:sz="0" w:space="0" w:color="auto"/>
                        <w:right w:val="none" w:sz="0" w:space="0" w:color="auto"/>
                      </w:divBdr>
                    </w:div>
                  </w:divsChild>
                </w:div>
                <w:div w:id="1072586926">
                  <w:marLeft w:val="0"/>
                  <w:marRight w:val="0"/>
                  <w:marTop w:val="0"/>
                  <w:marBottom w:val="0"/>
                  <w:divBdr>
                    <w:top w:val="none" w:sz="0" w:space="0" w:color="auto"/>
                    <w:left w:val="none" w:sz="0" w:space="0" w:color="auto"/>
                    <w:bottom w:val="none" w:sz="0" w:space="0" w:color="auto"/>
                    <w:right w:val="none" w:sz="0" w:space="0" w:color="auto"/>
                  </w:divBdr>
                  <w:divsChild>
                    <w:div w:id="691539420">
                      <w:marLeft w:val="0"/>
                      <w:marRight w:val="0"/>
                      <w:marTop w:val="0"/>
                      <w:marBottom w:val="0"/>
                      <w:divBdr>
                        <w:top w:val="none" w:sz="0" w:space="0" w:color="auto"/>
                        <w:left w:val="none" w:sz="0" w:space="0" w:color="auto"/>
                        <w:bottom w:val="none" w:sz="0" w:space="0" w:color="auto"/>
                        <w:right w:val="none" w:sz="0" w:space="0" w:color="auto"/>
                      </w:divBdr>
                    </w:div>
                  </w:divsChild>
                </w:div>
                <w:div w:id="1077509330">
                  <w:marLeft w:val="0"/>
                  <w:marRight w:val="0"/>
                  <w:marTop w:val="0"/>
                  <w:marBottom w:val="0"/>
                  <w:divBdr>
                    <w:top w:val="none" w:sz="0" w:space="0" w:color="auto"/>
                    <w:left w:val="none" w:sz="0" w:space="0" w:color="auto"/>
                    <w:bottom w:val="none" w:sz="0" w:space="0" w:color="auto"/>
                    <w:right w:val="none" w:sz="0" w:space="0" w:color="auto"/>
                  </w:divBdr>
                  <w:divsChild>
                    <w:div w:id="692536049">
                      <w:marLeft w:val="0"/>
                      <w:marRight w:val="0"/>
                      <w:marTop w:val="0"/>
                      <w:marBottom w:val="0"/>
                      <w:divBdr>
                        <w:top w:val="none" w:sz="0" w:space="0" w:color="auto"/>
                        <w:left w:val="none" w:sz="0" w:space="0" w:color="auto"/>
                        <w:bottom w:val="none" w:sz="0" w:space="0" w:color="auto"/>
                        <w:right w:val="none" w:sz="0" w:space="0" w:color="auto"/>
                      </w:divBdr>
                    </w:div>
                  </w:divsChild>
                </w:div>
                <w:div w:id="446507864">
                  <w:marLeft w:val="0"/>
                  <w:marRight w:val="0"/>
                  <w:marTop w:val="0"/>
                  <w:marBottom w:val="0"/>
                  <w:divBdr>
                    <w:top w:val="none" w:sz="0" w:space="0" w:color="auto"/>
                    <w:left w:val="none" w:sz="0" w:space="0" w:color="auto"/>
                    <w:bottom w:val="none" w:sz="0" w:space="0" w:color="auto"/>
                    <w:right w:val="none" w:sz="0" w:space="0" w:color="auto"/>
                  </w:divBdr>
                  <w:divsChild>
                    <w:div w:id="1107889170">
                      <w:marLeft w:val="0"/>
                      <w:marRight w:val="0"/>
                      <w:marTop w:val="0"/>
                      <w:marBottom w:val="0"/>
                      <w:divBdr>
                        <w:top w:val="none" w:sz="0" w:space="0" w:color="auto"/>
                        <w:left w:val="none" w:sz="0" w:space="0" w:color="auto"/>
                        <w:bottom w:val="none" w:sz="0" w:space="0" w:color="auto"/>
                        <w:right w:val="none" w:sz="0" w:space="0" w:color="auto"/>
                      </w:divBdr>
                    </w:div>
                  </w:divsChild>
                </w:div>
                <w:div w:id="397635620">
                  <w:marLeft w:val="0"/>
                  <w:marRight w:val="0"/>
                  <w:marTop w:val="0"/>
                  <w:marBottom w:val="0"/>
                  <w:divBdr>
                    <w:top w:val="none" w:sz="0" w:space="0" w:color="auto"/>
                    <w:left w:val="none" w:sz="0" w:space="0" w:color="auto"/>
                    <w:bottom w:val="none" w:sz="0" w:space="0" w:color="auto"/>
                    <w:right w:val="none" w:sz="0" w:space="0" w:color="auto"/>
                  </w:divBdr>
                  <w:divsChild>
                    <w:div w:id="1880043887">
                      <w:marLeft w:val="0"/>
                      <w:marRight w:val="0"/>
                      <w:marTop w:val="0"/>
                      <w:marBottom w:val="0"/>
                      <w:divBdr>
                        <w:top w:val="none" w:sz="0" w:space="0" w:color="auto"/>
                        <w:left w:val="none" w:sz="0" w:space="0" w:color="auto"/>
                        <w:bottom w:val="none" w:sz="0" w:space="0" w:color="auto"/>
                        <w:right w:val="none" w:sz="0" w:space="0" w:color="auto"/>
                      </w:divBdr>
                    </w:div>
                  </w:divsChild>
                </w:div>
                <w:div w:id="947735663">
                  <w:marLeft w:val="0"/>
                  <w:marRight w:val="0"/>
                  <w:marTop w:val="0"/>
                  <w:marBottom w:val="0"/>
                  <w:divBdr>
                    <w:top w:val="none" w:sz="0" w:space="0" w:color="auto"/>
                    <w:left w:val="none" w:sz="0" w:space="0" w:color="auto"/>
                    <w:bottom w:val="none" w:sz="0" w:space="0" w:color="auto"/>
                    <w:right w:val="none" w:sz="0" w:space="0" w:color="auto"/>
                  </w:divBdr>
                  <w:divsChild>
                    <w:div w:id="798033868">
                      <w:marLeft w:val="0"/>
                      <w:marRight w:val="0"/>
                      <w:marTop w:val="0"/>
                      <w:marBottom w:val="0"/>
                      <w:divBdr>
                        <w:top w:val="none" w:sz="0" w:space="0" w:color="auto"/>
                        <w:left w:val="none" w:sz="0" w:space="0" w:color="auto"/>
                        <w:bottom w:val="none" w:sz="0" w:space="0" w:color="auto"/>
                        <w:right w:val="none" w:sz="0" w:space="0" w:color="auto"/>
                      </w:divBdr>
                    </w:div>
                  </w:divsChild>
                </w:div>
                <w:div w:id="1298756181">
                  <w:marLeft w:val="0"/>
                  <w:marRight w:val="0"/>
                  <w:marTop w:val="0"/>
                  <w:marBottom w:val="0"/>
                  <w:divBdr>
                    <w:top w:val="none" w:sz="0" w:space="0" w:color="auto"/>
                    <w:left w:val="none" w:sz="0" w:space="0" w:color="auto"/>
                    <w:bottom w:val="none" w:sz="0" w:space="0" w:color="auto"/>
                    <w:right w:val="none" w:sz="0" w:space="0" w:color="auto"/>
                  </w:divBdr>
                  <w:divsChild>
                    <w:div w:id="1277908119">
                      <w:marLeft w:val="0"/>
                      <w:marRight w:val="0"/>
                      <w:marTop w:val="0"/>
                      <w:marBottom w:val="0"/>
                      <w:divBdr>
                        <w:top w:val="none" w:sz="0" w:space="0" w:color="auto"/>
                        <w:left w:val="none" w:sz="0" w:space="0" w:color="auto"/>
                        <w:bottom w:val="none" w:sz="0" w:space="0" w:color="auto"/>
                        <w:right w:val="none" w:sz="0" w:space="0" w:color="auto"/>
                      </w:divBdr>
                    </w:div>
                  </w:divsChild>
                </w:div>
                <w:div w:id="112402108">
                  <w:marLeft w:val="0"/>
                  <w:marRight w:val="0"/>
                  <w:marTop w:val="0"/>
                  <w:marBottom w:val="0"/>
                  <w:divBdr>
                    <w:top w:val="none" w:sz="0" w:space="0" w:color="auto"/>
                    <w:left w:val="none" w:sz="0" w:space="0" w:color="auto"/>
                    <w:bottom w:val="none" w:sz="0" w:space="0" w:color="auto"/>
                    <w:right w:val="none" w:sz="0" w:space="0" w:color="auto"/>
                  </w:divBdr>
                  <w:divsChild>
                    <w:div w:id="1225945596">
                      <w:marLeft w:val="0"/>
                      <w:marRight w:val="0"/>
                      <w:marTop w:val="0"/>
                      <w:marBottom w:val="0"/>
                      <w:divBdr>
                        <w:top w:val="none" w:sz="0" w:space="0" w:color="auto"/>
                        <w:left w:val="none" w:sz="0" w:space="0" w:color="auto"/>
                        <w:bottom w:val="none" w:sz="0" w:space="0" w:color="auto"/>
                        <w:right w:val="none" w:sz="0" w:space="0" w:color="auto"/>
                      </w:divBdr>
                    </w:div>
                  </w:divsChild>
                </w:div>
                <w:div w:id="663240552">
                  <w:marLeft w:val="0"/>
                  <w:marRight w:val="0"/>
                  <w:marTop w:val="0"/>
                  <w:marBottom w:val="0"/>
                  <w:divBdr>
                    <w:top w:val="none" w:sz="0" w:space="0" w:color="auto"/>
                    <w:left w:val="none" w:sz="0" w:space="0" w:color="auto"/>
                    <w:bottom w:val="none" w:sz="0" w:space="0" w:color="auto"/>
                    <w:right w:val="none" w:sz="0" w:space="0" w:color="auto"/>
                  </w:divBdr>
                  <w:divsChild>
                    <w:div w:id="544216977">
                      <w:marLeft w:val="0"/>
                      <w:marRight w:val="0"/>
                      <w:marTop w:val="0"/>
                      <w:marBottom w:val="0"/>
                      <w:divBdr>
                        <w:top w:val="none" w:sz="0" w:space="0" w:color="auto"/>
                        <w:left w:val="none" w:sz="0" w:space="0" w:color="auto"/>
                        <w:bottom w:val="none" w:sz="0" w:space="0" w:color="auto"/>
                        <w:right w:val="none" w:sz="0" w:space="0" w:color="auto"/>
                      </w:divBdr>
                    </w:div>
                  </w:divsChild>
                </w:div>
                <w:div w:id="2004433131">
                  <w:marLeft w:val="0"/>
                  <w:marRight w:val="0"/>
                  <w:marTop w:val="0"/>
                  <w:marBottom w:val="0"/>
                  <w:divBdr>
                    <w:top w:val="none" w:sz="0" w:space="0" w:color="auto"/>
                    <w:left w:val="none" w:sz="0" w:space="0" w:color="auto"/>
                    <w:bottom w:val="none" w:sz="0" w:space="0" w:color="auto"/>
                    <w:right w:val="none" w:sz="0" w:space="0" w:color="auto"/>
                  </w:divBdr>
                  <w:divsChild>
                    <w:div w:id="270548592">
                      <w:marLeft w:val="0"/>
                      <w:marRight w:val="0"/>
                      <w:marTop w:val="0"/>
                      <w:marBottom w:val="0"/>
                      <w:divBdr>
                        <w:top w:val="none" w:sz="0" w:space="0" w:color="auto"/>
                        <w:left w:val="none" w:sz="0" w:space="0" w:color="auto"/>
                        <w:bottom w:val="none" w:sz="0" w:space="0" w:color="auto"/>
                        <w:right w:val="none" w:sz="0" w:space="0" w:color="auto"/>
                      </w:divBdr>
                    </w:div>
                  </w:divsChild>
                </w:div>
                <w:div w:id="38550788">
                  <w:marLeft w:val="0"/>
                  <w:marRight w:val="0"/>
                  <w:marTop w:val="0"/>
                  <w:marBottom w:val="0"/>
                  <w:divBdr>
                    <w:top w:val="none" w:sz="0" w:space="0" w:color="auto"/>
                    <w:left w:val="none" w:sz="0" w:space="0" w:color="auto"/>
                    <w:bottom w:val="none" w:sz="0" w:space="0" w:color="auto"/>
                    <w:right w:val="none" w:sz="0" w:space="0" w:color="auto"/>
                  </w:divBdr>
                  <w:divsChild>
                    <w:div w:id="691107508">
                      <w:marLeft w:val="0"/>
                      <w:marRight w:val="0"/>
                      <w:marTop w:val="0"/>
                      <w:marBottom w:val="0"/>
                      <w:divBdr>
                        <w:top w:val="none" w:sz="0" w:space="0" w:color="auto"/>
                        <w:left w:val="none" w:sz="0" w:space="0" w:color="auto"/>
                        <w:bottom w:val="none" w:sz="0" w:space="0" w:color="auto"/>
                        <w:right w:val="none" w:sz="0" w:space="0" w:color="auto"/>
                      </w:divBdr>
                    </w:div>
                  </w:divsChild>
                </w:div>
                <w:div w:id="953832444">
                  <w:marLeft w:val="0"/>
                  <w:marRight w:val="0"/>
                  <w:marTop w:val="0"/>
                  <w:marBottom w:val="0"/>
                  <w:divBdr>
                    <w:top w:val="none" w:sz="0" w:space="0" w:color="auto"/>
                    <w:left w:val="none" w:sz="0" w:space="0" w:color="auto"/>
                    <w:bottom w:val="none" w:sz="0" w:space="0" w:color="auto"/>
                    <w:right w:val="none" w:sz="0" w:space="0" w:color="auto"/>
                  </w:divBdr>
                  <w:divsChild>
                    <w:div w:id="1473596646">
                      <w:marLeft w:val="0"/>
                      <w:marRight w:val="0"/>
                      <w:marTop w:val="0"/>
                      <w:marBottom w:val="0"/>
                      <w:divBdr>
                        <w:top w:val="none" w:sz="0" w:space="0" w:color="auto"/>
                        <w:left w:val="none" w:sz="0" w:space="0" w:color="auto"/>
                        <w:bottom w:val="none" w:sz="0" w:space="0" w:color="auto"/>
                        <w:right w:val="none" w:sz="0" w:space="0" w:color="auto"/>
                      </w:divBdr>
                    </w:div>
                  </w:divsChild>
                </w:div>
                <w:div w:id="128014484">
                  <w:marLeft w:val="0"/>
                  <w:marRight w:val="0"/>
                  <w:marTop w:val="0"/>
                  <w:marBottom w:val="0"/>
                  <w:divBdr>
                    <w:top w:val="none" w:sz="0" w:space="0" w:color="auto"/>
                    <w:left w:val="none" w:sz="0" w:space="0" w:color="auto"/>
                    <w:bottom w:val="none" w:sz="0" w:space="0" w:color="auto"/>
                    <w:right w:val="none" w:sz="0" w:space="0" w:color="auto"/>
                  </w:divBdr>
                  <w:divsChild>
                    <w:div w:id="19650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979464">
      <w:bodyDiv w:val="1"/>
      <w:marLeft w:val="0"/>
      <w:marRight w:val="0"/>
      <w:marTop w:val="0"/>
      <w:marBottom w:val="0"/>
      <w:divBdr>
        <w:top w:val="none" w:sz="0" w:space="0" w:color="auto"/>
        <w:left w:val="none" w:sz="0" w:space="0" w:color="auto"/>
        <w:bottom w:val="none" w:sz="0" w:space="0" w:color="auto"/>
        <w:right w:val="none" w:sz="0" w:space="0" w:color="auto"/>
      </w:divBdr>
    </w:div>
    <w:div w:id="608970570">
      <w:bodyDiv w:val="1"/>
      <w:marLeft w:val="0"/>
      <w:marRight w:val="0"/>
      <w:marTop w:val="0"/>
      <w:marBottom w:val="0"/>
      <w:divBdr>
        <w:top w:val="none" w:sz="0" w:space="0" w:color="auto"/>
        <w:left w:val="none" w:sz="0" w:space="0" w:color="auto"/>
        <w:bottom w:val="none" w:sz="0" w:space="0" w:color="auto"/>
        <w:right w:val="none" w:sz="0" w:space="0" w:color="auto"/>
      </w:divBdr>
    </w:div>
    <w:div w:id="611940121">
      <w:bodyDiv w:val="1"/>
      <w:marLeft w:val="0"/>
      <w:marRight w:val="0"/>
      <w:marTop w:val="0"/>
      <w:marBottom w:val="0"/>
      <w:divBdr>
        <w:top w:val="none" w:sz="0" w:space="0" w:color="auto"/>
        <w:left w:val="none" w:sz="0" w:space="0" w:color="auto"/>
        <w:bottom w:val="none" w:sz="0" w:space="0" w:color="auto"/>
        <w:right w:val="none" w:sz="0" w:space="0" w:color="auto"/>
      </w:divBdr>
    </w:div>
    <w:div w:id="614286855">
      <w:bodyDiv w:val="1"/>
      <w:marLeft w:val="0"/>
      <w:marRight w:val="0"/>
      <w:marTop w:val="0"/>
      <w:marBottom w:val="0"/>
      <w:divBdr>
        <w:top w:val="none" w:sz="0" w:space="0" w:color="auto"/>
        <w:left w:val="none" w:sz="0" w:space="0" w:color="auto"/>
        <w:bottom w:val="none" w:sz="0" w:space="0" w:color="auto"/>
        <w:right w:val="none" w:sz="0" w:space="0" w:color="auto"/>
      </w:divBdr>
    </w:div>
    <w:div w:id="614872070">
      <w:bodyDiv w:val="1"/>
      <w:marLeft w:val="0"/>
      <w:marRight w:val="0"/>
      <w:marTop w:val="0"/>
      <w:marBottom w:val="0"/>
      <w:divBdr>
        <w:top w:val="none" w:sz="0" w:space="0" w:color="auto"/>
        <w:left w:val="none" w:sz="0" w:space="0" w:color="auto"/>
        <w:bottom w:val="none" w:sz="0" w:space="0" w:color="auto"/>
        <w:right w:val="none" w:sz="0" w:space="0" w:color="auto"/>
      </w:divBdr>
    </w:div>
    <w:div w:id="619532817">
      <w:bodyDiv w:val="1"/>
      <w:marLeft w:val="0"/>
      <w:marRight w:val="0"/>
      <w:marTop w:val="0"/>
      <w:marBottom w:val="0"/>
      <w:divBdr>
        <w:top w:val="none" w:sz="0" w:space="0" w:color="auto"/>
        <w:left w:val="none" w:sz="0" w:space="0" w:color="auto"/>
        <w:bottom w:val="none" w:sz="0" w:space="0" w:color="auto"/>
        <w:right w:val="none" w:sz="0" w:space="0" w:color="auto"/>
      </w:divBdr>
    </w:div>
    <w:div w:id="624897142">
      <w:bodyDiv w:val="1"/>
      <w:marLeft w:val="0"/>
      <w:marRight w:val="0"/>
      <w:marTop w:val="0"/>
      <w:marBottom w:val="0"/>
      <w:divBdr>
        <w:top w:val="none" w:sz="0" w:space="0" w:color="auto"/>
        <w:left w:val="none" w:sz="0" w:space="0" w:color="auto"/>
        <w:bottom w:val="none" w:sz="0" w:space="0" w:color="auto"/>
        <w:right w:val="none" w:sz="0" w:space="0" w:color="auto"/>
      </w:divBdr>
    </w:div>
    <w:div w:id="630938999">
      <w:bodyDiv w:val="1"/>
      <w:marLeft w:val="0"/>
      <w:marRight w:val="0"/>
      <w:marTop w:val="0"/>
      <w:marBottom w:val="0"/>
      <w:divBdr>
        <w:top w:val="none" w:sz="0" w:space="0" w:color="auto"/>
        <w:left w:val="none" w:sz="0" w:space="0" w:color="auto"/>
        <w:bottom w:val="none" w:sz="0" w:space="0" w:color="auto"/>
        <w:right w:val="none" w:sz="0" w:space="0" w:color="auto"/>
      </w:divBdr>
    </w:div>
    <w:div w:id="630987337">
      <w:bodyDiv w:val="1"/>
      <w:marLeft w:val="0"/>
      <w:marRight w:val="0"/>
      <w:marTop w:val="0"/>
      <w:marBottom w:val="0"/>
      <w:divBdr>
        <w:top w:val="none" w:sz="0" w:space="0" w:color="auto"/>
        <w:left w:val="none" w:sz="0" w:space="0" w:color="auto"/>
        <w:bottom w:val="none" w:sz="0" w:space="0" w:color="auto"/>
        <w:right w:val="none" w:sz="0" w:space="0" w:color="auto"/>
      </w:divBdr>
    </w:div>
    <w:div w:id="645746602">
      <w:bodyDiv w:val="1"/>
      <w:marLeft w:val="0"/>
      <w:marRight w:val="0"/>
      <w:marTop w:val="0"/>
      <w:marBottom w:val="0"/>
      <w:divBdr>
        <w:top w:val="none" w:sz="0" w:space="0" w:color="auto"/>
        <w:left w:val="none" w:sz="0" w:space="0" w:color="auto"/>
        <w:bottom w:val="none" w:sz="0" w:space="0" w:color="auto"/>
        <w:right w:val="none" w:sz="0" w:space="0" w:color="auto"/>
      </w:divBdr>
    </w:div>
    <w:div w:id="647443149">
      <w:bodyDiv w:val="1"/>
      <w:marLeft w:val="0"/>
      <w:marRight w:val="0"/>
      <w:marTop w:val="0"/>
      <w:marBottom w:val="0"/>
      <w:divBdr>
        <w:top w:val="none" w:sz="0" w:space="0" w:color="auto"/>
        <w:left w:val="none" w:sz="0" w:space="0" w:color="auto"/>
        <w:bottom w:val="none" w:sz="0" w:space="0" w:color="auto"/>
        <w:right w:val="none" w:sz="0" w:space="0" w:color="auto"/>
      </w:divBdr>
    </w:div>
    <w:div w:id="653875279">
      <w:bodyDiv w:val="1"/>
      <w:marLeft w:val="0"/>
      <w:marRight w:val="0"/>
      <w:marTop w:val="0"/>
      <w:marBottom w:val="0"/>
      <w:divBdr>
        <w:top w:val="none" w:sz="0" w:space="0" w:color="auto"/>
        <w:left w:val="none" w:sz="0" w:space="0" w:color="auto"/>
        <w:bottom w:val="none" w:sz="0" w:space="0" w:color="auto"/>
        <w:right w:val="none" w:sz="0" w:space="0" w:color="auto"/>
      </w:divBdr>
      <w:divsChild>
        <w:div w:id="266740464">
          <w:marLeft w:val="0"/>
          <w:marRight w:val="0"/>
          <w:marTop w:val="0"/>
          <w:marBottom w:val="0"/>
          <w:divBdr>
            <w:top w:val="none" w:sz="0" w:space="0" w:color="auto"/>
            <w:left w:val="none" w:sz="0" w:space="0" w:color="auto"/>
            <w:bottom w:val="none" w:sz="0" w:space="0" w:color="auto"/>
            <w:right w:val="none" w:sz="0" w:space="0" w:color="auto"/>
          </w:divBdr>
          <w:divsChild>
            <w:div w:id="431710862">
              <w:marLeft w:val="0"/>
              <w:marRight w:val="0"/>
              <w:marTop w:val="0"/>
              <w:marBottom w:val="0"/>
              <w:divBdr>
                <w:top w:val="none" w:sz="0" w:space="0" w:color="auto"/>
                <w:left w:val="none" w:sz="0" w:space="0" w:color="auto"/>
                <w:bottom w:val="none" w:sz="0" w:space="0" w:color="auto"/>
                <w:right w:val="none" w:sz="0" w:space="0" w:color="auto"/>
              </w:divBdr>
            </w:div>
          </w:divsChild>
        </w:div>
        <w:div w:id="1584488571">
          <w:marLeft w:val="0"/>
          <w:marRight w:val="0"/>
          <w:marTop w:val="0"/>
          <w:marBottom w:val="0"/>
          <w:divBdr>
            <w:top w:val="none" w:sz="0" w:space="0" w:color="auto"/>
            <w:left w:val="none" w:sz="0" w:space="0" w:color="auto"/>
            <w:bottom w:val="none" w:sz="0" w:space="0" w:color="auto"/>
            <w:right w:val="none" w:sz="0" w:space="0" w:color="auto"/>
          </w:divBdr>
          <w:divsChild>
            <w:div w:id="1919050538">
              <w:marLeft w:val="0"/>
              <w:marRight w:val="0"/>
              <w:marTop w:val="0"/>
              <w:marBottom w:val="0"/>
              <w:divBdr>
                <w:top w:val="none" w:sz="0" w:space="0" w:color="auto"/>
                <w:left w:val="none" w:sz="0" w:space="0" w:color="auto"/>
                <w:bottom w:val="none" w:sz="0" w:space="0" w:color="auto"/>
                <w:right w:val="none" w:sz="0" w:space="0" w:color="auto"/>
              </w:divBdr>
            </w:div>
          </w:divsChild>
        </w:div>
        <w:div w:id="2074304523">
          <w:marLeft w:val="0"/>
          <w:marRight w:val="0"/>
          <w:marTop w:val="0"/>
          <w:marBottom w:val="0"/>
          <w:divBdr>
            <w:top w:val="none" w:sz="0" w:space="0" w:color="auto"/>
            <w:left w:val="none" w:sz="0" w:space="0" w:color="auto"/>
            <w:bottom w:val="none" w:sz="0" w:space="0" w:color="auto"/>
            <w:right w:val="none" w:sz="0" w:space="0" w:color="auto"/>
          </w:divBdr>
          <w:divsChild>
            <w:div w:id="1708019664">
              <w:marLeft w:val="0"/>
              <w:marRight w:val="0"/>
              <w:marTop w:val="0"/>
              <w:marBottom w:val="0"/>
              <w:divBdr>
                <w:top w:val="none" w:sz="0" w:space="0" w:color="auto"/>
                <w:left w:val="none" w:sz="0" w:space="0" w:color="auto"/>
                <w:bottom w:val="none" w:sz="0" w:space="0" w:color="auto"/>
                <w:right w:val="none" w:sz="0" w:space="0" w:color="auto"/>
              </w:divBdr>
            </w:div>
          </w:divsChild>
        </w:div>
        <w:div w:id="370768007">
          <w:marLeft w:val="0"/>
          <w:marRight w:val="0"/>
          <w:marTop w:val="0"/>
          <w:marBottom w:val="0"/>
          <w:divBdr>
            <w:top w:val="none" w:sz="0" w:space="0" w:color="auto"/>
            <w:left w:val="none" w:sz="0" w:space="0" w:color="auto"/>
            <w:bottom w:val="none" w:sz="0" w:space="0" w:color="auto"/>
            <w:right w:val="none" w:sz="0" w:space="0" w:color="auto"/>
          </w:divBdr>
          <w:divsChild>
            <w:div w:id="691299849">
              <w:marLeft w:val="0"/>
              <w:marRight w:val="0"/>
              <w:marTop w:val="0"/>
              <w:marBottom w:val="0"/>
              <w:divBdr>
                <w:top w:val="none" w:sz="0" w:space="0" w:color="auto"/>
                <w:left w:val="none" w:sz="0" w:space="0" w:color="auto"/>
                <w:bottom w:val="none" w:sz="0" w:space="0" w:color="auto"/>
                <w:right w:val="none" w:sz="0" w:space="0" w:color="auto"/>
              </w:divBdr>
            </w:div>
          </w:divsChild>
        </w:div>
        <w:div w:id="1850489589">
          <w:marLeft w:val="0"/>
          <w:marRight w:val="0"/>
          <w:marTop w:val="0"/>
          <w:marBottom w:val="0"/>
          <w:divBdr>
            <w:top w:val="none" w:sz="0" w:space="0" w:color="auto"/>
            <w:left w:val="none" w:sz="0" w:space="0" w:color="auto"/>
            <w:bottom w:val="none" w:sz="0" w:space="0" w:color="auto"/>
            <w:right w:val="none" w:sz="0" w:space="0" w:color="auto"/>
          </w:divBdr>
          <w:divsChild>
            <w:div w:id="1970041046">
              <w:marLeft w:val="0"/>
              <w:marRight w:val="0"/>
              <w:marTop w:val="0"/>
              <w:marBottom w:val="0"/>
              <w:divBdr>
                <w:top w:val="none" w:sz="0" w:space="0" w:color="auto"/>
                <w:left w:val="none" w:sz="0" w:space="0" w:color="auto"/>
                <w:bottom w:val="none" w:sz="0" w:space="0" w:color="auto"/>
                <w:right w:val="none" w:sz="0" w:space="0" w:color="auto"/>
              </w:divBdr>
            </w:div>
          </w:divsChild>
        </w:div>
        <w:div w:id="358548817">
          <w:marLeft w:val="0"/>
          <w:marRight w:val="0"/>
          <w:marTop w:val="0"/>
          <w:marBottom w:val="0"/>
          <w:divBdr>
            <w:top w:val="none" w:sz="0" w:space="0" w:color="auto"/>
            <w:left w:val="none" w:sz="0" w:space="0" w:color="auto"/>
            <w:bottom w:val="none" w:sz="0" w:space="0" w:color="auto"/>
            <w:right w:val="none" w:sz="0" w:space="0" w:color="auto"/>
          </w:divBdr>
          <w:divsChild>
            <w:div w:id="1527671229">
              <w:marLeft w:val="0"/>
              <w:marRight w:val="0"/>
              <w:marTop w:val="0"/>
              <w:marBottom w:val="0"/>
              <w:divBdr>
                <w:top w:val="none" w:sz="0" w:space="0" w:color="auto"/>
                <w:left w:val="none" w:sz="0" w:space="0" w:color="auto"/>
                <w:bottom w:val="none" w:sz="0" w:space="0" w:color="auto"/>
                <w:right w:val="none" w:sz="0" w:space="0" w:color="auto"/>
              </w:divBdr>
            </w:div>
          </w:divsChild>
        </w:div>
        <w:div w:id="1780904400">
          <w:marLeft w:val="0"/>
          <w:marRight w:val="0"/>
          <w:marTop w:val="0"/>
          <w:marBottom w:val="0"/>
          <w:divBdr>
            <w:top w:val="none" w:sz="0" w:space="0" w:color="auto"/>
            <w:left w:val="none" w:sz="0" w:space="0" w:color="auto"/>
            <w:bottom w:val="none" w:sz="0" w:space="0" w:color="auto"/>
            <w:right w:val="none" w:sz="0" w:space="0" w:color="auto"/>
          </w:divBdr>
          <w:divsChild>
            <w:div w:id="186482293">
              <w:marLeft w:val="0"/>
              <w:marRight w:val="0"/>
              <w:marTop w:val="0"/>
              <w:marBottom w:val="0"/>
              <w:divBdr>
                <w:top w:val="none" w:sz="0" w:space="0" w:color="auto"/>
                <w:left w:val="none" w:sz="0" w:space="0" w:color="auto"/>
                <w:bottom w:val="none" w:sz="0" w:space="0" w:color="auto"/>
                <w:right w:val="none" w:sz="0" w:space="0" w:color="auto"/>
              </w:divBdr>
            </w:div>
          </w:divsChild>
        </w:div>
        <w:div w:id="759135897">
          <w:marLeft w:val="0"/>
          <w:marRight w:val="0"/>
          <w:marTop w:val="0"/>
          <w:marBottom w:val="0"/>
          <w:divBdr>
            <w:top w:val="none" w:sz="0" w:space="0" w:color="auto"/>
            <w:left w:val="none" w:sz="0" w:space="0" w:color="auto"/>
            <w:bottom w:val="none" w:sz="0" w:space="0" w:color="auto"/>
            <w:right w:val="none" w:sz="0" w:space="0" w:color="auto"/>
          </w:divBdr>
          <w:divsChild>
            <w:div w:id="1685356080">
              <w:marLeft w:val="0"/>
              <w:marRight w:val="0"/>
              <w:marTop w:val="0"/>
              <w:marBottom w:val="0"/>
              <w:divBdr>
                <w:top w:val="none" w:sz="0" w:space="0" w:color="auto"/>
                <w:left w:val="none" w:sz="0" w:space="0" w:color="auto"/>
                <w:bottom w:val="none" w:sz="0" w:space="0" w:color="auto"/>
                <w:right w:val="none" w:sz="0" w:space="0" w:color="auto"/>
              </w:divBdr>
            </w:div>
          </w:divsChild>
        </w:div>
        <w:div w:id="232815093">
          <w:marLeft w:val="0"/>
          <w:marRight w:val="0"/>
          <w:marTop w:val="0"/>
          <w:marBottom w:val="0"/>
          <w:divBdr>
            <w:top w:val="none" w:sz="0" w:space="0" w:color="auto"/>
            <w:left w:val="none" w:sz="0" w:space="0" w:color="auto"/>
            <w:bottom w:val="none" w:sz="0" w:space="0" w:color="auto"/>
            <w:right w:val="none" w:sz="0" w:space="0" w:color="auto"/>
          </w:divBdr>
          <w:divsChild>
            <w:div w:id="1329554980">
              <w:marLeft w:val="0"/>
              <w:marRight w:val="0"/>
              <w:marTop w:val="0"/>
              <w:marBottom w:val="0"/>
              <w:divBdr>
                <w:top w:val="none" w:sz="0" w:space="0" w:color="auto"/>
                <w:left w:val="none" w:sz="0" w:space="0" w:color="auto"/>
                <w:bottom w:val="none" w:sz="0" w:space="0" w:color="auto"/>
                <w:right w:val="none" w:sz="0" w:space="0" w:color="auto"/>
              </w:divBdr>
            </w:div>
          </w:divsChild>
        </w:div>
        <w:div w:id="887762814">
          <w:marLeft w:val="0"/>
          <w:marRight w:val="0"/>
          <w:marTop w:val="0"/>
          <w:marBottom w:val="0"/>
          <w:divBdr>
            <w:top w:val="none" w:sz="0" w:space="0" w:color="auto"/>
            <w:left w:val="none" w:sz="0" w:space="0" w:color="auto"/>
            <w:bottom w:val="none" w:sz="0" w:space="0" w:color="auto"/>
            <w:right w:val="none" w:sz="0" w:space="0" w:color="auto"/>
          </w:divBdr>
          <w:divsChild>
            <w:div w:id="1516269487">
              <w:marLeft w:val="0"/>
              <w:marRight w:val="0"/>
              <w:marTop w:val="0"/>
              <w:marBottom w:val="0"/>
              <w:divBdr>
                <w:top w:val="none" w:sz="0" w:space="0" w:color="auto"/>
                <w:left w:val="none" w:sz="0" w:space="0" w:color="auto"/>
                <w:bottom w:val="none" w:sz="0" w:space="0" w:color="auto"/>
                <w:right w:val="none" w:sz="0" w:space="0" w:color="auto"/>
              </w:divBdr>
            </w:div>
          </w:divsChild>
        </w:div>
        <w:div w:id="535432473">
          <w:marLeft w:val="0"/>
          <w:marRight w:val="0"/>
          <w:marTop w:val="0"/>
          <w:marBottom w:val="0"/>
          <w:divBdr>
            <w:top w:val="none" w:sz="0" w:space="0" w:color="auto"/>
            <w:left w:val="none" w:sz="0" w:space="0" w:color="auto"/>
            <w:bottom w:val="none" w:sz="0" w:space="0" w:color="auto"/>
            <w:right w:val="none" w:sz="0" w:space="0" w:color="auto"/>
          </w:divBdr>
          <w:divsChild>
            <w:div w:id="2083524263">
              <w:marLeft w:val="0"/>
              <w:marRight w:val="0"/>
              <w:marTop w:val="0"/>
              <w:marBottom w:val="0"/>
              <w:divBdr>
                <w:top w:val="none" w:sz="0" w:space="0" w:color="auto"/>
                <w:left w:val="none" w:sz="0" w:space="0" w:color="auto"/>
                <w:bottom w:val="none" w:sz="0" w:space="0" w:color="auto"/>
                <w:right w:val="none" w:sz="0" w:space="0" w:color="auto"/>
              </w:divBdr>
            </w:div>
          </w:divsChild>
        </w:div>
        <w:div w:id="33775882">
          <w:marLeft w:val="0"/>
          <w:marRight w:val="0"/>
          <w:marTop w:val="0"/>
          <w:marBottom w:val="0"/>
          <w:divBdr>
            <w:top w:val="none" w:sz="0" w:space="0" w:color="auto"/>
            <w:left w:val="none" w:sz="0" w:space="0" w:color="auto"/>
            <w:bottom w:val="none" w:sz="0" w:space="0" w:color="auto"/>
            <w:right w:val="none" w:sz="0" w:space="0" w:color="auto"/>
          </w:divBdr>
          <w:divsChild>
            <w:div w:id="145175092">
              <w:marLeft w:val="0"/>
              <w:marRight w:val="0"/>
              <w:marTop w:val="0"/>
              <w:marBottom w:val="0"/>
              <w:divBdr>
                <w:top w:val="none" w:sz="0" w:space="0" w:color="auto"/>
                <w:left w:val="none" w:sz="0" w:space="0" w:color="auto"/>
                <w:bottom w:val="none" w:sz="0" w:space="0" w:color="auto"/>
                <w:right w:val="none" w:sz="0" w:space="0" w:color="auto"/>
              </w:divBdr>
            </w:div>
          </w:divsChild>
        </w:div>
        <w:div w:id="1745640936">
          <w:marLeft w:val="0"/>
          <w:marRight w:val="0"/>
          <w:marTop w:val="0"/>
          <w:marBottom w:val="0"/>
          <w:divBdr>
            <w:top w:val="none" w:sz="0" w:space="0" w:color="auto"/>
            <w:left w:val="none" w:sz="0" w:space="0" w:color="auto"/>
            <w:bottom w:val="none" w:sz="0" w:space="0" w:color="auto"/>
            <w:right w:val="none" w:sz="0" w:space="0" w:color="auto"/>
          </w:divBdr>
          <w:divsChild>
            <w:div w:id="1562402708">
              <w:marLeft w:val="0"/>
              <w:marRight w:val="0"/>
              <w:marTop w:val="0"/>
              <w:marBottom w:val="0"/>
              <w:divBdr>
                <w:top w:val="none" w:sz="0" w:space="0" w:color="auto"/>
                <w:left w:val="none" w:sz="0" w:space="0" w:color="auto"/>
                <w:bottom w:val="none" w:sz="0" w:space="0" w:color="auto"/>
                <w:right w:val="none" w:sz="0" w:space="0" w:color="auto"/>
              </w:divBdr>
            </w:div>
          </w:divsChild>
        </w:div>
        <w:div w:id="1075275242">
          <w:marLeft w:val="0"/>
          <w:marRight w:val="0"/>
          <w:marTop w:val="0"/>
          <w:marBottom w:val="0"/>
          <w:divBdr>
            <w:top w:val="none" w:sz="0" w:space="0" w:color="auto"/>
            <w:left w:val="none" w:sz="0" w:space="0" w:color="auto"/>
            <w:bottom w:val="none" w:sz="0" w:space="0" w:color="auto"/>
            <w:right w:val="none" w:sz="0" w:space="0" w:color="auto"/>
          </w:divBdr>
          <w:divsChild>
            <w:div w:id="758906891">
              <w:marLeft w:val="0"/>
              <w:marRight w:val="0"/>
              <w:marTop w:val="0"/>
              <w:marBottom w:val="0"/>
              <w:divBdr>
                <w:top w:val="none" w:sz="0" w:space="0" w:color="auto"/>
                <w:left w:val="none" w:sz="0" w:space="0" w:color="auto"/>
                <w:bottom w:val="none" w:sz="0" w:space="0" w:color="auto"/>
                <w:right w:val="none" w:sz="0" w:space="0" w:color="auto"/>
              </w:divBdr>
            </w:div>
          </w:divsChild>
        </w:div>
        <w:div w:id="1203396245">
          <w:marLeft w:val="0"/>
          <w:marRight w:val="0"/>
          <w:marTop w:val="0"/>
          <w:marBottom w:val="0"/>
          <w:divBdr>
            <w:top w:val="none" w:sz="0" w:space="0" w:color="auto"/>
            <w:left w:val="none" w:sz="0" w:space="0" w:color="auto"/>
            <w:bottom w:val="none" w:sz="0" w:space="0" w:color="auto"/>
            <w:right w:val="none" w:sz="0" w:space="0" w:color="auto"/>
          </w:divBdr>
          <w:divsChild>
            <w:div w:id="1724716202">
              <w:marLeft w:val="0"/>
              <w:marRight w:val="0"/>
              <w:marTop w:val="0"/>
              <w:marBottom w:val="0"/>
              <w:divBdr>
                <w:top w:val="none" w:sz="0" w:space="0" w:color="auto"/>
                <w:left w:val="none" w:sz="0" w:space="0" w:color="auto"/>
                <w:bottom w:val="none" w:sz="0" w:space="0" w:color="auto"/>
                <w:right w:val="none" w:sz="0" w:space="0" w:color="auto"/>
              </w:divBdr>
            </w:div>
          </w:divsChild>
        </w:div>
        <w:div w:id="949509594">
          <w:marLeft w:val="0"/>
          <w:marRight w:val="0"/>
          <w:marTop w:val="0"/>
          <w:marBottom w:val="0"/>
          <w:divBdr>
            <w:top w:val="none" w:sz="0" w:space="0" w:color="auto"/>
            <w:left w:val="none" w:sz="0" w:space="0" w:color="auto"/>
            <w:bottom w:val="none" w:sz="0" w:space="0" w:color="auto"/>
            <w:right w:val="none" w:sz="0" w:space="0" w:color="auto"/>
          </w:divBdr>
          <w:divsChild>
            <w:div w:id="286083993">
              <w:marLeft w:val="0"/>
              <w:marRight w:val="0"/>
              <w:marTop w:val="0"/>
              <w:marBottom w:val="0"/>
              <w:divBdr>
                <w:top w:val="none" w:sz="0" w:space="0" w:color="auto"/>
                <w:left w:val="none" w:sz="0" w:space="0" w:color="auto"/>
                <w:bottom w:val="none" w:sz="0" w:space="0" w:color="auto"/>
                <w:right w:val="none" w:sz="0" w:space="0" w:color="auto"/>
              </w:divBdr>
            </w:div>
          </w:divsChild>
        </w:div>
        <w:div w:id="329530912">
          <w:marLeft w:val="0"/>
          <w:marRight w:val="0"/>
          <w:marTop w:val="0"/>
          <w:marBottom w:val="0"/>
          <w:divBdr>
            <w:top w:val="none" w:sz="0" w:space="0" w:color="auto"/>
            <w:left w:val="none" w:sz="0" w:space="0" w:color="auto"/>
            <w:bottom w:val="none" w:sz="0" w:space="0" w:color="auto"/>
            <w:right w:val="none" w:sz="0" w:space="0" w:color="auto"/>
          </w:divBdr>
          <w:divsChild>
            <w:div w:id="396705560">
              <w:marLeft w:val="0"/>
              <w:marRight w:val="0"/>
              <w:marTop w:val="0"/>
              <w:marBottom w:val="0"/>
              <w:divBdr>
                <w:top w:val="none" w:sz="0" w:space="0" w:color="auto"/>
                <w:left w:val="none" w:sz="0" w:space="0" w:color="auto"/>
                <w:bottom w:val="none" w:sz="0" w:space="0" w:color="auto"/>
                <w:right w:val="none" w:sz="0" w:space="0" w:color="auto"/>
              </w:divBdr>
            </w:div>
          </w:divsChild>
        </w:div>
        <w:div w:id="1877893182">
          <w:marLeft w:val="0"/>
          <w:marRight w:val="0"/>
          <w:marTop w:val="0"/>
          <w:marBottom w:val="0"/>
          <w:divBdr>
            <w:top w:val="none" w:sz="0" w:space="0" w:color="auto"/>
            <w:left w:val="none" w:sz="0" w:space="0" w:color="auto"/>
            <w:bottom w:val="none" w:sz="0" w:space="0" w:color="auto"/>
            <w:right w:val="none" w:sz="0" w:space="0" w:color="auto"/>
          </w:divBdr>
          <w:divsChild>
            <w:div w:id="1783451726">
              <w:marLeft w:val="0"/>
              <w:marRight w:val="0"/>
              <w:marTop w:val="0"/>
              <w:marBottom w:val="0"/>
              <w:divBdr>
                <w:top w:val="none" w:sz="0" w:space="0" w:color="auto"/>
                <w:left w:val="none" w:sz="0" w:space="0" w:color="auto"/>
                <w:bottom w:val="none" w:sz="0" w:space="0" w:color="auto"/>
                <w:right w:val="none" w:sz="0" w:space="0" w:color="auto"/>
              </w:divBdr>
            </w:div>
          </w:divsChild>
        </w:div>
        <w:div w:id="532613871">
          <w:marLeft w:val="0"/>
          <w:marRight w:val="0"/>
          <w:marTop w:val="0"/>
          <w:marBottom w:val="0"/>
          <w:divBdr>
            <w:top w:val="none" w:sz="0" w:space="0" w:color="auto"/>
            <w:left w:val="none" w:sz="0" w:space="0" w:color="auto"/>
            <w:bottom w:val="none" w:sz="0" w:space="0" w:color="auto"/>
            <w:right w:val="none" w:sz="0" w:space="0" w:color="auto"/>
          </w:divBdr>
          <w:divsChild>
            <w:div w:id="1489789049">
              <w:marLeft w:val="0"/>
              <w:marRight w:val="0"/>
              <w:marTop w:val="0"/>
              <w:marBottom w:val="0"/>
              <w:divBdr>
                <w:top w:val="none" w:sz="0" w:space="0" w:color="auto"/>
                <w:left w:val="none" w:sz="0" w:space="0" w:color="auto"/>
                <w:bottom w:val="none" w:sz="0" w:space="0" w:color="auto"/>
                <w:right w:val="none" w:sz="0" w:space="0" w:color="auto"/>
              </w:divBdr>
            </w:div>
          </w:divsChild>
        </w:div>
        <w:div w:id="1471706196">
          <w:marLeft w:val="0"/>
          <w:marRight w:val="0"/>
          <w:marTop w:val="0"/>
          <w:marBottom w:val="0"/>
          <w:divBdr>
            <w:top w:val="none" w:sz="0" w:space="0" w:color="auto"/>
            <w:left w:val="none" w:sz="0" w:space="0" w:color="auto"/>
            <w:bottom w:val="none" w:sz="0" w:space="0" w:color="auto"/>
            <w:right w:val="none" w:sz="0" w:space="0" w:color="auto"/>
          </w:divBdr>
          <w:divsChild>
            <w:div w:id="2111848782">
              <w:marLeft w:val="0"/>
              <w:marRight w:val="0"/>
              <w:marTop w:val="0"/>
              <w:marBottom w:val="0"/>
              <w:divBdr>
                <w:top w:val="none" w:sz="0" w:space="0" w:color="auto"/>
                <w:left w:val="none" w:sz="0" w:space="0" w:color="auto"/>
                <w:bottom w:val="none" w:sz="0" w:space="0" w:color="auto"/>
                <w:right w:val="none" w:sz="0" w:space="0" w:color="auto"/>
              </w:divBdr>
            </w:div>
          </w:divsChild>
        </w:div>
        <w:div w:id="136264988">
          <w:marLeft w:val="0"/>
          <w:marRight w:val="0"/>
          <w:marTop w:val="0"/>
          <w:marBottom w:val="0"/>
          <w:divBdr>
            <w:top w:val="none" w:sz="0" w:space="0" w:color="auto"/>
            <w:left w:val="none" w:sz="0" w:space="0" w:color="auto"/>
            <w:bottom w:val="none" w:sz="0" w:space="0" w:color="auto"/>
            <w:right w:val="none" w:sz="0" w:space="0" w:color="auto"/>
          </w:divBdr>
          <w:divsChild>
            <w:div w:id="1744908882">
              <w:marLeft w:val="0"/>
              <w:marRight w:val="0"/>
              <w:marTop w:val="0"/>
              <w:marBottom w:val="0"/>
              <w:divBdr>
                <w:top w:val="none" w:sz="0" w:space="0" w:color="auto"/>
                <w:left w:val="none" w:sz="0" w:space="0" w:color="auto"/>
                <w:bottom w:val="none" w:sz="0" w:space="0" w:color="auto"/>
                <w:right w:val="none" w:sz="0" w:space="0" w:color="auto"/>
              </w:divBdr>
            </w:div>
          </w:divsChild>
        </w:div>
        <w:div w:id="1915966046">
          <w:marLeft w:val="0"/>
          <w:marRight w:val="0"/>
          <w:marTop w:val="0"/>
          <w:marBottom w:val="0"/>
          <w:divBdr>
            <w:top w:val="none" w:sz="0" w:space="0" w:color="auto"/>
            <w:left w:val="none" w:sz="0" w:space="0" w:color="auto"/>
            <w:bottom w:val="none" w:sz="0" w:space="0" w:color="auto"/>
            <w:right w:val="none" w:sz="0" w:space="0" w:color="auto"/>
          </w:divBdr>
          <w:divsChild>
            <w:div w:id="5913727">
              <w:marLeft w:val="0"/>
              <w:marRight w:val="0"/>
              <w:marTop w:val="0"/>
              <w:marBottom w:val="0"/>
              <w:divBdr>
                <w:top w:val="none" w:sz="0" w:space="0" w:color="auto"/>
                <w:left w:val="none" w:sz="0" w:space="0" w:color="auto"/>
                <w:bottom w:val="none" w:sz="0" w:space="0" w:color="auto"/>
                <w:right w:val="none" w:sz="0" w:space="0" w:color="auto"/>
              </w:divBdr>
            </w:div>
          </w:divsChild>
        </w:div>
        <w:div w:id="475680563">
          <w:marLeft w:val="0"/>
          <w:marRight w:val="0"/>
          <w:marTop w:val="0"/>
          <w:marBottom w:val="0"/>
          <w:divBdr>
            <w:top w:val="none" w:sz="0" w:space="0" w:color="auto"/>
            <w:left w:val="none" w:sz="0" w:space="0" w:color="auto"/>
            <w:bottom w:val="none" w:sz="0" w:space="0" w:color="auto"/>
            <w:right w:val="none" w:sz="0" w:space="0" w:color="auto"/>
          </w:divBdr>
          <w:divsChild>
            <w:div w:id="219709083">
              <w:marLeft w:val="0"/>
              <w:marRight w:val="0"/>
              <w:marTop w:val="0"/>
              <w:marBottom w:val="0"/>
              <w:divBdr>
                <w:top w:val="none" w:sz="0" w:space="0" w:color="auto"/>
                <w:left w:val="none" w:sz="0" w:space="0" w:color="auto"/>
                <w:bottom w:val="none" w:sz="0" w:space="0" w:color="auto"/>
                <w:right w:val="none" w:sz="0" w:space="0" w:color="auto"/>
              </w:divBdr>
            </w:div>
          </w:divsChild>
        </w:div>
        <w:div w:id="516581043">
          <w:marLeft w:val="0"/>
          <w:marRight w:val="0"/>
          <w:marTop w:val="0"/>
          <w:marBottom w:val="0"/>
          <w:divBdr>
            <w:top w:val="none" w:sz="0" w:space="0" w:color="auto"/>
            <w:left w:val="none" w:sz="0" w:space="0" w:color="auto"/>
            <w:bottom w:val="none" w:sz="0" w:space="0" w:color="auto"/>
            <w:right w:val="none" w:sz="0" w:space="0" w:color="auto"/>
          </w:divBdr>
          <w:divsChild>
            <w:div w:id="61220003">
              <w:marLeft w:val="0"/>
              <w:marRight w:val="0"/>
              <w:marTop w:val="0"/>
              <w:marBottom w:val="0"/>
              <w:divBdr>
                <w:top w:val="none" w:sz="0" w:space="0" w:color="auto"/>
                <w:left w:val="none" w:sz="0" w:space="0" w:color="auto"/>
                <w:bottom w:val="none" w:sz="0" w:space="0" w:color="auto"/>
                <w:right w:val="none" w:sz="0" w:space="0" w:color="auto"/>
              </w:divBdr>
            </w:div>
          </w:divsChild>
        </w:div>
        <w:div w:id="804280550">
          <w:marLeft w:val="0"/>
          <w:marRight w:val="0"/>
          <w:marTop w:val="0"/>
          <w:marBottom w:val="0"/>
          <w:divBdr>
            <w:top w:val="none" w:sz="0" w:space="0" w:color="auto"/>
            <w:left w:val="none" w:sz="0" w:space="0" w:color="auto"/>
            <w:bottom w:val="none" w:sz="0" w:space="0" w:color="auto"/>
            <w:right w:val="none" w:sz="0" w:space="0" w:color="auto"/>
          </w:divBdr>
          <w:divsChild>
            <w:div w:id="444689503">
              <w:marLeft w:val="0"/>
              <w:marRight w:val="0"/>
              <w:marTop w:val="0"/>
              <w:marBottom w:val="0"/>
              <w:divBdr>
                <w:top w:val="none" w:sz="0" w:space="0" w:color="auto"/>
                <w:left w:val="none" w:sz="0" w:space="0" w:color="auto"/>
                <w:bottom w:val="none" w:sz="0" w:space="0" w:color="auto"/>
                <w:right w:val="none" w:sz="0" w:space="0" w:color="auto"/>
              </w:divBdr>
            </w:div>
          </w:divsChild>
        </w:div>
        <w:div w:id="802188258">
          <w:marLeft w:val="0"/>
          <w:marRight w:val="0"/>
          <w:marTop w:val="0"/>
          <w:marBottom w:val="0"/>
          <w:divBdr>
            <w:top w:val="none" w:sz="0" w:space="0" w:color="auto"/>
            <w:left w:val="none" w:sz="0" w:space="0" w:color="auto"/>
            <w:bottom w:val="none" w:sz="0" w:space="0" w:color="auto"/>
            <w:right w:val="none" w:sz="0" w:space="0" w:color="auto"/>
          </w:divBdr>
          <w:divsChild>
            <w:div w:id="39061072">
              <w:marLeft w:val="0"/>
              <w:marRight w:val="0"/>
              <w:marTop w:val="0"/>
              <w:marBottom w:val="0"/>
              <w:divBdr>
                <w:top w:val="none" w:sz="0" w:space="0" w:color="auto"/>
                <w:left w:val="none" w:sz="0" w:space="0" w:color="auto"/>
                <w:bottom w:val="none" w:sz="0" w:space="0" w:color="auto"/>
                <w:right w:val="none" w:sz="0" w:space="0" w:color="auto"/>
              </w:divBdr>
            </w:div>
          </w:divsChild>
        </w:div>
        <w:div w:id="956715908">
          <w:marLeft w:val="0"/>
          <w:marRight w:val="0"/>
          <w:marTop w:val="0"/>
          <w:marBottom w:val="0"/>
          <w:divBdr>
            <w:top w:val="none" w:sz="0" w:space="0" w:color="auto"/>
            <w:left w:val="none" w:sz="0" w:space="0" w:color="auto"/>
            <w:bottom w:val="none" w:sz="0" w:space="0" w:color="auto"/>
            <w:right w:val="none" w:sz="0" w:space="0" w:color="auto"/>
          </w:divBdr>
          <w:divsChild>
            <w:div w:id="1455096807">
              <w:marLeft w:val="0"/>
              <w:marRight w:val="0"/>
              <w:marTop w:val="0"/>
              <w:marBottom w:val="0"/>
              <w:divBdr>
                <w:top w:val="none" w:sz="0" w:space="0" w:color="auto"/>
                <w:left w:val="none" w:sz="0" w:space="0" w:color="auto"/>
                <w:bottom w:val="none" w:sz="0" w:space="0" w:color="auto"/>
                <w:right w:val="none" w:sz="0" w:space="0" w:color="auto"/>
              </w:divBdr>
            </w:div>
          </w:divsChild>
        </w:div>
        <w:div w:id="1724669757">
          <w:marLeft w:val="0"/>
          <w:marRight w:val="0"/>
          <w:marTop w:val="0"/>
          <w:marBottom w:val="0"/>
          <w:divBdr>
            <w:top w:val="none" w:sz="0" w:space="0" w:color="auto"/>
            <w:left w:val="none" w:sz="0" w:space="0" w:color="auto"/>
            <w:bottom w:val="none" w:sz="0" w:space="0" w:color="auto"/>
            <w:right w:val="none" w:sz="0" w:space="0" w:color="auto"/>
          </w:divBdr>
          <w:divsChild>
            <w:div w:id="114326793">
              <w:marLeft w:val="0"/>
              <w:marRight w:val="0"/>
              <w:marTop w:val="0"/>
              <w:marBottom w:val="0"/>
              <w:divBdr>
                <w:top w:val="none" w:sz="0" w:space="0" w:color="auto"/>
                <w:left w:val="none" w:sz="0" w:space="0" w:color="auto"/>
                <w:bottom w:val="none" w:sz="0" w:space="0" w:color="auto"/>
                <w:right w:val="none" w:sz="0" w:space="0" w:color="auto"/>
              </w:divBdr>
            </w:div>
          </w:divsChild>
        </w:div>
        <w:div w:id="598834542">
          <w:marLeft w:val="0"/>
          <w:marRight w:val="0"/>
          <w:marTop w:val="0"/>
          <w:marBottom w:val="0"/>
          <w:divBdr>
            <w:top w:val="none" w:sz="0" w:space="0" w:color="auto"/>
            <w:left w:val="none" w:sz="0" w:space="0" w:color="auto"/>
            <w:bottom w:val="none" w:sz="0" w:space="0" w:color="auto"/>
            <w:right w:val="none" w:sz="0" w:space="0" w:color="auto"/>
          </w:divBdr>
          <w:divsChild>
            <w:div w:id="1336420786">
              <w:marLeft w:val="0"/>
              <w:marRight w:val="0"/>
              <w:marTop w:val="0"/>
              <w:marBottom w:val="0"/>
              <w:divBdr>
                <w:top w:val="none" w:sz="0" w:space="0" w:color="auto"/>
                <w:left w:val="none" w:sz="0" w:space="0" w:color="auto"/>
                <w:bottom w:val="none" w:sz="0" w:space="0" w:color="auto"/>
                <w:right w:val="none" w:sz="0" w:space="0" w:color="auto"/>
              </w:divBdr>
            </w:div>
          </w:divsChild>
        </w:div>
        <w:div w:id="359362723">
          <w:marLeft w:val="0"/>
          <w:marRight w:val="0"/>
          <w:marTop w:val="0"/>
          <w:marBottom w:val="0"/>
          <w:divBdr>
            <w:top w:val="none" w:sz="0" w:space="0" w:color="auto"/>
            <w:left w:val="none" w:sz="0" w:space="0" w:color="auto"/>
            <w:bottom w:val="none" w:sz="0" w:space="0" w:color="auto"/>
            <w:right w:val="none" w:sz="0" w:space="0" w:color="auto"/>
          </w:divBdr>
          <w:divsChild>
            <w:div w:id="559292505">
              <w:marLeft w:val="0"/>
              <w:marRight w:val="0"/>
              <w:marTop w:val="0"/>
              <w:marBottom w:val="0"/>
              <w:divBdr>
                <w:top w:val="none" w:sz="0" w:space="0" w:color="auto"/>
                <w:left w:val="none" w:sz="0" w:space="0" w:color="auto"/>
                <w:bottom w:val="none" w:sz="0" w:space="0" w:color="auto"/>
                <w:right w:val="none" w:sz="0" w:space="0" w:color="auto"/>
              </w:divBdr>
            </w:div>
          </w:divsChild>
        </w:div>
        <w:div w:id="2004316830">
          <w:marLeft w:val="0"/>
          <w:marRight w:val="0"/>
          <w:marTop w:val="0"/>
          <w:marBottom w:val="0"/>
          <w:divBdr>
            <w:top w:val="none" w:sz="0" w:space="0" w:color="auto"/>
            <w:left w:val="none" w:sz="0" w:space="0" w:color="auto"/>
            <w:bottom w:val="none" w:sz="0" w:space="0" w:color="auto"/>
            <w:right w:val="none" w:sz="0" w:space="0" w:color="auto"/>
          </w:divBdr>
          <w:divsChild>
            <w:div w:id="1470317416">
              <w:marLeft w:val="0"/>
              <w:marRight w:val="0"/>
              <w:marTop w:val="0"/>
              <w:marBottom w:val="0"/>
              <w:divBdr>
                <w:top w:val="none" w:sz="0" w:space="0" w:color="auto"/>
                <w:left w:val="none" w:sz="0" w:space="0" w:color="auto"/>
                <w:bottom w:val="none" w:sz="0" w:space="0" w:color="auto"/>
                <w:right w:val="none" w:sz="0" w:space="0" w:color="auto"/>
              </w:divBdr>
            </w:div>
          </w:divsChild>
        </w:div>
        <w:div w:id="1678577235">
          <w:marLeft w:val="0"/>
          <w:marRight w:val="0"/>
          <w:marTop w:val="0"/>
          <w:marBottom w:val="0"/>
          <w:divBdr>
            <w:top w:val="none" w:sz="0" w:space="0" w:color="auto"/>
            <w:left w:val="none" w:sz="0" w:space="0" w:color="auto"/>
            <w:bottom w:val="none" w:sz="0" w:space="0" w:color="auto"/>
            <w:right w:val="none" w:sz="0" w:space="0" w:color="auto"/>
          </w:divBdr>
          <w:divsChild>
            <w:div w:id="813378706">
              <w:marLeft w:val="0"/>
              <w:marRight w:val="0"/>
              <w:marTop w:val="0"/>
              <w:marBottom w:val="0"/>
              <w:divBdr>
                <w:top w:val="none" w:sz="0" w:space="0" w:color="auto"/>
                <w:left w:val="none" w:sz="0" w:space="0" w:color="auto"/>
                <w:bottom w:val="none" w:sz="0" w:space="0" w:color="auto"/>
                <w:right w:val="none" w:sz="0" w:space="0" w:color="auto"/>
              </w:divBdr>
            </w:div>
          </w:divsChild>
        </w:div>
        <w:div w:id="1541161603">
          <w:marLeft w:val="0"/>
          <w:marRight w:val="0"/>
          <w:marTop w:val="0"/>
          <w:marBottom w:val="0"/>
          <w:divBdr>
            <w:top w:val="none" w:sz="0" w:space="0" w:color="auto"/>
            <w:left w:val="none" w:sz="0" w:space="0" w:color="auto"/>
            <w:bottom w:val="none" w:sz="0" w:space="0" w:color="auto"/>
            <w:right w:val="none" w:sz="0" w:space="0" w:color="auto"/>
          </w:divBdr>
          <w:divsChild>
            <w:div w:id="132019531">
              <w:marLeft w:val="0"/>
              <w:marRight w:val="0"/>
              <w:marTop w:val="0"/>
              <w:marBottom w:val="0"/>
              <w:divBdr>
                <w:top w:val="none" w:sz="0" w:space="0" w:color="auto"/>
                <w:left w:val="none" w:sz="0" w:space="0" w:color="auto"/>
                <w:bottom w:val="none" w:sz="0" w:space="0" w:color="auto"/>
                <w:right w:val="none" w:sz="0" w:space="0" w:color="auto"/>
              </w:divBdr>
            </w:div>
          </w:divsChild>
        </w:div>
        <w:div w:id="2022900426">
          <w:marLeft w:val="0"/>
          <w:marRight w:val="0"/>
          <w:marTop w:val="0"/>
          <w:marBottom w:val="0"/>
          <w:divBdr>
            <w:top w:val="none" w:sz="0" w:space="0" w:color="auto"/>
            <w:left w:val="none" w:sz="0" w:space="0" w:color="auto"/>
            <w:bottom w:val="none" w:sz="0" w:space="0" w:color="auto"/>
            <w:right w:val="none" w:sz="0" w:space="0" w:color="auto"/>
          </w:divBdr>
          <w:divsChild>
            <w:div w:id="769349511">
              <w:marLeft w:val="0"/>
              <w:marRight w:val="0"/>
              <w:marTop w:val="0"/>
              <w:marBottom w:val="0"/>
              <w:divBdr>
                <w:top w:val="none" w:sz="0" w:space="0" w:color="auto"/>
                <w:left w:val="none" w:sz="0" w:space="0" w:color="auto"/>
                <w:bottom w:val="none" w:sz="0" w:space="0" w:color="auto"/>
                <w:right w:val="none" w:sz="0" w:space="0" w:color="auto"/>
              </w:divBdr>
            </w:div>
          </w:divsChild>
        </w:div>
        <w:div w:id="7341934">
          <w:marLeft w:val="0"/>
          <w:marRight w:val="0"/>
          <w:marTop w:val="0"/>
          <w:marBottom w:val="0"/>
          <w:divBdr>
            <w:top w:val="none" w:sz="0" w:space="0" w:color="auto"/>
            <w:left w:val="none" w:sz="0" w:space="0" w:color="auto"/>
            <w:bottom w:val="none" w:sz="0" w:space="0" w:color="auto"/>
            <w:right w:val="none" w:sz="0" w:space="0" w:color="auto"/>
          </w:divBdr>
          <w:divsChild>
            <w:div w:id="91122422">
              <w:marLeft w:val="0"/>
              <w:marRight w:val="0"/>
              <w:marTop w:val="0"/>
              <w:marBottom w:val="0"/>
              <w:divBdr>
                <w:top w:val="none" w:sz="0" w:space="0" w:color="auto"/>
                <w:left w:val="none" w:sz="0" w:space="0" w:color="auto"/>
                <w:bottom w:val="none" w:sz="0" w:space="0" w:color="auto"/>
                <w:right w:val="none" w:sz="0" w:space="0" w:color="auto"/>
              </w:divBdr>
            </w:div>
          </w:divsChild>
        </w:div>
        <w:div w:id="440074363">
          <w:marLeft w:val="0"/>
          <w:marRight w:val="0"/>
          <w:marTop w:val="0"/>
          <w:marBottom w:val="0"/>
          <w:divBdr>
            <w:top w:val="none" w:sz="0" w:space="0" w:color="auto"/>
            <w:left w:val="none" w:sz="0" w:space="0" w:color="auto"/>
            <w:bottom w:val="none" w:sz="0" w:space="0" w:color="auto"/>
            <w:right w:val="none" w:sz="0" w:space="0" w:color="auto"/>
          </w:divBdr>
          <w:divsChild>
            <w:div w:id="97257046">
              <w:marLeft w:val="0"/>
              <w:marRight w:val="0"/>
              <w:marTop w:val="0"/>
              <w:marBottom w:val="0"/>
              <w:divBdr>
                <w:top w:val="none" w:sz="0" w:space="0" w:color="auto"/>
                <w:left w:val="none" w:sz="0" w:space="0" w:color="auto"/>
                <w:bottom w:val="none" w:sz="0" w:space="0" w:color="auto"/>
                <w:right w:val="none" w:sz="0" w:space="0" w:color="auto"/>
              </w:divBdr>
            </w:div>
          </w:divsChild>
        </w:div>
        <w:div w:id="1580556051">
          <w:marLeft w:val="0"/>
          <w:marRight w:val="0"/>
          <w:marTop w:val="0"/>
          <w:marBottom w:val="0"/>
          <w:divBdr>
            <w:top w:val="none" w:sz="0" w:space="0" w:color="auto"/>
            <w:left w:val="none" w:sz="0" w:space="0" w:color="auto"/>
            <w:bottom w:val="none" w:sz="0" w:space="0" w:color="auto"/>
            <w:right w:val="none" w:sz="0" w:space="0" w:color="auto"/>
          </w:divBdr>
          <w:divsChild>
            <w:div w:id="2016760950">
              <w:marLeft w:val="0"/>
              <w:marRight w:val="0"/>
              <w:marTop w:val="0"/>
              <w:marBottom w:val="0"/>
              <w:divBdr>
                <w:top w:val="none" w:sz="0" w:space="0" w:color="auto"/>
                <w:left w:val="none" w:sz="0" w:space="0" w:color="auto"/>
                <w:bottom w:val="none" w:sz="0" w:space="0" w:color="auto"/>
                <w:right w:val="none" w:sz="0" w:space="0" w:color="auto"/>
              </w:divBdr>
            </w:div>
          </w:divsChild>
        </w:div>
        <w:div w:id="1762986066">
          <w:marLeft w:val="0"/>
          <w:marRight w:val="0"/>
          <w:marTop w:val="0"/>
          <w:marBottom w:val="0"/>
          <w:divBdr>
            <w:top w:val="none" w:sz="0" w:space="0" w:color="auto"/>
            <w:left w:val="none" w:sz="0" w:space="0" w:color="auto"/>
            <w:bottom w:val="none" w:sz="0" w:space="0" w:color="auto"/>
            <w:right w:val="none" w:sz="0" w:space="0" w:color="auto"/>
          </w:divBdr>
          <w:divsChild>
            <w:div w:id="2123182783">
              <w:marLeft w:val="0"/>
              <w:marRight w:val="0"/>
              <w:marTop w:val="0"/>
              <w:marBottom w:val="0"/>
              <w:divBdr>
                <w:top w:val="none" w:sz="0" w:space="0" w:color="auto"/>
                <w:left w:val="none" w:sz="0" w:space="0" w:color="auto"/>
                <w:bottom w:val="none" w:sz="0" w:space="0" w:color="auto"/>
                <w:right w:val="none" w:sz="0" w:space="0" w:color="auto"/>
              </w:divBdr>
            </w:div>
          </w:divsChild>
        </w:div>
        <w:div w:id="2146004673">
          <w:marLeft w:val="0"/>
          <w:marRight w:val="0"/>
          <w:marTop w:val="0"/>
          <w:marBottom w:val="0"/>
          <w:divBdr>
            <w:top w:val="none" w:sz="0" w:space="0" w:color="auto"/>
            <w:left w:val="none" w:sz="0" w:space="0" w:color="auto"/>
            <w:bottom w:val="none" w:sz="0" w:space="0" w:color="auto"/>
            <w:right w:val="none" w:sz="0" w:space="0" w:color="auto"/>
          </w:divBdr>
          <w:divsChild>
            <w:div w:id="868222002">
              <w:marLeft w:val="0"/>
              <w:marRight w:val="0"/>
              <w:marTop w:val="0"/>
              <w:marBottom w:val="0"/>
              <w:divBdr>
                <w:top w:val="none" w:sz="0" w:space="0" w:color="auto"/>
                <w:left w:val="none" w:sz="0" w:space="0" w:color="auto"/>
                <w:bottom w:val="none" w:sz="0" w:space="0" w:color="auto"/>
                <w:right w:val="none" w:sz="0" w:space="0" w:color="auto"/>
              </w:divBdr>
            </w:div>
          </w:divsChild>
        </w:div>
        <w:div w:id="884828953">
          <w:marLeft w:val="0"/>
          <w:marRight w:val="0"/>
          <w:marTop w:val="0"/>
          <w:marBottom w:val="0"/>
          <w:divBdr>
            <w:top w:val="none" w:sz="0" w:space="0" w:color="auto"/>
            <w:left w:val="none" w:sz="0" w:space="0" w:color="auto"/>
            <w:bottom w:val="none" w:sz="0" w:space="0" w:color="auto"/>
            <w:right w:val="none" w:sz="0" w:space="0" w:color="auto"/>
          </w:divBdr>
          <w:divsChild>
            <w:div w:id="81723500">
              <w:marLeft w:val="0"/>
              <w:marRight w:val="0"/>
              <w:marTop w:val="0"/>
              <w:marBottom w:val="0"/>
              <w:divBdr>
                <w:top w:val="none" w:sz="0" w:space="0" w:color="auto"/>
                <w:left w:val="none" w:sz="0" w:space="0" w:color="auto"/>
                <w:bottom w:val="none" w:sz="0" w:space="0" w:color="auto"/>
                <w:right w:val="none" w:sz="0" w:space="0" w:color="auto"/>
              </w:divBdr>
            </w:div>
          </w:divsChild>
        </w:div>
        <w:div w:id="1259827653">
          <w:marLeft w:val="0"/>
          <w:marRight w:val="0"/>
          <w:marTop w:val="0"/>
          <w:marBottom w:val="0"/>
          <w:divBdr>
            <w:top w:val="none" w:sz="0" w:space="0" w:color="auto"/>
            <w:left w:val="none" w:sz="0" w:space="0" w:color="auto"/>
            <w:bottom w:val="none" w:sz="0" w:space="0" w:color="auto"/>
            <w:right w:val="none" w:sz="0" w:space="0" w:color="auto"/>
          </w:divBdr>
          <w:divsChild>
            <w:div w:id="1399861340">
              <w:marLeft w:val="0"/>
              <w:marRight w:val="0"/>
              <w:marTop w:val="0"/>
              <w:marBottom w:val="0"/>
              <w:divBdr>
                <w:top w:val="none" w:sz="0" w:space="0" w:color="auto"/>
                <w:left w:val="none" w:sz="0" w:space="0" w:color="auto"/>
                <w:bottom w:val="none" w:sz="0" w:space="0" w:color="auto"/>
                <w:right w:val="none" w:sz="0" w:space="0" w:color="auto"/>
              </w:divBdr>
            </w:div>
          </w:divsChild>
        </w:div>
        <w:div w:id="1160150045">
          <w:marLeft w:val="0"/>
          <w:marRight w:val="0"/>
          <w:marTop w:val="0"/>
          <w:marBottom w:val="0"/>
          <w:divBdr>
            <w:top w:val="none" w:sz="0" w:space="0" w:color="auto"/>
            <w:left w:val="none" w:sz="0" w:space="0" w:color="auto"/>
            <w:bottom w:val="none" w:sz="0" w:space="0" w:color="auto"/>
            <w:right w:val="none" w:sz="0" w:space="0" w:color="auto"/>
          </w:divBdr>
          <w:divsChild>
            <w:div w:id="1021198359">
              <w:marLeft w:val="0"/>
              <w:marRight w:val="0"/>
              <w:marTop w:val="0"/>
              <w:marBottom w:val="0"/>
              <w:divBdr>
                <w:top w:val="none" w:sz="0" w:space="0" w:color="auto"/>
                <w:left w:val="none" w:sz="0" w:space="0" w:color="auto"/>
                <w:bottom w:val="none" w:sz="0" w:space="0" w:color="auto"/>
                <w:right w:val="none" w:sz="0" w:space="0" w:color="auto"/>
              </w:divBdr>
            </w:div>
          </w:divsChild>
        </w:div>
        <w:div w:id="1095859201">
          <w:marLeft w:val="0"/>
          <w:marRight w:val="0"/>
          <w:marTop w:val="0"/>
          <w:marBottom w:val="0"/>
          <w:divBdr>
            <w:top w:val="none" w:sz="0" w:space="0" w:color="auto"/>
            <w:left w:val="none" w:sz="0" w:space="0" w:color="auto"/>
            <w:bottom w:val="none" w:sz="0" w:space="0" w:color="auto"/>
            <w:right w:val="none" w:sz="0" w:space="0" w:color="auto"/>
          </w:divBdr>
          <w:divsChild>
            <w:div w:id="77168540">
              <w:marLeft w:val="0"/>
              <w:marRight w:val="0"/>
              <w:marTop w:val="0"/>
              <w:marBottom w:val="0"/>
              <w:divBdr>
                <w:top w:val="none" w:sz="0" w:space="0" w:color="auto"/>
                <w:left w:val="none" w:sz="0" w:space="0" w:color="auto"/>
                <w:bottom w:val="none" w:sz="0" w:space="0" w:color="auto"/>
                <w:right w:val="none" w:sz="0" w:space="0" w:color="auto"/>
              </w:divBdr>
            </w:div>
          </w:divsChild>
        </w:div>
        <w:div w:id="1157265942">
          <w:marLeft w:val="0"/>
          <w:marRight w:val="0"/>
          <w:marTop w:val="0"/>
          <w:marBottom w:val="0"/>
          <w:divBdr>
            <w:top w:val="none" w:sz="0" w:space="0" w:color="auto"/>
            <w:left w:val="none" w:sz="0" w:space="0" w:color="auto"/>
            <w:bottom w:val="none" w:sz="0" w:space="0" w:color="auto"/>
            <w:right w:val="none" w:sz="0" w:space="0" w:color="auto"/>
          </w:divBdr>
          <w:divsChild>
            <w:div w:id="1530755449">
              <w:marLeft w:val="0"/>
              <w:marRight w:val="0"/>
              <w:marTop w:val="0"/>
              <w:marBottom w:val="0"/>
              <w:divBdr>
                <w:top w:val="none" w:sz="0" w:space="0" w:color="auto"/>
                <w:left w:val="none" w:sz="0" w:space="0" w:color="auto"/>
                <w:bottom w:val="none" w:sz="0" w:space="0" w:color="auto"/>
                <w:right w:val="none" w:sz="0" w:space="0" w:color="auto"/>
              </w:divBdr>
            </w:div>
          </w:divsChild>
        </w:div>
        <w:div w:id="1406801431">
          <w:marLeft w:val="0"/>
          <w:marRight w:val="0"/>
          <w:marTop w:val="0"/>
          <w:marBottom w:val="0"/>
          <w:divBdr>
            <w:top w:val="none" w:sz="0" w:space="0" w:color="auto"/>
            <w:left w:val="none" w:sz="0" w:space="0" w:color="auto"/>
            <w:bottom w:val="none" w:sz="0" w:space="0" w:color="auto"/>
            <w:right w:val="none" w:sz="0" w:space="0" w:color="auto"/>
          </w:divBdr>
          <w:divsChild>
            <w:div w:id="1250427589">
              <w:marLeft w:val="0"/>
              <w:marRight w:val="0"/>
              <w:marTop w:val="0"/>
              <w:marBottom w:val="0"/>
              <w:divBdr>
                <w:top w:val="none" w:sz="0" w:space="0" w:color="auto"/>
                <w:left w:val="none" w:sz="0" w:space="0" w:color="auto"/>
                <w:bottom w:val="none" w:sz="0" w:space="0" w:color="auto"/>
                <w:right w:val="none" w:sz="0" w:space="0" w:color="auto"/>
              </w:divBdr>
            </w:div>
          </w:divsChild>
        </w:div>
        <w:div w:id="1300066752">
          <w:marLeft w:val="0"/>
          <w:marRight w:val="0"/>
          <w:marTop w:val="0"/>
          <w:marBottom w:val="0"/>
          <w:divBdr>
            <w:top w:val="none" w:sz="0" w:space="0" w:color="auto"/>
            <w:left w:val="none" w:sz="0" w:space="0" w:color="auto"/>
            <w:bottom w:val="none" w:sz="0" w:space="0" w:color="auto"/>
            <w:right w:val="none" w:sz="0" w:space="0" w:color="auto"/>
          </w:divBdr>
          <w:divsChild>
            <w:div w:id="78217007">
              <w:marLeft w:val="0"/>
              <w:marRight w:val="0"/>
              <w:marTop w:val="0"/>
              <w:marBottom w:val="0"/>
              <w:divBdr>
                <w:top w:val="none" w:sz="0" w:space="0" w:color="auto"/>
                <w:left w:val="none" w:sz="0" w:space="0" w:color="auto"/>
                <w:bottom w:val="none" w:sz="0" w:space="0" w:color="auto"/>
                <w:right w:val="none" w:sz="0" w:space="0" w:color="auto"/>
              </w:divBdr>
            </w:div>
          </w:divsChild>
        </w:div>
        <w:div w:id="2082748202">
          <w:marLeft w:val="0"/>
          <w:marRight w:val="0"/>
          <w:marTop w:val="0"/>
          <w:marBottom w:val="0"/>
          <w:divBdr>
            <w:top w:val="none" w:sz="0" w:space="0" w:color="auto"/>
            <w:left w:val="none" w:sz="0" w:space="0" w:color="auto"/>
            <w:bottom w:val="none" w:sz="0" w:space="0" w:color="auto"/>
            <w:right w:val="none" w:sz="0" w:space="0" w:color="auto"/>
          </w:divBdr>
          <w:divsChild>
            <w:div w:id="263344090">
              <w:marLeft w:val="0"/>
              <w:marRight w:val="0"/>
              <w:marTop w:val="0"/>
              <w:marBottom w:val="0"/>
              <w:divBdr>
                <w:top w:val="none" w:sz="0" w:space="0" w:color="auto"/>
                <w:left w:val="none" w:sz="0" w:space="0" w:color="auto"/>
                <w:bottom w:val="none" w:sz="0" w:space="0" w:color="auto"/>
                <w:right w:val="none" w:sz="0" w:space="0" w:color="auto"/>
              </w:divBdr>
            </w:div>
          </w:divsChild>
        </w:div>
        <w:div w:id="904805033">
          <w:marLeft w:val="0"/>
          <w:marRight w:val="0"/>
          <w:marTop w:val="0"/>
          <w:marBottom w:val="0"/>
          <w:divBdr>
            <w:top w:val="none" w:sz="0" w:space="0" w:color="auto"/>
            <w:left w:val="none" w:sz="0" w:space="0" w:color="auto"/>
            <w:bottom w:val="none" w:sz="0" w:space="0" w:color="auto"/>
            <w:right w:val="none" w:sz="0" w:space="0" w:color="auto"/>
          </w:divBdr>
          <w:divsChild>
            <w:div w:id="1850754861">
              <w:marLeft w:val="0"/>
              <w:marRight w:val="0"/>
              <w:marTop w:val="0"/>
              <w:marBottom w:val="0"/>
              <w:divBdr>
                <w:top w:val="none" w:sz="0" w:space="0" w:color="auto"/>
                <w:left w:val="none" w:sz="0" w:space="0" w:color="auto"/>
                <w:bottom w:val="none" w:sz="0" w:space="0" w:color="auto"/>
                <w:right w:val="none" w:sz="0" w:space="0" w:color="auto"/>
              </w:divBdr>
            </w:div>
          </w:divsChild>
        </w:div>
        <w:div w:id="1495221711">
          <w:marLeft w:val="0"/>
          <w:marRight w:val="0"/>
          <w:marTop w:val="0"/>
          <w:marBottom w:val="0"/>
          <w:divBdr>
            <w:top w:val="none" w:sz="0" w:space="0" w:color="auto"/>
            <w:left w:val="none" w:sz="0" w:space="0" w:color="auto"/>
            <w:bottom w:val="none" w:sz="0" w:space="0" w:color="auto"/>
            <w:right w:val="none" w:sz="0" w:space="0" w:color="auto"/>
          </w:divBdr>
          <w:divsChild>
            <w:div w:id="7292181">
              <w:marLeft w:val="0"/>
              <w:marRight w:val="0"/>
              <w:marTop w:val="0"/>
              <w:marBottom w:val="0"/>
              <w:divBdr>
                <w:top w:val="none" w:sz="0" w:space="0" w:color="auto"/>
                <w:left w:val="none" w:sz="0" w:space="0" w:color="auto"/>
                <w:bottom w:val="none" w:sz="0" w:space="0" w:color="auto"/>
                <w:right w:val="none" w:sz="0" w:space="0" w:color="auto"/>
              </w:divBdr>
            </w:div>
          </w:divsChild>
        </w:div>
        <w:div w:id="693772732">
          <w:marLeft w:val="0"/>
          <w:marRight w:val="0"/>
          <w:marTop w:val="0"/>
          <w:marBottom w:val="0"/>
          <w:divBdr>
            <w:top w:val="none" w:sz="0" w:space="0" w:color="auto"/>
            <w:left w:val="none" w:sz="0" w:space="0" w:color="auto"/>
            <w:bottom w:val="none" w:sz="0" w:space="0" w:color="auto"/>
            <w:right w:val="none" w:sz="0" w:space="0" w:color="auto"/>
          </w:divBdr>
          <w:divsChild>
            <w:div w:id="797139265">
              <w:marLeft w:val="0"/>
              <w:marRight w:val="0"/>
              <w:marTop w:val="0"/>
              <w:marBottom w:val="0"/>
              <w:divBdr>
                <w:top w:val="none" w:sz="0" w:space="0" w:color="auto"/>
                <w:left w:val="none" w:sz="0" w:space="0" w:color="auto"/>
                <w:bottom w:val="none" w:sz="0" w:space="0" w:color="auto"/>
                <w:right w:val="none" w:sz="0" w:space="0" w:color="auto"/>
              </w:divBdr>
            </w:div>
          </w:divsChild>
        </w:div>
        <w:div w:id="404501063">
          <w:marLeft w:val="0"/>
          <w:marRight w:val="0"/>
          <w:marTop w:val="0"/>
          <w:marBottom w:val="0"/>
          <w:divBdr>
            <w:top w:val="none" w:sz="0" w:space="0" w:color="auto"/>
            <w:left w:val="none" w:sz="0" w:space="0" w:color="auto"/>
            <w:bottom w:val="none" w:sz="0" w:space="0" w:color="auto"/>
            <w:right w:val="none" w:sz="0" w:space="0" w:color="auto"/>
          </w:divBdr>
          <w:divsChild>
            <w:div w:id="700937031">
              <w:marLeft w:val="0"/>
              <w:marRight w:val="0"/>
              <w:marTop w:val="0"/>
              <w:marBottom w:val="0"/>
              <w:divBdr>
                <w:top w:val="none" w:sz="0" w:space="0" w:color="auto"/>
                <w:left w:val="none" w:sz="0" w:space="0" w:color="auto"/>
                <w:bottom w:val="none" w:sz="0" w:space="0" w:color="auto"/>
                <w:right w:val="none" w:sz="0" w:space="0" w:color="auto"/>
              </w:divBdr>
            </w:div>
          </w:divsChild>
        </w:div>
        <w:div w:id="932512875">
          <w:marLeft w:val="0"/>
          <w:marRight w:val="0"/>
          <w:marTop w:val="0"/>
          <w:marBottom w:val="0"/>
          <w:divBdr>
            <w:top w:val="none" w:sz="0" w:space="0" w:color="auto"/>
            <w:left w:val="none" w:sz="0" w:space="0" w:color="auto"/>
            <w:bottom w:val="none" w:sz="0" w:space="0" w:color="auto"/>
            <w:right w:val="none" w:sz="0" w:space="0" w:color="auto"/>
          </w:divBdr>
          <w:divsChild>
            <w:div w:id="1570192903">
              <w:marLeft w:val="0"/>
              <w:marRight w:val="0"/>
              <w:marTop w:val="0"/>
              <w:marBottom w:val="0"/>
              <w:divBdr>
                <w:top w:val="none" w:sz="0" w:space="0" w:color="auto"/>
                <w:left w:val="none" w:sz="0" w:space="0" w:color="auto"/>
                <w:bottom w:val="none" w:sz="0" w:space="0" w:color="auto"/>
                <w:right w:val="none" w:sz="0" w:space="0" w:color="auto"/>
              </w:divBdr>
            </w:div>
          </w:divsChild>
        </w:div>
        <w:div w:id="444038721">
          <w:marLeft w:val="0"/>
          <w:marRight w:val="0"/>
          <w:marTop w:val="0"/>
          <w:marBottom w:val="0"/>
          <w:divBdr>
            <w:top w:val="none" w:sz="0" w:space="0" w:color="auto"/>
            <w:left w:val="none" w:sz="0" w:space="0" w:color="auto"/>
            <w:bottom w:val="none" w:sz="0" w:space="0" w:color="auto"/>
            <w:right w:val="none" w:sz="0" w:space="0" w:color="auto"/>
          </w:divBdr>
          <w:divsChild>
            <w:div w:id="39285925">
              <w:marLeft w:val="0"/>
              <w:marRight w:val="0"/>
              <w:marTop w:val="0"/>
              <w:marBottom w:val="0"/>
              <w:divBdr>
                <w:top w:val="none" w:sz="0" w:space="0" w:color="auto"/>
                <w:left w:val="none" w:sz="0" w:space="0" w:color="auto"/>
                <w:bottom w:val="none" w:sz="0" w:space="0" w:color="auto"/>
                <w:right w:val="none" w:sz="0" w:space="0" w:color="auto"/>
              </w:divBdr>
            </w:div>
          </w:divsChild>
        </w:div>
        <w:div w:id="629941121">
          <w:marLeft w:val="0"/>
          <w:marRight w:val="0"/>
          <w:marTop w:val="0"/>
          <w:marBottom w:val="0"/>
          <w:divBdr>
            <w:top w:val="none" w:sz="0" w:space="0" w:color="auto"/>
            <w:left w:val="none" w:sz="0" w:space="0" w:color="auto"/>
            <w:bottom w:val="none" w:sz="0" w:space="0" w:color="auto"/>
            <w:right w:val="none" w:sz="0" w:space="0" w:color="auto"/>
          </w:divBdr>
          <w:divsChild>
            <w:div w:id="685403395">
              <w:marLeft w:val="0"/>
              <w:marRight w:val="0"/>
              <w:marTop w:val="0"/>
              <w:marBottom w:val="0"/>
              <w:divBdr>
                <w:top w:val="none" w:sz="0" w:space="0" w:color="auto"/>
                <w:left w:val="none" w:sz="0" w:space="0" w:color="auto"/>
                <w:bottom w:val="none" w:sz="0" w:space="0" w:color="auto"/>
                <w:right w:val="none" w:sz="0" w:space="0" w:color="auto"/>
              </w:divBdr>
            </w:div>
          </w:divsChild>
        </w:div>
        <w:div w:id="304700523">
          <w:marLeft w:val="0"/>
          <w:marRight w:val="0"/>
          <w:marTop w:val="0"/>
          <w:marBottom w:val="0"/>
          <w:divBdr>
            <w:top w:val="none" w:sz="0" w:space="0" w:color="auto"/>
            <w:left w:val="none" w:sz="0" w:space="0" w:color="auto"/>
            <w:bottom w:val="none" w:sz="0" w:space="0" w:color="auto"/>
            <w:right w:val="none" w:sz="0" w:space="0" w:color="auto"/>
          </w:divBdr>
          <w:divsChild>
            <w:div w:id="754590499">
              <w:marLeft w:val="0"/>
              <w:marRight w:val="0"/>
              <w:marTop w:val="0"/>
              <w:marBottom w:val="0"/>
              <w:divBdr>
                <w:top w:val="none" w:sz="0" w:space="0" w:color="auto"/>
                <w:left w:val="none" w:sz="0" w:space="0" w:color="auto"/>
                <w:bottom w:val="none" w:sz="0" w:space="0" w:color="auto"/>
                <w:right w:val="none" w:sz="0" w:space="0" w:color="auto"/>
              </w:divBdr>
            </w:div>
          </w:divsChild>
        </w:div>
        <w:div w:id="206307438">
          <w:marLeft w:val="0"/>
          <w:marRight w:val="0"/>
          <w:marTop w:val="0"/>
          <w:marBottom w:val="0"/>
          <w:divBdr>
            <w:top w:val="none" w:sz="0" w:space="0" w:color="auto"/>
            <w:left w:val="none" w:sz="0" w:space="0" w:color="auto"/>
            <w:bottom w:val="none" w:sz="0" w:space="0" w:color="auto"/>
            <w:right w:val="none" w:sz="0" w:space="0" w:color="auto"/>
          </w:divBdr>
          <w:divsChild>
            <w:div w:id="573704359">
              <w:marLeft w:val="0"/>
              <w:marRight w:val="0"/>
              <w:marTop w:val="0"/>
              <w:marBottom w:val="0"/>
              <w:divBdr>
                <w:top w:val="none" w:sz="0" w:space="0" w:color="auto"/>
                <w:left w:val="none" w:sz="0" w:space="0" w:color="auto"/>
                <w:bottom w:val="none" w:sz="0" w:space="0" w:color="auto"/>
                <w:right w:val="none" w:sz="0" w:space="0" w:color="auto"/>
              </w:divBdr>
            </w:div>
          </w:divsChild>
        </w:div>
        <w:div w:id="1538348456">
          <w:marLeft w:val="0"/>
          <w:marRight w:val="0"/>
          <w:marTop w:val="0"/>
          <w:marBottom w:val="0"/>
          <w:divBdr>
            <w:top w:val="none" w:sz="0" w:space="0" w:color="auto"/>
            <w:left w:val="none" w:sz="0" w:space="0" w:color="auto"/>
            <w:bottom w:val="none" w:sz="0" w:space="0" w:color="auto"/>
            <w:right w:val="none" w:sz="0" w:space="0" w:color="auto"/>
          </w:divBdr>
          <w:divsChild>
            <w:div w:id="1974745695">
              <w:marLeft w:val="0"/>
              <w:marRight w:val="0"/>
              <w:marTop w:val="0"/>
              <w:marBottom w:val="0"/>
              <w:divBdr>
                <w:top w:val="none" w:sz="0" w:space="0" w:color="auto"/>
                <w:left w:val="none" w:sz="0" w:space="0" w:color="auto"/>
                <w:bottom w:val="none" w:sz="0" w:space="0" w:color="auto"/>
                <w:right w:val="none" w:sz="0" w:space="0" w:color="auto"/>
              </w:divBdr>
            </w:div>
          </w:divsChild>
        </w:div>
        <w:div w:id="297147625">
          <w:marLeft w:val="0"/>
          <w:marRight w:val="0"/>
          <w:marTop w:val="0"/>
          <w:marBottom w:val="0"/>
          <w:divBdr>
            <w:top w:val="none" w:sz="0" w:space="0" w:color="auto"/>
            <w:left w:val="none" w:sz="0" w:space="0" w:color="auto"/>
            <w:bottom w:val="none" w:sz="0" w:space="0" w:color="auto"/>
            <w:right w:val="none" w:sz="0" w:space="0" w:color="auto"/>
          </w:divBdr>
          <w:divsChild>
            <w:div w:id="974869594">
              <w:marLeft w:val="0"/>
              <w:marRight w:val="0"/>
              <w:marTop w:val="0"/>
              <w:marBottom w:val="0"/>
              <w:divBdr>
                <w:top w:val="none" w:sz="0" w:space="0" w:color="auto"/>
                <w:left w:val="none" w:sz="0" w:space="0" w:color="auto"/>
                <w:bottom w:val="none" w:sz="0" w:space="0" w:color="auto"/>
                <w:right w:val="none" w:sz="0" w:space="0" w:color="auto"/>
              </w:divBdr>
            </w:div>
          </w:divsChild>
        </w:div>
        <w:div w:id="1488933689">
          <w:marLeft w:val="0"/>
          <w:marRight w:val="0"/>
          <w:marTop w:val="0"/>
          <w:marBottom w:val="0"/>
          <w:divBdr>
            <w:top w:val="none" w:sz="0" w:space="0" w:color="auto"/>
            <w:left w:val="none" w:sz="0" w:space="0" w:color="auto"/>
            <w:bottom w:val="none" w:sz="0" w:space="0" w:color="auto"/>
            <w:right w:val="none" w:sz="0" w:space="0" w:color="auto"/>
          </w:divBdr>
          <w:divsChild>
            <w:div w:id="854004726">
              <w:marLeft w:val="0"/>
              <w:marRight w:val="0"/>
              <w:marTop w:val="0"/>
              <w:marBottom w:val="0"/>
              <w:divBdr>
                <w:top w:val="none" w:sz="0" w:space="0" w:color="auto"/>
                <w:left w:val="none" w:sz="0" w:space="0" w:color="auto"/>
                <w:bottom w:val="none" w:sz="0" w:space="0" w:color="auto"/>
                <w:right w:val="none" w:sz="0" w:space="0" w:color="auto"/>
              </w:divBdr>
            </w:div>
          </w:divsChild>
        </w:div>
        <w:div w:id="1998919527">
          <w:marLeft w:val="0"/>
          <w:marRight w:val="0"/>
          <w:marTop w:val="0"/>
          <w:marBottom w:val="0"/>
          <w:divBdr>
            <w:top w:val="none" w:sz="0" w:space="0" w:color="auto"/>
            <w:left w:val="none" w:sz="0" w:space="0" w:color="auto"/>
            <w:bottom w:val="none" w:sz="0" w:space="0" w:color="auto"/>
            <w:right w:val="none" w:sz="0" w:space="0" w:color="auto"/>
          </w:divBdr>
          <w:divsChild>
            <w:div w:id="1698194562">
              <w:marLeft w:val="0"/>
              <w:marRight w:val="0"/>
              <w:marTop w:val="0"/>
              <w:marBottom w:val="0"/>
              <w:divBdr>
                <w:top w:val="none" w:sz="0" w:space="0" w:color="auto"/>
                <w:left w:val="none" w:sz="0" w:space="0" w:color="auto"/>
                <w:bottom w:val="none" w:sz="0" w:space="0" w:color="auto"/>
                <w:right w:val="none" w:sz="0" w:space="0" w:color="auto"/>
              </w:divBdr>
            </w:div>
          </w:divsChild>
        </w:div>
        <w:div w:id="130875748">
          <w:marLeft w:val="0"/>
          <w:marRight w:val="0"/>
          <w:marTop w:val="0"/>
          <w:marBottom w:val="0"/>
          <w:divBdr>
            <w:top w:val="none" w:sz="0" w:space="0" w:color="auto"/>
            <w:left w:val="none" w:sz="0" w:space="0" w:color="auto"/>
            <w:bottom w:val="none" w:sz="0" w:space="0" w:color="auto"/>
            <w:right w:val="none" w:sz="0" w:space="0" w:color="auto"/>
          </w:divBdr>
          <w:divsChild>
            <w:div w:id="1547137743">
              <w:marLeft w:val="0"/>
              <w:marRight w:val="0"/>
              <w:marTop w:val="0"/>
              <w:marBottom w:val="0"/>
              <w:divBdr>
                <w:top w:val="none" w:sz="0" w:space="0" w:color="auto"/>
                <w:left w:val="none" w:sz="0" w:space="0" w:color="auto"/>
                <w:bottom w:val="none" w:sz="0" w:space="0" w:color="auto"/>
                <w:right w:val="none" w:sz="0" w:space="0" w:color="auto"/>
              </w:divBdr>
            </w:div>
          </w:divsChild>
        </w:div>
        <w:div w:id="327636624">
          <w:marLeft w:val="0"/>
          <w:marRight w:val="0"/>
          <w:marTop w:val="0"/>
          <w:marBottom w:val="0"/>
          <w:divBdr>
            <w:top w:val="none" w:sz="0" w:space="0" w:color="auto"/>
            <w:left w:val="none" w:sz="0" w:space="0" w:color="auto"/>
            <w:bottom w:val="none" w:sz="0" w:space="0" w:color="auto"/>
            <w:right w:val="none" w:sz="0" w:space="0" w:color="auto"/>
          </w:divBdr>
          <w:divsChild>
            <w:div w:id="1626541004">
              <w:marLeft w:val="0"/>
              <w:marRight w:val="0"/>
              <w:marTop w:val="0"/>
              <w:marBottom w:val="0"/>
              <w:divBdr>
                <w:top w:val="none" w:sz="0" w:space="0" w:color="auto"/>
                <w:left w:val="none" w:sz="0" w:space="0" w:color="auto"/>
                <w:bottom w:val="none" w:sz="0" w:space="0" w:color="auto"/>
                <w:right w:val="none" w:sz="0" w:space="0" w:color="auto"/>
              </w:divBdr>
            </w:div>
          </w:divsChild>
        </w:div>
        <w:div w:id="501161922">
          <w:marLeft w:val="0"/>
          <w:marRight w:val="0"/>
          <w:marTop w:val="0"/>
          <w:marBottom w:val="0"/>
          <w:divBdr>
            <w:top w:val="none" w:sz="0" w:space="0" w:color="auto"/>
            <w:left w:val="none" w:sz="0" w:space="0" w:color="auto"/>
            <w:bottom w:val="none" w:sz="0" w:space="0" w:color="auto"/>
            <w:right w:val="none" w:sz="0" w:space="0" w:color="auto"/>
          </w:divBdr>
          <w:divsChild>
            <w:div w:id="69236341">
              <w:marLeft w:val="0"/>
              <w:marRight w:val="0"/>
              <w:marTop w:val="0"/>
              <w:marBottom w:val="0"/>
              <w:divBdr>
                <w:top w:val="none" w:sz="0" w:space="0" w:color="auto"/>
                <w:left w:val="none" w:sz="0" w:space="0" w:color="auto"/>
                <w:bottom w:val="none" w:sz="0" w:space="0" w:color="auto"/>
                <w:right w:val="none" w:sz="0" w:space="0" w:color="auto"/>
              </w:divBdr>
            </w:div>
          </w:divsChild>
        </w:div>
        <w:div w:id="492524965">
          <w:marLeft w:val="0"/>
          <w:marRight w:val="0"/>
          <w:marTop w:val="0"/>
          <w:marBottom w:val="0"/>
          <w:divBdr>
            <w:top w:val="none" w:sz="0" w:space="0" w:color="auto"/>
            <w:left w:val="none" w:sz="0" w:space="0" w:color="auto"/>
            <w:bottom w:val="none" w:sz="0" w:space="0" w:color="auto"/>
            <w:right w:val="none" w:sz="0" w:space="0" w:color="auto"/>
          </w:divBdr>
          <w:divsChild>
            <w:div w:id="1644580723">
              <w:marLeft w:val="0"/>
              <w:marRight w:val="0"/>
              <w:marTop w:val="0"/>
              <w:marBottom w:val="0"/>
              <w:divBdr>
                <w:top w:val="none" w:sz="0" w:space="0" w:color="auto"/>
                <w:left w:val="none" w:sz="0" w:space="0" w:color="auto"/>
                <w:bottom w:val="none" w:sz="0" w:space="0" w:color="auto"/>
                <w:right w:val="none" w:sz="0" w:space="0" w:color="auto"/>
              </w:divBdr>
            </w:div>
          </w:divsChild>
        </w:div>
        <w:div w:id="561865243">
          <w:marLeft w:val="0"/>
          <w:marRight w:val="0"/>
          <w:marTop w:val="0"/>
          <w:marBottom w:val="0"/>
          <w:divBdr>
            <w:top w:val="none" w:sz="0" w:space="0" w:color="auto"/>
            <w:left w:val="none" w:sz="0" w:space="0" w:color="auto"/>
            <w:bottom w:val="none" w:sz="0" w:space="0" w:color="auto"/>
            <w:right w:val="none" w:sz="0" w:space="0" w:color="auto"/>
          </w:divBdr>
          <w:divsChild>
            <w:div w:id="959452729">
              <w:marLeft w:val="0"/>
              <w:marRight w:val="0"/>
              <w:marTop w:val="0"/>
              <w:marBottom w:val="0"/>
              <w:divBdr>
                <w:top w:val="none" w:sz="0" w:space="0" w:color="auto"/>
                <w:left w:val="none" w:sz="0" w:space="0" w:color="auto"/>
                <w:bottom w:val="none" w:sz="0" w:space="0" w:color="auto"/>
                <w:right w:val="none" w:sz="0" w:space="0" w:color="auto"/>
              </w:divBdr>
            </w:div>
          </w:divsChild>
        </w:div>
        <w:div w:id="1338845345">
          <w:marLeft w:val="0"/>
          <w:marRight w:val="0"/>
          <w:marTop w:val="0"/>
          <w:marBottom w:val="0"/>
          <w:divBdr>
            <w:top w:val="none" w:sz="0" w:space="0" w:color="auto"/>
            <w:left w:val="none" w:sz="0" w:space="0" w:color="auto"/>
            <w:bottom w:val="none" w:sz="0" w:space="0" w:color="auto"/>
            <w:right w:val="none" w:sz="0" w:space="0" w:color="auto"/>
          </w:divBdr>
          <w:divsChild>
            <w:div w:id="1495023509">
              <w:marLeft w:val="0"/>
              <w:marRight w:val="0"/>
              <w:marTop w:val="0"/>
              <w:marBottom w:val="0"/>
              <w:divBdr>
                <w:top w:val="none" w:sz="0" w:space="0" w:color="auto"/>
                <w:left w:val="none" w:sz="0" w:space="0" w:color="auto"/>
                <w:bottom w:val="none" w:sz="0" w:space="0" w:color="auto"/>
                <w:right w:val="none" w:sz="0" w:space="0" w:color="auto"/>
              </w:divBdr>
            </w:div>
          </w:divsChild>
        </w:div>
        <w:div w:id="432668848">
          <w:marLeft w:val="0"/>
          <w:marRight w:val="0"/>
          <w:marTop w:val="0"/>
          <w:marBottom w:val="0"/>
          <w:divBdr>
            <w:top w:val="none" w:sz="0" w:space="0" w:color="auto"/>
            <w:left w:val="none" w:sz="0" w:space="0" w:color="auto"/>
            <w:bottom w:val="none" w:sz="0" w:space="0" w:color="auto"/>
            <w:right w:val="none" w:sz="0" w:space="0" w:color="auto"/>
          </w:divBdr>
          <w:divsChild>
            <w:div w:id="865755821">
              <w:marLeft w:val="0"/>
              <w:marRight w:val="0"/>
              <w:marTop w:val="0"/>
              <w:marBottom w:val="0"/>
              <w:divBdr>
                <w:top w:val="none" w:sz="0" w:space="0" w:color="auto"/>
                <w:left w:val="none" w:sz="0" w:space="0" w:color="auto"/>
                <w:bottom w:val="none" w:sz="0" w:space="0" w:color="auto"/>
                <w:right w:val="none" w:sz="0" w:space="0" w:color="auto"/>
              </w:divBdr>
            </w:div>
          </w:divsChild>
        </w:div>
        <w:div w:id="629669933">
          <w:marLeft w:val="0"/>
          <w:marRight w:val="0"/>
          <w:marTop w:val="0"/>
          <w:marBottom w:val="0"/>
          <w:divBdr>
            <w:top w:val="none" w:sz="0" w:space="0" w:color="auto"/>
            <w:left w:val="none" w:sz="0" w:space="0" w:color="auto"/>
            <w:bottom w:val="none" w:sz="0" w:space="0" w:color="auto"/>
            <w:right w:val="none" w:sz="0" w:space="0" w:color="auto"/>
          </w:divBdr>
          <w:divsChild>
            <w:div w:id="1514957275">
              <w:marLeft w:val="0"/>
              <w:marRight w:val="0"/>
              <w:marTop w:val="0"/>
              <w:marBottom w:val="0"/>
              <w:divBdr>
                <w:top w:val="none" w:sz="0" w:space="0" w:color="auto"/>
                <w:left w:val="none" w:sz="0" w:space="0" w:color="auto"/>
                <w:bottom w:val="none" w:sz="0" w:space="0" w:color="auto"/>
                <w:right w:val="none" w:sz="0" w:space="0" w:color="auto"/>
              </w:divBdr>
            </w:div>
          </w:divsChild>
        </w:div>
        <w:div w:id="983697646">
          <w:marLeft w:val="0"/>
          <w:marRight w:val="0"/>
          <w:marTop w:val="0"/>
          <w:marBottom w:val="0"/>
          <w:divBdr>
            <w:top w:val="none" w:sz="0" w:space="0" w:color="auto"/>
            <w:left w:val="none" w:sz="0" w:space="0" w:color="auto"/>
            <w:bottom w:val="none" w:sz="0" w:space="0" w:color="auto"/>
            <w:right w:val="none" w:sz="0" w:space="0" w:color="auto"/>
          </w:divBdr>
          <w:divsChild>
            <w:div w:id="1142389263">
              <w:marLeft w:val="0"/>
              <w:marRight w:val="0"/>
              <w:marTop w:val="0"/>
              <w:marBottom w:val="0"/>
              <w:divBdr>
                <w:top w:val="none" w:sz="0" w:space="0" w:color="auto"/>
                <w:left w:val="none" w:sz="0" w:space="0" w:color="auto"/>
                <w:bottom w:val="none" w:sz="0" w:space="0" w:color="auto"/>
                <w:right w:val="none" w:sz="0" w:space="0" w:color="auto"/>
              </w:divBdr>
            </w:div>
          </w:divsChild>
        </w:div>
        <w:div w:id="1972009535">
          <w:marLeft w:val="0"/>
          <w:marRight w:val="0"/>
          <w:marTop w:val="0"/>
          <w:marBottom w:val="0"/>
          <w:divBdr>
            <w:top w:val="none" w:sz="0" w:space="0" w:color="auto"/>
            <w:left w:val="none" w:sz="0" w:space="0" w:color="auto"/>
            <w:bottom w:val="none" w:sz="0" w:space="0" w:color="auto"/>
            <w:right w:val="none" w:sz="0" w:space="0" w:color="auto"/>
          </w:divBdr>
          <w:divsChild>
            <w:div w:id="612984358">
              <w:marLeft w:val="0"/>
              <w:marRight w:val="0"/>
              <w:marTop w:val="0"/>
              <w:marBottom w:val="0"/>
              <w:divBdr>
                <w:top w:val="none" w:sz="0" w:space="0" w:color="auto"/>
                <w:left w:val="none" w:sz="0" w:space="0" w:color="auto"/>
                <w:bottom w:val="none" w:sz="0" w:space="0" w:color="auto"/>
                <w:right w:val="none" w:sz="0" w:space="0" w:color="auto"/>
              </w:divBdr>
            </w:div>
          </w:divsChild>
        </w:div>
        <w:div w:id="1082333911">
          <w:marLeft w:val="0"/>
          <w:marRight w:val="0"/>
          <w:marTop w:val="0"/>
          <w:marBottom w:val="0"/>
          <w:divBdr>
            <w:top w:val="none" w:sz="0" w:space="0" w:color="auto"/>
            <w:left w:val="none" w:sz="0" w:space="0" w:color="auto"/>
            <w:bottom w:val="none" w:sz="0" w:space="0" w:color="auto"/>
            <w:right w:val="none" w:sz="0" w:space="0" w:color="auto"/>
          </w:divBdr>
          <w:divsChild>
            <w:div w:id="2091730704">
              <w:marLeft w:val="0"/>
              <w:marRight w:val="0"/>
              <w:marTop w:val="0"/>
              <w:marBottom w:val="0"/>
              <w:divBdr>
                <w:top w:val="none" w:sz="0" w:space="0" w:color="auto"/>
                <w:left w:val="none" w:sz="0" w:space="0" w:color="auto"/>
                <w:bottom w:val="none" w:sz="0" w:space="0" w:color="auto"/>
                <w:right w:val="none" w:sz="0" w:space="0" w:color="auto"/>
              </w:divBdr>
            </w:div>
          </w:divsChild>
        </w:div>
        <w:div w:id="985161378">
          <w:marLeft w:val="0"/>
          <w:marRight w:val="0"/>
          <w:marTop w:val="0"/>
          <w:marBottom w:val="0"/>
          <w:divBdr>
            <w:top w:val="none" w:sz="0" w:space="0" w:color="auto"/>
            <w:left w:val="none" w:sz="0" w:space="0" w:color="auto"/>
            <w:bottom w:val="none" w:sz="0" w:space="0" w:color="auto"/>
            <w:right w:val="none" w:sz="0" w:space="0" w:color="auto"/>
          </w:divBdr>
          <w:divsChild>
            <w:div w:id="675351441">
              <w:marLeft w:val="0"/>
              <w:marRight w:val="0"/>
              <w:marTop w:val="0"/>
              <w:marBottom w:val="0"/>
              <w:divBdr>
                <w:top w:val="none" w:sz="0" w:space="0" w:color="auto"/>
                <w:left w:val="none" w:sz="0" w:space="0" w:color="auto"/>
                <w:bottom w:val="none" w:sz="0" w:space="0" w:color="auto"/>
                <w:right w:val="none" w:sz="0" w:space="0" w:color="auto"/>
              </w:divBdr>
            </w:div>
          </w:divsChild>
        </w:div>
        <w:div w:id="836001658">
          <w:marLeft w:val="0"/>
          <w:marRight w:val="0"/>
          <w:marTop w:val="0"/>
          <w:marBottom w:val="0"/>
          <w:divBdr>
            <w:top w:val="none" w:sz="0" w:space="0" w:color="auto"/>
            <w:left w:val="none" w:sz="0" w:space="0" w:color="auto"/>
            <w:bottom w:val="none" w:sz="0" w:space="0" w:color="auto"/>
            <w:right w:val="none" w:sz="0" w:space="0" w:color="auto"/>
          </w:divBdr>
          <w:divsChild>
            <w:div w:id="555167915">
              <w:marLeft w:val="0"/>
              <w:marRight w:val="0"/>
              <w:marTop w:val="0"/>
              <w:marBottom w:val="0"/>
              <w:divBdr>
                <w:top w:val="none" w:sz="0" w:space="0" w:color="auto"/>
                <w:left w:val="none" w:sz="0" w:space="0" w:color="auto"/>
                <w:bottom w:val="none" w:sz="0" w:space="0" w:color="auto"/>
                <w:right w:val="none" w:sz="0" w:space="0" w:color="auto"/>
              </w:divBdr>
            </w:div>
          </w:divsChild>
        </w:div>
        <w:div w:id="245305014">
          <w:marLeft w:val="0"/>
          <w:marRight w:val="0"/>
          <w:marTop w:val="0"/>
          <w:marBottom w:val="0"/>
          <w:divBdr>
            <w:top w:val="none" w:sz="0" w:space="0" w:color="auto"/>
            <w:left w:val="none" w:sz="0" w:space="0" w:color="auto"/>
            <w:bottom w:val="none" w:sz="0" w:space="0" w:color="auto"/>
            <w:right w:val="none" w:sz="0" w:space="0" w:color="auto"/>
          </w:divBdr>
          <w:divsChild>
            <w:div w:id="2038464034">
              <w:marLeft w:val="0"/>
              <w:marRight w:val="0"/>
              <w:marTop w:val="0"/>
              <w:marBottom w:val="0"/>
              <w:divBdr>
                <w:top w:val="none" w:sz="0" w:space="0" w:color="auto"/>
                <w:left w:val="none" w:sz="0" w:space="0" w:color="auto"/>
                <w:bottom w:val="none" w:sz="0" w:space="0" w:color="auto"/>
                <w:right w:val="none" w:sz="0" w:space="0" w:color="auto"/>
              </w:divBdr>
            </w:div>
          </w:divsChild>
        </w:div>
        <w:div w:id="511452376">
          <w:marLeft w:val="0"/>
          <w:marRight w:val="0"/>
          <w:marTop w:val="0"/>
          <w:marBottom w:val="0"/>
          <w:divBdr>
            <w:top w:val="none" w:sz="0" w:space="0" w:color="auto"/>
            <w:left w:val="none" w:sz="0" w:space="0" w:color="auto"/>
            <w:bottom w:val="none" w:sz="0" w:space="0" w:color="auto"/>
            <w:right w:val="none" w:sz="0" w:space="0" w:color="auto"/>
          </w:divBdr>
          <w:divsChild>
            <w:div w:id="2038659081">
              <w:marLeft w:val="0"/>
              <w:marRight w:val="0"/>
              <w:marTop w:val="0"/>
              <w:marBottom w:val="0"/>
              <w:divBdr>
                <w:top w:val="none" w:sz="0" w:space="0" w:color="auto"/>
                <w:left w:val="none" w:sz="0" w:space="0" w:color="auto"/>
                <w:bottom w:val="none" w:sz="0" w:space="0" w:color="auto"/>
                <w:right w:val="none" w:sz="0" w:space="0" w:color="auto"/>
              </w:divBdr>
            </w:div>
          </w:divsChild>
        </w:div>
        <w:div w:id="885995308">
          <w:marLeft w:val="0"/>
          <w:marRight w:val="0"/>
          <w:marTop w:val="0"/>
          <w:marBottom w:val="0"/>
          <w:divBdr>
            <w:top w:val="none" w:sz="0" w:space="0" w:color="auto"/>
            <w:left w:val="none" w:sz="0" w:space="0" w:color="auto"/>
            <w:bottom w:val="none" w:sz="0" w:space="0" w:color="auto"/>
            <w:right w:val="none" w:sz="0" w:space="0" w:color="auto"/>
          </w:divBdr>
          <w:divsChild>
            <w:div w:id="1937598055">
              <w:marLeft w:val="0"/>
              <w:marRight w:val="0"/>
              <w:marTop w:val="0"/>
              <w:marBottom w:val="0"/>
              <w:divBdr>
                <w:top w:val="none" w:sz="0" w:space="0" w:color="auto"/>
                <w:left w:val="none" w:sz="0" w:space="0" w:color="auto"/>
                <w:bottom w:val="none" w:sz="0" w:space="0" w:color="auto"/>
                <w:right w:val="none" w:sz="0" w:space="0" w:color="auto"/>
              </w:divBdr>
            </w:div>
          </w:divsChild>
        </w:div>
        <w:div w:id="670792728">
          <w:marLeft w:val="0"/>
          <w:marRight w:val="0"/>
          <w:marTop w:val="0"/>
          <w:marBottom w:val="0"/>
          <w:divBdr>
            <w:top w:val="none" w:sz="0" w:space="0" w:color="auto"/>
            <w:left w:val="none" w:sz="0" w:space="0" w:color="auto"/>
            <w:bottom w:val="none" w:sz="0" w:space="0" w:color="auto"/>
            <w:right w:val="none" w:sz="0" w:space="0" w:color="auto"/>
          </w:divBdr>
          <w:divsChild>
            <w:div w:id="917635937">
              <w:marLeft w:val="0"/>
              <w:marRight w:val="0"/>
              <w:marTop w:val="0"/>
              <w:marBottom w:val="0"/>
              <w:divBdr>
                <w:top w:val="none" w:sz="0" w:space="0" w:color="auto"/>
                <w:left w:val="none" w:sz="0" w:space="0" w:color="auto"/>
                <w:bottom w:val="none" w:sz="0" w:space="0" w:color="auto"/>
                <w:right w:val="none" w:sz="0" w:space="0" w:color="auto"/>
              </w:divBdr>
            </w:div>
          </w:divsChild>
        </w:div>
        <w:div w:id="817645140">
          <w:marLeft w:val="0"/>
          <w:marRight w:val="0"/>
          <w:marTop w:val="0"/>
          <w:marBottom w:val="0"/>
          <w:divBdr>
            <w:top w:val="none" w:sz="0" w:space="0" w:color="auto"/>
            <w:left w:val="none" w:sz="0" w:space="0" w:color="auto"/>
            <w:bottom w:val="none" w:sz="0" w:space="0" w:color="auto"/>
            <w:right w:val="none" w:sz="0" w:space="0" w:color="auto"/>
          </w:divBdr>
          <w:divsChild>
            <w:div w:id="1449011261">
              <w:marLeft w:val="0"/>
              <w:marRight w:val="0"/>
              <w:marTop w:val="0"/>
              <w:marBottom w:val="0"/>
              <w:divBdr>
                <w:top w:val="none" w:sz="0" w:space="0" w:color="auto"/>
                <w:left w:val="none" w:sz="0" w:space="0" w:color="auto"/>
                <w:bottom w:val="none" w:sz="0" w:space="0" w:color="auto"/>
                <w:right w:val="none" w:sz="0" w:space="0" w:color="auto"/>
              </w:divBdr>
            </w:div>
          </w:divsChild>
        </w:div>
        <w:div w:id="508788091">
          <w:marLeft w:val="0"/>
          <w:marRight w:val="0"/>
          <w:marTop w:val="0"/>
          <w:marBottom w:val="0"/>
          <w:divBdr>
            <w:top w:val="none" w:sz="0" w:space="0" w:color="auto"/>
            <w:left w:val="none" w:sz="0" w:space="0" w:color="auto"/>
            <w:bottom w:val="none" w:sz="0" w:space="0" w:color="auto"/>
            <w:right w:val="none" w:sz="0" w:space="0" w:color="auto"/>
          </w:divBdr>
          <w:divsChild>
            <w:div w:id="330717591">
              <w:marLeft w:val="0"/>
              <w:marRight w:val="0"/>
              <w:marTop w:val="0"/>
              <w:marBottom w:val="0"/>
              <w:divBdr>
                <w:top w:val="none" w:sz="0" w:space="0" w:color="auto"/>
                <w:left w:val="none" w:sz="0" w:space="0" w:color="auto"/>
                <w:bottom w:val="none" w:sz="0" w:space="0" w:color="auto"/>
                <w:right w:val="none" w:sz="0" w:space="0" w:color="auto"/>
              </w:divBdr>
            </w:div>
          </w:divsChild>
        </w:div>
        <w:div w:id="390662325">
          <w:marLeft w:val="0"/>
          <w:marRight w:val="0"/>
          <w:marTop w:val="0"/>
          <w:marBottom w:val="0"/>
          <w:divBdr>
            <w:top w:val="none" w:sz="0" w:space="0" w:color="auto"/>
            <w:left w:val="none" w:sz="0" w:space="0" w:color="auto"/>
            <w:bottom w:val="none" w:sz="0" w:space="0" w:color="auto"/>
            <w:right w:val="none" w:sz="0" w:space="0" w:color="auto"/>
          </w:divBdr>
          <w:divsChild>
            <w:div w:id="2015958014">
              <w:marLeft w:val="0"/>
              <w:marRight w:val="0"/>
              <w:marTop w:val="0"/>
              <w:marBottom w:val="0"/>
              <w:divBdr>
                <w:top w:val="none" w:sz="0" w:space="0" w:color="auto"/>
                <w:left w:val="none" w:sz="0" w:space="0" w:color="auto"/>
                <w:bottom w:val="none" w:sz="0" w:space="0" w:color="auto"/>
                <w:right w:val="none" w:sz="0" w:space="0" w:color="auto"/>
              </w:divBdr>
            </w:div>
          </w:divsChild>
        </w:div>
        <w:div w:id="168640525">
          <w:marLeft w:val="0"/>
          <w:marRight w:val="0"/>
          <w:marTop w:val="0"/>
          <w:marBottom w:val="0"/>
          <w:divBdr>
            <w:top w:val="none" w:sz="0" w:space="0" w:color="auto"/>
            <w:left w:val="none" w:sz="0" w:space="0" w:color="auto"/>
            <w:bottom w:val="none" w:sz="0" w:space="0" w:color="auto"/>
            <w:right w:val="none" w:sz="0" w:space="0" w:color="auto"/>
          </w:divBdr>
          <w:divsChild>
            <w:div w:id="624429457">
              <w:marLeft w:val="0"/>
              <w:marRight w:val="0"/>
              <w:marTop w:val="0"/>
              <w:marBottom w:val="0"/>
              <w:divBdr>
                <w:top w:val="none" w:sz="0" w:space="0" w:color="auto"/>
                <w:left w:val="none" w:sz="0" w:space="0" w:color="auto"/>
                <w:bottom w:val="none" w:sz="0" w:space="0" w:color="auto"/>
                <w:right w:val="none" w:sz="0" w:space="0" w:color="auto"/>
              </w:divBdr>
            </w:div>
          </w:divsChild>
        </w:div>
        <w:div w:id="356203927">
          <w:marLeft w:val="0"/>
          <w:marRight w:val="0"/>
          <w:marTop w:val="0"/>
          <w:marBottom w:val="0"/>
          <w:divBdr>
            <w:top w:val="none" w:sz="0" w:space="0" w:color="auto"/>
            <w:left w:val="none" w:sz="0" w:space="0" w:color="auto"/>
            <w:bottom w:val="none" w:sz="0" w:space="0" w:color="auto"/>
            <w:right w:val="none" w:sz="0" w:space="0" w:color="auto"/>
          </w:divBdr>
          <w:divsChild>
            <w:div w:id="1082487810">
              <w:marLeft w:val="0"/>
              <w:marRight w:val="0"/>
              <w:marTop w:val="0"/>
              <w:marBottom w:val="0"/>
              <w:divBdr>
                <w:top w:val="none" w:sz="0" w:space="0" w:color="auto"/>
                <w:left w:val="none" w:sz="0" w:space="0" w:color="auto"/>
                <w:bottom w:val="none" w:sz="0" w:space="0" w:color="auto"/>
                <w:right w:val="none" w:sz="0" w:space="0" w:color="auto"/>
              </w:divBdr>
            </w:div>
          </w:divsChild>
        </w:div>
        <w:div w:id="1081026236">
          <w:marLeft w:val="0"/>
          <w:marRight w:val="0"/>
          <w:marTop w:val="0"/>
          <w:marBottom w:val="0"/>
          <w:divBdr>
            <w:top w:val="none" w:sz="0" w:space="0" w:color="auto"/>
            <w:left w:val="none" w:sz="0" w:space="0" w:color="auto"/>
            <w:bottom w:val="none" w:sz="0" w:space="0" w:color="auto"/>
            <w:right w:val="none" w:sz="0" w:space="0" w:color="auto"/>
          </w:divBdr>
          <w:divsChild>
            <w:div w:id="1570724802">
              <w:marLeft w:val="0"/>
              <w:marRight w:val="0"/>
              <w:marTop w:val="0"/>
              <w:marBottom w:val="0"/>
              <w:divBdr>
                <w:top w:val="none" w:sz="0" w:space="0" w:color="auto"/>
                <w:left w:val="none" w:sz="0" w:space="0" w:color="auto"/>
                <w:bottom w:val="none" w:sz="0" w:space="0" w:color="auto"/>
                <w:right w:val="none" w:sz="0" w:space="0" w:color="auto"/>
              </w:divBdr>
            </w:div>
          </w:divsChild>
        </w:div>
        <w:div w:id="1706515929">
          <w:marLeft w:val="0"/>
          <w:marRight w:val="0"/>
          <w:marTop w:val="0"/>
          <w:marBottom w:val="0"/>
          <w:divBdr>
            <w:top w:val="none" w:sz="0" w:space="0" w:color="auto"/>
            <w:left w:val="none" w:sz="0" w:space="0" w:color="auto"/>
            <w:bottom w:val="none" w:sz="0" w:space="0" w:color="auto"/>
            <w:right w:val="none" w:sz="0" w:space="0" w:color="auto"/>
          </w:divBdr>
          <w:divsChild>
            <w:div w:id="121192572">
              <w:marLeft w:val="0"/>
              <w:marRight w:val="0"/>
              <w:marTop w:val="0"/>
              <w:marBottom w:val="0"/>
              <w:divBdr>
                <w:top w:val="none" w:sz="0" w:space="0" w:color="auto"/>
                <w:left w:val="none" w:sz="0" w:space="0" w:color="auto"/>
                <w:bottom w:val="none" w:sz="0" w:space="0" w:color="auto"/>
                <w:right w:val="none" w:sz="0" w:space="0" w:color="auto"/>
              </w:divBdr>
            </w:div>
          </w:divsChild>
        </w:div>
        <w:div w:id="1638683479">
          <w:marLeft w:val="0"/>
          <w:marRight w:val="0"/>
          <w:marTop w:val="0"/>
          <w:marBottom w:val="0"/>
          <w:divBdr>
            <w:top w:val="none" w:sz="0" w:space="0" w:color="auto"/>
            <w:left w:val="none" w:sz="0" w:space="0" w:color="auto"/>
            <w:bottom w:val="none" w:sz="0" w:space="0" w:color="auto"/>
            <w:right w:val="none" w:sz="0" w:space="0" w:color="auto"/>
          </w:divBdr>
          <w:divsChild>
            <w:div w:id="176248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196293">
      <w:bodyDiv w:val="1"/>
      <w:marLeft w:val="0"/>
      <w:marRight w:val="0"/>
      <w:marTop w:val="0"/>
      <w:marBottom w:val="0"/>
      <w:divBdr>
        <w:top w:val="none" w:sz="0" w:space="0" w:color="auto"/>
        <w:left w:val="none" w:sz="0" w:space="0" w:color="auto"/>
        <w:bottom w:val="none" w:sz="0" w:space="0" w:color="auto"/>
        <w:right w:val="none" w:sz="0" w:space="0" w:color="auto"/>
      </w:divBdr>
    </w:div>
    <w:div w:id="666323191">
      <w:bodyDiv w:val="1"/>
      <w:marLeft w:val="0"/>
      <w:marRight w:val="0"/>
      <w:marTop w:val="0"/>
      <w:marBottom w:val="0"/>
      <w:divBdr>
        <w:top w:val="none" w:sz="0" w:space="0" w:color="auto"/>
        <w:left w:val="none" w:sz="0" w:space="0" w:color="auto"/>
        <w:bottom w:val="none" w:sz="0" w:space="0" w:color="auto"/>
        <w:right w:val="none" w:sz="0" w:space="0" w:color="auto"/>
      </w:divBdr>
    </w:div>
    <w:div w:id="666401636">
      <w:bodyDiv w:val="1"/>
      <w:marLeft w:val="0"/>
      <w:marRight w:val="0"/>
      <w:marTop w:val="0"/>
      <w:marBottom w:val="0"/>
      <w:divBdr>
        <w:top w:val="none" w:sz="0" w:space="0" w:color="auto"/>
        <w:left w:val="none" w:sz="0" w:space="0" w:color="auto"/>
        <w:bottom w:val="none" w:sz="0" w:space="0" w:color="auto"/>
        <w:right w:val="none" w:sz="0" w:space="0" w:color="auto"/>
      </w:divBdr>
    </w:div>
    <w:div w:id="677923339">
      <w:bodyDiv w:val="1"/>
      <w:marLeft w:val="0"/>
      <w:marRight w:val="0"/>
      <w:marTop w:val="0"/>
      <w:marBottom w:val="0"/>
      <w:divBdr>
        <w:top w:val="none" w:sz="0" w:space="0" w:color="auto"/>
        <w:left w:val="none" w:sz="0" w:space="0" w:color="auto"/>
        <w:bottom w:val="none" w:sz="0" w:space="0" w:color="auto"/>
        <w:right w:val="none" w:sz="0" w:space="0" w:color="auto"/>
      </w:divBdr>
      <w:divsChild>
        <w:div w:id="2088457479">
          <w:marLeft w:val="0"/>
          <w:marRight w:val="0"/>
          <w:marTop w:val="0"/>
          <w:marBottom w:val="0"/>
          <w:divBdr>
            <w:top w:val="none" w:sz="0" w:space="0" w:color="auto"/>
            <w:left w:val="none" w:sz="0" w:space="0" w:color="auto"/>
            <w:bottom w:val="none" w:sz="0" w:space="0" w:color="auto"/>
            <w:right w:val="none" w:sz="0" w:space="0" w:color="auto"/>
          </w:divBdr>
        </w:div>
        <w:div w:id="196551952">
          <w:marLeft w:val="0"/>
          <w:marRight w:val="0"/>
          <w:marTop w:val="0"/>
          <w:marBottom w:val="0"/>
          <w:divBdr>
            <w:top w:val="none" w:sz="0" w:space="0" w:color="auto"/>
            <w:left w:val="none" w:sz="0" w:space="0" w:color="auto"/>
            <w:bottom w:val="none" w:sz="0" w:space="0" w:color="auto"/>
            <w:right w:val="none" w:sz="0" w:space="0" w:color="auto"/>
          </w:divBdr>
        </w:div>
        <w:div w:id="1697266426">
          <w:marLeft w:val="0"/>
          <w:marRight w:val="0"/>
          <w:marTop w:val="0"/>
          <w:marBottom w:val="0"/>
          <w:divBdr>
            <w:top w:val="none" w:sz="0" w:space="0" w:color="auto"/>
            <w:left w:val="none" w:sz="0" w:space="0" w:color="auto"/>
            <w:bottom w:val="none" w:sz="0" w:space="0" w:color="auto"/>
            <w:right w:val="none" w:sz="0" w:space="0" w:color="auto"/>
          </w:divBdr>
        </w:div>
        <w:div w:id="260065699">
          <w:marLeft w:val="0"/>
          <w:marRight w:val="0"/>
          <w:marTop w:val="0"/>
          <w:marBottom w:val="0"/>
          <w:divBdr>
            <w:top w:val="none" w:sz="0" w:space="0" w:color="auto"/>
            <w:left w:val="none" w:sz="0" w:space="0" w:color="auto"/>
            <w:bottom w:val="none" w:sz="0" w:space="0" w:color="auto"/>
            <w:right w:val="none" w:sz="0" w:space="0" w:color="auto"/>
          </w:divBdr>
        </w:div>
        <w:div w:id="280234690">
          <w:marLeft w:val="0"/>
          <w:marRight w:val="0"/>
          <w:marTop w:val="0"/>
          <w:marBottom w:val="0"/>
          <w:divBdr>
            <w:top w:val="none" w:sz="0" w:space="0" w:color="auto"/>
            <w:left w:val="none" w:sz="0" w:space="0" w:color="auto"/>
            <w:bottom w:val="none" w:sz="0" w:space="0" w:color="auto"/>
            <w:right w:val="none" w:sz="0" w:space="0" w:color="auto"/>
          </w:divBdr>
        </w:div>
        <w:div w:id="1181776964">
          <w:marLeft w:val="0"/>
          <w:marRight w:val="0"/>
          <w:marTop w:val="0"/>
          <w:marBottom w:val="0"/>
          <w:divBdr>
            <w:top w:val="none" w:sz="0" w:space="0" w:color="auto"/>
            <w:left w:val="none" w:sz="0" w:space="0" w:color="auto"/>
            <w:bottom w:val="none" w:sz="0" w:space="0" w:color="auto"/>
            <w:right w:val="none" w:sz="0" w:space="0" w:color="auto"/>
          </w:divBdr>
        </w:div>
        <w:div w:id="1852261840">
          <w:marLeft w:val="0"/>
          <w:marRight w:val="0"/>
          <w:marTop w:val="0"/>
          <w:marBottom w:val="0"/>
          <w:divBdr>
            <w:top w:val="none" w:sz="0" w:space="0" w:color="auto"/>
            <w:left w:val="none" w:sz="0" w:space="0" w:color="auto"/>
            <w:bottom w:val="none" w:sz="0" w:space="0" w:color="auto"/>
            <w:right w:val="none" w:sz="0" w:space="0" w:color="auto"/>
          </w:divBdr>
        </w:div>
        <w:div w:id="1741714773">
          <w:marLeft w:val="0"/>
          <w:marRight w:val="0"/>
          <w:marTop w:val="0"/>
          <w:marBottom w:val="0"/>
          <w:divBdr>
            <w:top w:val="none" w:sz="0" w:space="0" w:color="auto"/>
            <w:left w:val="none" w:sz="0" w:space="0" w:color="auto"/>
            <w:bottom w:val="none" w:sz="0" w:space="0" w:color="auto"/>
            <w:right w:val="none" w:sz="0" w:space="0" w:color="auto"/>
          </w:divBdr>
        </w:div>
        <w:div w:id="1565025622">
          <w:marLeft w:val="0"/>
          <w:marRight w:val="0"/>
          <w:marTop w:val="0"/>
          <w:marBottom w:val="0"/>
          <w:divBdr>
            <w:top w:val="none" w:sz="0" w:space="0" w:color="auto"/>
            <w:left w:val="none" w:sz="0" w:space="0" w:color="auto"/>
            <w:bottom w:val="none" w:sz="0" w:space="0" w:color="auto"/>
            <w:right w:val="none" w:sz="0" w:space="0" w:color="auto"/>
          </w:divBdr>
        </w:div>
        <w:div w:id="1034185378">
          <w:marLeft w:val="0"/>
          <w:marRight w:val="0"/>
          <w:marTop w:val="0"/>
          <w:marBottom w:val="0"/>
          <w:divBdr>
            <w:top w:val="none" w:sz="0" w:space="0" w:color="auto"/>
            <w:left w:val="none" w:sz="0" w:space="0" w:color="auto"/>
            <w:bottom w:val="none" w:sz="0" w:space="0" w:color="auto"/>
            <w:right w:val="none" w:sz="0" w:space="0" w:color="auto"/>
          </w:divBdr>
        </w:div>
        <w:div w:id="1870411731">
          <w:marLeft w:val="0"/>
          <w:marRight w:val="0"/>
          <w:marTop w:val="0"/>
          <w:marBottom w:val="0"/>
          <w:divBdr>
            <w:top w:val="none" w:sz="0" w:space="0" w:color="auto"/>
            <w:left w:val="none" w:sz="0" w:space="0" w:color="auto"/>
            <w:bottom w:val="none" w:sz="0" w:space="0" w:color="auto"/>
            <w:right w:val="none" w:sz="0" w:space="0" w:color="auto"/>
          </w:divBdr>
        </w:div>
        <w:div w:id="587887895">
          <w:marLeft w:val="0"/>
          <w:marRight w:val="0"/>
          <w:marTop w:val="0"/>
          <w:marBottom w:val="0"/>
          <w:divBdr>
            <w:top w:val="none" w:sz="0" w:space="0" w:color="auto"/>
            <w:left w:val="none" w:sz="0" w:space="0" w:color="auto"/>
            <w:bottom w:val="none" w:sz="0" w:space="0" w:color="auto"/>
            <w:right w:val="none" w:sz="0" w:space="0" w:color="auto"/>
          </w:divBdr>
        </w:div>
        <w:div w:id="544636224">
          <w:marLeft w:val="0"/>
          <w:marRight w:val="0"/>
          <w:marTop w:val="0"/>
          <w:marBottom w:val="0"/>
          <w:divBdr>
            <w:top w:val="none" w:sz="0" w:space="0" w:color="auto"/>
            <w:left w:val="none" w:sz="0" w:space="0" w:color="auto"/>
            <w:bottom w:val="none" w:sz="0" w:space="0" w:color="auto"/>
            <w:right w:val="none" w:sz="0" w:space="0" w:color="auto"/>
          </w:divBdr>
        </w:div>
        <w:div w:id="743140642">
          <w:marLeft w:val="0"/>
          <w:marRight w:val="0"/>
          <w:marTop w:val="0"/>
          <w:marBottom w:val="0"/>
          <w:divBdr>
            <w:top w:val="none" w:sz="0" w:space="0" w:color="auto"/>
            <w:left w:val="none" w:sz="0" w:space="0" w:color="auto"/>
            <w:bottom w:val="none" w:sz="0" w:space="0" w:color="auto"/>
            <w:right w:val="none" w:sz="0" w:space="0" w:color="auto"/>
          </w:divBdr>
        </w:div>
        <w:div w:id="1790732984">
          <w:marLeft w:val="0"/>
          <w:marRight w:val="0"/>
          <w:marTop w:val="0"/>
          <w:marBottom w:val="0"/>
          <w:divBdr>
            <w:top w:val="none" w:sz="0" w:space="0" w:color="auto"/>
            <w:left w:val="none" w:sz="0" w:space="0" w:color="auto"/>
            <w:bottom w:val="none" w:sz="0" w:space="0" w:color="auto"/>
            <w:right w:val="none" w:sz="0" w:space="0" w:color="auto"/>
          </w:divBdr>
        </w:div>
        <w:div w:id="728498608">
          <w:marLeft w:val="0"/>
          <w:marRight w:val="0"/>
          <w:marTop w:val="0"/>
          <w:marBottom w:val="0"/>
          <w:divBdr>
            <w:top w:val="none" w:sz="0" w:space="0" w:color="auto"/>
            <w:left w:val="none" w:sz="0" w:space="0" w:color="auto"/>
            <w:bottom w:val="none" w:sz="0" w:space="0" w:color="auto"/>
            <w:right w:val="none" w:sz="0" w:space="0" w:color="auto"/>
          </w:divBdr>
        </w:div>
        <w:div w:id="1093014518">
          <w:marLeft w:val="0"/>
          <w:marRight w:val="0"/>
          <w:marTop w:val="0"/>
          <w:marBottom w:val="0"/>
          <w:divBdr>
            <w:top w:val="none" w:sz="0" w:space="0" w:color="auto"/>
            <w:left w:val="none" w:sz="0" w:space="0" w:color="auto"/>
            <w:bottom w:val="none" w:sz="0" w:space="0" w:color="auto"/>
            <w:right w:val="none" w:sz="0" w:space="0" w:color="auto"/>
          </w:divBdr>
        </w:div>
        <w:div w:id="1593129479">
          <w:marLeft w:val="0"/>
          <w:marRight w:val="0"/>
          <w:marTop w:val="0"/>
          <w:marBottom w:val="0"/>
          <w:divBdr>
            <w:top w:val="none" w:sz="0" w:space="0" w:color="auto"/>
            <w:left w:val="none" w:sz="0" w:space="0" w:color="auto"/>
            <w:bottom w:val="none" w:sz="0" w:space="0" w:color="auto"/>
            <w:right w:val="none" w:sz="0" w:space="0" w:color="auto"/>
          </w:divBdr>
        </w:div>
        <w:div w:id="1006245327">
          <w:marLeft w:val="0"/>
          <w:marRight w:val="0"/>
          <w:marTop w:val="0"/>
          <w:marBottom w:val="0"/>
          <w:divBdr>
            <w:top w:val="none" w:sz="0" w:space="0" w:color="auto"/>
            <w:left w:val="none" w:sz="0" w:space="0" w:color="auto"/>
            <w:bottom w:val="none" w:sz="0" w:space="0" w:color="auto"/>
            <w:right w:val="none" w:sz="0" w:space="0" w:color="auto"/>
          </w:divBdr>
        </w:div>
        <w:div w:id="653067182">
          <w:marLeft w:val="0"/>
          <w:marRight w:val="0"/>
          <w:marTop w:val="0"/>
          <w:marBottom w:val="0"/>
          <w:divBdr>
            <w:top w:val="none" w:sz="0" w:space="0" w:color="auto"/>
            <w:left w:val="none" w:sz="0" w:space="0" w:color="auto"/>
            <w:bottom w:val="none" w:sz="0" w:space="0" w:color="auto"/>
            <w:right w:val="none" w:sz="0" w:space="0" w:color="auto"/>
          </w:divBdr>
        </w:div>
        <w:div w:id="731854854">
          <w:marLeft w:val="0"/>
          <w:marRight w:val="0"/>
          <w:marTop w:val="0"/>
          <w:marBottom w:val="0"/>
          <w:divBdr>
            <w:top w:val="none" w:sz="0" w:space="0" w:color="auto"/>
            <w:left w:val="none" w:sz="0" w:space="0" w:color="auto"/>
            <w:bottom w:val="none" w:sz="0" w:space="0" w:color="auto"/>
            <w:right w:val="none" w:sz="0" w:space="0" w:color="auto"/>
          </w:divBdr>
        </w:div>
        <w:div w:id="1591617385">
          <w:marLeft w:val="0"/>
          <w:marRight w:val="0"/>
          <w:marTop w:val="0"/>
          <w:marBottom w:val="0"/>
          <w:divBdr>
            <w:top w:val="none" w:sz="0" w:space="0" w:color="auto"/>
            <w:left w:val="none" w:sz="0" w:space="0" w:color="auto"/>
            <w:bottom w:val="none" w:sz="0" w:space="0" w:color="auto"/>
            <w:right w:val="none" w:sz="0" w:space="0" w:color="auto"/>
          </w:divBdr>
        </w:div>
        <w:div w:id="188028063">
          <w:marLeft w:val="0"/>
          <w:marRight w:val="0"/>
          <w:marTop w:val="0"/>
          <w:marBottom w:val="0"/>
          <w:divBdr>
            <w:top w:val="none" w:sz="0" w:space="0" w:color="auto"/>
            <w:left w:val="none" w:sz="0" w:space="0" w:color="auto"/>
            <w:bottom w:val="none" w:sz="0" w:space="0" w:color="auto"/>
            <w:right w:val="none" w:sz="0" w:space="0" w:color="auto"/>
          </w:divBdr>
        </w:div>
        <w:div w:id="738284117">
          <w:marLeft w:val="0"/>
          <w:marRight w:val="0"/>
          <w:marTop w:val="0"/>
          <w:marBottom w:val="0"/>
          <w:divBdr>
            <w:top w:val="none" w:sz="0" w:space="0" w:color="auto"/>
            <w:left w:val="none" w:sz="0" w:space="0" w:color="auto"/>
            <w:bottom w:val="none" w:sz="0" w:space="0" w:color="auto"/>
            <w:right w:val="none" w:sz="0" w:space="0" w:color="auto"/>
          </w:divBdr>
        </w:div>
        <w:div w:id="782580080">
          <w:marLeft w:val="0"/>
          <w:marRight w:val="0"/>
          <w:marTop w:val="0"/>
          <w:marBottom w:val="0"/>
          <w:divBdr>
            <w:top w:val="none" w:sz="0" w:space="0" w:color="auto"/>
            <w:left w:val="none" w:sz="0" w:space="0" w:color="auto"/>
            <w:bottom w:val="none" w:sz="0" w:space="0" w:color="auto"/>
            <w:right w:val="none" w:sz="0" w:space="0" w:color="auto"/>
          </w:divBdr>
        </w:div>
      </w:divsChild>
    </w:div>
    <w:div w:id="678194584">
      <w:bodyDiv w:val="1"/>
      <w:marLeft w:val="0"/>
      <w:marRight w:val="0"/>
      <w:marTop w:val="0"/>
      <w:marBottom w:val="0"/>
      <w:divBdr>
        <w:top w:val="none" w:sz="0" w:space="0" w:color="auto"/>
        <w:left w:val="none" w:sz="0" w:space="0" w:color="auto"/>
        <w:bottom w:val="none" w:sz="0" w:space="0" w:color="auto"/>
        <w:right w:val="none" w:sz="0" w:space="0" w:color="auto"/>
      </w:divBdr>
    </w:div>
    <w:div w:id="678313467">
      <w:bodyDiv w:val="1"/>
      <w:marLeft w:val="0"/>
      <w:marRight w:val="0"/>
      <w:marTop w:val="0"/>
      <w:marBottom w:val="0"/>
      <w:divBdr>
        <w:top w:val="none" w:sz="0" w:space="0" w:color="auto"/>
        <w:left w:val="none" w:sz="0" w:space="0" w:color="auto"/>
        <w:bottom w:val="none" w:sz="0" w:space="0" w:color="auto"/>
        <w:right w:val="none" w:sz="0" w:space="0" w:color="auto"/>
      </w:divBdr>
    </w:div>
    <w:div w:id="679701164">
      <w:bodyDiv w:val="1"/>
      <w:marLeft w:val="0"/>
      <w:marRight w:val="0"/>
      <w:marTop w:val="0"/>
      <w:marBottom w:val="0"/>
      <w:divBdr>
        <w:top w:val="none" w:sz="0" w:space="0" w:color="auto"/>
        <w:left w:val="none" w:sz="0" w:space="0" w:color="auto"/>
        <w:bottom w:val="none" w:sz="0" w:space="0" w:color="auto"/>
        <w:right w:val="none" w:sz="0" w:space="0" w:color="auto"/>
      </w:divBdr>
    </w:div>
    <w:div w:id="680936141">
      <w:bodyDiv w:val="1"/>
      <w:marLeft w:val="0"/>
      <w:marRight w:val="0"/>
      <w:marTop w:val="0"/>
      <w:marBottom w:val="0"/>
      <w:divBdr>
        <w:top w:val="none" w:sz="0" w:space="0" w:color="auto"/>
        <w:left w:val="none" w:sz="0" w:space="0" w:color="auto"/>
        <w:bottom w:val="none" w:sz="0" w:space="0" w:color="auto"/>
        <w:right w:val="none" w:sz="0" w:space="0" w:color="auto"/>
      </w:divBdr>
    </w:div>
    <w:div w:id="682173027">
      <w:bodyDiv w:val="1"/>
      <w:marLeft w:val="0"/>
      <w:marRight w:val="0"/>
      <w:marTop w:val="0"/>
      <w:marBottom w:val="0"/>
      <w:divBdr>
        <w:top w:val="none" w:sz="0" w:space="0" w:color="auto"/>
        <w:left w:val="none" w:sz="0" w:space="0" w:color="auto"/>
        <w:bottom w:val="none" w:sz="0" w:space="0" w:color="auto"/>
        <w:right w:val="none" w:sz="0" w:space="0" w:color="auto"/>
      </w:divBdr>
    </w:div>
    <w:div w:id="689988209">
      <w:bodyDiv w:val="1"/>
      <w:marLeft w:val="0"/>
      <w:marRight w:val="0"/>
      <w:marTop w:val="0"/>
      <w:marBottom w:val="0"/>
      <w:divBdr>
        <w:top w:val="none" w:sz="0" w:space="0" w:color="auto"/>
        <w:left w:val="none" w:sz="0" w:space="0" w:color="auto"/>
        <w:bottom w:val="none" w:sz="0" w:space="0" w:color="auto"/>
        <w:right w:val="none" w:sz="0" w:space="0" w:color="auto"/>
      </w:divBdr>
    </w:div>
    <w:div w:id="690451049">
      <w:bodyDiv w:val="1"/>
      <w:marLeft w:val="0"/>
      <w:marRight w:val="0"/>
      <w:marTop w:val="0"/>
      <w:marBottom w:val="0"/>
      <w:divBdr>
        <w:top w:val="none" w:sz="0" w:space="0" w:color="auto"/>
        <w:left w:val="none" w:sz="0" w:space="0" w:color="auto"/>
        <w:bottom w:val="none" w:sz="0" w:space="0" w:color="auto"/>
        <w:right w:val="none" w:sz="0" w:space="0" w:color="auto"/>
      </w:divBdr>
    </w:div>
    <w:div w:id="695040223">
      <w:bodyDiv w:val="1"/>
      <w:marLeft w:val="0"/>
      <w:marRight w:val="0"/>
      <w:marTop w:val="0"/>
      <w:marBottom w:val="0"/>
      <w:divBdr>
        <w:top w:val="none" w:sz="0" w:space="0" w:color="auto"/>
        <w:left w:val="none" w:sz="0" w:space="0" w:color="auto"/>
        <w:bottom w:val="none" w:sz="0" w:space="0" w:color="auto"/>
        <w:right w:val="none" w:sz="0" w:space="0" w:color="auto"/>
      </w:divBdr>
    </w:div>
    <w:div w:id="704985059">
      <w:bodyDiv w:val="1"/>
      <w:marLeft w:val="0"/>
      <w:marRight w:val="0"/>
      <w:marTop w:val="0"/>
      <w:marBottom w:val="0"/>
      <w:divBdr>
        <w:top w:val="none" w:sz="0" w:space="0" w:color="auto"/>
        <w:left w:val="none" w:sz="0" w:space="0" w:color="auto"/>
        <w:bottom w:val="none" w:sz="0" w:space="0" w:color="auto"/>
        <w:right w:val="none" w:sz="0" w:space="0" w:color="auto"/>
      </w:divBdr>
    </w:div>
    <w:div w:id="708339889">
      <w:bodyDiv w:val="1"/>
      <w:marLeft w:val="0"/>
      <w:marRight w:val="0"/>
      <w:marTop w:val="0"/>
      <w:marBottom w:val="0"/>
      <w:divBdr>
        <w:top w:val="none" w:sz="0" w:space="0" w:color="auto"/>
        <w:left w:val="none" w:sz="0" w:space="0" w:color="auto"/>
        <w:bottom w:val="none" w:sz="0" w:space="0" w:color="auto"/>
        <w:right w:val="none" w:sz="0" w:space="0" w:color="auto"/>
      </w:divBdr>
    </w:div>
    <w:div w:id="712730677">
      <w:bodyDiv w:val="1"/>
      <w:marLeft w:val="0"/>
      <w:marRight w:val="0"/>
      <w:marTop w:val="0"/>
      <w:marBottom w:val="0"/>
      <w:divBdr>
        <w:top w:val="none" w:sz="0" w:space="0" w:color="auto"/>
        <w:left w:val="none" w:sz="0" w:space="0" w:color="auto"/>
        <w:bottom w:val="none" w:sz="0" w:space="0" w:color="auto"/>
        <w:right w:val="none" w:sz="0" w:space="0" w:color="auto"/>
      </w:divBdr>
    </w:div>
    <w:div w:id="715009623">
      <w:bodyDiv w:val="1"/>
      <w:marLeft w:val="0"/>
      <w:marRight w:val="0"/>
      <w:marTop w:val="0"/>
      <w:marBottom w:val="0"/>
      <w:divBdr>
        <w:top w:val="none" w:sz="0" w:space="0" w:color="auto"/>
        <w:left w:val="none" w:sz="0" w:space="0" w:color="auto"/>
        <w:bottom w:val="none" w:sz="0" w:space="0" w:color="auto"/>
        <w:right w:val="none" w:sz="0" w:space="0" w:color="auto"/>
      </w:divBdr>
    </w:div>
    <w:div w:id="722751563">
      <w:bodyDiv w:val="1"/>
      <w:marLeft w:val="0"/>
      <w:marRight w:val="0"/>
      <w:marTop w:val="0"/>
      <w:marBottom w:val="0"/>
      <w:divBdr>
        <w:top w:val="none" w:sz="0" w:space="0" w:color="auto"/>
        <w:left w:val="none" w:sz="0" w:space="0" w:color="auto"/>
        <w:bottom w:val="none" w:sz="0" w:space="0" w:color="auto"/>
        <w:right w:val="none" w:sz="0" w:space="0" w:color="auto"/>
      </w:divBdr>
    </w:div>
    <w:div w:id="723873238">
      <w:bodyDiv w:val="1"/>
      <w:marLeft w:val="0"/>
      <w:marRight w:val="0"/>
      <w:marTop w:val="0"/>
      <w:marBottom w:val="0"/>
      <w:divBdr>
        <w:top w:val="none" w:sz="0" w:space="0" w:color="auto"/>
        <w:left w:val="none" w:sz="0" w:space="0" w:color="auto"/>
        <w:bottom w:val="none" w:sz="0" w:space="0" w:color="auto"/>
        <w:right w:val="none" w:sz="0" w:space="0" w:color="auto"/>
      </w:divBdr>
    </w:div>
    <w:div w:id="726105052">
      <w:bodyDiv w:val="1"/>
      <w:marLeft w:val="0"/>
      <w:marRight w:val="0"/>
      <w:marTop w:val="0"/>
      <w:marBottom w:val="0"/>
      <w:divBdr>
        <w:top w:val="none" w:sz="0" w:space="0" w:color="auto"/>
        <w:left w:val="none" w:sz="0" w:space="0" w:color="auto"/>
        <w:bottom w:val="none" w:sz="0" w:space="0" w:color="auto"/>
        <w:right w:val="none" w:sz="0" w:space="0" w:color="auto"/>
      </w:divBdr>
      <w:divsChild>
        <w:div w:id="553664801">
          <w:marLeft w:val="0"/>
          <w:marRight w:val="0"/>
          <w:marTop w:val="0"/>
          <w:marBottom w:val="0"/>
          <w:divBdr>
            <w:top w:val="none" w:sz="0" w:space="0" w:color="auto"/>
            <w:left w:val="none" w:sz="0" w:space="0" w:color="auto"/>
            <w:bottom w:val="none" w:sz="0" w:space="0" w:color="auto"/>
            <w:right w:val="none" w:sz="0" w:space="0" w:color="auto"/>
          </w:divBdr>
        </w:div>
        <w:div w:id="669528408">
          <w:marLeft w:val="0"/>
          <w:marRight w:val="0"/>
          <w:marTop w:val="0"/>
          <w:marBottom w:val="0"/>
          <w:divBdr>
            <w:top w:val="none" w:sz="0" w:space="0" w:color="auto"/>
            <w:left w:val="none" w:sz="0" w:space="0" w:color="auto"/>
            <w:bottom w:val="none" w:sz="0" w:space="0" w:color="auto"/>
            <w:right w:val="none" w:sz="0" w:space="0" w:color="auto"/>
          </w:divBdr>
        </w:div>
        <w:div w:id="564603345">
          <w:marLeft w:val="0"/>
          <w:marRight w:val="0"/>
          <w:marTop w:val="0"/>
          <w:marBottom w:val="0"/>
          <w:divBdr>
            <w:top w:val="none" w:sz="0" w:space="0" w:color="auto"/>
            <w:left w:val="none" w:sz="0" w:space="0" w:color="auto"/>
            <w:bottom w:val="none" w:sz="0" w:space="0" w:color="auto"/>
            <w:right w:val="none" w:sz="0" w:space="0" w:color="auto"/>
          </w:divBdr>
        </w:div>
        <w:div w:id="1091587007">
          <w:marLeft w:val="0"/>
          <w:marRight w:val="0"/>
          <w:marTop w:val="0"/>
          <w:marBottom w:val="0"/>
          <w:divBdr>
            <w:top w:val="none" w:sz="0" w:space="0" w:color="auto"/>
            <w:left w:val="none" w:sz="0" w:space="0" w:color="auto"/>
            <w:bottom w:val="none" w:sz="0" w:space="0" w:color="auto"/>
            <w:right w:val="none" w:sz="0" w:space="0" w:color="auto"/>
          </w:divBdr>
        </w:div>
        <w:div w:id="1785297582">
          <w:marLeft w:val="0"/>
          <w:marRight w:val="0"/>
          <w:marTop w:val="0"/>
          <w:marBottom w:val="0"/>
          <w:divBdr>
            <w:top w:val="none" w:sz="0" w:space="0" w:color="auto"/>
            <w:left w:val="none" w:sz="0" w:space="0" w:color="auto"/>
            <w:bottom w:val="none" w:sz="0" w:space="0" w:color="auto"/>
            <w:right w:val="none" w:sz="0" w:space="0" w:color="auto"/>
          </w:divBdr>
        </w:div>
        <w:div w:id="171920610">
          <w:marLeft w:val="0"/>
          <w:marRight w:val="0"/>
          <w:marTop w:val="0"/>
          <w:marBottom w:val="0"/>
          <w:divBdr>
            <w:top w:val="none" w:sz="0" w:space="0" w:color="auto"/>
            <w:left w:val="none" w:sz="0" w:space="0" w:color="auto"/>
            <w:bottom w:val="none" w:sz="0" w:space="0" w:color="auto"/>
            <w:right w:val="none" w:sz="0" w:space="0" w:color="auto"/>
          </w:divBdr>
        </w:div>
      </w:divsChild>
    </w:div>
    <w:div w:id="729887364">
      <w:bodyDiv w:val="1"/>
      <w:marLeft w:val="0"/>
      <w:marRight w:val="0"/>
      <w:marTop w:val="0"/>
      <w:marBottom w:val="0"/>
      <w:divBdr>
        <w:top w:val="none" w:sz="0" w:space="0" w:color="auto"/>
        <w:left w:val="none" w:sz="0" w:space="0" w:color="auto"/>
        <w:bottom w:val="none" w:sz="0" w:space="0" w:color="auto"/>
        <w:right w:val="none" w:sz="0" w:space="0" w:color="auto"/>
      </w:divBdr>
    </w:div>
    <w:div w:id="732850106">
      <w:bodyDiv w:val="1"/>
      <w:marLeft w:val="0"/>
      <w:marRight w:val="0"/>
      <w:marTop w:val="0"/>
      <w:marBottom w:val="0"/>
      <w:divBdr>
        <w:top w:val="none" w:sz="0" w:space="0" w:color="auto"/>
        <w:left w:val="none" w:sz="0" w:space="0" w:color="auto"/>
        <w:bottom w:val="none" w:sz="0" w:space="0" w:color="auto"/>
        <w:right w:val="none" w:sz="0" w:space="0" w:color="auto"/>
      </w:divBdr>
    </w:div>
    <w:div w:id="734861649">
      <w:bodyDiv w:val="1"/>
      <w:marLeft w:val="0"/>
      <w:marRight w:val="0"/>
      <w:marTop w:val="0"/>
      <w:marBottom w:val="0"/>
      <w:divBdr>
        <w:top w:val="none" w:sz="0" w:space="0" w:color="auto"/>
        <w:left w:val="none" w:sz="0" w:space="0" w:color="auto"/>
        <w:bottom w:val="none" w:sz="0" w:space="0" w:color="auto"/>
        <w:right w:val="none" w:sz="0" w:space="0" w:color="auto"/>
      </w:divBdr>
    </w:div>
    <w:div w:id="736057249">
      <w:bodyDiv w:val="1"/>
      <w:marLeft w:val="0"/>
      <w:marRight w:val="0"/>
      <w:marTop w:val="0"/>
      <w:marBottom w:val="0"/>
      <w:divBdr>
        <w:top w:val="none" w:sz="0" w:space="0" w:color="auto"/>
        <w:left w:val="none" w:sz="0" w:space="0" w:color="auto"/>
        <w:bottom w:val="none" w:sz="0" w:space="0" w:color="auto"/>
        <w:right w:val="none" w:sz="0" w:space="0" w:color="auto"/>
      </w:divBdr>
    </w:div>
    <w:div w:id="738787411">
      <w:bodyDiv w:val="1"/>
      <w:marLeft w:val="0"/>
      <w:marRight w:val="0"/>
      <w:marTop w:val="0"/>
      <w:marBottom w:val="0"/>
      <w:divBdr>
        <w:top w:val="none" w:sz="0" w:space="0" w:color="auto"/>
        <w:left w:val="none" w:sz="0" w:space="0" w:color="auto"/>
        <w:bottom w:val="none" w:sz="0" w:space="0" w:color="auto"/>
        <w:right w:val="none" w:sz="0" w:space="0" w:color="auto"/>
      </w:divBdr>
    </w:div>
    <w:div w:id="754789968">
      <w:bodyDiv w:val="1"/>
      <w:marLeft w:val="0"/>
      <w:marRight w:val="0"/>
      <w:marTop w:val="0"/>
      <w:marBottom w:val="0"/>
      <w:divBdr>
        <w:top w:val="none" w:sz="0" w:space="0" w:color="auto"/>
        <w:left w:val="none" w:sz="0" w:space="0" w:color="auto"/>
        <w:bottom w:val="none" w:sz="0" w:space="0" w:color="auto"/>
        <w:right w:val="none" w:sz="0" w:space="0" w:color="auto"/>
      </w:divBdr>
    </w:div>
    <w:div w:id="758333911">
      <w:bodyDiv w:val="1"/>
      <w:marLeft w:val="0"/>
      <w:marRight w:val="0"/>
      <w:marTop w:val="0"/>
      <w:marBottom w:val="0"/>
      <w:divBdr>
        <w:top w:val="none" w:sz="0" w:space="0" w:color="auto"/>
        <w:left w:val="none" w:sz="0" w:space="0" w:color="auto"/>
        <w:bottom w:val="none" w:sz="0" w:space="0" w:color="auto"/>
        <w:right w:val="none" w:sz="0" w:space="0" w:color="auto"/>
      </w:divBdr>
    </w:div>
    <w:div w:id="760226192">
      <w:bodyDiv w:val="1"/>
      <w:marLeft w:val="0"/>
      <w:marRight w:val="0"/>
      <w:marTop w:val="0"/>
      <w:marBottom w:val="0"/>
      <w:divBdr>
        <w:top w:val="none" w:sz="0" w:space="0" w:color="auto"/>
        <w:left w:val="none" w:sz="0" w:space="0" w:color="auto"/>
        <w:bottom w:val="none" w:sz="0" w:space="0" w:color="auto"/>
        <w:right w:val="none" w:sz="0" w:space="0" w:color="auto"/>
      </w:divBdr>
    </w:div>
    <w:div w:id="778257247">
      <w:bodyDiv w:val="1"/>
      <w:marLeft w:val="0"/>
      <w:marRight w:val="0"/>
      <w:marTop w:val="0"/>
      <w:marBottom w:val="0"/>
      <w:divBdr>
        <w:top w:val="none" w:sz="0" w:space="0" w:color="auto"/>
        <w:left w:val="none" w:sz="0" w:space="0" w:color="auto"/>
        <w:bottom w:val="none" w:sz="0" w:space="0" w:color="auto"/>
        <w:right w:val="none" w:sz="0" w:space="0" w:color="auto"/>
      </w:divBdr>
    </w:div>
    <w:div w:id="780611369">
      <w:bodyDiv w:val="1"/>
      <w:marLeft w:val="0"/>
      <w:marRight w:val="0"/>
      <w:marTop w:val="0"/>
      <w:marBottom w:val="0"/>
      <w:divBdr>
        <w:top w:val="none" w:sz="0" w:space="0" w:color="auto"/>
        <w:left w:val="none" w:sz="0" w:space="0" w:color="auto"/>
        <w:bottom w:val="none" w:sz="0" w:space="0" w:color="auto"/>
        <w:right w:val="none" w:sz="0" w:space="0" w:color="auto"/>
      </w:divBdr>
    </w:div>
    <w:div w:id="786117587">
      <w:bodyDiv w:val="1"/>
      <w:marLeft w:val="0"/>
      <w:marRight w:val="0"/>
      <w:marTop w:val="0"/>
      <w:marBottom w:val="0"/>
      <w:divBdr>
        <w:top w:val="none" w:sz="0" w:space="0" w:color="auto"/>
        <w:left w:val="none" w:sz="0" w:space="0" w:color="auto"/>
        <w:bottom w:val="none" w:sz="0" w:space="0" w:color="auto"/>
        <w:right w:val="none" w:sz="0" w:space="0" w:color="auto"/>
      </w:divBdr>
    </w:div>
    <w:div w:id="787553825">
      <w:bodyDiv w:val="1"/>
      <w:marLeft w:val="0"/>
      <w:marRight w:val="0"/>
      <w:marTop w:val="0"/>
      <w:marBottom w:val="0"/>
      <w:divBdr>
        <w:top w:val="none" w:sz="0" w:space="0" w:color="auto"/>
        <w:left w:val="none" w:sz="0" w:space="0" w:color="auto"/>
        <w:bottom w:val="none" w:sz="0" w:space="0" w:color="auto"/>
        <w:right w:val="none" w:sz="0" w:space="0" w:color="auto"/>
      </w:divBdr>
    </w:div>
    <w:div w:id="794369586">
      <w:bodyDiv w:val="1"/>
      <w:marLeft w:val="0"/>
      <w:marRight w:val="0"/>
      <w:marTop w:val="0"/>
      <w:marBottom w:val="0"/>
      <w:divBdr>
        <w:top w:val="none" w:sz="0" w:space="0" w:color="auto"/>
        <w:left w:val="none" w:sz="0" w:space="0" w:color="auto"/>
        <w:bottom w:val="none" w:sz="0" w:space="0" w:color="auto"/>
        <w:right w:val="none" w:sz="0" w:space="0" w:color="auto"/>
      </w:divBdr>
    </w:div>
    <w:div w:id="796795524">
      <w:bodyDiv w:val="1"/>
      <w:marLeft w:val="0"/>
      <w:marRight w:val="0"/>
      <w:marTop w:val="0"/>
      <w:marBottom w:val="0"/>
      <w:divBdr>
        <w:top w:val="none" w:sz="0" w:space="0" w:color="auto"/>
        <w:left w:val="none" w:sz="0" w:space="0" w:color="auto"/>
        <w:bottom w:val="none" w:sz="0" w:space="0" w:color="auto"/>
        <w:right w:val="none" w:sz="0" w:space="0" w:color="auto"/>
      </w:divBdr>
    </w:div>
    <w:div w:id="798230239">
      <w:bodyDiv w:val="1"/>
      <w:marLeft w:val="0"/>
      <w:marRight w:val="0"/>
      <w:marTop w:val="0"/>
      <w:marBottom w:val="0"/>
      <w:divBdr>
        <w:top w:val="none" w:sz="0" w:space="0" w:color="auto"/>
        <w:left w:val="none" w:sz="0" w:space="0" w:color="auto"/>
        <w:bottom w:val="none" w:sz="0" w:space="0" w:color="auto"/>
        <w:right w:val="none" w:sz="0" w:space="0" w:color="auto"/>
      </w:divBdr>
    </w:div>
    <w:div w:id="799766651">
      <w:bodyDiv w:val="1"/>
      <w:marLeft w:val="0"/>
      <w:marRight w:val="0"/>
      <w:marTop w:val="0"/>
      <w:marBottom w:val="0"/>
      <w:divBdr>
        <w:top w:val="none" w:sz="0" w:space="0" w:color="auto"/>
        <w:left w:val="none" w:sz="0" w:space="0" w:color="auto"/>
        <w:bottom w:val="none" w:sz="0" w:space="0" w:color="auto"/>
        <w:right w:val="none" w:sz="0" w:space="0" w:color="auto"/>
      </w:divBdr>
    </w:div>
    <w:div w:id="806053173">
      <w:bodyDiv w:val="1"/>
      <w:marLeft w:val="0"/>
      <w:marRight w:val="0"/>
      <w:marTop w:val="0"/>
      <w:marBottom w:val="0"/>
      <w:divBdr>
        <w:top w:val="none" w:sz="0" w:space="0" w:color="auto"/>
        <w:left w:val="none" w:sz="0" w:space="0" w:color="auto"/>
        <w:bottom w:val="none" w:sz="0" w:space="0" w:color="auto"/>
        <w:right w:val="none" w:sz="0" w:space="0" w:color="auto"/>
      </w:divBdr>
    </w:div>
    <w:div w:id="816725779">
      <w:bodyDiv w:val="1"/>
      <w:marLeft w:val="0"/>
      <w:marRight w:val="0"/>
      <w:marTop w:val="0"/>
      <w:marBottom w:val="0"/>
      <w:divBdr>
        <w:top w:val="none" w:sz="0" w:space="0" w:color="auto"/>
        <w:left w:val="none" w:sz="0" w:space="0" w:color="auto"/>
        <w:bottom w:val="none" w:sz="0" w:space="0" w:color="auto"/>
        <w:right w:val="none" w:sz="0" w:space="0" w:color="auto"/>
      </w:divBdr>
    </w:div>
    <w:div w:id="817385057">
      <w:bodyDiv w:val="1"/>
      <w:marLeft w:val="0"/>
      <w:marRight w:val="0"/>
      <w:marTop w:val="0"/>
      <w:marBottom w:val="0"/>
      <w:divBdr>
        <w:top w:val="none" w:sz="0" w:space="0" w:color="auto"/>
        <w:left w:val="none" w:sz="0" w:space="0" w:color="auto"/>
        <w:bottom w:val="none" w:sz="0" w:space="0" w:color="auto"/>
        <w:right w:val="none" w:sz="0" w:space="0" w:color="auto"/>
      </w:divBdr>
    </w:div>
    <w:div w:id="819007966">
      <w:bodyDiv w:val="1"/>
      <w:marLeft w:val="0"/>
      <w:marRight w:val="0"/>
      <w:marTop w:val="0"/>
      <w:marBottom w:val="0"/>
      <w:divBdr>
        <w:top w:val="none" w:sz="0" w:space="0" w:color="auto"/>
        <w:left w:val="none" w:sz="0" w:space="0" w:color="auto"/>
        <w:bottom w:val="none" w:sz="0" w:space="0" w:color="auto"/>
        <w:right w:val="none" w:sz="0" w:space="0" w:color="auto"/>
      </w:divBdr>
    </w:div>
    <w:div w:id="821122629">
      <w:bodyDiv w:val="1"/>
      <w:marLeft w:val="0"/>
      <w:marRight w:val="0"/>
      <w:marTop w:val="0"/>
      <w:marBottom w:val="0"/>
      <w:divBdr>
        <w:top w:val="none" w:sz="0" w:space="0" w:color="auto"/>
        <w:left w:val="none" w:sz="0" w:space="0" w:color="auto"/>
        <w:bottom w:val="none" w:sz="0" w:space="0" w:color="auto"/>
        <w:right w:val="none" w:sz="0" w:space="0" w:color="auto"/>
      </w:divBdr>
    </w:div>
    <w:div w:id="824474554">
      <w:bodyDiv w:val="1"/>
      <w:marLeft w:val="0"/>
      <w:marRight w:val="0"/>
      <w:marTop w:val="0"/>
      <w:marBottom w:val="0"/>
      <w:divBdr>
        <w:top w:val="none" w:sz="0" w:space="0" w:color="auto"/>
        <w:left w:val="none" w:sz="0" w:space="0" w:color="auto"/>
        <w:bottom w:val="none" w:sz="0" w:space="0" w:color="auto"/>
        <w:right w:val="none" w:sz="0" w:space="0" w:color="auto"/>
      </w:divBdr>
    </w:div>
    <w:div w:id="827745828">
      <w:bodyDiv w:val="1"/>
      <w:marLeft w:val="0"/>
      <w:marRight w:val="0"/>
      <w:marTop w:val="0"/>
      <w:marBottom w:val="0"/>
      <w:divBdr>
        <w:top w:val="none" w:sz="0" w:space="0" w:color="auto"/>
        <w:left w:val="none" w:sz="0" w:space="0" w:color="auto"/>
        <w:bottom w:val="none" w:sz="0" w:space="0" w:color="auto"/>
        <w:right w:val="none" w:sz="0" w:space="0" w:color="auto"/>
      </w:divBdr>
    </w:div>
    <w:div w:id="831217733">
      <w:bodyDiv w:val="1"/>
      <w:marLeft w:val="0"/>
      <w:marRight w:val="0"/>
      <w:marTop w:val="0"/>
      <w:marBottom w:val="0"/>
      <w:divBdr>
        <w:top w:val="none" w:sz="0" w:space="0" w:color="auto"/>
        <w:left w:val="none" w:sz="0" w:space="0" w:color="auto"/>
        <w:bottom w:val="none" w:sz="0" w:space="0" w:color="auto"/>
        <w:right w:val="none" w:sz="0" w:space="0" w:color="auto"/>
      </w:divBdr>
    </w:div>
    <w:div w:id="832450764">
      <w:bodyDiv w:val="1"/>
      <w:marLeft w:val="0"/>
      <w:marRight w:val="0"/>
      <w:marTop w:val="0"/>
      <w:marBottom w:val="0"/>
      <w:divBdr>
        <w:top w:val="none" w:sz="0" w:space="0" w:color="auto"/>
        <w:left w:val="none" w:sz="0" w:space="0" w:color="auto"/>
        <w:bottom w:val="none" w:sz="0" w:space="0" w:color="auto"/>
        <w:right w:val="none" w:sz="0" w:space="0" w:color="auto"/>
      </w:divBdr>
    </w:div>
    <w:div w:id="834803281">
      <w:bodyDiv w:val="1"/>
      <w:marLeft w:val="0"/>
      <w:marRight w:val="0"/>
      <w:marTop w:val="0"/>
      <w:marBottom w:val="0"/>
      <w:divBdr>
        <w:top w:val="none" w:sz="0" w:space="0" w:color="auto"/>
        <w:left w:val="none" w:sz="0" w:space="0" w:color="auto"/>
        <w:bottom w:val="none" w:sz="0" w:space="0" w:color="auto"/>
        <w:right w:val="none" w:sz="0" w:space="0" w:color="auto"/>
      </w:divBdr>
    </w:div>
    <w:div w:id="839925448">
      <w:bodyDiv w:val="1"/>
      <w:marLeft w:val="0"/>
      <w:marRight w:val="0"/>
      <w:marTop w:val="0"/>
      <w:marBottom w:val="0"/>
      <w:divBdr>
        <w:top w:val="none" w:sz="0" w:space="0" w:color="auto"/>
        <w:left w:val="none" w:sz="0" w:space="0" w:color="auto"/>
        <w:bottom w:val="none" w:sz="0" w:space="0" w:color="auto"/>
        <w:right w:val="none" w:sz="0" w:space="0" w:color="auto"/>
      </w:divBdr>
    </w:div>
    <w:div w:id="840698071">
      <w:bodyDiv w:val="1"/>
      <w:marLeft w:val="0"/>
      <w:marRight w:val="0"/>
      <w:marTop w:val="0"/>
      <w:marBottom w:val="0"/>
      <w:divBdr>
        <w:top w:val="none" w:sz="0" w:space="0" w:color="auto"/>
        <w:left w:val="none" w:sz="0" w:space="0" w:color="auto"/>
        <w:bottom w:val="none" w:sz="0" w:space="0" w:color="auto"/>
        <w:right w:val="none" w:sz="0" w:space="0" w:color="auto"/>
      </w:divBdr>
    </w:div>
    <w:div w:id="841966603">
      <w:bodyDiv w:val="1"/>
      <w:marLeft w:val="0"/>
      <w:marRight w:val="0"/>
      <w:marTop w:val="0"/>
      <w:marBottom w:val="0"/>
      <w:divBdr>
        <w:top w:val="none" w:sz="0" w:space="0" w:color="auto"/>
        <w:left w:val="none" w:sz="0" w:space="0" w:color="auto"/>
        <w:bottom w:val="none" w:sz="0" w:space="0" w:color="auto"/>
        <w:right w:val="none" w:sz="0" w:space="0" w:color="auto"/>
      </w:divBdr>
    </w:div>
    <w:div w:id="852652015">
      <w:bodyDiv w:val="1"/>
      <w:marLeft w:val="0"/>
      <w:marRight w:val="0"/>
      <w:marTop w:val="0"/>
      <w:marBottom w:val="0"/>
      <w:divBdr>
        <w:top w:val="none" w:sz="0" w:space="0" w:color="auto"/>
        <w:left w:val="none" w:sz="0" w:space="0" w:color="auto"/>
        <w:bottom w:val="none" w:sz="0" w:space="0" w:color="auto"/>
        <w:right w:val="none" w:sz="0" w:space="0" w:color="auto"/>
      </w:divBdr>
    </w:div>
    <w:div w:id="863861167">
      <w:bodyDiv w:val="1"/>
      <w:marLeft w:val="0"/>
      <w:marRight w:val="0"/>
      <w:marTop w:val="0"/>
      <w:marBottom w:val="0"/>
      <w:divBdr>
        <w:top w:val="none" w:sz="0" w:space="0" w:color="auto"/>
        <w:left w:val="none" w:sz="0" w:space="0" w:color="auto"/>
        <w:bottom w:val="none" w:sz="0" w:space="0" w:color="auto"/>
        <w:right w:val="none" w:sz="0" w:space="0" w:color="auto"/>
      </w:divBdr>
    </w:div>
    <w:div w:id="870997490">
      <w:bodyDiv w:val="1"/>
      <w:marLeft w:val="0"/>
      <w:marRight w:val="0"/>
      <w:marTop w:val="0"/>
      <w:marBottom w:val="0"/>
      <w:divBdr>
        <w:top w:val="none" w:sz="0" w:space="0" w:color="auto"/>
        <w:left w:val="none" w:sz="0" w:space="0" w:color="auto"/>
        <w:bottom w:val="none" w:sz="0" w:space="0" w:color="auto"/>
        <w:right w:val="none" w:sz="0" w:space="0" w:color="auto"/>
      </w:divBdr>
    </w:div>
    <w:div w:id="872039150">
      <w:bodyDiv w:val="1"/>
      <w:marLeft w:val="0"/>
      <w:marRight w:val="0"/>
      <w:marTop w:val="0"/>
      <w:marBottom w:val="0"/>
      <w:divBdr>
        <w:top w:val="none" w:sz="0" w:space="0" w:color="auto"/>
        <w:left w:val="none" w:sz="0" w:space="0" w:color="auto"/>
        <w:bottom w:val="none" w:sz="0" w:space="0" w:color="auto"/>
        <w:right w:val="none" w:sz="0" w:space="0" w:color="auto"/>
      </w:divBdr>
    </w:div>
    <w:div w:id="876697305">
      <w:bodyDiv w:val="1"/>
      <w:marLeft w:val="0"/>
      <w:marRight w:val="0"/>
      <w:marTop w:val="0"/>
      <w:marBottom w:val="0"/>
      <w:divBdr>
        <w:top w:val="none" w:sz="0" w:space="0" w:color="auto"/>
        <w:left w:val="none" w:sz="0" w:space="0" w:color="auto"/>
        <w:bottom w:val="none" w:sz="0" w:space="0" w:color="auto"/>
        <w:right w:val="none" w:sz="0" w:space="0" w:color="auto"/>
      </w:divBdr>
    </w:div>
    <w:div w:id="877472379">
      <w:bodyDiv w:val="1"/>
      <w:marLeft w:val="0"/>
      <w:marRight w:val="0"/>
      <w:marTop w:val="0"/>
      <w:marBottom w:val="0"/>
      <w:divBdr>
        <w:top w:val="none" w:sz="0" w:space="0" w:color="auto"/>
        <w:left w:val="none" w:sz="0" w:space="0" w:color="auto"/>
        <w:bottom w:val="none" w:sz="0" w:space="0" w:color="auto"/>
        <w:right w:val="none" w:sz="0" w:space="0" w:color="auto"/>
      </w:divBdr>
    </w:div>
    <w:div w:id="878511790">
      <w:bodyDiv w:val="1"/>
      <w:marLeft w:val="0"/>
      <w:marRight w:val="0"/>
      <w:marTop w:val="0"/>
      <w:marBottom w:val="0"/>
      <w:divBdr>
        <w:top w:val="none" w:sz="0" w:space="0" w:color="auto"/>
        <w:left w:val="none" w:sz="0" w:space="0" w:color="auto"/>
        <w:bottom w:val="none" w:sz="0" w:space="0" w:color="auto"/>
        <w:right w:val="none" w:sz="0" w:space="0" w:color="auto"/>
      </w:divBdr>
    </w:div>
    <w:div w:id="886141346">
      <w:bodyDiv w:val="1"/>
      <w:marLeft w:val="0"/>
      <w:marRight w:val="0"/>
      <w:marTop w:val="0"/>
      <w:marBottom w:val="0"/>
      <w:divBdr>
        <w:top w:val="none" w:sz="0" w:space="0" w:color="auto"/>
        <w:left w:val="none" w:sz="0" w:space="0" w:color="auto"/>
        <w:bottom w:val="none" w:sz="0" w:space="0" w:color="auto"/>
        <w:right w:val="none" w:sz="0" w:space="0" w:color="auto"/>
      </w:divBdr>
    </w:div>
    <w:div w:id="896018025">
      <w:bodyDiv w:val="1"/>
      <w:marLeft w:val="0"/>
      <w:marRight w:val="0"/>
      <w:marTop w:val="0"/>
      <w:marBottom w:val="0"/>
      <w:divBdr>
        <w:top w:val="none" w:sz="0" w:space="0" w:color="auto"/>
        <w:left w:val="none" w:sz="0" w:space="0" w:color="auto"/>
        <w:bottom w:val="none" w:sz="0" w:space="0" w:color="auto"/>
        <w:right w:val="none" w:sz="0" w:space="0" w:color="auto"/>
      </w:divBdr>
    </w:div>
    <w:div w:id="901912966">
      <w:bodyDiv w:val="1"/>
      <w:marLeft w:val="0"/>
      <w:marRight w:val="0"/>
      <w:marTop w:val="0"/>
      <w:marBottom w:val="0"/>
      <w:divBdr>
        <w:top w:val="none" w:sz="0" w:space="0" w:color="auto"/>
        <w:left w:val="none" w:sz="0" w:space="0" w:color="auto"/>
        <w:bottom w:val="none" w:sz="0" w:space="0" w:color="auto"/>
        <w:right w:val="none" w:sz="0" w:space="0" w:color="auto"/>
      </w:divBdr>
    </w:div>
    <w:div w:id="906693498">
      <w:bodyDiv w:val="1"/>
      <w:marLeft w:val="0"/>
      <w:marRight w:val="0"/>
      <w:marTop w:val="0"/>
      <w:marBottom w:val="0"/>
      <w:divBdr>
        <w:top w:val="none" w:sz="0" w:space="0" w:color="auto"/>
        <w:left w:val="none" w:sz="0" w:space="0" w:color="auto"/>
        <w:bottom w:val="none" w:sz="0" w:space="0" w:color="auto"/>
        <w:right w:val="none" w:sz="0" w:space="0" w:color="auto"/>
      </w:divBdr>
    </w:div>
    <w:div w:id="910697949">
      <w:bodyDiv w:val="1"/>
      <w:marLeft w:val="0"/>
      <w:marRight w:val="0"/>
      <w:marTop w:val="0"/>
      <w:marBottom w:val="0"/>
      <w:divBdr>
        <w:top w:val="none" w:sz="0" w:space="0" w:color="auto"/>
        <w:left w:val="none" w:sz="0" w:space="0" w:color="auto"/>
        <w:bottom w:val="none" w:sz="0" w:space="0" w:color="auto"/>
        <w:right w:val="none" w:sz="0" w:space="0" w:color="auto"/>
      </w:divBdr>
      <w:divsChild>
        <w:div w:id="366417519">
          <w:marLeft w:val="0"/>
          <w:marRight w:val="0"/>
          <w:marTop w:val="0"/>
          <w:marBottom w:val="0"/>
          <w:divBdr>
            <w:top w:val="none" w:sz="0" w:space="0" w:color="auto"/>
            <w:left w:val="none" w:sz="0" w:space="0" w:color="auto"/>
            <w:bottom w:val="none" w:sz="0" w:space="0" w:color="auto"/>
            <w:right w:val="none" w:sz="0" w:space="0" w:color="auto"/>
          </w:divBdr>
          <w:divsChild>
            <w:div w:id="1558127702">
              <w:marLeft w:val="0"/>
              <w:marRight w:val="0"/>
              <w:marTop w:val="0"/>
              <w:marBottom w:val="0"/>
              <w:divBdr>
                <w:top w:val="none" w:sz="0" w:space="0" w:color="auto"/>
                <w:left w:val="none" w:sz="0" w:space="0" w:color="auto"/>
                <w:bottom w:val="none" w:sz="0" w:space="0" w:color="auto"/>
                <w:right w:val="none" w:sz="0" w:space="0" w:color="auto"/>
              </w:divBdr>
            </w:div>
          </w:divsChild>
        </w:div>
        <w:div w:id="1995526062">
          <w:marLeft w:val="0"/>
          <w:marRight w:val="0"/>
          <w:marTop w:val="0"/>
          <w:marBottom w:val="0"/>
          <w:divBdr>
            <w:top w:val="none" w:sz="0" w:space="0" w:color="auto"/>
            <w:left w:val="none" w:sz="0" w:space="0" w:color="auto"/>
            <w:bottom w:val="none" w:sz="0" w:space="0" w:color="auto"/>
            <w:right w:val="none" w:sz="0" w:space="0" w:color="auto"/>
          </w:divBdr>
          <w:divsChild>
            <w:div w:id="669213366">
              <w:marLeft w:val="0"/>
              <w:marRight w:val="0"/>
              <w:marTop w:val="0"/>
              <w:marBottom w:val="0"/>
              <w:divBdr>
                <w:top w:val="none" w:sz="0" w:space="0" w:color="auto"/>
                <w:left w:val="none" w:sz="0" w:space="0" w:color="auto"/>
                <w:bottom w:val="none" w:sz="0" w:space="0" w:color="auto"/>
                <w:right w:val="none" w:sz="0" w:space="0" w:color="auto"/>
              </w:divBdr>
            </w:div>
          </w:divsChild>
        </w:div>
        <w:div w:id="1540168175">
          <w:marLeft w:val="0"/>
          <w:marRight w:val="0"/>
          <w:marTop w:val="0"/>
          <w:marBottom w:val="0"/>
          <w:divBdr>
            <w:top w:val="none" w:sz="0" w:space="0" w:color="auto"/>
            <w:left w:val="none" w:sz="0" w:space="0" w:color="auto"/>
            <w:bottom w:val="none" w:sz="0" w:space="0" w:color="auto"/>
            <w:right w:val="none" w:sz="0" w:space="0" w:color="auto"/>
          </w:divBdr>
          <w:divsChild>
            <w:div w:id="1436633185">
              <w:marLeft w:val="0"/>
              <w:marRight w:val="0"/>
              <w:marTop w:val="0"/>
              <w:marBottom w:val="0"/>
              <w:divBdr>
                <w:top w:val="none" w:sz="0" w:space="0" w:color="auto"/>
                <w:left w:val="none" w:sz="0" w:space="0" w:color="auto"/>
                <w:bottom w:val="none" w:sz="0" w:space="0" w:color="auto"/>
                <w:right w:val="none" w:sz="0" w:space="0" w:color="auto"/>
              </w:divBdr>
            </w:div>
          </w:divsChild>
        </w:div>
        <w:div w:id="1927838613">
          <w:marLeft w:val="0"/>
          <w:marRight w:val="0"/>
          <w:marTop w:val="0"/>
          <w:marBottom w:val="0"/>
          <w:divBdr>
            <w:top w:val="none" w:sz="0" w:space="0" w:color="auto"/>
            <w:left w:val="none" w:sz="0" w:space="0" w:color="auto"/>
            <w:bottom w:val="none" w:sz="0" w:space="0" w:color="auto"/>
            <w:right w:val="none" w:sz="0" w:space="0" w:color="auto"/>
          </w:divBdr>
          <w:divsChild>
            <w:div w:id="1964262051">
              <w:marLeft w:val="0"/>
              <w:marRight w:val="0"/>
              <w:marTop w:val="0"/>
              <w:marBottom w:val="0"/>
              <w:divBdr>
                <w:top w:val="none" w:sz="0" w:space="0" w:color="auto"/>
                <w:left w:val="none" w:sz="0" w:space="0" w:color="auto"/>
                <w:bottom w:val="none" w:sz="0" w:space="0" w:color="auto"/>
                <w:right w:val="none" w:sz="0" w:space="0" w:color="auto"/>
              </w:divBdr>
            </w:div>
          </w:divsChild>
        </w:div>
        <w:div w:id="1907448831">
          <w:marLeft w:val="0"/>
          <w:marRight w:val="0"/>
          <w:marTop w:val="0"/>
          <w:marBottom w:val="0"/>
          <w:divBdr>
            <w:top w:val="none" w:sz="0" w:space="0" w:color="auto"/>
            <w:left w:val="none" w:sz="0" w:space="0" w:color="auto"/>
            <w:bottom w:val="none" w:sz="0" w:space="0" w:color="auto"/>
            <w:right w:val="none" w:sz="0" w:space="0" w:color="auto"/>
          </w:divBdr>
          <w:divsChild>
            <w:div w:id="484206832">
              <w:marLeft w:val="0"/>
              <w:marRight w:val="0"/>
              <w:marTop w:val="0"/>
              <w:marBottom w:val="0"/>
              <w:divBdr>
                <w:top w:val="none" w:sz="0" w:space="0" w:color="auto"/>
                <w:left w:val="none" w:sz="0" w:space="0" w:color="auto"/>
                <w:bottom w:val="none" w:sz="0" w:space="0" w:color="auto"/>
                <w:right w:val="none" w:sz="0" w:space="0" w:color="auto"/>
              </w:divBdr>
            </w:div>
          </w:divsChild>
        </w:div>
        <w:div w:id="1029264145">
          <w:marLeft w:val="0"/>
          <w:marRight w:val="0"/>
          <w:marTop w:val="0"/>
          <w:marBottom w:val="0"/>
          <w:divBdr>
            <w:top w:val="none" w:sz="0" w:space="0" w:color="auto"/>
            <w:left w:val="none" w:sz="0" w:space="0" w:color="auto"/>
            <w:bottom w:val="none" w:sz="0" w:space="0" w:color="auto"/>
            <w:right w:val="none" w:sz="0" w:space="0" w:color="auto"/>
          </w:divBdr>
          <w:divsChild>
            <w:div w:id="182053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621326">
      <w:bodyDiv w:val="1"/>
      <w:marLeft w:val="0"/>
      <w:marRight w:val="0"/>
      <w:marTop w:val="0"/>
      <w:marBottom w:val="0"/>
      <w:divBdr>
        <w:top w:val="none" w:sz="0" w:space="0" w:color="auto"/>
        <w:left w:val="none" w:sz="0" w:space="0" w:color="auto"/>
        <w:bottom w:val="none" w:sz="0" w:space="0" w:color="auto"/>
        <w:right w:val="none" w:sz="0" w:space="0" w:color="auto"/>
      </w:divBdr>
    </w:div>
    <w:div w:id="920717413">
      <w:bodyDiv w:val="1"/>
      <w:marLeft w:val="0"/>
      <w:marRight w:val="0"/>
      <w:marTop w:val="0"/>
      <w:marBottom w:val="0"/>
      <w:divBdr>
        <w:top w:val="none" w:sz="0" w:space="0" w:color="auto"/>
        <w:left w:val="none" w:sz="0" w:space="0" w:color="auto"/>
        <w:bottom w:val="none" w:sz="0" w:space="0" w:color="auto"/>
        <w:right w:val="none" w:sz="0" w:space="0" w:color="auto"/>
      </w:divBdr>
    </w:div>
    <w:div w:id="934944108">
      <w:bodyDiv w:val="1"/>
      <w:marLeft w:val="0"/>
      <w:marRight w:val="0"/>
      <w:marTop w:val="0"/>
      <w:marBottom w:val="0"/>
      <w:divBdr>
        <w:top w:val="none" w:sz="0" w:space="0" w:color="auto"/>
        <w:left w:val="none" w:sz="0" w:space="0" w:color="auto"/>
        <w:bottom w:val="none" w:sz="0" w:space="0" w:color="auto"/>
        <w:right w:val="none" w:sz="0" w:space="0" w:color="auto"/>
      </w:divBdr>
    </w:div>
    <w:div w:id="937179785">
      <w:bodyDiv w:val="1"/>
      <w:marLeft w:val="0"/>
      <w:marRight w:val="0"/>
      <w:marTop w:val="0"/>
      <w:marBottom w:val="0"/>
      <w:divBdr>
        <w:top w:val="none" w:sz="0" w:space="0" w:color="auto"/>
        <w:left w:val="none" w:sz="0" w:space="0" w:color="auto"/>
        <w:bottom w:val="none" w:sz="0" w:space="0" w:color="auto"/>
        <w:right w:val="none" w:sz="0" w:space="0" w:color="auto"/>
      </w:divBdr>
    </w:div>
    <w:div w:id="943852256">
      <w:bodyDiv w:val="1"/>
      <w:marLeft w:val="0"/>
      <w:marRight w:val="0"/>
      <w:marTop w:val="0"/>
      <w:marBottom w:val="0"/>
      <w:divBdr>
        <w:top w:val="none" w:sz="0" w:space="0" w:color="auto"/>
        <w:left w:val="none" w:sz="0" w:space="0" w:color="auto"/>
        <w:bottom w:val="none" w:sz="0" w:space="0" w:color="auto"/>
        <w:right w:val="none" w:sz="0" w:space="0" w:color="auto"/>
      </w:divBdr>
    </w:div>
    <w:div w:id="945432318">
      <w:bodyDiv w:val="1"/>
      <w:marLeft w:val="0"/>
      <w:marRight w:val="0"/>
      <w:marTop w:val="0"/>
      <w:marBottom w:val="0"/>
      <w:divBdr>
        <w:top w:val="none" w:sz="0" w:space="0" w:color="auto"/>
        <w:left w:val="none" w:sz="0" w:space="0" w:color="auto"/>
        <w:bottom w:val="none" w:sz="0" w:space="0" w:color="auto"/>
        <w:right w:val="none" w:sz="0" w:space="0" w:color="auto"/>
      </w:divBdr>
    </w:div>
    <w:div w:id="951090357">
      <w:bodyDiv w:val="1"/>
      <w:marLeft w:val="0"/>
      <w:marRight w:val="0"/>
      <w:marTop w:val="0"/>
      <w:marBottom w:val="0"/>
      <w:divBdr>
        <w:top w:val="none" w:sz="0" w:space="0" w:color="auto"/>
        <w:left w:val="none" w:sz="0" w:space="0" w:color="auto"/>
        <w:bottom w:val="none" w:sz="0" w:space="0" w:color="auto"/>
        <w:right w:val="none" w:sz="0" w:space="0" w:color="auto"/>
      </w:divBdr>
      <w:divsChild>
        <w:div w:id="862211342">
          <w:marLeft w:val="0"/>
          <w:marRight w:val="0"/>
          <w:marTop w:val="0"/>
          <w:marBottom w:val="0"/>
          <w:divBdr>
            <w:top w:val="none" w:sz="0" w:space="0" w:color="auto"/>
            <w:left w:val="none" w:sz="0" w:space="0" w:color="auto"/>
            <w:bottom w:val="none" w:sz="0" w:space="0" w:color="auto"/>
            <w:right w:val="none" w:sz="0" w:space="0" w:color="auto"/>
          </w:divBdr>
          <w:divsChild>
            <w:div w:id="876552889">
              <w:marLeft w:val="0"/>
              <w:marRight w:val="0"/>
              <w:marTop w:val="0"/>
              <w:marBottom w:val="0"/>
              <w:divBdr>
                <w:top w:val="none" w:sz="0" w:space="0" w:color="auto"/>
                <w:left w:val="none" w:sz="0" w:space="0" w:color="auto"/>
                <w:bottom w:val="none" w:sz="0" w:space="0" w:color="auto"/>
                <w:right w:val="none" w:sz="0" w:space="0" w:color="auto"/>
              </w:divBdr>
            </w:div>
          </w:divsChild>
        </w:div>
        <w:div w:id="993945879">
          <w:marLeft w:val="0"/>
          <w:marRight w:val="0"/>
          <w:marTop w:val="0"/>
          <w:marBottom w:val="0"/>
          <w:divBdr>
            <w:top w:val="none" w:sz="0" w:space="0" w:color="auto"/>
            <w:left w:val="none" w:sz="0" w:space="0" w:color="auto"/>
            <w:bottom w:val="none" w:sz="0" w:space="0" w:color="auto"/>
            <w:right w:val="none" w:sz="0" w:space="0" w:color="auto"/>
          </w:divBdr>
          <w:divsChild>
            <w:div w:id="551382118">
              <w:marLeft w:val="0"/>
              <w:marRight w:val="0"/>
              <w:marTop w:val="0"/>
              <w:marBottom w:val="0"/>
              <w:divBdr>
                <w:top w:val="none" w:sz="0" w:space="0" w:color="auto"/>
                <w:left w:val="none" w:sz="0" w:space="0" w:color="auto"/>
                <w:bottom w:val="none" w:sz="0" w:space="0" w:color="auto"/>
                <w:right w:val="none" w:sz="0" w:space="0" w:color="auto"/>
              </w:divBdr>
            </w:div>
          </w:divsChild>
        </w:div>
        <w:div w:id="712075838">
          <w:marLeft w:val="0"/>
          <w:marRight w:val="0"/>
          <w:marTop w:val="0"/>
          <w:marBottom w:val="0"/>
          <w:divBdr>
            <w:top w:val="none" w:sz="0" w:space="0" w:color="auto"/>
            <w:left w:val="none" w:sz="0" w:space="0" w:color="auto"/>
            <w:bottom w:val="none" w:sz="0" w:space="0" w:color="auto"/>
            <w:right w:val="none" w:sz="0" w:space="0" w:color="auto"/>
          </w:divBdr>
          <w:divsChild>
            <w:div w:id="733696670">
              <w:marLeft w:val="0"/>
              <w:marRight w:val="0"/>
              <w:marTop w:val="0"/>
              <w:marBottom w:val="0"/>
              <w:divBdr>
                <w:top w:val="none" w:sz="0" w:space="0" w:color="auto"/>
                <w:left w:val="none" w:sz="0" w:space="0" w:color="auto"/>
                <w:bottom w:val="none" w:sz="0" w:space="0" w:color="auto"/>
                <w:right w:val="none" w:sz="0" w:space="0" w:color="auto"/>
              </w:divBdr>
            </w:div>
          </w:divsChild>
        </w:div>
        <w:div w:id="1691451175">
          <w:marLeft w:val="0"/>
          <w:marRight w:val="0"/>
          <w:marTop w:val="0"/>
          <w:marBottom w:val="0"/>
          <w:divBdr>
            <w:top w:val="none" w:sz="0" w:space="0" w:color="auto"/>
            <w:left w:val="none" w:sz="0" w:space="0" w:color="auto"/>
            <w:bottom w:val="none" w:sz="0" w:space="0" w:color="auto"/>
            <w:right w:val="none" w:sz="0" w:space="0" w:color="auto"/>
          </w:divBdr>
          <w:divsChild>
            <w:div w:id="1781728092">
              <w:marLeft w:val="0"/>
              <w:marRight w:val="0"/>
              <w:marTop w:val="0"/>
              <w:marBottom w:val="0"/>
              <w:divBdr>
                <w:top w:val="none" w:sz="0" w:space="0" w:color="auto"/>
                <w:left w:val="none" w:sz="0" w:space="0" w:color="auto"/>
                <w:bottom w:val="none" w:sz="0" w:space="0" w:color="auto"/>
                <w:right w:val="none" w:sz="0" w:space="0" w:color="auto"/>
              </w:divBdr>
            </w:div>
          </w:divsChild>
        </w:div>
        <w:div w:id="1465926374">
          <w:marLeft w:val="0"/>
          <w:marRight w:val="0"/>
          <w:marTop w:val="0"/>
          <w:marBottom w:val="0"/>
          <w:divBdr>
            <w:top w:val="none" w:sz="0" w:space="0" w:color="auto"/>
            <w:left w:val="none" w:sz="0" w:space="0" w:color="auto"/>
            <w:bottom w:val="none" w:sz="0" w:space="0" w:color="auto"/>
            <w:right w:val="none" w:sz="0" w:space="0" w:color="auto"/>
          </w:divBdr>
          <w:divsChild>
            <w:div w:id="992680373">
              <w:marLeft w:val="0"/>
              <w:marRight w:val="0"/>
              <w:marTop w:val="0"/>
              <w:marBottom w:val="0"/>
              <w:divBdr>
                <w:top w:val="none" w:sz="0" w:space="0" w:color="auto"/>
                <w:left w:val="none" w:sz="0" w:space="0" w:color="auto"/>
                <w:bottom w:val="none" w:sz="0" w:space="0" w:color="auto"/>
                <w:right w:val="none" w:sz="0" w:space="0" w:color="auto"/>
              </w:divBdr>
            </w:div>
          </w:divsChild>
        </w:div>
        <w:div w:id="1004170567">
          <w:marLeft w:val="0"/>
          <w:marRight w:val="0"/>
          <w:marTop w:val="0"/>
          <w:marBottom w:val="0"/>
          <w:divBdr>
            <w:top w:val="none" w:sz="0" w:space="0" w:color="auto"/>
            <w:left w:val="none" w:sz="0" w:space="0" w:color="auto"/>
            <w:bottom w:val="none" w:sz="0" w:space="0" w:color="auto"/>
            <w:right w:val="none" w:sz="0" w:space="0" w:color="auto"/>
          </w:divBdr>
          <w:divsChild>
            <w:div w:id="449905062">
              <w:marLeft w:val="0"/>
              <w:marRight w:val="0"/>
              <w:marTop w:val="0"/>
              <w:marBottom w:val="0"/>
              <w:divBdr>
                <w:top w:val="none" w:sz="0" w:space="0" w:color="auto"/>
                <w:left w:val="none" w:sz="0" w:space="0" w:color="auto"/>
                <w:bottom w:val="none" w:sz="0" w:space="0" w:color="auto"/>
                <w:right w:val="none" w:sz="0" w:space="0" w:color="auto"/>
              </w:divBdr>
            </w:div>
          </w:divsChild>
        </w:div>
        <w:div w:id="491333019">
          <w:marLeft w:val="0"/>
          <w:marRight w:val="0"/>
          <w:marTop w:val="0"/>
          <w:marBottom w:val="0"/>
          <w:divBdr>
            <w:top w:val="none" w:sz="0" w:space="0" w:color="auto"/>
            <w:left w:val="none" w:sz="0" w:space="0" w:color="auto"/>
            <w:bottom w:val="none" w:sz="0" w:space="0" w:color="auto"/>
            <w:right w:val="none" w:sz="0" w:space="0" w:color="auto"/>
          </w:divBdr>
          <w:divsChild>
            <w:div w:id="1991597944">
              <w:marLeft w:val="0"/>
              <w:marRight w:val="0"/>
              <w:marTop w:val="0"/>
              <w:marBottom w:val="0"/>
              <w:divBdr>
                <w:top w:val="none" w:sz="0" w:space="0" w:color="auto"/>
                <w:left w:val="none" w:sz="0" w:space="0" w:color="auto"/>
                <w:bottom w:val="none" w:sz="0" w:space="0" w:color="auto"/>
                <w:right w:val="none" w:sz="0" w:space="0" w:color="auto"/>
              </w:divBdr>
            </w:div>
          </w:divsChild>
        </w:div>
        <w:div w:id="478575351">
          <w:marLeft w:val="0"/>
          <w:marRight w:val="0"/>
          <w:marTop w:val="0"/>
          <w:marBottom w:val="0"/>
          <w:divBdr>
            <w:top w:val="none" w:sz="0" w:space="0" w:color="auto"/>
            <w:left w:val="none" w:sz="0" w:space="0" w:color="auto"/>
            <w:bottom w:val="none" w:sz="0" w:space="0" w:color="auto"/>
            <w:right w:val="none" w:sz="0" w:space="0" w:color="auto"/>
          </w:divBdr>
          <w:divsChild>
            <w:div w:id="1160345188">
              <w:marLeft w:val="0"/>
              <w:marRight w:val="0"/>
              <w:marTop w:val="0"/>
              <w:marBottom w:val="0"/>
              <w:divBdr>
                <w:top w:val="none" w:sz="0" w:space="0" w:color="auto"/>
                <w:left w:val="none" w:sz="0" w:space="0" w:color="auto"/>
                <w:bottom w:val="none" w:sz="0" w:space="0" w:color="auto"/>
                <w:right w:val="none" w:sz="0" w:space="0" w:color="auto"/>
              </w:divBdr>
            </w:div>
            <w:div w:id="2047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911468">
      <w:bodyDiv w:val="1"/>
      <w:marLeft w:val="0"/>
      <w:marRight w:val="0"/>
      <w:marTop w:val="0"/>
      <w:marBottom w:val="0"/>
      <w:divBdr>
        <w:top w:val="none" w:sz="0" w:space="0" w:color="auto"/>
        <w:left w:val="none" w:sz="0" w:space="0" w:color="auto"/>
        <w:bottom w:val="none" w:sz="0" w:space="0" w:color="auto"/>
        <w:right w:val="none" w:sz="0" w:space="0" w:color="auto"/>
      </w:divBdr>
    </w:div>
    <w:div w:id="959729895">
      <w:bodyDiv w:val="1"/>
      <w:marLeft w:val="0"/>
      <w:marRight w:val="0"/>
      <w:marTop w:val="0"/>
      <w:marBottom w:val="0"/>
      <w:divBdr>
        <w:top w:val="none" w:sz="0" w:space="0" w:color="auto"/>
        <w:left w:val="none" w:sz="0" w:space="0" w:color="auto"/>
        <w:bottom w:val="none" w:sz="0" w:space="0" w:color="auto"/>
        <w:right w:val="none" w:sz="0" w:space="0" w:color="auto"/>
      </w:divBdr>
    </w:div>
    <w:div w:id="961888997">
      <w:bodyDiv w:val="1"/>
      <w:marLeft w:val="0"/>
      <w:marRight w:val="0"/>
      <w:marTop w:val="0"/>
      <w:marBottom w:val="0"/>
      <w:divBdr>
        <w:top w:val="none" w:sz="0" w:space="0" w:color="auto"/>
        <w:left w:val="none" w:sz="0" w:space="0" w:color="auto"/>
        <w:bottom w:val="none" w:sz="0" w:space="0" w:color="auto"/>
        <w:right w:val="none" w:sz="0" w:space="0" w:color="auto"/>
      </w:divBdr>
    </w:div>
    <w:div w:id="963660285">
      <w:bodyDiv w:val="1"/>
      <w:marLeft w:val="0"/>
      <w:marRight w:val="0"/>
      <w:marTop w:val="0"/>
      <w:marBottom w:val="0"/>
      <w:divBdr>
        <w:top w:val="none" w:sz="0" w:space="0" w:color="auto"/>
        <w:left w:val="none" w:sz="0" w:space="0" w:color="auto"/>
        <w:bottom w:val="none" w:sz="0" w:space="0" w:color="auto"/>
        <w:right w:val="none" w:sz="0" w:space="0" w:color="auto"/>
      </w:divBdr>
    </w:div>
    <w:div w:id="965162531">
      <w:bodyDiv w:val="1"/>
      <w:marLeft w:val="0"/>
      <w:marRight w:val="0"/>
      <w:marTop w:val="0"/>
      <w:marBottom w:val="0"/>
      <w:divBdr>
        <w:top w:val="none" w:sz="0" w:space="0" w:color="auto"/>
        <w:left w:val="none" w:sz="0" w:space="0" w:color="auto"/>
        <w:bottom w:val="none" w:sz="0" w:space="0" w:color="auto"/>
        <w:right w:val="none" w:sz="0" w:space="0" w:color="auto"/>
      </w:divBdr>
    </w:div>
    <w:div w:id="968392544">
      <w:bodyDiv w:val="1"/>
      <w:marLeft w:val="0"/>
      <w:marRight w:val="0"/>
      <w:marTop w:val="0"/>
      <w:marBottom w:val="0"/>
      <w:divBdr>
        <w:top w:val="none" w:sz="0" w:space="0" w:color="auto"/>
        <w:left w:val="none" w:sz="0" w:space="0" w:color="auto"/>
        <w:bottom w:val="none" w:sz="0" w:space="0" w:color="auto"/>
        <w:right w:val="none" w:sz="0" w:space="0" w:color="auto"/>
      </w:divBdr>
    </w:div>
    <w:div w:id="972516495">
      <w:bodyDiv w:val="1"/>
      <w:marLeft w:val="0"/>
      <w:marRight w:val="0"/>
      <w:marTop w:val="0"/>
      <w:marBottom w:val="0"/>
      <w:divBdr>
        <w:top w:val="none" w:sz="0" w:space="0" w:color="auto"/>
        <w:left w:val="none" w:sz="0" w:space="0" w:color="auto"/>
        <w:bottom w:val="none" w:sz="0" w:space="0" w:color="auto"/>
        <w:right w:val="none" w:sz="0" w:space="0" w:color="auto"/>
      </w:divBdr>
    </w:div>
    <w:div w:id="976492190">
      <w:bodyDiv w:val="1"/>
      <w:marLeft w:val="0"/>
      <w:marRight w:val="0"/>
      <w:marTop w:val="0"/>
      <w:marBottom w:val="0"/>
      <w:divBdr>
        <w:top w:val="none" w:sz="0" w:space="0" w:color="auto"/>
        <w:left w:val="none" w:sz="0" w:space="0" w:color="auto"/>
        <w:bottom w:val="none" w:sz="0" w:space="0" w:color="auto"/>
        <w:right w:val="none" w:sz="0" w:space="0" w:color="auto"/>
      </w:divBdr>
    </w:div>
    <w:div w:id="983314197">
      <w:bodyDiv w:val="1"/>
      <w:marLeft w:val="0"/>
      <w:marRight w:val="0"/>
      <w:marTop w:val="0"/>
      <w:marBottom w:val="0"/>
      <w:divBdr>
        <w:top w:val="none" w:sz="0" w:space="0" w:color="auto"/>
        <w:left w:val="none" w:sz="0" w:space="0" w:color="auto"/>
        <w:bottom w:val="none" w:sz="0" w:space="0" w:color="auto"/>
        <w:right w:val="none" w:sz="0" w:space="0" w:color="auto"/>
      </w:divBdr>
    </w:div>
    <w:div w:id="994456654">
      <w:bodyDiv w:val="1"/>
      <w:marLeft w:val="0"/>
      <w:marRight w:val="0"/>
      <w:marTop w:val="0"/>
      <w:marBottom w:val="0"/>
      <w:divBdr>
        <w:top w:val="none" w:sz="0" w:space="0" w:color="auto"/>
        <w:left w:val="none" w:sz="0" w:space="0" w:color="auto"/>
        <w:bottom w:val="none" w:sz="0" w:space="0" w:color="auto"/>
        <w:right w:val="none" w:sz="0" w:space="0" w:color="auto"/>
      </w:divBdr>
    </w:div>
    <w:div w:id="995256128">
      <w:bodyDiv w:val="1"/>
      <w:marLeft w:val="0"/>
      <w:marRight w:val="0"/>
      <w:marTop w:val="0"/>
      <w:marBottom w:val="0"/>
      <w:divBdr>
        <w:top w:val="none" w:sz="0" w:space="0" w:color="auto"/>
        <w:left w:val="none" w:sz="0" w:space="0" w:color="auto"/>
        <w:bottom w:val="none" w:sz="0" w:space="0" w:color="auto"/>
        <w:right w:val="none" w:sz="0" w:space="0" w:color="auto"/>
      </w:divBdr>
    </w:div>
    <w:div w:id="1002852397">
      <w:bodyDiv w:val="1"/>
      <w:marLeft w:val="0"/>
      <w:marRight w:val="0"/>
      <w:marTop w:val="0"/>
      <w:marBottom w:val="0"/>
      <w:divBdr>
        <w:top w:val="none" w:sz="0" w:space="0" w:color="auto"/>
        <w:left w:val="none" w:sz="0" w:space="0" w:color="auto"/>
        <w:bottom w:val="none" w:sz="0" w:space="0" w:color="auto"/>
        <w:right w:val="none" w:sz="0" w:space="0" w:color="auto"/>
      </w:divBdr>
    </w:div>
    <w:div w:id="1009676281">
      <w:bodyDiv w:val="1"/>
      <w:marLeft w:val="0"/>
      <w:marRight w:val="0"/>
      <w:marTop w:val="0"/>
      <w:marBottom w:val="0"/>
      <w:divBdr>
        <w:top w:val="none" w:sz="0" w:space="0" w:color="auto"/>
        <w:left w:val="none" w:sz="0" w:space="0" w:color="auto"/>
        <w:bottom w:val="none" w:sz="0" w:space="0" w:color="auto"/>
        <w:right w:val="none" w:sz="0" w:space="0" w:color="auto"/>
      </w:divBdr>
      <w:divsChild>
        <w:div w:id="964197070">
          <w:marLeft w:val="0"/>
          <w:marRight w:val="0"/>
          <w:marTop w:val="0"/>
          <w:marBottom w:val="0"/>
          <w:divBdr>
            <w:top w:val="none" w:sz="0" w:space="0" w:color="auto"/>
            <w:left w:val="none" w:sz="0" w:space="0" w:color="auto"/>
            <w:bottom w:val="none" w:sz="0" w:space="0" w:color="auto"/>
            <w:right w:val="none" w:sz="0" w:space="0" w:color="auto"/>
          </w:divBdr>
        </w:div>
        <w:div w:id="1522278358">
          <w:marLeft w:val="0"/>
          <w:marRight w:val="0"/>
          <w:marTop w:val="0"/>
          <w:marBottom w:val="0"/>
          <w:divBdr>
            <w:top w:val="none" w:sz="0" w:space="0" w:color="auto"/>
            <w:left w:val="none" w:sz="0" w:space="0" w:color="auto"/>
            <w:bottom w:val="none" w:sz="0" w:space="0" w:color="auto"/>
            <w:right w:val="none" w:sz="0" w:space="0" w:color="auto"/>
          </w:divBdr>
        </w:div>
        <w:div w:id="1874682521">
          <w:marLeft w:val="0"/>
          <w:marRight w:val="0"/>
          <w:marTop w:val="0"/>
          <w:marBottom w:val="0"/>
          <w:divBdr>
            <w:top w:val="none" w:sz="0" w:space="0" w:color="auto"/>
            <w:left w:val="none" w:sz="0" w:space="0" w:color="auto"/>
            <w:bottom w:val="none" w:sz="0" w:space="0" w:color="auto"/>
            <w:right w:val="none" w:sz="0" w:space="0" w:color="auto"/>
          </w:divBdr>
        </w:div>
        <w:div w:id="823743815">
          <w:marLeft w:val="0"/>
          <w:marRight w:val="0"/>
          <w:marTop w:val="0"/>
          <w:marBottom w:val="0"/>
          <w:divBdr>
            <w:top w:val="none" w:sz="0" w:space="0" w:color="auto"/>
            <w:left w:val="none" w:sz="0" w:space="0" w:color="auto"/>
            <w:bottom w:val="none" w:sz="0" w:space="0" w:color="auto"/>
            <w:right w:val="none" w:sz="0" w:space="0" w:color="auto"/>
          </w:divBdr>
        </w:div>
        <w:div w:id="486675599">
          <w:marLeft w:val="0"/>
          <w:marRight w:val="0"/>
          <w:marTop w:val="0"/>
          <w:marBottom w:val="0"/>
          <w:divBdr>
            <w:top w:val="none" w:sz="0" w:space="0" w:color="auto"/>
            <w:left w:val="none" w:sz="0" w:space="0" w:color="auto"/>
            <w:bottom w:val="none" w:sz="0" w:space="0" w:color="auto"/>
            <w:right w:val="none" w:sz="0" w:space="0" w:color="auto"/>
          </w:divBdr>
        </w:div>
        <w:div w:id="1018703310">
          <w:marLeft w:val="0"/>
          <w:marRight w:val="0"/>
          <w:marTop w:val="0"/>
          <w:marBottom w:val="0"/>
          <w:divBdr>
            <w:top w:val="none" w:sz="0" w:space="0" w:color="auto"/>
            <w:left w:val="none" w:sz="0" w:space="0" w:color="auto"/>
            <w:bottom w:val="none" w:sz="0" w:space="0" w:color="auto"/>
            <w:right w:val="none" w:sz="0" w:space="0" w:color="auto"/>
          </w:divBdr>
        </w:div>
        <w:div w:id="1053307464">
          <w:marLeft w:val="0"/>
          <w:marRight w:val="0"/>
          <w:marTop w:val="0"/>
          <w:marBottom w:val="0"/>
          <w:divBdr>
            <w:top w:val="none" w:sz="0" w:space="0" w:color="auto"/>
            <w:left w:val="none" w:sz="0" w:space="0" w:color="auto"/>
            <w:bottom w:val="none" w:sz="0" w:space="0" w:color="auto"/>
            <w:right w:val="none" w:sz="0" w:space="0" w:color="auto"/>
          </w:divBdr>
        </w:div>
        <w:div w:id="387147721">
          <w:marLeft w:val="0"/>
          <w:marRight w:val="0"/>
          <w:marTop w:val="0"/>
          <w:marBottom w:val="0"/>
          <w:divBdr>
            <w:top w:val="none" w:sz="0" w:space="0" w:color="auto"/>
            <w:left w:val="none" w:sz="0" w:space="0" w:color="auto"/>
            <w:bottom w:val="none" w:sz="0" w:space="0" w:color="auto"/>
            <w:right w:val="none" w:sz="0" w:space="0" w:color="auto"/>
          </w:divBdr>
        </w:div>
        <w:div w:id="680546660">
          <w:marLeft w:val="0"/>
          <w:marRight w:val="0"/>
          <w:marTop w:val="0"/>
          <w:marBottom w:val="0"/>
          <w:divBdr>
            <w:top w:val="none" w:sz="0" w:space="0" w:color="auto"/>
            <w:left w:val="none" w:sz="0" w:space="0" w:color="auto"/>
            <w:bottom w:val="none" w:sz="0" w:space="0" w:color="auto"/>
            <w:right w:val="none" w:sz="0" w:space="0" w:color="auto"/>
          </w:divBdr>
        </w:div>
        <w:div w:id="10421718">
          <w:marLeft w:val="0"/>
          <w:marRight w:val="0"/>
          <w:marTop w:val="0"/>
          <w:marBottom w:val="0"/>
          <w:divBdr>
            <w:top w:val="none" w:sz="0" w:space="0" w:color="auto"/>
            <w:left w:val="none" w:sz="0" w:space="0" w:color="auto"/>
            <w:bottom w:val="none" w:sz="0" w:space="0" w:color="auto"/>
            <w:right w:val="none" w:sz="0" w:space="0" w:color="auto"/>
          </w:divBdr>
        </w:div>
        <w:div w:id="1617827178">
          <w:marLeft w:val="0"/>
          <w:marRight w:val="0"/>
          <w:marTop w:val="0"/>
          <w:marBottom w:val="0"/>
          <w:divBdr>
            <w:top w:val="none" w:sz="0" w:space="0" w:color="auto"/>
            <w:left w:val="none" w:sz="0" w:space="0" w:color="auto"/>
            <w:bottom w:val="none" w:sz="0" w:space="0" w:color="auto"/>
            <w:right w:val="none" w:sz="0" w:space="0" w:color="auto"/>
          </w:divBdr>
        </w:div>
        <w:div w:id="253172008">
          <w:marLeft w:val="0"/>
          <w:marRight w:val="0"/>
          <w:marTop w:val="0"/>
          <w:marBottom w:val="0"/>
          <w:divBdr>
            <w:top w:val="none" w:sz="0" w:space="0" w:color="auto"/>
            <w:left w:val="none" w:sz="0" w:space="0" w:color="auto"/>
            <w:bottom w:val="none" w:sz="0" w:space="0" w:color="auto"/>
            <w:right w:val="none" w:sz="0" w:space="0" w:color="auto"/>
          </w:divBdr>
        </w:div>
        <w:div w:id="421680071">
          <w:marLeft w:val="0"/>
          <w:marRight w:val="0"/>
          <w:marTop w:val="0"/>
          <w:marBottom w:val="0"/>
          <w:divBdr>
            <w:top w:val="none" w:sz="0" w:space="0" w:color="auto"/>
            <w:left w:val="none" w:sz="0" w:space="0" w:color="auto"/>
            <w:bottom w:val="none" w:sz="0" w:space="0" w:color="auto"/>
            <w:right w:val="none" w:sz="0" w:space="0" w:color="auto"/>
          </w:divBdr>
        </w:div>
        <w:div w:id="528833331">
          <w:marLeft w:val="0"/>
          <w:marRight w:val="0"/>
          <w:marTop w:val="0"/>
          <w:marBottom w:val="0"/>
          <w:divBdr>
            <w:top w:val="none" w:sz="0" w:space="0" w:color="auto"/>
            <w:left w:val="none" w:sz="0" w:space="0" w:color="auto"/>
            <w:bottom w:val="none" w:sz="0" w:space="0" w:color="auto"/>
            <w:right w:val="none" w:sz="0" w:space="0" w:color="auto"/>
          </w:divBdr>
        </w:div>
        <w:div w:id="1558280179">
          <w:marLeft w:val="0"/>
          <w:marRight w:val="0"/>
          <w:marTop w:val="0"/>
          <w:marBottom w:val="0"/>
          <w:divBdr>
            <w:top w:val="none" w:sz="0" w:space="0" w:color="auto"/>
            <w:left w:val="none" w:sz="0" w:space="0" w:color="auto"/>
            <w:bottom w:val="none" w:sz="0" w:space="0" w:color="auto"/>
            <w:right w:val="none" w:sz="0" w:space="0" w:color="auto"/>
          </w:divBdr>
        </w:div>
        <w:div w:id="1350987887">
          <w:marLeft w:val="0"/>
          <w:marRight w:val="0"/>
          <w:marTop w:val="0"/>
          <w:marBottom w:val="0"/>
          <w:divBdr>
            <w:top w:val="none" w:sz="0" w:space="0" w:color="auto"/>
            <w:left w:val="none" w:sz="0" w:space="0" w:color="auto"/>
            <w:bottom w:val="none" w:sz="0" w:space="0" w:color="auto"/>
            <w:right w:val="none" w:sz="0" w:space="0" w:color="auto"/>
          </w:divBdr>
        </w:div>
        <w:div w:id="2121531879">
          <w:marLeft w:val="0"/>
          <w:marRight w:val="0"/>
          <w:marTop w:val="0"/>
          <w:marBottom w:val="0"/>
          <w:divBdr>
            <w:top w:val="none" w:sz="0" w:space="0" w:color="auto"/>
            <w:left w:val="none" w:sz="0" w:space="0" w:color="auto"/>
            <w:bottom w:val="none" w:sz="0" w:space="0" w:color="auto"/>
            <w:right w:val="none" w:sz="0" w:space="0" w:color="auto"/>
          </w:divBdr>
        </w:div>
        <w:div w:id="282004412">
          <w:marLeft w:val="0"/>
          <w:marRight w:val="0"/>
          <w:marTop w:val="0"/>
          <w:marBottom w:val="0"/>
          <w:divBdr>
            <w:top w:val="none" w:sz="0" w:space="0" w:color="auto"/>
            <w:left w:val="none" w:sz="0" w:space="0" w:color="auto"/>
            <w:bottom w:val="none" w:sz="0" w:space="0" w:color="auto"/>
            <w:right w:val="none" w:sz="0" w:space="0" w:color="auto"/>
          </w:divBdr>
        </w:div>
        <w:div w:id="1126237541">
          <w:marLeft w:val="0"/>
          <w:marRight w:val="0"/>
          <w:marTop w:val="0"/>
          <w:marBottom w:val="0"/>
          <w:divBdr>
            <w:top w:val="none" w:sz="0" w:space="0" w:color="auto"/>
            <w:left w:val="none" w:sz="0" w:space="0" w:color="auto"/>
            <w:bottom w:val="none" w:sz="0" w:space="0" w:color="auto"/>
            <w:right w:val="none" w:sz="0" w:space="0" w:color="auto"/>
          </w:divBdr>
        </w:div>
        <w:div w:id="1884637544">
          <w:marLeft w:val="0"/>
          <w:marRight w:val="0"/>
          <w:marTop w:val="0"/>
          <w:marBottom w:val="0"/>
          <w:divBdr>
            <w:top w:val="none" w:sz="0" w:space="0" w:color="auto"/>
            <w:left w:val="none" w:sz="0" w:space="0" w:color="auto"/>
            <w:bottom w:val="none" w:sz="0" w:space="0" w:color="auto"/>
            <w:right w:val="none" w:sz="0" w:space="0" w:color="auto"/>
          </w:divBdr>
        </w:div>
      </w:divsChild>
    </w:div>
    <w:div w:id="1009865156">
      <w:bodyDiv w:val="1"/>
      <w:marLeft w:val="0"/>
      <w:marRight w:val="0"/>
      <w:marTop w:val="0"/>
      <w:marBottom w:val="0"/>
      <w:divBdr>
        <w:top w:val="none" w:sz="0" w:space="0" w:color="auto"/>
        <w:left w:val="none" w:sz="0" w:space="0" w:color="auto"/>
        <w:bottom w:val="none" w:sz="0" w:space="0" w:color="auto"/>
        <w:right w:val="none" w:sz="0" w:space="0" w:color="auto"/>
      </w:divBdr>
    </w:div>
    <w:div w:id="1017003178">
      <w:bodyDiv w:val="1"/>
      <w:marLeft w:val="0"/>
      <w:marRight w:val="0"/>
      <w:marTop w:val="0"/>
      <w:marBottom w:val="0"/>
      <w:divBdr>
        <w:top w:val="none" w:sz="0" w:space="0" w:color="auto"/>
        <w:left w:val="none" w:sz="0" w:space="0" w:color="auto"/>
        <w:bottom w:val="none" w:sz="0" w:space="0" w:color="auto"/>
        <w:right w:val="none" w:sz="0" w:space="0" w:color="auto"/>
      </w:divBdr>
    </w:div>
    <w:div w:id="1018002499">
      <w:bodyDiv w:val="1"/>
      <w:marLeft w:val="0"/>
      <w:marRight w:val="0"/>
      <w:marTop w:val="0"/>
      <w:marBottom w:val="0"/>
      <w:divBdr>
        <w:top w:val="none" w:sz="0" w:space="0" w:color="auto"/>
        <w:left w:val="none" w:sz="0" w:space="0" w:color="auto"/>
        <w:bottom w:val="none" w:sz="0" w:space="0" w:color="auto"/>
        <w:right w:val="none" w:sz="0" w:space="0" w:color="auto"/>
      </w:divBdr>
    </w:div>
    <w:div w:id="1018510004">
      <w:bodyDiv w:val="1"/>
      <w:marLeft w:val="0"/>
      <w:marRight w:val="0"/>
      <w:marTop w:val="0"/>
      <w:marBottom w:val="0"/>
      <w:divBdr>
        <w:top w:val="none" w:sz="0" w:space="0" w:color="auto"/>
        <w:left w:val="none" w:sz="0" w:space="0" w:color="auto"/>
        <w:bottom w:val="none" w:sz="0" w:space="0" w:color="auto"/>
        <w:right w:val="none" w:sz="0" w:space="0" w:color="auto"/>
      </w:divBdr>
    </w:div>
    <w:div w:id="1018699769">
      <w:bodyDiv w:val="1"/>
      <w:marLeft w:val="0"/>
      <w:marRight w:val="0"/>
      <w:marTop w:val="0"/>
      <w:marBottom w:val="0"/>
      <w:divBdr>
        <w:top w:val="none" w:sz="0" w:space="0" w:color="auto"/>
        <w:left w:val="none" w:sz="0" w:space="0" w:color="auto"/>
        <w:bottom w:val="none" w:sz="0" w:space="0" w:color="auto"/>
        <w:right w:val="none" w:sz="0" w:space="0" w:color="auto"/>
      </w:divBdr>
    </w:div>
    <w:div w:id="1020550290">
      <w:bodyDiv w:val="1"/>
      <w:marLeft w:val="0"/>
      <w:marRight w:val="0"/>
      <w:marTop w:val="0"/>
      <w:marBottom w:val="0"/>
      <w:divBdr>
        <w:top w:val="none" w:sz="0" w:space="0" w:color="auto"/>
        <w:left w:val="none" w:sz="0" w:space="0" w:color="auto"/>
        <w:bottom w:val="none" w:sz="0" w:space="0" w:color="auto"/>
        <w:right w:val="none" w:sz="0" w:space="0" w:color="auto"/>
      </w:divBdr>
    </w:div>
    <w:div w:id="1027364130">
      <w:bodyDiv w:val="1"/>
      <w:marLeft w:val="0"/>
      <w:marRight w:val="0"/>
      <w:marTop w:val="0"/>
      <w:marBottom w:val="0"/>
      <w:divBdr>
        <w:top w:val="none" w:sz="0" w:space="0" w:color="auto"/>
        <w:left w:val="none" w:sz="0" w:space="0" w:color="auto"/>
        <w:bottom w:val="none" w:sz="0" w:space="0" w:color="auto"/>
        <w:right w:val="none" w:sz="0" w:space="0" w:color="auto"/>
      </w:divBdr>
    </w:div>
    <w:div w:id="1034845156">
      <w:bodyDiv w:val="1"/>
      <w:marLeft w:val="0"/>
      <w:marRight w:val="0"/>
      <w:marTop w:val="0"/>
      <w:marBottom w:val="0"/>
      <w:divBdr>
        <w:top w:val="none" w:sz="0" w:space="0" w:color="auto"/>
        <w:left w:val="none" w:sz="0" w:space="0" w:color="auto"/>
        <w:bottom w:val="none" w:sz="0" w:space="0" w:color="auto"/>
        <w:right w:val="none" w:sz="0" w:space="0" w:color="auto"/>
      </w:divBdr>
    </w:div>
    <w:div w:id="1037125856">
      <w:bodyDiv w:val="1"/>
      <w:marLeft w:val="0"/>
      <w:marRight w:val="0"/>
      <w:marTop w:val="0"/>
      <w:marBottom w:val="0"/>
      <w:divBdr>
        <w:top w:val="none" w:sz="0" w:space="0" w:color="auto"/>
        <w:left w:val="none" w:sz="0" w:space="0" w:color="auto"/>
        <w:bottom w:val="none" w:sz="0" w:space="0" w:color="auto"/>
        <w:right w:val="none" w:sz="0" w:space="0" w:color="auto"/>
      </w:divBdr>
    </w:div>
    <w:div w:id="1041127911">
      <w:bodyDiv w:val="1"/>
      <w:marLeft w:val="0"/>
      <w:marRight w:val="0"/>
      <w:marTop w:val="0"/>
      <w:marBottom w:val="0"/>
      <w:divBdr>
        <w:top w:val="none" w:sz="0" w:space="0" w:color="auto"/>
        <w:left w:val="none" w:sz="0" w:space="0" w:color="auto"/>
        <w:bottom w:val="none" w:sz="0" w:space="0" w:color="auto"/>
        <w:right w:val="none" w:sz="0" w:space="0" w:color="auto"/>
      </w:divBdr>
    </w:div>
    <w:div w:id="1043795073">
      <w:bodyDiv w:val="1"/>
      <w:marLeft w:val="0"/>
      <w:marRight w:val="0"/>
      <w:marTop w:val="0"/>
      <w:marBottom w:val="0"/>
      <w:divBdr>
        <w:top w:val="none" w:sz="0" w:space="0" w:color="auto"/>
        <w:left w:val="none" w:sz="0" w:space="0" w:color="auto"/>
        <w:bottom w:val="none" w:sz="0" w:space="0" w:color="auto"/>
        <w:right w:val="none" w:sz="0" w:space="0" w:color="auto"/>
      </w:divBdr>
    </w:div>
    <w:div w:id="1045836171">
      <w:bodyDiv w:val="1"/>
      <w:marLeft w:val="0"/>
      <w:marRight w:val="0"/>
      <w:marTop w:val="0"/>
      <w:marBottom w:val="0"/>
      <w:divBdr>
        <w:top w:val="none" w:sz="0" w:space="0" w:color="auto"/>
        <w:left w:val="none" w:sz="0" w:space="0" w:color="auto"/>
        <w:bottom w:val="none" w:sz="0" w:space="0" w:color="auto"/>
        <w:right w:val="none" w:sz="0" w:space="0" w:color="auto"/>
      </w:divBdr>
    </w:div>
    <w:div w:id="1057245264">
      <w:bodyDiv w:val="1"/>
      <w:marLeft w:val="0"/>
      <w:marRight w:val="0"/>
      <w:marTop w:val="0"/>
      <w:marBottom w:val="0"/>
      <w:divBdr>
        <w:top w:val="none" w:sz="0" w:space="0" w:color="auto"/>
        <w:left w:val="none" w:sz="0" w:space="0" w:color="auto"/>
        <w:bottom w:val="none" w:sz="0" w:space="0" w:color="auto"/>
        <w:right w:val="none" w:sz="0" w:space="0" w:color="auto"/>
      </w:divBdr>
    </w:div>
    <w:div w:id="1057317336">
      <w:bodyDiv w:val="1"/>
      <w:marLeft w:val="0"/>
      <w:marRight w:val="0"/>
      <w:marTop w:val="0"/>
      <w:marBottom w:val="0"/>
      <w:divBdr>
        <w:top w:val="none" w:sz="0" w:space="0" w:color="auto"/>
        <w:left w:val="none" w:sz="0" w:space="0" w:color="auto"/>
        <w:bottom w:val="none" w:sz="0" w:space="0" w:color="auto"/>
        <w:right w:val="none" w:sz="0" w:space="0" w:color="auto"/>
      </w:divBdr>
      <w:divsChild>
        <w:div w:id="673606388">
          <w:marLeft w:val="0"/>
          <w:marRight w:val="0"/>
          <w:marTop w:val="0"/>
          <w:marBottom w:val="0"/>
          <w:divBdr>
            <w:top w:val="none" w:sz="0" w:space="0" w:color="auto"/>
            <w:left w:val="none" w:sz="0" w:space="0" w:color="auto"/>
            <w:bottom w:val="none" w:sz="0" w:space="0" w:color="auto"/>
            <w:right w:val="none" w:sz="0" w:space="0" w:color="auto"/>
          </w:divBdr>
        </w:div>
        <w:div w:id="769083881">
          <w:marLeft w:val="0"/>
          <w:marRight w:val="0"/>
          <w:marTop w:val="0"/>
          <w:marBottom w:val="0"/>
          <w:divBdr>
            <w:top w:val="none" w:sz="0" w:space="0" w:color="auto"/>
            <w:left w:val="none" w:sz="0" w:space="0" w:color="auto"/>
            <w:bottom w:val="none" w:sz="0" w:space="0" w:color="auto"/>
            <w:right w:val="none" w:sz="0" w:space="0" w:color="auto"/>
          </w:divBdr>
        </w:div>
        <w:div w:id="138692982">
          <w:marLeft w:val="0"/>
          <w:marRight w:val="0"/>
          <w:marTop w:val="0"/>
          <w:marBottom w:val="0"/>
          <w:divBdr>
            <w:top w:val="none" w:sz="0" w:space="0" w:color="auto"/>
            <w:left w:val="none" w:sz="0" w:space="0" w:color="auto"/>
            <w:bottom w:val="none" w:sz="0" w:space="0" w:color="auto"/>
            <w:right w:val="none" w:sz="0" w:space="0" w:color="auto"/>
          </w:divBdr>
        </w:div>
        <w:div w:id="1053895628">
          <w:marLeft w:val="0"/>
          <w:marRight w:val="0"/>
          <w:marTop w:val="0"/>
          <w:marBottom w:val="0"/>
          <w:divBdr>
            <w:top w:val="none" w:sz="0" w:space="0" w:color="auto"/>
            <w:left w:val="none" w:sz="0" w:space="0" w:color="auto"/>
            <w:bottom w:val="none" w:sz="0" w:space="0" w:color="auto"/>
            <w:right w:val="none" w:sz="0" w:space="0" w:color="auto"/>
          </w:divBdr>
        </w:div>
        <w:div w:id="1106656138">
          <w:marLeft w:val="0"/>
          <w:marRight w:val="0"/>
          <w:marTop w:val="0"/>
          <w:marBottom w:val="0"/>
          <w:divBdr>
            <w:top w:val="none" w:sz="0" w:space="0" w:color="auto"/>
            <w:left w:val="none" w:sz="0" w:space="0" w:color="auto"/>
            <w:bottom w:val="none" w:sz="0" w:space="0" w:color="auto"/>
            <w:right w:val="none" w:sz="0" w:space="0" w:color="auto"/>
          </w:divBdr>
        </w:div>
        <w:div w:id="1165587811">
          <w:marLeft w:val="0"/>
          <w:marRight w:val="0"/>
          <w:marTop w:val="0"/>
          <w:marBottom w:val="0"/>
          <w:divBdr>
            <w:top w:val="none" w:sz="0" w:space="0" w:color="auto"/>
            <w:left w:val="none" w:sz="0" w:space="0" w:color="auto"/>
            <w:bottom w:val="none" w:sz="0" w:space="0" w:color="auto"/>
            <w:right w:val="none" w:sz="0" w:space="0" w:color="auto"/>
          </w:divBdr>
        </w:div>
        <w:div w:id="170875890">
          <w:marLeft w:val="0"/>
          <w:marRight w:val="0"/>
          <w:marTop w:val="0"/>
          <w:marBottom w:val="0"/>
          <w:divBdr>
            <w:top w:val="none" w:sz="0" w:space="0" w:color="auto"/>
            <w:left w:val="none" w:sz="0" w:space="0" w:color="auto"/>
            <w:bottom w:val="none" w:sz="0" w:space="0" w:color="auto"/>
            <w:right w:val="none" w:sz="0" w:space="0" w:color="auto"/>
          </w:divBdr>
        </w:div>
        <w:div w:id="2078479113">
          <w:marLeft w:val="0"/>
          <w:marRight w:val="0"/>
          <w:marTop w:val="0"/>
          <w:marBottom w:val="0"/>
          <w:divBdr>
            <w:top w:val="none" w:sz="0" w:space="0" w:color="auto"/>
            <w:left w:val="none" w:sz="0" w:space="0" w:color="auto"/>
            <w:bottom w:val="none" w:sz="0" w:space="0" w:color="auto"/>
            <w:right w:val="none" w:sz="0" w:space="0" w:color="auto"/>
          </w:divBdr>
        </w:div>
        <w:div w:id="1022315734">
          <w:marLeft w:val="0"/>
          <w:marRight w:val="0"/>
          <w:marTop w:val="0"/>
          <w:marBottom w:val="0"/>
          <w:divBdr>
            <w:top w:val="none" w:sz="0" w:space="0" w:color="auto"/>
            <w:left w:val="none" w:sz="0" w:space="0" w:color="auto"/>
            <w:bottom w:val="none" w:sz="0" w:space="0" w:color="auto"/>
            <w:right w:val="none" w:sz="0" w:space="0" w:color="auto"/>
          </w:divBdr>
        </w:div>
        <w:div w:id="1180898539">
          <w:marLeft w:val="0"/>
          <w:marRight w:val="0"/>
          <w:marTop w:val="0"/>
          <w:marBottom w:val="0"/>
          <w:divBdr>
            <w:top w:val="none" w:sz="0" w:space="0" w:color="auto"/>
            <w:left w:val="none" w:sz="0" w:space="0" w:color="auto"/>
            <w:bottom w:val="none" w:sz="0" w:space="0" w:color="auto"/>
            <w:right w:val="none" w:sz="0" w:space="0" w:color="auto"/>
          </w:divBdr>
        </w:div>
        <w:div w:id="312374517">
          <w:marLeft w:val="0"/>
          <w:marRight w:val="0"/>
          <w:marTop w:val="0"/>
          <w:marBottom w:val="0"/>
          <w:divBdr>
            <w:top w:val="none" w:sz="0" w:space="0" w:color="auto"/>
            <w:left w:val="none" w:sz="0" w:space="0" w:color="auto"/>
            <w:bottom w:val="none" w:sz="0" w:space="0" w:color="auto"/>
            <w:right w:val="none" w:sz="0" w:space="0" w:color="auto"/>
          </w:divBdr>
        </w:div>
        <w:div w:id="109707989">
          <w:marLeft w:val="0"/>
          <w:marRight w:val="0"/>
          <w:marTop w:val="0"/>
          <w:marBottom w:val="0"/>
          <w:divBdr>
            <w:top w:val="none" w:sz="0" w:space="0" w:color="auto"/>
            <w:left w:val="none" w:sz="0" w:space="0" w:color="auto"/>
            <w:bottom w:val="none" w:sz="0" w:space="0" w:color="auto"/>
            <w:right w:val="none" w:sz="0" w:space="0" w:color="auto"/>
          </w:divBdr>
        </w:div>
        <w:div w:id="687609480">
          <w:marLeft w:val="0"/>
          <w:marRight w:val="0"/>
          <w:marTop w:val="0"/>
          <w:marBottom w:val="0"/>
          <w:divBdr>
            <w:top w:val="none" w:sz="0" w:space="0" w:color="auto"/>
            <w:left w:val="none" w:sz="0" w:space="0" w:color="auto"/>
            <w:bottom w:val="none" w:sz="0" w:space="0" w:color="auto"/>
            <w:right w:val="none" w:sz="0" w:space="0" w:color="auto"/>
          </w:divBdr>
        </w:div>
        <w:div w:id="2057774048">
          <w:marLeft w:val="0"/>
          <w:marRight w:val="0"/>
          <w:marTop w:val="0"/>
          <w:marBottom w:val="0"/>
          <w:divBdr>
            <w:top w:val="none" w:sz="0" w:space="0" w:color="auto"/>
            <w:left w:val="none" w:sz="0" w:space="0" w:color="auto"/>
            <w:bottom w:val="none" w:sz="0" w:space="0" w:color="auto"/>
            <w:right w:val="none" w:sz="0" w:space="0" w:color="auto"/>
          </w:divBdr>
        </w:div>
        <w:div w:id="18241333">
          <w:marLeft w:val="0"/>
          <w:marRight w:val="0"/>
          <w:marTop w:val="0"/>
          <w:marBottom w:val="0"/>
          <w:divBdr>
            <w:top w:val="none" w:sz="0" w:space="0" w:color="auto"/>
            <w:left w:val="none" w:sz="0" w:space="0" w:color="auto"/>
            <w:bottom w:val="none" w:sz="0" w:space="0" w:color="auto"/>
            <w:right w:val="none" w:sz="0" w:space="0" w:color="auto"/>
          </w:divBdr>
          <w:divsChild>
            <w:div w:id="477695287">
              <w:marLeft w:val="0"/>
              <w:marRight w:val="0"/>
              <w:marTop w:val="30"/>
              <w:marBottom w:val="30"/>
              <w:divBdr>
                <w:top w:val="none" w:sz="0" w:space="0" w:color="auto"/>
                <w:left w:val="none" w:sz="0" w:space="0" w:color="auto"/>
                <w:bottom w:val="none" w:sz="0" w:space="0" w:color="auto"/>
                <w:right w:val="none" w:sz="0" w:space="0" w:color="auto"/>
              </w:divBdr>
              <w:divsChild>
                <w:div w:id="418719059">
                  <w:marLeft w:val="0"/>
                  <w:marRight w:val="0"/>
                  <w:marTop w:val="0"/>
                  <w:marBottom w:val="0"/>
                  <w:divBdr>
                    <w:top w:val="none" w:sz="0" w:space="0" w:color="auto"/>
                    <w:left w:val="none" w:sz="0" w:space="0" w:color="auto"/>
                    <w:bottom w:val="none" w:sz="0" w:space="0" w:color="auto"/>
                    <w:right w:val="none" w:sz="0" w:space="0" w:color="auto"/>
                  </w:divBdr>
                  <w:divsChild>
                    <w:div w:id="1440566111">
                      <w:marLeft w:val="0"/>
                      <w:marRight w:val="0"/>
                      <w:marTop w:val="0"/>
                      <w:marBottom w:val="0"/>
                      <w:divBdr>
                        <w:top w:val="none" w:sz="0" w:space="0" w:color="auto"/>
                        <w:left w:val="none" w:sz="0" w:space="0" w:color="auto"/>
                        <w:bottom w:val="none" w:sz="0" w:space="0" w:color="auto"/>
                        <w:right w:val="none" w:sz="0" w:space="0" w:color="auto"/>
                      </w:divBdr>
                    </w:div>
                  </w:divsChild>
                </w:div>
                <w:div w:id="1482766685">
                  <w:marLeft w:val="0"/>
                  <w:marRight w:val="0"/>
                  <w:marTop w:val="0"/>
                  <w:marBottom w:val="0"/>
                  <w:divBdr>
                    <w:top w:val="none" w:sz="0" w:space="0" w:color="auto"/>
                    <w:left w:val="none" w:sz="0" w:space="0" w:color="auto"/>
                    <w:bottom w:val="none" w:sz="0" w:space="0" w:color="auto"/>
                    <w:right w:val="none" w:sz="0" w:space="0" w:color="auto"/>
                  </w:divBdr>
                  <w:divsChild>
                    <w:div w:id="1205801">
                      <w:marLeft w:val="0"/>
                      <w:marRight w:val="0"/>
                      <w:marTop w:val="0"/>
                      <w:marBottom w:val="0"/>
                      <w:divBdr>
                        <w:top w:val="none" w:sz="0" w:space="0" w:color="auto"/>
                        <w:left w:val="none" w:sz="0" w:space="0" w:color="auto"/>
                        <w:bottom w:val="none" w:sz="0" w:space="0" w:color="auto"/>
                        <w:right w:val="none" w:sz="0" w:space="0" w:color="auto"/>
                      </w:divBdr>
                    </w:div>
                  </w:divsChild>
                </w:div>
                <w:div w:id="1067462360">
                  <w:marLeft w:val="0"/>
                  <w:marRight w:val="0"/>
                  <w:marTop w:val="0"/>
                  <w:marBottom w:val="0"/>
                  <w:divBdr>
                    <w:top w:val="none" w:sz="0" w:space="0" w:color="auto"/>
                    <w:left w:val="none" w:sz="0" w:space="0" w:color="auto"/>
                    <w:bottom w:val="none" w:sz="0" w:space="0" w:color="auto"/>
                    <w:right w:val="none" w:sz="0" w:space="0" w:color="auto"/>
                  </w:divBdr>
                  <w:divsChild>
                    <w:div w:id="732853755">
                      <w:marLeft w:val="0"/>
                      <w:marRight w:val="0"/>
                      <w:marTop w:val="0"/>
                      <w:marBottom w:val="0"/>
                      <w:divBdr>
                        <w:top w:val="none" w:sz="0" w:space="0" w:color="auto"/>
                        <w:left w:val="none" w:sz="0" w:space="0" w:color="auto"/>
                        <w:bottom w:val="none" w:sz="0" w:space="0" w:color="auto"/>
                        <w:right w:val="none" w:sz="0" w:space="0" w:color="auto"/>
                      </w:divBdr>
                    </w:div>
                  </w:divsChild>
                </w:div>
                <w:div w:id="1710914496">
                  <w:marLeft w:val="0"/>
                  <w:marRight w:val="0"/>
                  <w:marTop w:val="0"/>
                  <w:marBottom w:val="0"/>
                  <w:divBdr>
                    <w:top w:val="none" w:sz="0" w:space="0" w:color="auto"/>
                    <w:left w:val="none" w:sz="0" w:space="0" w:color="auto"/>
                    <w:bottom w:val="none" w:sz="0" w:space="0" w:color="auto"/>
                    <w:right w:val="none" w:sz="0" w:space="0" w:color="auto"/>
                  </w:divBdr>
                  <w:divsChild>
                    <w:div w:id="427389108">
                      <w:marLeft w:val="0"/>
                      <w:marRight w:val="0"/>
                      <w:marTop w:val="0"/>
                      <w:marBottom w:val="0"/>
                      <w:divBdr>
                        <w:top w:val="none" w:sz="0" w:space="0" w:color="auto"/>
                        <w:left w:val="none" w:sz="0" w:space="0" w:color="auto"/>
                        <w:bottom w:val="none" w:sz="0" w:space="0" w:color="auto"/>
                        <w:right w:val="none" w:sz="0" w:space="0" w:color="auto"/>
                      </w:divBdr>
                    </w:div>
                  </w:divsChild>
                </w:div>
                <w:div w:id="381290613">
                  <w:marLeft w:val="0"/>
                  <w:marRight w:val="0"/>
                  <w:marTop w:val="0"/>
                  <w:marBottom w:val="0"/>
                  <w:divBdr>
                    <w:top w:val="none" w:sz="0" w:space="0" w:color="auto"/>
                    <w:left w:val="none" w:sz="0" w:space="0" w:color="auto"/>
                    <w:bottom w:val="none" w:sz="0" w:space="0" w:color="auto"/>
                    <w:right w:val="none" w:sz="0" w:space="0" w:color="auto"/>
                  </w:divBdr>
                  <w:divsChild>
                    <w:div w:id="431751352">
                      <w:marLeft w:val="0"/>
                      <w:marRight w:val="0"/>
                      <w:marTop w:val="0"/>
                      <w:marBottom w:val="0"/>
                      <w:divBdr>
                        <w:top w:val="none" w:sz="0" w:space="0" w:color="auto"/>
                        <w:left w:val="none" w:sz="0" w:space="0" w:color="auto"/>
                        <w:bottom w:val="none" w:sz="0" w:space="0" w:color="auto"/>
                        <w:right w:val="none" w:sz="0" w:space="0" w:color="auto"/>
                      </w:divBdr>
                    </w:div>
                  </w:divsChild>
                </w:div>
                <w:div w:id="982850158">
                  <w:marLeft w:val="0"/>
                  <w:marRight w:val="0"/>
                  <w:marTop w:val="0"/>
                  <w:marBottom w:val="0"/>
                  <w:divBdr>
                    <w:top w:val="none" w:sz="0" w:space="0" w:color="auto"/>
                    <w:left w:val="none" w:sz="0" w:space="0" w:color="auto"/>
                    <w:bottom w:val="none" w:sz="0" w:space="0" w:color="auto"/>
                    <w:right w:val="none" w:sz="0" w:space="0" w:color="auto"/>
                  </w:divBdr>
                  <w:divsChild>
                    <w:div w:id="131799480">
                      <w:marLeft w:val="0"/>
                      <w:marRight w:val="0"/>
                      <w:marTop w:val="0"/>
                      <w:marBottom w:val="0"/>
                      <w:divBdr>
                        <w:top w:val="none" w:sz="0" w:space="0" w:color="auto"/>
                        <w:left w:val="none" w:sz="0" w:space="0" w:color="auto"/>
                        <w:bottom w:val="none" w:sz="0" w:space="0" w:color="auto"/>
                        <w:right w:val="none" w:sz="0" w:space="0" w:color="auto"/>
                      </w:divBdr>
                    </w:div>
                  </w:divsChild>
                </w:div>
                <w:div w:id="717825312">
                  <w:marLeft w:val="0"/>
                  <w:marRight w:val="0"/>
                  <w:marTop w:val="0"/>
                  <w:marBottom w:val="0"/>
                  <w:divBdr>
                    <w:top w:val="none" w:sz="0" w:space="0" w:color="auto"/>
                    <w:left w:val="none" w:sz="0" w:space="0" w:color="auto"/>
                    <w:bottom w:val="none" w:sz="0" w:space="0" w:color="auto"/>
                    <w:right w:val="none" w:sz="0" w:space="0" w:color="auto"/>
                  </w:divBdr>
                  <w:divsChild>
                    <w:div w:id="43333580">
                      <w:marLeft w:val="0"/>
                      <w:marRight w:val="0"/>
                      <w:marTop w:val="0"/>
                      <w:marBottom w:val="0"/>
                      <w:divBdr>
                        <w:top w:val="none" w:sz="0" w:space="0" w:color="auto"/>
                        <w:left w:val="none" w:sz="0" w:space="0" w:color="auto"/>
                        <w:bottom w:val="none" w:sz="0" w:space="0" w:color="auto"/>
                        <w:right w:val="none" w:sz="0" w:space="0" w:color="auto"/>
                      </w:divBdr>
                    </w:div>
                  </w:divsChild>
                </w:div>
                <w:div w:id="1084768218">
                  <w:marLeft w:val="0"/>
                  <w:marRight w:val="0"/>
                  <w:marTop w:val="0"/>
                  <w:marBottom w:val="0"/>
                  <w:divBdr>
                    <w:top w:val="none" w:sz="0" w:space="0" w:color="auto"/>
                    <w:left w:val="none" w:sz="0" w:space="0" w:color="auto"/>
                    <w:bottom w:val="none" w:sz="0" w:space="0" w:color="auto"/>
                    <w:right w:val="none" w:sz="0" w:space="0" w:color="auto"/>
                  </w:divBdr>
                  <w:divsChild>
                    <w:div w:id="1381978653">
                      <w:marLeft w:val="0"/>
                      <w:marRight w:val="0"/>
                      <w:marTop w:val="0"/>
                      <w:marBottom w:val="0"/>
                      <w:divBdr>
                        <w:top w:val="none" w:sz="0" w:space="0" w:color="auto"/>
                        <w:left w:val="none" w:sz="0" w:space="0" w:color="auto"/>
                        <w:bottom w:val="none" w:sz="0" w:space="0" w:color="auto"/>
                        <w:right w:val="none" w:sz="0" w:space="0" w:color="auto"/>
                      </w:divBdr>
                    </w:div>
                  </w:divsChild>
                </w:div>
                <w:div w:id="927618156">
                  <w:marLeft w:val="0"/>
                  <w:marRight w:val="0"/>
                  <w:marTop w:val="0"/>
                  <w:marBottom w:val="0"/>
                  <w:divBdr>
                    <w:top w:val="none" w:sz="0" w:space="0" w:color="auto"/>
                    <w:left w:val="none" w:sz="0" w:space="0" w:color="auto"/>
                    <w:bottom w:val="none" w:sz="0" w:space="0" w:color="auto"/>
                    <w:right w:val="none" w:sz="0" w:space="0" w:color="auto"/>
                  </w:divBdr>
                  <w:divsChild>
                    <w:div w:id="673608116">
                      <w:marLeft w:val="0"/>
                      <w:marRight w:val="0"/>
                      <w:marTop w:val="0"/>
                      <w:marBottom w:val="0"/>
                      <w:divBdr>
                        <w:top w:val="none" w:sz="0" w:space="0" w:color="auto"/>
                        <w:left w:val="none" w:sz="0" w:space="0" w:color="auto"/>
                        <w:bottom w:val="none" w:sz="0" w:space="0" w:color="auto"/>
                        <w:right w:val="none" w:sz="0" w:space="0" w:color="auto"/>
                      </w:divBdr>
                    </w:div>
                  </w:divsChild>
                </w:div>
                <w:div w:id="1736318451">
                  <w:marLeft w:val="0"/>
                  <w:marRight w:val="0"/>
                  <w:marTop w:val="0"/>
                  <w:marBottom w:val="0"/>
                  <w:divBdr>
                    <w:top w:val="none" w:sz="0" w:space="0" w:color="auto"/>
                    <w:left w:val="none" w:sz="0" w:space="0" w:color="auto"/>
                    <w:bottom w:val="none" w:sz="0" w:space="0" w:color="auto"/>
                    <w:right w:val="none" w:sz="0" w:space="0" w:color="auto"/>
                  </w:divBdr>
                  <w:divsChild>
                    <w:div w:id="1535194579">
                      <w:marLeft w:val="0"/>
                      <w:marRight w:val="0"/>
                      <w:marTop w:val="0"/>
                      <w:marBottom w:val="0"/>
                      <w:divBdr>
                        <w:top w:val="none" w:sz="0" w:space="0" w:color="auto"/>
                        <w:left w:val="none" w:sz="0" w:space="0" w:color="auto"/>
                        <w:bottom w:val="none" w:sz="0" w:space="0" w:color="auto"/>
                        <w:right w:val="none" w:sz="0" w:space="0" w:color="auto"/>
                      </w:divBdr>
                    </w:div>
                  </w:divsChild>
                </w:div>
                <w:div w:id="547759597">
                  <w:marLeft w:val="0"/>
                  <w:marRight w:val="0"/>
                  <w:marTop w:val="0"/>
                  <w:marBottom w:val="0"/>
                  <w:divBdr>
                    <w:top w:val="none" w:sz="0" w:space="0" w:color="auto"/>
                    <w:left w:val="none" w:sz="0" w:space="0" w:color="auto"/>
                    <w:bottom w:val="none" w:sz="0" w:space="0" w:color="auto"/>
                    <w:right w:val="none" w:sz="0" w:space="0" w:color="auto"/>
                  </w:divBdr>
                  <w:divsChild>
                    <w:div w:id="2064593731">
                      <w:marLeft w:val="0"/>
                      <w:marRight w:val="0"/>
                      <w:marTop w:val="0"/>
                      <w:marBottom w:val="0"/>
                      <w:divBdr>
                        <w:top w:val="none" w:sz="0" w:space="0" w:color="auto"/>
                        <w:left w:val="none" w:sz="0" w:space="0" w:color="auto"/>
                        <w:bottom w:val="none" w:sz="0" w:space="0" w:color="auto"/>
                        <w:right w:val="none" w:sz="0" w:space="0" w:color="auto"/>
                      </w:divBdr>
                    </w:div>
                  </w:divsChild>
                </w:div>
                <w:div w:id="1801848423">
                  <w:marLeft w:val="0"/>
                  <w:marRight w:val="0"/>
                  <w:marTop w:val="0"/>
                  <w:marBottom w:val="0"/>
                  <w:divBdr>
                    <w:top w:val="none" w:sz="0" w:space="0" w:color="auto"/>
                    <w:left w:val="none" w:sz="0" w:space="0" w:color="auto"/>
                    <w:bottom w:val="none" w:sz="0" w:space="0" w:color="auto"/>
                    <w:right w:val="none" w:sz="0" w:space="0" w:color="auto"/>
                  </w:divBdr>
                  <w:divsChild>
                    <w:div w:id="96679088">
                      <w:marLeft w:val="0"/>
                      <w:marRight w:val="0"/>
                      <w:marTop w:val="0"/>
                      <w:marBottom w:val="0"/>
                      <w:divBdr>
                        <w:top w:val="none" w:sz="0" w:space="0" w:color="auto"/>
                        <w:left w:val="none" w:sz="0" w:space="0" w:color="auto"/>
                        <w:bottom w:val="none" w:sz="0" w:space="0" w:color="auto"/>
                        <w:right w:val="none" w:sz="0" w:space="0" w:color="auto"/>
                      </w:divBdr>
                    </w:div>
                  </w:divsChild>
                </w:div>
                <w:div w:id="106437411">
                  <w:marLeft w:val="0"/>
                  <w:marRight w:val="0"/>
                  <w:marTop w:val="0"/>
                  <w:marBottom w:val="0"/>
                  <w:divBdr>
                    <w:top w:val="none" w:sz="0" w:space="0" w:color="auto"/>
                    <w:left w:val="none" w:sz="0" w:space="0" w:color="auto"/>
                    <w:bottom w:val="none" w:sz="0" w:space="0" w:color="auto"/>
                    <w:right w:val="none" w:sz="0" w:space="0" w:color="auto"/>
                  </w:divBdr>
                  <w:divsChild>
                    <w:div w:id="849563921">
                      <w:marLeft w:val="0"/>
                      <w:marRight w:val="0"/>
                      <w:marTop w:val="0"/>
                      <w:marBottom w:val="0"/>
                      <w:divBdr>
                        <w:top w:val="none" w:sz="0" w:space="0" w:color="auto"/>
                        <w:left w:val="none" w:sz="0" w:space="0" w:color="auto"/>
                        <w:bottom w:val="none" w:sz="0" w:space="0" w:color="auto"/>
                        <w:right w:val="none" w:sz="0" w:space="0" w:color="auto"/>
                      </w:divBdr>
                    </w:div>
                  </w:divsChild>
                </w:div>
                <w:div w:id="237130854">
                  <w:marLeft w:val="0"/>
                  <w:marRight w:val="0"/>
                  <w:marTop w:val="0"/>
                  <w:marBottom w:val="0"/>
                  <w:divBdr>
                    <w:top w:val="none" w:sz="0" w:space="0" w:color="auto"/>
                    <w:left w:val="none" w:sz="0" w:space="0" w:color="auto"/>
                    <w:bottom w:val="none" w:sz="0" w:space="0" w:color="auto"/>
                    <w:right w:val="none" w:sz="0" w:space="0" w:color="auto"/>
                  </w:divBdr>
                  <w:divsChild>
                    <w:div w:id="371999615">
                      <w:marLeft w:val="0"/>
                      <w:marRight w:val="0"/>
                      <w:marTop w:val="0"/>
                      <w:marBottom w:val="0"/>
                      <w:divBdr>
                        <w:top w:val="none" w:sz="0" w:space="0" w:color="auto"/>
                        <w:left w:val="none" w:sz="0" w:space="0" w:color="auto"/>
                        <w:bottom w:val="none" w:sz="0" w:space="0" w:color="auto"/>
                        <w:right w:val="none" w:sz="0" w:space="0" w:color="auto"/>
                      </w:divBdr>
                    </w:div>
                  </w:divsChild>
                </w:div>
                <w:div w:id="521212380">
                  <w:marLeft w:val="0"/>
                  <w:marRight w:val="0"/>
                  <w:marTop w:val="0"/>
                  <w:marBottom w:val="0"/>
                  <w:divBdr>
                    <w:top w:val="none" w:sz="0" w:space="0" w:color="auto"/>
                    <w:left w:val="none" w:sz="0" w:space="0" w:color="auto"/>
                    <w:bottom w:val="none" w:sz="0" w:space="0" w:color="auto"/>
                    <w:right w:val="none" w:sz="0" w:space="0" w:color="auto"/>
                  </w:divBdr>
                  <w:divsChild>
                    <w:div w:id="1705403106">
                      <w:marLeft w:val="0"/>
                      <w:marRight w:val="0"/>
                      <w:marTop w:val="0"/>
                      <w:marBottom w:val="0"/>
                      <w:divBdr>
                        <w:top w:val="none" w:sz="0" w:space="0" w:color="auto"/>
                        <w:left w:val="none" w:sz="0" w:space="0" w:color="auto"/>
                        <w:bottom w:val="none" w:sz="0" w:space="0" w:color="auto"/>
                        <w:right w:val="none" w:sz="0" w:space="0" w:color="auto"/>
                      </w:divBdr>
                    </w:div>
                  </w:divsChild>
                </w:div>
                <w:div w:id="337196429">
                  <w:marLeft w:val="0"/>
                  <w:marRight w:val="0"/>
                  <w:marTop w:val="0"/>
                  <w:marBottom w:val="0"/>
                  <w:divBdr>
                    <w:top w:val="none" w:sz="0" w:space="0" w:color="auto"/>
                    <w:left w:val="none" w:sz="0" w:space="0" w:color="auto"/>
                    <w:bottom w:val="none" w:sz="0" w:space="0" w:color="auto"/>
                    <w:right w:val="none" w:sz="0" w:space="0" w:color="auto"/>
                  </w:divBdr>
                  <w:divsChild>
                    <w:div w:id="940722155">
                      <w:marLeft w:val="0"/>
                      <w:marRight w:val="0"/>
                      <w:marTop w:val="0"/>
                      <w:marBottom w:val="0"/>
                      <w:divBdr>
                        <w:top w:val="none" w:sz="0" w:space="0" w:color="auto"/>
                        <w:left w:val="none" w:sz="0" w:space="0" w:color="auto"/>
                        <w:bottom w:val="none" w:sz="0" w:space="0" w:color="auto"/>
                        <w:right w:val="none" w:sz="0" w:space="0" w:color="auto"/>
                      </w:divBdr>
                    </w:div>
                  </w:divsChild>
                </w:div>
                <w:div w:id="1564440779">
                  <w:marLeft w:val="0"/>
                  <w:marRight w:val="0"/>
                  <w:marTop w:val="0"/>
                  <w:marBottom w:val="0"/>
                  <w:divBdr>
                    <w:top w:val="none" w:sz="0" w:space="0" w:color="auto"/>
                    <w:left w:val="none" w:sz="0" w:space="0" w:color="auto"/>
                    <w:bottom w:val="none" w:sz="0" w:space="0" w:color="auto"/>
                    <w:right w:val="none" w:sz="0" w:space="0" w:color="auto"/>
                  </w:divBdr>
                  <w:divsChild>
                    <w:div w:id="121652445">
                      <w:marLeft w:val="0"/>
                      <w:marRight w:val="0"/>
                      <w:marTop w:val="0"/>
                      <w:marBottom w:val="0"/>
                      <w:divBdr>
                        <w:top w:val="none" w:sz="0" w:space="0" w:color="auto"/>
                        <w:left w:val="none" w:sz="0" w:space="0" w:color="auto"/>
                        <w:bottom w:val="none" w:sz="0" w:space="0" w:color="auto"/>
                        <w:right w:val="none" w:sz="0" w:space="0" w:color="auto"/>
                      </w:divBdr>
                    </w:div>
                  </w:divsChild>
                </w:div>
                <w:div w:id="885222754">
                  <w:marLeft w:val="0"/>
                  <w:marRight w:val="0"/>
                  <w:marTop w:val="0"/>
                  <w:marBottom w:val="0"/>
                  <w:divBdr>
                    <w:top w:val="none" w:sz="0" w:space="0" w:color="auto"/>
                    <w:left w:val="none" w:sz="0" w:space="0" w:color="auto"/>
                    <w:bottom w:val="none" w:sz="0" w:space="0" w:color="auto"/>
                    <w:right w:val="none" w:sz="0" w:space="0" w:color="auto"/>
                  </w:divBdr>
                  <w:divsChild>
                    <w:div w:id="918514583">
                      <w:marLeft w:val="0"/>
                      <w:marRight w:val="0"/>
                      <w:marTop w:val="0"/>
                      <w:marBottom w:val="0"/>
                      <w:divBdr>
                        <w:top w:val="none" w:sz="0" w:space="0" w:color="auto"/>
                        <w:left w:val="none" w:sz="0" w:space="0" w:color="auto"/>
                        <w:bottom w:val="none" w:sz="0" w:space="0" w:color="auto"/>
                        <w:right w:val="none" w:sz="0" w:space="0" w:color="auto"/>
                      </w:divBdr>
                    </w:div>
                  </w:divsChild>
                </w:div>
                <w:div w:id="2117866680">
                  <w:marLeft w:val="0"/>
                  <w:marRight w:val="0"/>
                  <w:marTop w:val="0"/>
                  <w:marBottom w:val="0"/>
                  <w:divBdr>
                    <w:top w:val="none" w:sz="0" w:space="0" w:color="auto"/>
                    <w:left w:val="none" w:sz="0" w:space="0" w:color="auto"/>
                    <w:bottom w:val="none" w:sz="0" w:space="0" w:color="auto"/>
                    <w:right w:val="none" w:sz="0" w:space="0" w:color="auto"/>
                  </w:divBdr>
                  <w:divsChild>
                    <w:div w:id="1651783991">
                      <w:marLeft w:val="0"/>
                      <w:marRight w:val="0"/>
                      <w:marTop w:val="0"/>
                      <w:marBottom w:val="0"/>
                      <w:divBdr>
                        <w:top w:val="none" w:sz="0" w:space="0" w:color="auto"/>
                        <w:left w:val="none" w:sz="0" w:space="0" w:color="auto"/>
                        <w:bottom w:val="none" w:sz="0" w:space="0" w:color="auto"/>
                        <w:right w:val="none" w:sz="0" w:space="0" w:color="auto"/>
                      </w:divBdr>
                    </w:div>
                  </w:divsChild>
                </w:div>
                <w:div w:id="458645285">
                  <w:marLeft w:val="0"/>
                  <w:marRight w:val="0"/>
                  <w:marTop w:val="0"/>
                  <w:marBottom w:val="0"/>
                  <w:divBdr>
                    <w:top w:val="none" w:sz="0" w:space="0" w:color="auto"/>
                    <w:left w:val="none" w:sz="0" w:space="0" w:color="auto"/>
                    <w:bottom w:val="none" w:sz="0" w:space="0" w:color="auto"/>
                    <w:right w:val="none" w:sz="0" w:space="0" w:color="auto"/>
                  </w:divBdr>
                  <w:divsChild>
                    <w:div w:id="1421216399">
                      <w:marLeft w:val="0"/>
                      <w:marRight w:val="0"/>
                      <w:marTop w:val="0"/>
                      <w:marBottom w:val="0"/>
                      <w:divBdr>
                        <w:top w:val="none" w:sz="0" w:space="0" w:color="auto"/>
                        <w:left w:val="none" w:sz="0" w:space="0" w:color="auto"/>
                        <w:bottom w:val="none" w:sz="0" w:space="0" w:color="auto"/>
                        <w:right w:val="none" w:sz="0" w:space="0" w:color="auto"/>
                      </w:divBdr>
                    </w:div>
                  </w:divsChild>
                </w:div>
                <w:div w:id="1121728273">
                  <w:marLeft w:val="0"/>
                  <w:marRight w:val="0"/>
                  <w:marTop w:val="0"/>
                  <w:marBottom w:val="0"/>
                  <w:divBdr>
                    <w:top w:val="none" w:sz="0" w:space="0" w:color="auto"/>
                    <w:left w:val="none" w:sz="0" w:space="0" w:color="auto"/>
                    <w:bottom w:val="none" w:sz="0" w:space="0" w:color="auto"/>
                    <w:right w:val="none" w:sz="0" w:space="0" w:color="auto"/>
                  </w:divBdr>
                  <w:divsChild>
                    <w:div w:id="1050614461">
                      <w:marLeft w:val="0"/>
                      <w:marRight w:val="0"/>
                      <w:marTop w:val="0"/>
                      <w:marBottom w:val="0"/>
                      <w:divBdr>
                        <w:top w:val="none" w:sz="0" w:space="0" w:color="auto"/>
                        <w:left w:val="none" w:sz="0" w:space="0" w:color="auto"/>
                        <w:bottom w:val="none" w:sz="0" w:space="0" w:color="auto"/>
                        <w:right w:val="none" w:sz="0" w:space="0" w:color="auto"/>
                      </w:divBdr>
                    </w:div>
                  </w:divsChild>
                </w:div>
                <w:div w:id="364871606">
                  <w:marLeft w:val="0"/>
                  <w:marRight w:val="0"/>
                  <w:marTop w:val="0"/>
                  <w:marBottom w:val="0"/>
                  <w:divBdr>
                    <w:top w:val="none" w:sz="0" w:space="0" w:color="auto"/>
                    <w:left w:val="none" w:sz="0" w:space="0" w:color="auto"/>
                    <w:bottom w:val="none" w:sz="0" w:space="0" w:color="auto"/>
                    <w:right w:val="none" w:sz="0" w:space="0" w:color="auto"/>
                  </w:divBdr>
                  <w:divsChild>
                    <w:div w:id="522985038">
                      <w:marLeft w:val="0"/>
                      <w:marRight w:val="0"/>
                      <w:marTop w:val="0"/>
                      <w:marBottom w:val="0"/>
                      <w:divBdr>
                        <w:top w:val="none" w:sz="0" w:space="0" w:color="auto"/>
                        <w:left w:val="none" w:sz="0" w:space="0" w:color="auto"/>
                        <w:bottom w:val="none" w:sz="0" w:space="0" w:color="auto"/>
                        <w:right w:val="none" w:sz="0" w:space="0" w:color="auto"/>
                      </w:divBdr>
                    </w:div>
                  </w:divsChild>
                </w:div>
                <w:div w:id="409933058">
                  <w:marLeft w:val="0"/>
                  <w:marRight w:val="0"/>
                  <w:marTop w:val="0"/>
                  <w:marBottom w:val="0"/>
                  <w:divBdr>
                    <w:top w:val="none" w:sz="0" w:space="0" w:color="auto"/>
                    <w:left w:val="none" w:sz="0" w:space="0" w:color="auto"/>
                    <w:bottom w:val="none" w:sz="0" w:space="0" w:color="auto"/>
                    <w:right w:val="none" w:sz="0" w:space="0" w:color="auto"/>
                  </w:divBdr>
                  <w:divsChild>
                    <w:div w:id="471294570">
                      <w:marLeft w:val="0"/>
                      <w:marRight w:val="0"/>
                      <w:marTop w:val="0"/>
                      <w:marBottom w:val="0"/>
                      <w:divBdr>
                        <w:top w:val="none" w:sz="0" w:space="0" w:color="auto"/>
                        <w:left w:val="none" w:sz="0" w:space="0" w:color="auto"/>
                        <w:bottom w:val="none" w:sz="0" w:space="0" w:color="auto"/>
                        <w:right w:val="none" w:sz="0" w:space="0" w:color="auto"/>
                      </w:divBdr>
                    </w:div>
                  </w:divsChild>
                </w:div>
                <w:div w:id="856819054">
                  <w:marLeft w:val="0"/>
                  <w:marRight w:val="0"/>
                  <w:marTop w:val="0"/>
                  <w:marBottom w:val="0"/>
                  <w:divBdr>
                    <w:top w:val="none" w:sz="0" w:space="0" w:color="auto"/>
                    <w:left w:val="none" w:sz="0" w:space="0" w:color="auto"/>
                    <w:bottom w:val="none" w:sz="0" w:space="0" w:color="auto"/>
                    <w:right w:val="none" w:sz="0" w:space="0" w:color="auto"/>
                  </w:divBdr>
                  <w:divsChild>
                    <w:div w:id="109781379">
                      <w:marLeft w:val="0"/>
                      <w:marRight w:val="0"/>
                      <w:marTop w:val="0"/>
                      <w:marBottom w:val="0"/>
                      <w:divBdr>
                        <w:top w:val="none" w:sz="0" w:space="0" w:color="auto"/>
                        <w:left w:val="none" w:sz="0" w:space="0" w:color="auto"/>
                        <w:bottom w:val="none" w:sz="0" w:space="0" w:color="auto"/>
                        <w:right w:val="none" w:sz="0" w:space="0" w:color="auto"/>
                      </w:divBdr>
                    </w:div>
                  </w:divsChild>
                </w:div>
                <w:div w:id="309213616">
                  <w:marLeft w:val="0"/>
                  <w:marRight w:val="0"/>
                  <w:marTop w:val="0"/>
                  <w:marBottom w:val="0"/>
                  <w:divBdr>
                    <w:top w:val="none" w:sz="0" w:space="0" w:color="auto"/>
                    <w:left w:val="none" w:sz="0" w:space="0" w:color="auto"/>
                    <w:bottom w:val="none" w:sz="0" w:space="0" w:color="auto"/>
                    <w:right w:val="none" w:sz="0" w:space="0" w:color="auto"/>
                  </w:divBdr>
                  <w:divsChild>
                    <w:div w:id="1368262994">
                      <w:marLeft w:val="0"/>
                      <w:marRight w:val="0"/>
                      <w:marTop w:val="0"/>
                      <w:marBottom w:val="0"/>
                      <w:divBdr>
                        <w:top w:val="none" w:sz="0" w:space="0" w:color="auto"/>
                        <w:left w:val="none" w:sz="0" w:space="0" w:color="auto"/>
                        <w:bottom w:val="none" w:sz="0" w:space="0" w:color="auto"/>
                        <w:right w:val="none" w:sz="0" w:space="0" w:color="auto"/>
                      </w:divBdr>
                    </w:div>
                  </w:divsChild>
                </w:div>
                <w:div w:id="1797486773">
                  <w:marLeft w:val="0"/>
                  <w:marRight w:val="0"/>
                  <w:marTop w:val="0"/>
                  <w:marBottom w:val="0"/>
                  <w:divBdr>
                    <w:top w:val="none" w:sz="0" w:space="0" w:color="auto"/>
                    <w:left w:val="none" w:sz="0" w:space="0" w:color="auto"/>
                    <w:bottom w:val="none" w:sz="0" w:space="0" w:color="auto"/>
                    <w:right w:val="none" w:sz="0" w:space="0" w:color="auto"/>
                  </w:divBdr>
                  <w:divsChild>
                    <w:div w:id="655568475">
                      <w:marLeft w:val="0"/>
                      <w:marRight w:val="0"/>
                      <w:marTop w:val="0"/>
                      <w:marBottom w:val="0"/>
                      <w:divBdr>
                        <w:top w:val="none" w:sz="0" w:space="0" w:color="auto"/>
                        <w:left w:val="none" w:sz="0" w:space="0" w:color="auto"/>
                        <w:bottom w:val="none" w:sz="0" w:space="0" w:color="auto"/>
                        <w:right w:val="none" w:sz="0" w:space="0" w:color="auto"/>
                      </w:divBdr>
                    </w:div>
                  </w:divsChild>
                </w:div>
                <w:div w:id="1626739716">
                  <w:marLeft w:val="0"/>
                  <w:marRight w:val="0"/>
                  <w:marTop w:val="0"/>
                  <w:marBottom w:val="0"/>
                  <w:divBdr>
                    <w:top w:val="none" w:sz="0" w:space="0" w:color="auto"/>
                    <w:left w:val="none" w:sz="0" w:space="0" w:color="auto"/>
                    <w:bottom w:val="none" w:sz="0" w:space="0" w:color="auto"/>
                    <w:right w:val="none" w:sz="0" w:space="0" w:color="auto"/>
                  </w:divBdr>
                  <w:divsChild>
                    <w:div w:id="1532262077">
                      <w:marLeft w:val="0"/>
                      <w:marRight w:val="0"/>
                      <w:marTop w:val="0"/>
                      <w:marBottom w:val="0"/>
                      <w:divBdr>
                        <w:top w:val="none" w:sz="0" w:space="0" w:color="auto"/>
                        <w:left w:val="none" w:sz="0" w:space="0" w:color="auto"/>
                        <w:bottom w:val="none" w:sz="0" w:space="0" w:color="auto"/>
                        <w:right w:val="none" w:sz="0" w:space="0" w:color="auto"/>
                      </w:divBdr>
                    </w:div>
                  </w:divsChild>
                </w:div>
                <w:div w:id="1761945858">
                  <w:marLeft w:val="0"/>
                  <w:marRight w:val="0"/>
                  <w:marTop w:val="0"/>
                  <w:marBottom w:val="0"/>
                  <w:divBdr>
                    <w:top w:val="none" w:sz="0" w:space="0" w:color="auto"/>
                    <w:left w:val="none" w:sz="0" w:space="0" w:color="auto"/>
                    <w:bottom w:val="none" w:sz="0" w:space="0" w:color="auto"/>
                    <w:right w:val="none" w:sz="0" w:space="0" w:color="auto"/>
                  </w:divBdr>
                  <w:divsChild>
                    <w:div w:id="2113430060">
                      <w:marLeft w:val="0"/>
                      <w:marRight w:val="0"/>
                      <w:marTop w:val="0"/>
                      <w:marBottom w:val="0"/>
                      <w:divBdr>
                        <w:top w:val="none" w:sz="0" w:space="0" w:color="auto"/>
                        <w:left w:val="none" w:sz="0" w:space="0" w:color="auto"/>
                        <w:bottom w:val="none" w:sz="0" w:space="0" w:color="auto"/>
                        <w:right w:val="none" w:sz="0" w:space="0" w:color="auto"/>
                      </w:divBdr>
                    </w:div>
                  </w:divsChild>
                </w:div>
                <w:div w:id="1426223716">
                  <w:marLeft w:val="0"/>
                  <w:marRight w:val="0"/>
                  <w:marTop w:val="0"/>
                  <w:marBottom w:val="0"/>
                  <w:divBdr>
                    <w:top w:val="none" w:sz="0" w:space="0" w:color="auto"/>
                    <w:left w:val="none" w:sz="0" w:space="0" w:color="auto"/>
                    <w:bottom w:val="none" w:sz="0" w:space="0" w:color="auto"/>
                    <w:right w:val="none" w:sz="0" w:space="0" w:color="auto"/>
                  </w:divBdr>
                  <w:divsChild>
                    <w:div w:id="954405471">
                      <w:marLeft w:val="0"/>
                      <w:marRight w:val="0"/>
                      <w:marTop w:val="0"/>
                      <w:marBottom w:val="0"/>
                      <w:divBdr>
                        <w:top w:val="none" w:sz="0" w:space="0" w:color="auto"/>
                        <w:left w:val="none" w:sz="0" w:space="0" w:color="auto"/>
                        <w:bottom w:val="none" w:sz="0" w:space="0" w:color="auto"/>
                        <w:right w:val="none" w:sz="0" w:space="0" w:color="auto"/>
                      </w:divBdr>
                    </w:div>
                  </w:divsChild>
                </w:div>
                <w:div w:id="335964824">
                  <w:marLeft w:val="0"/>
                  <w:marRight w:val="0"/>
                  <w:marTop w:val="0"/>
                  <w:marBottom w:val="0"/>
                  <w:divBdr>
                    <w:top w:val="none" w:sz="0" w:space="0" w:color="auto"/>
                    <w:left w:val="none" w:sz="0" w:space="0" w:color="auto"/>
                    <w:bottom w:val="none" w:sz="0" w:space="0" w:color="auto"/>
                    <w:right w:val="none" w:sz="0" w:space="0" w:color="auto"/>
                  </w:divBdr>
                  <w:divsChild>
                    <w:div w:id="241648125">
                      <w:marLeft w:val="0"/>
                      <w:marRight w:val="0"/>
                      <w:marTop w:val="0"/>
                      <w:marBottom w:val="0"/>
                      <w:divBdr>
                        <w:top w:val="none" w:sz="0" w:space="0" w:color="auto"/>
                        <w:left w:val="none" w:sz="0" w:space="0" w:color="auto"/>
                        <w:bottom w:val="none" w:sz="0" w:space="0" w:color="auto"/>
                        <w:right w:val="none" w:sz="0" w:space="0" w:color="auto"/>
                      </w:divBdr>
                    </w:div>
                  </w:divsChild>
                </w:div>
                <w:div w:id="1879077889">
                  <w:marLeft w:val="0"/>
                  <w:marRight w:val="0"/>
                  <w:marTop w:val="0"/>
                  <w:marBottom w:val="0"/>
                  <w:divBdr>
                    <w:top w:val="none" w:sz="0" w:space="0" w:color="auto"/>
                    <w:left w:val="none" w:sz="0" w:space="0" w:color="auto"/>
                    <w:bottom w:val="none" w:sz="0" w:space="0" w:color="auto"/>
                    <w:right w:val="none" w:sz="0" w:space="0" w:color="auto"/>
                  </w:divBdr>
                  <w:divsChild>
                    <w:div w:id="1944872616">
                      <w:marLeft w:val="0"/>
                      <w:marRight w:val="0"/>
                      <w:marTop w:val="0"/>
                      <w:marBottom w:val="0"/>
                      <w:divBdr>
                        <w:top w:val="none" w:sz="0" w:space="0" w:color="auto"/>
                        <w:left w:val="none" w:sz="0" w:space="0" w:color="auto"/>
                        <w:bottom w:val="none" w:sz="0" w:space="0" w:color="auto"/>
                        <w:right w:val="none" w:sz="0" w:space="0" w:color="auto"/>
                      </w:divBdr>
                    </w:div>
                  </w:divsChild>
                </w:div>
                <w:div w:id="956640013">
                  <w:marLeft w:val="0"/>
                  <w:marRight w:val="0"/>
                  <w:marTop w:val="0"/>
                  <w:marBottom w:val="0"/>
                  <w:divBdr>
                    <w:top w:val="none" w:sz="0" w:space="0" w:color="auto"/>
                    <w:left w:val="none" w:sz="0" w:space="0" w:color="auto"/>
                    <w:bottom w:val="none" w:sz="0" w:space="0" w:color="auto"/>
                    <w:right w:val="none" w:sz="0" w:space="0" w:color="auto"/>
                  </w:divBdr>
                  <w:divsChild>
                    <w:div w:id="1888947829">
                      <w:marLeft w:val="0"/>
                      <w:marRight w:val="0"/>
                      <w:marTop w:val="0"/>
                      <w:marBottom w:val="0"/>
                      <w:divBdr>
                        <w:top w:val="none" w:sz="0" w:space="0" w:color="auto"/>
                        <w:left w:val="none" w:sz="0" w:space="0" w:color="auto"/>
                        <w:bottom w:val="none" w:sz="0" w:space="0" w:color="auto"/>
                        <w:right w:val="none" w:sz="0" w:space="0" w:color="auto"/>
                      </w:divBdr>
                    </w:div>
                  </w:divsChild>
                </w:div>
                <w:div w:id="445737755">
                  <w:marLeft w:val="0"/>
                  <w:marRight w:val="0"/>
                  <w:marTop w:val="0"/>
                  <w:marBottom w:val="0"/>
                  <w:divBdr>
                    <w:top w:val="none" w:sz="0" w:space="0" w:color="auto"/>
                    <w:left w:val="none" w:sz="0" w:space="0" w:color="auto"/>
                    <w:bottom w:val="none" w:sz="0" w:space="0" w:color="auto"/>
                    <w:right w:val="none" w:sz="0" w:space="0" w:color="auto"/>
                  </w:divBdr>
                  <w:divsChild>
                    <w:div w:id="655383929">
                      <w:marLeft w:val="0"/>
                      <w:marRight w:val="0"/>
                      <w:marTop w:val="0"/>
                      <w:marBottom w:val="0"/>
                      <w:divBdr>
                        <w:top w:val="none" w:sz="0" w:space="0" w:color="auto"/>
                        <w:left w:val="none" w:sz="0" w:space="0" w:color="auto"/>
                        <w:bottom w:val="none" w:sz="0" w:space="0" w:color="auto"/>
                        <w:right w:val="none" w:sz="0" w:space="0" w:color="auto"/>
                      </w:divBdr>
                    </w:div>
                  </w:divsChild>
                </w:div>
                <w:div w:id="2091851024">
                  <w:marLeft w:val="0"/>
                  <w:marRight w:val="0"/>
                  <w:marTop w:val="0"/>
                  <w:marBottom w:val="0"/>
                  <w:divBdr>
                    <w:top w:val="none" w:sz="0" w:space="0" w:color="auto"/>
                    <w:left w:val="none" w:sz="0" w:space="0" w:color="auto"/>
                    <w:bottom w:val="none" w:sz="0" w:space="0" w:color="auto"/>
                    <w:right w:val="none" w:sz="0" w:space="0" w:color="auto"/>
                  </w:divBdr>
                  <w:divsChild>
                    <w:div w:id="489441648">
                      <w:marLeft w:val="0"/>
                      <w:marRight w:val="0"/>
                      <w:marTop w:val="0"/>
                      <w:marBottom w:val="0"/>
                      <w:divBdr>
                        <w:top w:val="none" w:sz="0" w:space="0" w:color="auto"/>
                        <w:left w:val="none" w:sz="0" w:space="0" w:color="auto"/>
                        <w:bottom w:val="none" w:sz="0" w:space="0" w:color="auto"/>
                        <w:right w:val="none" w:sz="0" w:space="0" w:color="auto"/>
                      </w:divBdr>
                    </w:div>
                  </w:divsChild>
                </w:div>
                <w:div w:id="164442248">
                  <w:marLeft w:val="0"/>
                  <w:marRight w:val="0"/>
                  <w:marTop w:val="0"/>
                  <w:marBottom w:val="0"/>
                  <w:divBdr>
                    <w:top w:val="none" w:sz="0" w:space="0" w:color="auto"/>
                    <w:left w:val="none" w:sz="0" w:space="0" w:color="auto"/>
                    <w:bottom w:val="none" w:sz="0" w:space="0" w:color="auto"/>
                    <w:right w:val="none" w:sz="0" w:space="0" w:color="auto"/>
                  </w:divBdr>
                  <w:divsChild>
                    <w:div w:id="1886022957">
                      <w:marLeft w:val="0"/>
                      <w:marRight w:val="0"/>
                      <w:marTop w:val="0"/>
                      <w:marBottom w:val="0"/>
                      <w:divBdr>
                        <w:top w:val="none" w:sz="0" w:space="0" w:color="auto"/>
                        <w:left w:val="none" w:sz="0" w:space="0" w:color="auto"/>
                        <w:bottom w:val="none" w:sz="0" w:space="0" w:color="auto"/>
                        <w:right w:val="none" w:sz="0" w:space="0" w:color="auto"/>
                      </w:divBdr>
                    </w:div>
                  </w:divsChild>
                </w:div>
                <w:div w:id="606931010">
                  <w:marLeft w:val="0"/>
                  <w:marRight w:val="0"/>
                  <w:marTop w:val="0"/>
                  <w:marBottom w:val="0"/>
                  <w:divBdr>
                    <w:top w:val="none" w:sz="0" w:space="0" w:color="auto"/>
                    <w:left w:val="none" w:sz="0" w:space="0" w:color="auto"/>
                    <w:bottom w:val="none" w:sz="0" w:space="0" w:color="auto"/>
                    <w:right w:val="none" w:sz="0" w:space="0" w:color="auto"/>
                  </w:divBdr>
                  <w:divsChild>
                    <w:div w:id="1558976605">
                      <w:marLeft w:val="0"/>
                      <w:marRight w:val="0"/>
                      <w:marTop w:val="0"/>
                      <w:marBottom w:val="0"/>
                      <w:divBdr>
                        <w:top w:val="none" w:sz="0" w:space="0" w:color="auto"/>
                        <w:left w:val="none" w:sz="0" w:space="0" w:color="auto"/>
                        <w:bottom w:val="none" w:sz="0" w:space="0" w:color="auto"/>
                        <w:right w:val="none" w:sz="0" w:space="0" w:color="auto"/>
                      </w:divBdr>
                    </w:div>
                  </w:divsChild>
                </w:div>
                <w:div w:id="1997026459">
                  <w:marLeft w:val="0"/>
                  <w:marRight w:val="0"/>
                  <w:marTop w:val="0"/>
                  <w:marBottom w:val="0"/>
                  <w:divBdr>
                    <w:top w:val="none" w:sz="0" w:space="0" w:color="auto"/>
                    <w:left w:val="none" w:sz="0" w:space="0" w:color="auto"/>
                    <w:bottom w:val="none" w:sz="0" w:space="0" w:color="auto"/>
                    <w:right w:val="none" w:sz="0" w:space="0" w:color="auto"/>
                  </w:divBdr>
                  <w:divsChild>
                    <w:div w:id="1160073752">
                      <w:marLeft w:val="0"/>
                      <w:marRight w:val="0"/>
                      <w:marTop w:val="0"/>
                      <w:marBottom w:val="0"/>
                      <w:divBdr>
                        <w:top w:val="none" w:sz="0" w:space="0" w:color="auto"/>
                        <w:left w:val="none" w:sz="0" w:space="0" w:color="auto"/>
                        <w:bottom w:val="none" w:sz="0" w:space="0" w:color="auto"/>
                        <w:right w:val="none" w:sz="0" w:space="0" w:color="auto"/>
                      </w:divBdr>
                    </w:div>
                  </w:divsChild>
                </w:div>
                <w:div w:id="341054708">
                  <w:marLeft w:val="0"/>
                  <w:marRight w:val="0"/>
                  <w:marTop w:val="0"/>
                  <w:marBottom w:val="0"/>
                  <w:divBdr>
                    <w:top w:val="none" w:sz="0" w:space="0" w:color="auto"/>
                    <w:left w:val="none" w:sz="0" w:space="0" w:color="auto"/>
                    <w:bottom w:val="none" w:sz="0" w:space="0" w:color="auto"/>
                    <w:right w:val="none" w:sz="0" w:space="0" w:color="auto"/>
                  </w:divBdr>
                  <w:divsChild>
                    <w:div w:id="876116317">
                      <w:marLeft w:val="0"/>
                      <w:marRight w:val="0"/>
                      <w:marTop w:val="0"/>
                      <w:marBottom w:val="0"/>
                      <w:divBdr>
                        <w:top w:val="none" w:sz="0" w:space="0" w:color="auto"/>
                        <w:left w:val="none" w:sz="0" w:space="0" w:color="auto"/>
                        <w:bottom w:val="none" w:sz="0" w:space="0" w:color="auto"/>
                        <w:right w:val="none" w:sz="0" w:space="0" w:color="auto"/>
                      </w:divBdr>
                    </w:div>
                  </w:divsChild>
                </w:div>
                <w:div w:id="843206436">
                  <w:marLeft w:val="0"/>
                  <w:marRight w:val="0"/>
                  <w:marTop w:val="0"/>
                  <w:marBottom w:val="0"/>
                  <w:divBdr>
                    <w:top w:val="none" w:sz="0" w:space="0" w:color="auto"/>
                    <w:left w:val="none" w:sz="0" w:space="0" w:color="auto"/>
                    <w:bottom w:val="none" w:sz="0" w:space="0" w:color="auto"/>
                    <w:right w:val="none" w:sz="0" w:space="0" w:color="auto"/>
                  </w:divBdr>
                  <w:divsChild>
                    <w:div w:id="1796364943">
                      <w:marLeft w:val="0"/>
                      <w:marRight w:val="0"/>
                      <w:marTop w:val="0"/>
                      <w:marBottom w:val="0"/>
                      <w:divBdr>
                        <w:top w:val="none" w:sz="0" w:space="0" w:color="auto"/>
                        <w:left w:val="none" w:sz="0" w:space="0" w:color="auto"/>
                        <w:bottom w:val="none" w:sz="0" w:space="0" w:color="auto"/>
                        <w:right w:val="none" w:sz="0" w:space="0" w:color="auto"/>
                      </w:divBdr>
                    </w:div>
                  </w:divsChild>
                </w:div>
                <w:div w:id="1024745265">
                  <w:marLeft w:val="0"/>
                  <w:marRight w:val="0"/>
                  <w:marTop w:val="0"/>
                  <w:marBottom w:val="0"/>
                  <w:divBdr>
                    <w:top w:val="none" w:sz="0" w:space="0" w:color="auto"/>
                    <w:left w:val="none" w:sz="0" w:space="0" w:color="auto"/>
                    <w:bottom w:val="none" w:sz="0" w:space="0" w:color="auto"/>
                    <w:right w:val="none" w:sz="0" w:space="0" w:color="auto"/>
                  </w:divBdr>
                  <w:divsChild>
                    <w:div w:id="649024259">
                      <w:marLeft w:val="0"/>
                      <w:marRight w:val="0"/>
                      <w:marTop w:val="0"/>
                      <w:marBottom w:val="0"/>
                      <w:divBdr>
                        <w:top w:val="none" w:sz="0" w:space="0" w:color="auto"/>
                        <w:left w:val="none" w:sz="0" w:space="0" w:color="auto"/>
                        <w:bottom w:val="none" w:sz="0" w:space="0" w:color="auto"/>
                        <w:right w:val="none" w:sz="0" w:space="0" w:color="auto"/>
                      </w:divBdr>
                    </w:div>
                  </w:divsChild>
                </w:div>
                <w:div w:id="1996184228">
                  <w:marLeft w:val="0"/>
                  <w:marRight w:val="0"/>
                  <w:marTop w:val="0"/>
                  <w:marBottom w:val="0"/>
                  <w:divBdr>
                    <w:top w:val="none" w:sz="0" w:space="0" w:color="auto"/>
                    <w:left w:val="none" w:sz="0" w:space="0" w:color="auto"/>
                    <w:bottom w:val="none" w:sz="0" w:space="0" w:color="auto"/>
                    <w:right w:val="none" w:sz="0" w:space="0" w:color="auto"/>
                  </w:divBdr>
                  <w:divsChild>
                    <w:div w:id="239145631">
                      <w:marLeft w:val="0"/>
                      <w:marRight w:val="0"/>
                      <w:marTop w:val="0"/>
                      <w:marBottom w:val="0"/>
                      <w:divBdr>
                        <w:top w:val="none" w:sz="0" w:space="0" w:color="auto"/>
                        <w:left w:val="none" w:sz="0" w:space="0" w:color="auto"/>
                        <w:bottom w:val="none" w:sz="0" w:space="0" w:color="auto"/>
                        <w:right w:val="none" w:sz="0" w:space="0" w:color="auto"/>
                      </w:divBdr>
                    </w:div>
                  </w:divsChild>
                </w:div>
                <w:div w:id="1818836518">
                  <w:marLeft w:val="0"/>
                  <w:marRight w:val="0"/>
                  <w:marTop w:val="0"/>
                  <w:marBottom w:val="0"/>
                  <w:divBdr>
                    <w:top w:val="none" w:sz="0" w:space="0" w:color="auto"/>
                    <w:left w:val="none" w:sz="0" w:space="0" w:color="auto"/>
                    <w:bottom w:val="none" w:sz="0" w:space="0" w:color="auto"/>
                    <w:right w:val="none" w:sz="0" w:space="0" w:color="auto"/>
                  </w:divBdr>
                  <w:divsChild>
                    <w:div w:id="1638491996">
                      <w:marLeft w:val="0"/>
                      <w:marRight w:val="0"/>
                      <w:marTop w:val="0"/>
                      <w:marBottom w:val="0"/>
                      <w:divBdr>
                        <w:top w:val="none" w:sz="0" w:space="0" w:color="auto"/>
                        <w:left w:val="none" w:sz="0" w:space="0" w:color="auto"/>
                        <w:bottom w:val="none" w:sz="0" w:space="0" w:color="auto"/>
                        <w:right w:val="none" w:sz="0" w:space="0" w:color="auto"/>
                      </w:divBdr>
                    </w:div>
                  </w:divsChild>
                </w:div>
                <w:div w:id="991176012">
                  <w:marLeft w:val="0"/>
                  <w:marRight w:val="0"/>
                  <w:marTop w:val="0"/>
                  <w:marBottom w:val="0"/>
                  <w:divBdr>
                    <w:top w:val="none" w:sz="0" w:space="0" w:color="auto"/>
                    <w:left w:val="none" w:sz="0" w:space="0" w:color="auto"/>
                    <w:bottom w:val="none" w:sz="0" w:space="0" w:color="auto"/>
                    <w:right w:val="none" w:sz="0" w:space="0" w:color="auto"/>
                  </w:divBdr>
                  <w:divsChild>
                    <w:div w:id="1233733865">
                      <w:marLeft w:val="0"/>
                      <w:marRight w:val="0"/>
                      <w:marTop w:val="0"/>
                      <w:marBottom w:val="0"/>
                      <w:divBdr>
                        <w:top w:val="none" w:sz="0" w:space="0" w:color="auto"/>
                        <w:left w:val="none" w:sz="0" w:space="0" w:color="auto"/>
                        <w:bottom w:val="none" w:sz="0" w:space="0" w:color="auto"/>
                        <w:right w:val="none" w:sz="0" w:space="0" w:color="auto"/>
                      </w:divBdr>
                    </w:div>
                  </w:divsChild>
                </w:div>
                <w:div w:id="1800955558">
                  <w:marLeft w:val="0"/>
                  <w:marRight w:val="0"/>
                  <w:marTop w:val="0"/>
                  <w:marBottom w:val="0"/>
                  <w:divBdr>
                    <w:top w:val="none" w:sz="0" w:space="0" w:color="auto"/>
                    <w:left w:val="none" w:sz="0" w:space="0" w:color="auto"/>
                    <w:bottom w:val="none" w:sz="0" w:space="0" w:color="auto"/>
                    <w:right w:val="none" w:sz="0" w:space="0" w:color="auto"/>
                  </w:divBdr>
                  <w:divsChild>
                    <w:div w:id="1772966257">
                      <w:marLeft w:val="0"/>
                      <w:marRight w:val="0"/>
                      <w:marTop w:val="0"/>
                      <w:marBottom w:val="0"/>
                      <w:divBdr>
                        <w:top w:val="none" w:sz="0" w:space="0" w:color="auto"/>
                        <w:left w:val="none" w:sz="0" w:space="0" w:color="auto"/>
                        <w:bottom w:val="none" w:sz="0" w:space="0" w:color="auto"/>
                        <w:right w:val="none" w:sz="0" w:space="0" w:color="auto"/>
                      </w:divBdr>
                    </w:div>
                  </w:divsChild>
                </w:div>
                <w:div w:id="985283246">
                  <w:marLeft w:val="0"/>
                  <w:marRight w:val="0"/>
                  <w:marTop w:val="0"/>
                  <w:marBottom w:val="0"/>
                  <w:divBdr>
                    <w:top w:val="none" w:sz="0" w:space="0" w:color="auto"/>
                    <w:left w:val="none" w:sz="0" w:space="0" w:color="auto"/>
                    <w:bottom w:val="none" w:sz="0" w:space="0" w:color="auto"/>
                    <w:right w:val="none" w:sz="0" w:space="0" w:color="auto"/>
                  </w:divBdr>
                  <w:divsChild>
                    <w:div w:id="402143578">
                      <w:marLeft w:val="0"/>
                      <w:marRight w:val="0"/>
                      <w:marTop w:val="0"/>
                      <w:marBottom w:val="0"/>
                      <w:divBdr>
                        <w:top w:val="none" w:sz="0" w:space="0" w:color="auto"/>
                        <w:left w:val="none" w:sz="0" w:space="0" w:color="auto"/>
                        <w:bottom w:val="none" w:sz="0" w:space="0" w:color="auto"/>
                        <w:right w:val="none" w:sz="0" w:space="0" w:color="auto"/>
                      </w:divBdr>
                    </w:div>
                  </w:divsChild>
                </w:div>
                <w:div w:id="1164205086">
                  <w:marLeft w:val="0"/>
                  <w:marRight w:val="0"/>
                  <w:marTop w:val="0"/>
                  <w:marBottom w:val="0"/>
                  <w:divBdr>
                    <w:top w:val="none" w:sz="0" w:space="0" w:color="auto"/>
                    <w:left w:val="none" w:sz="0" w:space="0" w:color="auto"/>
                    <w:bottom w:val="none" w:sz="0" w:space="0" w:color="auto"/>
                    <w:right w:val="none" w:sz="0" w:space="0" w:color="auto"/>
                  </w:divBdr>
                  <w:divsChild>
                    <w:div w:id="1275674667">
                      <w:marLeft w:val="0"/>
                      <w:marRight w:val="0"/>
                      <w:marTop w:val="0"/>
                      <w:marBottom w:val="0"/>
                      <w:divBdr>
                        <w:top w:val="none" w:sz="0" w:space="0" w:color="auto"/>
                        <w:left w:val="none" w:sz="0" w:space="0" w:color="auto"/>
                        <w:bottom w:val="none" w:sz="0" w:space="0" w:color="auto"/>
                        <w:right w:val="none" w:sz="0" w:space="0" w:color="auto"/>
                      </w:divBdr>
                    </w:div>
                  </w:divsChild>
                </w:div>
                <w:div w:id="2054504332">
                  <w:marLeft w:val="0"/>
                  <w:marRight w:val="0"/>
                  <w:marTop w:val="0"/>
                  <w:marBottom w:val="0"/>
                  <w:divBdr>
                    <w:top w:val="none" w:sz="0" w:space="0" w:color="auto"/>
                    <w:left w:val="none" w:sz="0" w:space="0" w:color="auto"/>
                    <w:bottom w:val="none" w:sz="0" w:space="0" w:color="auto"/>
                    <w:right w:val="none" w:sz="0" w:space="0" w:color="auto"/>
                  </w:divBdr>
                  <w:divsChild>
                    <w:div w:id="2112385098">
                      <w:marLeft w:val="0"/>
                      <w:marRight w:val="0"/>
                      <w:marTop w:val="0"/>
                      <w:marBottom w:val="0"/>
                      <w:divBdr>
                        <w:top w:val="none" w:sz="0" w:space="0" w:color="auto"/>
                        <w:left w:val="none" w:sz="0" w:space="0" w:color="auto"/>
                        <w:bottom w:val="none" w:sz="0" w:space="0" w:color="auto"/>
                        <w:right w:val="none" w:sz="0" w:space="0" w:color="auto"/>
                      </w:divBdr>
                    </w:div>
                  </w:divsChild>
                </w:div>
                <w:div w:id="139733590">
                  <w:marLeft w:val="0"/>
                  <w:marRight w:val="0"/>
                  <w:marTop w:val="0"/>
                  <w:marBottom w:val="0"/>
                  <w:divBdr>
                    <w:top w:val="none" w:sz="0" w:space="0" w:color="auto"/>
                    <w:left w:val="none" w:sz="0" w:space="0" w:color="auto"/>
                    <w:bottom w:val="none" w:sz="0" w:space="0" w:color="auto"/>
                    <w:right w:val="none" w:sz="0" w:space="0" w:color="auto"/>
                  </w:divBdr>
                  <w:divsChild>
                    <w:div w:id="2019194401">
                      <w:marLeft w:val="0"/>
                      <w:marRight w:val="0"/>
                      <w:marTop w:val="0"/>
                      <w:marBottom w:val="0"/>
                      <w:divBdr>
                        <w:top w:val="none" w:sz="0" w:space="0" w:color="auto"/>
                        <w:left w:val="none" w:sz="0" w:space="0" w:color="auto"/>
                        <w:bottom w:val="none" w:sz="0" w:space="0" w:color="auto"/>
                        <w:right w:val="none" w:sz="0" w:space="0" w:color="auto"/>
                      </w:divBdr>
                    </w:div>
                  </w:divsChild>
                </w:div>
                <w:div w:id="1138305201">
                  <w:marLeft w:val="0"/>
                  <w:marRight w:val="0"/>
                  <w:marTop w:val="0"/>
                  <w:marBottom w:val="0"/>
                  <w:divBdr>
                    <w:top w:val="none" w:sz="0" w:space="0" w:color="auto"/>
                    <w:left w:val="none" w:sz="0" w:space="0" w:color="auto"/>
                    <w:bottom w:val="none" w:sz="0" w:space="0" w:color="auto"/>
                    <w:right w:val="none" w:sz="0" w:space="0" w:color="auto"/>
                  </w:divBdr>
                  <w:divsChild>
                    <w:div w:id="657686385">
                      <w:marLeft w:val="0"/>
                      <w:marRight w:val="0"/>
                      <w:marTop w:val="0"/>
                      <w:marBottom w:val="0"/>
                      <w:divBdr>
                        <w:top w:val="none" w:sz="0" w:space="0" w:color="auto"/>
                        <w:left w:val="none" w:sz="0" w:space="0" w:color="auto"/>
                        <w:bottom w:val="none" w:sz="0" w:space="0" w:color="auto"/>
                        <w:right w:val="none" w:sz="0" w:space="0" w:color="auto"/>
                      </w:divBdr>
                    </w:div>
                  </w:divsChild>
                </w:div>
                <w:div w:id="1715037053">
                  <w:marLeft w:val="0"/>
                  <w:marRight w:val="0"/>
                  <w:marTop w:val="0"/>
                  <w:marBottom w:val="0"/>
                  <w:divBdr>
                    <w:top w:val="none" w:sz="0" w:space="0" w:color="auto"/>
                    <w:left w:val="none" w:sz="0" w:space="0" w:color="auto"/>
                    <w:bottom w:val="none" w:sz="0" w:space="0" w:color="auto"/>
                    <w:right w:val="none" w:sz="0" w:space="0" w:color="auto"/>
                  </w:divBdr>
                  <w:divsChild>
                    <w:div w:id="549730868">
                      <w:marLeft w:val="0"/>
                      <w:marRight w:val="0"/>
                      <w:marTop w:val="0"/>
                      <w:marBottom w:val="0"/>
                      <w:divBdr>
                        <w:top w:val="none" w:sz="0" w:space="0" w:color="auto"/>
                        <w:left w:val="none" w:sz="0" w:space="0" w:color="auto"/>
                        <w:bottom w:val="none" w:sz="0" w:space="0" w:color="auto"/>
                        <w:right w:val="none" w:sz="0" w:space="0" w:color="auto"/>
                      </w:divBdr>
                    </w:div>
                  </w:divsChild>
                </w:div>
                <w:div w:id="253781413">
                  <w:marLeft w:val="0"/>
                  <w:marRight w:val="0"/>
                  <w:marTop w:val="0"/>
                  <w:marBottom w:val="0"/>
                  <w:divBdr>
                    <w:top w:val="none" w:sz="0" w:space="0" w:color="auto"/>
                    <w:left w:val="none" w:sz="0" w:space="0" w:color="auto"/>
                    <w:bottom w:val="none" w:sz="0" w:space="0" w:color="auto"/>
                    <w:right w:val="none" w:sz="0" w:space="0" w:color="auto"/>
                  </w:divBdr>
                  <w:divsChild>
                    <w:div w:id="1270701260">
                      <w:marLeft w:val="0"/>
                      <w:marRight w:val="0"/>
                      <w:marTop w:val="0"/>
                      <w:marBottom w:val="0"/>
                      <w:divBdr>
                        <w:top w:val="none" w:sz="0" w:space="0" w:color="auto"/>
                        <w:left w:val="none" w:sz="0" w:space="0" w:color="auto"/>
                        <w:bottom w:val="none" w:sz="0" w:space="0" w:color="auto"/>
                        <w:right w:val="none" w:sz="0" w:space="0" w:color="auto"/>
                      </w:divBdr>
                    </w:div>
                  </w:divsChild>
                </w:div>
                <w:div w:id="2098817969">
                  <w:marLeft w:val="0"/>
                  <w:marRight w:val="0"/>
                  <w:marTop w:val="0"/>
                  <w:marBottom w:val="0"/>
                  <w:divBdr>
                    <w:top w:val="none" w:sz="0" w:space="0" w:color="auto"/>
                    <w:left w:val="none" w:sz="0" w:space="0" w:color="auto"/>
                    <w:bottom w:val="none" w:sz="0" w:space="0" w:color="auto"/>
                    <w:right w:val="none" w:sz="0" w:space="0" w:color="auto"/>
                  </w:divBdr>
                  <w:divsChild>
                    <w:div w:id="120727655">
                      <w:marLeft w:val="0"/>
                      <w:marRight w:val="0"/>
                      <w:marTop w:val="0"/>
                      <w:marBottom w:val="0"/>
                      <w:divBdr>
                        <w:top w:val="none" w:sz="0" w:space="0" w:color="auto"/>
                        <w:left w:val="none" w:sz="0" w:space="0" w:color="auto"/>
                        <w:bottom w:val="none" w:sz="0" w:space="0" w:color="auto"/>
                        <w:right w:val="none" w:sz="0" w:space="0" w:color="auto"/>
                      </w:divBdr>
                    </w:div>
                  </w:divsChild>
                </w:div>
                <w:div w:id="863444137">
                  <w:marLeft w:val="0"/>
                  <w:marRight w:val="0"/>
                  <w:marTop w:val="0"/>
                  <w:marBottom w:val="0"/>
                  <w:divBdr>
                    <w:top w:val="none" w:sz="0" w:space="0" w:color="auto"/>
                    <w:left w:val="none" w:sz="0" w:space="0" w:color="auto"/>
                    <w:bottom w:val="none" w:sz="0" w:space="0" w:color="auto"/>
                    <w:right w:val="none" w:sz="0" w:space="0" w:color="auto"/>
                  </w:divBdr>
                  <w:divsChild>
                    <w:div w:id="59602967">
                      <w:marLeft w:val="0"/>
                      <w:marRight w:val="0"/>
                      <w:marTop w:val="0"/>
                      <w:marBottom w:val="0"/>
                      <w:divBdr>
                        <w:top w:val="none" w:sz="0" w:space="0" w:color="auto"/>
                        <w:left w:val="none" w:sz="0" w:space="0" w:color="auto"/>
                        <w:bottom w:val="none" w:sz="0" w:space="0" w:color="auto"/>
                        <w:right w:val="none" w:sz="0" w:space="0" w:color="auto"/>
                      </w:divBdr>
                    </w:div>
                  </w:divsChild>
                </w:div>
                <w:div w:id="1976791661">
                  <w:marLeft w:val="0"/>
                  <w:marRight w:val="0"/>
                  <w:marTop w:val="0"/>
                  <w:marBottom w:val="0"/>
                  <w:divBdr>
                    <w:top w:val="none" w:sz="0" w:space="0" w:color="auto"/>
                    <w:left w:val="none" w:sz="0" w:space="0" w:color="auto"/>
                    <w:bottom w:val="none" w:sz="0" w:space="0" w:color="auto"/>
                    <w:right w:val="none" w:sz="0" w:space="0" w:color="auto"/>
                  </w:divBdr>
                  <w:divsChild>
                    <w:div w:id="572089064">
                      <w:marLeft w:val="0"/>
                      <w:marRight w:val="0"/>
                      <w:marTop w:val="0"/>
                      <w:marBottom w:val="0"/>
                      <w:divBdr>
                        <w:top w:val="none" w:sz="0" w:space="0" w:color="auto"/>
                        <w:left w:val="none" w:sz="0" w:space="0" w:color="auto"/>
                        <w:bottom w:val="none" w:sz="0" w:space="0" w:color="auto"/>
                        <w:right w:val="none" w:sz="0" w:space="0" w:color="auto"/>
                      </w:divBdr>
                    </w:div>
                  </w:divsChild>
                </w:div>
                <w:div w:id="425926220">
                  <w:marLeft w:val="0"/>
                  <w:marRight w:val="0"/>
                  <w:marTop w:val="0"/>
                  <w:marBottom w:val="0"/>
                  <w:divBdr>
                    <w:top w:val="none" w:sz="0" w:space="0" w:color="auto"/>
                    <w:left w:val="none" w:sz="0" w:space="0" w:color="auto"/>
                    <w:bottom w:val="none" w:sz="0" w:space="0" w:color="auto"/>
                    <w:right w:val="none" w:sz="0" w:space="0" w:color="auto"/>
                  </w:divBdr>
                  <w:divsChild>
                    <w:div w:id="1794053742">
                      <w:marLeft w:val="0"/>
                      <w:marRight w:val="0"/>
                      <w:marTop w:val="0"/>
                      <w:marBottom w:val="0"/>
                      <w:divBdr>
                        <w:top w:val="none" w:sz="0" w:space="0" w:color="auto"/>
                        <w:left w:val="none" w:sz="0" w:space="0" w:color="auto"/>
                        <w:bottom w:val="none" w:sz="0" w:space="0" w:color="auto"/>
                        <w:right w:val="none" w:sz="0" w:space="0" w:color="auto"/>
                      </w:divBdr>
                    </w:div>
                  </w:divsChild>
                </w:div>
                <w:div w:id="229388242">
                  <w:marLeft w:val="0"/>
                  <w:marRight w:val="0"/>
                  <w:marTop w:val="0"/>
                  <w:marBottom w:val="0"/>
                  <w:divBdr>
                    <w:top w:val="none" w:sz="0" w:space="0" w:color="auto"/>
                    <w:left w:val="none" w:sz="0" w:space="0" w:color="auto"/>
                    <w:bottom w:val="none" w:sz="0" w:space="0" w:color="auto"/>
                    <w:right w:val="none" w:sz="0" w:space="0" w:color="auto"/>
                  </w:divBdr>
                  <w:divsChild>
                    <w:div w:id="1306281118">
                      <w:marLeft w:val="0"/>
                      <w:marRight w:val="0"/>
                      <w:marTop w:val="0"/>
                      <w:marBottom w:val="0"/>
                      <w:divBdr>
                        <w:top w:val="none" w:sz="0" w:space="0" w:color="auto"/>
                        <w:left w:val="none" w:sz="0" w:space="0" w:color="auto"/>
                        <w:bottom w:val="none" w:sz="0" w:space="0" w:color="auto"/>
                        <w:right w:val="none" w:sz="0" w:space="0" w:color="auto"/>
                      </w:divBdr>
                    </w:div>
                  </w:divsChild>
                </w:div>
                <w:div w:id="1379090819">
                  <w:marLeft w:val="0"/>
                  <w:marRight w:val="0"/>
                  <w:marTop w:val="0"/>
                  <w:marBottom w:val="0"/>
                  <w:divBdr>
                    <w:top w:val="none" w:sz="0" w:space="0" w:color="auto"/>
                    <w:left w:val="none" w:sz="0" w:space="0" w:color="auto"/>
                    <w:bottom w:val="none" w:sz="0" w:space="0" w:color="auto"/>
                    <w:right w:val="none" w:sz="0" w:space="0" w:color="auto"/>
                  </w:divBdr>
                  <w:divsChild>
                    <w:div w:id="798845368">
                      <w:marLeft w:val="0"/>
                      <w:marRight w:val="0"/>
                      <w:marTop w:val="0"/>
                      <w:marBottom w:val="0"/>
                      <w:divBdr>
                        <w:top w:val="none" w:sz="0" w:space="0" w:color="auto"/>
                        <w:left w:val="none" w:sz="0" w:space="0" w:color="auto"/>
                        <w:bottom w:val="none" w:sz="0" w:space="0" w:color="auto"/>
                        <w:right w:val="none" w:sz="0" w:space="0" w:color="auto"/>
                      </w:divBdr>
                    </w:div>
                  </w:divsChild>
                </w:div>
                <w:div w:id="699084577">
                  <w:marLeft w:val="0"/>
                  <w:marRight w:val="0"/>
                  <w:marTop w:val="0"/>
                  <w:marBottom w:val="0"/>
                  <w:divBdr>
                    <w:top w:val="none" w:sz="0" w:space="0" w:color="auto"/>
                    <w:left w:val="none" w:sz="0" w:space="0" w:color="auto"/>
                    <w:bottom w:val="none" w:sz="0" w:space="0" w:color="auto"/>
                    <w:right w:val="none" w:sz="0" w:space="0" w:color="auto"/>
                  </w:divBdr>
                  <w:divsChild>
                    <w:div w:id="1712071073">
                      <w:marLeft w:val="0"/>
                      <w:marRight w:val="0"/>
                      <w:marTop w:val="0"/>
                      <w:marBottom w:val="0"/>
                      <w:divBdr>
                        <w:top w:val="none" w:sz="0" w:space="0" w:color="auto"/>
                        <w:left w:val="none" w:sz="0" w:space="0" w:color="auto"/>
                        <w:bottom w:val="none" w:sz="0" w:space="0" w:color="auto"/>
                        <w:right w:val="none" w:sz="0" w:space="0" w:color="auto"/>
                      </w:divBdr>
                    </w:div>
                  </w:divsChild>
                </w:div>
                <w:div w:id="1693412642">
                  <w:marLeft w:val="0"/>
                  <w:marRight w:val="0"/>
                  <w:marTop w:val="0"/>
                  <w:marBottom w:val="0"/>
                  <w:divBdr>
                    <w:top w:val="none" w:sz="0" w:space="0" w:color="auto"/>
                    <w:left w:val="none" w:sz="0" w:space="0" w:color="auto"/>
                    <w:bottom w:val="none" w:sz="0" w:space="0" w:color="auto"/>
                    <w:right w:val="none" w:sz="0" w:space="0" w:color="auto"/>
                  </w:divBdr>
                  <w:divsChild>
                    <w:div w:id="733233639">
                      <w:marLeft w:val="0"/>
                      <w:marRight w:val="0"/>
                      <w:marTop w:val="0"/>
                      <w:marBottom w:val="0"/>
                      <w:divBdr>
                        <w:top w:val="none" w:sz="0" w:space="0" w:color="auto"/>
                        <w:left w:val="none" w:sz="0" w:space="0" w:color="auto"/>
                        <w:bottom w:val="none" w:sz="0" w:space="0" w:color="auto"/>
                        <w:right w:val="none" w:sz="0" w:space="0" w:color="auto"/>
                      </w:divBdr>
                    </w:div>
                  </w:divsChild>
                </w:div>
                <w:div w:id="1335492682">
                  <w:marLeft w:val="0"/>
                  <w:marRight w:val="0"/>
                  <w:marTop w:val="0"/>
                  <w:marBottom w:val="0"/>
                  <w:divBdr>
                    <w:top w:val="none" w:sz="0" w:space="0" w:color="auto"/>
                    <w:left w:val="none" w:sz="0" w:space="0" w:color="auto"/>
                    <w:bottom w:val="none" w:sz="0" w:space="0" w:color="auto"/>
                    <w:right w:val="none" w:sz="0" w:space="0" w:color="auto"/>
                  </w:divBdr>
                  <w:divsChild>
                    <w:div w:id="1467508158">
                      <w:marLeft w:val="0"/>
                      <w:marRight w:val="0"/>
                      <w:marTop w:val="0"/>
                      <w:marBottom w:val="0"/>
                      <w:divBdr>
                        <w:top w:val="none" w:sz="0" w:space="0" w:color="auto"/>
                        <w:left w:val="none" w:sz="0" w:space="0" w:color="auto"/>
                        <w:bottom w:val="none" w:sz="0" w:space="0" w:color="auto"/>
                        <w:right w:val="none" w:sz="0" w:space="0" w:color="auto"/>
                      </w:divBdr>
                    </w:div>
                  </w:divsChild>
                </w:div>
                <w:div w:id="1426339464">
                  <w:marLeft w:val="0"/>
                  <w:marRight w:val="0"/>
                  <w:marTop w:val="0"/>
                  <w:marBottom w:val="0"/>
                  <w:divBdr>
                    <w:top w:val="none" w:sz="0" w:space="0" w:color="auto"/>
                    <w:left w:val="none" w:sz="0" w:space="0" w:color="auto"/>
                    <w:bottom w:val="none" w:sz="0" w:space="0" w:color="auto"/>
                    <w:right w:val="none" w:sz="0" w:space="0" w:color="auto"/>
                  </w:divBdr>
                  <w:divsChild>
                    <w:div w:id="559511696">
                      <w:marLeft w:val="0"/>
                      <w:marRight w:val="0"/>
                      <w:marTop w:val="0"/>
                      <w:marBottom w:val="0"/>
                      <w:divBdr>
                        <w:top w:val="none" w:sz="0" w:space="0" w:color="auto"/>
                        <w:left w:val="none" w:sz="0" w:space="0" w:color="auto"/>
                        <w:bottom w:val="none" w:sz="0" w:space="0" w:color="auto"/>
                        <w:right w:val="none" w:sz="0" w:space="0" w:color="auto"/>
                      </w:divBdr>
                    </w:div>
                  </w:divsChild>
                </w:div>
                <w:div w:id="755442698">
                  <w:marLeft w:val="0"/>
                  <w:marRight w:val="0"/>
                  <w:marTop w:val="0"/>
                  <w:marBottom w:val="0"/>
                  <w:divBdr>
                    <w:top w:val="none" w:sz="0" w:space="0" w:color="auto"/>
                    <w:left w:val="none" w:sz="0" w:space="0" w:color="auto"/>
                    <w:bottom w:val="none" w:sz="0" w:space="0" w:color="auto"/>
                    <w:right w:val="none" w:sz="0" w:space="0" w:color="auto"/>
                  </w:divBdr>
                  <w:divsChild>
                    <w:div w:id="539319353">
                      <w:marLeft w:val="0"/>
                      <w:marRight w:val="0"/>
                      <w:marTop w:val="0"/>
                      <w:marBottom w:val="0"/>
                      <w:divBdr>
                        <w:top w:val="none" w:sz="0" w:space="0" w:color="auto"/>
                        <w:left w:val="none" w:sz="0" w:space="0" w:color="auto"/>
                        <w:bottom w:val="none" w:sz="0" w:space="0" w:color="auto"/>
                        <w:right w:val="none" w:sz="0" w:space="0" w:color="auto"/>
                      </w:divBdr>
                    </w:div>
                  </w:divsChild>
                </w:div>
                <w:div w:id="1041055375">
                  <w:marLeft w:val="0"/>
                  <w:marRight w:val="0"/>
                  <w:marTop w:val="0"/>
                  <w:marBottom w:val="0"/>
                  <w:divBdr>
                    <w:top w:val="none" w:sz="0" w:space="0" w:color="auto"/>
                    <w:left w:val="none" w:sz="0" w:space="0" w:color="auto"/>
                    <w:bottom w:val="none" w:sz="0" w:space="0" w:color="auto"/>
                    <w:right w:val="none" w:sz="0" w:space="0" w:color="auto"/>
                  </w:divBdr>
                  <w:divsChild>
                    <w:div w:id="602954023">
                      <w:marLeft w:val="0"/>
                      <w:marRight w:val="0"/>
                      <w:marTop w:val="0"/>
                      <w:marBottom w:val="0"/>
                      <w:divBdr>
                        <w:top w:val="none" w:sz="0" w:space="0" w:color="auto"/>
                        <w:left w:val="none" w:sz="0" w:space="0" w:color="auto"/>
                        <w:bottom w:val="none" w:sz="0" w:space="0" w:color="auto"/>
                        <w:right w:val="none" w:sz="0" w:space="0" w:color="auto"/>
                      </w:divBdr>
                    </w:div>
                  </w:divsChild>
                </w:div>
                <w:div w:id="1293755906">
                  <w:marLeft w:val="0"/>
                  <w:marRight w:val="0"/>
                  <w:marTop w:val="0"/>
                  <w:marBottom w:val="0"/>
                  <w:divBdr>
                    <w:top w:val="none" w:sz="0" w:space="0" w:color="auto"/>
                    <w:left w:val="none" w:sz="0" w:space="0" w:color="auto"/>
                    <w:bottom w:val="none" w:sz="0" w:space="0" w:color="auto"/>
                    <w:right w:val="none" w:sz="0" w:space="0" w:color="auto"/>
                  </w:divBdr>
                  <w:divsChild>
                    <w:div w:id="141432148">
                      <w:marLeft w:val="0"/>
                      <w:marRight w:val="0"/>
                      <w:marTop w:val="0"/>
                      <w:marBottom w:val="0"/>
                      <w:divBdr>
                        <w:top w:val="none" w:sz="0" w:space="0" w:color="auto"/>
                        <w:left w:val="none" w:sz="0" w:space="0" w:color="auto"/>
                        <w:bottom w:val="none" w:sz="0" w:space="0" w:color="auto"/>
                        <w:right w:val="none" w:sz="0" w:space="0" w:color="auto"/>
                      </w:divBdr>
                    </w:div>
                  </w:divsChild>
                </w:div>
                <w:div w:id="530187334">
                  <w:marLeft w:val="0"/>
                  <w:marRight w:val="0"/>
                  <w:marTop w:val="0"/>
                  <w:marBottom w:val="0"/>
                  <w:divBdr>
                    <w:top w:val="none" w:sz="0" w:space="0" w:color="auto"/>
                    <w:left w:val="none" w:sz="0" w:space="0" w:color="auto"/>
                    <w:bottom w:val="none" w:sz="0" w:space="0" w:color="auto"/>
                    <w:right w:val="none" w:sz="0" w:space="0" w:color="auto"/>
                  </w:divBdr>
                  <w:divsChild>
                    <w:div w:id="512184406">
                      <w:marLeft w:val="0"/>
                      <w:marRight w:val="0"/>
                      <w:marTop w:val="0"/>
                      <w:marBottom w:val="0"/>
                      <w:divBdr>
                        <w:top w:val="none" w:sz="0" w:space="0" w:color="auto"/>
                        <w:left w:val="none" w:sz="0" w:space="0" w:color="auto"/>
                        <w:bottom w:val="none" w:sz="0" w:space="0" w:color="auto"/>
                        <w:right w:val="none" w:sz="0" w:space="0" w:color="auto"/>
                      </w:divBdr>
                    </w:div>
                  </w:divsChild>
                </w:div>
                <w:div w:id="38669499">
                  <w:marLeft w:val="0"/>
                  <w:marRight w:val="0"/>
                  <w:marTop w:val="0"/>
                  <w:marBottom w:val="0"/>
                  <w:divBdr>
                    <w:top w:val="none" w:sz="0" w:space="0" w:color="auto"/>
                    <w:left w:val="none" w:sz="0" w:space="0" w:color="auto"/>
                    <w:bottom w:val="none" w:sz="0" w:space="0" w:color="auto"/>
                    <w:right w:val="none" w:sz="0" w:space="0" w:color="auto"/>
                  </w:divBdr>
                  <w:divsChild>
                    <w:div w:id="1893690532">
                      <w:marLeft w:val="0"/>
                      <w:marRight w:val="0"/>
                      <w:marTop w:val="0"/>
                      <w:marBottom w:val="0"/>
                      <w:divBdr>
                        <w:top w:val="none" w:sz="0" w:space="0" w:color="auto"/>
                        <w:left w:val="none" w:sz="0" w:space="0" w:color="auto"/>
                        <w:bottom w:val="none" w:sz="0" w:space="0" w:color="auto"/>
                        <w:right w:val="none" w:sz="0" w:space="0" w:color="auto"/>
                      </w:divBdr>
                    </w:div>
                  </w:divsChild>
                </w:div>
                <w:div w:id="1922836999">
                  <w:marLeft w:val="0"/>
                  <w:marRight w:val="0"/>
                  <w:marTop w:val="0"/>
                  <w:marBottom w:val="0"/>
                  <w:divBdr>
                    <w:top w:val="none" w:sz="0" w:space="0" w:color="auto"/>
                    <w:left w:val="none" w:sz="0" w:space="0" w:color="auto"/>
                    <w:bottom w:val="none" w:sz="0" w:space="0" w:color="auto"/>
                    <w:right w:val="none" w:sz="0" w:space="0" w:color="auto"/>
                  </w:divBdr>
                  <w:divsChild>
                    <w:div w:id="1952126730">
                      <w:marLeft w:val="0"/>
                      <w:marRight w:val="0"/>
                      <w:marTop w:val="0"/>
                      <w:marBottom w:val="0"/>
                      <w:divBdr>
                        <w:top w:val="none" w:sz="0" w:space="0" w:color="auto"/>
                        <w:left w:val="none" w:sz="0" w:space="0" w:color="auto"/>
                        <w:bottom w:val="none" w:sz="0" w:space="0" w:color="auto"/>
                        <w:right w:val="none" w:sz="0" w:space="0" w:color="auto"/>
                      </w:divBdr>
                    </w:div>
                  </w:divsChild>
                </w:div>
                <w:div w:id="100271572">
                  <w:marLeft w:val="0"/>
                  <w:marRight w:val="0"/>
                  <w:marTop w:val="0"/>
                  <w:marBottom w:val="0"/>
                  <w:divBdr>
                    <w:top w:val="none" w:sz="0" w:space="0" w:color="auto"/>
                    <w:left w:val="none" w:sz="0" w:space="0" w:color="auto"/>
                    <w:bottom w:val="none" w:sz="0" w:space="0" w:color="auto"/>
                    <w:right w:val="none" w:sz="0" w:space="0" w:color="auto"/>
                  </w:divBdr>
                  <w:divsChild>
                    <w:div w:id="1705910004">
                      <w:marLeft w:val="0"/>
                      <w:marRight w:val="0"/>
                      <w:marTop w:val="0"/>
                      <w:marBottom w:val="0"/>
                      <w:divBdr>
                        <w:top w:val="none" w:sz="0" w:space="0" w:color="auto"/>
                        <w:left w:val="none" w:sz="0" w:space="0" w:color="auto"/>
                        <w:bottom w:val="none" w:sz="0" w:space="0" w:color="auto"/>
                        <w:right w:val="none" w:sz="0" w:space="0" w:color="auto"/>
                      </w:divBdr>
                    </w:div>
                  </w:divsChild>
                </w:div>
                <w:div w:id="285233090">
                  <w:marLeft w:val="0"/>
                  <w:marRight w:val="0"/>
                  <w:marTop w:val="0"/>
                  <w:marBottom w:val="0"/>
                  <w:divBdr>
                    <w:top w:val="none" w:sz="0" w:space="0" w:color="auto"/>
                    <w:left w:val="none" w:sz="0" w:space="0" w:color="auto"/>
                    <w:bottom w:val="none" w:sz="0" w:space="0" w:color="auto"/>
                    <w:right w:val="none" w:sz="0" w:space="0" w:color="auto"/>
                  </w:divBdr>
                  <w:divsChild>
                    <w:div w:id="533688318">
                      <w:marLeft w:val="0"/>
                      <w:marRight w:val="0"/>
                      <w:marTop w:val="0"/>
                      <w:marBottom w:val="0"/>
                      <w:divBdr>
                        <w:top w:val="none" w:sz="0" w:space="0" w:color="auto"/>
                        <w:left w:val="none" w:sz="0" w:space="0" w:color="auto"/>
                        <w:bottom w:val="none" w:sz="0" w:space="0" w:color="auto"/>
                        <w:right w:val="none" w:sz="0" w:space="0" w:color="auto"/>
                      </w:divBdr>
                    </w:div>
                  </w:divsChild>
                </w:div>
                <w:div w:id="1911228218">
                  <w:marLeft w:val="0"/>
                  <w:marRight w:val="0"/>
                  <w:marTop w:val="0"/>
                  <w:marBottom w:val="0"/>
                  <w:divBdr>
                    <w:top w:val="none" w:sz="0" w:space="0" w:color="auto"/>
                    <w:left w:val="none" w:sz="0" w:space="0" w:color="auto"/>
                    <w:bottom w:val="none" w:sz="0" w:space="0" w:color="auto"/>
                    <w:right w:val="none" w:sz="0" w:space="0" w:color="auto"/>
                  </w:divBdr>
                  <w:divsChild>
                    <w:div w:id="1640498966">
                      <w:marLeft w:val="0"/>
                      <w:marRight w:val="0"/>
                      <w:marTop w:val="0"/>
                      <w:marBottom w:val="0"/>
                      <w:divBdr>
                        <w:top w:val="none" w:sz="0" w:space="0" w:color="auto"/>
                        <w:left w:val="none" w:sz="0" w:space="0" w:color="auto"/>
                        <w:bottom w:val="none" w:sz="0" w:space="0" w:color="auto"/>
                        <w:right w:val="none" w:sz="0" w:space="0" w:color="auto"/>
                      </w:divBdr>
                    </w:div>
                  </w:divsChild>
                </w:div>
                <w:div w:id="124003848">
                  <w:marLeft w:val="0"/>
                  <w:marRight w:val="0"/>
                  <w:marTop w:val="0"/>
                  <w:marBottom w:val="0"/>
                  <w:divBdr>
                    <w:top w:val="none" w:sz="0" w:space="0" w:color="auto"/>
                    <w:left w:val="none" w:sz="0" w:space="0" w:color="auto"/>
                    <w:bottom w:val="none" w:sz="0" w:space="0" w:color="auto"/>
                    <w:right w:val="none" w:sz="0" w:space="0" w:color="auto"/>
                  </w:divBdr>
                  <w:divsChild>
                    <w:div w:id="1254972633">
                      <w:marLeft w:val="0"/>
                      <w:marRight w:val="0"/>
                      <w:marTop w:val="0"/>
                      <w:marBottom w:val="0"/>
                      <w:divBdr>
                        <w:top w:val="none" w:sz="0" w:space="0" w:color="auto"/>
                        <w:left w:val="none" w:sz="0" w:space="0" w:color="auto"/>
                        <w:bottom w:val="none" w:sz="0" w:space="0" w:color="auto"/>
                        <w:right w:val="none" w:sz="0" w:space="0" w:color="auto"/>
                      </w:divBdr>
                    </w:div>
                  </w:divsChild>
                </w:div>
                <w:div w:id="460147112">
                  <w:marLeft w:val="0"/>
                  <w:marRight w:val="0"/>
                  <w:marTop w:val="0"/>
                  <w:marBottom w:val="0"/>
                  <w:divBdr>
                    <w:top w:val="none" w:sz="0" w:space="0" w:color="auto"/>
                    <w:left w:val="none" w:sz="0" w:space="0" w:color="auto"/>
                    <w:bottom w:val="none" w:sz="0" w:space="0" w:color="auto"/>
                    <w:right w:val="none" w:sz="0" w:space="0" w:color="auto"/>
                  </w:divBdr>
                  <w:divsChild>
                    <w:div w:id="46343064">
                      <w:marLeft w:val="0"/>
                      <w:marRight w:val="0"/>
                      <w:marTop w:val="0"/>
                      <w:marBottom w:val="0"/>
                      <w:divBdr>
                        <w:top w:val="none" w:sz="0" w:space="0" w:color="auto"/>
                        <w:left w:val="none" w:sz="0" w:space="0" w:color="auto"/>
                        <w:bottom w:val="none" w:sz="0" w:space="0" w:color="auto"/>
                        <w:right w:val="none" w:sz="0" w:space="0" w:color="auto"/>
                      </w:divBdr>
                    </w:div>
                  </w:divsChild>
                </w:div>
                <w:div w:id="1559629701">
                  <w:marLeft w:val="0"/>
                  <w:marRight w:val="0"/>
                  <w:marTop w:val="0"/>
                  <w:marBottom w:val="0"/>
                  <w:divBdr>
                    <w:top w:val="none" w:sz="0" w:space="0" w:color="auto"/>
                    <w:left w:val="none" w:sz="0" w:space="0" w:color="auto"/>
                    <w:bottom w:val="none" w:sz="0" w:space="0" w:color="auto"/>
                    <w:right w:val="none" w:sz="0" w:space="0" w:color="auto"/>
                  </w:divBdr>
                  <w:divsChild>
                    <w:div w:id="1295140428">
                      <w:marLeft w:val="0"/>
                      <w:marRight w:val="0"/>
                      <w:marTop w:val="0"/>
                      <w:marBottom w:val="0"/>
                      <w:divBdr>
                        <w:top w:val="none" w:sz="0" w:space="0" w:color="auto"/>
                        <w:left w:val="none" w:sz="0" w:space="0" w:color="auto"/>
                        <w:bottom w:val="none" w:sz="0" w:space="0" w:color="auto"/>
                        <w:right w:val="none" w:sz="0" w:space="0" w:color="auto"/>
                      </w:divBdr>
                    </w:div>
                  </w:divsChild>
                </w:div>
                <w:div w:id="1812675474">
                  <w:marLeft w:val="0"/>
                  <w:marRight w:val="0"/>
                  <w:marTop w:val="0"/>
                  <w:marBottom w:val="0"/>
                  <w:divBdr>
                    <w:top w:val="none" w:sz="0" w:space="0" w:color="auto"/>
                    <w:left w:val="none" w:sz="0" w:space="0" w:color="auto"/>
                    <w:bottom w:val="none" w:sz="0" w:space="0" w:color="auto"/>
                    <w:right w:val="none" w:sz="0" w:space="0" w:color="auto"/>
                  </w:divBdr>
                  <w:divsChild>
                    <w:div w:id="1812282348">
                      <w:marLeft w:val="0"/>
                      <w:marRight w:val="0"/>
                      <w:marTop w:val="0"/>
                      <w:marBottom w:val="0"/>
                      <w:divBdr>
                        <w:top w:val="none" w:sz="0" w:space="0" w:color="auto"/>
                        <w:left w:val="none" w:sz="0" w:space="0" w:color="auto"/>
                        <w:bottom w:val="none" w:sz="0" w:space="0" w:color="auto"/>
                        <w:right w:val="none" w:sz="0" w:space="0" w:color="auto"/>
                      </w:divBdr>
                    </w:div>
                  </w:divsChild>
                </w:div>
                <w:div w:id="2109276311">
                  <w:marLeft w:val="0"/>
                  <w:marRight w:val="0"/>
                  <w:marTop w:val="0"/>
                  <w:marBottom w:val="0"/>
                  <w:divBdr>
                    <w:top w:val="none" w:sz="0" w:space="0" w:color="auto"/>
                    <w:left w:val="none" w:sz="0" w:space="0" w:color="auto"/>
                    <w:bottom w:val="none" w:sz="0" w:space="0" w:color="auto"/>
                    <w:right w:val="none" w:sz="0" w:space="0" w:color="auto"/>
                  </w:divBdr>
                  <w:divsChild>
                    <w:div w:id="1774089037">
                      <w:marLeft w:val="0"/>
                      <w:marRight w:val="0"/>
                      <w:marTop w:val="0"/>
                      <w:marBottom w:val="0"/>
                      <w:divBdr>
                        <w:top w:val="none" w:sz="0" w:space="0" w:color="auto"/>
                        <w:left w:val="none" w:sz="0" w:space="0" w:color="auto"/>
                        <w:bottom w:val="none" w:sz="0" w:space="0" w:color="auto"/>
                        <w:right w:val="none" w:sz="0" w:space="0" w:color="auto"/>
                      </w:divBdr>
                    </w:div>
                  </w:divsChild>
                </w:div>
                <w:div w:id="30493358">
                  <w:marLeft w:val="0"/>
                  <w:marRight w:val="0"/>
                  <w:marTop w:val="0"/>
                  <w:marBottom w:val="0"/>
                  <w:divBdr>
                    <w:top w:val="none" w:sz="0" w:space="0" w:color="auto"/>
                    <w:left w:val="none" w:sz="0" w:space="0" w:color="auto"/>
                    <w:bottom w:val="none" w:sz="0" w:space="0" w:color="auto"/>
                    <w:right w:val="none" w:sz="0" w:space="0" w:color="auto"/>
                  </w:divBdr>
                  <w:divsChild>
                    <w:div w:id="907885929">
                      <w:marLeft w:val="0"/>
                      <w:marRight w:val="0"/>
                      <w:marTop w:val="0"/>
                      <w:marBottom w:val="0"/>
                      <w:divBdr>
                        <w:top w:val="none" w:sz="0" w:space="0" w:color="auto"/>
                        <w:left w:val="none" w:sz="0" w:space="0" w:color="auto"/>
                        <w:bottom w:val="none" w:sz="0" w:space="0" w:color="auto"/>
                        <w:right w:val="none" w:sz="0" w:space="0" w:color="auto"/>
                      </w:divBdr>
                    </w:div>
                  </w:divsChild>
                </w:div>
                <w:div w:id="386993469">
                  <w:marLeft w:val="0"/>
                  <w:marRight w:val="0"/>
                  <w:marTop w:val="0"/>
                  <w:marBottom w:val="0"/>
                  <w:divBdr>
                    <w:top w:val="none" w:sz="0" w:space="0" w:color="auto"/>
                    <w:left w:val="none" w:sz="0" w:space="0" w:color="auto"/>
                    <w:bottom w:val="none" w:sz="0" w:space="0" w:color="auto"/>
                    <w:right w:val="none" w:sz="0" w:space="0" w:color="auto"/>
                  </w:divBdr>
                  <w:divsChild>
                    <w:div w:id="59259408">
                      <w:marLeft w:val="0"/>
                      <w:marRight w:val="0"/>
                      <w:marTop w:val="0"/>
                      <w:marBottom w:val="0"/>
                      <w:divBdr>
                        <w:top w:val="none" w:sz="0" w:space="0" w:color="auto"/>
                        <w:left w:val="none" w:sz="0" w:space="0" w:color="auto"/>
                        <w:bottom w:val="none" w:sz="0" w:space="0" w:color="auto"/>
                        <w:right w:val="none" w:sz="0" w:space="0" w:color="auto"/>
                      </w:divBdr>
                    </w:div>
                  </w:divsChild>
                </w:div>
                <w:div w:id="431824870">
                  <w:marLeft w:val="0"/>
                  <w:marRight w:val="0"/>
                  <w:marTop w:val="0"/>
                  <w:marBottom w:val="0"/>
                  <w:divBdr>
                    <w:top w:val="none" w:sz="0" w:space="0" w:color="auto"/>
                    <w:left w:val="none" w:sz="0" w:space="0" w:color="auto"/>
                    <w:bottom w:val="none" w:sz="0" w:space="0" w:color="auto"/>
                    <w:right w:val="none" w:sz="0" w:space="0" w:color="auto"/>
                  </w:divBdr>
                  <w:divsChild>
                    <w:div w:id="1982272597">
                      <w:marLeft w:val="0"/>
                      <w:marRight w:val="0"/>
                      <w:marTop w:val="0"/>
                      <w:marBottom w:val="0"/>
                      <w:divBdr>
                        <w:top w:val="none" w:sz="0" w:space="0" w:color="auto"/>
                        <w:left w:val="none" w:sz="0" w:space="0" w:color="auto"/>
                        <w:bottom w:val="none" w:sz="0" w:space="0" w:color="auto"/>
                        <w:right w:val="none" w:sz="0" w:space="0" w:color="auto"/>
                      </w:divBdr>
                    </w:div>
                  </w:divsChild>
                </w:div>
                <w:div w:id="1667855987">
                  <w:marLeft w:val="0"/>
                  <w:marRight w:val="0"/>
                  <w:marTop w:val="0"/>
                  <w:marBottom w:val="0"/>
                  <w:divBdr>
                    <w:top w:val="none" w:sz="0" w:space="0" w:color="auto"/>
                    <w:left w:val="none" w:sz="0" w:space="0" w:color="auto"/>
                    <w:bottom w:val="none" w:sz="0" w:space="0" w:color="auto"/>
                    <w:right w:val="none" w:sz="0" w:space="0" w:color="auto"/>
                  </w:divBdr>
                  <w:divsChild>
                    <w:div w:id="1489665322">
                      <w:marLeft w:val="0"/>
                      <w:marRight w:val="0"/>
                      <w:marTop w:val="0"/>
                      <w:marBottom w:val="0"/>
                      <w:divBdr>
                        <w:top w:val="none" w:sz="0" w:space="0" w:color="auto"/>
                        <w:left w:val="none" w:sz="0" w:space="0" w:color="auto"/>
                        <w:bottom w:val="none" w:sz="0" w:space="0" w:color="auto"/>
                        <w:right w:val="none" w:sz="0" w:space="0" w:color="auto"/>
                      </w:divBdr>
                    </w:div>
                  </w:divsChild>
                </w:div>
                <w:div w:id="186648400">
                  <w:marLeft w:val="0"/>
                  <w:marRight w:val="0"/>
                  <w:marTop w:val="0"/>
                  <w:marBottom w:val="0"/>
                  <w:divBdr>
                    <w:top w:val="none" w:sz="0" w:space="0" w:color="auto"/>
                    <w:left w:val="none" w:sz="0" w:space="0" w:color="auto"/>
                    <w:bottom w:val="none" w:sz="0" w:space="0" w:color="auto"/>
                    <w:right w:val="none" w:sz="0" w:space="0" w:color="auto"/>
                  </w:divBdr>
                  <w:divsChild>
                    <w:div w:id="1420521724">
                      <w:marLeft w:val="0"/>
                      <w:marRight w:val="0"/>
                      <w:marTop w:val="0"/>
                      <w:marBottom w:val="0"/>
                      <w:divBdr>
                        <w:top w:val="none" w:sz="0" w:space="0" w:color="auto"/>
                        <w:left w:val="none" w:sz="0" w:space="0" w:color="auto"/>
                        <w:bottom w:val="none" w:sz="0" w:space="0" w:color="auto"/>
                        <w:right w:val="none" w:sz="0" w:space="0" w:color="auto"/>
                      </w:divBdr>
                    </w:div>
                  </w:divsChild>
                </w:div>
                <w:div w:id="562836258">
                  <w:marLeft w:val="0"/>
                  <w:marRight w:val="0"/>
                  <w:marTop w:val="0"/>
                  <w:marBottom w:val="0"/>
                  <w:divBdr>
                    <w:top w:val="none" w:sz="0" w:space="0" w:color="auto"/>
                    <w:left w:val="none" w:sz="0" w:space="0" w:color="auto"/>
                    <w:bottom w:val="none" w:sz="0" w:space="0" w:color="auto"/>
                    <w:right w:val="none" w:sz="0" w:space="0" w:color="auto"/>
                  </w:divBdr>
                  <w:divsChild>
                    <w:div w:id="32459565">
                      <w:marLeft w:val="0"/>
                      <w:marRight w:val="0"/>
                      <w:marTop w:val="0"/>
                      <w:marBottom w:val="0"/>
                      <w:divBdr>
                        <w:top w:val="none" w:sz="0" w:space="0" w:color="auto"/>
                        <w:left w:val="none" w:sz="0" w:space="0" w:color="auto"/>
                        <w:bottom w:val="none" w:sz="0" w:space="0" w:color="auto"/>
                        <w:right w:val="none" w:sz="0" w:space="0" w:color="auto"/>
                      </w:divBdr>
                    </w:div>
                  </w:divsChild>
                </w:div>
                <w:div w:id="711661823">
                  <w:marLeft w:val="0"/>
                  <w:marRight w:val="0"/>
                  <w:marTop w:val="0"/>
                  <w:marBottom w:val="0"/>
                  <w:divBdr>
                    <w:top w:val="none" w:sz="0" w:space="0" w:color="auto"/>
                    <w:left w:val="none" w:sz="0" w:space="0" w:color="auto"/>
                    <w:bottom w:val="none" w:sz="0" w:space="0" w:color="auto"/>
                    <w:right w:val="none" w:sz="0" w:space="0" w:color="auto"/>
                  </w:divBdr>
                  <w:divsChild>
                    <w:div w:id="881360349">
                      <w:marLeft w:val="0"/>
                      <w:marRight w:val="0"/>
                      <w:marTop w:val="0"/>
                      <w:marBottom w:val="0"/>
                      <w:divBdr>
                        <w:top w:val="none" w:sz="0" w:space="0" w:color="auto"/>
                        <w:left w:val="none" w:sz="0" w:space="0" w:color="auto"/>
                        <w:bottom w:val="none" w:sz="0" w:space="0" w:color="auto"/>
                        <w:right w:val="none" w:sz="0" w:space="0" w:color="auto"/>
                      </w:divBdr>
                    </w:div>
                  </w:divsChild>
                </w:div>
                <w:div w:id="1347562237">
                  <w:marLeft w:val="0"/>
                  <w:marRight w:val="0"/>
                  <w:marTop w:val="0"/>
                  <w:marBottom w:val="0"/>
                  <w:divBdr>
                    <w:top w:val="none" w:sz="0" w:space="0" w:color="auto"/>
                    <w:left w:val="none" w:sz="0" w:space="0" w:color="auto"/>
                    <w:bottom w:val="none" w:sz="0" w:space="0" w:color="auto"/>
                    <w:right w:val="none" w:sz="0" w:space="0" w:color="auto"/>
                  </w:divBdr>
                  <w:divsChild>
                    <w:div w:id="2136829595">
                      <w:marLeft w:val="0"/>
                      <w:marRight w:val="0"/>
                      <w:marTop w:val="0"/>
                      <w:marBottom w:val="0"/>
                      <w:divBdr>
                        <w:top w:val="none" w:sz="0" w:space="0" w:color="auto"/>
                        <w:left w:val="none" w:sz="0" w:space="0" w:color="auto"/>
                        <w:bottom w:val="none" w:sz="0" w:space="0" w:color="auto"/>
                        <w:right w:val="none" w:sz="0" w:space="0" w:color="auto"/>
                      </w:divBdr>
                    </w:div>
                  </w:divsChild>
                </w:div>
                <w:div w:id="1615669208">
                  <w:marLeft w:val="0"/>
                  <w:marRight w:val="0"/>
                  <w:marTop w:val="0"/>
                  <w:marBottom w:val="0"/>
                  <w:divBdr>
                    <w:top w:val="none" w:sz="0" w:space="0" w:color="auto"/>
                    <w:left w:val="none" w:sz="0" w:space="0" w:color="auto"/>
                    <w:bottom w:val="none" w:sz="0" w:space="0" w:color="auto"/>
                    <w:right w:val="none" w:sz="0" w:space="0" w:color="auto"/>
                  </w:divBdr>
                  <w:divsChild>
                    <w:div w:id="812716603">
                      <w:marLeft w:val="0"/>
                      <w:marRight w:val="0"/>
                      <w:marTop w:val="0"/>
                      <w:marBottom w:val="0"/>
                      <w:divBdr>
                        <w:top w:val="none" w:sz="0" w:space="0" w:color="auto"/>
                        <w:left w:val="none" w:sz="0" w:space="0" w:color="auto"/>
                        <w:bottom w:val="none" w:sz="0" w:space="0" w:color="auto"/>
                        <w:right w:val="none" w:sz="0" w:space="0" w:color="auto"/>
                      </w:divBdr>
                    </w:div>
                  </w:divsChild>
                </w:div>
                <w:div w:id="1838883674">
                  <w:marLeft w:val="0"/>
                  <w:marRight w:val="0"/>
                  <w:marTop w:val="0"/>
                  <w:marBottom w:val="0"/>
                  <w:divBdr>
                    <w:top w:val="none" w:sz="0" w:space="0" w:color="auto"/>
                    <w:left w:val="none" w:sz="0" w:space="0" w:color="auto"/>
                    <w:bottom w:val="none" w:sz="0" w:space="0" w:color="auto"/>
                    <w:right w:val="none" w:sz="0" w:space="0" w:color="auto"/>
                  </w:divBdr>
                  <w:divsChild>
                    <w:div w:id="759063281">
                      <w:marLeft w:val="0"/>
                      <w:marRight w:val="0"/>
                      <w:marTop w:val="0"/>
                      <w:marBottom w:val="0"/>
                      <w:divBdr>
                        <w:top w:val="none" w:sz="0" w:space="0" w:color="auto"/>
                        <w:left w:val="none" w:sz="0" w:space="0" w:color="auto"/>
                        <w:bottom w:val="none" w:sz="0" w:space="0" w:color="auto"/>
                        <w:right w:val="none" w:sz="0" w:space="0" w:color="auto"/>
                      </w:divBdr>
                    </w:div>
                  </w:divsChild>
                </w:div>
                <w:div w:id="361784423">
                  <w:marLeft w:val="0"/>
                  <w:marRight w:val="0"/>
                  <w:marTop w:val="0"/>
                  <w:marBottom w:val="0"/>
                  <w:divBdr>
                    <w:top w:val="none" w:sz="0" w:space="0" w:color="auto"/>
                    <w:left w:val="none" w:sz="0" w:space="0" w:color="auto"/>
                    <w:bottom w:val="none" w:sz="0" w:space="0" w:color="auto"/>
                    <w:right w:val="none" w:sz="0" w:space="0" w:color="auto"/>
                  </w:divBdr>
                  <w:divsChild>
                    <w:div w:id="1352031312">
                      <w:marLeft w:val="0"/>
                      <w:marRight w:val="0"/>
                      <w:marTop w:val="0"/>
                      <w:marBottom w:val="0"/>
                      <w:divBdr>
                        <w:top w:val="none" w:sz="0" w:space="0" w:color="auto"/>
                        <w:left w:val="none" w:sz="0" w:space="0" w:color="auto"/>
                        <w:bottom w:val="none" w:sz="0" w:space="0" w:color="auto"/>
                        <w:right w:val="none" w:sz="0" w:space="0" w:color="auto"/>
                      </w:divBdr>
                    </w:div>
                  </w:divsChild>
                </w:div>
                <w:div w:id="1666669423">
                  <w:marLeft w:val="0"/>
                  <w:marRight w:val="0"/>
                  <w:marTop w:val="0"/>
                  <w:marBottom w:val="0"/>
                  <w:divBdr>
                    <w:top w:val="none" w:sz="0" w:space="0" w:color="auto"/>
                    <w:left w:val="none" w:sz="0" w:space="0" w:color="auto"/>
                    <w:bottom w:val="none" w:sz="0" w:space="0" w:color="auto"/>
                    <w:right w:val="none" w:sz="0" w:space="0" w:color="auto"/>
                  </w:divBdr>
                  <w:divsChild>
                    <w:div w:id="2029021978">
                      <w:marLeft w:val="0"/>
                      <w:marRight w:val="0"/>
                      <w:marTop w:val="0"/>
                      <w:marBottom w:val="0"/>
                      <w:divBdr>
                        <w:top w:val="none" w:sz="0" w:space="0" w:color="auto"/>
                        <w:left w:val="none" w:sz="0" w:space="0" w:color="auto"/>
                        <w:bottom w:val="none" w:sz="0" w:space="0" w:color="auto"/>
                        <w:right w:val="none" w:sz="0" w:space="0" w:color="auto"/>
                      </w:divBdr>
                    </w:div>
                  </w:divsChild>
                </w:div>
                <w:div w:id="205917439">
                  <w:marLeft w:val="0"/>
                  <w:marRight w:val="0"/>
                  <w:marTop w:val="0"/>
                  <w:marBottom w:val="0"/>
                  <w:divBdr>
                    <w:top w:val="none" w:sz="0" w:space="0" w:color="auto"/>
                    <w:left w:val="none" w:sz="0" w:space="0" w:color="auto"/>
                    <w:bottom w:val="none" w:sz="0" w:space="0" w:color="auto"/>
                    <w:right w:val="none" w:sz="0" w:space="0" w:color="auto"/>
                  </w:divBdr>
                  <w:divsChild>
                    <w:div w:id="1194005002">
                      <w:marLeft w:val="0"/>
                      <w:marRight w:val="0"/>
                      <w:marTop w:val="0"/>
                      <w:marBottom w:val="0"/>
                      <w:divBdr>
                        <w:top w:val="none" w:sz="0" w:space="0" w:color="auto"/>
                        <w:left w:val="none" w:sz="0" w:space="0" w:color="auto"/>
                        <w:bottom w:val="none" w:sz="0" w:space="0" w:color="auto"/>
                        <w:right w:val="none" w:sz="0" w:space="0" w:color="auto"/>
                      </w:divBdr>
                    </w:div>
                  </w:divsChild>
                </w:div>
                <w:div w:id="169493193">
                  <w:marLeft w:val="0"/>
                  <w:marRight w:val="0"/>
                  <w:marTop w:val="0"/>
                  <w:marBottom w:val="0"/>
                  <w:divBdr>
                    <w:top w:val="none" w:sz="0" w:space="0" w:color="auto"/>
                    <w:left w:val="none" w:sz="0" w:space="0" w:color="auto"/>
                    <w:bottom w:val="none" w:sz="0" w:space="0" w:color="auto"/>
                    <w:right w:val="none" w:sz="0" w:space="0" w:color="auto"/>
                  </w:divBdr>
                  <w:divsChild>
                    <w:div w:id="528178249">
                      <w:marLeft w:val="0"/>
                      <w:marRight w:val="0"/>
                      <w:marTop w:val="0"/>
                      <w:marBottom w:val="0"/>
                      <w:divBdr>
                        <w:top w:val="none" w:sz="0" w:space="0" w:color="auto"/>
                        <w:left w:val="none" w:sz="0" w:space="0" w:color="auto"/>
                        <w:bottom w:val="none" w:sz="0" w:space="0" w:color="auto"/>
                        <w:right w:val="none" w:sz="0" w:space="0" w:color="auto"/>
                      </w:divBdr>
                    </w:div>
                  </w:divsChild>
                </w:div>
                <w:div w:id="1563518259">
                  <w:marLeft w:val="0"/>
                  <w:marRight w:val="0"/>
                  <w:marTop w:val="0"/>
                  <w:marBottom w:val="0"/>
                  <w:divBdr>
                    <w:top w:val="none" w:sz="0" w:space="0" w:color="auto"/>
                    <w:left w:val="none" w:sz="0" w:space="0" w:color="auto"/>
                    <w:bottom w:val="none" w:sz="0" w:space="0" w:color="auto"/>
                    <w:right w:val="none" w:sz="0" w:space="0" w:color="auto"/>
                  </w:divBdr>
                  <w:divsChild>
                    <w:div w:id="817841336">
                      <w:marLeft w:val="0"/>
                      <w:marRight w:val="0"/>
                      <w:marTop w:val="0"/>
                      <w:marBottom w:val="0"/>
                      <w:divBdr>
                        <w:top w:val="none" w:sz="0" w:space="0" w:color="auto"/>
                        <w:left w:val="none" w:sz="0" w:space="0" w:color="auto"/>
                        <w:bottom w:val="none" w:sz="0" w:space="0" w:color="auto"/>
                        <w:right w:val="none" w:sz="0" w:space="0" w:color="auto"/>
                      </w:divBdr>
                    </w:div>
                  </w:divsChild>
                </w:div>
                <w:div w:id="129638643">
                  <w:marLeft w:val="0"/>
                  <w:marRight w:val="0"/>
                  <w:marTop w:val="0"/>
                  <w:marBottom w:val="0"/>
                  <w:divBdr>
                    <w:top w:val="none" w:sz="0" w:space="0" w:color="auto"/>
                    <w:left w:val="none" w:sz="0" w:space="0" w:color="auto"/>
                    <w:bottom w:val="none" w:sz="0" w:space="0" w:color="auto"/>
                    <w:right w:val="none" w:sz="0" w:space="0" w:color="auto"/>
                  </w:divBdr>
                  <w:divsChild>
                    <w:div w:id="2034107222">
                      <w:marLeft w:val="0"/>
                      <w:marRight w:val="0"/>
                      <w:marTop w:val="0"/>
                      <w:marBottom w:val="0"/>
                      <w:divBdr>
                        <w:top w:val="none" w:sz="0" w:space="0" w:color="auto"/>
                        <w:left w:val="none" w:sz="0" w:space="0" w:color="auto"/>
                        <w:bottom w:val="none" w:sz="0" w:space="0" w:color="auto"/>
                        <w:right w:val="none" w:sz="0" w:space="0" w:color="auto"/>
                      </w:divBdr>
                    </w:div>
                  </w:divsChild>
                </w:div>
                <w:div w:id="50007957">
                  <w:marLeft w:val="0"/>
                  <w:marRight w:val="0"/>
                  <w:marTop w:val="0"/>
                  <w:marBottom w:val="0"/>
                  <w:divBdr>
                    <w:top w:val="none" w:sz="0" w:space="0" w:color="auto"/>
                    <w:left w:val="none" w:sz="0" w:space="0" w:color="auto"/>
                    <w:bottom w:val="none" w:sz="0" w:space="0" w:color="auto"/>
                    <w:right w:val="none" w:sz="0" w:space="0" w:color="auto"/>
                  </w:divBdr>
                  <w:divsChild>
                    <w:div w:id="314188245">
                      <w:marLeft w:val="0"/>
                      <w:marRight w:val="0"/>
                      <w:marTop w:val="0"/>
                      <w:marBottom w:val="0"/>
                      <w:divBdr>
                        <w:top w:val="none" w:sz="0" w:space="0" w:color="auto"/>
                        <w:left w:val="none" w:sz="0" w:space="0" w:color="auto"/>
                        <w:bottom w:val="none" w:sz="0" w:space="0" w:color="auto"/>
                        <w:right w:val="none" w:sz="0" w:space="0" w:color="auto"/>
                      </w:divBdr>
                    </w:div>
                  </w:divsChild>
                </w:div>
                <w:div w:id="877204560">
                  <w:marLeft w:val="0"/>
                  <w:marRight w:val="0"/>
                  <w:marTop w:val="0"/>
                  <w:marBottom w:val="0"/>
                  <w:divBdr>
                    <w:top w:val="none" w:sz="0" w:space="0" w:color="auto"/>
                    <w:left w:val="none" w:sz="0" w:space="0" w:color="auto"/>
                    <w:bottom w:val="none" w:sz="0" w:space="0" w:color="auto"/>
                    <w:right w:val="none" w:sz="0" w:space="0" w:color="auto"/>
                  </w:divBdr>
                  <w:divsChild>
                    <w:div w:id="1667705083">
                      <w:marLeft w:val="0"/>
                      <w:marRight w:val="0"/>
                      <w:marTop w:val="0"/>
                      <w:marBottom w:val="0"/>
                      <w:divBdr>
                        <w:top w:val="none" w:sz="0" w:space="0" w:color="auto"/>
                        <w:left w:val="none" w:sz="0" w:space="0" w:color="auto"/>
                        <w:bottom w:val="none" w:sz="0" w:space="0" w:color="auto"/>
                        <w:right w:val="none" w:sz="0" w:space="0" w:color="auto"/>
                      </w:divBdr>
                    </w:div>
                  </w:divsChild>
                </w:div>
                <w:div w:id="1731490452">
                  <w:marLeft w:val="0"/>
                  <w:marRight w:val="0"/>
                  <w:marTop w:val="0"/>
                  <w:marBottom w:val="0"/>
                  <w:divBdr>
                    <w:top w:val="none" w:sz="0" w:space="0" w:color="auto"/>
                    <w:left w:val="none" w:sz="0" w:space="0" w:color="auto"/>
                    <w:bottom w:val="none" w:sz="0" w:space="0" w:color="auto"/>
                    <w:right w:val="none" w:sz="0" w:space="0" w:color="auto"/>
                  </w:divBdr>
                  <w:divsChild>
                    <w:div w:id="1323006987">
                      <w:marLeft w:val="0"/>
                      <w:marRight w:val="0"/>
                      <w:marTop w:val="0"/>
                      <w:marBottom w:val="0"/>
                      <w:divBdr>
                        <w:top w:val="none" w:sz="0" w:space="0" w:color="auto"/>
                        <w:left w:val="none" w:sz="0" w:space="0" w:color="auto"/>
                        <w:bottom w:val="none" w:sz="0" w:space="0" w:color="auto"/>
                        <w:right w:val="none" w:sz="0" w:space="0" w:color="auto"/>
                      </w:divBdr>
                    </w:div>
                  </w:divsChild>
                </w:div>
                <w:div w:id="679743812">
                  <w:marLeft w:val="0"/>
                  <w:marRight w:val="0"/>
                  <w:marTop w:val="0"/>
                  <w:marBottom w:val="0"/>
                  <w:divBdr>
                    <w:top w:val="none" w:sz="0" w:space="0" w:color="auto"/>
                    <w:left w:val="none" w:sz="0" w:space="0" w:color="auto"/>
                    <w:bottom w:val="none" w:sz="0" w:space="0" w:color="auto"/>
                    <w:right w:val="none" w:sz="0" w:space="0" w:color="auto"/>
                  </w:divBdr>
                  <w:divsChild>
                    <w:div w:id="987593104">
                      <w:marLeft w:val="0"/>
                      <w:marRight w:val="0"/>
                      <w:marTop w:val="0"/>
                      <w:marBottom w:val="0"/>
                      <w:divBdr>
                        <w:top w:val="none" w:sz="0" w:space="0" w:color="auto"/>
                        <w:left w:val="none" w:sz="0" w:space="0" w:color="auto"/>
                        <w:bottom w:val="none" w:sz="0" w:space="0" w:color="auto"/>
                        <w:right w:val="none" w:sz="0" w:space="0" w:color="auto"/>
                      </w:divBdr>
                    </w:div>
                  </w:divsChild>
                </w:div>
                <w:div w:id="1052341198">
                  <w:marLeft w:val="0"/>
                  <w:marRight w:val="0"/>
                  <w:marTop w:val="0"/>
                  <w:marBottom w:val="0"/>
                  <w:divBdr>
                    <w:top w:val="none" w:sz="0" w:space="0" w:color="auto"/>
                    <w:left w:val="none" w:sz="0" w:space="0" w:color="auto"/>
                    <w:bottom w:val="none" w:sz="0" w:space="0" w:color="auto"/>
                    <w:right w:val="none" w:sz="0" w:space="0" w:color="auto"/>
                  </w:divBdr>
                  <w:divsChild>
                    <w:div w:id="1886868611">
                      <w:marLeft w:val="0"/>
                      <w:marRight w:val="0"/>
                      <w:marTop w:val="0"/>
                      <w:marBottom w:val="0"/>
                      <w:divBdr>
                        <w:top w:val="none" w:sz="0" w:space="0" w:color="auto"/>
                        <w:left w:val="none" w:sz="0" w:space="0" w:color="auto"/>
                        <w:bottom w:val="none" w:sz="0" w:space="0" w:color="auto"/>
                        <w:right w:val="none" w:sz="0" w:space="0" w:color="auto"/>
                      </w:divBdr>
                    </w:div>
                  </w:divsChild>
                </w:div>
                <w:div w:id="77948689">
                  <w:marLeft w:val="0"/>
                  <w:marRight w:val="0"/>
                  <w:marTop w:val="0"/>
                  <w:marBottom w:val="0"/>
                  <w:divBdr>
                    <w:top w:val="none" w:sz="0" w:space="0" w:color="auto"/>
                    <w:left w:val="none" w:sz="0" w:space="0" w:color="auto"/>
                    <w:bottom w:val="none" w:sz="0" w:space="0" w:color="auto"/>
                    <w:right w:val="none" w:sz="0" w:space="0" w:color="auto"/>
                  </w:divBdr>
                  <w:divsChild>
                    <w:div w:id="1524392970">
                      <w:marLeft w:val="0"/>
                      <w:marRight w:val="0"/>
                      <w:marTop w:val="0"/>
                      <w:marBottom w:val="0"/>
                      <w:divBdr>
                        <w:top w:val="none" w:sz="0" w:space="0" w:color="auto"/>
                        <w:left w:val="none" w:sz="0" w:space="0" w:color="auto"/>
                        <w:bottom w:val="none" w:sz="0" w:space="0" w:color="auto"/>
                        <w:right w:val="none" w:sz="0" w:space="0" w:color="auto"/>
                      </w:divBdr>
                    </w:div>
                  </w:divsChild>
                </w:div>
                <w:div w:id="344671670">
                  <w:marLeft w:val="0"/>
                  <w:marRight w:val="0"/>
                  <w:marTop w:val="0"/>
                  <w:marBottom w:val="0"/>
                  <w:divBdr>
                    <w:top w:val="none" w:sz="0" w:space="0" w:color="auto"/>
                    <w:left w:val="none" w:sz="0" w:space="0" w:color="auto"/>
                    <w:bottom w:val="none" w:sz="0" w:space="0" w:color="auto"/>
                    <w:right w:val="none" w:sz="0" w:space="0" w:color="auto"/>
                  </w:divBdr>
                  <w:divsChild>
                    <w:div w:id="524052705">
                      <w:marLeft w:val="0"/>
                      <w:marRight w:val="0"/>
                      <w:marTop w:val="0"/>
                      <w:marBottom w:val="0"/>
                      <w:divBdr>
                        <w:top w:val="none" w:sz="0" w:space="0" w:color="auto"/>
                        <w:left w:val="none" w:sz="0" w:space="0" w:color="auto"/>
                        <w:bottom w:val="none" w:sz="0" w:space="0" w:color="auto"/>
                        <w:right w:val="none" w:sz="0" w:space="0" w:color="auto"/>
                      </w:divBdr>
                    </w:div>
                  </w:divsChild>
                </w:div>
                <w:div w:id="1143159850">
                  <w:marLeft w:val="0"/>
                  <w:marRight w:val="0"/>
                  <w:marTop w:val="0"/>
                  <w:marBottom w:val="0"/>
                  <w:divBdr>
                    <w:top w:val="none" w:sz="0" w:space="0" w:color="auto"/>
                    <w:left w:val="none" w:sz="0" w:space="0" w:color="auto"/>
                    <w:bottom w:val="none" w:sz="0" w:space="0" w:color="auto"/>
                    <w:right w:val="none" w:sz="0" w:space="0" w:color="auto"/>
                  </w:divBdr>
                  <w:divsChild>
                    <w:div w:id="1778405610">
                      <w:marLeft w:val="0"/>
                      <w:marRight w:val="0"/>
                      <w:marTop w:val="0"/>
                      <w:marBottom w:val="0"/>
                      <w:divBdr>
                        <w:top w:val="none" w:sz="0" w:space="0" w:color="auto"/>
                        <w:left w:val="none" w:sz="0" w:space="0" w:color="auto"/>
                        <w:bottom w:val="none" w:sz="0" w:space="0" w:color="auto"/>
                        <w:right w:val="none" w:sz="0" w:space="0" w:color="auto"/>
                      </w:divBdr>
                    </w:div>
                  </w:divsChild>
                </w:div>
                <w:div w:id="2111196542">
                  <w:marLeft w:val="0"/>
                  <w:marRight w:val="0"/>
                  <w:marTop w:val="0"/>
                  <w:marBottom w:val="0"/>
                  <w:divBdr>
                    <w:top w:val="none" w:sz="0" w:space="0" w:color="auto"/>
                    <w:left w:val="none" w:sz="0" w:space="0" w:color="auto"/>
                    <w:bottom w:val="none" w:sz="0" w:space="0" w:color="auto"/>
                    <w:right w:val="none" w:sz="0" w:space="0" w:color="auto"/>
                  </w:divBdr>
                  <w:divsChild>
                    <w:div w:id="710223701">
                      <w:marLeft w:val="0"/>
                      <w:marRight w:val="0"/>
                      <w:marTop w:val="0"/>
                      <w:marBottom w:val="0"/>
                      <w:divBdr>
                        <w:top w:val="none" w:sz="0" w:space="0" w:color="auto"/>
                        <w:left w:val="none" w:sz="0" w:space="0" w:color="auto"/>
                        <w:bottom w:val="none" w:sz="0" w:space="0" w:color="auto"/>
                        <w:right w:val="none" w:sz="0" w:space="0" w:color="auto"/>
                      </w:divBdr>
                    </w:div>
                  </w:divsChild>
                </w:div>
                <w:div w:id="2013414685">
                  <w:marLeft w:val="0"/>
                  <w:marRight w:val="0"/>
                  <w:marTop w:val="0"/>
                  <w:marBottom w:val="0"/>
                  <w:divBdr>
                    <w:top w:val="none" w:sz="0" w:space="0" w:color="auto"/>
                    <w:left w:val="none" w:sz="0" w:space="0" w:color="auto"/>
                    <w:bottom w:val="none" w:sz="0" w:space="0" w:color="auto"/>
                    <w:right w:val="none" w:sz="0" w:space="0" w:color="auto"/>
                  </w:divBdr>
                  <w:divsChild>
                    <w:div w:id="1931574030">
                      <w:marLeft w:val="0"/>
                      <w:marRight w:val="0"/>
                      <w:marTop w:val="0"/>
                      <w:marBottom w:val="0"/>
                      <w:divBdr>
                        <w:top w:val="none" w:sz="0" w:space="0" w:color="auto"/>
                        <w:left w:val="none" w:sz="0" w:space="0" w:color="auto"/>
                        <w:bottom w:val="none" w:sz="0" w:space="0" w:color="auto"/>
                        <w:right w:val="none" w:sz="0" w:space="0" w:color="auto"/>
                      </w:divBdr>
                    </w:div>
                  </w:divsChild>
                </w:div>
                <w:div w:id="2036032356">
                  <w:marLeft w:val="0"/>
                  <w:marRight w:val="0"/>
                  <w:marTop w:val="0"/>
                  <w:marBottom w:val="0"/>
                  <w:divBdr>
                    <w:top w:val="none" w:sz="0" w:space="0" w:color="auto"/>
                    <w:left w:val="none" w:sz="0" w:space="0" w:color="auto"/>
                    <w:bottom w:val="none" w:sz="0" w:space="0" w:color="auto"/>
                    <w:right w:val="none" w:sz="0" w:space="0" w:color="auto"/>
                  </w:divBdr>
                  <w:divsChild>
                    <w:div w:id="77405586">
                      <w:marLeft w:val="0"/>
                      <w:marRight w:val="0"/>
                      <w:marTop w:val="0"/>
                      <w:marBottom w:val="0"/>
                      <w:divBdr>
                        <w:top w:val="none" w:sz="0" w:space="0" w:color="auto"/>
                        <w:left w:val="none" w:sz="0" w:space="0" w:color="auto"/>
                        <w:bottom w:val="none" w:sz="0" w:space="0" w:color="auto"/>
                        <w:right w:val="none" w:sz="0" w:space="0" w:color="auto"/>
                      </w:divBdr>
                    </w:div>
                  </w:divsChild>
                </w:div>
                <w:div w:id="1040744293">
                  <w:marLeft w:val="0"/>
                  <w:marRight w:val="0"/>
                  <w:marTop w:val="0"/>
                  <w:marBottom w:val="0"/>
                  <w:divBdr>
                    <w:top w:val="none" w:sz="0" w:space="0" w:color="auto"/>
                    <w:left w:val="none" w:sz="0" w:space="0" w:color="auto"/>
                    <w:bottom w:val="none" w:sz="0" w:space="0" w:color="auto"/>
                    <w:right w:val="none" w:sz="0" w:space="0" w:color="auto"/>
                  </w:divBdr>
                  <w:divsChild>
                    <w:div w:id="614798953">
                      <w:marLeft w:val="0"/>
                      <w:marRight w:val="0"/>
                      <w:marTop w:val="0"/>
                      <w:marBottom w:val="0"/>
                      <w:divBdr>
                        <w:top w:val="none" w:sz="0" w:space="0" w:color="auto"/>
                        <w:left w:val="none" w:sz="0" w:space="0" w:color="auto"/>
                        <w:bottom w:val="none" w:sz="0" w:space="0" w:color="auto"/>
                        <w:right w:val="none" w:sz="0" w:space="0" w:color="auto"/>
                      </w:divBdr>
                    </w:div>
                  </w:divsChild>
                </w:div>
                <w:div w:id="1231765391">
                  <w:marLeft w:val="0"/>
                  <w:marRight w:val="0"/>
                  <w:marTop w:val="0"/>
                  <w:marBottom w:val="0"/>
                  <w:divBdr>
                    <w:top w:val="none" w:sz="0" w:space="0" w:color="auto"/>
                    <w:left w:val="none" w:sz="0" w:space="0" w:color="auto"/>
                    <w:bottom w:val="none" w:sz="0" w:space="0" w:color="auto"/>
                    <w:right w:val="none" w:sz="0" w:space="0" w:color="auto"/>
                  </w:divBdr>
                  <w:divsChild>
                    <w:div w:id="1983919316">
                      <w:marLeft w:val="0"/>
                      <w:marRight w:val="0"/>
                      <w:marTop w:val="0"/>
                      <w:marBottom w:val="0"/>
                      <w:divBdr>
                        <w:top w:val="none" w:sz="0" w:space="0" w:color="auto"/>
                        <w:left w:val="none" w:sz="0" w:space="0" w:color="auto"/>
                        <w:bottom w:val="none" w:sz="0" w:space="0" w:color="auto"/>
                        <w:right w:val="none" w:sz="0" w:space="0" w:color="auto"/>
                      </w:divBdr>
                    </w:div>
                  </w:divsChild>
                </w:div>
                <w:div w:id="1091975901">
                  <w:marLeft w:val="0"/>
                  <w:marRight w:val="0"/>
                  <w:marTop w:val="0"/>
                  <w:marBottom w:val="0"/>
                  <w:divBdr>
                    <w:top w:val="none" w:sz="0" w:space="0" w:color="auto"/>
                    <w:left w:val="none" w:sz="0" w:space="0" w:color="auto"/>
                    <w:bottom w:val="none" w:sz="0" w:space="0" w:color="auto"/>
                    <w:right w:val="none" w:sz="0" w:space="0" w:color="auto"/>
                  </w:divBdr>
                  <w:divsChild>
                    <w:div w:id="2121297269">
                      <w:marLeft w:val="0"/>
                      <w:marRight w:val="0"/>
                      <w:marTop w:val="0"/>
                      <w:marBottom w:val="0"/>
                      <w:divBdr>
                        <w:top w:val="none" w:sz="0" w:space="0" w:color="auto"/>
                        <w:left w:val="none" w:sz="0" w:space="0" w:color="auto"/>
                        <w:bottom w:val="none" w:sz="0" w:space="0" w:color="auto"/>
                        <w:right w:val="none" w:sz="0" w:space="0" w:color="auto"/>
                      </w:divBdr>
                    </w:div>
                  </w:divsChild>
                </w:div>
                <w:div w:id="729883711">
                  <w:marLeft w:val="0"/>
                  <w:marRight w:val="0"/>
                  <w:marTop w:val="0"/>
                  <w:marBottom w:val="0"/>
                  <w:divBdr>
                    <w:top w:val="none" w:sz="0" w:space="0" w:color="auto"/>
                    <w:left w:val="none" w:sz="0" w:space="0" w:color="auto"/>
                    <w:bottom w:val="none" w:sz="0" w:space="0" w:color="auto"/>
                    <w:right w:val="none" w:sz="0" w:space="0" w:color="auto"/>
                  </w:divBdr>
                  <w:divsChild>
                    <w:div w:id="1258833616">
                      <w:marLeft w:val="0"/>
                      <w:marRight w:val="0"/>
                      <w:marTop w:val="0"/>
                      <w:marBottom w:val="0"/>
                      <w:divBdr>
                        <w:top w:val="none" w:sz="0" w:space="0" w:color="auto"/>
                        <w:left w:val="none" w:sz="0" w:space="0" w:color="auto"/>
                        <w:bottom w:val="none" w:sz="0" w:space="0" w:color="auto"/>
                        <w:right w:val="none" w:sz="0" w:space="0" w:color="auto"/>
                      </w:divBdr>
                    </w:div>
                  </w:divsChild>
                </w:div>
                <w:div w:id="395055690">
                  <w:marLeft w:val="0"/>
                  <w:marRight w:val="0"/>
                  <w:marTop w:val="0"/>
                  <w:marBottom w:val="0"/>
                  <w:divBdr>
                    <w:top w:val="none" w:sz="0" w:space="0" w:color="auto"/>
                    <w:left w:val="none" w:sz="0" w:space="0" w:color="auto"/>
                    <w:bottom w:val="none" w:sz="0" w:space="0" w:color="auto"/>
                    <w:right w:val="none" w:sz="0" w:space="0" w:color="auto"/>
                  </w:divBdr>
                  <w:divsChild>
                    <w:div w:id="245696259">
                      <w:marLeft w:val="0"/>
                      <w:marRight w:val="0"/>
                      <w:marTop w:val="0"/>
                      <w:marBottom w:val="0"/>
                      <w:divBdr>
                        <w:top w:val="none" w:sz="0" w:space="0" w:color="auto"/>
                        <w:left w:val="none" w:sz="0" w:space="0" w:color="auto"/>
                        <w:bottom w:val="none" w:sz="0" w:space="0" w:color="auto"/>
                        <w:right w:val="none" w:sz="0" w:space="0" w:color="auto"/>
                      </w:divBdr>
                    </w:div>
                  </w:divsChild>
                </w:div>
                <w:div w:id="624317269">
                  <w:marLeft w:val="0"/>
                  <w:marRight w:val="0"/>
                  <w:marTop w:val="0"/>
                  <w:marBottom w:val="0"/>
                  <w:divBdr>
                    <w:top w:val="none" w:sz="0" w:space="0" w:color="auto"/>
                    <w:left w:val="none" w:sz="0" w:space="0" w:color="auto"/>
                    <w:bottom w:val="none" w:sz="0" w:space="0" w:color="auto"/>
                    <w:right w:val="none" w:sz="0" w:space="0" w:color="auto"/>
                  </w:divBdr>
                  <w:divsChild>
                    <w:div w:id="807435667">
                      <w:marLeft w:val="0"/>
                      <w:marRight w:val="0"/>
                      <w:marTop w:val="0"/>
                      <w:marBottom w:val="0"/>
                      <w:divBdr>
                        <w:top w:val="none" w:sz="0" w:space="0" w:color="auto"/>
                        <w:left w:val="none" w:sz="0" w:space="0" w:color="auto"/>
                        <w:bottom w:val="none" w:sz="0" w:space="0" w:color="auto"/>
                        <w:right w:val="none" w:sz="0" w:space="0" w:color="auto"/>
                      </w:divBdr>
                    </w:div>
                  </w:divsChild>
                </w:div>
                <w:div w:id="851649910">
                  <w:marLeft w:val="0"/>
                  <w:marRight w:val="0"/>
                  <w:marTop w:val="0"/>
                  <w:marBottom w:val="0"/>
                  <w:divBdr>
                    <w:top w:val="none" w:sz="0" w:space="0" w:color="auto"/>
                    <w:left w:val="none" w:sz="0" w:space="0" w:color="auto"/>
                    <w:bottom w:val="none" w:sz="0" w:space="0" w:color="auto"/>
                    <w:right w:val="none" w:sz="0" w:space="0" w:color="auto"/>
                  </w:divBdr>
                  <w:divsChild>
                    <w:div w:id="65885331">
                      <w:marLeft w:val="0"/>
                      <w:marRight w:val="0"/>
                      <w:marTop w:val="0"/>
                      <w:marBottom w:val="0"/>
                      <w:divBdr>
                        <w:top w:val="none" w:sz="0" w:space="0" w:color="auto"/>
                        <w:left w:val="none" w:sz="0" w:space="0" w:color="auto"/>
                        <w:bottom w:val="none" w:sz="0" w:space="0" w:color="auto"/>
                        <w:right w:val="none" w:sz="0" w:space="0" w:color="auto"/>
                      </w:divBdr>
                    </w:div>
                  </w:divsChild>
                </w:div>
                <w:div w:id="1314212186">
                  <w:marLeft w:val="0"/>
                  <w:marRight w:val="0"/>
                  <w:marTop w:val="0"/>
                  <w:marBottom w:val="0"/>
                  <w:divBdr>
                    <w:top w:val="none" w:sz="0" w:space="0" w:color="auto"/>
                    <w:left w:val="none" w:sz="0" w:space="0" w:color="auto"/>
                    <w:bottom w:val="none" w:sz="0" w:space="0" w:color="auto"/>
                    <w:right w:val="none" w:sz="0" w:space="0" w:color="auto"/>
                  </w:divBdr>
                  <w:divsChild>
                    <w:div w:id="728723115">
                      <w:marLeft w:val="0"/>
                      <w:marRight w:val="0"/>
                      <w:marTop w:val="0"/>
                      <w:marBottom w:val="0"/>
                      <w:divBdr>
                        <w:top w:val="none" w:sz="0" w:space="0" w:color="auto"/>
                        <w:left w:val="none" w:sz="0" w:space="0" w:color="auto"/>
                        <w:bottom w:val="none" w:sz="0" w:space="0" w:color="auto"/>
                        <w:right w:val="none" w:sz="0" w:space="0" w:color="auto"/>
                      </w:divBdr>
                    </w:div>
                  </w:divsChild>
                </w:div>
                <w:div w:id="76094589">
                  <w:marLeft w:val="0"/>
                  <w:marRight w:val="0"/>
                  <w:marTop w:val="0"/>
                  <w:marBottom w:val="0"/>
                  <w:divBdr>
                    <w:top w:val="none" w:sz="0" w:space="0" w:color="auto"/>
                    <w:left w:val="none" w:sz="0" w:space="0" w:color="auto"/>
                    <w:bottom w:val="none" w:sz="0" w:space="0" w:color="auto"/>
                    <w:right w:val="none" w:sz="0" w:space="0" w:color="auto"/>
                  </w:divBdr>
                  <w:divsChild>
                    <w:div w:id="288631728">
                      <w:marLeft w:val="0"/>
                      <w:marRight w:val="0"/>
                      <w:marTop w:val="0"/>
                      <w:marBottom w:val="0"/>
                      <w:divBdr>
                        <w:top w:val="none" w:sz="0" w:space="0" w:color="auto"/>
                        <w:left w:val="none" w:sz="0" w:space="0" w:color="auto"/>
                        <w:bottom w:val="none" w:sz="0" w:space="0" w:color="auto"/>
                        <w:right w:val="none" w:sz="0" w:space="0" w:color="auto"/>
                      </w:divBdr>
                    </w:div>
                  </w:divsChild>
                </w:div>
                <w:div w:id="1153646430">
                  <w:marLeft w:val="0"/>
                  <w:marRight w:val="0"/>
                  <w:marTop w:val="0"/>
                  <w:marBottom w:val="0"/>
                  <w:divBdr>
                    <w:top w:val="none" w:sz="0" w:space="0" w:color="auto"/>
                    <w:left w:val="none" w:sz="0" w:space="0" w:color="auto"/>
                    <w:bottom w:val="none" w:sz="0" w:space="0" w:color="auto"/>
                    <w:right w:val="none" w:sz="0" w:space="0" w:color="auto"/>
                  </w:divBdr>
                  <w:divsChild>
                    <w:div w:id="2123768626">
                      <w:marLeft w:val="0"/>
                      <w:marRight w:val="0"/>
                      <w:marTop w:val="0"/>
                      <w:marBottom w:val="0"/>
                      <w:divBdr>
                        <w:top w:val="none" w:sz="0" w:space="0" w:color="auto"/>
                        <w:left w:val="none" w:sz="0" w:space="0" w:color="auto"/>
                        <w:bottom w:val="none" w:sz="0" w:space="0" w:color="auto"/>
                        <w:right w:val="none" w:sz="0" w:space="0" w:color="auto"/>
                      </w:divBdr>
                    </w:div>
                  </w:divsChild>
                </w:div>
                <w:div w:id="1227572441">
                  <w:marLeft w:val="0"/>
                  <w:marRight w:val="0"/>
                  <w:marTop w:val="0"/>
                  <w:marBottom w:val="0"/>
                  <w:divBdr>
                    <w:top w:val="none" w:sz="0" w:space="0" w:color="auto"/>
                    <w:left w:val="none" w:sz="0" w:space="0" w:color="auto"/>
                    <w:bottom w:val="none" w:sz="0" w:space="0" w:color="auto"/>
                    <w:right w:val="none" w:sz="0" w:space="0" w:color="auto"/>
                  </w:divBdr>
                  <w:divsChild>
                    <w:div w:id="651101166">
                      <w:marLeft w:val="0"/>
                      <w:marRight w:val="0"/>
                      <w:marTop w:val="0"/>
                      <w:marBottom w:val="0"/>
                      <w:divBdr>
                        <w:top w:val="none" w:sz="0" w:space="0" w:color="auto"/>
                        <w:left w:val="none" w:sz="0" w:space="0" w:color="auto"/>
                        <w:bottom w:val="none" w:sz="0" w:space="0" w:color="auto"/>
                        <w:right w:val="none" w:sz="0" w:space="0" w:color="auto"/>
                      </w:divBdr>
                    </w:div>
                  </w:divsChild>
                </w:div>
                <w:div w:id="1143501518">
                  <w:marLeft w:val="0"/>
                  <w:marRight w:val="0"/>
                  <w:marTop w:val="0"/>
                  <w:marBottom w:val="0"/>
                  <w:divBdr>
                    <w:top w:val="none" w:sz="0" w:space="0" w:color="auto"/>
                    <w:left w:val="none" w:sz="0" w:space="0" w:color="auto"/>
                    <w:bottom w:val="none" w:sz="0" w:space="0" w:color="auto"/>
                    <w:right w:val="none" w:sz="0" w:space="0" w:color="auto"/>
                  </w:divBdr>
                  <w:divsChild>
                    <w:div w:id="1207328910">
                      <w:marLeft w:val="0"/>
                      <w:marRight w:val="0"/>
                      <w:marTop w:val="0"/>
                      <w:marBottom w:val="0"/>
                      <w:divBdr>
                        <w:top w:val="none" w:sz="0" w:space="0" w:color="auto"/>
                        <w:left w:val="none" w:sz="0" w:space="0" w:color="auto"/>
                        <w:bottom w:val="none" w:sz="0" w:space="0" w:color="auto"/>
                        <w:right w:val="none" w:sz="0" w:space="0" w:color="auto"/>
                      </w:divBdr>
                    </w:div>
                  </w:divsChild>
                </w:div>
                <w:div w:id="2126846578">
                  <w:marLeft w:val="0"/>
                  <w:marRight w:val="0"/>
                  <w:marTop w:val="0"/>
                  <w:marBottom w:val="0"/>
                  <w:divBdr>
                    <w:top w:val="none" w:sz="0" w:space="0" w:color="auto"/>
                    <w:left w:val="none" w:sz="0" w:space="0" w:color="auto"/>
                    <w:bottom w:val="none" w:sz="0" w:space="0" w:color="auto"/>
                    <w:right w:val="none" w:sz="0" w:space="0" w:color="auto"/>
                  </w:divBdr>
                  <w:divsChild>
                    <w:div w:id="1853376070">
                      <w:marLeft w:val="0"/>
                      <w:marRight w:val="0"/>
                      <w:marTop w:val="0"/>
                      <w:marBottom w:val="0"/>
                      <w:divBdr>
                        <w:top w:val="none" w:sz="0" w:space="0" w:color="auto"/>
                        <w:left w:val="none" w:sz="0" w:space="0" w:color="auto"/>
                        <w:bottom w:val="none" w:sz="0" w:space="0" w:color="auto"/>
                        <w:right w:val="none" w:sz="0" w:space="0" w:color="auto"/>
                      </w:divBdr>
                    </w:div>
                  </w:divsChild>
                </w:div>
                <w:div w:id="1018696473">
                  <w:marLeft w:val="0"/>
                  <w:marRight w:val="0"/>
                  <w:marTop w:val="0"/>
                  <w:marBottom w:val="0"/>
                  <w:divBdr>
                    <w:top w:val="none" w:sz="0" w:space="0" w:color="auto"/>
                    <w:left w:val="none" w:sz="0" w:space="0" w:color="auto"/>
                    <w:bottom w:val="none" w:sz="0" w:space="0" w:color="auto"/>
                    <w:right w:val="none" w:sz="0" w:space="0" w:color="auto"/>
                  </w:divBdr>
                  <w:divsChild>
                    <w:div w:id="511183991">
                      <w:marLeft w:val="0"/>
                      <w:marRight w:val="0"/>
                      <w:marTop w:val="0"/>
                      <w:marBottom w:val="0"/>
                      <w:divBdr>
                        <w:top w:val="none" w:sz="0" w:space="0" w:color="auto"/>
                        <w:left w:val="none" w:sz="0" w:space="0" w:color="auto"/>
                        <w:bottom w:val="none" w:sz="0" w:space="0" w:color="auto"/>
                        <w:right w:val="none" w:sz="0" w:space="0" w:color="auto"/>
                      </w:divBdr>
                    </w:div>
                  </w:divsChild>
                </w:div>
                <w:div w:id="1501001896">
                  <w:marLeft w:val="0"/>
                  <w:marRight w:val="0"/>
                  <w:marTop w:val="0"/>
                  <w:marBottom w:val="0"/>
                  <w:divBdr>
                    <w:top w:val="none" w:sz="0" w:space="0" w:color="auto"/>
                    <w:left w:val="none" w:sz="0" w:space="0" w:color="auto"/>
                    <w:bottom w:val="none" w:sz="0" w:space="0" w:color="auto"/>
                    <w:right w:val="none" w:sz="0" w:space="0" w:color="auto"/>
                  </w:divBdr>
                  <w:divsChild>
                    <w:div w:id="831676111">
                      <w:marLeft w:val="0"/>
                      <w:marRight w:val="0"/>
                      <w:marTop w:val="0"/>
                      <w:marBottom w:val="0"/>
                      <w:divBdr>
                        <w:top w:val="none" w:sz="0" w:space="0" w:color="auto"/>
                        <w:left w:val="none" w:sz="0" w:space="0" w:color="auto"/>
                        <w:bottom w:val="none" w:sz="0" w:space="0" w:color="auto"/>
                        <w:right w:val="none" w:sz="0" w:space="0" w:color="auto"/>
                      </w:divBdr>
                    </w:div>
                  </w:divsChild>
                </w:div>
                <w:div w:id="1826125781">
                  <w:marLeft w:val="0"/>
                  <w:marRight w:val="0"/>
                  <w:marTop w:val="0"/>
                  <w:marBottom w:val="0"/>
                  <w:divBdr>
                    <w:top w:val="none" w:sz="0" w:space="0" w:color="auto"/>
                    <w:left w:val="none" w:sz="0" w:space="0" w:color="auto"/>
                    <w:bottom w:val="none" w:sz="0" w:space="0" w:color="auto"/>
                    <w:right w:val="none" w:sz="0" w:space="0" w:color="auto"/>
                  </w:divBdr>
                  <w:divsChild>
                    <w:div w:id="1856770726">
                      <w:marLeft w:val="0"/>
                      <w:marRight w:val="0"/>
                      <w:marTop w:val="0"/>
                      <w:marBottom w:val="0"/>
                      <w:divBdr>
                        <w:top w:val="none" w:sz="0" w:space="0" w:color="auto"/>
                        <w:left w:val="none" w:sz="0" w:space="0" w:color="auto"/>
                        <w:bottom w:val="none" w:sz="0" w:space="0" w:color="auto"/>
                        <w:right w:val="none" w:sz="0" w:space="0" w:color="auto"/>
                      </w:divBdr>
                    </w:div>
                  </w:divsChild>
                </w:div>
                <w:div w:id="1749307746">
                  <w:marLeft w:val="0"/>
                  <w:marRight w:val="0"/>
                  <w:marTop w:val="0"/>
                  <w:marBottom w:val="0"/>
                  <w:divBdr>
                    <w:top w:val="none" w:sz="0" w:space="0" w:color="auto"/>
                    <w:left w:val="none" w:sz="0" w:space="0" w:color="auto"/>
                    <w:bottom w:val="none" w:sz="0" w:space="0" w:color="auto"/>
                    <w:right w:val="none" w:sz="0" w:space="0" w:color="auto"/>
                  </w:divBdr>
                  <w:divsChild>
                    <w:div w:id="1258563015">
                      <w:marLeft w:val="0"/>
                      <w:marRight w:val="0"/>
                      <w:marTop w:val="0"/>
                      <w:marBottom w:val="0"/>
                      <w:divBdr>
                        <w:top w:val="none" w:sz="0" w:space="0" w:color="auto"/>
                        <w:left w:val="none" w:sz="0" w:space="0" w:color="auto"/>
                        <w:bottom w:val="none" w:sz="0" w:space="0" w:color="auto"/>
                        <w:right w:val="none" w:sz="0" w:space="0" w:color="auto"/>
                      </w:divBdr>
                    </w:div>
                  </w:divsChild>
                </w:div>
                <w:div w:id="1802721729">
                  <w:marLeft w:val="0"/>
                  <w:marRight w:val="0"/>
                  <w:marTop w:val="0"/>
                  <w:marBottom w:val="0"/>
                  <w:divBdr>
                    <w:top w:val="none" w:sz="0" w:space="0" w:color="auto"/>
                    <w:left w:val="none" w:sz="0" w:space="0" w:color="auto"/>
                    <w:bottom w:val="none" w:sz="0" w:space="0" w:color="auto"/>
                    <w:right w:val="none" w:sz="0" w:space="0" w:color="auto"/>
                  </w:divBdr>
                  <w:divsChild>
                    <w:div w:id="1214921685">
                      <w:marLeft w:val="0"/>
                      <w:marRight w:val="0"/>
                      <w:marTop w:val="0"/>
                      <w:marBottom w:val="0"/>
                      <w:divBdr>
                        <w:top w:val="none" w:sz="0" w:space="0" w:color="auto"/>
                        <w:left w:val="none" w:sz="0" w:space="0" w:color="auto"/>
                        <w:bottom w:val="none" w:sz="0" w:space="0" w:color="auto"/>
                        <w:right w:val="none" w:sz="0" w:space="0" w:color="auto"/>
                      </w:divBdr>
                    </w:div>
                  </w:divsChild>
                </w:div>
                <w:div w:id="933785141">
                  <w:marLeft w:val="0"/>
                  <w:marRight w:val="0"/>
                  <w:marTop w:val="0"/>
                  <w:marBottom w:val="0"/>
                  <w:divBdr>
                    <w:top w:val="none" w:sz="0" w:space="0" w:color="auto"/>
                    <w:left w:val="none" w:sz="0" w:space="0" w:color="auto"/>
                    <w:bottom w:val="none" w:sz="0" w:space="0" w:color="auto"/>
                    <w:right w:val="none" w:sz="0" w:space="0" w:color="auto"/>
                  </w:divBdr>
                  <w:divsChild>
                    <w:div w:id="1571690129">
                      <w:marLeft w:val="0"/>
                      <w:marRight w:val="0"/>
                      <w:marTop w:val="0"/>
                      <w:marBottom w:val="0"/>
                      <w:divBdr>
                        <w:top w:val="none" w:sz="0" w:space="0" w:color="auto"/>
                        <w:left w:val="none" w:sz="0" w:space="0" w:color="auto"/>
                        <w:bottom w:val="none" w:sz="0" w:space="0" w:color="auto"/>
                        <w:right w:val="none" w:sz="0" w:space="0" w:color="auto"/>
                      </w:divBdr>
                    </w:div>
                  </w:divsChild>
                </w:div>
                <w:div w:id="593905757">
                  <w:marLeft w:val="0"/>
                  <w:marRight w:val="0"/>
                  <w:marTop w:val="0"/>
                  <w:marBottom w:val="0"/>
                  <w:divBdr>
                    <w:top w:val="none" w:sz="0" w:space="0" w:color="auto"/>
                    <w:left w:val="none" w:sz="0" w:space="0" w:color="auto"/>
                    <w:bottom w:val="none" w:sz="0" w:space="0" w:color="auto"/>
                    <w:right w:val="none" w:sz="0" w:space="0" w:color="auto"/>
                  </w:divBdr>
                  <w:divsChild>
                    <w:div w:id="151259821">
                      <w:marLeft w:val="0"/>
                      <w:marRight w:val="0"/>
                      <w:marTop w:val="0"/>
                      <w:marBottom w:val="0"/>
                      <w:divBdr>
                        <w:top w:val="none" w:sz="0" w:space="0" w:color="auto"/>
                        <w:left w:val="none" w:sz="0" w:space="0" w:color="auto"/>
                        <w:bottom w:val="none" w:sz="0" w:space="0" w:color="auto"/>
                        <w:right w:val="none" w:sz="0" w:space="0" w:color="auto"/>
                      </w:divBdr>
                    </w:div>
                  </w:divsChild>
                </w:div>
                <w:div w:id="1423799719">
                  <w:marLeft w:val="0"/>
                  <w:marRight w:val="0"/>
                  <w:marTop w:val="0"/>
                  <w:marBottom w:val="0"/>
                  <w:divBdr>
                    <w:top w:val="none" w:sz="0" w:space="0" w:color="auto"/>
                    <w:left w:val="none" w:sz="0" w:space="0" w:color="auto"/>
                    <w:bottom w:val="none" w:sz="0" w:space="0" w:color="auto"/>
                    <w:right w:val="none" w:sz="0" w:space="0" w:color="auto"/>
                  </w:divBdr>
                  <w:divsChild>
                    <w:div w:id="857963594">
                      <w:marLeft w:val="0"/>
                      <w:marRight w:val="0"/>
                      <w:marTop w:val="0"/>
                      <w:marBottom w:val="0"/>
                      <w:divBdr>
                        <w:top w:val="none" w:sz="0" w:space="0" w:color="auto"/>
                        <w:left w:val="none" w:sz="0" w:space="0" w:color="auto"/>
                        <w:bottom w:val="none" w:sz="0" w:space="0" w:color="auto"/>
                        <w:right w:val="none" w:sz="0" w:space="0" w:color="auto"/>
                      </w:divBdr>
                    </w:div>
                  </w:divsChild>
                </w:div>
                <w:div w:id="230849010">
                  <w:marLeft w:val="0"/>
                  <w:marRight w:val="0"/>
                  <w:marTop w:val="0"/>
                  <w:marBottom w:val="0"/>
                  <w:divBdr>
                    <w:top w:val="none" w:sz="0" w:space="0" w:color="auto"/>
                    <w:left w:val="none" w:sz="0" w:space="0" w:color="auto"/>
                    <w:bottom w:val="none" w:sz="0" w:space="0" w:color="auto"/>
                    <w:right w:val="none" w:sz="0" w:space="0" w:color="auto"/>
                  </w:divBdr>
                  <w:divsChild>
                    <w:div w:id="815151095">
                      <w:marLeft w:val="0"/>
                      <w:marRight w:val="0"/>
                      <w:marTop w:val="0"/>
                      <w:marBottom w:val="0"/>
                      <w:divBdr>
                        <w:top w:val="none" w:sz="0" w:space="0" w:color="auto"/>
                        <w:left w:val="none" w:sz="0" w:space="0" w:color="auto"/>
                        <w:bottom w:val="none" w:sz="0" w:space="0" w:color="auto"/>
                        <w:right w:val="none" w:sz="0" w:space="0" w:color="auto"/>
                      </w:divBdr>
                    </w:div>
                  </w:divsChild>
                </w:div>
                <w:div w:id="534390267">
                  <w:marLeft w:val="0"/>
                  <w:marRight w:val="0"/>
                  <w:marTop w:val="0"/>
                  <w:marBottom w:val="0"/>
                  <w:divBdr>
                    <w:top w:val="none" w:sz="0" w:space="0" w:color="auto"/>
                    <w:left w:val="none" w:sz="0" w:space="0" w:color="auto"/>
                    <w:bottom w:val="none" w:sz="0" w:space="0" w:color="auto"/>
                    <w:right w:val="none" w:sz="0" w:space="0" w:color="auto"/>
                  </w:divBdr>
                  <w:divsChild>
                    <w:div w:id="1716153019">
                      <w:marLeft w:val="0"/>
                      <w:marRight w:val="0"/>
                      <w:marTop w:val="0"/>
                      <w:marBottom w:val="0"/>
                      <w:divBdr>
                        <w:top w:val="none" w:sz="0" w:space="0" w:color="auto"/>
                        <w:left w:val="none" w:sz="0" w:space="0" w:color="auto"/>
                        <w:bottom w:val="none" w:sz="0" w:space="0" w:color="auto"/>
                        <w:right w:val="none" w:sz="0" w:space="0" w:color="auto"/>
                      </w:divBdr>
                    </w:div>
                  </w:divsChild>
                </w:div>
                <w:div w:id="1965693947">
                  <w:marLeft w:val="0"/>
                  <w:marRight w:val="0"/>
                  <w:marTop w:val="0"/>
                  <w:marBottom w:val="0"/>
                  <w:divBdr>
                    <w:top w:val="none" w:sz="0" w:space="0" w:color="auto"/>
                    <w:left w:val="none" w:sz="0" w:space="0" w:color="auto"/>
                    <w:bottom w:val="none" w:sz="0" w:space="0" w:color="auto"/>
                    <w:right w:val="none" w:sz="0" w:space="0" w:color="auto"/>
                  </w:divBdr>
                  <w:divsChild>
                    <w:div w:id="816186027">
                      <w:marLeft w:val="0"/>
                      <w:marRight w:val="0"/>
                      <w:marTop w:val="0"/>
                      <w:marBottom w:val="0"/>
                      <w:divBdr>
                        <w:top w:val="none" w:sz="0" w:space="0" w:color="auto"/>
                        <w:left w:val="none" w:sz="0" w:space="0" w:color="auto"/>
                        <w:bottom w:val="none" w:sz="0" w:space="0" w:color="auto"/>
                        <w:right w:val="none" w:sz="0" w:space="0" w:color="auto"/>
                      </w:divBdr>
                    </w:div>
                  </w:divsChild>
                </w:div>
                <w:div w:id="848908868">
                  <w:marLeft w:val="0"/>
                  <w:marRight w:val="0"/>
                  <w:marTop w:val="0"/>
                  <w:marBottom w:val="0"/>
                  <w:divBdr>
                    <w:top w:val="none" w:sz="0" w:space="0" w:color="auto"/>
                    <w:left w:val="none" w:sz="0" w:space="0" w:color="auto"/>
                    <w:bottom w:val="none" w:sz="0" w:space="0" w:color="auto"/>
                    <w:right w:val="none" w:sz="0" w:space="0" w:color="auto"/>
                  </w:divBdr>
                  <w:divsChild>
                    <w:div w:id="5602324">
                      <w:marLeft w:val="0"/>
                      <w:marRight w:val="0"/>
                      <w:marTop w:val="0"/>
                      <w:marBottom w:val="0"/>
                      <w:divBdr>
                        <w:top w:val="none" w:sz="0" w:space="0" w:color="auto"/>
                        <w:left w:val="none" w:sz="0" w:space="0" w:color="auto"/>
                        <w:bottom w:val="none" w:sz="0" w:space="0" w:color="auto"/>
                        <w:right w:val="none" w:sz="0" w:space="0" w:color="auto"/>
                      </w:divBdr>
                    </w:div>
                  </w:divsChild>
                </w:div>
                <w:div w:id="285233240">
                  <w:marLeft w:val="0"/>
                  <w:marRight w:val="0"/>
                  <w:marTop w:val="0"/>
                  <w:marBottom w:val="0"/>
                  <w:divBdr>
                    <w:top w:val="none" w:sz="0" w:space="0" w:color="auto"/>
                    <w:left w:val="none" w:sz="0" w:space="0" w:color="auto"/>
                    <w:bottom w:val="none" w:sz="0" w:space="0" w:color="auto"/>
                    <w:right w:val="none" w:sz="0" w:space="0" w:color="auto"/>
                  </w:divBdr>
                  <w:divsChild>
                    <w:div w:id="343703548">
                      <w:marLeft w:val="0"/>
                      <w:marRight w:val="0"/>
                      <w:marTop w:val="0"/>
                      <w:marBottom w:val="0"/>
                      <w:divBdr>
                        <w:top w:val="none" w:sz="0" w:space="0" w:color="auto"/>
                        <w:left w:val="none" w:sz="0" w:space="0" w:color="auto"/>
                        <w:bottom w:val="none" w:sz="0" w:space="0" w:color="auto"/>
                        <w:right w:val="none" w:sz="0" w:space="0" w:color="auto"/>
                      </w:divBdr>
                    </w:div>
                  </w:divsChild>
                </w:div>
                <w:div w:id="884223145">
                  <w:marLeft w:val="0"/>
                  <w:marRight w:val="0"/>
                  <w:marTop w:val="0"/>
                  <w:marBottom w:val="0"/>
                  <w:divBdr>
                    <w:top w:val="none" w:sz="0" w:space="0" w:color="auto"/>
                    <w:left w:val="none" w:sz="0" w:space="0" w:color="auto"/>
                    <w:bottom w:val="none" w:sz="0" w:space="0" w:color="auto"/>
                    <w:right w:val="none" w:sz="0" w:space="0" w:color="auto"/>
                  </w:divBdr>
                  <w:divsChild>
                    <w:div w:id="1376344649">
                      <w:marLeft w:val="0"/>
                      <w:marRight w:val="0"/>
                      <w:marTop w:val="0"/>
                      <w:marBottom w:val="0"/>
                      <w:divBdr>
                        <w:top w:val="none" w:sz="0" w:space="0" w:color="auto"/>
                        <w:left w:val="none" w:sz="0" w:space="0" w:color="auto"/>
                        <w:bottom w:val="none" w:sz="0" w:space="0" w:color="auto"/>
                        <w:right w:val="none" w:sz="0" w:space="0" w:color="auto"/>
                      </w:divBdr>
                    </w:div>
                  </w:divsChild>
                </w:div>
                <w:div w:id="1413233892">
                  <w:marLeft w:val="0"/>
                  <w:marRight w:val="0"/>
                  <w:marTop w:val="0"/>
                  <w:marBottom w:val="0"/>
                  <w:divBdr>
                    <w:top w:val="none" w:sz="0" w:space="0" w:color="auto"/>
                    <w:left w:val="none" w:sz="0" w:space="0" w:color="auto"/>
                    <w:bottom w:val="none" w:sz="0" w:space="0" w:color="auto"/>
                    <w:right w:val="none" w:sz="0" w:space="0" w:color="auto"/>
                  </w:divBdr>
                  <w:divsChild>
                    <w:div w:id="1559172566">
                      <w:marLeft w:val="0"/>
                      <w:marRight w:val="0"/>
                      <w:marTop w:val="0"/>
                      <w:marBottom w:val="0"/>
                      <w:divBdr>
                        <w:top w:val="none" w:sz="0" w:space="0" w:color="auto"/>
                        <w:left w:val="none" w:sz="0" w:space="0" w:color="auto"/>
                        <w:bottom w:val="none" w:sz="0" w:space="0" w:color="auto"/>
                        <w:right w:val="none" w:sz="0" w:space="0" w:color="auto"/>
                      </w:divBdr>
                    </w:div>
                  </w:divsChild>
                </w:div>
                <w:div w:id="174420722">
                  <w:marLeft w:val="0"/>
                  <w:marRight w:val="0"/>
                  <w:marTop w:val="0"/>
                  <w:marBottom w:val="0"/>
                  <w:divBdr>
                    <w:top w:val="none" w:sz="0" w:space="0" w:color="auto"/>
                    <w:left w:val="none" w:sz="0" w:space="0" w:color="auto"/>
                    <w:bottom w:val="none" w:sz="0" w:space="0" w:color="auto"/>
                    <w:right w:val="none" w:sz="0" w:space="0" w:color="auto"/>
                  </w:divBdr>
                  <w:divsChild>
                    <w:div w:id="222716905">
                      <w:marLeft w:val="0"/>
                      <w:marRight w:val="0"/>
                      <w:marTop w:val="0"/>
                      <w:marBottom w:val="0"/>
                      <w:divBdr>
                        <w:top w:val="none" w:sz="0" w:space="0" w:color="auto"/>
                        <w:left w:val="none" w:sz="0" w:space="0" w:color="auto"/>
                        <w:bottom w:val="none" w:sz="0" w:space="0" w:color="auto"/>
                        <w:right w:val="none" w:sz="0" w:space="0" w:color="auto"/>
                      </w:divBdr>
                    </w:div>
                  </w:divsChild>
                </w:div>
                <w:div w:id="337779185">
                  <w:marLeft w:val="0"/>
                  <w:marRight w:val="0"/>
                  <w:marTop w:val="0"/>
                  <w:marBottom w:val="0"/>
                  <w:divBdr>
                    <w:top w:val="none" w:sz="0" w:space="0" w:color="auto"/>
                    <w:left w:val="none" w:sz="0" w:space="0" w:color="auto"/>
                    <w:bottom w:val="none" w:sz="0" w:space="0" w:color="auto"/>
                    <w:right w:val="none" w:sz="0" w:space="0" w:color="auto"/>
                  </w:divBdr>
                  <w:divsChild>
                    <w:div w:id="1261643182">
                      <w:marLeft w:val="0"/>
                      <w:marRight w:val="0"/>
                      <w:marTop w:val="0"/>
                      <w:marBottom w:val="0"/>
                      <w:divBdr>
                        <w:top w:val="none" w:sz="0" w:space="0" w:color="auto"/>
                        <w:left w:val="none" w:sz="0" w:space="0" w:color="auto"/>
                        <w:bottom w:val="none" w:sz="0" w:space="0" w:color="auto"/>
                        <w:right w:val="none" w:sz="0" w:space="0" w:color="auto"/>
                      </w:divBdr>
                    </w:div>
                  </w:divsChild>
                </w:div>
                <w:div w:id="811605910">
                  <w:marLeft w:val="0"/>
                  <w:marRight w:val="0"/>
                  <w:marTop w:val="0"/>
                  <w:marBottom w:val="0"/>
                  <w:divBdr>
                    <w:top w:val="none" w:sz="0" w:space="0" w:color="auto"/>
                    <w:left w:val="none" w:sz="0" w:space="0" w:color="auto"/>
                    <w:bottom w:val="none" w:sz="0" w:space="0" w:color="auto"/>
                    <w:right w:val="none" w:sz="0" w:space="0" w:color="auto"/>
                  </w:divBdr>
                  <w:divsChild>
                    <w:div w:id="1330596984">
                      <w:marLeft w:val="0"/>
                      <w:marRight w:val="0"/>
                      <w:marTop w:val="0"/>
                      <w:marBottom w:val="0"/>
                      <w:divBdr>
                        <w:top w:val="none" w:sz="0" w:space="0" w:color="auto"/>
                        <w:left w:val="none" w:sz="0" w:space="0" w:color="auto"/>
                        <w:bottom w:val="none" w:sz="0" w:space="0" w:color="auto"/>
                        <w:right w:val="none" w:sz="0" w:space="0" w:color="auto"/>
                      </w:divBdr>
                    </w:div>
                  </w:divsChild>
                </w:div>
                <w:div w:id="119501386">
                  <w:marLeft w:val="0"/>
                  <w:marRight w:val="0"/>
                  <w:marTop w:val="0"/>
                  <w:marBottom w:val="0"/>
                  <w:divBdr>
                    <w:top w:val="none" w:sz="0" w:space="0" w:color="auto"/>
                    <w:left w:val="none" w:sz="0" w:space="0" w:color="auto"/>
                    <w:bottom w:val="none" w:sz="0" w:space="0" w:color="auto"/>
                    <w:right w:val="none" w:sz="0" w:space="0" w:color="auto"/>
                  </w:divBdr>
                  <w:divsChild>
                    <w:div w:id="1039404413">
                      <w:marLeft w:val="0"/>
                      <w:marRight w:val="0"/>
                      <w:marTop w:val="0"/>
                      <w:marBottom w:val="0"/>
                      <w:divBdr>
                        <w:top w:val="none" w:sz="0" w:space="0" w:color="auto"/>
                        <w:left w:val="none" w:sz="0" w:space="0" w:color="auto"/>
                        <w:bottom w:val="none" w:sz="0" w:space="0" w:color="auto"/>
                        <w:right w:val="none" w:sz="0" w:space="0" w:color="auto"/>
                      </w:divBdr>
                    </w:div>
                  </w:divsChild>
                </w:div>
                <w:div w:id="973294746">
                  <w:marLeft w:val="0"/>
                  <w:marRight w:val="0"/>
                  <w:marTop w:val="0"/>
                  <w:marBottom w:val="0"/>
                  <w:divBdr>
                    <w:top w:val="none" w:sz="0" w:space="0" w:color="auto"/>
                    <w:left w:val="none" w:sz="0" w:space="0" w:color="auto"/>
                    <w:bottom w:val="none" w:sz="0" w:space="0" w:color="auto"/>
                    <w:right w:val="none" w:sz="0" w:space="0" w:color="auto"/>
                  </w:divBdr>
                  <w:divsChild>
                    <w:div w:id="780296504">
                      <w:marLeft w:val="0"/>
                      <w:marRight w:val="0"/>
                      <w:marTop w:val="0"/>
                      <w:marBottom w:val="0"/>
                      <w:divBdr>
                        <w:top w:val="none" w:sz="0" w:space="0" w:color="auto"/>
                        <w:left w:val="none" w:sz="0" w:space="0" w:color="auto"/>
                        <w:bottom w:val="none" w:sz="0" w:space="0" w:color="auto"/>
                        <w:right w:val="none" w:sz="0" w:space="0" w:color="auto"/>
                      </w:divBdr>
                    </w:div>
                  </w:divsChild>
                </w:div>
                <w:div w:id="1589536090">
                  <w:marLeft w:val="0"/>
                  <w:marRight w:val="0"/>
                  <w:marTop w:val="0"/>
                  <w:marBottom w:val="0"/>
                  <w:divBdr>
                    <w:top w:val="none" w:sz="0" w:space="0" w:color="auto"/>
                    <w:left w:val="none" w:sz="0" w:space="0" w:color="auto"/>
                    <w:bottom w:val="none" w:sz="0" w:space="0" w:color="auto"/>
                    <w:right w:val="none" w:sz="0" w:space="0" w:color="auto"/>
                  </w:divBdr>
                  <w:divsChild>
                    <w:div w:id="1640844362">
                      <w:marLeft w:val="0"/>
                      <w:marRight w:val="0"/>
                      <w:marTop w:val="0"/>
                      <w:marBottom w:val="0"/>
                      <w:divBdr>
                        <w:top w:val="none" w:sz="0" w:space="0" w:color="auto"/>
                        <w:left w:val="none" w:sz="0" w:space="0" w:color="auto"/>
                        <w:bottom w:val="none" w:sz="0" w:space="0" w:color="auto"/>
                        <w:right w:val="none" w:sz="0" w:space="0" w:color="auto"/>
                      </w:divBdr>
                    </w:div>
                  </w:divsChild>
                </w:div>
                <w:div w:id="18361342">
                  <w:marLeft w:val="0"/>
                  <w:marRight w:val="0"/>
                  <w:marTop w:val="0"/>
                  <w:marBottom w:val="0"/>
                  <w:divBdr>
                    <w:top w:val="none" w:sz="0" w:space="0" w:color="auto"/>
                    <w:left w:val="none" w:sz="0" w:space="0" w:color="auto"/>
                    <w:bottom w:val="none" w:sz="0" w:space="0" w:color="auto"/>
                    <w:right w:val="none" w:sz="0" w:space="0" w:color="auto"/>
                  </w:divBdr>
                  <w:divsChild>
                    <w:div w:id="1434670760">
                      <w:marLeft w:val="0"/>
                      <w:marRight w:val="0"/>
                      <w:marTop w:val="0"/>
                      <w:marBottom w:val="0"/>
                      <w:divBdr>
                        <w:top w:val="none" w:sz="0" w:space="0" w:color="auto"/>
                        <w:left w:val="none" w:sz="0" w:space="0" w:color="auto"/>
                        <w:bottom w:val="none" w:sz="0" w:space="0" w:color="auto"/>
                        <w:right w:val="none" w:sz="0" w:space="0" w:color="auto"/>
                      </w:divBdr>
                    </w:div>
                  </w:divsChild>
                </w:div>
                <w:div w:id="471755868">
                  <w:marLeft w:val="0"/>
                  <w:marRight w:val="0"/>
                  <w:marTop w:val="0"/>
                  <w:marBottom w:val="0"/>
                  <w:divBdr>
                    <w:top w:val="none" w:sz="0" w:space="0" w:color="auto"/>
                    <w:left w:val="none" w:sz="0" w:space="0" w:color="auto"/>
                    <w:bottom w:val="none" w:sz="0" w:space="0" w:color="auto"/>
                    <w:right w:val="none" w:sz="0" w:space="0" w:color="auto"/>
                  </w:divBdr>
                  <w:divsChild>
                    <w:div w:id="99537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8481249">
      <w:bodyDiv w:val="1"/>
      <w:marLeft w:val="0"/>
      <w:marRight w:val="0"/>
      <w:marTop w:val="0"/>
      <w:marBottom w:val="0"/>
      <w:divBdr>
        <w:top w:val="none" w:sz="0" w:space="0" w:color="auto"/>
        <w:left w:val="none" w:sz="0" w:space="0" w:color="auto"/>
        <w:bottom w:val="none" w:sz="0" w:space="0" w:color="auto"/>
        <w:right w:val="none" w:sz="0" w:space="0" w:color="auto"/>
      </w:divBdr>
    </w:div>
    <w:div w:id="1067847383">
      <w:bodyDiv w:val="1"/>
      <w:marLeft w:val="0"/>
      <w:marRight w:val="0"/>
      <w:marTop w:val="0"/>
      <w:marBottom w:val="0"/>
      <w:divBdr>
        <w:top w:val="none" w:sz="0" w:space="0" w:color="auto"/>
        <w:left w:val="none" w:sz="0" w:space="0" w:color="auto"/>
        <w:bottom w:val="none" w:sz="0" w:space="0" w:color="auto"/>
        <w:right w:val="none" w:sz="0" w:space="0" w:color="auto"/>
      </w:divBdr>
      <w:divsChild>
        <w:div w:id="1948846878">
          <w:marLeft w:val="0"/>
          <w:marRight w:val="0"/>
          <w:marTop w:val="0"/>
          <w:marBottom w:val="0"/>
          <w:divBdr>
            <w:top w:val="none" w:sz="0" w:space="0" w:color="auto"/>
            <w:left w:val="none" w:sz="0" w:space="0" w:color="auto"/>
            <w:bottom w:val="none" w:sz="0" w:space="0" w:color="auto"/>
            <w:right w:val="none" w:sz="0" w:space="0" w:color="auto"/>
          </w:divBdr>
        </w:div>
      </w:divsChild>
    </w:div>
    <w:div w:id="1082020807">
      <w:bodyDiv w:val="1"/>
      <w:marLeft w:val="0"/>
      <w:marRight w:val="0"/>
      <w:marTop w:val="0"/>
      <w:marBottom w:val="0"/>
      <w:divBdr>
        <w:top w:val="none" w:sz="0" w:space="0" w:color="auto"/>
        <w:left w:val="none" w:sz="0" w:space="0" w:color="auto"/>
        <w:bottom w:val="none" w:sz="0" w:space="0" w:color="auto"/>
        <w:right w:val="none" w:sz="0" w:space="0" w:color="auto"/>
      </w:divBdr>
    </w:div>
    <w:div w:id="1086609742">
      <w:bodyDiv w:val="1"/>
      <w:marLeft w:val="0"/>
      <w:marRight w:val="0"/>
      <w:marTop w:val="0"/>
      <w:marBottom w:val="0"/>
      <w:divBdr>
        <w:top w:val="none" w:sz="0" w:space="0" w:color="auto"/>
        <w:left w:val="none" w:sz="0" w:space="0" w:color="auto"/>
        <w:bottom w:val="none" w:sz="0" w:space="0" w:color="auto"/>
        <w:right w:val="none" w:sz="0" w:space="0" w:color="auto"/>
      </w:divBdr>
    </w:div>
    <w:div w:id="1100681848">
      <w:bodyDiv w:val="1"/>
      <w:marLeft w:val="0"/>
      <w:marRight w:val="0"/>
      <w:marTop w:val="0"/>
      <w:marBottom w:val="0"/>
      <w:divBdr>
        <w:top w:val="none" w:sz="0" w:space="0" w:color="auto"/>
        <w:left w:val="none" w:sz="0" w:space="0" w:color="auto"/>
        <w:bottom w:val="none" w:sz="0" w:space="0" w:color="auto"/>
        <w:right w:val="none" w:sz="0" w:space="0" w:color="auto"/>
      </w:divBdr>
    </w:div>
    <w:div w:id="1113552284">
      <w:bodyDiv w:val="1"/>
      <w:marLeft w:val="0"/>
      <w:marRight w:val="0"/>
      <w:marTop w:val="0"/>
      <w:marBottom w:val="0"/>
      <w:divBdr>
        <w:top w:val="none" w:sz="0" w:space="0" w:color="auto"/>
        <w:left w:val="none" w:sz="0" w:space="0" w:color="auto"/>
        <w:bottom w:val="none" w:sz="0" w:space="0" w:color="auto"/>
        <w:right w:val="none" w:sz="0" w:space="0" w:color="auto"/>
      </w:divBdr>
    </w:div>
    <w:div w:id="1114328270">
      <w:bodyDiv w:val="1"/>
      <w:marLeft w:val="0"/>
      <w:marRight w:val="0"/>
      <w:marTop w:val="0"/>
      <w:marBottom w:val="0"/>
      <w:divBdr>
        <w:top w:val="none" w:sz="0" w:space="0" w:color="auto"/>
        <w:left w:val="none" w:sz="0" w:space="0" w:color="auto"/>
        <w:bottom w:val="none" w:sz="0" w:space="0" w:color="auto"/>
        <w:right w:val="none" w:sz="0" w:space="0" w:color="auto"/>
      </w:divBdr>
    </w:div>
    <w:div w:id="1138914045">
      <w:bodyDiv w:val="1"/>
      <w:marLeft w:val="0"/>
      <w:marRight w:val="0"/>
      <w:marTop w:val="0"/>
      <w:marBottom w:val="0"/>
      <w:divBdr>
        <w:top w:val="none" w:sz="0" w:space="0" w:color="auto"/>
        <w:left w:val="none" w:sz="0" w:space="0" w:color="auto"/>
        <w:bottom w:val="none" w:sz="0" w:space="0" w:color="auto"/>
        <w:right w:val="none" w:sz="0" w:space="0" w:color="auto"/>
      </w:divBdr>
    </w:div>
    <w:div w:id="1139878631">
      <w:bodyDiv w:val="1"/>
      <w:marLeft w:val="0"/>
      <w:marRight w:val="0"/>
      <w:marTop w:val="0"/>
      <w:marBottom w:val="0"/>
      <w:divBdr>
        <w:top w:val="none" w:sz="0" w:space="0" w:color="auto"/>
        <w:left w:val="none" w:sz="0" w:space="0" w:color="auto"/>
        <w:bottom w:val="none" w:sz="0" w:space="0" w:color="auto"/>
        <w:right w:val="none" w:sz="0" w:space="0" w:color="auto"/>
      </w:divBdr>
    </w:div>
    <w:div w:id="1150636293">
      <w:bodyDiv w:val="1"/>
      <w:marLeft w:val="0"/>
      <w:marRight w:val="0"/>
      <w:marTop w:val="0"/>
      <w:marBottom w:val="0"/>
      <w:divBdr>
        <w:top w:val="none" w:sz="0" w:space="0" w:color="auto"/>
        <w:left w:val="none" w:sz="0" w:space="0" w:color="auto"/>
        <w:bottom w:val="none" w:sz="0" w:space="0" w:color="auto"/>
        <w:right w:val="none" w:sz="0" w:space="0" w:color="auto"/>
      </w:divBdr>
    </w:div>
    <w:div w:id="1155605210">
      <w:bodyDiv w:val="1"/>
      <w:marLeft w:val="0"/>
      <w:marRight w:val="0"/>
      <w:marTop w:val="0"/>
      <w:marBottom w:val="0"/>
      <w:divBdr>
        <w:top w:val="none" w:sz="0" w:space="0" w:color="auto"/>
        <w:left w:val="none" w:sz="0" w:space="0" w:color="auto"/>
        <w:bottom w:val="none" w:sz="0" w:space="0" w:color="auto"/>
        <w:right w:val="none" w:sz="0" w:space="0" w:color="auto"/>
      </w:divBdr>
    </w:div>
    <w:div w:id="1162770409">
      <w:bodyDiv w:val="1"/>
      <w:marLeft w:val="0"/>
      <w:marRight w:val="0"/>
      <w:marTop w:val="0"/>
      <w:marBottom w:val="0"/>
      <w:divBdr>
        <w:top w:val="none" w:sz="0" w:space="0" w:color="auto"/>
        <w:left w:val="none" w:sz="0" w:space="0" w:color="auto"/>
        <w:bottom w:val="none" w:sz="0" w:space="0" w:color="auto"/>
        <w:right w:val="none" w:sz="0" w:space="0" w:color="auto"/>
      </w:divBdr>
    </w:div>
    <w:div w:id="1163744098">
      <w:bodyDiv w:val="1"/>
      <w:marLeft w:val="0"/>
      <w:marRight w:val="0"/>
      <w:marTop w:val="0"/>
      <w:marBottom w:val="0"/>
      <w:divBdr>
        <w:top w:val="none" w:sz="0" w:space="0" w:color="auto"/>
        <w:left w:val="none" w:sz="0" w:space="0" w:color="auto"/>
        <w:bottom w:val="none" w:sz="0" w:space="0" w:color="auto"/>
        <w:right w:val="none" w:sz="0" w:space="0" w:color="auto"/>
      </w:divBdr>
    </w:div>
    <w:div w:id="1163855741">
      <w:bodyDiv w:val="1"/>
      <w:marLeft w:val="0"/>
      <w:marRight w:val="0"/>
      <w:marTop w:val="0"/>
      <w:marBottom w:val="0"/>
      <w:divBdr>
        <w:top w:val="none" w:sz="0" w:space="0" w:color="auto"/>
        <w:left w:val="none" w:sz="0" w:space="0" w:color="auto"/>
        <w:bottom w:val="none" w:sz="0" w:space="0" w:color="auto"/>
        <w:right w:val="none" w:sz="0" w:space="0" w:color="auto"/>
      </w:divBdr>
    </w:div>
    <w:div w:id="1168210843">
      <w:bodyDiv w:val="1"/>
      <w:marLeft w:val="0"/>
      <w:marRight w:val="0"/>
      <w:marTop w:val="0"/>
      <w:marBottom w:val="0"/>
      <w:divBdr>
        <w:top w:val="none" w:sz="0" w:space="0" w:color="auto"/>
        <w:left w:val="none" w:sz="0" w:space="0" w:color="auto"/>
        <w:bottom w:val="none" w:sz="0" w:space="0" w:color="auto"/>
        <w:right w:val="none" w:sz="0" w:space="0" w:color="auto"/>
      </w:divBdr>
      <w:divsChild>
        <w:div w:id="633339952">
          <w:marLeft w:val="0"/>
          <w:marRight w:val="0"/>
          <w:marTop w:val="0"/>
          <w:marBottom w:val="0"/>
          <w:divBdr>
            <w:top w:val="none" w:sz="0" w:space="0" w:color="auto"/>
            <w:left w:val="none" w:sz="0" w:space="0" w:color="auto"/>
            <w:bottom w:val="none" w:sz="0" w:space="0" w:color="auto"/>
            <w:right w:val="none" w:sz="0" w:space="0" w:color="auto"/>
          </w:divBdr>
        </w:div>
      </w:divsChild>
    </w:div>
    <w:div w:id="1171407969">
      <w:bodyDiv w:val="1"/>
      <w:marLeft w:val="0"/>
      <w:marRight w:val="0"/>
      <w:marTop w:val="0"/>
      <w:marBottom w:val="0"/>
      <w:divBdr>
        <w:top w:val="none" w:sz="0" w:space="0" w:color="auto"/>
        <w:left w:val="none" w:sz="0" w:space="0" w:color="auto"/>
        <w:bottom w:val="none" w:sz="0" w:space="0" w:color="auto"/>
        <w:right w:val="none" w:sz="0" w:space="0" w:color="auto"/>
      </w:divBdr>
    </w:div>
    <w:div w:id="1182358561">
      <w:bodyDiv w:val="1"/>
      <w:marLeft w:val="0"/>
      <w:marRight w:val="0"/>
      <w:marTop w:val="0"/>
      <w:marBottom w:val="0"/>
      <w:divBdr>
        <w:top w:val="none" w:sz="0" w:space="0" w:color="auto"/>
        <w:left w:val="none" w:sz="0" w:space="0" w:color="auto"/>
        <w:bottom w:val="none" w:sz="0" w:space="0" w:color="auto"/>
        <w:right w:val="none" w:sz="0" w:space="0" w:color="auto"/>
      </w:divBdr>
      <w:divsChild>
        <w:div w:id="1995640404">
          <w:marLeft w:val="0"/>
          <w:marRight w:val="0"/>
          <w:marTop w:val="0"/>
          <w:marBottom w:val="0"/>
          <w:divBdr>
            <w:top w:val="none" w:sz="0" w:space="0" w:color="auto"/>
            <w:left w:val="none" w:sz="0" w:space="0" w:color="auto"/>
            <w:bottom w:val="none" w:sz="0" w:space="0" w:color="auto"/>
            <w:right w:val="none" w:sz="0" w:space="0" w:color="auto"/>
          </w:divBdr>
        </w:div>
      </w:divsChild>
    </w:div>
    <w:div w:id="1182813856">
      <w:bodyDiv w:val="1"/>
      <w:marLeft w:val="0"/>
      <w:marRight w:val="0"/>
      <w:marTop w:val="0"/>
      <w:marBottom w:val="0"/>
      <w:divBdr>
        <w:top w:val="none" w:sz="0" w:space="0" w:color="auto"/>
        <w:left w:val="none" w:sz="0" w:space="0" w:color="auto"/>
        <w:bottom w:val="none" w:sz="0" w:space="0" w:color="auto"/>
        <w:right w:val="none" w:sz="0" w:space="0" w:color="auto"/>
      </w:divBdr>
      <w:divsChild>
        <w:div w:id="837578108">
          <w:marLeft w:val="0"/>
          <w:marRight w:val="0"/>
          <w:marTop w:val="0"/>
          <w:marBottom w:val="0"/>
          <w:divBdr>
            <w:top w:val="none" w:sz="0" w:space="0" w:color="auto"/>
            <w:left w:val="none" w:sz="0" w:space="0" w:color="auto"/>
            <w:bottom w:val="none" w:sz="0" w:space="0" w:color="auto"/>
            <w:right w:val="none" w:sz="0" w:space="0" w:color="auto"/>
          </w:divBdr>
        </w:div>
        <w:div w:id="1673410093">
          <w:marLeft w:val="0"/>
          <w:marRight w:val="0"/>
          <w:marTop w:val="0"/>
          <w:marBottom w:val="0"/>
          <w:divBdr>
            <w:top w:val="none" w:sz="0" w:space="0" w:color="auto"/>
            <w:left w:val="none" w:sz="0" w:space="0" w:color="auto"/>
            <w:bottom w:val="none" w:sz="0" w:space="0" w:color="auto"/>
            <w:right w:val="none" w:sz="0" w:space="0" w:color="auto"/>
          </w:divBdr>
        </w:div>
        <w:div w:id="39214645">
          <w:marLeft w:val="0"/>
          <w:marRight w:val="0"/>
          <w:marTop w:val="0"/>
          <w:marBottom w:val="0"/>
          <w:divBdr>
            <w:top w:val="none" w:sz="0" w:space="0" w:color="auto"/>
            <w:left w:val="none" w:sz="0" w:space="0" w:color="auto"/>
            <w:bottom w:val="none" w:sz="0" w:space="0" w:color="auto"/>
            <w:right w:val="none" w:sz="0" w:space="0" w:color="auto"/>
          </w:divBdr>
        </w:div>
        <w:div w:id="1001737587">
          <w:marLeft w:val="0"/>
          <w:marRight w:val="0"/>
          <w:marTop w:val="0"/>
          <w:marBottom w:val="0"/>
          <w:divBdr>
            <w:top w:val="none" w:sz="0" w:space="0" w:color="auto"/>
            <w:left w:val="none" w:sz="0" w:space="0" w:color="auto"/>
            <w:bottom w:val="none" w:sz="0" w:space="0" w:color="auto"/>
            <w:right w:val="none" w:sz="0" w:space="0" w:color="auto"/>
          </w:divBdr>
        </w:div>
        <w:div w:id="897253531">
          <w:marLeft w:val="0"/>
          <w:marRight w:val="0"/>
          <w:marTop w:val="0"/>
          <w:marBottom w:val="0"/>
          <w:divBdr>
            <w:top w:val="none" w:sz="0" w:space="0" w:color="auto"/>
            <w:left w:val="none" w:sz="0" w:space="0" w:color="auto"/>
            <w:bottom w:val="none" w:sz="0" w:space="0" w:color="auto"/>
            <w:right w:val="none" w:sz="0" w:space="0" w:color="auto"/>
          </w:divBdr>
          <w:divsChild>
            <w:div w:id="469591175">
              <w:marLeft w:val="-75"/>
              <w:marRight w:val="0"/>
              <w:marTop w:val="30"/>
              <w:marBottom w:val="30"/>
              <w:divBdr>
                <w:top w:val="none" w:sz="0" w:space="0" w:color="auto"/>
                <w:left w:val="none" w:sz="0" w:space="0" w:color="auto"/>
                <w:bottom w:val="none" w:sz="0" w:space="0" w:color="auto"/>
                <w:right w:val="none" w:sz="0" w:space="0" w:color="auto"/>
              </w:divBdr>
              <w:divsChild>
                <w:div w:id="295990767">
                  <w:marLeft w:val="0"/>
                  <w:marRight w:val="0"/>
                  <w:marTop w:val="0"/>
                  <w:marBottom w:val="0"/>
                  <w:divBdr>
                    <w:top w:val="none" w:sz="0" w:space="0" w:color="auto"/>
                    <w:left w:val="none" w:sz="0" w:space="0" w:color="auto"/>
                    <w:bottom w:val="none" w:sz="0" w:space="0" w:color="auto"/>
                    <w:right w:val="none" w:sz="0" w:space="0" w:color="auto"/>
                  </w:divBdr>
                  <w:divsChild>
                    <w:div w:id="1663124428">
                      <w:marLeft w:val="0"/>
                      <w:marRight w:val="0"/>
                      <w:marTop w:val="0"/>
                      <w:marBottom w:val="0"/>
                      <w:divBdr>
                        <w:top w:val="none" w:sz="0" w:space="0" w:color="auto"/>
                        <w:left w:val="none" w:sz="0" w:space="0" w:color="auto"/>
                        <w:bottom w:val="none" w:sz="0" w:space="0" w:color="auto"/>
                        <w:right w:val="none" w:sz="0" w:space="0" w:color="auto"/>
                      </w:divBdr>
                    </w:div>
                  </w:divsChild>
                </w:div>
                <w:div w:id="318267728">
                  <w:marLeft w:val="0"/>
                  <w:marRight w:val="0"/>
                  <w:marTop w:val="0"/>
                  <w:marBottom w:val="0"/>
                  <w:divBdr>
                    <w:top w:val="none" w:sz="0" w:space="0" w:color="auto"/>
                    <w:left w:val="none" w:sz="0" w:space="0" w:color="auto"/>
                    <w:bottom w:val="none" w:sz="0" w:space="0" w:color="auto"/>
                    <w:right w:val="none" w:sz="0" w:space="0" w:color="auto"/>
                  </w:divBdr>
                  <w:divsChild>
                    <w:div w:id="13465972">
                      <w:marLeft w:val="0"/>
                      <w:marRight w:val="0"/>
                      <w:marTop w:val="0"/>
                      <w:marBottom w:val="0"/>
                      <w:divBdr>
                        <w:top w:val="none" w:sz="0" w:space="0" w:color="auto"/>
                        <w:left w:val="none" w:sz="0" w:space="0" w:color="auto"/>
                        <w:bottom w:val="none" w:sz="0" w:space="0" w:color="auto"/>
                        <w:right w:val="none" w:sz="0" w:space="0" w:color="auto"/>
                      </w:divBdr>
                    </w:div>
                  </w:divsChild>
                </w:div>
                <w:div w:id="1431437583">
                  <w:marLeft w:val="0"/>
                  <w:marRight w:val="0"/>
                  <w:marTop w:val="0"/>
                  <w:marBottom w:val="0"/>
                  <w:divBdr>
                    <w:top w:val="none" w:sz="0" w:space="0" w:color="auto"/>
                    <w:left w:val="none" w:sz="0" w:space="0" w:color="auto"/>
                    <w:bottom w:val="none" w:sz="0" w:space="0" w:color="auto"/>
                    <w:right w:val="none" w:sz="0" w:space="0" w:color="auto"/>
                  </w:divBdr>
                  <w:divsChild>
                    <w:div w:id="1678119459">
                      <w:marLeft w:val="0"/>
                      <w:marRight w:val="0"/>
                      <w:marTop w:val="0"/>
                      <w:marBottom w:val="0"/>
                      <w:divBdr>
                        <w:top w:val="none" w:sz="0" w:space="0" w:color="auto"/>
                        <w:left w:val="none" w:sz="0" w:space="0" w:color="auto"/>
                        <w:bottom w:val="none" w:sz="0" w:space="0" w:color="auto"/>
                        <w:right w:val="none" w:sz="0" w:space="0" w:color="auto"/>
                      </w:divBdr>
                    </w:div>
                  </w:divsChild>
                </w:div>
                <w:div w:id="1735590945">
                  <w:marLeft w:val="0"/>
                  <w:marRight w:val="0"/>
                  <w:marTop w:val="0"/>
                  <w:marBottom w:val="0"/>
                  <w:divBdr>
                    <w:top w:val="none" w:sz="0" w:space="0" w:color="auto"/>
                    <w:left w:val="none" w:sz="0" w:space="0" w:color="auto"/>
                    <w:bottom w:val="none" w:sz="0" w:space="0" w:color="auto"/>
                    <w:right w:val="none" w:sz="0" w:space="0" w:color="auto"/>
                  </w:divBdr>
                  <w:divsChild>
                    <w:div w:id="483394770">
                      <w:marLeft w:val="0"/>
                      <w:marRight w:val="0"/>
                      <w:marTop w:val="0"/>
                      <w:marBottom w:val="0"/>
                      <w:divBdr>
                        <w:top w:val="none" w:sz="0" w:space="0" w:color="auto"/>
                        <w:left w:val="none" w:sz="0" w:space="0" w:color="auto"/>
                        <w:bottom w:val="none" w:sz="0" w:space="0" w:color="auto"/>
                        <w:right w:val="none" w:sz="0" w:space="0" w:color="auto"/>
                      </w:divBdr>
                    </w:div>
                  </w:divsChild>
                </w:div>
                <w:div w:id="40910861">
                  <w:marLeft w:val="0"/>
                  <w:marRight w:val="0"/>
                  <w:marTop w:val="0"/>
                  <w:marBottom w:val="0"/>
                  <w:divBdr>
                    <w:top w:val="none" w:sz="0" w:space="0" w:color="auto"/>
                    <w:left w:val="none" w:sz="0" w:space="0" w:color="auto"/>
                    <w:bottom w:val="none" w:sz="0" w:space="0" w:color="auto"/>
                    <w:right w:val="none" w:sz="0" w:space="0" w:color="auto"/>
                  </w:divBdr>
                  <w:divsChild>
                    <w:div w:id="1581329311">
                      <w:marLeft w:val="0"/>
                      <w:marRight w:val="0"/>
                      <w:marTop w:val="0"/>
                      <w:marBottom w:val="0"/>
                      <w:divBdr>
                        <w:top w:val="none" w:sz="0" w:space="0" w:color="auto"/>
                        <w:left w:val="none" w:sz="0" w:space="0" w:color="auto"/>
                        <w:bottom w:val="none" w:sz="0" w:space="0" w:color="auto"/>
                        <w:right w:val="none" w:sz="0" w:space="0" w:color="auto"/>
                      </w:divBdr>
                    </w:div>
                  </w:divsChild>
                </w:div>
                <w:div w:id="323243199">
                  <w:marLeft w:val="0"/>
                  <w:marRight w:val="0"/>
                  <w:marTop w:val="0"/>
                  <w:marBottom w:val="0"/>
                  <w:divBdr>
                    <w:top w:val="none" w:sz="0" w:space="0" w:color="auto"/>
                    <w:left w:val="none" w:sz="0" w:space="0" w:color="auto"/>
                    <w:bottom w:val="none" w:sz="0" w:space="0" w:color="auto"/>
                    <w:right w:val="none" w:sz="0" w:space="0" w:color="auto"/>
                  </w:divBdr>
                  <w:divsChild>
                    <w:div w:id="1332104368">
                      <w:marLeft w:val="0"/>
                      <w:marRight w:val="0"/>
                      <w:marTop w:val="0"/>
                      <w:marBottom w:val="0"/>
                      <w:divBdr>
                        <w:top w:val="none" w:sz="0" w:space="0" w:color="auto"/>
                        <w:left w:val="none" w:sz="0" w:space="0" w:color="auto"/>
                        <w:bottom w:val="none" w:sz="0" w:space="0" w:color="auto"/>
                        <w:right w:val="none" w:sz="0" w:space="0" w:color="auto"/>
                      </w:divBdr>
                    </w:div>
                  </w:divsChild>
                </w:div>
                <w:div w:id="73818124">
                  <w:marLeft w:val="0"/>
                  <w:marRight w:val="0"/>
                  <w:marTop w:val="0"/>
                  <w:marBottom w:val="0"/>
                  <w:divBdr>
                    <w:top w:val="none" w:sz="0" w:space="0" w:color="auto"/>
                    <w:left w:val="none" w:sz="0" w:space="0" w:color="auto"/>
                    <w:bottom w:val="none" w:sz="0" w:space="0" w:color="auto"/>
                    <w:right w:val="none" w:sz="0" w:space="0" w:color="auto"/>
                  </w:divBdr>
                  <w:divsChild>
                    <w:div w:id="1332371890">
                      <w:marLeft w:val="0"/>
                      <w:marRight w:val="0"/>
                      <w:marTop w:val="0"/>
                      <w:marBottom w:val="0"/>
                      <w:divBdr>
                        <w:top w:val="none" w:sz="0" w:space="0" w:color="auto"/>
                        <w:left w:val="none" w:sz="0" w:space="0" w:color="auto"/>
                        <w:bottom w:val="none" w:sz="0" w:space="0" w:color="auto"/>
                        <w:right w:val="none" w:sz="0" w:space="0" w:color="auto"/>
                      </w:divBdr>
                    </w:div>
                  </w:divsChild>
                </w:div>
                <w:div w:id="1932229573">
                  <w:marLeft w:val="0"/>
                  <w:marRight w:val="0"/>
                  <w:marTop w:val="0"/>
                  <w:marBottom w:val="0"/>
                  <w:divBdr>
                    <w:top w:val="none" w:sz="0" w:space="0" w:color="auto"/>
                    <w:left w:val="none" w:sz="0" w:space="0" w:color="auto"/>
                    <w:bottom w:val="none" w:sz="0" w:space="0" w:color="auto"/>
                    <w:right w:val="none" w:sz="0" w:space="0" w:color="auto"/>
                  </w:divBdr>
                  <w:divsChild>
                    <w:div w:id="1237399956">
                      <w:marLeft w:val="0"/>
                      <w:marRight w:val="0"/>
                      <w:marTop w:val="0"/>
                      <w:marBottom w:val="0"/>
                      <w:divBdr>
                        <w:top w:val="none" w:sz="0" w:space="0" w:color="auto"/>
                        <w:left w:val="none" w:sz="0" w:space="0" w:color="auto"/>
                        <w:bottom w:val="none" w:sz="0" w:space="0" w:color="auto"/>
                        <w:right w:val="none" w:sz="0" w:space="0" w:color="auto"/>
                      </w:divBdr>
                    </w:div>
                  </w:divsChild>
                </w:div>
                <w:div w:id="2116366553">
                  <w:marLeft w:val="0"/>
                  <w:marRight w:val="0"/>
                  <w:marTop w:val="0"/>
                  <w:marBottom w:val="0"/>
                  <w:divBdr>
                    <w:top w:val="none" w:sz="0" w:space="0" w:color="auto"/>
                    <w:left w:val="none" w:sz="0" w:space="0" w:color="auto"/>
                    <w:bottom w:val="none" w:sz="0" w:space="0" w:color="auto"/>
                    <w:right w:val="none" w:sz="0" w:space="0" w:color="auto"/>
                  </w:divBdr>
                  <w:divsChild>
                    <w:div w:id="1575159158">
                      <w:marLeft w:val="0"/>
                      <w:marRight w:val="0"/>
                      <w:marTop w:val="0"/>
                      <w:marBottom w:val="0"/>
                      <w:divBdr>
                        <w:top w:val="none" w:sz="0" w:space="0" w:color="auto"/>
                        <w:left w:val="none" w:sz="0" w:space="0" w:color="auto"/>
                        <w:bottom w:val="none" w:sz="0" w:space="0" w:color="auto"/>
                        <w:right w:val="none" w:sz="0" w:space="0" w:color="auto"/>
                      </w:divBdr>
                    </w:div>
                  </w:divsChild>
                </w:div>
                <w:div w:id="2028485940">
                  <w:marLeft w:val="0"/>
                  <w:marRight w:val="0"/>
                  <w:marTop w:val="0"/>
                  <w:marBottom w:val="0"/>
                  <w:divBdr>
                    <w:top w:val="none" w:sz="0" w:space="0" w:color="auto"/>
                    <w:left w:val="none" w:sz="0" w:space="0" w:color="auto"/>
                    <w:bottom w:val="none" w:sz="0" w:space="0" w:color="auto"/>
                    <w:right w:val="none" w:sz="0" w:space="0" w:color="auto"/>
                  </w:divBdr>
                  <w:divsChild>
                    <w:div w:id="487794250">
                      <w:marLeft w:val="0"/>
                      <w:marRight w:val="0"/>
                      <w:marTop w:val="0"/>
                      <w:marBottom w:val="0"/>
                      <w:divBdr>
                        <w:top w:val="none" w:sz="0" w:space="0" w:color="auto"/>
                        <w:left w:val="none" w:sz="0" w:space="0" w:color="auto"/>
                        <w:bottom w:val="none" w:sz="0" w:space="0" w:color="auto"/>
                        <w:right w:val="none" w:sz="0" w:space="0" w:color="auto"/>
                      </w:divBdr>
                    </w:div>
                  </w:divsChild>
                </w:div>
                <w:div w:id="2039770009">
                  <w:marLeft w:val="0"/>
                  <w:marRight w:val="0"/>
                  <w:marTop w:val="0"/>
                  <w:marBottom w:val="0"/>
                  <w:divBdr>
                    <w:top w:val="none" w:sz="0" w:space="0" w:color="auto"/>
                    <w:left w:val="none" w:sz="0" w:space="0" w:color="auto"/>
                    <w:bottom w:val="none" w:sz="0" w:space="0" w:color="auto"/>
                    <w:right w:val="none" w:sz="0" w:space="0" w:color="auto"/>
                  </w:divBdr>
                  <w:divsChild>
                    <w:div w:id="273100169">
                      <w:marLeft w:val="0"/>
                      <w:marRight w:val="0"/>
                      <w:marTop w:val="0"/>
                      <w:marBottom w:val="0"/>
                      <w:divBdr>
                        <w:top w:val="none" w:sz="0" w:space="0" w:color="auto"/>
                        <w:left w:val="none" w:sz="0" w:space="0" w:color="auto"/>
                        <w:bottom w:val="none" w:sz="0" w:space="0" w:color="auto"/>
                        <w:right w:val="none" w:sz="0" w:space="0" w:color="auto"/>
                      </w:divBdr>
                    </w:div>
                  </w:divsChild>
                </w:div>
                <w:div w:id="724912860">
                  <w:marLeft w:val="0"/>
                  <w:marRight w:val="0"/>
                  <w:marTop w:val="0"/>
                  <w:marBottom w:val="0"/>
                  <w:divBdr>
                    <w:top w:val="none" w:sz="0" w:space="0" w:color="auto"/>
                    <w:left w:val="none" w:sz="0" w:space="0" w:color="auto"/>
                    <w:bottom w:val="none" w:sz="0" w:space="0" w:color="auto"/>
                    <w:right w:val="none" w:sz="0" w:space="0" w:color="auto"/>
                  </w:divBdr>
                  <w:divsChild>
                    <w:div w:id="1754353370">
                      <w:marLeft w:val="0"/>
                      <w:marRight w:val="0"/>
                      <w:marTop w:val="0"/>
                      <w:marBottom w:val="0"/>
                      <w:divBdr>
                        <w:top w:val="none" w:sz="0" w:space="0" w:color="auto"/>
                        <w:left w:val="none" w:sz="0" w:space="0" w:color="auto"/>
                        <w:bottom w:val="none" w:sz="0" w:space="0" w:color="auto"/>
                        <w:right w:val="none" w:sz="0" w:space="0" w:color="auto"/>
                      </w:divBdr>
                    </w:div>
                  </w:divsChild>
                </w:div>
                <w:div w:id="825319799">
                  <w:marLeft w:val="0"/>
                  <w:marRight w:val="0"/>
                  <w:marTop w:val="0"/>
                  <w:marBottom w:val="0"/>
                  <w:divBdr>
                    <w:top w:val="none" w:sz="0" w:space="0" w:color="auto"/>
                    <w:left w:val="none" w:sz="0" w:space="0" w:color="auto"/>
                    <w:bottom w:val="none" w:sz="0" w:space="0" w:color="auto"/>
                    <w:right w:val="none" w:sz="0" w:space="0" w:color="auto"/>
                  </w:divBdr>
                  <w:divsChild>
                    <w:div w:id="2127265752">
                      <w:marLeft w:val="0"/>
                      <w:marRight w:val="0"/>
                      <w:marTop w:val="0"/>
                      <w:marBottom w:val="0"/>
                      <w:divBdr>
                        <w:top w:val="none" w:sz="0" w:space="0" w:color="auto"/>
                        <w:left w:val="none" w:sz="0" w:space="0" w:color="auto"/>
                        <w:bottom w:val="none" w:sz="0" w:space="0" w:color="auto"/>
                        <w:right w:val="none" w:sz="0" w:space="0" w:color="auto"/>
                      </w:divBdr>
                    </w:div>
                  </w:divsChild>
                </w:div>
                <w:div w:id="1719893174">
                  <w:marLeft w:val="0"/>
                  <w:marRight w:val="0"/>
                  <w:marTop w:val="0"/>
                  <w:marBottom w:val="0"/>
                  <w:divBdr>
                    <w:top w:val="none" w:sz="0" w:space="0" w:color="auto"/>
                    <w:left w:val="none" w:sz="0" w:space="0" w:color="auto"/>
                    <w:bottom w:val="none" w:sz="0" w:space="0" w:color="auto"/>
                    <w:right w:val="none" w:sz="0" w:space="0" w:color="auto"/>
                  </w:divBdr>
                  <w:divsChild>
                    <w:div w:id="845706598">
                      <w:marLeft w:val="0"/>
                      <w:marRight w:val="0"/>
                      <w:marTop w:val="0"/>
                      <w:marBottom w:val="0"/>
                      <w:divBdr>
                        <w:top w:val="none" w:sz="0" w:space="0" w:color="auto"/>
                        <w:left w:val="none" w:sz="0" w:space="0" w:color="auto"/>
                        <w:bottom w:val="none" w:sz="0" w:space="0" w:color="auto"/>
                        <w:right w:val="none" w:sz="0" w:space="0" w:color="auto"/>
                      </w:divBdr>
                    </w:div>
                  </w:divsChild>
                </w:div>
                <w:div w:id="675772427">
                  <w:marLeft w:val="0"/>
                  <w:marRight w:val="0"/>
                  <w:marTop w:val="0"/>
                  <w:marBottom w:val="0"/>
                  <w:divBdr>
                    <w:top w:val="none" w:sz="0" w:space="0" w:color="auto"/>
                    <w:left w:val="none" w:sz="0" w:space="0" w:color="auto"/>
                    <w:bottom w:val="none" w:sz="0" w:space="0" w:color="auto"/>
                    <w:right w:val="none" w:sz="0" w:space="0" w:color="auto"/>
                  </w:divBdr>
                  <w:divsChild>
                    <w:div w:id="248345783">
                      <w:marLeft w:val="0"/>
                      <w:marRight w:val="0"/>
                      <w:marTop w:val="0"/>
                      <w:marBottom w:val="0"/>
                      <w:divBdr>
                        <w:top w:val="none" w:sz="0" w:space="0" w:color="auto"/>
                        <w:left w:val="none" w:sz="0" w:space="0" w:color="auto"/>
                        <w:bottom w:val="none" w:sz="0" w:space="0" w:color="auto"/>
                        <w:right w:val="none" w:sz="0" w:space="0" w:color="auto"/>
                      </w:divBdr>
                    </w:div>
                  </w:divsChild>
                </w:div>
                <w:div w:id="713192184">
                  <w:marLeft w:val="0"/>
                  <w:marRight w:val="0"/>
                  <w:marTop w:val="0"/>
                  <w:marBottom w:val="0"/>
                  <w:divBdr>
                    <w:top w:val="none" w:sz="0" w:space="0" w:color="auto"/>
                    <w:left w:val="none" w:sz="0" w:space="0" w:color="auto"/>
                    <w:bottom w:val="none" w:sz="0" w:space="0" w:color="auto"/>
                    <w:right w:val="none" w:sz="0" w:space="0" w:color="auto"/>
                  </w:divBdr>
                  <w:divsChild>
                    <w:div w:id="1673486400">
                      <w:marLeft w:val="0"/>
                      <w:marRight w:val="0"/>
                      <w:marTop w:val="0"/>
                      <w:marBottom w:val="0"/>
                      <w:divBdr>
                        <w:top w:val="none" w:sz="0" w:space="0" w:color="auto"/>
                        <w:left w:val="none" w:sz="0" w:space="0" w:color="auto"/>
                        <w:bottom w:val="none" w:sz="0" w:space="0" w:color="auto"/>
                        <w:right w:val="none" w:sz="0" w:space="0" w:color="auto"/>
                      </w:divBdr>
                    </w:div>
                  </w:divsChild>
                </w:div>
                <w:div w:id="1846632645">
                  <w:marLeft w:val="0"/>
                  <w:marRight w:val="0"/>
                  <w:marTop w:val="0"/>
                  <w:marBottom w:val="0"/>
                  <w:divBdr>
                    <w:top w:val="none" w:sz="0" w:space="0" w:color="auto"/>
                    <w:left w:val="none" w:sz="0" w:space="0" w:color="auto"/>
                    <w:bottom w:val="none" w:sz="0" w:space="0" w:color="auto"/>
                    <w:right w:val="none" w:sz="0" w:space="0" w:color="auto"/>
                  </w:divBdr>
                  <w:divsChild>
                    <w:div w:id="1141000637">
                      <w:marLeft w:val="0"/>
                      <w:marRight w:val="0"/>
                      <w:marTop w:val="0"/>
                      <w:marBottom w:val="0"/>
                      <w:divBdr>
                        <w:top w:val="none" w:sz="0" w:space="0" w:color="auto"/>
                        <w:left w:val="none" w:sz="0" w:space="0" w:color="auto"/>
                        <w:bottom w:val="none" w:sz="0" w:space="0" w:color="auto"/>
                        <w:right w:val="none" w:sz="0" w:space="0" w:color="auto"/>
                      </w:divBdr>
                    </w:div>
                  </w:divsChild>
                </w:div>
                <w:div w:id="477576577">
                  <w:marLeft w:val="0"/>
                  <w:marRight w:val="0"/>
                  <w:marTop w:val="0"/>
                  <w:marBottom w:val="0"/>
                  <w:divBdr>
                    <w:top w:val="none" w:sz="0" w:space="0" w:color="auto"/>
                    <w:left w:val="none" w:sz="0" w:space="0" w:color="auto"/>
                    <w:bottom w:val="none" w:sz="0" w:space="0" w:color="auto"/>
                    <w:right w:val="none" w:sz="0" w:space="0" w:color="auto"/>
                  </w:divBdr>
                  <w:divsChild>
                    <w:div w:id="272592424">
                      <w:marLeft w:val="0"/>
                      <w:marRight w:val="0"/>
                      <w:marTop w:val="0"/>
                      <w:marBottom w:val="0"/>
                      <w:divBdr>
                        <w:top w:val="none" w:sz="0" w:space="0" w:color="auto"/>
                        <w:left w:val="none" w:sz="0" w:space="0" w:color="auto"/>
                        <w:bottom w:val="none" w:sz="0" w:space="0" w:color="auto"/>
                        <w:right w:val="none" w:sz="0" w:space="0" w:color="auto"/>
                      </w:divBdr>
                    </w:div>
                  </w:divsChild>
                </w:div>
                <w:div w:id="706102740">
                  <w:marLeft w:val="0"/>
                  <w:marRight w:val="0"/>
                  <w:marTop w:val="0"/>
                  <w:marBottom w:val="0"/>
                  <w:divBdr>
                    <w:top w:val="none" w:sz="0" w:space="0" w:color="auto"/>
                    <w:left w:val="none" w:sz="0" w:space="0" w:color="auto"/>
                    <w:bottom w:val="none" w:sz="0" w:space="0" w:color="auto"/>
                    <w:right w:val="none" w:sz="0" w:space="0" w:color="auto"/>
                  </w:divBdr>
                  <w:divsChild>
                    <w:div w:id="280191054">
                      <w:marLeft w:val="0"/>
                      <w:marRight w:val="0"/>
                      <w:marTop w:val="0"/>
                      <w:marBottom w:val="0"/>
                      <w:divBdr>
                        <w:top w:val="none" w:sz="0" w:space="0" w:color="auto"/>
                        <w:left w:val="none" w:sz="0" w:space="0" w:color="auto"/>
                        <w:bottom w:val="none" w:sz="0" w:space="0" w:color="auto"/>
                        <w:right w:val="none" w:sz="0" w:space="0" w:color="auto"/>
                      </w:divBdr>
                    </w:div>
                  </w:divsChild>
                </w:div>
                <w:div w:id="1843662723">
                  <w:marLeft w:val="0"/>
                  <w:marRight w:val="0"/>
                  <w:marTop w:val="0"/>
                  <w:marBottom w:val="0"/>
                  <w:divBdr>
                    <w:top w:val="none" w:sz="0" w:space="0" w:color="auto"/>
                    <w:left w:val="none" w:sz="0" w:space="0" w:color="auto"/>
                    <w:bottom w:val="none" w:sz="0" w:space="0" w:color="auto"/>
                    <w:right w:val="none" w:sz="0" w:space="0" w:color="auto"/>
                  </w:divBdr>
                  <w:divsChild>
                    <w:div w:id="1864174902">
                      <w:marLeft w:val="0"/>
                      <w:marRight w:val="0"/>
                      <w:marTop w:val="0"/>
                      <w:marBottom w:val="0"/>
                      <w:divBdr>
                        <w:top w:val="none" w:sz="0" w:space="0" w:color="auto"/>
                        <w:left w:val="none" w:sz="0" w:space="0" w:color="auto"/>
                        <w:bottom w:val="none" w:sz="0" w:space="0" w:color="auto"/>
                        <w:right w:val="none" w:sz="0" w:space="0" w:color="auto"/>
                      </w:divBdr>
                    </w:div>
                  </w:divsChild>
                </w:div>
                <w:div w:id="556162187">
                  <w:marLeft w:val="0"/>
                  <w:marRight w:val="0"/>
                  <w:marTop w:val="0"/>
                  <w:marBottom w:val="0"/>
                  <w:divBdr>
                    <w:top w:val="none" w:sz="0" w:space="0" w:color="auto"/>
                    <w:left w:val="none" w:sz="0" w:space="0" w:color="auto"/>
                    <w:bottom w:val="none" w:sz="0" w:space="0" w:color="auto"/>
                    <w:right w:val="none" w:sz="0" w:space="0" w:color="auto"/>
                  </w:divBdr>
                  <w:divsChild>
                    <w:div w:id="531262843">
                      <w:marLeft w:val="0"/>
                      <w:marRight w:val="0"/>
                      <w:marTop w:val="0"/>
                      <w:marBottom w:val="0"/>
                      <w:divBdr>
                        <w:top w:val="none" w:sz="0" w:space="0" w:color="auto"/>
                        <w:left w:val="none" w:sz="0" w:space="0" w:color="auto"/>
                        <w:bottom w:val="none" w:sz="0" w:space="0" w:color="auto"/>
                        <w:right w:val="none" w:sz="0" w:space="0" w:color="auto"/>
                      </w:divBdr>
                    </w:div>
                  </w:divsChild>
                </w:div>
                <w:div w:id="853762736">
                  <w:marLeft w:val="0"/>
                  <w:marRight w:val="0"/>
                  <w:marTop w:val="0"/>
                  <w:marBottom w:val="0"/>
                  <w:divBdr>
                    <w:top w:val="none" w:sz="0" w:space="0" w:color="auto"/>
                    <w:left w:val="none" w:sz="0" w:space="0" w:color="auto"/>
                    <w:bottom w:val="none" w:sz="0" w:space="0" w:color="auto"/>
                    <w:right w:val="none" w:sz="0" w:space="0" w:color="auto"/>
                  </w:divBdr>
                  <w:divsChild>
                    <w:div w:id="1713768913">
                      <w:marLeft w:val="0"/>
                      <w:marRight w:val="0"/>
                      <w:marTop w:val="0"/>
                      <w:marBottom w:val="0"/>
                      <w:divBdr>
                        <w:top w:val="none" w:sz="0" w:space="0" w:color="auto"/>
                        <w:left w:val="none" w:sz="0" w:space="0" w:color="auto"/>
                        <w:bottom w:val="none" w:sz="0" w:space="0" w:color="auto"/>
                        <w:right w:val="none" w:sz="0" w:space="0" w:color="auto"/>
                      </w:divBdr>
                    </w:div>
                  </w:divsChild>
                </w:div>
                <w:div w:id="324473791">
                  <w:marLeft w:val="0"/>
                  <w:marRight w:val="0"/>
                  <w:marTop w:val="0"/>
                  <w:marBottom w:val="0"/>
                  <w:divBdr>
                    <w:top w:val="none" w:sz="0" w:space="0" w:color="auto"/>
                    <w:left w:val="none" w:sz="0" w:space="0" w:color="auto"/>
                    <w:bottom w:val="none" w:sz="0" w:space="0" w:color="auto"/>
                    <w:right w:val="none" w:sz="0" w:space="0" w:color="auto"/>
                  </w:divBdr>
                  <w:divsChild>
                    <w:div w:id="318929519">
                      <w:marLeft w:val="0"/>
                      <w:marRight w:val="0"/>
                      <w:marTop w:val="0"/>
                      <w:marBottom w:val="0"/>
                      <w:divBdr>
                        <w:top w:val="none" w:sz="0" w:space="0" w:color="auto"/>
                        <w:left w:val="none" w:sz="0" w:space="0" w:color="auto"/>
                        <w:bottom w:val="none" w:sz="0" w:space="0" w:color="auto"/>
                        <w:right w:val="none" w:sz="0" w:space="0" w:color="auto"/>
                      </w:divBdr>
                    </w:div>
                  </w:divsChild>
                </w:div>
                <w:div w:id="333922879">
                  <w:marLeft w:val="0"/>
                  <w:marRight w:val="0"/>
                  <w:marTop w:val="0"/>
                  <w:marBottom w:val="0"/>
                  <w:divBdr>
                    <w:top w:val="none" w:sz="0" w:space="0" w:color="auto"/>
                    <w:left w:val="none" w:sz="0" w:space="0" w:color="auto"/>
                    <w:bottom w:val="none" w:sz="0" w:space="0" w:color="auto"/>
                    <w:right w:val="none" w:sz="0" w:space="0" w:color="auto"/>
                  </w:divBdr>
                  <w:divsChild>
                    <w:div w:id="232281925">
                      <w:marLeft w:val="0"/>
                      <w:marRight w:val="0"/>
                      <w:marTop w:val="0"/>
                      <w:marBottom w:val="0"/>
                      <w:divBdr>
                        <w:top w:val="none" w:sz="0" w:space="0" w:color="auto"/>
                        <w:left w:val="none" w:sz="0" w:space="0" w:color="auto"/>
                        <w:bottom w:val="none" w:sz="0" w:space="0" w:color="auto"/>
                        <w:right w:val="none" w:sz="0" w:space="0" w:color="auto"/>
                      </w:divBdr>
                    </w:div>
                  </w:divsChild>
                </w:div>
                <w:div w:id="1817992152">
                  <w:marLeft w:val="0"/>
                  <w:marRight w:val="0"/>
                  <w:marTop w:val="0"/>
                  <w:marBottom w:val="0"/>
                  <w:divBdr>
                    <w:top w:val="none" w:sz="0" w:space="0" w:color="auto"/>
                    <w:left w:val="none" w:sz="0" w:space="0" w:color="auto"/>
                    <w:bottom w:val="none" w:sz="0" w:space="0" w:color="auto"/>
                    <w:right w:val="none" w:sz="0" w:space="0" w:color="auto"/>
                  </w:divBdr>
                  <w:divsChild>
                    <w:div w:id="351732362">
                      <w:marLeft w:val="0"/>
                      <w:marRight w:val="0"/>
                      <w:marTop w:val="0"/>
                      <w:marBottom w:val="0"/>
                      <w:divBdr>
                        <w:top w:val="none" w:sz="0" w:space="0" w:color="auto"/>
                        <w:left w:val="none" w:sz="0" w:space="0" w:color="auto"/>
                        <w:bottom w:val="none" w:sz="0" w:space="0" w:color="auto"/>
                        <w:right w:val="none" w:sz="0" w:space="0" w:color="auto"/>
                      </w:divBdr>
                    </w:div>
                  </w:divsChild>
                </w:div>
                <w:div w:id="1178739830">
                  <w:marLeft w:val="0"/>
                  <w:marRight w:val="0"/>
                  <w:marTop w:val="0"/>
                  <w:marBottom w:val="0"/>
                  <w:divBdr>
                    <w:top w:val="none" w:sz="0" w:space="0" w:color="auto"/>
                    <w:left w:val="none" w:sz="0" w:space="0" w:color="auto"/>
                    <w:bottom w:val="none" w:sz="0" w:space="0" w:color="auto"/>
                    <w:right w:val="none" w:sz="0" w:space="0" w:color="auto"/>
                  </w:divBdr>
                  <w:divsChild>
                    <w:div w:id="18940493">
                      <w:marLeft w:val="0"/>
                      <w:marRight w:val="0"/>
                      <w:marTop w:val="0"/>
                      <w:marBottom w:val="0"/>
                      <w:divBdr>
                        <w:top w:val="none" w:sz="0" w:space="0" w:color="auto"/>
                        <w:left w:val="none" w:sz="0" w:space="0" w:color="auto"/>
                        <w:bottom w:val="none" w:sz="0" w:space="0" w:color="auto"/>
                        <w:right w:val="none" w:sz="0" w:space="0" w:color="auto"/>
                      </w:divBdr>
                    </w:div>
                  </w:divsChild>
                </w:div>
                <w:div w:id="642084863">
                  <w:marLeft w:val="0"/>
                  <w:marRight w:val="0"/>
                  <w:marTop w:val="0"/>
                  <w:marBottom w:val="0"/>
                  <w:divBdr>
                    <w:top w:val="none" w:sz="0" w:space="0" w:color="auto"/>
                    <w:left w:val="none" w:sz="0" w:space="0" w:color="auto"/>
                    <w:bottom w:val="none" w:sz="0" w:space="0" w:color="auto"/>
                    <w:right w:val="none" w:sz="0" w:space="0" w:color="auto"/>
                  </w:divBdr>
                  <w:divsChild>
                    <w:div w:id="1558972297">
                      <w:marLeft w:val="0"/>
                      <w:marRight w:val="0"/>
                      <w:marTop w:val="0"/>
                      <w:marBottom w:val="0"/>
                      <w:divBdr>
                        <w:top w:val="none" w:sz="0" w:space="0" w:color="auto"/>
                        <w:left w:val="none" w:sz="0" w:space="0" w:color="auto"/>
                        <w:bottom w:val="none" w:sz="0" w:space="0" w:color="auto"/>
                        <w:right w:val="none" w:sz="0" w:space="0" w:color="auto"/>
                      </w:divBdr>
                    </w:div>
                  </w:divsChild>
                </w:div>
                <w:div w:id="1392969861">
                  <w:marLeft w:val="0"/>
                  <w:marRight w:val="0"/>
                  <w:marTop w:val="0"/>
                  <w:marBottom w:val="0"/>
                  <w:divBdr>
                    <w:top w:val="none" w:sz="0" w:space="0" w:color="auto"/>
                    <w:left w:val="none" w:sz="0" w:space="0" w:color="auto"/>
                    <w:bottom w:val="none" w:sz="0" w:space="0" w:color="auto"/>
                    <w:right w:val="none" w:sz="0" w:space="0" w:color="auto"/>
                  </w:divBdr>
                  <w:divsChild>
                    <w:div w:id="733049135">
                      <w:marLeft w:val="0"/>
                      <w:marRight w:val="0"/>
                      <w:marTop w:val="0"/>
                      <w:marBottom w:val="0"/>
                      <w:divBdr>
                        <w:top w:val="none" w:sz="0" w:space="0" w:color="auto"/>
                        <w:left w:val="none" w:sz="0" w:space="0" w:color="auto"/>
                        <w:bottom w:val="none" w:sz="0" w:space="0" w:color="auto"/>
                        <w:right w:val="none" w:sz="0" w:space="0" w:color="auto"/>
                      </w:divBdr>
                    </w:div>
                  </w:divsChild>
                </w:div>
                <w:div w:id="1232697392">
                  <w:marLeft w:val="0"/>
                  <w:marRight w:val="0"/>
                  <w:marTop w:val="0"/>
                  <w:marBottom w:val="0"/>
                  <w:divBdr>
                    <w:top w:val="none" w:sz="0" w:space="0" w:color="auto"/>
                    <w:left w:val="none" w:sz="0" w:space="0" w:color="auto"/>
                    <w:bottom w:val="none" w:sz="0" w:space="0" w:color="auto"/>
                    <w:right w:val="none" w:sz="0" w:space="0" w:color="auto"/>
                  </w:divBdr>
                  <w:divsChild>
                    <w:div w:id="1534226915">
                      <w:marLeft w:val="0"/>
                      <w:marRight w:val="0"/>
                      <w:marTop w:val="0"/>
                      <w:marBottom w:val="0"/>
                      <w:divBdr>
                        <w:top w:val="none" w:sz="0" w:space="0" w:color="auto"/>
                        <w:left w:val="none" w:sz="0" w:space="0" w:color="auto"/>
                        <w:bottom w:val="none" w:sz="0" w:space="0" w:color="auto"/>
                        <w:right w:val="none" w:sz="0" w:space="0" w:color="auto"/>
                      </w:divBdr>
                    </w:div>
                  </w:divsChild>
                </w:div>
                <w:div w:id="1365330035">
                  <w:marLeft w:val="0"/>
                  <w:marRight w:val="0"/>
                  <w:marTop w:val="0"/>
                  <w:marBottom w:val="0"/>
                  <w:divBdr>
                    <w:top w:val="none" w:sz="0" w:space="0" w:color="auto"/>
                    <w:left w:val="none" w:sz="0" w:space="0" w:color="auto"/>
                    <w:bottom w:val="none" w:sz="0" w:space="0" w:color="auto"/>
                    <w:right w:val="none" w:sz="0" w:space="0" w:color="auto"/>
                  </w:divBdr>
                  <w:divsChild>
                    <w:div w:id="1844783526">
                      <w:marLeft w:val="0"/>
                      <w:marRight w:val="0"/>
                      <w:marTop w:val="0"/>
                      <w:marBottom w:val="0"/>
                      <w:divBdr>
                        <w:top w:val="none" w:sz="0" w:space="0" w:color="auto"/>
                        <w:left w:val="none" w:sz="0" w:space="0" w:color="auto"/>
                        <w:bottom w:val="none" w:sz="0" w:space="0" w:color="auto"/>
                        <w:right w:val="none" w:sz="0" w:space="0" w:color="auto"/>
                      </w:divBdr>
                    </w:div>
                  </w:divsChild>
                </w:div>
                <w:div w:id="950864498">
                  <w:marLeft w:val="0"/>
                  <w:marRight w:val="0"/>
                  <w:marTop w:val="0"/>
                  <w:marBottom w:val="0"/>
                  <w:divBdr>
                    <w:top w:val="none" w:sz="0" w:space="0" w:color="auto"/>
                    <w:left w:val="none" w:sz="0" w:space="0" w:color="auto"/>
                    <w:bottom w:val="none" w:sz="0" w:space="0" w:color="auto"/>
                    <w:right w:val="none" w:sz="0" w:space="0" w:color="auto"/>
                  </w:divBdr>
                  <w:divsChild>
                    <w:div w:id="1868594473">
                      <w:marLeft w:val="0"/>
                      <w:marRight w:val="0"/>
                      <w:marTop w:val="0"/>
                      <w:marBottom w:val="0"/>
                      <w:divBdr>
                        <w:top w:val="none" w:sz="0" w:space="0" w:color="auto"/>
                        <w:left w:val="none" w:sz="0" w:space="0" w:color="auto"/>
                        <w:bottom w:val="none" w:sz="0" w:space="0" w:color="auto"/>
                        <w:right w:val="none" w:sz="0" w:space="0" w:color="auto"/>
                      </w:divBdr>
                    </w:div>
                  </w:divsChild>
                </w:div>
                <w:div w:id="1700473943">
                  <w:marLeft w:val="0"/>
                  <w:marRight w:val="0"/>
                  <w:marTop w:val="0"/>
                  <w:marBottom w:val="0"/>
                  <w:divBdr>
                    <w:top w:val="none" w:sz="0" w:space="0" w:color="auto"/>
                    <w:left w:val="none" w:sz="0" w:space="0" w:color="auto"/>
                    <w:bottom w:val="none" w:sz="0" w:space="0" w:color="auto"/>
                    <w:right w:val="none" w:sz="0" w:space="0" w:color="auto"/>
                  </w:divBdr>
                  <w:divsChild>
                    <w:div w:id="1136291280">
                      <w:marLeft w:val="0"/>
                      <w:marRight w:val="0"/>
                      <w:marTop w:val="0"/>
                      <w:marBottom w:val="0"/>
                      <w:divBdr>
                        <w:top w:val="none" w:sz="0" w:space="0" w:color="auto"/>
                        <w:left w:val="none" w:sz="0" w:space="0" w:color="auto"/>
                        <w:bottom w:val="none" w:sz="0" w:space="0" w:color="auto"/>
                        <w:right w:val="none" w:sz="0" w:space="0" w:color="auto"/>
                      </w:divBdr>
                    </w:div>
                  </w:divsChild>
                </w:div>
                <w:div w:id="1008144224">
                  <w:marLeft w:val="0"/>
                  <w:marRight w:val="0"/>
                  <w:marTop w:val="0"/>
                  <w:marBottom w:val="0"/>
                  <w:divBdr>
                    <w:top w:val="none" w:sz="0" w:space="0" w:color="auto"/>
                    <w:left w:val="none" w:sz="0" w:space="0" w:color="auto"/>
                    <w:bottom w:val="none" w:sz="0" w:space="0" w:color="auto"/>
                    <w:right w:val="none" w:sz="0" w:space="0" w:color="auto"/>
                  </w:divBdr>
                  <w:divsChild>
                    <w:div w:id="560679729">
                      <w:marLeft w:val="0"/>
                      <w:marRight w:val="0"/>
                      <w:marTop w:val="0"/>
                      <w:marBottom w:val="0"/>
                      <w:divBdr>
                        <w:top w:val="none" w:sz="0" w:space="0" w:color="auto"/>
                        <w:left w:val="none" w:sz="0" w:space="0" w:color="auto"/>
                        <w:bottom w:val="none" w:sz="0" w:space="0" w:color="auto"/>
                        <w:right w:val="none" w:sz="0" w:space="0" w:color="auto"/>
                      </w:divBdr>
                    </w:div>
                  </w:divsChild>
                </w:div>
                <w:div w:id="546067557">
                  <w:marLeft w:val="0"/>
                  <w:marRight w:val="0"/>
                  <w:marTop w:val="0"/>
                  <w:marBottom w:val="0"/>
                  <w:divBdr>
                    <w:top w:val="none" w:sz="0" w:space="0" w:color="auto"/>
                    <w:left w:val="none" w:sz="0" w:space="0" w:color="auto"/>
                    <w:bottom w:val="none" w:sz="0" w:space="0" w:color="auto"/>
                    <w:right w:val="none" w:sz="0" w:space="0" w:color="auto"/>
                  </w:divBdr>
                  <w:divsChild>
                    <w:div w:id="1396473118">
                      <w:marLeft w:val="0"/>
                      <w:marRight w:val="0"/>
                      <w:marTop w:val="0"/>
                      <w:marBottom w:val="0"/>
                      <w:divBdr>
                        <w:top w:val="none" w:sz="0" w:space="0" w:color="auto"/>
                        <w:left w:val="none" w:sz="0" w:space="0" w:color="auto"/>
                        <w:bottom w:val="none" w:sz="0" w:space="0" w:color="auto"/>
                        <w:right w:val="none" w:sz="0" w:space="0" w:color="auto"/>
                      </w:divBdr>
                    </w:div>
                  </w:divsChild>
                </w:div>
                <w:div w:id="535436065">
                  <w:marLeft w:val="0"/>
                  <w:marRight w:val="0"/>
                  <w:marTop w:val="0"/>
                  <w:marBottom w:val="0"/>
                  <w:divBdr>
                    <w:top w:val="none" w:sz="0" w:space="0" w:color="auto"/>
                    <w:left w:val="none" w:sz="0" w:space="0" w:color="auto"/>
                    <w:bottom w:val="none" w:sz="0" w:space="0" w:color="auto"/>
                    <w:right w:val="none" w:sz="0" w:space="0" w:color="auto"/>
                  </w:divBdr>
                  <w:divsChild>
                    <w:div w:id="941957156">
                      <w:marLeft w:val="0"/>
                      <w:marRight w:val="0"/>
                      <w:marTop w:val="0"/>
                      <w:marBottom w:val="0"/>
                      <w:divBdr>
                        <w:top w:val="none" w:sz="0" w:space="0" w:color="auto"/>
                        <w:left w:val="none" w:sz="0" w:space="0" w:color="auto"/>
                        <w:bottom w:val="none" w:sz="0" w:space="0" w:color="auto"/>
                        <w:right w:val="none" w:sz="0" w:space="0" w:color="auto"/>
                      </w:divBdr>
                    </w:div>
                  </w:divsChild>
                </w:div>
                <w:div w:id="1238638247">
                  <w:marLeft w:val="0"/>
                  <w:marRight w:val="0"/>
                  <w:marTop w:val="0"/>
                  <w:marBottom w:val="0"/>
                  <w:divBdr>
                    <w:top w:val="none" w:sz="0" w:space="0" w:color="auto"/>
                    <w:left w:val="none" w:sz="0" w:space="0" w:color="auto"/>
                    <w:bottom w:val="none" w:sz="0" w:space="0" w:color="auto"/>
                    <w:right w:val="none" w:sz="0" w:space="0" w:color="auto"/>
                  </w:divBdr>
                  <w:divsChild>
                    <w:div w:id="1180464472">
                      <w:marLeft w:val="0"/>
                      <w:marRight w:val="0"/>
                      <w:marTop w:val="0"/>
                      <w:marBottom w:val="0"/>
                      <w:divBdr>
                        <w:top w:val="none" w:sz="0" w:space="0" w:color="auto"/>
                        <w:left w:val="none" w:sz="0" w:space="0" w:color="auto"/>
                        <w:bottom w:val="none" w:sz="0" w:space="0" w:color="auto"/>
                        <w:right w:val="none" w:sz="0" w:space="0" w:color="auto"/>
                      </w:divBdr>
                    </w:div>
                  </w:divsChild>
                </w:div>
                <w:div w:id="1646205437">
                  <w:marLeft w:val="0"/>
                  <w:marRight w:val="0"/>
                  <w:marTop w:val="0"/>
                  <w:marBottom w:val="0"/>
                  <w:divBdr>
                    <w:top w:val="none" w:sz="0" w:space="0" w:color="auto"/>
                    <w:left w:val="none" w:sz="0" w:space="0" w:color="auto"/>
                    <w:bottom w:val="none" w:sz="0" w:space="0" w:color="auto"/>
                    <w:right w:val="none" w:sz="0" w:space="0" w:color="auto"/>
                  </w:divBdr>
                  <w:divsChild>
                    <w:div w:id="2071296641">
                      <w:marLeft w:val="0"/>
                      <w:marRight w:val="0"/>
                      <w:marTop w:val="0"/>
                      <w:marBottom w:val="0"/>
                      <w:divBdr>
                        <w:top w:val="none" w:sz="0" w:space="0" w:color="auto"/>
                        <w:left w:val="none" w:sz="0" w:space="0" w:color="auto"/>
                        <w:bottom w:val="none" w:sz="0" w:space="0" w:color="auto"/>
                        <w:right w:val="none" w:sz="0" w:space="0" w:color="auto"/>
                      </w:divBdr>
                    </w:div>
                  </w:divsChild>
                </w:div>
                <w:div w:id="1709987010">
                  <w:marLeft w:val="0"/>
                  <w:marRight w:val="0"/>
                  <w:marTop w:val="0"/>
                  <w:marBottom w:val="0"/>
                  <w:divBdr>
                    <w:top w:val="none" w:sz="0" w:space="0" w:color="auto"/>
                    <w:left w:val="none" w:sz="0" w:space="0" w:color="auto"/>
                    <w:bottom w:val="none" w:sz="0" w:space="0" w:color="auto"/>
                    <w:right w:val="none" w:sz="0" w:space="0" w:color="auto"/>
                  </w:divBdr>
                  <w:divsChild>
                    <w:div w:id="221185287">
                      <w:marLeft w:val="0"/>
                      <w:marRight w:val="0"/>
                      <w:marTop w:val="0"/>
                      <w:marBottom w:val="0"/>
                      <w:divBdr>
                        <w:top w:val="none" w:sz="0" w:space="0" w:color="auto"/>
                        <w:left w:val="none" w:sz="0" w:space="0" w:color="auto"/>
                        <w:bottom w:val="none" w:sz="0" w:space="0" w:color="auto"/>
                        <w:right w:val="none" w:sz="0" w:space="0" w:color="auto"/>
                      </w:divBdr>
                    </w:div>
                  </w:divsChild>
                </w:div>
                <w:div w:id="658004576">
                  <w:marLeft w:val="0"/>
                  <w:marRight w:val="0"/>
                  <w:marTop w:val="0"/>
                  <w:marBottom w:val="0"/>
                  <w:divBdr>
                    <w:top w:val="none" w:sz="0" w:space="0" w:color="auto"/>
                    <w:left w:val="none" w:sz="0" w:space="0" w:color="auto"/>
                    <w:bottom w:val="none" w:sz="0" w:space="0" w:color="auto"/>
                    <w:right w:val="none" w:sz="0" w:space="0" w:color="auto"/>
                  </w:divBdr>
                  <w:divsChild>
                    <w:div w:id="1192643994">
                      <w:marLeft w:val="0"/>
                      <w:marRight w:val="0"/>
                      <w:marTop w:val="0"/>
                      <w:marBottom w:val="0"/>
                      <w:divBdr>
                        <w:top w:val="none" w:sz="0" w:space="0" w:color="auto"/>
                        <w:left w:val="none" w:sz="0" w:space="0" w:color="auto"/>
                        <w:bottom w:val="none" w:sz="0" w:space="0" w:color="auto"/>
                        <w:right w:val="none" w:sz="0" w:space="0" w:color="auto"/>
                      </w:divBdr>
                    </w:div>
                  </w:divsChild>
                </w:div>
                <w:div w:id="271087780">
                  <w:marLeft w:val="0"/>
                  <w:marRight w:val="0"/>
                  <w:marTop w:val="0"/>
                  <w:marBottom w:val="0"/>
                  <w:divBdr>
                    <w:top w:val="none" w:sz="0" w:space="0" w:color="auto"/>
                    <w:left w:val="none" w:sz="0" w:space="0" w:color="auto"/>
                    <w:bottom w:val="none" w:sz="0" w:space="0" w:color="auto"/>
                    <w:right w:val="none" w:sz="0" w:space="0" w:color="auto"/>
                  </w:divBdr>
                  <w:divsChild>
                    <w:div w:id="837624011">
                      <w:marLeft w:val="0"/>
                      <w:marRight w:val="0"/>
                      <w:marTop w:val="0"/>
                      <w:marBottom w:val="0"/>
                      <w:divBdr>
                        <w:top w:val="none" w:sz="0" w:space="0" w:color="auto"/>
                        <w:left w:val="none" w:sz="0" w:space="0" w:color="auto"/>
                        <w:bottom w:val="none" w:sz="0" w:space="0" w:color="auto"/>
                        <w:right w:val="none" w:sz="0" w:space="0" w:color="auto"/>
                      </w:divBdr>
                    </w:div>
                  </w:divsChild>
                </w:div>
                <w:div w:id="1291595024">
                  <w:marLeft w:val="0"/>
                  <w:marRight w:val="0"/>
                  <w:marTop w:val="0"/>
                  <w:marBottom w:val="0"/>
                  <w:divBdr>
                    <w:top w:val="none" w:sz="0" w:space="0" w:color="auto"/>
                    <w:left w:val="none" w:sz="0" w:space="0" w:color="auto"/>
                    <w:bottom w:val="none" w:sz="0" w:space="0" w:color="auto"/>
                    <w:right w:val="none" w:sz="0" w:space="0" w:color="auto"/>
                  </w:divBdr>
                  <w:divsChild>
                    <w:div w:id="1461144403">
                      <w:marLeft w:val="0"/>
                      <w:marRight w:val="0"/>
                      <w:marTop w:val="0"/>
                      <w:marBottom w:val="0"/>
                      <w:divBdr>
                        <w:top w:val="none" w:sz="0" w:space="0" w:color="auto"/>
                        <w:left w:val="none" w:sz="0" w:space="0" w:color="auto"/>
                        <w:bottom w:val="none" w:sz="0" w:space="0" w:color="auto"/>
                        <w:right w:val="none" w:sz="0" w:space="0" w:color="auto"/>
                      </w:divBdr>
                    </w:div>
                  </w:divsChild>
                </w:div>
                <w:div w:id="784229243">
                  <w:marLeft w:val="0"/>
                  <w:marRight w:val="0"/>
                  <w:marTop w:val="0"/>
                  <w:marBottom w:val="0"/>
                  <w:divBdr>
                    <w:top w:val="none" w:sz="0" w:space="0" w:color="auto"/>
                    <w:left w:val="none" w:sz="0" w:space="0" w:color="auto"/>
                    <w:bottom w:val="none" w:sz="0" w:space="0" w:color="auto"/>
                    <w:right w:val="none" w:sz="0" w:space="0" w:color="auto"/>
                  </w:divBdr>
                  <w:divsChild>
                    <w:div w:id="1223642385">
                      <w:marLeft w:val="0"/>
                      <w:marRight w:val="0"/>
                      <w:marTop w:val="0"/>
                      <w:marBottom w:val="0"/>
                      <w:divBdr>
                        <w:top w:val="none" w:sz="0" w:space="0" w:color="auto"/>
                        <w:left w:val="none" w:sz="0" w:space="0" w:color="auto"/>
                        <w:bottom w:val="none" w:sz="0" w:space="0" w:color="auto"/>
                        <w:right w:val="none" w:sz="0" w:space="0" w:color="auto"/>
                      </w:divBdr>
                    </w:div>
                  </w:divsChild>
                </w:div>
                <w:div w:id="492111889">
                  <w:marLeft w:val="0"/>
                  <w:marRight w:val="0"/>
                  <w:marTop w:val="0"/>
                  <w:marBottom w:val="0"/>
                  <w:divBdr>
                    <w:top w:val="none" w:sz="0" w:space="0" w:color="auto"/>
                    <w:left w:val="none" w:sz="0" w:space="0" w:color="auto"/>
                    <w:bottom w:val="none" w:sz="0" w:space="0" w:color="auto"/>
                    <w:right w:val="none" w:sz="0" w:space="0" w:color="auto"/>
                  </w:divBdr>
                  <w:divsChild>
                    <w:div w:id="202913099">
                      <w:marLeft w:val="0"/>
                      <w:marRight w:val="0"/>
                      <w:marTop w:val="0"/>
                      <w:marBottom w:val="0"/>
                      <w:divBdr>
                        <w:top w:val="none" w:sz="0" w:space="0" w:color="auto"/>
                        <w:left w:val="none" w:sz="0" w:space="0" w:color="auto"/>
                        <w:bottom w:val="none" w:sz="0" w:space="0" w:color="auto"/>
                        <w:right w:val="none" w:sz="0" w:space="0" w:color="auto"/>
                      </w:divBdr>
                    </w:div>
                  </w:divsChild>
                </w:div>
                <w:div w:id="53164869">
                  <w:marLeft w:val="0"/>
                  <w:marRight w:val="0"/>
                  <w:marTop w:val="0"/>
                  <w:marBottom w:val="0"/>
                  <w:divBdr>
                    <w:top w:val="none" w:sz="0" w:space="0" w:color="auto"/>
                    <w:left w:val="none" w:sz="0" w:space="0" w:color="auto"/>
                    <w:bottom w:val="none" w:sz="0" w:space="0" w:color="auto"/>
                    <w:right w:val="none" w:sz="0" w:space="0" w:color="auto"/>
                  </w:divBdr>
                  <w:divsChild>
                    <w:div w:id="270825817">
                      <w:marLeft w:val="0"/>
                      <w:marRight w:val="0"/>
                      <w:marTop w:val="0"/>
                      <w:marBottom w:val="0"/>
                      <w:divBdr>
                        <w:top w:val="none" w:sz="0" w:space="0" w:color="auto"/>
                        <w:left w:val="none" w:sz="0" w:space="0" w:color="auto"/>
                        <w:bottom w:val="none" w:sz="0" w:space="0" w:color="auto"/>
                        <w:right w:val="none" w:sz="0" w:space="0" w:color="auto"/>
                      </w:divBdr>
                    </w:div>
                  </w:divsChild>
                </w:div>
                <w:div w:id="367726439">
                  <w:marLeft w:val="0"/>
                  <w:marRight w:val="0"/>
                  <w:marTop w:val="0"/>
                  <w:marBottom w:val="0"/>
                  <w:divBdr>
                    <w:top w:val="none" w:sz="0" w:space="0" w:color="auto"/>
                    <w:left w:val="none" w:sz="0" w:space="0" w:color="auto"/>
                    <w:bottom w:val="none" w:sz="0" w:space="0" w:color="auto"/>
                    <w:right w:val="none" w:sz="0" w:space="0" w:color="auto"/>
                  </w:divBdr>
                  <w:divsChild>
                    <w:div w:id="1833452626">
                      <w:marLeft w:val="0"/>
                      <w:marRight w:val="0"/>
                      <w:marTop w:val="0"/>
                      <w:marBottom w:val="0"/>
                      <w:divBdr>
                        <w:top w:val="none" w:sz="0" w:space="0" w:color="auto"/>
                        <w:left w:val="none" w:sz="0" w:space="0" w:color="auto"/>
                        <w:bottom w:val="none" w:sz="0" w:space="0" w:color="auto"/>
                        <w:right w:val="none" w:sz="0" w:space="0" w:color="auto"/>
                      </w:divBdr>
                    </w:div>
                  </w:divsChild>
                </w:div>
                <w:div w:id="2049604464">
                  <w:marLeft w:val="0"/>
                  <w:marRight w:val="0"/>
                  <w:marTop w:val="0"/>
                  <w:marBottom w:val="0"/>
                  <w:divBdr>
                    <w:top w:val="none" w:sz="0" w:space="0" w:color="auto"/>
                    <w:left w:val="none" w:sz="0" w:space="0" w:color="auto"/>
                    <w:bottom w:val="none" w:sz="0" w:space="0" w:color="auto"/>
                    <w:right w:val="none" w:sz="0" w:space="0" w:color="auto"/>
                  </w:divBdr>
                  <w:divsChild>
                    <w:div w:id="1717924098">
                      <w:marLeft w:val="0"/>
                      <w:marRight w:val="0"/>
                      <w:marTop w:val="0"/>
                      <w:marBottom w:val="0"/>
                      <w:divBdr>
                        <w:top w:val="none" w:sz="0" w:space="0" w:color="auto"/>
                        <w:left w:val="none" w:sz="0" w:space="0" w:color="auto"/>
                        <w:bottom w:val="none" w:sz="0" w:space="0" w:color="auto"/>
                        <w:right w:val="none" w:sz="0" w:space="0" w:color="auto"/>
                      </w:divBdr>
                    </w:div>
                  </w:divsChild>
                </w:div>
                <w:div w:id="1918131598">
                  <w:marLeft w:val="0"/>
                  <w:marRight w:val="0"/>
                  <w:marTop w:val="0"/>
                  <w:marBottom w:val="0"/>
                  <w:divBdr>
                    <w:top w:val="none" w:sz="0" w:space="0" w:color="auto"/>
                    <w:left w:val="none" w:sz="0" w:space="0" w:color="auto"/>
                    <w:bottom w:val="none" w:sz="0" w:space="0" w:color="auto"/>
                    <w:right w:val="none" w:sz="0" w:space="0" w:color="auto"/>
                  </w:divBdr>
                  <w:divsChild>
                    <w:div w:id="922759912">
                      <w:marLeft w:val="0"/>
                      <w:marRight w:val="0"/>
                      <w:marTop w:val="0"/>
                      <w:marBottom w:val="0"/>
                      <w:divBdr>
                        <w:top w:val="none" w:sz="0" w:space="0" w:color="auto"/>
                        <w:left w:val="none" w:sz="0" w:space="0" w:color="auto"/>
                        <w:bottom w:val="none" w:sz="0" w:space="0" w:color="auto"/>
                        <w:right w:val="none" w:sz="0" w:space="0" w:color="auto"/>
                      </w:divBdr>
                    </w:div>
                  </w:divsChild>
                </w:div>
                <w:div w:id="1272056735">
                  <w:marLeft w:val="0"/>
                  <w:marRight w:val="0"/>
                  <w:marTop w:val="0"/>
                  <w:marBottom w:val="0"/>
                  <w:divBdr>
                    <w:top w:val="none" w:sz="0" w:space="0" w:color="auto"/>
                    <w:left w:val="none" w:sz="0" w:space="0" w:color="auto"/>
                    <w:bottom w:val="none" w:sz="0" w:space="0" w:color="auto"/>
                    <w:right w:val="none" w:sz="0" w:space="0" w:color="auto"/>
                  </w:divBdr>
                  <w:divsChild>
                    <w:div w:id="1153835286">
                      <w:marLeft w:val="0"/>
                      <w:marRight w:val="0"/>
                      <w:marTop w:val="0"/>
                      <w:marBottom w:val="0"/>
                      <w:divBdr>
                        <w:top w:val="none" w:sz="0" w:space="0" w:color="auto"/>
                        <w:left w:val="none" w:sz="0" w:space="0" w:color="auto"/>
                        <w:bottom w:val="none" w:sz="0" w:space="0" w:color="auto"/>
                        <w:right w:val="none" w:sz="0" w:space="0" w:color="auto"/>
                      </w:divBdr>
                    </w:div>
                  </w:divsChild>
                </w:div>
                <w:div w:id="10307215">
                  <w:marLeft w:val="0"/>
                  <w:marRight w:val="0"/>
                  <w:marTop w:val="0"/>
                  <w:marBottom w:val="0"/>
                  <w:divBdr>
                    <w:top w:val="none" w:sz="0" w:space="0" w:color="auto"/>
                    <w:left w:val="none" w:sz="0" w:space="0" w:color="auto"/>
                    <w:bottom w:val="none" w:sz="0" w:space="0" w:color="auto"/>
                    <w:right w:val="none" w:sz="0" w:space="0" w:color="auto"/>
                  </w:divBdr>
                  <w:divsChild>
                    <w:div w:id="1798987582">
                      <w:marLeft w:val="0"/>
                      <w:marRight w:val="0"/>
                      <w:marTop w:val="0"/>
                      <w:marBottom w:val="0"/>
                      <w:divBdr>
                        <w:top w:val="none" w:sz="0" w:space="0" w:color="auto"/>
                        <w:left w:val="none" w:sz="0" w:space="0" w:color="auto"/>
                        <w:bottom w:val="none" w:sz="0" w:space="0" w:color="auto"/>
                        <w:right w:val="none" w:sz="0" w:space="0" w:color="auto"/>
                      </w:divBdr>
                    </w:div>
                  </w:divsChild>
                </w:div>
                <w:div w:id="975181201">
                  <w:marLeft w:val="0"/>
                  <w:marRight w:val="0"/>
                  <w:marTop w:val="0"/>
                  <w:marBottom w:val="0"/>
                  <w:divBdr>
                    <w:top w:val="none" w:sz="0" w:space="0" w:color="auto"/>
                    <w:left w:val="none" w:sz="0" w:space="0" w:color="auto"/>
                    <w:bottom w:val="none" w:sz="0" w:space="0" w:color="auto"/>
                    <w:right w:val="none" w:sz="0" w:space="0" w:color="auto"/>
                  </w:divBdr>
                  <w:divsChild>
                    <w:div w:id="1801267421">
                      <w:marLeft w:val="0"/>
                      <w:marRight w:val="0"/>
                      <w:marTop w:val="0"/>
                      <w:marBottom w:val="0"/>
                      <w:divBdr>
                        <w:top w:val="none" w:sz="0" w:space="0" w:color="auto"/>
                        <w:left w:val="none" w:sz="0" w:space="0" w:color="auto"/>
                        <w:bottom w:val="none" w:sz="0" w:space="0" w:color="auto"/>
                        <w:right w:val="none" w:sz="0" w:space="0" w:color="auto"/>
                      </w:divBdr>
                    </w:div>
                  </w:divsChild>
                </w:div>
                <w:div w:id="1068114515">
                  <w:marLeft w:val="0"/>
                  <w:marRight w:val="0"/>
                  <w:marTop w:val="0"/>
                  <w:marBottom w:val="0"/>
                  <w:divBdr>
                    <w:top w:val="none" w:sz="0" w:space="0" w:color="auto"/>
                    <w:left w:val="none" w:sz="0" w:space="0" w:color="auto"/>
                    <w:bottom w:val="none" w:sz="0" w:space="0" w:color="auto"/>
                    <w:right w:val="none" w:sz="0" w:space="0" w:color="auto"/>
                  </w:divBdr>
                  <w:divsChild>
                    <w:div w:id="1831214531">
                      <w:marLeft w:val="0"/>
                      <w:marRight w:val="0"/>
                      <w:marTop w:val="0"/>
                      <w:marBottom w:val="0"/>
                      <w:divBdr>
                        <w:top w:val="none" w:sz="0" w:space="0" w:color="auto"/>
                        <w:left w:val="none" w:sz="0" w:space="0" w:color="auto"/>
                        <w:bottom w:val="none" w:sz="0" w:space="0" w:color="auto"/>
                        <w:right w:val="none" w:sz="0" w:space="0" w:color="auto"/>
                      </w:divBdr>
                    </w:div>
                  </w:divsChild>
                </w:div>
                <w:div w:id="1879854724">
                  <w:marLeft w:val="0"/>
                  <w:marRight w:val="0"/>
                  <w:marTop w:val="0"/>
                  <w:marBottom w:val="0"/>
                  <w:divBdr>
                    <w:top w:val="none" w:sz="0" w:space="0" w:color="auto"/>
                    <w:left w:val="none" w:sz="0" w:space="0" w:color="auto"/>
                    <w:bottom w:val="none" w:sz="0" w:space="0" w:color="auto"/>
                    <w:right w:val="none" w:sz="0" w:space="0" w:color="auto"/>
                  </w:divBdr>
                  <w:divsChild>
                    <w:div w:id="1760321769">
                      <w:marLeft w:val="0"/>
                      <w:marRight w:val="0"/>
                      <w:marTop w:val="0"/>
                      <w:marBottom w:val="0"/>
                      <w:divBdr>
                        <w:top w:val="none" w:sz="0" w:space="0" w:color="auto"/>
                        <w:left w:val="none" w:sz="0" w:space="0" w:color="auto"/>
                        <w:bottom w:val="none" w:sz="0" w:space="0" w:color="auto"/>
                        <w:right w:val="none" w:sz="0" w:space="0" w:color="auto"/>
                      </w:divBdr>
                    </w:div>
                  </w:divsChild>
                </w:div>
                <w:div w:id="1036154225">
                  <w:marLeft w:val="0"/>
                  <w:marRight w:val="0"/>
                  <w:marTop w:val="0"/>
                  <w:marBottom w:val="0"/>
                  <w:divBdr>
                    <w:top w:val="none" w:sz="0" w:space="0" w:color="auto"/>
                    <w:left w:val="none" w:sz="0" w:space="0" w:color="auto"/>
                    <w:bottom w:val="none" w:sz="0" w:space="0" w:color="auto"/>
                    <w:right w:val="none" w:sz="0" w:space="0" w:color="auto"/>
                  </w:divBdr>
                  <w:divsChild>
                    <w:div w:id="1114639282">
                      <w:marLeft w:val="0"/>
                      <w:marRight w:val="0"/>
                      <w:marTop w:val="0"/>
                      <w:marBottom w:val="0"/>
                      <w:divBdr>
                        <w:top w:val="none" w:sz="0" w:space="0" w:color="auto"/>
                        <w:left w:val="none" w:sz="0" w:space="0" w:color="auto"/>
                        <w:bottom w:val="none" w:sz="0" w:space="0" w:color="auto"/>
                        <w:right w:val="none" w:sz="0" w:space="0" w:color="auto"/>
                      </w:divBdr>
                    </w:div>
                  </w:divsChild>
                </w:div>
                <w:div w:id="1889141352">
                  <w:marLeft w:val="0"/>
                  <w:marRight w:val="0"/>
                  <w:marTop w:val="0"/>
                  <w:marBottom w:val="0"/>
                  <w:divBdr>
                    <w:top w:val="none" w:sz="0" w:space="0" w:color="auto"/>
                    <w:left w:val="none" w:sz="0" w:space="0" w:color="auto"/>
                    <w:bottom w:val="none" w:sz="0" w:space="0" w:color="auto"/>
                    <w:right w:val="none" w:sz="0" w:space="0" w:color="auto"/>
                  </w:divBdr>
                  <w:divsChild>
                    <w:div w:id="301619166">
                      <w:marLeft w:val="0"/>
                      <w:marRight w:val="0"/>
                      <w:marTop w:val="0"/>
                      <w:marBottom w:val="0"/>
                      <w:divBdr>
                        <w:top w:val="none" w:sz="0" w:space="0" w:color="auto"/>
                        <w:left w:val="none" w:sz="0" w:space="0" w:color="auto"/>
                        <w:bottom w:val="none" w:sz="0" w:space="0" w:color="auto"/>
                        <w:right w:val="none" w:sz="0" w:space="0" w:color="auto"/>
                      </w:divBdr>
                    </w:div>
                  </w:divsChild>
                </w:div>
                <w:div w:id="1023442040">
                  <w:marLeft w:val="0"/>
                  <w:marRight w:val="0"/>
                  <w:marTop w:val="0"/>
                  <w:marBottom w:val="0"/>
                  <w:divBdr>
                    <w:top w:val="none" w:sz="0" w:space="0" w:color="auto"/>
                    <w:left w:val="none" w:sz="0" w:space="0" w:color="auto"/>
                    <w:bottom w:val="none" w:sz="0" w:space="0" w:color="auto"/>
                    <w:right w:val="none" w:sz="0" w:space="0" w:color="auto"/>
                  </w:divBdr>
                  <w:divsChild>
                    <w:div w:id="1691025580">
                      <w:marLeft w:val="0"/>
                      <w:marRight w:val="0"/>
                      <w:marTop w:val="0"/>
                      <w:marBottom w:val="0"/>
                      <w:divBdr>
                        <w:top w:val="none" w:sz="0" w:space="0" w:color="auto"/>
                        <w:left w:val="none" w:sz="0" w:space="0" w:color="auto"/>
                        <w:bottom w:val="none" w:sz="0" w:space="0" w:color="auto"/>
                        <w:right w:val="none" w:sz="0" w:space="0" w:color="auto"/>
                      </w:divBdr>
                    </w:div>
                  </w:divsChild>
                </w:div>
                <w:div w:id="728957739">
                  <w:marLeft w:val="0"/>
                  <w:marRight w:val="0"/>
                  <w:marTop w:val="0"/>
                  <w:marBottom w:val="0"/>
                  <w:divBdr>
                    <w:top w:val="none" w:sz="0" w:space="0" w:color="auto"/>
                    <w:left w:val="none" w:sz="0" w:space="0" w:color="auto"/>
                    <w:bottom w:val="none" w:sz="0" w:space="0" w:color="auto"/>
                    <w:right w:val="none" w:sz="0" w:space="0" w:color="auto"/>
                  </w:divBdr>
                  <w:divsChild>
                    <w:div w:id="860357520">
                      <w:marLeft w:val="0"/>
                      <w:marRight w:val="0"/>
                      <w:marTop w:val="0"/>
                      <w:marBottom w:val="0"/>
                      <w:divBdr>
                        <w:top w:val="none" w:sz="0" w:space="0" w:color="auto"/>
                        <w:left w:val="none" w:sz="0" w:space="0" w:color="auto"/>
                        <w:bottom w:val="none" w:sz="0" w:space="0" w:color="auto"/>
                        <w:right w:val="none" w:sz="0" w:space="0" w:color="auto"/>
                      </w:divBdr>
                    </w:div>
                  </w:divsChild>
                </w:div>
                <w:div w:id="1297219727">
                  <w:marLeft w:val="0"/>
                  <w:marRight w:val="0"/>
                  <w:marTop w:val="0"/>
                  <w:marBottom w:val="0"/>
                  <w:divBdr>
                    <w:top w:val="none" w:sz="0" w:space="0" w:color="auto"/>
                    <w:left w:val="none" w:sz="0" w:space="0" w:color="auto"/>
                    <w:bottom w:val="none" w:sz="0" w:space="0" w:color="auto"/>
                    <w:right w:val="none" w:sz="0" w:space="0" w:color="auto"/>
                  </w:divBdr>
                  <w:divsChild>
                    <w:div w:id="595552125">
                      <w:marLeft w:val="0"/>
                      <w:marRight w:val="0"/>
                      <w:marTop w:val="0"/>
                      <w:marBottom w:val="0"/>
                      <w:divBdr>
                        <w:top w:val="none" w:sz="0" w:space="0" w:color="auto"/>
                        <w:left w:val="none" w:sz="0" w:space="0" w:color="auto"/>
                        <w:bottom w:val="none" w:sz="0" w:space="0" w:color="auto"/>
                        <w:right w:val="none" w:sz="0" w:space="0" w:color="auto"/>
                      </w:divBdr>
                    </w:div>
                  </w:divsChild>
                </w:div>
                <w:div w:id="1614239886">
                  <w:marLeft w:val="0"/>
                  <w:marRight w:val="0"/>
                  <w:marTop w:val="0"/>
                  <w:marBottom w:val="0"/>
                  <w:divBdr>
                    <w:top w:val="none" w:sz="0" w:space="0" w:color="auto"/>
                    <w:left w:val="none" w:sz="0" w:space="0" w:color="auto"/>
                    <w:bottom w:val="none" w:sz="0" w:space="0" w:color="auto"/>
                    <w:right w:val="none" w:sz="0" w:space="0" w:color="auto"/>
                  </w:divBdr>
                  <w:divsChild>
                    <w:div w:id="105318460">
                      <w:marLeft w:val="0"/>
                      <w:marRight w:val="0"/>
                      <w:marTop w:val="0"/>
                      <w:marBottom w:val="0"/>
                      <w:divBdr>
                        <w:top w:val="none" w:sz="0" w:space="0" w:color="auto"/>
                        <w:left w:val="none" w:sz="0" w:space="0" w:color="auto"/>
                        <w:bottom w:val="none" w:sz="0" w:space="0" w:color="auto"/>
                        <w:right w:val="none" w:sz="0" w:space="0" w:color="auto"/>
                      </w:divBdr>
                    </w:div>
                  </w:divsChild>
                </w:div>
                <w:div w:id="896669010">
                  <w:marLeft w:val="0"/>
                  <w:marRight w:val="0"/>
                  <w:marTop w:val="0"/>
                  <w:marBottom w:val="0"/>
                  <w:divBdr>
                    <w:top w:val="none" w:sz="0" w:space="0" w:color="auto"/>
                    <w:left w:val="none" w:sz="0" w:space="0" w:color="auto"/>
                    <w:bottom w:val="none" w:sz="0" w:space="0" w:color="auto"/>
                    <w:right w:val="none" w:sz="0" w:space="0" w:color="auto"/>
                  </w:divBdr>
                  <w:divsChild>
                    <w:div w:id="1386947995">
                      <w:marLeft w:val="0"/>
                      <w:marRight w:val="0"/>
                      <w:marTop w:val="0"/>
                      <w:marBottom w:val="0"/>
                      <w:divBdr>
                        <w:top w:val="none" w:sz="0" w:space="0" w:color="auto"/>
                        <w:left w:val="none" w:sz="0" w:space="0" w:color="auto"/>
                        <w:bottom w:val="none" w:sz="0" w:space="0" w:color="auto"/>
                        <w:right w:val="none" w:sz="0" w:space="0" w:color="auto"/>
                      </w:divBdr>
                    </w:div>
                  </w:divsChild>
                </w:div>
                <w:div w:id="1563522792">
                  <w:marLeft w:val="0"/>
                  <w:marRight w:val="0"/>
                  <w:marTop w:val="0"/>
                  <w:marBottom w:val="0"/>
                  <w:divBdr>
                    <w:top w:val="none" w:sz="0" w:space="0" w:color="auto"/>
                    <w:left w:val="none" w:sz="0" w:space="0" w:color="auto"/>
                    <w:bottom w:val="none" w:sz="0" w:space="0" w:color="auto"/>
                    <w:right w:val="none" w:sz="0" w:space="0" w:color="auto"/>
                  </w:divBdr>
                  <w:divsChild>
                    <w:div w:id="2042318692">
                      <w:marLeft w:val="0"/>
                      <w:marRight w:val="0"/>
                      <w:marTop w:val="0"/>
                      <w:marBottom w:val="0"/>
                      <w:divBdr>
                        <w:top w:val="none" w:sz="0" w:space="0" w:color="auto"/>
                        <w:left w:val="none" w:sz="0" w:space="0" w:color="auto"/>
                        <w:bottom w:val="none" w:sz="0" w:space="0" w:color="auto"/>
                        <w:right w:val="none" w:sz="0" w:space="0" w:color="auto"/>
                      </w:divBdr>
                    </w:div>
                  </w:divsChild>
                </w:div>
                <w:div w:id="944843313">
                  <w:marLeft w:val="0"/>
                  <w:marRight w:val="0"/>
                  <w:marTop w:val="0"/>
                  <w:marBottom w:val="0"/>
                  <w:divBdr>
                    <w:top w:val="none" w:sz="0" w:space="0" w:color="auto"/>
                    <w:left w:val="none" w:sz="0" w:space="0" w:color="auto"/>
                    <w:bottom w:val="none" w:sz="0" w:space="0" w:color="auto"/>
                    <w:right w:val="none" w:sz="0" w:space="0" w:color="auto"/>
                  </w:divBdr>
                  <w:divsChild>
                    <w:div w:id="1069155647">
                      <w:marLeft w:val="0"/>
                      <w:marRight w:val="0"/>
                      <w:marTop w:val="0"/>
                      <w:marBottom w:val="0"/>
                      <w:divBdr>
                        <w:top w:val="none" w:sz="0" w:space="0" w:color="auto"/>
                        <w:left w:val="none" w:sz="0" w:space="0" w:color="auto"/>
                        <w:bottom w:val="none" w:sz="0" w:space="0" w:color="auto"/>
                        <w:right w:val="none" w:sz="0" w:space="0" w:color="auto"/>
                      </w:divBdr>
                    </w:div>
                  </w:divsChild>
                </w:div>
                <w:div w:id="678431621">
                  <w:marLeft w:val="0"/>
                  <w:marRight w:val="0"/>
                  <w:marTop w:val="0"/>
                  <w:marBottom w:val="0"/>
                  <w:divBdr>
                    <w:top w:val="none" w:sz="0" w:space="0" w:color="auto"/>
                    <w:left w:val="none" w:sz="0" w:space="0" w:color="auto"/>
                    <w:bottom w:val="none" w:sz="0" w:space="0" w:color="auto"/>
                    <w:right w:val="none" w:sz="0" w:space="0" w:color="auto"/>
                  </w:divBdr>
                  <w:divsChild>
                    <w:div w:id="1084188613">
                      <w:marLeft w:val="0"/>
                      <w:marRight w:val="0"/>
                      <w:marTop w:val="0"/>
                      <w:marBottom w:val="0"/>
                      <w:divBdr>
                        <w:top w:val="none" w:sz="0" w:space="0" w:color="auto"/>
                        <w:left w:val="none" w:sz="0" w:space="0" w:color="auto"/>
                        <w:bottom w:val="none" w:sz="0" w:space="0" w:color="auto"/>
                        <w:right w:val="none" w:sz="0" w:space="0" w:color="auto"/>
                      </w:divBdr>
                    </w:div>
                  </w:divsChild>
                </w:div>
                <w:div w:id="453909098">
                  <w:marLeft w:val="0"/>
                  <w:marRight w:val="0"/>
                  <w:marTop w:val="0"/>
                  <w:marBottom w:val="0"/>
                  <w:divBdr>
                    <w:top w:val="none" w:sz="0" w:space="0" w:color="auto"/>
                    <w:left w:val="none" w:sz="0" w:space="0" w:color="auto"/>
                    <w:bottom w:val="none" w:sz="0" w:space="0" w:color="auto"/>
                    <w:right w:val="none" w:sz="0" w:space="0" w:color="auto"/>
                  </w:divBdr>
                  <w:divsChild>
                    <w:div w:id="2071923583">
                      <w:marLeft w:val="0"/>
                      <w:marRight w:val="0"/>
                      <w:marTop w:val="0"/>
                      <w:marBottom w:val="0"/>
                      <w:divBdr>
                        <w:top w:val="none" w:sz="0" w:space="0" w:color="auto"/>
                        <w:left w:val="none" w:sz="0" w:space="0" w:color="auto"/>
                        <w:bottom w:val="none" w:sz="0" w:space="0" w:color="auto"/>
                        <w:right w:val="none" w:sz="0" w:space="0" w:color="auto"/>
                      </w:divBdr>
                    </w:div>
                  </w:divsChild>
                </w:div>
                <w:div w:id="1368292399">
                  <w:marLeft w:val="0"/>
                  <w:marRight w:val="0"/>
                  <w:marTop w:val="0"/>
                  <w:marBottom w:val="0"/>
                  <w:divBdr>
                    <w:top w:val="none" w:sz="0" w:space="0" w:color="auto"/>
                    <w:left w:val="none" w:sz="0" w:space="0" w:color="auto"/>
                    <w:bottom w:val="none" w:sz="0" w:space="0" w:color="auto"/>
                    <w:right w:val="none" w:sz="0" w:space="0" w:color="auto"/>
                  </w:divBdr>
                  <w:divsChild>
                    <w:div w:id="1538930344">
                      <w:marLeft w:val="0"/>
                      <w:marRight w:val="0"/>
                      <w:marTop w:val="0"/>
                      <w:marBottom w:val="0"/>
                      <w:divBdr>
                        <w:top w:val="none" w:sz="0" w:space="0" w:color="auto"/>
                        <w:left w:val="none" w:sz="0" w:space="0" w:color="auto"/>
                        <w:bottom w:val="none" w:sz="0" w:space="0" w:color="auto"/>
                        <w:right w:val="none" w:sz="0" w:space="0" w:color="auto"/>
                      </w:divBdr>
                    </w:div>
                  </w:divsChild>
                </w:div>
                <w:div w:id="585190972">
                  <w:marLeft w:val="0"/>
                  <w:marRight w:val="0"/>
                  <w:marTop w:val="0"/>
                  <w:marBottom w:val="0"/>
                  <w:divBdr>
                    <w:top w:val="none" w:sz="0" w:space="0" w:color="auto"/>
                    <w:left w:val="none" w:sz="0" w:space="0" w:color="auto"/>
                    <w:bottom w:val="none" w:sz="0" w:space="0" w:color="auto"/>
                    <w:right w:val="none" w:sz="0" w:space="0" w:color="auto"/>
                  </w:divBdr>
                  <w:divsChild>
                    <w:div w:id="1139569589">
                      <w:marLeft w:val="0"/>
                      <w:marRight w:val="0"/>
                      <w:marTop w:val="0"/>
                      <w:marBottom w:val="0"/>
                      <w:divBdr>
                        <w:top w:val="none" w:sz="0" w:space="0" w:color="auto"/>
                        <w:left w:val="none" w:sz="0" w:space="0" w:color="auto"/>
                        <w:bottom w:val="none" w:sz="0" w:space="0" w:color="auto"/>
                        <w:right w:val="none" w:sz="0" w:space="0" w:color="auto"/>
                      </w:divBdr>
                    </w:div>
                  </w:divsChild>
                </w:div>
                <w:div w:id="448400727">
                  <w:marLeft w:val="0"/>
                  <w:marRight w:val="0"/>
                  <w:marTop w:val="0"/>
                  <w:marBottom w:val="0"/>
                  <w:divBdr>
                    <w:top w:val="none" w:sz="0" w:space="0" w:color="auto"/>
                    <w:left w:val="none" w:sz="0" w:space="0" w:color="auto"/>
                    <w:bottom w:val="none" w:sz="0" w:space="0" w:color="auto"/>
                    <w:right w:val="none" w:sz="0" w:space="0" w:color="auto"/>
                  </w:divBdr>
                  <w:divsChild>
                    <w:div w:id="1686788797">
                      <w:marLeft w:val="0"/>
                      <w:marRight w:val="0"/>
                      <w:marTop w:val="0"/>
                      <w:marBottom w:val="0"/>
                      <w:divBdr>
                        <w:top w:val="none" w:sz="0" w:space="0" w:color="auto"/>
                        <w:left w:val="none" w:sz="0" w:space="0" w:color="auto"/>
                        <w:bottom w:val="none" w:sz="0" w:space="0" w:color="auto"/>
                        <w:right w:val="none" w:sz="0" w:space="0" w:color="auto"/>
                      </w:divBdr>
                    </w:div>
                  </w:divsChild>
                </w:div>
                <w:div w:id="1877699448">
                  <w:marLeft w:val="0"/>
                  <w:marRight w:val="0"/>
                  <w:marTop w:val="0"/>
                  <w:marBottom w:val="0"/>
                  <w:divBdr>
                    <w:top w:val="none" w:sz="0" w:space="0" w:color="auto"/>
                    <w:left w:val="none" w:sz="0" w:space="0" w:color="auto"/>
                    <w:bottom w:val="none" w:sz="0" w:space="0" w:color="auto"/>
                    <w:right w:val="none" w:sz="0" w:space="0" w:color="auto"/>
                  </w:divBdr>
                  <w:divsChild>
                    <w:div w:id="1176069213">
                      <w:marLeft w:val="0"/>
                      <w:marRight w:val="0"/>
                      <w:marTop w:val="0"/>
                      <w:marBottom w:val="0"/>
                      <w:divBdr>
                        <w:top w:val="none" w:sz="0" w:space="0" w:color="auto"/>
                        <w:left w:val="none" w:sz="0" w:space="0" w:color="auto"/>
                        <w:bottom w:val="none" w:sz="0" w:space="0" w:color="auto"/>
                        <w:right w:val="none" w:sz="0" w:space="0" w:color="auto"/>
                      </w:divBdr>
                    </w:div>
                  </w:divsChild>
                </w:div>
                <w:div w:id="956374787">
                  <w:marLeft w:val="0"/>
                  <w:marRight w:val="0"/>
                  <w:marTop w:val="0"/>
                  <w:marBottom w:val="0"/>
                  <w:divBdr>
                    <w:top w:val="none" w:sz="0" w:space="0" w:color="auto"/>
                    <w:left w:val="none" w:sz="0" w:space="0" w:color="auto"/>
                    <w:bottom w:val="none" w:sz="0" w:space="0" w:color="auto"/>
                    <w:right w:val="none" w:sz="0" w:space="0" w:color="auto"/>
                  </w:divBdr>
                  <w:divsChild>
                    <w:div w:id="2011563457">
                      <w:marLeft w:val="0"/>
                      <w:marRight w:val="0"/>
                      <w:marTop w:val="0"/>
                      <w:marBottom w:val="0"/>
                      <w:divBdr>
                        <w:top w:val="none" w:sz="0" w:space="0" w:color="auto"/>
                        <w:left w:val="none" w:sz="0" w:space="0" w:color="auto"/>
                        <w:bottom w:val="none" w:sz="0" w:space="0" w:color="auto"/>
                        <w:right w:val="none" w:sz="0" w:space="0" w:color="auto"/>
                      </w:divBdr>
                    </w:div>
                  </w:divsChild>
                </w:div>
                <w:div w:id="1113014056">
                  <w:marLeft w:val="0"/>
                  <w:marRight w:val="0"/>
                  <w:marTop w:val="0"/>
                  <w:marBottom w:val="0"/>
                  <w:divBdr>
                    <w:top w:val="none" w:sz="0" w:space="0" w:color="auto"/>
                    <w:left w:val="none" w:sz="0" w:space="0" w:color="auto"/>
                    <w:bottom w:val="none" w:sz="0" w:space="0" w:color="auto"/>
                    <w:right w:val="none" w:sz="0" w:space="0" w:color="auto"/>
                  </w:divBdr>
                  <w:divsChild>
                    <w:div w:id="1394113676">
                      <w:marLeft w:val="0"/>
                      <w:marRight w:val="0"/>
                      <w:marTop w:val="0"/>
                      <w:marBottom w:val="0"/>
                      <w:divBdr>
                        <w:top w:val="none" w:sz="0" w:space="0" w:color="auto"/>
                        <w:left w:val="none" w:sz="0" w:space="0" w:color="auto"/>
                        <w:bottom w:val="none" w:sz="0" w:space="0" w:color="auto"/>
                        <w:right w:val="none" w:sz="0" w:space="0" w:color="auto"/>
                      </w:divBdr>
                    </w:div>
                  </w:divsChild>
                </w:div>
                <w:div w:id="1312363486">
                  <w:marLeft w:val="0"/>
                  <w:marRight w:val="0"/>
                  <w:marTop w:val="0"/>
                  <w:marBottom w:val="0"/>
                  <w:divBdr>
                    <w:top w:val="none" w:sz="0" w:space="0" w:color="auto"/>
                    <w:left w:val="none" w:sz="0" w:space="0" w:color="auto"/>
                    <w:bottom w:val="none" w:sz="0" w:space="0" w:color="auto"/>
                    <w:right w:val="none" w:sz="0" w:space="0" w:color="auto"/>
                  </w:divBdr>
                  <w:divsChild>
                    <w:div w:id="224414984">
                      <w:marLeft w:val="0"/>
                      <w:marRight w:val="0"/>
                      <w:marTop w:val="0"/>
                      <w:marBottom w:val="0"/>
                      <w:divBdr>
                        <w:top w:val="none" w:sz="0" w:space="0" w:color="auto"/>
                        <w:left w:val="none" w:sz="0" w:space="0" w:color="auto"/>
                        <w:bottom w:val="none" w:sz="0" w:space="0" w:color="auto"/>
                        <w:right w:val="none" w:sz="0" w:space="0" w:color="auto"/>
                      </w:divBdr>
                    </w:div>
                  </w:divsChild>
                </w:div>
                <w:div w:id="2096127789">
                  <w:marLeft w:val="0"/>
                  <w:marRight w:val="0"/>
                  <w:marTop w:val="0"/>
                  <w:marBottom w:val="0"/>
                  <w:divBdr>
                    <w:top w:val="none" w:sz="0" w:space="0" w:color="auto"/>
                    <w:left w:val="none" w:sz="0" w:space="0" w:color="auto"/>
                    <w:bottom w:val="none" w:sz="0" w:space="0" w:color="auto"/>
                    <w:right w:val="none" w:sz="0" w:space="0" w:color="auto"/>
                  </w:divBdr>
                  <w:divsChild>
                    <w:div w:id="897744715">
                      <w:marLeft w:val="0"/>
                      <w:marRight w:val="0"/>
                      <w:marTop w:val="0"/>
                      <w:marBottom w:val="0"/>
                      <w:divBdr>
                        <w:top w:val="none" w:sz="0" w:space="0" w:color="auto"/>
                        <w:left w:val="none" w:sz="0" w:space="0" w:color="auto"/>
                        <w:bottom w:val="none" w:sz="0" w:space="0" w:color="auto"/>
                        <w:right w:val="none" w:sz="0" w:space="0" w:color="auto"/>
                      </w:divBdr>
                    </w:div>
                  </w:divsChild>
                </w:div>
                <w:div w:id="1737430640">
                  <w:marLeft w:val="0"/>
                  <w:marRight w:val="0"/>
                  <w:marTop w:val="0"/>
                  <w:marBottom w:val="0"/>
                  <w:divBdr>
                    <w:top w:val="none" w:sz="0" w:space="0" w:color="auto"/>
                    <w:left w:val="none" w:sz="0" w:space="0" w:color="auto"/>
                    <w:bottom w:val="none" w:sz="0" w:space="0" w:color="auto"/>
                    <w:right w:val="none" w:sz="0" w:space="0" w:color="auto"/>
                  </w:divBdr>
                  <w:divsChild>
                    <w:div w:id="1967274861">
                      <w:marLeft w:val="0"/>
                      <w:marRight w:val="0"/>
                      <w:marTop w:val="0"/>
                      <w:marBottom w:val="0"/>
                      <w:divBdr>
                        <w:top w:val="none" w:sz="0" w:space="0" w:color="auto"/>
                        <w:left w:val="none" w:sz="0" w:space="0" w:color="auto"/>
                        <w:bottom w:val="none" w:sz="0" w:space="0" w:color="auto"/>
                        <w:right w:val="none" w:sz="0" w:space="0" w:color="auto"/>
                      </w:divBdr>
                    </w:div>
                  </w:divsChild>
                </w:div>
                <w:div w:id="1576084692">
                  <w:marLeft w:val="0"/>
                  <w:marRight w:val="0"/>
                  <w:marTop w:val="0"/>
                  <w:marBottom w:val="0"/>
                  <w:divBdr>
                    <w:top w:val="none" w:sz="0" w:space="0" w:color="auto"/>
                    <w:left w:val="none" w:sz="0" w:space="0" w:color="auto"/>
                    <w:bottom w:val="none" w:sz="0" w:space="0" w:color="auto"/>
                    <w:right w:val="none" w:sz="0" w:space="0" w:color="auto"/>
                  </w:divBdr>
                  <w:divsChild>
                    <w:div w:id="1590190059">
                      <w:marLeft w:val="0"/>
                      <w:marRight w:val="0"/>
                      <w:marTop w:val="0"/>
                      <w:marBottom w:val="0"/>
                      <w:divBdr>
                        <w:top w:val="none" w:sz="0" w:space="0" w:color="auto"/>
                        <w:left w:val="none" w:sz="0" w:space="0" w:color="auto"/>
                        <w:bottom w:val="none" w:sz="0" w:space="0" w:color="auto"/>
                        <w:right w:val="none" w:sz="0" w:space="0" w:color="auto"/>
                      </w:divBdr>
                    </w:div>
                  </w:divsChild>
                </w:div>
                <w:div w:id="148864111">
                  <w:marLeft w:val="0"/>
                  <w:marRight w:val="0"/>
                  <w:marTop w:val="0"/>
                  <w:marBottom w:val="0"/>
                  <w:divBdr>
                    <w:top w:val="none" w:sz="0" w:space="0" w:color="auto"/>
                    <w:left w:val="none" w:sz="0" w:space="0" w:color="auto"/>
                    <w:bottom w:val="none" w:sz="0" w:space="0" w:color="auto"/>
                    <w:right w:val="none" w:sz="0" w:space="0" w:color="auto"/>
                  </w:divBdr>
                  <w:divsChild>
                    <w:div w:id="2032296276">
                      <w:marLeft w:val="0"/>
                      <w:marRight w:val="0"/>
                      <w:marTop w:val="0"/>
                      <w:marBottom w:val="0"/>
                      <w:divBdr>
                        <w:top w:val="none" w:sz="0" w:space="0" w:color="auto"/>
                        <w:left w:val="none" w:sz="0" w:space="0" w:color="auto"/>
                        <w:bottom w:val="none" w:sz="0" w:space="0" w:color="auto"/>
                        <w:right w:val="none" w:sz="0" w:space="0" w:color="auto"/>
                      </w:divBdr>
                    </w:div>
                  </w:divsChild>
                </w:div>
                <w:div w:id="670832572">
                  <w:marLeft w:val="0"/>
                  <w:marRight w:val="0"/>
                  <w:marTop w:val="0"/>
                  <w:marBottom w:val="0"/>
                  <w:divBdr>
                    <w:top w:val="none" w:sz="0" w:space="0" w:color="auto"/>
                    <w:left w:val="none" w:sz="0" w:space="0" w:color="auto"/>
                    <w:bottom w:val="none" w:sz="0" w:space="0" w:color="auto"/>
                    <w:right w:val="none" w:sz="0" w:space="0" w:color="auto"/>
                  </w:divBdr>
                  <w:divsChild>
                    <w:div w:id="1304236311">
                      <w:marLeft w:val="0"/>
                      <w:marRight w:val="0"/>
                      <w:marTop w:val="0"/>
                      <w:marBottom w:val="0"/>
                      <w:divBdr>
                        <w:top w:val="none" w:sz="0" w:space="0" w:color="auto"/>
                        <w:left w:val="none" w:sz="0" w:space="0" w:color="auto"/>
                        <w:bottom w:val="none" w:sz="0" w:space="0" w:color="auto"/>
                        <w:right w:val="none" w:sz="0" w:space="0" w:color="auto"/>
                      </w:divBdr>
                    </w:div>
                  </w:divsChild>
                </w:div>
                <w:div w:id="518858881">
                  <w:marLeft w:val="0"/>
                  <w:marRight w:val="0"/>
                  <w:marTop w:val="0"/>
                  <w:marBottom w:val="0"/>
                  <w:divBdr>
                    <w:top w:val="none" w:sz="0" w:space="0" w:color="auto"/>
                    <w:left w:val="none" w:sz="0" w:space="0" w:color="auto"/>
                    <w:bottom w:val="none" w:sz="0" w:space="0" w:color="auto"/>
                    <w:right w:val="none" w:sz="0" w:space="0" w:color="auto"/>
                  </w:divBdr>
                  <w:divsChild>
                    <w:div w:id="348262919">
                      <w:marLeft w:val="0"/>
                      <w:marRight w:val="0"/>
                      <w:marTop w:val="0"/>
                      <w:marBottom w:val="0"/>
                      <w:divBdr>
                        <w:top w:val="none" w:sz="0" w:space="0" w:color="auto"/>
                        <w:left w:val="none" w:sz="0" w:space="0" w:color="auto"/>
                        <w:bottom w:val="none" w:sz="0" w:space="0" w:color="auto"/>
                        <w:right w:val="none" w:sz="0" w:space="0" w:color="auto"/>
                      </w:divBdr>
                    </w:div>
                  </w:divsChild>
                </w:div>
                <w:div w:id="343438618">
                  <w:marLeft w:val="0"/>
                  <w:marRight w:val="0"/>
                  <w:marTop w:val="0"/>
                  <w:marBottom w:val="0"/>
                  <w:divBdr>
                    <w:top w:val="none" w:sz="0" w:space="0" w:color="auto"/>
                    <w:left w:val="none" w:sz="0" w:space="0" w:color="auto"/>
                    <w:bottom w:val="none" w:sz="0" w:space="0" w:color="auto"/>
                    <w:right w:val="none" w:sz="0" w:space="0" w:color="auto"/>
                  </w:divBdr>
                  <w:divsChild>
                    <w:div w:id="1965961420">
                      <w:marLeft w:val="0"/>
                      <w:marRight w:val="0"/>
                      <w:marTop w:val="0"/>
                      <w:marBottom w:val="0"/>
                      <w:divBdr>
                        <w:top w:val="none" w:sz="0" w:space="0" w:color="auto"/>
                        <w:left w:val="none" w:sz="0" w:space="0" w:color="auto"/>
                        <w:bottom w:val="none" w:sz="0" w:space="0" w:color="auto"/>
                        <w:right w:val="none" w:sz="0" w:space="0" w:color="auto"/>
                      </w:divBdr>
                    </w:div>
                  </w:divsChild>
                </w:div>
                <w:div w:id="22874402">
                  <w:marLeft w:val="0"/>
                  <w:marRight w:val="0"/>
                  <w:marTop w:val="0"/>
                  <w:marBottom w:val="0"/>
                  <w:divBdr>
                    <w:top w:val="none" w:sz="0" w:space="0" w:color="auto"/>
                    <w:left w:val="none" w:sz="0" w:space="0" w:color="auto"/>
                    <w:bottom w:val="none" w:sz="0" w:space="0" w:color="auto"/>
                    <w:right w:val="none" w:sz="0" w:space="0" w:color="auto"/>
                  </w:divBdr>
                  <w:divsChild>
                    <w:div w:id="354623166">
                      <w:marLeft w:val="0"/>
                      <w:marRight w:val="0"/>
                      <w:marTop w:val="0"/>
                      <w:marBottom w:val="0"/>
                      <w:divBdr>
                        <w:top w:val="none" w:sz="0" w:space="0" w:color="auto"/>
                        <w:left w:val="none" w:sz="0" w:space="0" w:color="auto"/>
                        <w:bottom w:val="none" w:sz="0" w:space="0" w:color="auto"/>
                        <w:right w:val="none" w:sz="0" w:space="0" w:color="auto"/>
                      </w:divBdr>
                    </w:div>
                  </w:divsChild>
                </w:div>
                <w:div w:id="1106660568">
                  <w:marLeft w:val="0"/>
                  <w:marRight w:val="0"/>
                  <w:marTop w:val="0"/>
                  <w:marBottom w:val="0"/>
                  <w:divBdr>
                    <w:top w:val="none" w:sz="0" w:space="0" w:color="auto"/>
                    <w:left w:val="none" w:sz="0" w:space="0" w:color="auto"/>
                    <w:bottom w:val="none" w:sz="0" w:space="0" w:color="auto"/>
                    <w:right w:val="none" w:sz="0" w:space="0" w:color="auto"/>
                  </w:divBdr>
                  <w:divsChild>
                    <w:div w:id="2040861632">
                      <w:marLeft w:val="0"/>
                      <w:marRight w:val="0"/>
                      <w:marTop w:val="0"/>
                      <w:marBottom w:val="0"/>
                      <w:divBdr>
                        <w:top w:val="none" w:sz="0" w:space="0" w:color="auto"/>
                        <w:left w:val="none" w:sz="0" w:space="0" w:color="auto"/>
                        <w:bottom w:val="none" w:sz="0" w:space="0" w:color="auto"/>
                        <w:right w:val="none" w:sz="0" w:space="0" w:color="auto"/>
                      </w:divBdr>
                    </w:div>
                  </w:divsChild>
                </w:div>
                <w:div w:id="709960628">
                  <w:marLeft w:val="0"/>
                  <w:marRight w:val="0"/>
                  <w:marTop w:val="0"/>
                  <w:marBottom w:val="0"/>
                  <w:divBdr>
                    <w:top w:val="none" w:sz="0" w:space="0" w:color="auto"/>
                    <w:left w:val="none" w:sz="0" w:space="0" w:color="auto"/>
                    <w:bottom w:val="none" w:sz="0" w:space="0" w:color="auto"/>
                    <w:right w:val="none" w:sz="0" w:space="0" w:color="auto"/>
                  </w:divBdr>
                  <w:divsChild>
                    <w:div w:id="34957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521338">
          <w:marLeft w:val="0"/>
          <w:marRight w:val="0"/>
          <w:marTop w:val="0"/>
          <w:marBottom w:val="0"/>
          <w:divBdr>
            <w:top w:val="none" w:sz="0" w:space="0" w:color="auto"/>
            <w:left w:val="none" w:sz="0" w:space="0" w:color="auto"/>
            <w:bottom w:val="none" w:sz="0" w:space="0" w:color="auto"/>
            <w:right w:val="none" w:sz="0" w:space="0" w:color="auto"/>
          </w:divBdr>
        </w:div>
        <w:div w:id="1159810125">
          <w:marLeft w:val="0"/>
          <w:marRight w:val="0"/>
          <w:marTop w:val="0"/>
          <w:marBottom w:val="0"/>
          <w:divBdr>
            <w:top w:val="none" w:sz="0" w:space="0" w:color="auto"/>
            <w:left w:val="none" w:sz="0" w:space="0" w:color="auto"/>
            <w:bottom w:val="none" w:sz="0" w:space="0" w:color="auto"/>
            <w:right w:val="none" w:sz="0" w:space="0" w:color="auto"/>
          </w:divBdr>
        </w:div>
        <w:div w:id="835731972">
          <w:marLeft w:val="0"/>
          <w:marRight w:val="0"/>
          <w:marTop w:val="0"/>
          <w:marBottom w:val="0"/>
          <w:divBdr>
            <w:top w:val="none" w:sz="0" w:space="0" w:color="auto"/>
            <w:left w:val="none" w:sz="0" w:space="0" w:color="auto"/>
            <w:bottom w:val="none" w:sz="0" w:space="0" w:color="auto"/>
            <w:right w:val="none" w:sz="0" w:space="0" w:color="auto"/>
          </w:divBdr>
        </w:div>
        <w:div w:id="491219692">
          <w:marLeft w:val="0"/>
          <w:marRight w:val="0"/>
          <w:marTop w:val="0"/>
          <w:marBottom w:val="0"/>
          <w:divBdr>
            <w:top w:val="none" w:sz="0" w:space="0" w:color="auto"/>
            <w:left w:val="none" w:sz="0" w:space="0" w:color="auto"/>
            <w:bottom w:val="none" w:sz="0" w:space="0" w:color="auto"/>
            <w:right w:val="none" w:sz="0" w:space="0" w:color="auto"/>
          </w:divBdr>
        </w:div>
        <w:div w:id="185337293">
          <w:marLeft w:val="0"/>
          <w:marRight w:val="0"/>
          <w:marTop w:val="0"/>
          <w:marBottom w:val="0"/>
          <w:divBdr>
            <w:top w:val="none" w:sz="0" w:space="0" w:color="auto"/>
            <w:left w:val="none" w:sz="0" w:space="0" w:color="auto"/>
            <w:bottom w:val="none" w:sz="0" w:space="0" w:color="auto"/>
            <w:right w:val="none" w:sz="0" w:space="0" w:color="auto"/>
          </w:divBdr>
        </w:div>
        <w:div w:id="215316657">
          <w:marLeft w:val="0"/>
          <w:marRight w:val="0"/>
          <w:marTop w:val="0"/>
          <w:marBottom w:val="0"/>
          <w:divBdr>
            <w:top w:val="none" w:sz="0" w:space="0" w:color="auto"/>
            <w:left w:val="none" w:sz="0" w:space="0" w:color="auto"/>
            <w:bottom w:val="none" w:sz="0" w:space="0" w:color="auto"/>
            <w:right w:val="none" w:sz="0" w:space="0" w:color="auto"/>
          </w:divBdr>
        </w:div>
        <w:div w:id="1218204382">
          <w:marLeft w:val="0"/>
          <w:marRight w:val="0"/>
          <w:marTop w:val="0"/>
          <w:marBottom w:val="0"/>
          <w:divBdr>
            <w:top w:val="none" w:sz="0" w:space="0" w:color="auto"/>
            <w:left w:val="none" w:sz="0" w:space="0" w:color="auto"/>
            <w:bottom w:val="none" w:sz="0" w:space="0" w:color="auto"/>
            <w:right w:val="none" w:sz="0" w:space="0" w:color="auto"/>
          </w:divBdr>
        </w:div>
        <w:div w:id="1275092631">
          <w:marLeft w:val="0"/>
          <w:marRight w:val="0"/>
          <w:marTop w:val="0"/>
          <w:marBottom w:val="0"/>
          <w:divBdr>
            <w:top w:val="none" w:sz="0" w:space="0" w:color="auto"/>
            <w:left w:val="none" w:sz="0" w:space="0" w:color="auto"/>
            <w:bottom w:val="none" w:sz="0" w:space="0" w:color="auto"/>
            <w:right w:val="none" w:sz="0" w:space="0" w:color="auto"/>
          </w:divBdr>
          <w:divsChild>
            <w:div w:id="1467695411">
              <w:marLeft w:val="-75"/>
              <w:marRight w:val="0"/>
              <w:marTop w:val="30"/>
              <w:marBottom w:val="30"/>
              <w:divBdr>
                <w:top w:val="none" w:sz="0" w:space="0" w:color="auto"/>
                <w:left w:val="none" w:sz="0" w:space="0" w:color="auto"/>
                <w:bottom w:val="none" w:sz="0" w:space="0" w:color="auto"/>
                <w:right w:val="none" w:sz="0" w:space="0" w:color="auto"/>
              </w:divBdr>
              <w:divsChild>
                <w:div w:id="1532841489">
                  <w:marLeft w:val="0"/>
                  <w:marRight w:val="0"/>
                  <w:marTop w:val="0"/>
                  <w:marBottom w:val="0"/>
                  <w:divBdr>
                    <w:top w:val="none" w:sz="0" w:space="0" w:color="auto"/>
                    <w:left w:val="none" w:sz="0" w:space="0" w:color="auto"/>
                    <w:bottom w:val="none" w:sz="0" w:space="0" w:color="auto"/>
                    <w:right w:val="none" w:sz="0" w:space="0" w:color="auto"/>
                  </w:divBdr>
                  <w:divsChild>
                    <w:div w:id="782651920">
                      <w:marLeft w:val="0"/>
                      <w:marRight w:val="0"/>
                      <w:marTop w:val="0"/>
                      <w:marBottom w:val="0"/>
                      <w:divBdr>
                        <w:top w:val="none" w:sz="0" w:space="0" w:color="auto"/>
                        <w:left w:val="none" w:sz="0" w:space="0" w:color="auto"/>
                        <w:bottom w:val="none" w:sz="0" w:space="0" w:color="auto"/>
                        <w:right w:val="none" w:sz="0" w:space="0" w:color="auto"/>
                      </w:divBdr>
                    </w:div>
                  </w:divsChild>
                </w:div>
                <w:div w:id="1824809082">
                  <w:marLeft w:val="0"/>
                  <w:marRight w:val="0"/>
                  <w:marTop w:val="0"/>
                  <w:marBottom w:val="0"/>
                  <w:divBdr>
                    <w:top w:val="none" w:sz="0" w:space="0" w:color="auto"/>
                    <w:left w:val="none" w:sz="0" w:space="0" w:color="auto"/>
                    <w:bottom w:val="none" w:sz="0" w:space="0" w:color="auto"/>
                    <w:right w:val="none" w:sz="0" w:space="0" w:color="auto"/>
                  </w:divBdr>
                  <w:divsChild>
                    <w:div w:id="296954559">
                      <w:marLeft w:val="0"/>
                      <w:marRight w:val="0"/>
                      <w:marTop w:val="0"/>
                      <w:marBottom w:val="0"/>
                      <w:divBdr>
                        <w:top w:val="none" w:sz="0" w:space="0" w:color="auto"/>
                        <w:left w:val="none" w:sz="0" w:space="0" w:color="auto"/>
                        <w:bottom w:val="none" w:sz="0" w:space="0" w:color="auto"/>
                        <w:right w:val="none" w:sz="0" w:space="0" w:color="auto"/>
                      </w:divBdr>
                    </w:div>
                  </w:divsChild>
                </w:div>
                <w:div w:id="31465569">
                  <w:marLeft w:val="0"/>
                  <w:marRight w:val="0"/>
                  <w:marTop w:val="0"/>
                  <w:marBottom w:val="0"/>
                  <w:divBdr>
                    <w:top w:val="none" w:sz="0" w:space="0" w:color="auto"/>
                    <w:left w:val="none" w:sz="0" w:space="0" w:color="auto"/>
                    <w:bottom w:val="none" w:sz="0" w:space="0" w:color="auto"/>
                    <w:right w:val="none" w:sz="0" w:space="0" w:color="auto"/>
                  </w:divBdr>
                  <w:divsChild>
                    <w:div w:id="989601511">
                      <w:marLeft w:val="0"/>
                      <w:marRight w:val="0"/>
                      <w:marTop w:val="0"/>
                      <w:marBottom w:val="0"/>
                      <w:divBdr>
                        <w:top w:val="none" w:sz="0" w:space="0" w:color="auto"/>
                        <w:left w:val="none" w:sz="0" w:space="0" w:color="auto"/>
                        <w:bottom w:val="none" w:sz="0" w:space="0" w:color="auto"/>
                        <w:right w:val="none" w:sz="0" w:space="0" w:color="auto"/>
                      </w:divBdr>
                    </w:div>
                  </w:divsChild>
                </w:div>
                <w:div w:id="127476814">
                  <w:marLeft w:val="0"/>
                  <w:marRight w:val="0"/>
                  <w:marTop w:val="0"/>
                  <w:marBottom w:val="0"/>
                  <w:divBdr>
                    <w:top w:val="none" w:sz="0" w:space="0" w:color="auto"/>
                    <w:left w:val="none" w:sz="0" w:space="0" w:color="auto"/>
                    <w:bottom w:val="none" w:sz="0" w:space="0" w:color="auto"/>
                    <w:right w:val="none" w:sz="0" w:space="0" w:color="auto"/>
                  </w:divBdr>
                  <w:divsChild>
                    <w:div w:id="851798621">
                      <w:marLeft w:val="0"/>
                      <w:marRight w:val="0"/>
                      <w:marTop w:val="0"/>
                      <w:marBottom w:val="0"/>
                      <w:divBdr>
                        <w:top w:val="none" w:sz="0" w:space="0" w:color="auto"/>
                        <w:left w:val="none" w:sz="0" w:space="0" w:color="auto"/>
                        <w:bottom w:val="none" w:sz="0" w:space="0" w:color="auto"/>
                        <w:right w:val="none" w:sz="0" w:space="0" w:color="auto"/>
                      </w:divBdr>
                    </w:div>
                  </w:divsChild>
                </w:div>
                <w:div w:id="1678381042">
                  <w:marLeft w:val="0"/>
                  <w:marRight w:val="0"/>
                  <w:marTop w:val="0"/>
                  <w:marBottom w:val="0"/>
                  <w:divBdr>
                    <w:top w:val="none" w:sz="0" w:space="0" w:color="auto"/>
                    <w:left w:val="none" w:sz="0" w:space="0" w:color="auto"/>
                    <w:bottom w:val="none" w:sz="0" w:space="0" w:color="auto"/>
                    <w:right w:val="none" w:sz="0" w:space="0" w:color="auto"/>
                  </w:divBdr>
                  <w:divsChild>
                    <w:div w:id="1469974151">
                      <w:marLeft w:val="0"/>
                      <w:marRight w:val="0"/>
                      <w:marTop w:val="0"/>
                      <w:marBottom w:val="0"/>
                      <w:divBdr>
                        <w:top w:val="none" w:sz="0" w:space="0" w:color="auto"/>
                        <w:left w:val="none" w:sz="0" w:space="0" w:color="auto"/>
                        <w:bottom w:val="none" w:sz="0" w:space="0" w:color="auto"/>
                        <w:right w:val="none" w:sz="0" w:space="0" w:color="auto"/>
                      </w:divBdr>
                    </w:div>
                  </w:divsChild>
                </w:div>
                <w:div w:id="955260055">
                  <w:marLeft w:val="0"/>
                  <w:marRight w:val="0"/>
                  <w:marTop w:val="0"/>
                  <w:marBottom w:val="0"/>
                  <w:divBdr>
                    <w:top w:val="none" w:sz="0" w:space="0" w:color="auto"/>
                    <w:left w:val="none" w:sz="0" w:space="0" w:color="auto"/>
                    <w:bottom w:val="none" w:sz="0" w:space="0" w:color="auto"/>
                    <w:right w:val="none" w:sz="0" w:space="0" w:color="auto"/>
                  </w:divBdr>
                  <w:divsChild>
                    <w:div w:id="105912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733129">
          <w:marLeft w:val="0"/>
          <w:marRight w:val="0"/>
          <w:marTop w:val="0"/>
          <w:marBottom w:val="0"/>
          <w:divBdr>
            <w:top w:val="none" w:sz="0" w:space="0" w:color="auto"/>
            <w:left w:val="none" w:sz="0" w:space="0" w:color="auto"/>
            <w:bottom w:val="none" w:sz="0" w:space="0" w:color="auto"/>
            <w:right w:val="none" w:sz="0" w:space="0" w:color="auto"/>
          </w:divBdr>
        </w:div>
        <w:div w:id="1058473943">
          <w:marLeft w:val="0"/>
          <w:marRight w:val="0"/>
          <w:marTop w:val="0"/>
          <w:marBottom w:val="0"/>
          <w:divBdr>
            <w:top w:val="none" w:sz="0" w:space="0" w:color="auto"/>
            <w:left w:val="none" w:sz="0" w:space="0" w:color="auto"/>
            <w:bottom w:val="none" w:sz="0" w:space="0" w:color="auto"/>
            <w:right w:val="none" w:sz="0" w:space="0" w:color="auto"/>
          </w:divBdr>
        </w:div>
        <w:div w:id="1385988018">
          <w:marLeft w:val="0"/>
          <w:marRight w:val="0"/>
          <w:marTop w:val="0"/>
          <w:marBottom w:val="0"/>
          <w:divBdr>
            <w:top w:val="none" w:sz="0" w:space="0" w:color="auto"/>
            <w:left w:val="none" w:sz="0" w:space="0" w:color="auto"/>
            <w:bottom w:val="none" w:sz="0" w:space="0" w:color="auto"/>
            <w:right w:val="none" w:sz="0" w:space="0" w:color="auto"/>
          </w:divBdr>
        </w:div>
        <w:div w:id="303895304">
          <w:marLeft w:val="0"/>
          <w:marRight w:val="0"/>
          <w:marTop w:val="0"/>
          <w:marBottom w:val="0"/>
          <w:divBdr>
            <w:top w:val="none" w:sz="0" w:space="0" w:color="auto"/>
            <w:left w:val="none" w:sz="0" w:space="0" w:color="auto"/>
            <w:bottom w:val="none" w:sz="0" w:space="0" w:color="auto"/>
            <w:right w:val="none" w:sz="0" w:space="0" w:color="auto"/>
          </w:divBdr>
          <w:divsChild>
            <w:div w:id="1902447564">
              <w:marLeft w:val="-75"/>
              <w:marRight w:val="0"/>
              <w:marTop w:val="30"/>
              <w:marBottom w:val="30"/>
              <w:divBdr>
                <w:top w:val="none" w:sz="0" w:space="0" w:color="auto"/>
                <w:left w:val="none" w:sz="0" w:space="0" w:color="auto"/>
                <w:bottom w:val="none" w:sz="0" w:space="0" w:color="auto"/>
                <w:right w:val="none" w:sz="0" w:space="0" w:color="auto"/>
              </w:divBdr>
              <w:divsChild>
                <w:div w:id="1328708895">
                  <w:marLeft w:val="0"/>
                  <w:marRight w:val="0"/>
                  <w:marTop w:val="0"/>
                  <w:marBottom w:val="0"/>
                  <w:divBdr>
                    <w:top w:val="none" w:sz="0" w:space="0" w:color="auto"/>
                    <w:left w:val="none" w:sz="0" w:space="0" w:color="auto"/>
                    <w:bottom w:val="none" w:sz="0" w:space="0" w:color="auto"/>
                    <w:right w:val="none" w:sz="0" w:space="0" w:color="auto"/>
                  </w:divBdr>
                  <w:divsChild>
                    <w:div w:id="155650127">
                      <w:marLeft w:val="0"/>
                      <w:marRight w:val="0"/>
                      <w:marTop w:val="0"/>
                      <w:marBottom w:val="0"/>
                      <w:divBdr>
                        <w:top w:val="none" w:sz="0" w:space="0" w:color="auto"/>
                        <w:left w:val="none" w:sz="0" w:space="0" w:color="auto"/>
                        <w:bottom w:val="none" w:sz="0" w:space="0" w:color="auto"/>
                        <w:right w:val="none" w:sz="0" w:space="0" w:color="auto"/>
                      </w:divBdr>
                    </w:div>
                  </w:divsChild>
                </w:div>
                <w:div w:id="1042366619">
                  <w:marLeft w:val="0"/>
                  <w:marRight w:val="0"/>
                  <w:marTop w:val="0"/>
                  <w:marBottom w:val="0"/>
                  <w:divBdr>
                    <w:top w:val="none" w:sz="0" w:space="0" w:color="auto"/>
                    <w:left w:val="none" w:sz="0" w:space="0" w:color="auto"/>
                    <w:bottom w:val="none" w:sz="0" w:space="0" w:color="auto"/>
                    <w:right w:val="none" w:sz="0" w:space="0" w:color="auto"/>
                  </w:divBdr>
                  <w:divsChild>
                    <w:div w:id="1128663966">
                      <w:marLeft w:val="0"/>
                      <w:marRight w:val="0"/>
                      <w:marTop w:val="0"/>
                      <w:marBottom w:val="0"/>
                      <w:divBdr>
                        <w:top w:val="none" w:sz="0" w:space="0" w:color="auto"/>
                        <w:left w:val="none" w:sz="0" w:space="0" w:color="auto"/>
                        <w:bottom w:val="none" w:sz="0" w:space="0" w:color="auto"/>
                        <w:right w:val="none" w:sz="0" w:space="0" w:color="auto"/>
                      </w:divBdr>
                    </w:div>
                  </w:divsChild>
                </w:div>
                <w:div w:id="97261045">
                  <w:marLeft w:val="0"/>
                  <w:marRight w:val="0"/>
                  <w:marTop w:val="0"/>
                  <w:marBottom w:val="0"/>
                  <w:divBdr>
                    <w:top w:val="none" w:sz="0" w:space="0" w:color="auto"/>
                    <w:left w:val="none" w:sz="0" w:space="0" w:color="auto"/>
                    <w:bottom w:val="none" w:sz="0" w:space="0" w:color="auto"/>
                    <w:right w:val="none" w:sz="0" w:space="0" w:color="auto"/>
                  </w:divBdr>
                  <w:divsChild>
                    <w:div w:id="302152819">
                      <w:marLeft w:val="0"/>
                      <w:marRight w:val="0"/>
                      <w:marTop w:val="0"/>
                      <w:marBottom w:val="0"/>
                      <w:divBdr>
                        <w:top w:val="none" w:sz="0" w:space="0" w:color="auto"/>
                        <w:left w:val="none" w:sz="0" w:space="0" w:color="auto"/>
                        <w:bottom w:val="none" w:sz="0" w:space="0" w:color="auto"/>
                        <w:right w:val="none" w:sz="0" w:space="0" w:color="auto"/>
                      </w:divBdr>
                    </w:div>
                  </w:divsChild>
                </w:div>
                <w:div w:id="1834030011">
                  <w:marLeft w:val="0"/>
                  <w:marRight w:val="0"/>
                  <w:marTop w:val="0"/>
                  <w:marBottom w:val="0"/>
                  <w:divBdr>
                    <w:top w:val="none" w:sz="0" w:space="0" w:color="auto"/>
                    <w:left w:val="none" w:sz="0" w:space="0" w:color="auto"/>
                    <w:bottom w:val="none" w:sz="0" w:space="0" w:color="auto"/>
                    <w:right w:val="none" w:sz="0" w:space="0" w:color="auto"/>
                  </w:divBdr>
                  <w:divsChild>
                    <w:div w:id="1967422642">
                      <w:marLeft w:val="0"/>
                      <w:marRight w:val="0"/>
                      <w:marTop w:val="0"/>
                      <w:marBottom w:val="0"/>
                      <w:divBdr>
                        <w:top w:val="none" w:sz="0" w:space="0" w:color="auto"/>
                        <w:left w:val="none" w:sz="0" w:space="0" w:color="auto"/>
                        <w:bottom w:val="none" w:sz="0" w:space="0" w:color="auto"/>
                        <w:right w:val="none" w:sz="0" w:space="0" w:color="auto"/>
                      </w:divBdr>
                    </w:div>
                  </w:divsChild>
                </w:div>
                <w:div w:id="641421727">
                  <w:marLeft w:val="0"/>
                  <w:marRight w:val="0"/>
                  <w:marTop w:val="0"/>
                  <w:marBottom w:val="0"/>
                  <w:divBdr>
                    <w:top w:val="none" w:sz="0" w:space="0" w:color="auto"/>
                    <w:left w:val="none" w:sz="0" w:space="0" w:color="auto"/>
                    <w:bottom w:val="none" w:sz="0" w:space="0" w:color="auto"/>
                    <w:right w:val="none" w:sz="0" w:space="0" w:color="auto"/>
                  </w:divBdr>
                  <w:divsChild>
                    <w:div w:id="1946110455">
                      <w:marLeft w:val="0"/>
                      <w:marRight w:val="0"/>
                      <w:marTop w:val="0"/>
                      <w:marBottom w:val="0"/>
                      <w:divBdr>
                        <w:top w:val="none" w:sz="0" w:space="0" w:color="auto"/>
                        <w:left w:val="none" w:sz="0" w:space="0" w:color="auto"/>
                        <w:bottom w:val="none" w:sz="0" w:space="0" w:color="auto"/>
                        <w:right w:val="none" w:sz="0" w:space="0" w:color="auto"/>
                      </w:divBdr>
                    </w:div>
                  </w:divsChild>
                </w:div>
                <w:div w:id="1150443721">
                  <w:marLeft w:val="0"/>
                  <w:marRight w:val="0"/>
                  <w:marTop w:val="0"/>
                  <w:marBottom w:val="0"/>
                  <w:divBdr>
                    <w:top w:val="none" w:sz="0" w:space="0" w:color="auto"/>
                    <w:left w:val="none" w:sz="0" w:space="0" w:color="auto"/>
                    <w:bottom w:val="none" w:sz="0" w:space="0" w:color="auto"/>
                    <w:right w:val="none" w:sz="0" w:space="0" w:color="auto"/>
                  </w:divBdr>
                  <w:divsChild>
                    <w:div w:id="1632175113">
                      <w:marLeft w:val="0"/>
                      <w:marRight w:val="0"/>
                      <w:marTop w:val="0"/>
                      <w:marBottom w:val="0"/>
                      <w:divBdr>
                        <w:top w:val="none" w:sz="0" w:space="0" w:color="auto"/>
                        <w:left w:val="none" w:sz="0" w:space="0" w:color="auto"/>
                        <w:bottom w:val="none" w:sz="0" w:space="0" w:color="auto"/>
                        <w:right w:val="none" w:sz="0" w:space="0" w:color="auto"/>
                      </w:divBdr>
                    </w:div>
                  </w:divsChild>
                </w:div>
                <w:div w:id="765347945">
                  <w:marLeft w:val="0"/>
                  <w:marRight w:val="0"/>
                  <w:marTop w:val="0"/>
                  <w:marBottom w:val="0"/>
                  <w:divBdr>
                    <w:top w:val="none" w:sz="0" w:space="0" w:color="auto"/>
                    <w:left w:val="none" w:sz="0" w:space="0" w:color="auto"/>
                    <w:bottom w:val="none" w:sz="0" w:space="0" w:color="auto"/>
                    <w:right w:val="none" w:sz="0" w:space="0" w:color="auto"/>
                  </w:divBdr>
                  <w:divsChild>
                    <w:div w:id="907881766">
                      <w:marLeft w:val="0"/>
                      <w:marRight w:val="0"/>
                      <w:marTop w:val="0"/>
                      <w:marBottom w:val="0"/>
                      <w:divBdr>
                        <w:top w:val="none" w:sz="0" w:space="0" w:color="auto"/>
                        <w:left w:val="none" w:sz="0" w:space="0" w:color="auto"/>
                        <w:bottom w:val="none" w:sz="0" w:space="0" w:color="auto"/>
                        <w:right w:val="none" w:sz="0" w:space="0" w:color="auto"/>
                      </w:divBdr>
                    </w:div>
                  </w:divsChild>
                </w:div>
                <w:div w:id="1684044490">
                  <w:marLeft w:val="0"/>
                  <w:marRight w:val="0"/>
                  <w:marTop w:val="0"/>
                  <w:marBottom w:val="0"/>
                  <w:divBdr>
                    <w:top w:val="none" w:sz="0" w:space="0" w:color="auto"/>
                    <w:left w:val="none" w:sz="0" w:space="0" w:color="auto"/>
                    <w:bottom w:val="none" w:sz="0" w:space="0" w:color="auto"/>
                    <w:right w:val="none" w:sz="0" w:space="0" w:color="auto"/>
                  </w:divBdr>
                  <w:divsChild>
                    <w:div w:id="2009937056">
                      <w:marLeft w:val="0"/>
                      <w:marRight w:val="0"/>
                      <w:marTop w:val="0"/>
                      <w:marBottom w:val="0"/>
                      <w:divBdr>
                        <w:top w:val="none" w:sz="0" w:space="0" w:color="auto"/>
                        <w:left w:val="none" w:sz="0" w:space="0" w:color="auto"/>
                        <w:bottom w:val="none" w:sz="0" w:space="0" w:color="auto"/>
                        <w:right w:val="none" w:sz="0" w:space="0" w:color="auto"/>
                      </w:divBdr>
                    </w:div>
                  </w:divsChild>
                </w:div>
                <w:div w:id="288512296">
                  <w:marLeft w:val="0"/>
                  <w:marRight w:val="0"/>
                  <w:marTop w:val="0"/>
                  <w:marBottom w:val="0"/>
                  <w:divBdr>
                    <w:top w:val="none" w:sz="0" w:space="0" w:color="auto"/>
                    <w:left w:val="none" w:sz="0" w:space="0" w:color="auto"/>
                    <w:bottom w:val="none" w:sz="0" w:space="0" w:color="auto"/>
                    <w:right w:val="none" w:sz="0" w:space="0" w:color="auto"/>
                  </w:divBdr>
                  <w:divsChild>
                    <w:div w:id="1296182656">
                      <w:marLeft w:val="0"/>
                      <w:marRight w:val="0"/>
                      <w:marTop w:val="0"/>
                      <w:marBottom w:val="0"/>
                      <w:divBdr>
                        <w:top w:val="none" w:sz="0" w:space="0" w:color="auto"/>
                        <w:left w:val="none" w:sz="0" w:space="0" w:color="auto"/>
                        <w:bottom w:val="none" w:sz="0" w:space="0" w:color="auto"/>
                        <w:right w:val="none" w:sz="0" w:space="0" w:color="auto"/>
                      </w:divBdr>
                    </w:div>
                  </w:divsChild>
                </w:div>
                <w:div w:id="734008674">
                  <w:marLeft w:val="0"/>
                  <w:marRight w:val="0"/>
                  <w:marTop w:val="0"/>
                  <w:marBottom w:val="0"/>
                  <w:divBdr>
                    <w:top w:val="none" w:sz="0" w:space="0" w:color="auto"/>
                    <w:left w:val="none" w:sz="0" w:space="0" w:color="auto"/>
                    <w:bottom w:val="none" w:sz="0" w:space="0" w:color="auto"/>
                    <w:right w:val="none" w:sz="0" w:space="0" w:color="auto"/>
                  </w:divBdr>
                  <w:divsChild>
                    <w:div w:id="2005014687">
                      <w:marLeft w:val="0"/>
                      <w:marRight w:val="0"/>
                      <w:marTop w:val="0"/>
                      <w:marBottom w:val="0"/>
                      <w:divBdr>
                        <w:top w:val="none" w:sz="0" w:space="0" w:color="auto"/>
                        <w:left w:val="none" w:sz="0" w:space="0" w:color="auto"/>
                        <w:bottom w:val="none" w:sz="0" w:space="0" w:color="auto"/>
                        <w:right w:val="none" w:sz="0" w:space="0" w:color="auto"/>
                      </w:divBdr>
                    </w:div>
                  </w:divsChild>
                </w:div>
                <w:div w:id="1422800968">
                  <w:marLeft w:val="0"/>
                  <w:marRight w:val="0"/>
                  <w:marTop w:val="0"/>
                  <w:marBottom w:val="0"/>
                  <w:divBdr>
                    <w:top w:val="none" w:sz="0" w:space="0" w:color="auto"/>
                    <w:left w:val="none" w:sz="0" w:space="0" w:color="auto"/>
                    <w:bottom w:val="none" w:sz="0" w:space="0" w:color="auto"/>
                    <w:right w:val="none" w:sz="0" w:space="0" w:color="auto"/>
                  </w:divBdr>
                  <w:divsChild>
                    <w:div w:id="1313019317">
                      <w:marLeft w:val="0"/>
                      <w:marRight w:val="0"/>
                      <w:marTop w:val="0"/>
                      <w:marBottom w:val="0"/>
                      <w:divBdr>
                        <w:top w:val="none" w:sz="0" w:space="0" w:color="auto"/>
                        <w:left w:val="none" w:sz="0" w:space="0" w:color="auto"/>
                        <w:bottom w:val="none" w:sz="0" w:space="0" w:color="auto"/>
                        <w:right w:val="none" w:sz="0" w:space="0" w:color="auto"/>
                      </w:divBdr>
                    </w:div>
                  </w:divsChild>
                </w:div>
                <w:div w:id="454254503">
                  <w:marLeft w:val="0"/>
                  <w:marRight w:val="0"/>
                  <w:marTop w:val="0"/>
                  <w:marBottom w:val="0"/>
                  <w:divBdr>
                    <w:top w:val="none" w:sz="0" w:space="0" w:color="auto"/>
                    <w:left w:val="none" w:sz="0" w:space="0" w:color="auto"/>
                    <w:bottom w:val="none" w:sz="0" w:space="0" w:color="auto"/>
                    <w:right w:val="none" w:sz="0" w:space="0" w:color="auto"/>
                  </w:divBdr>
                  <w:divsChild>
                    <w:div w:id="846209931">
                      <w:marLeft w:val="0"/>
                      <w:marRight w:val="0"/>
                      <w:marTop w:val="0"/>
                      <w:marBottom w:val="0"/>
                      <w:divBdr>
                        <w:top w:val="none" w:sz="0" w:space="0" w:color="auto"/>
                        <w:left w:val="none" w:sz="0" w:space="0" w:color="auto"/>
                        <w:bottom w:val="none" w:sz="0" w:space="0" w:color="auto"/>
                        <w:right w:val="none" w:sz="0" w:space="0" w:color="auto"/>
                      </w:divBdr>
                    </w:div>
                  </w:divsChild>
                </w:div>
                <w:div w:id="1746296033">
                  <w:marLeft w:val="0"/>
                  <w:marRight w:val="0"/>
                  <w:marTop w:val="0"/>
                  <w:marBottom w:val="0"/>
                  <w:divBdr>
                    <w:top w:val="none" w:sz="0" w:space="0" w:color="auto"/>
                    <w:left w:val="none" w:sz="0" w:space="0" w:color="auto"/>
                    <w:bottom w:val="none" w:sz="0" w:space="0" w:color="auto"/>
                    <w:right w:val="none" w:sz="0" w:space="0" w:color="auto"/>
                  </w:divBdr>
                  <w:divsChild>
                    <w:div w:id="500124723">
                      <w:marLeft w:val="0"/>
                      <w:marRight w:val="0"/>
                      <w:marTop w:val="0"/>
                      <w:marBottom w:val="0"/>
                      <w:divBdr>
                        <w:top w:val="none" w:sz="0" w:space="0" w:color="auto"/>
                        <w:left w:val="none" w:sz="0" w:space="0" w:color="auto"/>
                        <w:bottom w:val="none" w:sz="0" w:space="0" w:color="auto"/>
                        <w:right w:val="none" w:sz="0" w:space="0" w:color="auto"/>
                      </w:divBdr>
                    </w:div>
                  </w:divsChild>
                </w:div>
                <w:div w:id="252322638">
                  <w:marLeft w:val="0"/>
                  <w:marRight w:val="0"/>
                  <w:marTop w:val="0"/>
                  <w:marBottom w:val="0"/>
                  <w:divBdr>
                    <w:top w:val="none" w:sz="0" w:space="0" w:color="auto"/>
                    <w:left w:val="none" w:sz="0" w:space="0" w:color="auto"/>
                    <w:bottom w:val="none" w:sz="0" w:space="0" w:color="auto"/>
                    <w:right w:val="none" w:sz="0" w:space="0" w:color="auto"/>
                  </w:divBdr>
                  <w:divsChild>
                    <w:div w:id="1480459381">
                      <w:marLeft w:val="0"/>
                      <w:marRight w:val="0"/>
                      <w:marTop w:val="0"/>
                      <w:marBottom w:val="0"/>
                      <w:divBdr>
                        <w:top w:val="none" w:sz="0" w:space="0" w:color="auto"/>
                        <w:left w:val="none" w:sz="0" w:space="0" w:color="auto"/>
                        <w:bottom w:val="none" w:sz="0" w:space="0" w:color="auto"/>
                        <w:right w:val="none" w:sz="0" w:space="0" w:color="auto"/>
                      </w:divBdr>
                    </w:div>
                  </w:divsChild>
                </w:div>
                <w:div w:id="791048640">
                  <w:marLeft w:val="0"/>
                  <w:marRight w:val="0"/>
                  <w:marTop w:val="0"/>
                  <w:marBottom w:val="0"/>
                  <w:divBdr>
                    <w:top w:val="none" w:sz="0" w:space="0" w:color="auto"/>
                    <w:left w:val="none" w:sz="0" w:space="0" w:color="auto"/>
                    <w:bottom w:val="none" w:sz="0" w:space="0" w:color="auto"/>
                    <w:right w:val="none" w:sz="0" w:space="0" w:color="auto"/>
                  </w:divBdr>
                  <w:divsChild>
                    <w:div w:id="1904221704">
                      <w:marLeft w:val="0"/>
                      <w:marRight w:val="0"/>
                      <w:marTop w:val="0"/>
                      <w:marBottom w:val="0"/>
                      <w:divBdr>
                        <w:top w:val="none" w:sz="0" w:space="0" w:color="auto"/>
                        <w:left w:val="none" w:sz="0" w:space="0" w:color="auto"/>
                        <w:bottom w:val="none" w:sz="0" w:space="0" w:color="auto"/>
                        <w:right w:val="none" w:sz="0" w:space="0" w:color="auto"/>
                      </w:divBdr>
                    </w:div>
                  </w:divsChild>
                </w:div>
                <w:div w:id="1781025876">
                  <w:marLeft w:val="0"/>
                  <w:marRight w:val="0"/>
                  <w:marTop w:val="0"/>
                  <w:marBottom w:val="0"/>
                  <w:divBdr>
                    <w:top w:val="none" w:sz="0" w:space="0" w:color="auto"/>
                    <w:left w:val="none" w:sz="0" w:space="0" w:color="auto"/>
                    <w:bottom w:val="none" w:sz="0" w:space="0" w:color="auto"/>
                    <w:right w:val="none" w:sz="0" w:space="0" w:color="auto"/>
                  </w:divBdr>
                  <w:divsChild>
                    <w:div w:id="1847279847">
                      <w:marLeft w:val="0"/>
                      <w:marRight w:val="0"/>
                      <w:marTop w:val="0"/>
                      <w:marBottom w:val="0"/>
                      <w:divBdr>
                        <w:top w:val="none" w:sz="0" w:space="0" w:color="auto"/>
                        <w:left w:val="none" w:sz="0" w:space="0" w:color="auto"/>
                        <w:bottom w:val="none" w:sz="0" w:space="0" w:color="auto"/>
                        <w:right w:val="none" w:sz="0" w:space="0" w:color="auto"/>
                      </w:divBdr>
                    </w:div>
                  </w:divsChild>
                </w:div>
                <w:div w:id="374084809">
                  <w:marLeft w:val="0"/>
                  <w:marRight w:val="0"/>
                  <w:marTop w:val="0"/>
                  <w:marBottom w:val="0"/>
                  <w:divBdr>
                    <w:top w:val="none" w:sz="0" w:space="0" w:color="auto"/>
                    <w:left w:val="none" w:sz="0" w:space="0" w:color="auto"/>
                    <w:bottom w:val="none" w:sz="0" w:space="0" w:color="auto"/>
                    <w:right w:val="none" w:sz="0" w:space="0" w:color="auto"/>
                  </w:divBdr>
                  <w:divsChild>
                    <w:div w:id="1072199756">
                      <w:marLeft w:val="0"/>
                      <w:marRight w:val="0"/>
                      <w:marTop w:val="0"/>
                      <w:marBottom w:val="0"/>
                      <w:divBdr>
                        <w:top w:val="none" w:sz="0" w:space="0" w:color="auto"/>
                        <w:left w:val="none" w:sz="0" w:space="0" w:color="auto"/>
                        <w:bottom w:val="none" w:sz="0" w:space="0" w:color="auto"/>
                        <w:right w:val="none" w:sz="0" w:space="0" w:color="auto"/>
                      </w:divBdr>
                    </w:div>
                  </w:divsChild>
                </w:div>
                <w:div w:id="1095396780">
                  <w:marLeft w:val="0"/>
                  <w:marRight w:val="0"/>
                  <w:marTop w:val="0"/>
                  <w:marBottom w:val="0"/>
                  <w:divBdr>
                    <w:top w:val="none" w:sz="0" w:space="0" w:color="auto"/>
                    <w:left w:val="none" w:sz="0" w:space="0" w:color="auto"/>
                    <w:bottom w:val="none" w:sz="0" w:space="0" w:color="auto"/>
                    <w:right w:val="none" w:sz="0" w:space="0" w:color="auto"/>
                  </w:divBdr>
                  <w:divsChild>
                    <w:div w:id="1983344483">
                      <w:marLeft w:val="0"/>
                      <w:marRight w:val="0"/>
                      <w:marTop w:val="0"/>
                      <w:marBottom w:val="0"/>
                      <w:divBdr>
                        <w:top w:val="none" w:sz="0" w:space="0" w:color="auto"/>
                        <w:left w:val="none" w:sz="0" w:space="0" w:color="auto"/>
                        <w:bottom w:val="none" w:sz="0" w:space="0" w:color="auto"/>
                        <w:right w:val="none" w:sz="0" w:space="0" w:color="auto"/>
                      </w:divBdr>
                    </w:div>
                  </w:divsChild>
                </w:div>
                <w:div w:id="1290630406">
                  <w:marLeft w:val="0"/>
                  <w:marRight w:val="0"/>
                  <w:marTop w:val="0"/>
                  <w:marBottom w:val="0"/>
                  <w:divBdr>
                    <w:top w:val="none" w:sz="0" w:space="0" w:color="auto"/>
                    <w:left w:val="none" w:sz="0" w:space="0" w:color="auto"/>
                    <w:bottom w:val="none" w:sz="0" w:space="0" w:color="auto"/>
                    <w:right w:val="none" w:sz="0" w:space="0" w:color="auto"/>
                  </w:divBdr>
                  <w:divsChild>
                    <w:div w:id="213934262">
                      <w:marLeft w:val="0"/>
                      <w:marRight w:val="0"/>
                      <w:marTop w:val="0"/>
                      <w:marBottom w:val="0"/>
                      <w:divBdr>
                        <w:top w:val="none" w:sz="0" w:space="0" w:color="auto"/>
                        <w:left w:val="none" w:sz="0" w:space="0" w:color="auto"/>
                        <w:bottom w:val="none" w:sz="0" w:space="0" w:color="auto"/>
                        <w:right w:val="none" w:sz="0" w:space="0" w:color="auto"/>
                      </w:divBdr>
                    </w:div>
                  </w:divsChild>
                </w:div>
                <w:div w:id="1547063498">
                  <w:marLeft w:val="0"/>
                  <w:marRight w:val="0"/>
                  <w:marTop w:val="0"/>
                  <w:marBottom w:val="0"/>
                  <w:divBdr>
                    <w:top w:val="none" w:sz="0" w:space="0" w:color="auto"/>
                    <w:left w:val="none" w:sz="0" w:space="0" w:color="auto"/>
                    <w:bottom w:val="none" w:sz="0" w:space="0" w:color="auto"/>
                    <w:right w:val="none" w:sz="0" w:space="0" w:color="auto"/>
                  </w:divBdr>
                  <w:divsChild>
                    <w:div w:id="60889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234219">
          <w:marLeft w:val="0"/>
          <w:marRight w:val="0"/>
          <w:marTop w:val="0"/>
          <w:marBottom w:val="0"/>
          <w:divBdr>
            <w:top w:val="none" w:sz="0" w:space="0" w:color="auto"/>
            <w:left w:val="none" w:sz="0" w:space="0" w:color="auto"/>
            <w:bottom w:val="none" w:sz="0" w:space="0" w:color="auto"/>
            <w:right w:val="none" w:sz="0" w:space="0" w:color="auto"/>
          </w:divBdr>
        </w:div>
        <w:div w:id="775170712">
          <w:marLeft w:val="0"/>
          <w:marRight w:val="0"/>
          <w:marTop w:val="0"/>
          <w:marBottom w:val="0"/>
          <w:divBdr>
            <w:top w:val="none" w:sz="0" w:space="0" w:color="auto"/>
            <w:left w:val="none" w:sz="0" w:space="0" w:color="auto"/>
            <w:bottom w:val="none" w:sz="0" w:space="0" w:color="auto"/>
            <w:right w:val="none" w:sz="0" w:space="0" w:color="auto"/>
          </w:divBdr>
        </w:div>
        <w:div w:id="416638585">
          <w:marLeft w:val="0"/>
          <w:marRight w:val="0"/>
          <w:marTop w:val="0"/>
          <w:marBottom w:val="0"/>
          <w:divBdr>
            <w:top w:val="none" w:sz="0" w:space="0" w:color="auto"/>
            <w:left w:val="none" w:sz="0" w:space="0" w:color="auto"/>
            <w:bottom w:val="none" w:sz="0" w:space="0" w:color="auto"/>
            <w:right w:val="none" w:sz="0" w:space="0" w:color="auto"/>
          </w:divBdr>
        </w:div>
        <w:div w:id="1757508718">
          <w:marLeft w:val="0"/>
          <w:marRight w:val="0"/>
          <w:marTop w:val="0"/>
          <w:marBottom w:val="0"/>
          <w:divBdr>
            <w:top w:val="none" w:sz="0" w:space="0" w:color="auto"/>
            <w:left w:val="none" w:sz="0" w:space="0" w:color="auto"/>
            <w:bottom w:val="none" w:sz="0" w:space="0" w:color="auto"/>
            <w:right w:val="none" w:sz="0" w:space="0" w:color="auto"/>
          </w:divBdr>
        </w:div>
        <w:div w:id="1300114419">
          <w:marLeft w:val="0"/>
          <w:marRight w:val="0"/>
          <w:marTop w:val="0"/>
          <w:marBottom w:val="0"/>
          <w:divBdr>
            <w:top w:val="none" w:sz="0" w:space="0" w:color="auto"/>
            <w:left w:val="none" w:sz="0" w:space="0" w:color="auto"/>
            <w:bottom w:val="none" w:sz="0" w:space="0" w:color="auto"/>
            <w:right w:val="none" w:sz="0" w:space="0" w:color="auto"/>
          </w:divBdr>
        </w:div>
        <w:div w:id="766583462">
          <w:marLeft w:val="0"/>
          <w:marRight w:val="0"/>
          <w:marTop w:val="0"/>
          <w:marBottom w:val="0"/>
          <w:divBdr>
            <w:top w:val="none" w:sz="0" w:space="0" w:color="auto"/>
            <w:left w:val="none" w:sz="0" w:space="0" w:color="auto"/>
            <w:bottom w:val="none" w:sz="0" w:space="0" w:color="auto"/>
            <w:right w:val="none" w:sz="0" w:space="0" w:color="auto"/>
          </w:divBdr>
        </w:div>
        <w:div w:id="1087117835">
          <w:marLeft w:val="0"/>
          <w:marRight w:val="0"/>
          <w:marTop w:val="0"/>
          <w:marBottom w:val="0"/>
          <w:divBdr>
            <w:top w:val="none" w:sz="0" w:space="0" w:color="auto"/>
            <w:left w:val="none" w:sz="0" w:space="0" w:color="auto"/>
            <w:bottom w:val="none" w:sz="0" w:space="0" w:color="auto"/>
            <w:right w:val="none" w:sz="0" w:space="0" w:color="auto"/>
          </w:divBdr>
        </w:div>
        <w:div w:id="941297686">
          <w:marLeft w:val="0"/>
          <w:marRight w:val="0"/>
          <w:marTop w:val="0"/>
          <w:marBottom w:val="0"/>
          <w:divBdr>
            <w:top w:val="none" w:sz="0" w:space="0" w:color="auto"/>
            <w:left w:val="none" w:sz="0" w:space="0" w:color="auto"/>
            <w:bottom w:val="none" w:sz="0" w:space="0" w:color="auto"/>
            <w:right w:val="none" w:sz="0" w:space="0" w:color="auto"/>
          </w:divBdr>
        </w:div>
        <w:div w:id="954874202">
          <w:marLeft w:val="0"/>
          <w:marRight w:val="0"/>
          <w:marTop w:val="0"/>
          <w:marBottom w:val="0"/>
          <w:divBdr>
            <w:top w:val="none" w:sz="0" w:space="0" w:color="auto"/>
            <w:left w:val="none" w:sz="0" w:space="0" w:color="auto"/>
            <w:bottom w:val="none" w:sz="0" w:space="0" w:color="auto"/>
            <w:right w:val="none" w:sz="0" w:space="0" w:color="auto"/>
          </w:divBdr>
        </w:div>
        <w:div w:id="1022705018">
          <w:marLeft w:val="0"/>
          <w:marRight w:val="0"/>
          <w:marTop w:val="0"/>
          <w:marBottom w:val="0"/>
          <w:divBdr>
            <w:top w:val="none" w:sz="0" w:space="0" w:color="auto"/>
            <w:left w:val="none" w:sz="0" w:space="0" w:color="auto"/>
            <w:bottom w:val="none" w:sz="0" w:space="0" w:color="auto"/>
            <w:right w:val="none" w:sz="0" w:space="0" w:color="auto"/>
          </w:divBdr>
        </w:div>
        <w:div w:id="2063598370">
          <w:marLeft w:val="0"/>
          <w:marRight w:val="0"/>
          <w:marTop w:val="0"/>
          <w:marBottom w:val="0"/>
          <w:divBdr>
            <w:top w:val="none" w:sz="0" w:space="0" w:color="auto"/>
            <w:left w:val="none" w:sz="0" w:space="0" w:color="auto"/>
            <w:bottom w:val="none" w:sz="0" w:space="0" w:color="auto"/>
            <w:right w:val="none" w:sz="0" w:space="0" w:color="auto"/>
          </w:divBdr>
        </w:div>
        <w:div w:id="714697282">
          <w:marLeft w:val="0"/>
          <w:marRight w:val="0"/>
          <w:marTop w:val="0"/>
          <w:marBottom w:val="0"/>
          <w:divBdr>
            <w:top w:val="none" w:sz="0" w:space="0" w:color="auto"/>
            <w:left w:val="none" w:sz="0" w:space="0" w:color="auto"/>
            <w:bottom w:val="none" w:sz="0" w:space="0" w:color="auto"/>
            <w:right w:val="none" w:sz="0" w:space="0" w:color="auto"/>
          </w:divBdr>
        </w:div>
        <w:div w:id="335041815">
          <w:marLeft w:val="0"/>
          <w:marRight w:val="0"/>
          <w:marTop w:val="0"/>
          <w:marBottom w:val="0"/>
          <w:divBdr>
            <w:top w:val="none" w:sz="0" w:space="0" w:color="auto"/>
            <w:left w:val="none" w:sz="0" w:space="0" w:color="auto"/>
            <w:bottom w:val="none" w:sz="0" w:space="0" w:color="auto"/>
            <w:right w:val="none" w:sz="0" w:space="0" w:color="auto"/>
          </w:divBdr>
        </w:div>
        <w:div w:id="1880820914">
          <w:marLeft w:val="0"/>
          <w:marRight w:val="0"/>
          <w:marTop w:val="0"/>
          <w:marBottom w:val="0"/>
          <w:divBdr>
            <w:top w:val="none" w:sz="0" w:space="0" w:color="auto"/>
            <w:left w:val="none" w:sz="0" w:space="0" w:color="auto"/>
            <w:bottom w:val="none" w:sz="0" w:space="0" w:color="auto"/>
            <w:right w:val="none" w:sz="0" w:space="0" w:color="auto"/>
          </w:divBdr>
        </w:div>
        <w:div w:id="443309419">
          <w:marLeft w:val="0"/>
          <w:marRight w:val="0"/>
          <w:marTop w:val="0"/>
          <w:marBottom w:val="0"/>
          <w:divBdr>
            <w:top w:val="none" w:sz="0" w:space="0" w:color="auto"/>
            <w:left w:val="none" w:sz="0" w:space="0" w:color="auto"/>
            <w:bottom w:val="none" w:sz="0" w:space="0" w:color="auto"/>
            <w:right w:val="none" w:sz="0" w:space="0" w:color="auto"/>
          </w:divBdr>
        </w:div>
        <w:div w:id="1997882398">
          <w:marLeft w:val="0"/>
          <w:marRight w:val="0"/>
          <w:marTop w:val="0"/>
          <w:marBottom w:val="0"/>
          <w:divBdr>
            <w:top w:val="none" w:sz="0" w:space="0" w:color="auto"/>
            <w:left w:val="none" w:sz="0" w:space="0" w:color="auto"/>
            <w:bottom w:val="none" w:sz="0" w:space="0" w:color="auto"/>
            <w:right w:val="none" w:sz="0" w:space="0" w:color="auto"/>
          </w:divBdr>
        </w:div>
        <w:div w:id="1172574249">
          <w:marLeft w:val="0"/>
          <w:marRight w:val="0"/>
          <w:marTop w:val="0"/>
          <w:marBottom w:val="0"/>
          <w:divBdr>
            <w:top w:val="none" w:sz="0" w:space="0" w:color="auto"/>
            <w:left w:val="none" w:sz="0" w:space="0" w:color="auto"/>
            <w:bottom w:val="none" w:sz="0" w:space="0" w:color="auto"/>
            <w:right w:val="none" w:sz="0" w:space="0" w:color="auto"/>
          </w:divBdr>
        </w:div>
        <w:div w:id="1941402975">
          <w:marLeft w:val="0"/>
          <w:marRight w:val="0"/>
          <w:marTop w:val="0"/>
          <w:marBottom w:val="0"/>
          <w:divBdr>
            <w:top w:val="none" w:sz="0" w:space="0" w:color="auto"/>
            <w:left w:val="none" w:sz="0" w:space="0" w:color="auto"/>
            <w:bottom w:val="none" w:sz="0" w:space="0" w:color="auto"/>
            <w:right w:val="none" w:sz="0" w:space="0" w:color="auto"/>
          </w:divBdr>
        </w:div>
        <w:div w:id="2054381111">
          <w:marLeft w:val="0"/>
          <w:marRight w:val="0"/>
          <w:marTop w:val="0"/>
          <w:marBottom w:val="0"/>
          <w:divBdr>
            <w:top w:val="none" w:sz="0" w:space="0" w:color="auto"/>
            <w:left w:val="none" w:sz="0" w:space="0" w:color="auto"/>
            <w:bottom w:val="none" w:sz="0" w:space="0" w:color="auto"/>
            <w:right w:val="none" w:sz="0" w:space="0" w:color="auto"/>
          </w:divBdr>
        </w:div>
        <w:div w:id="633482340">
          <w:marLeft w:val="0"/>
          <w:marRight w:val="0"/>
          <w:marTop w:val="0"/>
          <w:marBottom w:val="0"/>
          <w:divBdr>
            <w:top w:val="none" w:sz="0" w:space="0" w:color="auto"/>
            <w:left w:val="none" w:sz="0" w:space="0" w:color="auto"/>
            <w:bottom w:val="none" w:sz="0" w:space="0" w:color="auto"/>
            <w:right w:val="none" w:sz="0" w:space="0" w:color="auto"/>
          </w:divBdr>
          <w:divsChild>
            <w:div w:id="1052969355">
              <w:marLeft w:val="-75"/>
              <w:marRight w:val="0"/>
              <w:marTop w:val="30"/>
              <w:marBottom w:val="30"/>
              <w:divBdr>
                <w:top w:val="none" w:sz="0" w:space="0" w:color="auto"/>
                <w:left w:val="none" w:sz="0" w:space="0" w:color="auto"/>
                <w:bottom w:val="none" w:sz="0" w:space="0" w:color="auto"/>
                <w:right w:val="none" w:sz="0" w:space="0" w:color="auto"/>
              </w:divBdr>
              <w:divsChild>
                <w:div w:id="1869751646">
                  <w:marLeft w:val="0"/>
                  <w:marRight w:val="0"/>
                  <w:marTop w:val="0"/>
                  <w:marBottom w:val="0"/>
                  <w:divBdr>
                    <w:top w:val="none" w:sz="0" w:space="0" w:color="auto"/>
                    <w:left w:val="none" w:sz="0" w:space="0" w:color="auto"/>
                    <w:bottom w:val="none" w:sz="0" w:space="0" w:color="auto"/>
                    <w:right w:val="none" w:sz="0" w:space="0" w:color="auto"/>
                  </w:divBdr>
                  <w:divsChild>
                    <w:div w:id="113642366">
                      <w:marLeft w:val="0"/>
                      <w:marRight w:val="0"/>
                      <w:marTop w:val="0"/>
                      <w:marBottom w:val="0"/>
                      <w:divBdr>
                        <w:top w:val="none" w:sz="0" w:space="0" w:color="auto"/>
                        <w:left w:val="none" w:sz="0" w:space="0" w:color="auto"/>
                        <w:bottom w:val="none" w:sz="0" w:space="0" w:color="auto"/>
                        <w:right w:val="none" w:sz="0" w:space="0" w:color="auto"/>
                      </w:divBdr>
                    </w:div>
                  </w:divsChild>
                </w:div>
                <w:div w:id="1999992179">
                  <w:marLeft w:val="0"/>
                  <w:marRight w:val="0"/>
                  <w:marTop w:val="0"/>
                  <w:marBottom w:val="0"/>
                  <w:divBdr>
                    <w:top w:val="none" w:sz="0" w:space="0" w:color="auto"/>
                    <w:left w:val="none" w:sz="0" w:space="0" w:color="auto"/>
                    <w:bottom w:val="none" w:sz="0" w:space="0" w:color="auto"/>
                    <w:right w:val="none" w:sz="0" w:space="0" w:color="auto"/>
                  </w:divBdr>
                  <w:divsChild>
                    <w:div w:id="262734925">
                      <w:marLeft w:val="0"/>
                      <w:marRight w:val="0"/>
                      <w:marTop w:val="0"/>
                      <w:marBottom w:val="0"/>
                      <w:divBdr>
                        <w:top w:val="none" w:sz="0" w:space="0" w:color="auto"/>
                        <w:left w:val="none" w:sz="0" w:space="0" w:color="auto"/>
                        <w:bottom w:val="none" w:sz="0" w:space="0" w:color="auto"/>
                        <w:right w:val="none" w:sz="0" w:space="0" w:color="auto"/>
                      </w:divBdr>
                    </w:div>
                  </w:divsChild>
                </w:div>
                <w:div w:id="174196100">
                  <w:marLeft w:val="0"/>
                  <w:marRight w:val="0"/>
                  <w:marTop w:val="0"/>
                  <w:marBottom w:val="0"/>
                  <w:divBdr>
                    <w:top w:val="none" w:sz="0" w:space="0" w:color="auto"/>
                    <w:left w:val="none" w:sz="0" w:space="0" w:color="auto"/>
                    <w:bottom w:val="none" w:sz="0" w:space="0" w:color="auto"/>
                    <w:right w:val="none" w:sz="0" w:space="0" w:color="auto"/>
                  </w:divBdr>
                  <w:divsChild>
                    <w:div w:id="1942101184">
                      <w:marLeft w:val="0"/>
                      <w:marRight w:val="0"/>
                      <w:marTop w:val="0"/>
                      <w:marBottom w:val="0"/>
                      <w:divBdr>
                        <w:top w:val="none" w:sz="0" w:space="0" w:color="auto"/>
                        <w:left w:val="none" w:sz="0" w:space="0" w:color="auto"/>
                        <w:bottom w:val="none" w:sz="0" w:space="0" w:color="auto"/>
                        <w:right w:val="none" w:sz="0" w:space="0" w:color="auto"/>
                      </w:divBdr>
                    </w:div>
                  </w:divsChild>
                </w:div>
                <w:div w:id="24987964">
                  <w:marLeft w:val="0"/>
                  <w:marRight w:val="0"/>
                  <w:marTop w:val="0"/>
                  <w:marBottom w:val="0"/>
                  <w:divBdr>
                    <w:top w:val="none" w:sz="0" w:space="0" w:color="auto"/>
                    <w:left w:val="none" w:sz="0" w:space="0" w:color="auto"/>
                    <w:bottom w:val="none" w:sz="0" w:space="0" w:color="auto"/>
                    <w:right w:val="none" w:sz="0" w:space="0" w:color="auto"/>
                  </w:divBdr>
                  <w:divsChild>
                    <w:div w:id="798718618">
                      <w:marLeft w:val="0"/>
                      <w:marRight w:val="0"/>
                      <w:marTop w:val="0"/>
                      <w:marBottom w:val="0"/>
                      <w:divBdr>
                        <w:top w:val="none" w:sz="0" w:space="0" w:color="auto"/>
                        <w:left w:val="none" w:sz="0" w:space="0" w:color="auto"/>
                        <w:bottom w:val="none" w:sz="0" w:space="0" w:color="auto"/>
                        <w:right w:val="none" w:sz="0" w:space="0" w:color="auto"/>
                      </w:divBdr>
                    </w:div>
                  </w:divsChild>
                </w:div>
                <w:div w:id="1605334180">
                  <w:marLeft w:val="0"/>
                  <w:marRight w:val="0"/>
                  <w:marTop w:val="0"/>
                  <w:marBottom w:val="0"/>
                  <w:divBdr>
                    <w:top w:val="none" w:sz="0" w:space="0" w:color="auto"/>
                    <w:left w:val="none" w:sz="0" w:space="0" w:color="auto"/>
                    <w:bottom w:val="none" w:sz="0" w:space="0" w:color="auto"/>
                    <w:right w:val="none" w:sz="0" w:space="0" w:color="auto"/>
                  </w:divBdr>
                  <w:divsChild>
                    <w:div w:id="280767160">
                      <w:marLeft w:val="0"/>
                      <w:marRight w:val="0"/>
                      <w:marTop w:val="0"/>
                      <w:marBottom w:val="0"/>
                      <w:divBdr>
                        <w:top w:val="none" w:sz="0" w:space="0" w:color="auto"/>
                        <w:left w:val="none" w:sz="0" w:space="0" w:color="auto"/>
                        <w:bottom w:val="none" w:sz="0" w:space="0" w:color="auto"/>
                        <w:right w:val="none" w:sz="0" w:space="0" w:color="auto"/>
                      </w:divBdr>
                    </w:div>
                  </w:divsChild>
                </w:div>
                <w:div w:id="1022441437">
                  <w:marLeft w:val="0"/>
                  <w:marRight w:val="0"/>
                  <w:marTop w:val="0"/>
                  <w:marBottom w:val="0"/>
                  <w:divBdr>
                    <w:top w:val="none" w:sz="0" w:space="0" w:color="auto"/>
                    <w:left w:val="none" w:sz="0" w:space="0" w:color="auto"/>
                    <w:bottom w:val="none" w:sz="0" w:space="0" w:color="auto"/>
                    <w:right w:val="none" w:sz="0" w:space="0" w:color="auto"/>
                  </w:divBdr>
                  <w:divsChild>
                    <w:div w:id="1346326965">
                      <w:marLeft w:val="0"/>
                      <w:marRight w:val="0"/>
                      <w:marTop w:val="0"/>
                      <w:marBottom w:val="0"/>
                      <w:divBdr>
                        <w:top w:val="none" w:sz="0" w:space="0" w:color="auto"/>
                        <w:left w:val="none" w:sz="0" w:space="0" w:color="auto"/>
                        <w:bottom w:val="none" w:sz="0" w:space="0" w:color="auto"/>
                        <w:right w:val="none" w:sz="0" w:space="0" w:color="auto"/>
                      </w:divBdr>
                    </w:div>
                  </w:divsChild>
                </w:div>
                <w:div w:id="469252716">
                  <w:marLeft w:val="0"/>
                  <w:marRight w:val="0"/>
                  <w:marTop w:val="0"/>
                  <w:marBottom w:val="0"/>
                  <w:divBdr>
                    <w:top w:val="none" w:sz="0" w:space="0" w:color="auto"/>
                    <w:left w:val="none" w:sz="0" w:space="0" w:color="auto"/>
                    <w:bottom w:val="none" w:sz="0" w:space="0" w:color="auto"/>
                    <w:right w:val="none" w:sz="0" w:space="0" w:color="auto"/>
                  </w:divBdr>
                  <w:divsChild>
                    <w:div w:id="601883822">
                      <w:marLeft w:val="0"/>
                      <w:marRight w:val="0"/>
                      <w:marTop w:val="0"/>
                      <w:marBottom w:val="0"/>
                      <w:divBdr>
                        <w:top w:val="none" w:sz="0" w:space="0" w:color="auto"/>
                        <w:left w:val="none" w:sz="0" w:space="0" w:color="auto"/>
                        <w:bottom w:val="none" w:sz="0" w:space="0" w:color="auto"/>
                        <w:right w:val="none" w:sz="0" w:space="0" w:color="auto"/>
                      </w:divBdr>
                    </w:div>
                  </w:divsChild>
                </w:div>
                <w:div w:id="1662195000">
                  <w:marLeft w:val="0"/>
                  <w:marRight w:val="0"/>
                  <w:marTop w:val="0"/>
                  <w:marBottom w:val="0"/>
                  <w:divBdr>
                    <w:top w:val="none" w:sz="0" w:space="0" w:color="auto"/>
                    <w:left w:val="none" w:sz="0" w:space="0" w:color="auto"/>
                    <w:bottom w:val="none" w:sz="0" w:space="0" w:color="auto"/>
                    <w:right w:val="none" w:sz="0" w:space="0" w:color="auto"/>
                  </w:divBdr>
                  <w:divsChild>
                    <w:div w:id="1287085675">
                      <w:marLeft w:val="0"/>
                      <w:marRight w:val="0"/>
                      <w:marTop w:val="0"/>
                      <w:marBottom w:val="0"/>
                      <w:divBdr>
                        <w:top w:val="none" w:sz="0" w:space="0" w:color="auto"/>
                        <w:left w:val="none" w:sz="0" w:space="0" w:color="auto"/>
                        <w:bottom w:val="none" w:sz="0" w:space="0" w:color="auto"/>
                        <w:right w:val="none" w:sz="0" w:space="0" w:color="auto"/>
                      </w:divBdr>
                    </w:div>
                  </w:divsChild>
                </w:div>
                <w:div w:id="1964266502">
                  <w:marLeft w:val="0"/>
                  <w:marRight w:val="0"/>
                  <w:marTop w:val="0"/>
                  <w:marBottom w:val="0"/>
                  <w:divBdr>
                    <w:top w:val="none" w:sz="0" w:space="0" w:color="auto"/>
                    <w:left w:val="none" w:sz="0" w:space="0" w:color="auto"/>
                    <w:bottom w:val="none" w:sz="0" w:space="0" w:color="auto"/>
                    <w:right w:val="none" w:sz="0" w:space="0" w:color="auto"/>
                  </w:divBdr>
                  <w:divsChild>
                    <w:div w:id="319816310">
                      <w:marLeft w:val="0"/>
                      <w:marRight w:val="0"/>
                      <w:marTop w:val="0"/>
                      <w:marBottom w:val="0"/>
                      <w:divBdr>
                        <w:top w:val="none" w:sz="0" w:space="0" w:color="auto"/>
                        <w:left w:val="none" w:sz="0" w:space="0" w:color="auto"/>
                        <w:bottom w:val="none" w:sz="0" w:space="0" w:color="auto"/>
                        <w:right w:val="none" w:sz="0" w:space="0" w:color="auto"/>
                      </w:divBdr>
                    </w:div>
                  </w:divsChild>
                </w:div>
                <w:div w:id="729575944">
                  <w:marLeft w:val="0"/>
                  <w:marRight w:val="0"/>
                  <w:marTop w:val="0"/>
                  <w:marBottom w:val="0"/>
                  <w:divBdr>
                    <w:top w:val="none" w:sz="0" w:space="0" w:color="auto"/>
                    <w:left w:val="none" w:sz="0" w:space="0" w:color="auto"/>
                    <w:bottom w:val="none" w:sz="0" w:space="0" w:color="auto"/>
                    <w:right w:val="none" w:sz="0" w:space="0" w:color="auto"/>
                  </w:divBdr>
                  <w:divsChild>
                    <w:div w:id="243994499">
                      <w:marLeft w:val="0"/>
                      <w:marRight w:val="0"/>
                      <w:marTop w:val="0"/>
                      <w:marBottom w:val="0"/>
                      <w:divBdr>
                        <w:top w:val="none" w:sz="0" w:space="0" w:color="auto"/>
                        <w:left w:val="none" w:sz="0" w:space="0" w:color="auto"/>
                        <w:bottom w:val="none" w:sz="0" w:space="0" w:color="auto"/>
                        <w:right w:val="none" w:sz="0" w:space="0" w:color="auto"/>
                      </w:divBdr>
                    </w:div>
                  </w:divsChild>
                </w:div>
                <w:div w:id="894586749">
                  <w:marLeft w:val="0"/>
                  <w:marRight w:val="0"/>
                  <w:marTop w:val="0"/>
                  <w:marBottom w:val="0"/>
                  <w:divBdr>
                    <w:top w:val="none" w:sz="0" w:space="0" w:color="auto"/>
                    <w:left w:val="none" w:sz="0" w:space="0" w:color="auto"/>
                    <w:bottom w:val="none" w:sz="0" w:space="0" w:color="auto"/>
                    <w:right w:val="none" w:sz="0" w:space="0" w:color="auto"/>
                  </w:divBdr>
                  <w:divsChild>
                    <w:div w:id="1421491369">
                      <w:marLeft w:val="0"/>
                      <w:marRight w:val="0"/>
                      <w:marTop w:val="0"/>
                      <w:marBottom w:val="0"/>
                      <w:divBdr>
                        <w:top w:val="none" w:sz="0" w:space="0" w:color="auto"/>
                        <w:left w:val="none" w:sz="0" w:space="0" w:color="auto"/>
                        <w:bottom w:val="none" w:sz="0" w:space="0" w:color="auto"/>
                        <w:right w:val="none" w:sz="0" w:space="0" w:color="auto"/>
                      </w:divBdr>
                    </w:div>
                  </w:divsChild>
                </w:div>
                <w:div w:id="1636908262">
                  <w:marLeft w:val="0"/>
                  <w:marRight w:val="0"/>
                  <w:marTop w:val="0"/>
                  <w:marBottom w:val="0"/>
                  <w:divBdr>
                    <w:top w:val="none" w:sz="0" w:space="0" w:color="auto"/>
                    <w:left w:val="none" w:sz="0" w:space="0" w:color="auto"/>
                    <w:bottom w:val="none" w:sz="0" w:space="0" w:color="auto"/>
                    <w:right w:val="none" w:sz="0" w:space="0" w:color="auto"/>
                  </w:divBdr>
                  <w:divsChild>
                    <w:div w:id="396783556">
                      <w:marLeft w:val="0"/>
                      <w:marRight w:val="0"/>
                      <w:marTop w:val="0"/>
                      <w:marBottom w:val="0"/>
                      <w:divBdr>
                        <w:top w:val="none" w:sz="0" w:space="0" w:color="auto"/>
                        <w:left w:val="none" w:sz="0" w:space="0" w:color="auto"/>
                        <w:bottom w:val="none" w:sz="0" w:space="0" w:color="auto"/>
                        <w:right w:val="none" w:sz="0" w:space="0" w:color="auto"/>
                      </w:divBdr>
                    </w:div>
                  </w:divsChild>
                </w:div>
                <w:div w:id="414597430">
                  <w:marLeft w:val="0"/>
                  <w:marRight w:val="0"/>
                  <w:marTop w:val="0"/>
                  <w:marBottom w:val="0"/>
                  <w:divBdr>
                    <w:top w:val="none" w:sz="0" w:space="0" w:color="auto"/>
                    <w:left w:val="none" w:sz="0" w:space="0" w:color="auto"/>
                    <w:bottom w:val="none" w:sz="0" w:space="0" w:color="auto"/>
                    <w:right w:val="none" w:sz="0" w:space="0" w:color="auto"/>
                  </w:divBdr>
                  <w:divsChild>
                    <w:div w:id="1693679359">
                      <w:marLeft w:val="0"/>
                      <w:marRight w:val="0"/>
                      <w:marTop w:val="0"/>
                      <w:marBottom w:val="0"/>
                      <w:divBdr>
                        <w:top w:val="none" w:sz="0" w:space="0" w:color="auto"/>
                        <w:left w:val="none" w:sz="0" w:space="0" w:color="auto"/>
                        <w:bottom w:val="none" w:sz="0" w:space="0" w:color="auto"/>
                        <w:right w:val="none" w:sz="0" w:space="0" w:color="auto"/>
                      </w:divBdr>
                    </w:div>
                  </w:divsChild>
                </w:div>
                <w:div w:id="111362370">
                  <w:marLeft w:val="0"/>
                  <w:marRight w:val="0"/>
                  <w:marTop w:val="0"/>
                  <w:marBottom w:val="0"/>
                  <w:divBdr>
                    <w:top w:val="none" w:sz="0" w:space="0" w:color="auto"/>
                    <w:left w:val="none" w:sz="0" w:space="0" w:color="auto"/>
                    <w:bottom w:val="none" w:sz="0" w:space="0" w:color="auto"/>
                    <w:right w:val="none" w:sz="0" w:space="0" w:color="auto"/>
                  </w:divBdr>
                  <w:divsChild>
                    <w:div w:id="1642542054">
                      <w:marLeft w:val="0"/>
                      <w:marRight w:val="0"/>
                      <w:marTop w:val="0"/>
                      <w:marBottom w:val="0"/>
                      <w:divBdr>
                        <w:top w:val="none" w:sz="0" w:space="0" w:color="auto"/>
                        <w:left w:val="none" w:sz="0" w:space="0" w:color="auto"/>
                        <w:bottom w:val="none" w:sz="0" w:space="0" w:color="auto"/>
                        <w:right w:val="none" w:sz="0" w:space="0" w:color="auto"/>
                      </w:divBdr>
                    </w:div>
                  </w:divsChild>
                </w:div>
                <w:div w:id="2017267796">
                  <w:marLeft w:val="0"/>
                  <w:marRight w:val="0"/>
                  <w:marTop w:val="0"/>
                  <w:marBottom w:val="0"/>
                  <w:divBdr>
                    <w:top w:val="none" w:sz="0" w:space="0" w:color="auto"/>
                    <w:left w:val="none" w:sz="0" w:space="0" w:color="auto"/>
                    <w:bottom w:val="none" w:sz="0" w:space="0" w:color="auto"/>
                    <w:right w:val="none" w:sz="0" w:space="0" w:color="auto"/>
                  </w:divBdr>
                  <w:divsChild>
                    <w:div w:id="422990527">
                      <w:marLeft w:val="0"/>
                      <w:marRight w:val="0"/>
                      <w:marTop w:val="0"/>
                      <w:marBottom w:val="0"/>
                      <w:divBdr>
                        <w:top w:val="none" w:sz="0" w:space="0" w:color="auto"/>
                        <w:left w:val="none" w:sz="0" w:space="0" w:color="auto"/>
                        <w:bottom w:val="none" w:sz="0" w:space="0" w:color="auto"/>
                        <w:right w:val="none" w:sz="0" w:space="0" w:color="auto"/>
                      </w:divBdr>
                    </w:div>
                  </w:divsChild>
                </w:div>
                <w:div w:id="1565486146">
                  <w:marLeft w:val="0"/>
                  <w:marRight w:val="0"/>
                  <w:marTop w:val="0"/>
                  <w:marBottom w:val="0"/>
                  <w:divBdr>
                    <w:top w:val="none" w:sz="0" w:space="0" w:color="auto"/>
                    <w:left w:val="none" w:sz="0" w:space="0" w:color="auto"/>
                    <w:bottom w:val="none" w:sz="0" w:space="0" w:color="auto"/>
                    <w:right w:val="none" w:sz="0" w:space="0" w:color="auto"/>
                  </w:divBdr>
                  <w:divsChild>
                    <w:div w:id="1659846386">
                      <w:marLeft w:val="0"/>
                      <w:marRight w:val="0"/>
                      <w:marTop w:val="0"/>
                      <w:marBottom w:val="0"/>
                      <w:divBdr>
                        <w:top w:val="none" w:sz="0" w:space="0" w:color="auto"/>
                        <w:left w:val="none" w:sz="0" w:space="0" w:color="auto"/>
                        <w:bottom w:val="none" w:sz="0" w:space="0" w:color="auto"/>
                        <w:right w:val="none" w:sz="0" w:space="0" w:color="auto"/>
                      </w:divBdr>
                    </w:div>
                  </w:divsChild>
                </w:div>
                <w:div w:id="103621678">
                  <w:marLeft w:val="0"/>
                  <w:marRight w:val="0"/>
                  <w:marTop w:val="0"/>
                  <w:marBottom w:val="0"/>
                  <w:divBdr>
                    <w:top w:val="none" w:sz="0" w:space="0" w:color="auto"/>
                    <w:left w:val="none" w:sz="0" w:space="0" w:color="auto"/>
                    <w:bottom w:val="none" w:sz="0" w:space="0" w:color="auto"/>
                    <w:right w:val="none" w:sz="0" w:space="0" w:color="auto"/>
                  </w:divBdr>
                  <w:divsChild>
                    <w:div w:id="1367562270">
                      <w:marLeft w:val="0"/>
                      <w:marRight w:val="0"/>
                      <w:marTop w:val="0"/>
                      <w:marBottom w:val="0"/>
                      <w:divBdr>
                        <w:top w:val="none" w:sz="0" w:space="0" w:color="auto"/>
                        <w:left w:val="none" w:sz="0" w:space="0" w:color="auto"/>
                        <w:bottom w:val="none" w:sz="0" w:space="0" w:color="auto"/>
                        <w:right w:val="none" w:sz="0" w:space="0" w:color="auto"/>
                      </w:divBdr>
                    </w:div>
                  </w:divsChild>
                </w:div>
                <w:div w:id="709376336">
                  <w:marLeft w:val="0"/>
                  <w:marRight w:val="0"/>
                  <w:marTop w:val="0"/>
                  <w:marBottom w:val="0"/>
                  <w:divBdr>
                    <w:top w:val="none" w:sz="0" w:space="0" w:color="auto"/>
                    <w:left w:val="none" w:sz="0" w:space="0" w:color="auto"/>
                    <w:bottom w:val="none" w:sz="0" w:space="0" w:color="auto"/>
                    <w:right w:val="none" w:sz="0" w:space="0" w:color="auto"/>
                  </w:divBdr>
                  <w:divsChild>
                    <w:div w:id="69544720">
                      <w:marLeft w:val="0"/>
                      <w:marRight w:val="0"/>
                      <w:marTop w:val="0"/>
                      <w:marBottom w:val="0"/>
                      <w:divBdr>
                        <w:top w:val="none" w:sz="0" w:space="0" w:color="auto"/>
                        <w:left w:val="none" w:sz="0" w:space="0" w:color="auto"/>
                        <w:bottom w:val="none" w:sz="0" w:space="0" w:color="auto"/>
                        <w:right w:val="none" w:sz="0" w:space="0" w:color="auto"/>
                      </w:divBdr>
                    </w:div>
                  </w:divsChild>
                </w:div>
                <w:div w:id="859582920">
                  <w:marLeft w:val="0"/>
                  <w:marRight w:val="0"/>
                  <w:marTop w:val="0"/>
                  <w:marBottom w:val="0"/>
                  <w:divBdr>
                    <w:top w:val="none" w:sz="0" w:space="0" w:color="auto"/>
                    <w:left w:val="none" w:sz="0" w:space="0" w:color="auto"/>
                    <w:bottom w:val="none" w:sz="0" w:space="0" w:color="auto"/>
                    <w:right w:val="none" w:sz="0" w:space="0" w:color="auto"/>
                  </w:divBdr>
                  <w:divsChild>
                    <w:div w:id="1418402676">
                      <w:marLeft w:val="0"/>
                      <w:marRight w:val="0"/>
                      <w:marTop w:val="0"/>
                      <w:marBottom w:val="0"/>
                      <w:divBdr>
                        <w:top w:val="none" w:sz="0" w:space="0" w:color="auto"/>
                        <w:left w:val="none" w:sz="0" w:space="0" w:color="auto"/>
                        <w:bottom w:val="none" w:sz="0" w:space="0" w:color="auto"/>
                        <w:right w:val="none" w:sz="0" w:space="0" w:color="auto"/>
                      </w:divBdr>
                    </w:div>
                  </w:divsChild>
                </w:div>
                <w:div w:id="1218975109">
                  <w:marLeft w:val="0"/>
                  <w:marRight w:val="0"/>
                  <w:marTop w:val="0"/>
                  <w:marBottom w:val="0"/>
                  <w:divBdr>
                    <w:top w:val="none" w:sz="0" w:space="0" w:color="auto"/>
                    <w:left w:val="none" w:sz="0" w:space="0" w:color="auto"/>
                    <w:bottom w:val="none" w:sz="0" w:space="0" w:color="auto"/>
                    <w:right w:val="none" w:sz="0" w:space="0" w:color="auto"/>
                  </w:divBdr>
                  <w:divsChild>
                    <w:div w:id="1825197397">
                      <w:marLeft w:val="0"/>
                      <w:marRight w:val="0"/>
                      <w:marTop w:val="0"/>
                      <w:marBottom w:val="0"/>
                      <w:divBdr>
                        <w:top w:val="none" w:sz="0" w:space="0" w:color="auto"/>
                        <w:left w:val="none" w:sz="0" w:space="0" w:color="auto"/>
                        <w:bottom w:val="none" w:sz="0" w:space="0" w:color="auto"/>
                        <w:right w:val="none" w:sz="0" w:space="0" w:color="auto"/>
                      </w:divBdr>
                    </w:div>
                  </w:divsChild>
                </w:div>
                <w:div w:id="1091009360">
                  <w:marLeft w:val="0"/>
                  <w:marRight w:val="0"/>
                  <w:marTop w:val="0"/>
                  <w:marBottom w:val="0"/>
                  <w:divBdr>
                    <w:top w:val="none" w:sz="0" w:space="0" w:color="auto"/>
                    <w:left w:val="none" w:sz="0" w:space="0" w:color="auto"/>
                    <w:bottom w:val="none" w:sz="0" w:space="0" w:color="auto"/>
                    <w:right w:val="none" w:sz="0" w:space="0" w:color="auto"/>
                  </w:divBdr>
                  <w:divsChild>
                    <w:div w:id="766536933">
                      <w:marLeft w:val="0"/>
                      <w:marRight w:val="0"/>
                      <w:marTop w:val="0"/>
                      <w:marBottom w:val="0"/>
                      <w:divBdr>
                        <w:top w:val="none" w:sz="0" w:space="0" w:color="auto"/>
                        <w:left w:val="none" w:sz="0" w:space="0" w:color="auto"/>
                        <w:bottom w:val="none" w:sz="0" w:space="0" w:color="auto"/>
                        <w:right w:val="none" w:sz="0" w:space="0" w:color="auto"/>
                      </w:divBdr>
                    </w:div>
                  </w:divsChild>
                </w:div>
                <w:div w:id="1236402702">
                  <w:marLeft w:val="0"/>
                  <w:marRight w:val="0"/>
                  <w:marTop w:val="0"/>
                  <w:marBottom w:val="0"/>
                  <w:divBdr>
                    <w:top w:val="none" w:sz="0" w:space="0" w:color="auto"/>
                    <w:left w:val="none" w:sz="0" w:space="0" w:color="auto"/>
                    <w:bottom w:val="none" w:sz="0" w:space="0" w:color="auto"/>
                    <w:right w:val="none" w:sz="0" w:space="0" w:color="auto"/>
                  </w:divBdr>
                  <w:divsChild>
                    <w:div w:id="1650593925">
                      <w:marLeft w:val="0"/>
                      <w:marRight w:val="0"/>
                      <w:marTop w:val="0"/>
                      <w:marBottom w:val="0"/>
                      <w:divBdr>
                        <w:top w:val="none" w:sz="0" w:space="0" w:color="auto"/>
                        <w:left w:val="none" w:sz="0" w:space="0" w:color="auto"/>
                        <w:bottom w:val="none" w:sz="0" w:space="0" w:color="auto"/>
                        <w:right w:val="none" w:sz="0" w:space="0" w:color="auto"/>
                      </w:divBdr>
                    </w:div>
                  </w:divsChild>
                </w:div>
                <w:div w:id="1441295443">
                  <w:marLeft w:val="0"/>
                  <w:marRight w:val="0"/>
                  <w:marTop w:val="0"/>
                  <w:marBottom w:val="0"/>
                  <w:divBdr>
                    <w:top w:val="none" w:sz="0" w:space="0" w:color="auto"/>
                    <w:left w:val="none" w:sz="0" w:space="0" w:color="auto"/>
                    <w:bottom w:val="none" w:sz="0" w:space="0" w:color="auto"/>
                    <w:right w:val="none" w:sz="0" w:space="0" w:color="auto"/>
                  </w:divBdr>
                  <w:divsChild>
                    <w:div w:id="1546068136">
                      <w:marLeft w:val="0"/>
                      <w:marRight w:val="0"/>
                      <w:marTop w:val="0"/>
                      <w:marBottom w:val="0"/>
                      <w:divBdr>
                        <w:top w:val="none" w:sz="0" w:space="0" w:color="auto"/>
                        <w:left w:val="none" w:sz="0" w:space="0" w:color="auto"/>
                        <w:bottom w:val="none" w:sz="0" w:space="0" w:color="auto"/>
                        <w:right w:val="none" w:sz="0" w:space="0" w:color="auto"/>
                      </w:divBdr>
                    </w:div>
                  </w:divsChild>
                </w:div>
                <w:div w:id="1961179117">
                  <w:marLeft w:val="0"/>
                  <w:marRight w:val="0"/>
                  <w:marTop w:val="0"/>
                  <w:marBottom w:val="0"/>
                  <w:divBdr>
                    <w:top w:val="none" w:sz="0" w:space="0" w:color="auto"/>
                    <w:left w:val="none" w:sz="0" w:space="0" w:color="auto"/>
                    <w:bottom w:val="none" w:sz="0" w:space="0" w:color="auto"/>
                    <w:right w:val="none" w:sz="0" w:space="0" w:color="auto"/>
                  </w:divBdr>
                  <w:divsChild>
                    <w:div w:id="1477602975">
                      <w:marLeft w:val="0"/>
                      <w:marRight w:val="0"/>
                      <w:marTop w:val="0"/>
                      <w:marBottom w:val="0"/>
                      <w:divBdr>
                        <w:top w:val="none" w:sz="0" w:space="0" w:color="auto"/>
                        <w:left w:val="none" w:sz="0" w:space="0" w:color="auto"/>
                        <w:bottom w:val="none" w:sz="0" w:space="0" w:color="auto"/>
                        <w:right w:val="none" w:sz="0" w:space="0" w:color="auto"/>
                      </w:divBdr>
                    </w:div>
                  </w:divsChild>
                </w:div>
                <w:div w:id="2100759551">
                  <w:marLeft w:val="0"/>
                  <w:marRight w:val="0"/>
                  <w:marTop w:val="0"/>
                  <w:marBottom w:val="0"/>
                  <w:divBdr>
                    <w:top w:val="none" w:sz="0" w:space="0" w:color="auto"/>
                    <w:left w:val="none" w:sz="0" w:space="0" w:color="auto"/>
                    <w:bottom w:val="none" w:sz="0" w:space="0" w:color="auto"/>
                    <w:right w:val="none" w:sz="0" w:space="0" w:color="auto"/>
                  </w:divBdr>
                  <w:divsChild>
                    <w:div w:id="136458243">
                      <w:marLeft w:val="0"/>
                      <w:marRight w:val="0"/>
                      <w:marTop w:val="0"/>
                      <w:marBottom w:val="0"/>
                      <w:divBdr>
                        <w:top w:val="none" w:sz="0" w:space="0" w:color="auto"/>
                        <w:left w:val="none" w:sz="0" w:space="0" w:color="auto"/>
                        <w:bottom w:val="none" w:sz="0" w:space="0" w:color="auto"/>
                        <w:right w:val="none" w:sz="0" w:space="0" w:color="auto"/>
                      </w:divBdr>
                    </w:div>
                  </w:divsChild>
                </w:div>
                <w:div w:id="607011624">
                  <w:marLeft w:val="0"/>
                  <w:marRight w:val="0"/>
                  <w:marTop w:val="0"/>
                  <w:marBottom w:val="0"/>
                  <w:divBdr>
                    <w:top w:val="none" w:sz="0" w:space="0" w:color="auto"/>
                    <w:left w:val="none" w:sz="0" w:space="0" w:color="auto"/>
                    <w:bottom w:val="none" w:sz="0" w:space="0" w:color="auto"/>
                    <w:right w:val="none" w:sz="0" w:space="0" w:color="auto"/>
                  </w:divBdr>
                  <w:divsChild>
                    <w:div w:id="771974105">
                      <w:marLeft w:val="0"/>
                      <w:marRight w:val="0"/>
                      <w:marTop w:val="0"/>
                      <w:marBottom w:val="0"/>
                      <w:divBdr>
                        <w:top w:val="none" w:sz="0" w:space="0" w:color="auto"/>
                        <w:left w:val="none" w:sz="0" w:space="0" w:color="auto"/>
                        <w:bottom w:val="none" w:sz="0" w:space="0" w:color="auto"/>
                        <w:right w:val="none" w:sz="0" w:space="0" w:color="auto"/>
                      </w:divBdr>
                    </w:div>
                  </w:divsChild>
                </w:div>
                <w:div w:id="951325046">
                  <w:marLeft w:val="0"/>
                  <w:marRight w:val="0"/>
                  <w:marTop w:val="0"/>
                  <w:marBottom w:val="0"/>
                  <w:divBdr>
                    <w:top w:val="none" w:sz="0" w:space="0" w:color="auto"/>
                    <w:left w:val="none" w:sz="0" w:space="0" w:color="auto"/>
                    <w:bottom w:val="none" w:sz="0" w:space="0" w:color="auto"/>
                    <w:right w:val="none" w:sz="0" w:space="0" w:color="auto"/>
                  </w:divBdr>
                  <w:divsChild>
                    <w:div w:id="26101810">
                      <w:marLeft w:val="0"/>
                      <w:marRight w:val="0"/>
                      <w:marTop w:val="0"/>
                      <w:marBottom w:val="0"/>
                      <w:divBdr>
                        <w:top w:val="none" w:sz="0" w:space="0" w:color="auto"/>
                        <w:left w:val="none" w:sz="0" w:space="0" w:color="auto"/>
                        <w:bottom w:val="none" w:sz="0" w:space="0" w:color="auto"/>
                        <w:right w:val="none" w:sz="0" w:space="0" w:color="auto"/>
                      </w:divBdr>
                    </w:div>
                  </w:divsChild>
                </w:div>
                <w:div w:id="569847278">
                  <w:marLeft w:val="0"/>
                  <w:marRight w:val="0"/>
                  <w:marTop w:val="0"/>
                  <w:marBottom w:val="0"/>
                  <w:divBdr>
                    <w:top w:val="none" w:sz="0" w:space="0" w:color="auto"/>
                    <w:left w:val="none" w:sz="0" w:space="0" w:color="auto"/>
                    <w:bottom w:val="none" w:sz="0" w:space="0" w:color="auto"/>
                    <w:right w:val="none" w:sz="0" w:space="0" w:color="auto"/>
                  </w:divBdr>
                  <w:divsChild>
                    <w:div w:id="1792937399">
                      <w:marLeft w:val="0"/>
                      <w:marRight w:val="0"/>
                      <w:marTop w:val="0"/>
                      <w:marBottom w:val="0"/>
                      <w:divBdr>
                        <w:top w:val="none" w:sz="0" w:space="0" w:color="auto"/>
                        <w:left w:val="none" w:sz="0" w:space="0" w:color="auto"/>
                        <w:bottom w:val="none" w:sz="0" w:space="0" w:color="auto"/>
                        <w:right w:val="none" w:sz="0" w:space="0" w:color="auto"/>
                      </w:divBdr>
                    </w:div>
                  </w:divsChild>
                </w:div>
                <w:div w:id="883326874">
                  <w:marLeft w:val="0"/>
                  <w:marRight w:val="0"/>
                  <w:marTop w:val="0"/>
                  <w:marBottom w:val="0"/>
                  <w:divBdr>
                    <w:top w:val="none" w:sz="0" w:space="0" w:color="auto"/>
                    <w:left w:val="none" w:sz="0" w:space="0" w:color="auto"/>
                    <w:bottom w:val="none" w:sz="0" w:space="0" w:color="auto"/>
                    <w:right w:val="none" w:sz="0" w:space="0" w:color="auto"/>
                  </w:divBdr>
                  <w:divsChild>
                    <w:div w:id="646856716">
                      <w:marLeft w:val="0"/>
                      <w:marRight w:val="0"/>
                      <w:marTop w:val="0"/>
                      <w:marBottom w:val="0"/>
                      <w:divBdr>
                        <w:top w:val="none" w:sz="0" w:space="0" w:color="auto"/>
                        <w:left w:val="none" w:sz="0" w:space="0" w:color="auto"/>
                        <w:bottom w:val="none" w:sz="0" w:space="0" w:color="auto"/>
                        <w:right w:val="none" w:sz="0" w:space="0" w:color="auto"/>
                      </w:divBdr>
                    </w:div>
                  </w:divsChild>
                </w:div>
                <w:div w:id="760491523">
                  <w:marLeft w:val="0"/>
                  <w:marRight w:val="0"/>
                  <w:marTop w:val="0"/>
                  <w:marBottom w:val="0"/>
                  <w:divBdr>
                    <w:top w:val="none" w:sz="0" w:space="0" w:color="auto"/>
                    <w:left w:val="none" w:sz="0" w:space="0" w:color="auto"/>
                    <w:bottom w:val="none" w:sz="0" w:space="0" w:color="auto"/>
                    <w:right w:val="none" w:sz="0" w:space="0" w:color="auto"/>
                  </w:divBdr>
                  <w:divsChild>
                    <w:div w:id="1867215214">
                      <w:marLeft w:val="0"/>
                      <w:marRight w:val="0"/>
                      <w:marTop w:val="0"/>
                      <w:marBottom w:val="0"/>
                      <w:divBdr>
                        <w:top w:val="none" w:sz="0" w:space="0" w:color="auto"/>
                        <w:left w:val="none" w:sz="0" w:space="0" w:color="auto"/>
                        <w:bottom w:val="none" w:sz="0" w:space="0" w:color="auto"/>
                        <w:right w:val="none" w:sz="0" w:space="0" w:color="auto"/>
                      </w:divBdr>
                    </w:div>
                  </w:divsChild>
                </w:div>
                <w:div w:id="700395972">
                  <w:marLeft w:val="0"/>
                  <w:marRight w:val="0"/>
                  <w:marTop w:val="0"/>
                  <w:marBottom w:val="0"/>
                  <w:divBdr>
                    <w:top w:val="none" w:sz="0" w:space="0" w:color="auto"/>
                    <w:left w:val="none" w:sz="0" w:space="0" w:color="auto"/>
                    <w:bottom w:val="none" w:sz="0" w:space="0" w:color="auto"/>
                    <w:right w:val="none" w:sz="0" w:space="0" w:color="auto"/>
                  </w:divBdr>
                  <w:divsChild>
                    <w:div w:id="1316715316">
                      <w:marLeft w:val="0"/>
                      <w:marRight w:val="0"/>
                      <w:marTop w:val="0"/>
                      <w:marBottom w:val="0"/>
                      <w:divBdr>
                        <w:top w:val="none" w:sz="0" w:space="0" w:color="auto"/>
                        <w:left w:val="none" w:sz="0" w:space="0" w:color="auto"/>
                        <w:bottom w:val="none" w:sz="0" w:space="0" w:color="auto"/>
                        <w:right w:val="none" w:sz="0" w:space="0" w:color="auto"/>
                      </w:divBdr>
                    </w:div>
                  </w:divsChild>
                </w:div>
                <w:div w:id="555895386">
                  <w:marLeft w:val="0"/>
                  <w:marRight w:val="0"/>
                  <w:marTop w:val="0"/>
                  <w:marBottom w:val="0"/>
                  <w:divBdr>
                    <w:top w:val="none" w:sz="0" w:space="0" w:color="auto"/>
                    <w:left w:val="none" w:sz="0" w:space="0" w:color="auto"/>
                    <w:bottom w:val="none" w:sz="0" w:space="0" w:color="auto"/>
                    <w:right w:val="none" w:sz="0" w:space="0" w:color="auto"/>
                  </w:divBdr>
                  <w:divsChild>
                    <w:div w:id="1042752876">
                      <w:marLeft w:val="0"/>
                      <w:marRight w:val="0"/>
                      <w:marTop w:val="0"/>
                      <w:marBottom w:val="0"/>
                      <w:divBdr>
                        <w:top w:val="none" w:sz="0" w:space="0" w:color="auto"/>
                        <w:left w:val="none" w:sz="0" w:space="0" w:color="auto"/>
                        <w:bottom w:val="none" w:sz="0" w:space="0" w:color="auto"/>
                        <w:right w:val="none" w:sz="0" w:space="0" w:color="auto"/>
                      </w:divBdr>
                    </w:div>
                  </w:divsChild>
                </w:div>
                <w:div w:id="1394500140">
                  <w:marLeft w:val="0"/>
                  <w:marRight w:val="0"/>
                  <w:marTop w:val="0"/>
                  <w:marBottom w:val="0"/>
                  <w:divBdr>
                    <w:top w:val="none" w:sz="0" w:space="0" w:color="auto"/>
                    <w:left w:val="none" w:sz="0" w:space="0" w:color="auto"/>
                    <w:bottom w:val="none" w:sz="0" w:space="0" w:color="auto"/>
                    <w:right w:val="none" w:sz="0" w:space="0" w:color="auto"/>
                  </w:divBdr>
                  <w:divsChild>
                    <w:div w:id="1951812432">
                      <w:marLeft w:val="0"/>
                      <w:marRight w:val="0"/>
                      <w:marTop w:val="0"/>
                      <w:marBottom w:val="0"/>
                      <w:divBdr>
                        <w:top w:val="none" w:sz="0" w:space="0" w:color="auto"/>
                        <w:left w:val="none" w:sz="0" w:space="0" w:color="auto"/>
                        <w:bottom w:val="none" w:sz="0" w:space="0" w:color="auto"/>
                        <w:right w:val="none" w:sz="0" w:space="0" w:color="auto"/>
                      </w:divBdr>
                    </w:div>
                  </w:divsChild>
                </w:div>
                <w:div w:id="418406310">
                  <w:marLeft w:val="0"/>
                  <w:marRight w:val="0"/>
                  <w:marTop w:val="0"/>
                  <w:marBottom w:val="0"/>
                  <w:divBdr>
                    <w:top w:val="none" w:sz="0" w:space="0" w:color="auto"/>
                    <w:left w:val="none" w:sz="0" w:space="0" w:color="auto"/>
                    <w:bottom w:val="none" w:sz="0" w:space="0" w:color="auto"/>
                    <w:right w:val="none" w:sz="0" w:space="0" w:color="auto"/>
                  </w:divBdr>
                  <w:divsChild>
                    <w:div w:id="1331905124">
                      <w:marLeft w:val="0"/>
                      <w:marRight w:val="0"/>
                      <w:marTop w:val="0"/>
                      <w:marBottom w:val="0"/>
                      <w:divBdr>
                        <w:top w:val="none" w:sz="0" w:space="0" w:color="auto"/>
                        <w:left w:val="none" w:sz="0" w:space="0" w:color="auto"/>
                        <w:bottom w:val="none" w:sz="0" w:space="0" w:color="auto"/>
                        <w:right w:val="none" w:sz="0" w:space="0" w:color="auto"/>
                      </w:divBdr>
                    </w:div>
                  </w:divsChild>
                </w:div>
                <w:div w:id="495613059">
                  <w:marLeft w:val="0"/>
                  <w:marRight w:val="0"/>
                  <w:marTop w:val="0"/>
                  <w:marBottom w:val="0"/>
                  <w:divBdr>
                    <w:top w:val="none" w:sz="0" w:space="0" w:color="auto"/>
                    <w:left w:val="none" w:sz="0" w:space="0" w:color="auto"/>
                    <w:bottom w:val="none" w:sz="0" w:space="0" w:color="auto"/>
                    <w:right w:val="none" w:sz="0" w:space="0" w:color="auto"/>
                  </w:divBdr>
                  <w:divsChild>
                    <w:div w:id="357661999">
                      <w:marLeft w:val="0"/>
                      <w:marRight w:val="0"/>
                      <w:marTop w:val="0"/>
                      <w:marBottom w:val="0"/>
                      <w:divBdr>
                        <w:top w:val="none" w:sz="0" w:space="0" w:color="auto"/>
                        <w:left w:val="none" w:sz="0" w:space="0" w:color="auto"/>
                        <w:bottom w:val="none" w:sz="0" w:space="0" w:color="auto"/>
                        <w:right w:val="none" w:sz="0" w:space="0" w:color="auto"/>
                      </w:divBdr>
                    </w:div>
                  </w:divsChild>
                </w:div>
                <w:div w:id="1173838468">
                  <w:marLeft w:val="0"/>
                  <w:marRight w:val="0"/>
                  <w:marTop w:val="0"/>
                  <w:marBottom w:val="0"/>
                  <w:divBdr>
                    <w:top w:val="none" w:sz="0" w:space="0" w:color="auto"/>
                    <w:left w:val="none" w:sz="0" w:space="0" w:color="auto"/>
                    <w:bottom w:val="none" w:sz="0" w:space="0" w:color="auto"/>
                    <w:right w:val="none" w:sz="0" w:space="0" w:color="auto"/>
                  </w:divBdr>
                  <w:divsChild>
                    <w:div w:id="187611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17509">
          <w:marLeft w:val="0"/>
          <w:marRight w:val="0"/>
          <w:marTop w:val="0"/>
          <w:marBottom w:val="0"/>
          <w:divBdr>
            <w:top w:val="none" w:sz="0" w:space="0" w:color="auto"/>
            <w:left w:val="none" w:sz="0" w:space="0" w:color="auto"/>
            <w:bottom w:val="none" w:sz="0" w:space="0" w:color="auto"/>
            <w:right w:val="none" w:sz="0" w:space="0" w:color="auto"/>
          </w:divBdr>
        </w:div>
        <w:div w:id="468211860">
          <w:marLeft w:val="0"/>
          <w:marRight w:val="0"/>
          <w:marTop w:val="0"/>
          <w:marBottom w:val="0"/>
          <w:divBdr>
            <w:top w:val="none" w:sz="0" w:space="0" w:color="auto"/>
            <w:left w:val="none" w:sz="0" w:space="0" w:color="auto"/>
            <w:bottom w:val="none" w:sz="0" w:space="0" w:color="auto"/>
            <w:right w:val="none" w:sz="0" w:space="0" w:color="auto"/>
          </w:divBdr>
        </w:div>
        <w:div w:id="1417434180">
          <w:marLeft w:val="0"/>
          <w:marRight w:val="0"/>
          <w:marTop w:val="0"/>
          <w:marBottom w:val="0"/>
          <w:divBdr>
            <w:top w:val="none" w:sz="0" w:space="0" w:color="auto"/>
            <w:left w:val="none" w:sz="0" w:space="0" w:color="auto"/>
            <w:bottom w:val="none" w:sz="0" w:space="0" w:color="auto"/>
            <w:right w:val="none" w:sz="0" w:space="0" w:color="auto"/>
          </w:divBdr>
        </w:div>
        <w:div w:id="1437214396">
          <w:marLeft w:val="0"/>
          <w:marRight w:val="0"/>
          <w:marTop w:val="0"/>
          <w:marBottom w:val="0"/>
          <w:divBdr>
            <w:top w:val="none" w:sz="0" w:space="0" w:color="auto"/>
            <w:left w:val="none" w:sz="0" w:space="0" w:color="auto"/>
            <w:bottom w:val="none" w:sz="0" w:space="0" w:color="auto"/>
            <w:right w:val="none" w:sz="0" w:space="0" w:color="auto"/>
          </w:divBdr>
        </w:div>
        <w:div w:id="426194449">
          <w:marLeft w:val="0"/>
          <w:marRight w:val="0"/>
          <w:marTop w:val="0"/>
          <w:marBottom w:val="0"/>
          <w:divBdr>
            <w:top w:val="none" w:sz="0" w:space="0" w:color="auto"/>
            <w:left w:val="none" w:sz="0" w:space="0" w:color="auto"/>
            <w:bottom w:val="none" w:sz="0" w:space="0" w:color="auto"/>
            <w:right w:val="none" w:sz="0" w:space="0" w:color="auto"/>
          </w:divBdr>
        </w:div>
        <w:div w:id="1089349869">
          <w:marLeft w:val="0"/>
          <w:marRight w:val="0"/>
          <w:marTop w:val="0"/>
          <w:marBottom w:val="0"/>
          <w:divBdr>
            <w:top w:val="none" w:sz="0" w:space="0" w:color="auto"/>
            <w:left w:val="none" w:sz="0" w:space="0" w:color="auto"/>
            <w:bottom w:val="none" w:sz="0" w:space="0" w:color="auto"/>
            <w:right w:val="none" w:sz="0" w:space="0" w:color="auto"/>
          </w:divBdr>
        </w:div>
        <w:div w:id="810830554">
          <w:marLeft w:val="0"/>
          <w:marRight w:val="0"/>
          <w:marTop w:val="0"/>
          <w:marBottom w:val="0"/>
          <w:divBdr>
            <w:top w:val="none" w:sz="0" w:space="0" w:color="auto"/>
            <w:left w:val="none" w:sz="0" w:space="0" w:color="auto"/>
            <w:bottom w:val="none" w:sz="0" w:space="0" w:color="auto"/>
            <w:right w:val="none" w:sz="0" w:space="0" w:color="auto"/>
          </w:divBdr>
        </w:div>
        <w:div w:id="701829549">
          <w:marLeft w:val="0"/>
          <w:marRight w:val="0"/>
          <w:marTop w:val="0"/>
          <w:marBottom w:val="0"/>
          <w:divBdr>
            <w:top w:val="none" w:sz="0" w:space="0" w:color="auto"/>
            <w:left w:val="none" w:sz="0" w:space="0" w:color="auto"/>
            <w:bottom w:val="none" w:sz="0" w:space="0" w:color="auto"/>
            <w:right w:val="none" w:sz="0" w:space="0" w:color="auto"/>
          </w:divBdr>
        </w:div>
        <w:div w:id="413210271">
          <w:marLeft w:val="0"/>
          <w:marRight w:val="0"/>
          <w:marTop w:val="0"/>
          <w:marBottom w:val="0"/>
          <w:divBdr>
            <w:top w:val="none" w:sz="0" w:space="0" w:color="auto"/>
            <w:left w:val="none" w:sz="0" w:space="0" w:color="auto"/>
            <w:bottom w:val="none" w:sz="0" w:space="0" w:color="auto"/>
            <w:right w:val="none" w:sz="0" w:space="0" w:color="auto"/>
          </w:divBdr>
        </w:div>
        <w:div w:id="1785346886">
          <w:marLeft w:val="0"/>
          <w:marRight w:val="0"/>
          <w:marTop w:val="0"/>
          <w:marBottom w:val="0"/>
          <w:divBdr>
            <w:top w:val="none" w:sz="0" w:space="0" w:color="auto"/>
            <w:left w:val="none" w:sz="0" w:space="0" w:color="auto"/>
            <w:bottom w:val="none" w:sz="0" w:space="0" w:color="auto"/>
            <w:right w:val="none" w:sz="0" w:space="0" w:color="auto"/>
          </w:divBdr>
        </w:div>
        <w:div w:id="326518113">
          <w:marLeft w:val="0"/>
          <w:marRight w:val="0"/>
          <w:marTop w:val="0"/>
          <w:marBottom w:val="0"/>
          <w:divBdr>
            <w:top w:val="none" w:sz="0" w:space="0" w:color="auto"/>
            <w:left w:val="none" w:sz="0" w:space="0" w:color="auto"/>
            <w:bottom w:val="none" w:sz="0" w:space="0" w:color="auto"/>
            <w:right w:val="none" w:sz="0" w:space="0" w:color="auto"/>
          </w:divBdr>
        </w:div>
        <w:div w:id="1176991712">
          <w:marLeft w:val="0"/>
          <w:marRight w:val="0"/>
          <w:marTop w:val="0"/>
          <w:marBottom w:val="0"/>
          <w:divBdr>
            <w:top w:val="none" w:sz="0" w:space="0" w:color="auto"/>
            <w:left w:val="none" w:sz="0" w:space="0" w:color="auto"/>
            <w:bottom w:val="none" w:sz="0" w:space="0" w:color="auto"/>
            <w:right w:val="none" w:sz="0" w:space="0" w:color="auto"/>
          </w:divBdr>
        </w:div>
        <w:div w:id="2119173833">
          <w:marLeft w:val="0"/>
          <w:marRight w:val="0"/>
          <w:marTop w:val="0"/>
          <w:marBottom w:val="0"/>
          <w:divBdr>
            <w:top w:val="none" w:sz="0" w:space="0" w:color="auto"/>
            <w:left w:val="none" w:sz="0" w:space="0" w:color="auto"/>
            <w:bottom w:val="none" w:sz="0" w:space="0" w:color="auto"/>
            <w:right w:val="none" w:sz="0" w:space="0" w:color="auto"/>
          </w:divBdr>
        </w:div>
        <w:div w:id="1779061949">
          <w:marLeft w:val="0"/>
          <w:marRight w:val="0"/>
          <w:marTop w:val="0"/>
          <w:marBottom w:val="0"/>
          <w:divBdr>
            <w:top w:val="none" w:sz="0" w:space="0" w:color="auto"/>
            <w:left w:val="none" w:sz="0" w:space="0" w:color="auto"/>
            <w:bottom w:val="none" w:sz="0" w:space="0" w:color="auto"/>
            <w:right w:val="none" w:sz="0" w:space="0" w:color="auto"/>
          </w:divBdr>
        </w:div>
        <w:div w:id="1707753741">
          <w:marLeft w:val="0"/>
          <w:marRight w:val="0"/>
          <w:marTop w:val="0"/>
          <w:marBottom w:val="0"/>
          <w:divBdr>
            <w:top w:val="none" w:sz="0" w:space="0" w:color="auto"/>
            <w:left w:val="none" w:sz="0" w:space="0" w:color="auto"/>
            <w:bottom w:val="none" w:sz="0" w:space="0" w:color="auto"/>
            <w:right w:val="none" w:sz="0" w:space="0" w:color="auto"/>
          </w:divBdr>
        </w:div>
        <w:div w:id="1012489374">
          <w:marLeft w:val="0"/>
          <w:marRight w:val="0"/>
          <w:marTop w:val="0"/>
          <w:marBottom w:val="0"/>
          <w:divBdr>
            <w:top w:val="none" w:sz="0" w:space="0" w:color="auto"/>
            <w:left w:val="none" w:sz="0" w:space="0" w:color="auto"/>
            <w:bottom w:val="none" w:sz="0" w:space="0" w:color="auto"/>
            <w:right w:val="none" w:sz="0" w:space="0" w:color="auto"/>
          </w:divBdr>
        </w:div>
        <w:div w:id="850728204">
          <w:marLeft w:val="0"/>
          <w:marRight w:val="0"/>
          <w:marTop w:val="0"/>
          <w:marBottom w:val="0"/>
          <w:divBdr>
            <w:top w:val="none" w:sz="0" w:space="0" w:color="auto"/>
            <w:left w:val="none" w:sz="0" w:space="0" w:color="auto"/>
            <w:bottom w:val="none" w:sz="0" w:space="0" w:color="auto"/>
            <w:right w:val="none" w:sz="0" w:space="0" w:color="auto"/>
          </w:divBdr>
        </w:div>
        <w:div w:id="132262231">
          <w:marLeft w:val="0"/>
          <w:marRight w:val="0"/>
          <w:marTop w:val="0"/>
          <w:marBottom w:val="0"/>
          <w:divBdr>
            <w:top w:val="none" w:sz="0" w:space="0" w:color="auto"/>
            <w:left w:val="none" w:sz="0" w:space="0" w:color="auto"/>
            <w:bottom w:val="none" w:sz="0" w:space="0" w:color="auto"/>
            <w:right w:val="none" w:sz="0" w:space="0" w:color="auto"/>
          </w:divBdr>
        </w:div>
        <w:div w:id="1954939461">
          <w:marLeft w:val="0"/>
          <w:marRight w:val="0"/>
          <w:marTop w:val="0"/>
          <w:marBottom w:val="0"/>
          <w:divBdr>
            <w:top w:val="none" w:sz="0" w:space="0" w:color="auto"/>
            <w:left w:val="none" w:sz="0" w:space="0" w:color="auto"/>
            <w:bottom w:val="none" w:sz="0" w:space="0" w:color="auto"/>
            <w:right w:val="none" w:sz="0" w:space="0" w:color="auto"/>
          </w:divBdr>
        </w:div>
        <w:div w:id="1276248884">
          <w:marLeft w:val="0"/>
          <w:marRight w:val="0"/>
          <w:marTop w:val="0"/>
          <w:marBottom w:val="0"/>
          <w:divBdr>
            <w:top w:val="none" w:sz="0" w:space="0" w:color="auto"/>
            <w:left w:val="none" w:sz="0" w:space="0" w:color="auto"/>
            <w:bottom w:val="none" w:sz="0" w:space="0" w:color="auto"/>
            <w:right w:val="none" w:sz="0" w:space="0" w:color="auto"/>
          </w:divBdr>
          <w:divsChild>
            <w:div w:id="1707872583">
              <w:marLeft w:val="-75"/>
              <w:marRight w:val="0"/>
              <w:marTop w:val="30"/>
              <w:marBottom w:val="30"/>
              <w:divBdr>
                <w:top w:val="none" w:sz="0" w:space="0" w:color="auto"/>
                <w:left w:val="none" w:sz="0" w:space="0" w:color="auto"/>
                <w:bottom w:val="none" w:sz="0" w:space="0" w:color="auto"/>
                <w:right w:val="none" w:sz="0" w:space="0" w:color="auto"/>
              </w:divBdr>
              <w:divsChild>
                <w:div w:id="1453594320">
                  <w:marLeft w:val="0"/>
                  <w:marRight w:val="0"/>
                  <w:marTop w:val="0"/>
                  <w:marBottom w:val="0"/>
                  <w:divBdr>
                    <w:top w:val="none" w:sz="0" w:space="0" w:color="auto"/>
                    <w:left w:val="none" w:sz="0" w:space="0" w:color="auto"/>
                    <w:bottom w:val="none" w:sz="0" w:space="0" w:color="auto"/>
                    <w:right w:val="none" w:sz="0" w:space="0" w:color="auto"/>
                  </w:divBdr>
                  <w:divsChild>
                    <w:div w:id="356396357">
                      <w:marLeft w:val="0"/>
                      <w:marRight w:val="0"/>
                      <w:marTop w:val="0"/>
                      <w:marBottom w:val="0"/>
                      <w:divBdr>
                        <w:top w:val="none" w:sz="0" w:space="0" w:color="auto"/>
                        <w:left w:val="none" w:sz="0" w:space="0" w:color="auto"/>
                        <w:bottom w:val="none" w:sz="0" w:space="0" w:color="auto"/>
                        <w:right w:val="none" w:sz="0" w:space="0" w:color="auto"/>
                      </w:divBdr>
                    </w:div>
                  </w:divsChild>
                </w:div>
                <w:div w:id="1511333104">
                  <w:marLeft w:val="0"/>
                  <w:marRight w:val="0"/>
                  <w:marTop w:val="0"/>
                  <w:marBottom w:val="0"/>
                  <w:divBdr>
                    <w:top w:val="none" w:sz="0" w:space="0" w:color="auto"/>
                    <w:left w:val="none" w:sz="0" w:space="0" w:color="auto"/>
                    <w:bottom w:val="none" w:sz="0" w:space="0" w:color="auto"/>
                    <w:right w:val="none" w:sz="0" w:space="0" w:color="auto"/>
                  </w:divBdr>
                  <w:divsChild>
                    <w:div w:id="767432698">
                      <w:marLeft w:val="0"/>
                      <w:marRight w:val="0"/>
                      <w:marTop w:val="0"/>
                      <w:marBottom w:val="0"/>
                      <w:divBdr>
                        <w:top w:val="none" w:sz="0" w:space="0" w:color="auto"/>
                        <w:left w:val="none" w:sz="0" w:space="0" w:color="auto"/>
                        <w:bottom w:val="none" w:sz="0" w:space="0" w:color="auto"/>
                        <w:right w:val="none" w:sz="0" w:space="0" w:color="auto"/>
                      </w:divBdr>
                    </w:div>
                  </w:divsChild>
                </w:div>
                <w:div w:id="602147547">
                  <w:marLeft w:val="0"/>
                  <w:marRight w:val="0"/>
                  <w:marTop w:val="0"/>
                  <w:marBottom w:val="0"/>
                  <w:divBdr>
                    <w:top w:val="none" w:sz="0" w:space="0" w:color="auto"/>
                    <w:left w:val="none" w:sz="0" w:space="0" w:color="auto"/>
                    <w:bottom w:val="none" w:sz="0" w:space="0" w:color="auto"/>
                    <w:right w:val="none" w:sz="0" w:space="0" w:color="auto"/>
                  </w:divBdr>
                  <w:divsChild>
                    <w:div w:id="802305889">
                      <w:marLeft w:val="0"/>
                      <w:marRight w:val="0"/>
                      <w:marTop w:val="0"/>
                      <w:marBottom w:val="0"/>
                      <w:divBdr>
                        <w:top w:val="none" w:sz="0" w:space="0" w:color="auto"/>
                        <w:left w:val="none" w:sz="0" w:space="0" w:color="auto"/>
                        <w:bottom w:val="none" w:sz="0" w:space="0" w:color="auto"/>
                        <w:right w:val="none" w:sz="0" w:space="0" w:color="auto"/>
                      </w:divBdr>
                    </w:div>
                  </w:divsChild>
                </w:div>
                <w:div w:id="116803261">
                  <w:marLeft w:val="0"/>
                  <w:marRight w:val="0"/>
                  <w:marTop w:val="0"/>
                  <w:marBottom w:val="0"/>
                  <w:divBdr>
                    <w:top w:val="none" w:sz="0" w:space="0" w:color="auto"/>
                    <w:left w:val="none" w:sz="0" w:space="0" w:color="auto"/>
                    <w:bottom w:val="none" w:sz="0" w:space="0" w:color="auto"/>
                    <w:right w:val="none" w:sz="0" w:space="0" w:color="auto"/>
                  </w:divBdr>
                  <w:divsChild>
                    <w:div w:id="1836914049">
                      <w:marLeft w:val="0"/>
                      <w:marRight w:val="0"/>
                      <w:marTop w:val="0"/>
                      <w:marBottom w:val="0"/>
                      <w:divBdr>
                        <w:top w:val="none" w:sz="0" w:space="0" w:color="auto"/>
                        <w:left w:val="none" w:sz="0" w:space="0" w:color="auto"/>
                        <w:bottom w:val="none" w:sz="0" w:space="0" w:color="auto"/>
                        <w:right w:val="none" w:sz="0" w:space="0" w:color="auto"/>
                      </w:divBdr>
                    </w:div>
                  </w:divsChild>
                </w:div>
                <w:div w:id="134764013">
                  <w:marLeft w:val="0"/>
                  <w:marRight w:val="0"/>
                  <w:marTop w:val="0"/>
                  <w:marBottom w:val="0"/>
                  <w:divBdr>
                    <w:top w:val="none" w:sz="0" w:space="0" w:color="auto"/>
                    <w:left w:val="none" w:sz="0" w:space="0" w:color="auto"/>
                    <w:bottom w:val="none" w:sz="0" w:space="0" w:color="auto"/>
                    <w:right w:val="none" w:sz="0" w:space="0" w:color="auto"/>
                  </w:divBdr>
                  <w:divsChild>
                    <w:div w:id="1374386845">
                      <w:marLeft w:val="0"/>
                      <w:marRight w:val="0"/>
                      <w:marTop w:val="0"/>
                      <w:marBottom w:val="0"/>
                      <w:divBdr>
                        <w:top w:val="none" w:sz="0" w:space="0" w:color="auto"/>
                        <w:left w:val="none" w:sz="0" w:space="0" w:color="auto"/>
                        <w:bottom w:val="none" w:sz="0" w:space="0" w:color="auto"/>
                        <w:right w:val="none" w:sz="0" w:space="0" w:color="auto"/>
                      </w:divBdr>
                    </w:div>
                  </w:divsChild>
                </w:div>
                <w:div w:id="247932059">
                  <w:marLeft w:val="0"/>
                  <w:marRight w:val="0"/>
                  <w:marTop w:val="0"/>
                  <w:marBottom w:val="0"/>
                  <w:divBdr>
                    <w:top w:val="none" w:sz="0" w:space="0" w:color="auto"/>
                    <w:left w:val="none" w:sz="0" w:space="0" w:color="auto"/>
                    <w:bottom w:val="none" w:sz="0" w:space="0" w:color="auto"/>
                    <w:right w:val="none" w:sz="0" w:space="0" w:color="auto"/>
                  </w:divBdr>
                  <w:divsChild>
                    <w:div w:id="319583104">
                      <w:marLeft w:val="0"/>
                      <w:marRight w:val="0"/>
                      <w:marTop w:val="0"/>
                      <w:marBottom w:val="0"/>
                      <w:divBdr>
                        <w:top w:val="none" w:sz="0" w:space="0" w:color="auto"/>
                        <w:left w:val="none" w:sz="0" w:space="0" w:color="auto"/>
                        <w:bottom w:val="none" w:sz="0" w:space="0" w:color="auto"/>
                        <w:right w:val="none" w:sz="0" w:space="0" w:color="auto"/>
                      </w:divBdr>
                    </w:div>
                  </w:divsChild>
                </w:div>
                <w:div w:id="1698895954">
                  <w:marLeft w:val="0"/>
                  <w:marRight w:val="0"/>
                  <w:marTop w:val="0"/>
                  <w:marBottom w:val="0"/>
                  <w:divBdr>
                    <w:top w:val="none" w:sz="0" w:space="0" w:color="auto"/>
                    <w:left w:val="none" w:sz="0" w:space="0" w:color="auto"/>
                    <w:bottom w:val="none" w:sz="0" w:space="0" w:color="auto"/>
                    <w:right w:val="none" w:sz="0" w:space="0" w:color="auto"/>
                  </w:divBdr>
                  <w:divsChild>
                    <w:div w:id="1667125196">
                      <w:marLeft w:val="0"/>
                      <w:marRight w:val="0"/>
                      <w:marTop w:val="0"/>
                      <w:marBottom w:val="0"/>
                      <w:divBdr>
                        <w:top w:val="none" w:sz="0" w:space="0" w:color="auto"/>
                        <w:left w:val="none" w:sz="0" w:space="0" w:color="auto"/>
                        <w:bottom w:val="none" w:sz="0" w:space="0" w:color="auto"/>
                        <w:right w:val="none" w:sz="0" w:space="0" w:color="auto"/>
                      </w:divBdr>
                    </w:div>
                  </w:divsChild>
                </w:div>
                <w:div w:id="509949599">
                  <w:marLeft w:val="0"/>
                  <w:marRight w:val="0"/>
                  <w:marTop w:val="0"/>
                  <w:marBottom w:val="0"/>
                  <w:divBdr>
                    <w:top w:val="none" w:sz="0" w:space="0" w:color="auto"/>
                    <w:left w:val="none" w:sz="0" w:space="0" w:color="auto"/>
                    <w:bottom w:val="none" w:sz="0" w:space="0" w:color="auto"/>
                    <w:right w:val="none" w:sz="0" w:space="0" w:color="auto"/>
                  </w:divBdr>
                  <w:divsChild>
                    <w:div w:id="401298232">
                      <w:marLeft w:val="0"/>
                      <w:marRight w:val="0"/>
                      <w:marTop w:val="0"/>
                      <w:marBottom w:val="0"/>
                      <w:divBdr>
                        <w:top w:val="none" w:sz="0" w:space="0" w:color="auto"/>
                        <w:left w:val="none" w:sz="0" w:space="0" w:color="auto"/>
                        <w:bottom w:val="none" w:sz="0" w:space="0" w:color="auto"/>
                        <w:right w:val="none" w:sz="0" w:space="0" w:color="auto"/>
                      </w:divBdr>
                    </w:div>
                  </w:divsChild>
                </w:div>
                <w:div w:id="1842545015">
                  <w:marLeft w:val="0"/>
                  <w:marRight w:val="0"/>
                  <w:marTop w:val="0"/>
                  <w:marBottom w:val="0"/>
                  <w:divBdr>
                    <w:top w:val="none" w:sz="0" w:space="0" w:color="auto"/>
                    <w:left w:val="none" w:sz="0" w:space="0" w:color="auto"/>
                    <w:bottom w:val="none" w:sz="0" w:space="0" w:color="auto"/>
                    <w:right w:val="none" w:sz="0" w:space="0" w:color="auto"/>
                  </w:divBdr>
                  <w:divsChild>
                    <w:div w:id="2025746526">
                      <w:marLeft w:val="0"/>
                      <w:marRight w:val="0"/>
                      <w:marTop w:val="0"/>
                      <w:marBottom w:val="0"/>
                      <w:divBdr>
                        <w:top w:val="none" w:sz="0" w:space="0" w:color="auto"/>
                        <w:left w:val="none" w:sz="0" w:space="0" w:color="auto"/>
                        <w:bottom w:val="none" w:sz="0" w:space="0" w:color="auto"/>
                        <w:right w:val="none" w:sz="0" w:space="0" w:color="auto"/>
                      </w:divBdr>
                    </w:div>
                  </w:divsChild>
                </w:div>
                <w:div w:id="168253336">
                  <w:marLeft w:val="0"/>
                  <w:marRight w:val="0"/>
                  <w:marTop w:val="0"/>
                  <w:marBottom w:val="0"/>
                  <w:divBdr>
                    <w:top w:val="none" w:sz="0" w:space="0" w:color="auto"/>
                    <w:left w:val="none" w:sz="0" w:space="0" w:color="auto"/>
                    <w:bottom w:val="none" w:sz="0" w:space="0" w:color="auto"/>
                    <w:right w:val="none" w:sz="0" w:space="0" w:color="auto"/>
                  </w:divBdr>
                  <w:divsChild>
                    <w:div w:id="873420242">
                      <w:marLeft w:val="0"/>
                      <w:marRight w:val="0"/>
                      <w:marTop w:val="0"/>
                      <w:marBottom w:val="0"/>
                      <w:divBdr>
                        <w:top w:val="none" w:sz="0" w:space="0" w:color="auto"/>
                        <w:left w:val="none" w:sz="0" w:space="0" w:color="auto"/>
                        <w:bottom w:val="none" w:sz="0" w:space="0" w:color="auto"/>
                        <w:right w:val="none" w:sz="0" w:space="0" w:color="auto"/>
                      </w:divBdr>
                    </w:div>
                  </w:divsChild>
                </w:div>
                <w:div w:id="700518006">
                  <w:marLeft w:val="0"/>
                  <w:marRight w:val="0"/>
                  <w:marTop w:val="0"/>
                  <w:marBottom w:val="0"/>
                  <w:divBdr>
                    <w:top w:val="none" w:sz="0" w:space="0" w:color="auto"/>
                    <w:left w:val="none" w:sz="0" w:space="0" w:color="auto"/>
                    <w:bottom w:val="none" w:sz="0" w:space="0" w:color="auto"/>
                    <w:right w:val="none" w:sz="0" w:space="0" w:color="auto"/>
                  </w:divBdr>
                  <w:divsChild>
                    <w:div w:id="320741162">
                      <w:marLeft w:val="0"/>
                      <w:marRight w:val="0"/>
                      <w:marTop w:val="0"/>
                      <w:marBottom w:val="0"/>
                      <w:divBdr>
                        <w:top w:val="none" w:sz="0" w:space="0" w:color="auto"/>
                        <w:left w:val="none" w:sz="0" w:space="0" w:color="auto"/>
                        <w:bottom w:val="none" w:sz="0" w:space="0" w:color="auto"/>
                        <w:right w:val="none" w:sz="0" w:space="0" w:color="auto"/>
                      </w:divBdr>
                    </w:div>
                  </w:divsChild>
                </w:div>
                <w:div w:id="1231649790">
                  <w:marLeft w:val="0"/>
                  <w:marRight w:val="0"/>
                  <w:marTop w:val="0"/>
                  <w:marBottom w:val="0"/>
                  <w:divBdr>
                    <w:top w:val="none" w:sz="0" w:space="0" w:color="auto"/>
                    <w:left w:val="none" w:sz="0" w:space="0" w:color="auto"/>
                    <w:bottom w:val="none" w:sz="0" w:space="0" w:color="auto"/>
                    <w:right w:val="none" w:sz="0" w:space="0" w:color="auto"/>
                  </w:divBdr>
                  <w:divsChild>
                    <w:div w:id="1162817698">
                      <w:marLeft w:val="0"/>
                      <w:marRight w:val="0"/>
                      <w:marTop w:val="0"/>
                      <w:marBottom w:val="0"/>
                      <w:divBdr>
                        <w:top w:val="none" w:sz="0" w:space="0" w:color="auto"/>
                        <w:left w:val="none" w:sz="0" w:space="0" w:color="auto"/>
                        <w:bottom w:val="none" w:sz="0" w:space="0" w:color="auto"/>
                        <w:right w:val="none" w:sz="0" w:space="0" w:color="auto"/>
                      </w:divBdr>
                    </w:div>
                  </w:divsChild>
                </w:div>
                <w:div w:id="1575622453">
                  <w:marLeft w:val="0"/>
                  <w:marRight w:val="0"/>
                  <w:marTop w:val="0"/>
                  <w:marBottom w:val="0"/>
                  <w:divBdr>
                    <w:top w:val="none" w:sz="0" w:space="0" w:color="auto"/>
                    <w:left w:val="none" w:sz="0" w:space="0" w:color="auto"/>
                    <w:bottom w:val="none" w:sz="0" w:space="0" w:color="auto"/>
                    <w:right w:val="none" w:sz="0" w:space="0" w:color="auto"/>
                  </w:divBdr>
                  <w:divsChild>
                    <w:div w:id="1512837344">
                      <w:marLeft w:val="0"/>
                      <w:marRight w:val="0"/>
                      <w:marTop w:val="0"/>
                      <w:marBottom w:val="0"/>
                      <w:divBdr>
                        <w:top w:val="none" w:sz="0" w:space="0" w:color="auto"/>
                        <w:left w:val="none" w:sz="0" w:space="0" w:color="auto"/>
                        <w:bottom w:val="none" w:sz="0" w:space="0" w:color="auto"/>
                        <w:right w:val="none" w:sz="0" w:space="0" w:color="auto"/>
                      </w:divBdr>
                    </w:div>
                  </w:divsChild>
                </w:div>
                <w:div w:id="387580604">
                  <w:marLeft w:val="0"/>
                  <w:marRight w:val="0"/>
                  <w:marTop w:val="0"/>
                  <w:marBottom w:val="0"/>
                  <w:divBdr>
                    <w:top w:val="none" w:sz="0" w:space="0" w:color="auto"/>
                    <w:left w:val="none" w:sz="0" w:space="0" w:color="auto"/>
                    <w:bottom w:val="none" w:sz="0" w:space="0" w:color="auto"/>
                    <w:right w:val="none" w:sz="0" w:space="0" w:color="auto"/>
                  </w:divBdr>
                  <w:divsChild>
                    <w:div w:id="1218931193">
                      <w:marLeft w:val="0"/>
                      <w:marRight w:val="0"/>
                      <w:marTop w:val="0"/>
                      <w:marBottom w:val="0"/>
                      <w:divBdr>
                        <w:top w:val="none" w:sz="0" w:space="0" w:color="auto"/>
                        <w:left w:val="none" w:sz="0" w:space="0" w:color="auto"/>
                        <w:bottom w:val="none" w:sz="0" w:space="0" w:color="auto"/>
                        <w:right w:val="none" w:sz="0" w:space="0" w:color="auto"/>
                      </w:divBdr>
                    </w:div>
                  </w:divsChild>
                </w:div>
                <w:div w:id="986318976">
                  <w:marLeft w:val="0"/>
                  <w:marRight w:val="0"/>
                  <w:marTop w:val="0"/>
                  <w:marBottom w:val="0"/>
                  <w:divBdr>
                    <w:top w:val="none" w:sz="0" w:space="0" w:color="auto"/>
                    <w:left w:val="none" w:sz="0" w:space="0" w:color="auto"/>
                    <w:bottom w:val="none" w:sz="0" w:space="0" w:color="auto"/>
                    <w:right w:val="none" w:sz="0" w:space="0" w:color="auto"/>
                  </w:divBdr>
                  <w:divsChild>
                    <w:div w:id="1682510167">
                      <w:marLeft w:val="0"/>
                      <w:marRight w:val="0"/>
                      <w:marTop w:val="0"/>
                      <w:marBottom w:val="0"/>
                      <w:divBdr>
                        <w:top w:val="none" w:sz="0" w:space="0" w:color="auto"/>
                        <w:left w:val="none" w:sz="0" w:space="0" w:color="auto"/>
                        <w:bottom w:val="none" w:sz="0" w:space="0" w:color="auto"/>
                        <w:right w:val="none" w:sz="0" w:space="0" w:color="auto"/>
                      </w:divBdr>
                    </w:div>
                  </w:divsChild>
                </w:div>
                <w:div w:id="764302878">
                  <w:marLeft w:val="0"/>
                  <w:marRight w:val="0"/>
                  <w:marTop w:val="0"/>
                  <w:marBottom w:val="0"/>
                  <w:divBdr>
                    <w:top w:val="none" w:sz="0" w:space="0" w:color="auto"/>
                    <w:left w:val="none" w:sz="0" w:space="0" w:color="auto"/>
                    <w:bottom w:val="none" w:sz="0" w:space="0" w:color="auto"/>
                    <w:right w:val="none" w:sz="0" w:space="0" w:color="auto"/>
                  </w:divBdr>
                  <w:divsChild>
                    <w:div w:id="571740796">
                      <w:marLeft w:val="0"/>
                      <w:marRight w:val="0"/>
                      <w:marTop w:val="0"/>
                      <w:marBottom w:val="0"/>
                      <w:divBdr>
                        <w:top w:val="none" w:sz="0" w:space="0" w:color="auto"/>
                        <w:left w:val="none" w:sz="0" w:space="0" w:color="auto"/>
                        <w:bottom w:val="none" w:sz="0" w:space="0" w:color="auto"/>
                        <w:right w:val="none" w:sz="0" w:space="0" w:color="auto"/>
                      </w:divBdr>
                    </w:div>
                  </w:divsChild>
                </w:div>
                <w:div w:id="2010981154">
                  <w:marLeft w:val="0"/>
                  <w:marRight w:val="0"/>
                  <w:marTop w:val="0"/>
                  <w:marBottom w:val="0"/>
                  <w:divBdr>
                    <w:top w:val="none" w:sz="0" w:space="0" w:color="auto"/>
                    <w:left w:val="none" w:sz="0" w:space="0" w:color="auto"/>
                    <w:bottom w:val="none" w:sz="0" w:space="0" w:color="auto"/>
                    <w:right w:val="none" w:sz="0" w:space="0" w:color="auto"/>
                  </w:divBdr>
                  <w:divsChild>
                    <w:div w:id="1534997591">
                      <w:marLeft w:val="0"/>
                      <w:marRight w:val="0"/>
                      <w:marTop w:val="0"/>
                      <w:marBottom w:val="0"/>
                      <w:divBdr>
                        <w:top w:val="none" w:sz="0" w:space="0" w:color="auto"/>
                        <w:left w:val="none" w:sz="0" w:space="0" w:color="auto"/>
                        <w:bottom w:val="none" w:sz="0" w:space="0" w:color="auto"/>
                        <w:right w:val="none" w:sz="0" w:space="0" w:color="auto"/>
                      </w:divBdr>
                    </w:div>
                  </w:divsChild>
                </w:div>
                <w:div w:id="2024701839">
                  <w:marLeft w:val="0"/>
                  <w:marRight w:val="0"/>
                  <w:marTop w:val="0"/>
                  <w:marBottom w:val="0"/>
                  <w:divBdr>
                    <w:top w:val="none" w:sz="0" w:space="0" w:color="auto"/>
                    <w:left w:val="none" w:sz="0" w:space="0" w:color="auto"/>
                    <w:bottom w:val="none" w:sz="0" w:space="0" w:color="auto"/>
                    <w:right w:val="none" w:sz="0" w:space="0" w:color="auto"/>
                  </w:divBdr>
                  <w:divsChild>
                    <w:div w:id="1502743906">
                      <w:marLeft w:val="0"/>
                      <w:marRight w:val="0"/>
                      <w:marTop w:val="0"/>
                      <w:marBottom w:val="0"/>
                      <w:divBdr>
                        <w:top w:val="none" w:sz="0" w:space="0" w:color="auto"/>
                        <w:left w:val="none" w:sz="0" w:space="0" w:color="auto"/>
                        <w:bottom w:val="none" w:sz="0" w:space="0" w:color="auto"/>
                        <w:right w:val="none" w:sz="0" w:space="0" w:color="auto"/>
                      </w:divBdr>
                    </w:div>
                  </w:divsChild>
                </w:div>
                <w:div w:id="1437478841">
                  <w:marLeft w:val="0"/>
                  <w:marRight w:val="0"/>
                  <w:marTop w:val="0"/>
                  <w:marBottom w:val="0"/>
                  <w:divBdr>
                    <w:top w:val="none" w:sz="0" w:space="0" w:color="auto"/>
                    <w:left w:val="none" w:sz="0" w:space="0" w:color="auto"/>
                    <w:bottom w:val="none" w:sz="0" w:space="0" w:color="auto"/>
                    <w:right w:val="none" w:sz="0" w:space="0" w:color="auto"/>
                  </w:divBdr>
                  <w:divsChild>
                    <w:div w:id="1128082187">
                      <w:marLeft w:val="0"/>
                      <w:marRight w:val="0"/>
                      <w:marTop w:val="0"/>
                      <w:marBottom w:val="0"/>
                      <w:divBdr>
                        <w:top w:val="none" w:sz="0" w:space="0" w:color="auto"/>
                        <w:left w:val="none" w:sz="0" w:space="0" w:color="auto"/>
                        <w:bottom w:val="none" w:sz="0" w:space="0" w:color="auto"/>
                        <w:right w:val="none" w:sz="0" w:space="0" w:color="auto"/>
                      </w:divBdr>
                    </w:div>
                  </w:divsChild>
                </w:div>
                <w:div w:id="852304317">
                  <w:marLeft w:val="0"/>
                  <w:marRight w:val="0"/>
                  <w:marTop w:val="0"/>
                  <w:marBottom w:val="0"/>
                  <w:divBdr>
                    <w:top w:val="none" w:sz="0" w:space="0" w:color="auto"/>
                    <w:left w:val="none" w:sz="0" w:space="0" w:color="auto"/>
                    <w:bottom w:val="none" w:sz="0" w:space="0" w:color="auto"/>
                    <w:right w:val="none" w:sz="0" w:space="0" w:color="auto"/>
                  </w:divBdr>
                  <w:divsChild>
                    <w:div w:id="1776712113">
                      <w:marLeft w:val="0"/>
                      <w:marRight w:val="0"/>
                      <w:marTop w:val="0"/>
                      <w:marBottom w:val="0"/>
                      <w:divBdr>
                        <w:top w:val="none" w:sz="0" w:space="0" w:color="auto"/>
                        <w:left w:val="none" w:sz="0" w:space="0" w:color="auto"/>
                        <w:bottom w:val="none" w:sz="0" w:space="0" w:color="auto"/>
                        <w:right w:val="none" w:sz="0" w:space="0" w:color="auto"/>
                      </w:divBdr>
                    </w:div>
                  </w:divsChild>
                </w:div>
                <w:div w:id="1711808125">
                  <w:marLeft w:val="0"/>
                  <w:marRight w:val="0"/>
                  <w:marTop w:val="0"/>
                  <w:marBottom w:val="0"/>
                  <w:divBdr>
                    <w:top w:val="none" w:sz="0" w:space="0" w:color="auto"/>
                    <w:left w:val="none" w:sz="0" w:space="0" w:color="auto"/>
                    <w:bottom w:val="none" w:sz="0" w:space="0" w:color="auto"/>
                    <w:right w:val="none" w:sz="0" w:space="0" w:color="auto"/>
                  </w:divBdr>
                  <w:divsChild>
                    <w:div w:id="1909489012">
                      <w:marLeft w:val="0"/>
                      <w:marRight w:val="0"/>
                      <w:marTop w:val="0"/>
                      <w:marBottom w:val="0"/>
                      <w:divBdr>
                        <w:top w:val="none" w:sz="0" w:space="0" w:color="auto"/>
                        <w:left w:val="none" w:sz="0" w:space="0" w:color="auto"/>
                        <w:bottom w:val="none" w:sz="0" w:space="0" w:color="auto"/>
                        <w:right w:val="none" w:sz="0" w:space="0" w:color="auto"/>
                      </w:divBdr>
                    </w:div>
                  </w:divsChild>
                </w:div>
                <w:div w:id="865406030">
                  <w:marLeft w:val="0"/>
                  <w:marRight w:val="0"/>
                  <w:marTop w:val="0"/>
                  <w:marBottom w:val="0"/>
                  <w:divBdr>
                    <w:top w:val="none" w:sz="0" w:space="0" w:color="auto"/>
                    <w:left w:val="none" w:sz="0" w:space="0" w:color="auto"/>
                    <w:bottom w:val="none" w:sz="0" w:space="0" w:color="auto"/>
                    <w:right w:val="none" w:sz="0" w:space="0" w:color="auto"/>
                  </w:divBdr>
                  <w:divsChild>
                    <w:div w:id="1101612055">
                      <w:marLeft w:val="0"/>
                      <w:marRight w:val="0"/>
                      <w:marTop w:val="0"/>
                      <w:marBottom w:val="0"/>
                      <w:divBdr>
                        <w:top w:val="none" w:sz="0" w:space="0" w:color="auto"/>
                        <w:left w:val="none" w:sz="0" w:space="0" w:color="auto"/>
                        <w:bottom w:val="none" w:sz="0" w:space="0" w:color="auto"/>
                        <w:right w:val="none" w:sz="0" w:space="0" w:color="auto"/>
                      </w:divBdr>
                    </w:div>
                  </w:divsChild>
                </w:div>
                <w:div w:id="951592245">
                  <w:marLeft w:val="0"/>
                  <w:marRight w:val="0"/>
                  <w:marTop w:val="0"/>
                  <w:marBottom w:val="0"/>
                  <w:divBdr>
                    <w:top w:val="none" w:sz="0" w:space="0" w:color="auto"/>
                    <w:left w:val="none" w:sz="0" w:space="0" w:color="auto"/>
                    <w:bottom w:val="none" w:sz="0" w:space="0" w:color="auto"/>
                    <w:right w:val="none" w:sz="0" w:space="0" w:color="auto"/>
                  </w:divBdr>
                  <w:divsChild>
                    <w:div w:id="364647243">
                      <w:marLeft w:val="0"/>
                      <w:marRight w:val="0"/>
                      <w:marTop w:val="0"/>
                      <w:marBottom w:val="0"/>
                      <w:divBdr>
                        <w:top w:val="none" w:sz="0" w:space="0" w:color="auto"/>
                        <w:left w:val="none" w:sz="0" w:space="0" w:color="auto"/>
                        <w:bottom w:val="none" w:sz="0" w:space="0" w:color="auto"/>
                        <w:right w:val="none" w:sz="0" w:space="0" w:color="auto"/>
                      </w:divBdr>
                    </w:div>
                  </w:divsChild>
                </w:div>
                <w:div w:id="1925147948">
                  <w:marLeft w:val="0"/>
                  <w:marRight w:val="0"/>
                  <w:marTop w:val="0"/>
                  <w:marBottom w:val="0"/>
                  <w:divBdr>
                    <w:top w:val="none" w:sz="0" w:space="0" w:color="auto"/>
                    <w:left w:val="none" w:sz="0" w:space="0" w:color="auto"/>
                    <w:bottom w:val="none" w:sz="0" w:space="0" w:color="auto"/>
                    <w:right w:val="none" w:sz="0" w:space="0" w:color="auto"/>
                  </w:divBdr>
                  <w:divsChild>
                    <w:div w:id="2041200988">
                      <w:marLeft w:val="0"/>
                      <w:marRight w:val="0"/>
                      <w:marTop w:val="0"/>
                      <w:marBottom w:val="0"/>
                      <w:divBdr>
                        <w:top w:val="none" w:sz="0" w:space="0" w:color="auto"/>
                        <w:left w:val="none" w:sz="0" w:space="0" w:color="auto"/>
                        <w:bottom w:val="none" w:sz="0" w:space="0" w:color="auto"/>
                        <w:right w:val="none" w:sz="0" w:space="0" w:color="auto"/>
                      </w:divBdr>
                    </w:div>
                  </w:divsChild>
                </w:div>
                <w:div w:id="1190491142">
                  <w:marLeft w:val="0"/>
                  <w:marRight w:val="0"/>
                  <w:marTop w:val="0"/>
                  <w:marBottom w:val="0"/>
                  <w:divBdr>
                    <w:top w:val="none" w:sz="0" w:space="0" w:color="auto"/>
                    <w:left w:val="none" w:sz="0" w:space="0" w:color="auto"/>
                    <w:bottom w:val="none" w:sz="0" w:space="0" w:color="auto"/>
                    <w:right w:val="none" w:sz="0" w:space="0" w:color="auto"/>
                  </w:divBdr>
                  <w:divsChild>
                    <w:div w:id="1817989241">
                      <w:marLeft w:val="0"/>
                      <w:marRight w:val="0"/>
                      <w:marTop w:val="0"/>
                      <w:marBottom w:val="0"/>
                      <w:divBdr>
                        <w:top w:val="none" w:sz="0" w:space="0" w:color="auto"/>
                        <w:left w:val="none" w:sz="0" w:space="0" w:color="auto"/>
                        <w:bottom w:val="none" w:sz="0" w:space="0" w:color="auto"/>
                        <w:right w:val="none" w:sz="0" w:space="0" w:color="auto"/>
                      </w:divBdr>
                    </w:div>
                  </w:divsChild>
                </w:div>
                <w:div w:id="1472746120">
                  <w:marLeft w:val="0"/>
                  <w:marRight w:val="0"/>
                  <w:marTop w:val="0"/>
                  <w:marBottom w:val="0"/>
                  <w:divBdr>
                    <w:top w:val="none" w:sz="0" w:space="0" w:color="auto"/>
                    <w:left w:val="none" w:sz="0" w:space="0" w:color="auto"/>
                    <w:bottom w:val="none" w:sz="0" w:space="0" w:color="auto"/>
                    <w:right w:val="none" w:sz="0" w:space="0" w:color="auto"/>
                  </w:divBdr>
                  <w:divsChild>
                    <w:div w:id="1166093517">
                      <w:marLeft w:val="0"/>
                      <w:marRight w:val="0"/>
                      <w:marTop w:val="0"/>
                      <w:marBottom w:val="0"/>
                      <w:divBdr>
                        <w:top w:val="none" w:sz="0" w:space="0" w:color="auto"/>
                        <w:left w:val="none" w:sz="0" w:space="0" w:color="auto"/>
                        <w:bottom w:val="none" w:sz="0" w:space="0" w:color="auto"/>
                        <w:right w:val="none" w:sz="0" w:space="0" w:color="auto"/>
                      </w:divBdr>
                    </w:div>
                  </w:divsChild>
                </w:div>
                <w:div w:id="522283738">
                  <w:marLeft w:val="0"/>
                  <w:marRight w:val="0"/>
                  <w:marTop w:val="0"/>
                  <w:marBottom w:val="0"/>
                  <w:divBdr>
                    <w:top w:val="none" w:sz="0" w:space="0" w:color="auto"/>
                    <w:left w:val="none" w:sz="0" w:space="0" w:color="auto"/>
                    <w:bottom w:val="none" w:sz="0" w:space="0" w:color="auto"/>
                    <w:right w:val="none" w:sz="0" w:space="0" w:color="auto"/>
                  </w:divBdr>
                  <w:divsChild>
                    <w:div w:id="1260528703">
                      <w:marLeft w:val="0"/>
                      <w:marRight w:val="0"/>
                      <w:marTop w:val="0"/>
                      <w:marBottom w:val="0"/>
                      <w:divBdr>
                        <w:top w:val="none" w:sz="0" w:space="0" w:color="auto"/>
                        <w:left w:val="none" w:sz="0" w:space="0" w:color="auto"/>
                        <w:bottom w:val="none" w:sz="0" w:space="0" w:color="auto"/>
                        <w:right w:val="none" w:sz="0" w:space="0" w:color="auto"/>
                      </w:divBdr>
                    </w:div>
                  </w:divsChild>
                </w:div>
                <w:div w:id="1906914286">
                  <w:marLeft w:val="0"/>
                  <w:marRight w:val="0"/>
                  <w:marTop w:val="0"/>
                  <w:marBottom w:val="0"/>
                  <w:divBdr>
                    <w:top w:val="none" w:sz="0" w:space="0" w:color="auto"/>
                    <w:left w:val="none" w:sz="0" w:space="0" w:color="auto"/>
                    <w:bottom w:val="none" w:sz="0" w:space="0" w:color="auto"/>
                    <w:right w:val="none" w:sz="0" w:space="0" w:color="auto"/>
                  </w:divBdr>
                  <w:divsChild>
                    <w:div w:id="1252349093">
                      <w:marLeft w:val="0"/>
                      <w:marRight w:val="0"/>
                      <w:marTop w:val="0"/>
                      <w:marBottom w:val="0"/>
                      <w:divBdr>
                        <w:top w:val="none" w:sz="0" w:space="0" w:color="auto"/>
                        <w:left w:val="none" w:sz="0" w:space="0" w:color="auto"/>
                        <w:bottom w:val="none" w:sz="0" w:space="0" w:color="auto"/>
                        <w:right w:val="none" w:sz="0" w:space="0" w:color="auto"/>
                      </w:divBdr>
                    </w:div>
                  </w:divsChild>
                </w:div>
                <w:div w:id="2012490483">
                  <w:marLeft w:val="0"/>
                  <w:marRight w:val="0"/>
                  <w:marTop w:val="0"/>
                  <w:marBottom w:val="0"/>
                  <w:divBdr>
                    <w:top w:val="none" w:sz="0" w:space="0" w:color="auto"/>
                    <w:left w:val="none" w:sz="0" w:space="0" w:color="auto"/>
                    <w:bottom w:val="none" w:sz="0" w:space="0" w:color="auto"/>
                    <w:right w:val="none" w:sz="0" w:space="0" w:color="auto"/>
                  </w:divBdr>
                  <w:divsChild>
                    <w:div w:id="1306860359">
                      <w:marLeft w:val="0"/>
                      <w:marRight w:val="0"/>
                      <w:marTop w:val="0"/>
                      <w:marBottom w:val="0"/>
                      <w:divBdr>
                        <w:top w:val="none" w:sz="0" w:space="0" w:color="auto"/>
                        <w:left w:val="none" w:sz="0" w:space="0" w:color="auto"/>
                        <w:bottom w:val="none" w:sz="0" w:space="0" w:color="auto"/>
                        <w:right w:val="none" w:sz="0" w:space="0" w:color="auto"/>
                      </w:divBdr>
                    </w:div>
                  </w:divsChild>
                </w:div>
                <w:div w:id="1892109805">
                  <w:marLeft w:val="0"/>
                  <w:marRight w:val="0"/>
                  <w:marTop w:val="0"/>
                  <w:marBottom w:val="0"/>
                  <w:divBdr>
                    <w:top w:val="none" w:sz="0" w:space="0" w:color="auto"/>
                    <w:left w:val="none" w:sz="0" w:space="0" w:color="auto"/>
                    <w:bottom w:val="none" w:sz="0" w:space="0" w:color="auto"/>
                    <w:right w:val="none" w:sz="0" w:space="0" w:color="auto"/>
                  </w:divBdr>
                  <w:divsChild>
                    <w:div w:id="1209298664">
                      <w:marLeft w:val="0"/>
                      <w:marRight w:val="0"/>
                      <w:marTop w:val="0"/>
                      <w:marBottom w:val="0"/>
                      <w:divBdr>
                        <w:top w:val="none" w:sz="0" w:space="0" w:color="auto"/>
                        <w:left w:val="none" w:sz="0" w:space="0" w:color="auto"/>
                        <w:bottom w:val="none" w:sz="0" w:space="0" w:color="auto"/>
                        <w:right w:val="none" w:sz="0" w:space="0" w:color="auto"/>
                      </w:divBdr>
                    </w:div>
                  </w:divsChild>
                </w:div>
                <w:div w:id="299724409">
                  <w:marLeft w:val="0"/>
                  <w:marRight w:val="0"/>
                  <w:marTop w:val="0"/>
                  <w:marBottom w:val="0"/>
                  <w:divBdr>
                    <w:top w:val="none" w:sz="0" w:space="0" w:color="auto"/>
                    <w:left w:val="none" w:sz="0" w:space="0" w:color="auto"/>
                    <w:bottom w:val="none" w:sz="0" w:space="0" w:color="auto"/>
                    <w:right w:val="none" w:sz="0" w:space="0" w:color="auto"/>
                  </w:divBdr>
                  <w:divsChild>
                    <w:div w:id="298534113">
                      <w:marLeft w:val="0"/>
                      <w:marRight w:val="0"/>
                      <w:marTop w:val="0"/>
                      <w:marBottom w:val="0"/>
                      <w:divBdr>
                        <w:top w:val="none" w:sz="0" w:space="0" w:color="auto"/>
                        <w:left w:val="none" w:sz="0" w:space="0" w:color="auto"/>
                        <w:bottom w:val="none" w:sz="0" w:space="0" w:color="auto"/>
                        <w:right w:val="none" w:sz="0" w:space="0" w:color="auto"/>
                      </w:divBdr>
                    </w:div>
                  </w:divsChild>
                </w:div>
                <w:div w:id="725180283">
                  <w:marLeft w:val="0"/>
                  <w:marRight w:val="0"/>
                  <w:marTop w:val="0"/>
                  <w:marBottom w:val="0"/>
                  <w:divBdr>
                    <w:top w:val="none" w:sz="0" w:space="0" w:color="auto"/>
                    <w:left w:val="none" w:sz="0" w:space="0" w:color="auto"/>
                    <w:bottom w:val="none" w:sz="0" w:space="0" w:color="auto"/>
                    <w:right w:val="none" w:sz="0" w:space="0" w:color="auto"/>
                  </w:divBdr>
                  <w:divsChild>
                    <w:div w:id="887956941">
                      <w:marLeft w:val="0"/>
                      <w:marRight w:val="0"/>
                      <w:marTop w:val="0"/>
                      <w:marBottom w:val="0"/>
                      <w:divBdr>
                        <w:top w:val="none" w:sz="0" w:space="0" w:color="auto"/>
                        <w:left w:val="none" w:sz="0" w:space="0" w:color="auto"/>
                        <w:bottom w:val="none" w:sz="0" w:space="0" w:color="auto"/>
                        <w:right w:val="none" w:sz="0" w:space="0" w:color="auto"/>
                      </w:divBdr>
                    </w:div>
                  </w:divsChild>
                </w:div>
                <w:div w:id="1540508521">
                  <w:marLeft w:val="0"/>
                  <w:marRight w:val="0"/>
                  <w:marTop w:val="0"/>
                  <w:marBottom w:val="0"/>
                  <w:divBdr>
                    <w:top w:val="none" w:sz="0" w:space="0" w:color="auto"/>
                    <w:left w:val="none" w:sz="0" w:space="0" w:color="auto"/>
                    <w:bottom w:val="none" w:sz="0" w:space="0" w:color="auto"/>
                    <w:right w:val="none" w:sz="0" w:space="0" w:color="auto"/>
                  </w:divBdr>
                  <w:divsChild>
                    <w:div w:id="572206009">
                      <w:marLeft w:val="0"/>
                      <w:marRight w:val="0"/>
                      <w:marTop w:val="0"/>
                      <w:marBottom w:val="0"/>
                      <w:divBdr>
                        <w:top w:val="none" w:sz="0" w:space="0" w:color="auto"/>
                        <w:left w:val="none" w:sz="0" w:space="0" w:color="auto"/>
                        <w:bottom w:val="none" w:sz="0" w:space="0" w:color="auto"/>
                        <w:right w:val="none" w:sz="0" w:space="0" w:color="auto"/>
                      </w:divBdr>
                    </w:div>
                  </w:divsChild>
                </w:div>
                <w:div w:id="2075277959">
                  <w:marLeft w:val="0"/>
                  <w:marRight w:val="0"/>
                  <w:marTop w:val="0"/>
                  <w:marBottom w:val="0"/>
                  <w:divBdr>
                    <w:top w:val="none" w:sz="0" w:space="0" w:color="auto"/>
                    <w:left w:val="none" w:sz="0" w:space="0" w:color="auto"/>
                    <w:bottom w:val="none" w:sz="0" w:space="0" w:color="auto"/>
                    <w:right w:val="none" w:sz="0" w:space="0" w:color="auto"/>
                  </w:divBdr>
                  <w:divsChild>
                    <w:div w:id="444426070">
                      <w:marLeft w:val="0"/>
                      <w:marRight w:val="0"/>
                      <w:marTop w:val="0"/>
                      <w:marBottom w:val="0"/>
                      <w:divBdr>
                        <w:top w:val="none" w:sz="0" w:space="0" w:color="auto"/>
                        <w:left w:val="none" w:sz="0" w:space="0" w:color="auto"/>
                        <w:bottom w:val="none" w:sz="0" w:space="0" w:color="auto"/>
                        <w:right w:val="none" w:sz="0" w:space="0" w:color="auto"/>
                      </w:divBdr>
                    </w:div>
                  </w:divsChild>
                </w:div>
                <w:div w:id="1080102539">
                  <w:marLeft w:val="0"/>
                  <w:marRight w:val="0"/>
                  <w:marTop w:val="0"/>
                  <w:marBottom w:val="0"/>
                  <w:divBdr>
                    <w:top w:val="none" w:sz="0" w:space="0" w:color="auto"/>
                    <w:left w:val="none" w:sz="0" w:space="0" w:color="auto"/>
                    <w:bottom w:val="none" w:sz="0" w:space="0" w:color="auto"/>
                    <w:right w:val="none" w:sz="0" w:space="0" w:color="auto"/>
                  </w:divBdr>
                  <w:divsChild>
                    <w:div w:id="1921989244">
                      <w:marLeft w:val="0"/>
                      <w:marRight w:val="0"/>
                      <w:marTop w:val="0"/>
                      <w:marBottom w:val="0"/>
                      <w:divBdr>
                        <w:top w:val="none" w:sz="0" w:space="0" w:color="auto"/>
                        <w:left w:val="none" w:sz="0" w:space="0" w:color="auto"/>
                        <w:bottom w:val="none" w:sz="0" w:space="0" w:color="auto"/>
                        <w:right w:val="none" w:sz="0" w:space="0" w:color="auto"/>
                      </w:divBdr>
                    </w:div>
                  </w:divsChild>
                </w:div>
                <w:div w:id="1466508425">
                  <w:marLeft w:val="0"/>
                  <w:marRight w:val="0"/>
                  <w:marTop w:val="0"/>
                  <w:marBottom w:val="0"/>
                  <w:divBdr>
                    <w:top w:val="none" w:sz="0" w:space="0" w:color="auto"/>
                    <w:left w:val="none" w:sz="0" w:space="0" w:color="auto"/>
                    <w:bottom w:val="none" w:sz="0" w:space="0" w:color="auto"/>
                    <w:right w:val="none" w:sz="0" w:space="0" w:color="auto"/>
                  </w:divBdr>
                  <w:divsChild>
                    <w:div w:id="1693341547">
                      <w:marLeft w:val="0"/>
                      <w:marRight w:val="0"/>
                      <w:marTop w:val="0"/>
                      <w:marBottom w:val="0"/>
                      <w:divBdr>
                        <w:top w:val="none" w:sz="0" w:space="0" w:color="auto"/>
                        <w:left w:val="none" w:sz="0" w:space="0" w:color="auto"/>
                        <w:bottom w:val="none" w:sz="0" w:space="0" w:color="auto"/>
                        <w:right w:val="none" w:sz="0" w:space="0" w:color="auto"/>
                      </w:divBdr>
                    </w:div>
                  </w:divsChild>
                </w:div>
                <w:div w:id="425033216">
                  <w:marLeft w:val="0"/>
                  <w:marRight w:val="0"/>
                  <w:marTop w:val="0"/>
                  <w:marBottom w:val="0"/>
                  <w:divBdr>
                    <w:top w:val="none" w:sz="0" w:space="0" w:color="auto"/>
                    <w:left w:val="none" w:sz="0" w:space="0" w:color="auto"/>
                    <w:bottom w:val="none" w:sz="0" w:space="0" w:color="auto"/>
                    <w:right w:val="none" w:sz="0" w:space="0" w:color="auto"/>
                  </w:divBdr>
                  <w:divsChild>
                    <w:div w:id="651638388">
                      <w:marLeft w:val="0"/>
                      <w:marRight w:val="0"/>
                      <w:marTop w:val="0"/>
                      <w:marBottom w:val="0"/>
                      <w:divBdr>
                        <w:top w:val="none" w:sz="0" w:space="0" w:color="auto"/>
                        <w:left w:val="none" w:sz="0" w:space="0" w:color="auto"/>
                        <w:bottom w:val="none" w:sz="0" w:space="0" w:color="auto"/>
                        <w:right w:val="none" w:sz="0" w:space="0" w:color="auto"/>
                      </w:divBdr>
                    </w:div>
                  </w:divsChild>
                </w:div>
                <w:div w:id="225575390">
                  <w:marLeft w:val="0"/>
                  <w:marRight w:val="0"/>
                  <w:marTop w:val="0"/>
                  <w:marBottom w:val="0"/>
                  <w:divBdr>
                    <w:top w:val="none" w:sz="0" w:space="0" w:color="auto"/>
                    <w:left w:val="none" w:sz="0" w:space="0" w:color="auto"/>
                    <w:bottom w:val="none" w:sz="0" w:space="0" w:color="auto"/>
                    <w:right w:val="none" w:sz="0" w:space="0" w:color="auto"/>
                  </w:divBdr>
                  <w:divsChild>
                    <w:div w:id="1897617151">
                      <w:marLeft w:val="0"/>
                      <w:marRight w:val="0"/>
                      <w:marTop w:val="0"/>
                      <w:marBottom w:val="0"/>
                      <w:divBdr>
                        <w:top w:val="none" w:sz="0" w:space="0" w:color="auto"/>
                        <w:left w:val="none" w:sz="0" w:space="0" w:color="auto"/>
                        <w:bottom w:val="none" w:sz="0" w:space="0" w:color="auto"/>
                        <w:right w:val="none" w:sz="0" w:space="0" w:color="auto"/>
                      </w:divBdr>
                    </w:div>
                  </w:divsChild>
                </w:div>
                <w:div w:id="1764643837">
                  <w:marLeft w:val="0"/>
                  <w:marRight w:val="0"/>
                  <w:marTop w:val="0"/>
                  <w:marBottom w:val="0"/>
                  <w:divBdr>
                    <w:top w:val="none" w:sz="0" w:space="0" w:color="auto"/>
                    <w:left w:val="none" w:sz="0" w:space="0" w:color="auto"/>
                    <w:bottom w:val="none" w:sz="0" w:space="0" w:color="auto"/>
                    <w:right w:val="none" w:sz="0" w:space="0" w:color="auto"/>
                  </w:divBdr>
                  <w:divsChild>
                    <w:div w:id="1009523356">
                      <w:marLeft w:val="0"/>
                      <w:marRight w:val="0"/>
                      <w:marTop w:val="0"/>
                      <w:marBottom w:val="0"/>
                      <w:divBdr>
                        <w:top w:val="none" w:sz="0" w:space="0" w:color="auto"/>
                        <w:left w:val="none" w:sz="0" w:space="0" w:color="auto"/>
                        <w:bottom w:val="none" w:sz="0" w:space="0" w:color="auto"/>
                        <w:right w:val="none" w:sz="0" w:space="0" w:color="auto"/>
                      </w:divBdr>
                    </w:div>
                  </w:divsChild>
                </w:div>
                <w:div w:id="2002586023">
                  <w:marLeft w:val="0"/>
                  <w:marRight w:val="0"/>
                  <w:marTop w:val="0"/>
                  <w:marBottom w:val="0"/>
                  <w:divBdr>
                    <w:top w:val="none" w:sz="0" w:space="0" w:color="auto"/>
                    <w:left w:val="none" w:sz="0" w:space="0" w:color="auto"/>
                    <w:bottom w:val="none" w:sz="0" w:space="0" w:color="auto"/>
                    <w:right w:val="none" w:sz="0" w:space="0" w:color="auto"/>
                  </w:divBdr>
                  <w:divsChild>
                    <w:div w:id="541674588">
                      <w:marLeft w:val="0"/>
                      <w:marRight w:val="0"/>
                      <w:marTop w:val="0"/>
                      <w:marBottom w:val="0"/>
                      <w:divBdr>
                        <w:top w:val="none" w:sz="0" w:space="0" w:color="auto"/>
                        <w:left w:val="none" w:sz="0" w:space="0" w:color="auto"/>
                        <w:bottom w:val="none" w:sz="0" w:space="0" w:color="auto"/>
                        <w:right w:val="none" w:sz="0" w:space="0" w:color="auto"/>
                      </w:divBdr>
                    </w:div>
                  </w:divsChild>
                </w:div>
                <w:div w:id="696858116">
                  <w:marLeft w:val="0"/>
                  <w:marRight w:val="0"/>
                  <w:marTop w:val="0"/>
                  <w:marBottom w:val="0"/>
                  <w:divBdr>
                    <w:top w:val="none" w:sz="0" w:space="0" w:color="auto"/>
                    <w:left w:val="none" w:sz="0" w:space="0" w:color="auto"/>
                    <w:bottom w:val="none" w:sz="0" w:space="0" w:color="auto"/>
                    <w:right w:val="none" w:sz="0" w:space="0" w:color="auto"/>
                  </w:divBdr>
                  <w:divsChild>
                    <w:div w:id="1696151667">
                      <w:marLeft w:val="0"/>
                      <w:marRight w:val="0"/>
                      <w:marTop w:val="0"/>
                      <w:marBottom w:val="0"/>
                      <w:divBdr>
                        <w:top w:val="none" w:sz="0" w:space="0" w:color="auto"/>
                        <w:left w:val="none" w:sz="0" w:space="0" w:color="auto"/>
                        <w:bottom w:val="none" w:sz="0" w:space="0" w:color="auto"/>
                        <w:right w:val="none" w:sz="0" w:space="0" w:color="auto"/>
                      </w:divBdr>
                    </w:div>
                  </w:divsChild>
                </w:div>
                <w:div w:id="1945841504">
                  <w:marLeft w:val="0"/>
                  <w:marRight w:val="0"/>
                  <w:marTop w:val="0"/>
                  <w:marBottom w:val="0"/>
                  <w:divBdr>
                    <w:top w:val="none" w:sz="0" w:space="0" w:color="auto"/>
                    <w:left w:val="none" w:sz="0" w:space="0" w:color="auto"/>
                    <w:bottom w:val="none" w:sz="0" w:space="0" w:color="auto"/>
                    <w:right w:val="none" w:sz="0" w:space="0" w:color="auto"/>
                  </w:divBdr>
                  <w:divsChild>
                    <w:div w:id="1389380742">
                      <w:marLeft w:val="0"/>
                      <w:marRight w:val="0"/>
                      <w:marTop w:val="0"/>
                      <w:marBottom w:val="0"/>
                      <w:divBdr>
                        <w:top w:val="none" w:sz="0" w:space="0" w:color="auto"/>
                        <w:left w:val="none" w:sz="0" w:space="0" w:color="auto"/>
                        <w:bottom w:val="none" w:sz="0" w:space="0" w:color="auto"/>
                        <w:right w:val="none" w:sz="0" w:space="0" w:color="auto"/>
                      </w:divBdr>
                    </w:div>
                  </w:divsChild>
                </w:div>
                <w:div w:id="240800216">
                  <w:marLeft w:val="0"/>
                  <w:marRight w:val="0"/>
                  <w:marTop w:val="0"/>
                  <w:marBottom w:val="0"/>
                  <w:divBdr>
                    <w:top w:val="none" w:sz="0" w:space="0" w:color="auto"/>
                    <w:left w:val="none" w:sz="0" w:space="0" w:color="auto"/>
                    <w:bottom w:val="none" w:sz="0" w:space="0" w:color="auto"/>
                    <w:right w:val="none" w:sz="0" w:space="0" w:color="auto"/>
                  </w:divBdr>
                  <w:divsChild>
                    <w:div w:id="2145997413">
                      <w:marLeft w:val="0"/>
                      <w:marRight w:val="0"/>
                      <w:marTop w:val="0"/>
                      <w:marBottom w:val="0"/>
                      <w:divBdr>
                        <w:top w:val="none" w:sz="0" w:space="0" w:color="auto"/>
                        <w:left w:val="none" w:sz="0" w:space="0" w:color="auto"/>
                        <w:bottom w:val="none" w:sz="0" w:space="0" w:color="auto"/>
                        <w:right w:val="none" w:sz="0" w:space="0" w:color="auto"/>
                      </w:divBdr>
                    </w:div>
                  </w:divsChild>
                </w:div>
                <w:div w:id="1403286309">
                  <w:marLeft w:val="0"/>
                  <w:marRight w:val="0"/>
                  <w:marTop w:val="0"/>
                  <w:marBottom w:val="0"/>
                  <w:divBdr>
                    <w:top w:val="none" w:sz="0" w:space="0" w:color="auto"/>
                    <w:left w:val="none" w:sz="0" w:space="0" w:color="auto"/>
                    <w:bottom w:val="none" w:sz="0" w:space="0" w:color="auto"/>
                    <w:right w:val="none" w:sz="0" w:space="0" w:color="auto"/>
                  </w:divBdr>
                  <w:divsChild>
                    <w:div w:id="1787313448">
                      <w:marLeft w:val="0"/>
                      <w:marRight w:val="0"/>
                      <w:marTop w:val="0"/>
                      <w:marBottom w:val="0"/>
                      <w:divBdr>
                        <w:top w:val="none" w:sz="0" w:space="0" w:color="auto"/>
                        <w:left w:val="none" w:sz="0" w:space="0" w:color="auto"/>
                        <w:bottom w:val="none" w:sz="0" w:space="0" w:color="auto"/>
                        <w:right w:val="none" w:sz="0" w:space="0" w:color="auto"/>
                      </w:divBdr>
                    </w:div>
                  </w:divsChild>
                </w:div>
                <w:div w:id="1498378492">
                  <w:marLeft w:val="0"/>
                  <w:marRight w:val="0"/>
                  <w:marTop w:val="0"/>
                  <w:marBottom w:val="0"/>
                  <w:divBdr>
                    <w:top w:val="none" w:sz="0" w:space="0" w:color="auto"/>
                    <w:left w:val="none" w:sz="0" w:space="0" w:color="auto"/>
                    <w:bottom w:val="none" w:sz="0" w:space="0" w:color="auto"/>
                    <w:right w:val="none" w:sz="0" w:space="0" w:color="auto"/>
                  </w:divBdr>
                  <w:divsChild>
                    <w:div w:id="245110427">
                      <w:marLeft w:val="0"/>
                      <w:marRight w:val="0"/>
                      <w:marTop w:val="0"/>
                      <w:marBottom w:val="0"/>
                      <w:divBdr>
                        <w:top w:val="none" w:sz="0" w:space="0" w:color="auto"/>
                        <w:left w:val="none" w:sz="0" w:space="0" w:color="auto"/>
                        <w:bottom w:val="none" w:sz="0" w:space="0" w:color="auto"/>
                        <w:right w:val="none" w:sz="0" w:space="0" w:color="auto"/>
                      </w:divBdr>
                    </w:div>
                  </w:divsChild>
                </w:div>
                <w:div w:id="1058087371">
                  <w:marLeft w:val="0"/>
                  <w:marRight w:val="0"/>
                  <w:marTop w:val="0"/>
                  <w:marBottom w:val="0"/>
                  <w:divBdr>
                    <w:top w:val="none" w:sz="0" w:space="0" w:color="auto"/>
                    <w:left w:val="none" w:sz="0" w:space="0" w:color="auto"/>
                    <w:bottom w:val="none" w:sz="0" w:space="0" w:color="auto"/>
                    <w:right w:val="none" w:sz="0" w:space="0" w:color="auto"/>
                  </w:divBdr>
                  <w:divsChild>
                    <w:div w:id="178543941">
                      <w:marLeft w:val="0"/>
                      <w:marRight w:val="0"/>
                      <w:marTop w:val="0"/>
                      <w:marBottom w:val="0"/>
                      <w:divBdr>
                        <w:top w:val="none" w:sz="0" w:space="0" w:color="auto"/>
                        <w:left w:val="none" w:sz="0" w:space="0" w:color="auto"/>
                        <w:bottom w:val="none" w:sz="0" w:space="0" w:color="auto"/>
                        <w:right w:val="none" w:sz="0" w:space="0" w:color="auto"/>
                      </w:divBdr>
                    </w:div>
                  </w:divsChild>
                </w:div>
                <w:div w:id="218828635">
                  <w:marLeft w:val="0"/>
                  <w:marRight w:val="0"/>
                  <w:marTop w:val="0"/>
                  <w:marBottom w:val="0"/>
                  <w:divBdr>
                    <w:top w:val="none" w:sz="0" w:space="0" w:color="auto"/>
                    <w:left w:val="none" w:sz="0" w:space="0" w:color="auto"/>
                    <w:bottom w:val="none" w:sz="0" w:space="0" w:color="auto"/>
                    <w:right w:val="none" w:sz="0" w:space="0" w:color="auto"/>
                  </w:divBdr>
                  <w:divsChild>
                    <w:div w:id="2015721060">
                      <w:marLeft w:val="0"/>
                      <w:marRight w:val="0"/>
                      <w:marTop w:val="0"/>
                      <w:marBottom w:val="0"/>
                      <w:divBdr>
                        <w:top w:val="none" w:sz="0" w:space="0" w:color="auto"/>
                        <w:left w:val="none" w:sz="0" w:space="0" w:color="auto"/>
                        <w:bottom w:val="none" w:sz="0" w:space="0" w:color="auto"/>
                        <w:right w:val="none" w:sz="0" w:space="0" w:color="auto"/>
                      </w:divBdr>
                    </w:div>
                  </w:divsChild>
                </w:div>
                <w:div w:id="1200779156">
                  <w:marLeft w:val="0"/>
                  <w:marRight w:val="0"/>
                  <w:marTop w:val="0"/>
                  <w:marBottom w:val="0"/>
                  <w:divBdr>
                    <w:top w:val="none" w:sz="0" w:space="0" w:color="auto"/>
                    <w:left w:val="none" w:sz="0" w:space="0" w:color="auto"/>
                    <w:bottom w:val="none" w:sz="0" w:space="0" w:color="auto"/>
                    <w:right w:val="none" w:sz="0" w:space="0" w:color="auto"/>
                  </w:divBdr>
                  <w:divsChild>
                    <w:div w:id="872039964">
                      <w:marLeft w:val="0"/>
                      <w:marRight w:val="0"/>
                      <w:marTop w:val="0"/>
                      <w:marBottom w:val="0"/>
                      <w:divBdr>
                        <w:top w:val="none" w:sz="0" w:space="0" w:color="auto"/>
                        <w:left w:val="none" w:sz="0" w:space="0" w:color="auto"/>
                        <w:bottom w:val="none" w:sz="0" w:space="0" w:color="auto"/>
                        <w:right w:val="none" w:sz="0" w:space="0" w:color="auto"/>
                      </w:divBdr>
                    </w:div>
                  </w:divsChild>
                </w:div>
                <w:div w:id="1136409838">
                  <w:marLeft w:val="0"/>
                  <w:marRight w:val="0"/>
                  <w:marTop w:val="0"/>
                  <w:marBottom w:val="0"/>
                  <w:divBdr>
                    <w:top w:val="none" w:sz="0" w:space="0" w:color="auto"/>
                    <w:left w:val="none" w:sz="0" w:space="0" w:color="auto"/>
                    <w:bottom w:val="none" w:sz="0" w:space="0" w:color="auto"/>
                    <w:right w:val="none" w:sz="0" w:space="0" w:color="auto"/>
                  </w:divBdr>
                  <w:divsChild>
                    <w:div w:id="656570318">
                      <w:marLeft w:val="0"/>
                      <w:marRight w:val="0"/>
                      <w:marTop w:val="0"/>
                      <w:marBottom w:val="0"/>
                      <w:divBdr>
                        <w:top w:val="none" w:sz="0" w:space="0" w:color="auto"/>
                        <w:left w:val="none" w:sz="0" w:space="0" w:color="auto"/>
                        <w:bottom w:val="none" w:sz="0" w:space="0" w:color="auto"/>
                        <w:right w:val="none" w:sz="0" w:space="0" w:color="auto"/>
                      </w:divBdr>
                    </w:div>
                  </w:divsChild>
                </w:div>
                <w:div w:id="801730828">
                  <w:marLeft w:val="0"/>
                  <w:marRight w:val="0"/>
                  <w:marTop w:val="0"/>
                  <w:marBottom w:val="0"/>
                  <w:divBdr>
                    <w:top w:val="none" w:sz="0" w:space="0" w:color="auto"/>
                    <w:left w:val="none" w:sz="0" w:space="0" w:color="auto"/>
                    <w:bottom w:val="none" w:sz="0" w:space="0" w:color="auto"/>
                    <w:right w:val="none" w:sz="0" w:space="0" w:color="auto"/>
                  </w:divBdr>
                  <w:divsChild>
                    <w:div w:id="521821629">
                      <w:marLeft w:val="0"/>
                      <w:marRight w:val="0"/>
                      <w:marTop w:val="0"/>
                      <w:marBottom w:val="0"/>
                      <w:divBdr>
                        <w:top w:val="none" w:sz="0" w:space="0" w:color="auto"/>
                        <w:left w:val="none" w:sz="0" w:space="0" w:color="auto"/>
                        <w:bottom w:val="none" w:sz="0" w:space="0" w:color="auto"/>
                        <w:right w:val="none" w:sz="0" w:space="0" w:color="auto"/>
                      </w:divBdr>
                    </w:div>
                  </w:divsChild>
                </w:div>
                <w:div w:id="1067805316">
                  <w:marLeft w:val="0"/>
                  <w:marRight w:val="0"/>
                  <w:marTop w:val="0"/>
                  <w:marBottom w:val="0"/>
                  <w:divBdr>
                    <w:top w:val="none" w:sz="0" w:space="0" w:color="auto"/>
                    <w:left w:val="none" w:sz="0" w:space="0" w:color="auto"/>
                    <w:bottom w:val="none" w:sz="0" w:space="0" w:color="auto"/>
                    <w:right w:val="none" w:sz="0" w:space="0" w:color="auto"/>
                  </w:divBdr>
                  <w:divsChild>
                    <w:div w:id="199093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891328">
          <w:marLeft w:val="0"/>
          <w:marRight w:val="0"/>
          <w:marTop w:val="0"/>
          <w:marBottom w:val="0"/>
          <w:divBdr>
            <w:top w:val="none" w:sz="0" w:space="0" w:color="auto"/>
            <w:left w:val="none" w:sz="0" w:space="0" w:color="auto"/>
            <w:bottom w:val="none" w:sz="0" w:space="0" w:color="auto"/>
            <w:right w:val="none" w:sz="0" w:space="0" w:color="auto"/>
          </w:divBdr>
        </w:div>
        <w:div w:id="1209730439">
          <w:marLeft w:val="0"/>
          <w:marRight w:val="0"/>
          <w:marTop w:val="0"/>
          <w:marBottom w:val="0"/>
          <w:divBdr>
            <w:top w:val="none" w:sz="0" w:space="0" w:color="auto"/>
            <w:left w:val="none" w:sz="0" w:space="0" w:color="auto"/>
            <w:bottom w:val="none" w:sz="0" w:space="0" w:color="auto"/>
            <w:right w:val="none" w:sz="0" w:space="0" w:color="auto"/>
          </w:divBdr>
        </w:div>
        <w:div w:id="354230958">
          <w:marLeft w:val="0"/>
          <w:marRight w:val="0"/>
          <w:marTop w:val="0"/>
          <w:marBottom w:val="0"/>
          <w:divBdr>
            <w:top w:val="none" w:sz="0" w:space="0" w:color="auto"/>
            <w:left w:val="none" w:sz="0" w:space="0" w:color="auto"/>
            <w:bottom w:val="none" w:sz="0" w:space="0" w:color="auto"/>
            <w:right w:val="none" w:sz="0" w:space="0" w:color="auto"/>
          </w:divBdr>
        </w:div>
        <w:div w:id="2035157264">
          <w:marLeft w:val="0"/>
          <w:marRight w:val="0"/>
          <w:marTop w:val="0"/>
          <w:marBottom w:val="0"/>
          <w:divBdr>
            <w:top w:val="none" w:sz="0" w:space="0" w:color="auto"/>
            <w:left w:val="none" w:sz="0" w:space="0" w:color="auto"/>
            <w:bottom w:val="none" w:sz="0" w:space="0" w:color="auto"/>
            <w:right w:val="none" w:sz="0" w:space="0" w:color="auto"/>
          </w:divBdr>
        </w:div>
        <w:div w:id="1046098729">
          <w:marLeft w:val="0"/>
          <w:marRight w:val="0"/>
          <w:marTop w:val="0"/>
          <w:marBottom w:val="0"/>
          <w:divBdr>
            <w:top w:val="none" w:sz="0" w:space="0" w:color="auto"/>
            <w:left w:val="none" w:sz="0" w:space="0" w:color="auto"/>
            <w:bottom w:val="none" w:sz="0" w:space="0" w:color="auto"/>
            <w:right w:val="none" w:sz="0" w:space="0" w:color="auto"/>
          </w:divBdr>
        </w:div>
      </w:divsChild>
    </w:div>
    <w:div w:id="1189373224">
      <w:bodyDiv w:val="1"/>
      <w:marLeft w:val="0"/>
      <w:marRight w:val="0"/>
      <w:marTop w:val="0"/>
      <w:marBottom w:val="0"/>
      <w:divBdr>
        <w:top w:val="none" w:sz="0" w:space="0" w:color="auto"/>
        <w:left w:val="none" w:sz="0" w:space="0" w:color="auto"/>
        <w:bottom w:val="none" w:sz="0" w:space="0" w:color="auto"/>
        <w:right w:val="none" w:sz="0" w:space="0" w:color="auto"/>
      </w:divBdr>
    </w:div>
    <w:div w:id="1190603467">
      <w:bodyDiv w:val="1"/>
      <w:marLeft w:val="0"/>
      <w:marRight w:val="0"/>
      <w:marTop w:val="0"/>
      <w:marBottom w:val="0"/>
      <w:divBdr>
        <w:top w:val="none" w:sz="0" w:space="0" w:color="auto"/>
        <w:left w:val="none" w:sz="0" w:space="0" w:color="auto"/>
        <w:bottom w:val="none" w:sz="0" w:space="0" w:color="auto"/>
        <w:right w:val="none" w:sz="0" w:space="0" w:color="auto"/>
      </w:divBdr>
    </w:div>
    <w:div w:id="1196308127">
      <w:bodyDiv w:val="1"/>
      <w:marLeft w:val="0"/>
      <w:marRight w:val="0"/>
      <w:marTop w:val="0"/>
      <w:marBottom w:val="0"/>
      <w:divBdr>
        <w:top w:val="none" w:sz="0" w:space="0" w:color="auto"/>
        <w:left w:val="none" w:sz="0" w:space="0" w:color="auto"/>
        <w:bottom w:val="none" w:sz="0" w:space="0" w:color="auto"/>
        <w:right w:val="none" w:sz="0" w:space="0" w:color="auto"/>
      </w:divBdr>
    </w:div>
    <w:div w:id="1212308724">
      <w:bodyDiv w:val="1"/>
      <w:marLeft w:val="0"/>
      <w:marRight w:val="0"/>
      <w:marTop w:val="0"/>
      <w:marBottom w:val="0"/>
      <w:divBdr>
        <w:top w:val="none" w:sz="0" w:space="0" w:color="auto"/>
        <w:left w:val="none" w:sz="0" w:space="0" w:color="auto"/>
        <w:bottom w:val="none" w:sz="0" w:space="0" w:color="auto"/>
        <w:right w:val="none" w:sz="0" w:space="0" w:color="auto"/>
      </w:divBdr>
    </w:div>
    <w:div w:id="1212499495">
      <w:bodyDiv w:val="1"/>
      <w:marLeft w:val="0"/>
      <w:marRight w:val="0"/>
      <w:marTop w:val="0"/>
      <w:marBottom w:val="0"/>
      <w:divBdr>
        <w:top w:val="none" w:sz="0" w:space="0" w:color="auto"/>
        <w:left w:val="none" w:sz="0" w:space="0" w:color="auto"/>
        <w:bottom w:val="none" w:sz="0" w:space="0" w:color="auto"/>
        <w:right w:val="none" w:sz="0" w:space="0" w:color="auto"/>
      </w:divBdr>
    </w:div>
    <w:div w:id="1215240054">
      <w:bodyDiv w:val="1"/>
      <w:marLeft w:val="0"/>
      <w:marRight w:val="0"/>
      <w:marTop w:val="0"/>
      <w:marBottom w:val="0"/>
      <w:divBdr>
        <w:top w:val="none" w:sz="0" w:space="0" w:color="auto"/>
        <w:left w:val="none" w:sz="0" w:space="0" w:color="auto"/>
        <w:bottom w:val="none" w:sz="0" w:space="0" w:color="auto"/>
        <w:right w:val="none" w:sz="0" w:space="0" w:color="auto"/>
      </w:divBdr>
    </w:div>
    <w:div w:id="1216350144">
      <w:bodyDiv w:val="1"/>
      <w:marLeft w:val="0"/>
      <w:marRight w:val="0"/>
      <w:marTop w:val="0"/>
      <w:marBottom w:val="0"/>
      <w:divBdr>
        <w:top w:val="none" w:sz="0" w:space="0" w:color="auto"/>
        <w:left w:val="none" w:sz="0" w:space="0" w:color="auto"/>
        <w:bottom w:val="none" w:sz="0" w:space="0" w:color="auto"/>
        <w:right w:val="none" w:sz="0" w:space="0" w:color="auto"/>
      </w:divBdr>
    </w:div>
    <w:div w:id="1228998035">
      <w:bodyDiv w:val="1"/>
      <w:marLeft w:val="0"/>
      <w:marRight w:val="0"/>
      <w:marTop w:val="0"/>
      <w:marBottom w:val="0"/>
      <w:divBdr>
        <w:top w:val="none" w:sz="0" w:space="0" w:color="auto"/>
        <w:left w:val="none" w:sz="0" w:space="0" w:color="auto"/>
        <w:bottom w:val="none" w:sz="0" w:space="0" w:color="auto"/>
        <w:right w:val="none" w:sz="0" w:space="0" w:color="auto"/>
      </w:divBdr>
    </w:div>
    <w:div w:id="1235627456">
      <w:bodyDiv w:val="1"/>
      <w:marLeft w:val="0"/>
      <w:marRight w:val="0"/>
      <w:marTop w:val="0"/>
      <w:marBottom w:val="0"/>
      <w:divBdr>
        <w:top w:val="none" w:sz="0" w:space="0" w:color="auto"/>
        <w:left w:val="none" w:sz="0" w:space="0" w:color="auto"/>
        <w:bottom w:val="none" w:sz="0" w:space="0" w:color="auto"/>
        <w:right w:val="none" w:sz="0" w:space="0" w:color="auto"/>
      </w:divBdr>
    </w:div>
    <w:div w:id="1242563409">
      <w:bodyDiv w:val="1"/>
      <w:marLeft w:val="0"/>
      <w:marRight w:val="0"/>
      <w:marTop w:val="0"/>
      <w:marBottom w:val="0"/>
      <w:divBdr>
        <w:top w:val="none" w:sz="0" w:space="0" w:color="auto"/>
        <w:left w:val="none" w:sz="0" w:space="0" w:color="auto"/>
        <w:bottom w:val="none" w:sz="0" w:space="0" w:color="auto"/>
        <w:right w:val="none" w:sz="0" w:space="0" w:color="auto"/>
      </w:divBdr>
    </w:div>
    <w:div w:id="1245457222">
      <w:bodyDiv w:val="1"/>
      <w:marLeft w:val="0"/>
      <w:marRight w:val="0"/>
      <w:marTop w:val="0"/>
      <w:marBottom w:val="0"/>
      <w:divBdr>
        <w:top w:val="none" w:sz="0" w:space="0" w:color="auto"/>
        <w:left w:val="none" w:sz="0" w:space="0" w:color="auto"/>
        <w:bottom w:val="none" w:sz="0" w:space="0" w:color="auto"/>
        <w:right w:val="none" w:sz="0" w:space="0" w:color="auto"/>
      </w:divBdr>
    </w:div>
    <w:div w:id="1257443991">
      <w:bodyDiv w:val="1"/>
      <w:marLeft w:val="0"/>
      <w:marRight w:val="0"/>
      <w:marTop w:val="0"/>
      <w:marBottom w:val="0"/>
      <w:divBdr>
        <w:top w:val="none" w:sz="0" w:space="0" w:color="auto"/>
        <w:left w:val="none" w:sz="0" w:space="0" w:color="auto"/>
        <w:bottom w:val="none" w:sz="0" w:space="0" w:color="auto"/>
        <w:right w:val="none" w:sz="0" w:space="0" w:color="auto"/>
      </w:divBdr>
    </w:div>
    <w:div w:id="1257444351">
      <w:bodyDiv w:val="1"/>
      <w:marLeft w:val="0"/>
      <w:marRight w:val="0"/>
      <w:marTop w:val="0"/>
      <w:marBottom w:val="0"/>
      <w:divBdr>
        <w:top w:val="none" w:sz="0" w:space="0" w:color="auto"/>
        <w:left w:val="none" w:sz="0" w:space="0" w:color="auto"/>
        <w:bottom w:val="none" w:sz="0" w:space="0" w:color="auto"/>
        <w:right w:val="none" w:sz="0" w:space="0" w:color="auto"/>
      </w:divBdr>
    </w:div>
    <w:div w:id="1283615331">
      <w:bodyDiv w:val="1"/>
      <w:marLeft w:val="0"/>
      <w:marRight w:val="0"/>
      <w:marTop w:val="0"/>
      <w:marBottom w:val="0"/>
      <w:divBdr>
        <w:top w:val="none" w:sz="0" w:space="0" w:color="auto"/>
        <w:left w:val="none" w:sz="0" w:space="0" w:color="auto"/>
        <w:bottom w:val="none" w:sz="0" w:space="0" w:color="auto"/>
        <w:right w:val="none" w:sz="0" w:space="0" w:color="auto"/>
      </w:divBdr>
    </w:div>
    <w:div w:id="1285305877">
      <w:bodyDiv w:val="1"/>
      <w:marLeft w:val="0"/>
      <w:marRight w:val="0"/>
      <w:marTop w:val="0"/>
      <w:marBottom w:val="0"/>
      <w:divBdr>
        <w:top w:val="none" w:sz="0" w:space="0" w:color="auto"/>
        <w:left w:val="none" w:sz="0" w:space="0" w:color="auto"/>
        <w:bottom w:val="none" w:sz="0" w:space="0" w:color="auto"/>
        <w:right w:val="none" w:sz="0" w:space="0" w:color="auto"/>
      </w:divBdr>
    </w:div>
    <w:div w:id="1290548009">
      <w:bodyDiv w:val="1"/>
      <w:marLeft w:val="0"/>
      <w:marRight w:val="0"/>
      <w:marTop w:val="0"/>
      <w:marBottom w:val="0"/>
      <w:divBdr>
        <w:top w:val="none" w:sz="0" w:space="0" w:color="auto"/>
        <w:left w:val="none" w:sz="0" w:space="0" w:color="auto"/>
        <w:bottom w:val="none" w:sz="0" w:space="0" w:color="auto"/>
        <w:right w:val="none" w:sz="0" w:space="0" w:color="auto"/>
      </w:divBdr>
    </w:div>
    <w:div w:id="1301960215">
      <w:bodyDiv w:val="1"/>
      <w:marLeft w:val="0"/>
      <w:marRight w:val="0"/>
      <w:marTop w:val="0"/>
      <w:marBottom w:val="0"/>
      <w:divBdr>
        <w:top w:val="none" w:sz="0" w:space="0" w:color="auto"/>
        <w:left w:val="none" w:sz="0" w:space="0" w:color="auto"/>
        <w:bottom w:val="none" w:sz="0" w:space="0" w:color="auto"/>
        <w:right w:val="none" w:sz="0" w:space="0" w:color="auto"/>
      </w:divBdr>
    </w:div>
    <w:div w:id="1309093425">
      <w:bodyDiv w:val="1"/>
      <w:marLeft w:val="0"/>
      <w:marRight w:val="0"/>
      <w:marTop w:val="0"/>
      <w:marBottom w:val="0"/>
      <w:divBdr>
        <w:top w:val="none" w:sz="0" w:space="0" w:color="auto"/>
        <w:left w:val="none" w:sz="0" w:space="0" w:color="auto"/>
        <w:bottom w:val="none" w:sz="0" w:space="0" w:color="auto"/>
        <w:right w:val="none" w:sz="0" w:space="0" w:color="auto"/>
      </w:divBdr>
    </w:div>
    <w:div w:id="1313024665">
      <w:bodyDiv w:val="1"/>
      <w:marLeft w:val="0"/>
      <w:marRight w:val="0"/>
      <w:marTop w:val="0"/>
      <w:marBottom w:val="0"/>
      <w:divBdr>
        <w:top w:val="none" w:sz="0" w:space="0" w:color="auto"/>
        <w:left w:val="none" w:sz="0" w:space="0" w:color="auto"/>
        <w:bottom w:val="none" w:sz="0" w:space="0" w:color="auto"/>
        <w:right w:val="none" w:sz="0" w:space="0" w:color="auto"/>
      </w:divBdr>
    </w:div>
    <w:div w:id="1322082836">
      <w:bodyDiv w:val="1"/>
      <w:marLeft w:val="0"/>
      <w:marRight w:val="0"/>
      <w:marTop w:val="0"/>
      <w:marBottom w:val="0"/>
      <w:divBdr>
        <w:top w:val="none" w:sz="0" w:space="0" w:color="auto"/>
        <w:left w:val="none" w:sz="0" w:space="0" w:color="auto"/>
        <w:bottom w:val="none" w:sz="0" w:space="0" w:color="auto"/>
        <w:right w:val="none" w:sz="0" w:space="0" w:color="auto"/>
      </w:divBdr>
      <w:divsChild>
        <w:div w:id="1765684871">
          <w:marLeft w:val="0"/>
          <w:marRight w:val="0"/>
          <w:marTop w:val="0"/>
          <w:marBottom w:val="0"/>
          <w:divBdr>
            <w:top w:val="none" w:sz="0" w:space="0" w:color="auto"/>
            <w:left w:val="none" w:sz="0" w:space="0" w:color="auto"/>
            <w:bottom w:val="none" w:sz="0" w:space="0" w:color="auto"/>
            <w:right w:val="none" w:sz="0" w:space="0" w:color="auto"/>
          </w:divBdr>
        </w:div>
        <w:div w:id="1747847903">
          <w:marLeft w:val="0"/>
          <w:marRight w:val="0"/>
          <w:marTop w:val="0"/>
          <w:marBottom w:val="0"/>
          <w:divBdr>
            <w:top w:val="none" w:sz="0" w:space="0" w:color="auto"/>
            <w:left w:val="none" w:sz="0" w:space="0" w:color="auto"/>
            <w:bottom w:val="none" w:sz="0" w:space="0" w:color="auto"/>
            <w:right w:val="none" w:sz="0" w:space="0" w:color="auto"/>
          </w:divBdr>
        </w:div>
        <w:div w:id="674848240">
          <w:marLeft w:val="0"/>
          <w:marRight w:val="0"/>
          <w:marTop w:val="0"/>
          <w:marBottom w:val="0"/>
          <w:divBdr>
            <w:top w:val="none" w:sz="0" w:space="0" w:color="auto"/>
            <w:left w:val="none" w:sz="0" w:space="0" w:color="auto"/>
            <w:bottom w:val="none" w:sz="0" w:space="0" w:color="auto"/>
            <w:right w:val="none" w:sz="0" w:space="0" w:color="auto"/>
          </w:divBdr>
        </w:div>
        <w:div w:id="1887447228">
          <w:marLeft w:val="0"/>
          <w:marRight w:val="0"/>
          <w:marTop w:val="0"/>
          <w:marBottom w:val="0"/>
          <w:divBdr>
            <w:top w:val="none" w:sz="0" w:space="0" w:color="auto"/>
            <w:left w:val="none" w:sz="0" w:space="0" w:color="auto"/>
            <w:bottom w:val="none" w:sz="0" w:space="0" w:color="auto"/>
            <w:right w:val="none" w:sz="0" w:space="0" w:color="auto"/>
          </w:divBdr>
        </w:div>
        <w:div w:id="1023940887">
          <w:marLeft w:val="0"/>
          <w:marRight w:val="0"/>
          <w:marTop w:val="0"/>
          <w:marBottom w:val="0"/>
          <w:divBdr>
            <w:top w:val="none" w:sz="0" w:space="0" w:color="auto"/>
            <w:left w:val="none" w:sz="0" w:space="0" w:color="auto"/>
            <w:bottom w:val="none" w:sz="0" w:space="0" w:color="auto"/>
            <w:right w:val="none" w:sz="0" w:space="0" w:color="auto"/>
          </w:divBdr>
        </w:div>
        <w:div w:id="1081636582">
          <w:marLeft w:val="0"/>
          <w:marRight w:val="0"/>
          <w:marTop w:val="0"/>
          <w:marBottom w:val="0"/>
          <w:divBdr>
            <w:top w:val="none" w:sz="0" w:space="0" w:color="auto"/>
            <w:left w:val="none" w:sz="0" w:space="0" w:color="auto"/>
            <w:bottom w:val="none" w:sz="0" w:space="0" w:color="auto"/>
            <w:right w:val="none" w:sz="0" w:space="0" w:color="auto"/>
          </w:divBdr>
          <w:divsChild>
            <w:div w:id="267855786">
              <w:marLeft w:val="0"/>
              <w:marRight w:val="0"/>
              <w:marTop w:val="0"/>
              <w:marBottom w:val="0"/>
              <w:divBdr>
                <w:top w:val="none" w:sz="0" w:space="0" w:color="auto"/>
                <w:left w:val="none" w:sz="0" w:space="0" w:color="auto"/>
                <w:bottom w:val="none" w:sz="0" w:space="0" w:color="auto"/>
                <w:right w:val="none" w:sz="0" w:space="0" w:color="auto"/>
              </w:divBdr>
            </w:div>
            <w:div w:id="1104111690">
              <w:marLeft w:val="0"/>
              <w:marRight w:val="0"/>
              <w:marTop w:val="0"/>
              <w:marBottom w:val="0"/>
              <w:divBdr>
                <w:top w:val="none" w:sz="0" w:space="0" w:color="auto"/>
                <w:left w:val="none" w:sz="0" w:space="0" w:color="auto"/>
                <w:bottom w:val="none" w:sz="0" w:space="0" w:color="auto"/>
                <w:right w:val="none" w:sz="0" w:space="0" w:color="auto"/>
              </w:divBdr>
            </w:div>
            <w:div w:id="359552046">
              <w:marLeft w:val="0"/>
              <w:marRight w:val="0"/>
              <w:marTop w:val="0"/>
              <w:marBottom w:val="0"/>
              <w:divBdr>
                <w:top w:val="none" w:sz="0" w:space="0" w:color="auto"/>
                <w:left w:val="none" w:sz="0" w:space="0" w:color="auto"/>
                <w:bottom w:val="none" w:sz="0" w:space="0" w:color="auto"/>
                <w:right w:val="none" w:sz="0" w:space="0" w:color="auto"/>
              </w:divBdr>
            </w:div>
            <w:div w:id="426387972">
              <w:marLeft w:val="0"/>
              <w:marRight w:val="0"/>
              <w:marTop w:val="0"/>
              <w:marBottom w:val="0"/>
              <w:divBdr>
                <w:top w:val="none" w:sz="0" w:space="0" w:color="auto"/>
                <w:left w:val="none" w:sz="0" w:space="0" w:color="auto"/>
                <w:bottom w:val="none" w:sz="0" w:space="0" w:color="auto"/>
                <w:right w:val="none" w:sz="0" w:space="0" w:color="auto"/>
              </w:divBdr>
            </w:div>
            <w:div w:id="1740638015">
              <w:marLeft w:val="0"/>
              <w:marRight w:val="0"/>
              <w:marTop w:val="0"/>
              <w:marBottom w:val="0"/>
              <w:divBdr>
                <w:top w:val="none" w:sz="0" w:space="0" w:color="auto"/>
                <w:left w:val="none" w:sz="0" w:space="0" w:color="auto"/>
                <w:bottom w:val="none" w:sz="0" w:space="0" w:color="auto"/>
                <w:right w:val="none" w:sz="0" w:space="0" w:color="auto"/>
              </w:divBdr>
            </w:div>
            <w:div w:id="2112818452">
              <w:marLeft w:val="0"/>
              <w:marRight w:val="0"/>
              <w:marTop w:val="0"/>
              <w:marBottom w:val="0"/>
              <w:divBdr>
                <w:top w:val="none" w:sz="0" w:space="0" w:color="auto"/>
                <w:left w:val="none" w:sz="0" w:space="0" w:color="auto"/>
                <w:bottom w:val="none" w:sz="0" w:space="0" w:color="auto"/>
                <w:right w:val="none" w:sz="0" w:space="0" w:color="auto"/>
              </w:divBdr>
            </w:div>
            <w:div w:id="1150171565">
              <w:marLeft w:val="0"/>
              <w:marRight w:val="0"/>
              <w:marTop w:val="0"/>
              <w:marBottom w:val="0"/>
              <w:divBdr>
                <w:top w:val="none" w:sz="0" w:space="0" w:color="auto"/>
                <w:left w:val="none" w:sz="0" w:space="0" w:color="auto"/>
                <w:bottom w:val="none" w:sz="0" w:space="0" w:color="auto"/>
                <w:right w:val="none" w:sz="0" w:space="0" w:color="auto"/>
              </w:divBdr>
            </w:div>
            <w:div w:id="1150442907">
              <w:marLeft w:val="0"/>
              <w:marRight w:val="0"/>
              <w:marTop w:val="0"/>
              <w:marBottom w:val="0"/>
              <w:divBdr>
                <w:top w:val="none" w:sz="0" w:space="0" w:color="auto"/>
                <w:left w:val="none" w:sz="0" w:space="0" w:color="auto"/>
                <w:bottom w:val="none" w:sz="0" w:space="0" w:color="auto"/>
                <w:right w:val="none" w:sz="0" w:space="0" w:color="auto"/>
              </w:divBdr>
            </w:div>
            <w:div w:id="238177792">
              <w:marLeft w:val="0"/>
              <w:marRight w:val="0"/>
              <w:marTop w:val="0"/>
              <w:marBottom w:val="0"/>
              <w:divBdr>
                <w:top w:val="none" w:sz="0" w:space="0" w:color="auto"/>
                <w:left w:val="none" w:sz="0" w:space="0" w:color="auto"/>
                <w:bottom w:val="none" w:sz="0" w:space="0" w:color="auto"/>
                <w:right w:val="none" w:sz="0" w:space="0" w:color="auto"/>
              </w:divBdr>
            </w:div>
            <w:div w:id="1960456279">
              <w:marLeft w:val="0"/>
              <w:marRight w:val="0"/>
              <w:marTop w:val="0"/>
              <w:marBottom w:val="0"/>
              <w:divBdr>
                <w:top w:val="none" w:sz="0" w:space="0" w:color="auto"/>
                <w:left w:val="none" w:sz="0" w:space="0" w:color="auto"/>
                <w:bottom w:val="none" w:sz="0" w:space="0" w:color="auto"/>
                <w:right w:val="none" w:sz="0" w:space="0" w:color="auto"/>
              </w:divBdr>
            </w:div>
            <w:div w:id="1653413351">
              <w:marLeft w:val="0"/>
              <w:marRight w:val="0"/>
              <w:marTop w:val="0"/>
              <w:marBottom w:val="0"/>
              <w:divBdr>
                <w:top w:val="none" w:sz="0" w:space="0" w:color="auto"/>
                <w:left w:val="none" w:sz="0" w:space="0" w:color="auto"/>
                <w:bottom w:val="none" w:sz="0" w:space="0" w:color="auto"/>
                <w:right w:val="none" w:sz="0" w:space="0" w:color="auto"/>
              </w:divBdr>
            </w:div>
            <w:div w:id="1937014758">
              <w:marLeft w:val="0"/>
              <w:marRight w:val="0"/>
              <w:marTop w:val="0"/>
              <w:marBottom w:val="0"/>
              <w:divBdr>
                <w:top w:val="none" w:sz="0" w:space="0" w:color="auto"/>
                <w:left w:val="none" w:sz="0" w:space="0" w:color="auto"/>
                <w:bottom w:val="none" w:sz="0" w:space="0" w:color="auto"/>
                <w:right w:val="none" w:sz="0" w:space="0" w:color="auto"/>
              </w:divBdr>
            </w:div>
            <w:div w:id="1762601569">
              <w:marLeft w:val="0"/>
              <w:marRight w:val="0"/>
              <w:marTop w:val="0"/>
              <w:marBottom w:val="0"/>
              <w:divBdr>
                <w:top w:val="none" w:sz="0" w:space="0" w:color="auto"/>
                <w:left w:val="none" w:sz="0" w:space="0" w:color="auto"/>
                <w:bottom w:val="none" w:sz="0" w:space="0" w:color="auto"/>
                <w:right w:val="none" w:sz="0" w:space="0" w:color="auto"/>
              </w:divBdr>
            </w:div>
            <w:div w:id="532888795">
              <w:marLeft w:val="0"/>
              <w:marRight w:val="0"/>
              <w:marTop w:val="0"/>
              <w:marBottom w:val="0"/>
              <w:divBdr>
                <w:top w:val="none" w:sz="0" w:space="0" w:color="auto"/>
                <w:left w:val="none" w:sz="0" w:space="0" w:color="auto"/>
                <w:bottom w:val="none" w:sz="0" w:space="0" w:color="auto"/>
                <w:right w:val="none" w:sz="0" w:space="0" w:color="auto"/>
              </w:divBdr>
            </w:div>
            <w:div w:id="981273872">
              <w:marLeft w:val="0"/>
              <w:marRight w:val="0"/>
              <w:marTop w:val="0"/>
              <w:marBottom w:val="0"/>
              <w:divBdr>
                <w:top w:val="none" w:sz="0" w:space="0" w:color="auto"/>
                <w:left w:val="none" w:sz="0" w:space="0" w:color="auto"/>
                <w:bottom w:val="none" w:sz="0" w:space="0" w:color="auto"/>
                <w:right w:val="none" w:sz="0" w:space="0" w:color="auto"/>
              </w:divBdr>
            </w:div>
            <w:div w:id="424886731">
              <w:marLeft w:val="0"/>
              <w:marRight w:val="0"/>
              <w:marTop w:val="0"/>
              <w:marBottom w:val="0"/>
              <w:divBdr>
                <w:top w:val="none" w:sz="0" w:space="0" w:color="auto"/>
                <w:left w:val="none" w:sz="0" w:space="0" w:color="auto"/>
                <w:bottom w:val="none" w:sz="0" w:space="0" w:color="auto"/>
                <w:right w:val="none" w:sz="0" w:space="0" w:color="auto"/>
              </w:divBdr>
            </w:div>
            <w:div w:id="692341247">
              <w:marLeft w:val="0"/>
              <w:marRight w:val="0"/>
              <w:marTop w:val="0"/>
              <w:marBottom w:val="0"/>
              <w:divBdr>
                <w:top w:val="none" w:sz="0" w:space="0" w:color="auto"/>
                <w:left w:val="none" w:sz="0" w:space="0" w:color="auto"/>
                <w:bottom w:val="none" w:sz="0" w:space="0" w:color="auto"/>
                <w:right w:val="none" w:sz="0" w:space="0" w:color="auto"/>
              </w:divBdr>
            </w:div>
            <w:div w:id="692463687">
              <w:marLeft w:val="0"/>
              <w:marRight w:val="0"/>
              <w:marTop w:val="0"/>
              <w:marBottom w:val="0"/>
              <w:divBdr>
                <w:top w:val="none" w:sz="0" w:space="0" w:color="auto"/>
                <w:left w:val="none" w:sz="0" w:space="0" w:color="auto"/>
                <w:bottom w:val="none" w:sz="0" w:space="0" w:color="auto"/>
                <w:right w:val="none" w:sz="0" w:space="0" w:color="auto"/>
              </w:divBdr>
            </w:div>
            <w:div w:id="894858453">
              <w:marLeft w:val="0"/>
              <w:marRight w:val="0"/>
              <w:marTop w:val="0"/>
              <w:marBottom w:val="0"/>
              <w:divBdr>
                <w:top w:val="none" w:sz="0" w:space="0" w:color="auto"/>
                <w:left w:val="none" w:sz="0" w:space="0" w:color="auto"/>
                <w:bottom w:val="none" w:sz="0" w:space="0" w:color="auto"/>
                <w:right w:val="none" w:sz="0" w:space="0" w:color="auto"/>
              </w:divBdr>
            </w:div>
            <w:div w:id="1188131266">
              <w:marLeft w:val="0"/>
              <w:marRight w:val="0"/>
              <w:marTop w:val="0"/>
              <w:marBottom w:val="0"/>
              <w:divBdr>
                <w:top w:val="none" w:sz="0" w:space="0" w:color="auto"/>
                <w:left w:val="none" w:sz="0" w:space="0" w:color="auto"/>
                <w:bottom w:val="none" w:sz="0" w:space="0" w:color="auto"/>
                <w:right w:val="none" w:sz="0" w:space="0" w:color="auto"/>
              </w:divBdr>
            </w:div>
          </w:divsChild>
        </w:div>
        <w:div w:id="61030860">
          <w:marLeft w:val="0"/>
          <w:marRight w:val="0"/>
          <w:marTop w:val="0"/>
          <w:marBottom w:val="0"/>
          <w:divBdr>
            <w:top w:val="none" w:sz="0" w:space="0" w:color="auto"/>
            <w:left w:val="none" w:sz="0" w:space="0" w:color="auto"/>
            <w:bottom w:val="none" w:sz="0" w:space="0" w:color="auto"/>
            <w:right w:val="none" w:sz="0" w:space="0" w:color="auto"/>
          </w:divBdr>
          <w:divsChild>
            <w:div w:id="1518273676">
              <w:marLeft w:val="0"/>
              <w:marRight w:val="0"/>
              <w:marTop w:val="0"/>
              <w:marBottom w:val="0"/>
              <w:divBdr>
                <w:top w:val="none" w:sz="0" w:space="0" w:color="auto"/>
                <w:left w:val="none" w:sz="0" w:space="0" w:color="auto"/>
                <w:bottom w:val="none" w:sz="0" w:space="0" w:color="auto"/>
                <w:right w:val="none" w:sz="0" w:space="0" w:color="auto"/>
              </w:divBdr>
            </w:div>
            <w:div w:id="239173090">
              <w:marLeft w:val="0"/>
              <w:marRight w:val="0"/>
              <w:marTop w:val="0"/>
              <w:marBottom w:val="0"/>
              <w:divBdr>
                <w:top w:val="none" w:sz="0" w:space="0" w:color="auto"/>
                <w:left w:val="none" w:sz="0" w:space="0" w:color="auto"/>
                <w:bottom w:val="none" w:sz="0" w:space="0" w:color="auto"/>
                <w:right w:val="none" w:sz="0" w:space="0" w:color="auto"/>
              </w:divBdr>
            </w:div>
            <w:div w:id="2146384835">
              <w:marLeft w:val="0"/>
              <w:marRight w:val="0"/>
              <w:marTop w:val="0"/>
              <w:marBottom w:val="0"/>
              <w:divBdr>
                <w:top w:val="none" w:sz="0" w:space="0" w:color="auto"/>
                <w:left w:val="none" w:sz="0" w:space="0" w:color="auto"/>
                <w:bottom w:val="none" w:sz="0" w:space="0" w:color="auto"/>
                <w:right w:val="none" w:sz="0" w:space="0" w:color="auto"/>
              </w:divBdr>
            </w:div>
            <w:div w:id="1190025883">
              <w:marLeft w:val="0"/>
              <w:marRight w:val="0"/>
              <w:marTop w:val="0"/>
              <w:marBottom w:val="0"/>
              <w:divBdr>
                <w:top w:val="none" w:sz="0" w:space="0" w:color="auto"/>
                <w:left w:val="none" w:sz="0" w:space="0" w:color="auto"/>
                <w:bottom w:val="none" w:sz="0" w:space="0" w:color="auto"/>
                <w:right w:val="none" w:sz="0" w:space="0" w:color="auto"/>
              </w:divBdr>
            </w:div>
            <w:div w:id="1757508782">
              <w:marLeft w:val="0"/>
              <w:marRight w:val="0"/>
              <w:marTop w:val="0"/>
              <w:marBottom w:val="0"/>
              <w:divBdr>
                <w:top w:val="none" w:sz="0" w:space="0" w:color="auto"/>
                <w:left w:val="none" w:sz="0" w:space="0" w:color="auto"/>
                <w:bottom w:val="none" w:sz="0" w:space="0" w:color="auto"/>
                <w:right w:val="none" w:sz="0" w:space="0" w:color="auto"/>
              </w:divBdr>
            </w:div>
            <w:div w:id="391273100">
              <w:marLeft w:val="0"/>
              <w:marRight w:val="0"/>
              <w:marTop w:val="0"/>
              <w:marBottom w:val="0"/>
              <w:divBdr>
                <w:top w:val="none" w:sz="0" w:space="0" w:color="auto"/>
                <w:left w:val="none" w:sz="0" w:space="0" w:color="auto"/>
                <w:bottom w:val="none" w:sz="0" w:space="0" w:color="auto"/>
                <w:right w:val="none" w:sz="0" w:space="0" w:color="auto"/>
              </w:divBdr>
            </w:div>
            <w:div w:id="370882748">
              <w:marLeft w:val="0"/>
              <w:marRight w:val="0"/>
              <w:marTop w:val="0"/>
              <w:marBottom w:val="0"/>
              <w:divBdr>
                <w:top w:val="none" w:sz="0" w:space="0" w:color="auto"/>
                <w:left w:val="none" w:sz="0" w:space="0" w:color="auto"/>
                <w:bottom w:val="none" w:sz="0" w:space="0" w:color="auto"/>
                <w:right w:val="none" w:sz="0" w:space="0" w:color="auto"/>
              </w:divBdr>
            </w:div>
            <w:div w:id="1432048325">
              <w:marLeft w:val="0"/>
              <w:marRight w:val="0"/>
              <w:marTop w:val="0"/>
              <w:marBottom w:val="0"/>
              <w:divBdr>
                <w:top w:val="none" w:sz="0" w:space="0" w:color="auto"/>
                <w:left w:val="none" w:sz="0" w:space="0" w:color="auto"/>
                <w:bottom w:val="none" w:sz="0" w:space="0" w:color="auto"/>
                <w:right w:val="none" w:sz="0" w:space="0" w:color="auto"/>
              </w:divBdr>
            </w:div>
            <w:div w:id="720906123">
              <w:marLeft w:val="0"/>
              <w:marRight w:val="0"/>
              <w:marTop w:val="0"/>
              <w:marBottom w:val="0"/>
              <w:divBdr>
                <w:top w:val="none" w:sz="0" w:space="0" w:color="auto"/>
                <w:left w:val="none" w:sz="0" w:space="0" w:color="auto"/>
                <w:bottom w:val="none" w:sz="0" w:space="0" w:color="auto"/>
                <w:right w:val="none" w:sz="0" w:space="0" w:color="auto"/>
              </w:divBdr>
            </w:div>
            <w:div w:id="1849052100">
              <w:marLeft w:val="0"/>
              <w:marRight w:val="0"/>
              <w:marTop w:val="0"/>
              <w:marBottom w:val="0"/>
              <w:divBdr>
                <w:top w:val="none" w:sz="0" w:space="0" w:color="auto"/>
                <w:left w:val="none" w:sz="0" w:space="0" w:color="auto"/>
                <w:bottom w:val="none" w:sz="0" w:space="0" w:color="auto"/>
                <w:right w:val="none" w:sz="0" w:space="0" w:color="auto"/>
              </w:divBdr>
            </w:div>
            <w:div w:id="1094667374">
              <w:marLeft w:val="0"/>
              <w:marRight w:val="0"/>
              <w:marTop w:val="0"/>
              <w:marBottom w:val="0"/>
              <w:divBdr>
                <w:top w:val="none" w:sz="0" w:space="0" w:color="auto"/>
                <w:left w:val="none" w:sz="0" w:space="0" w:color="auto"/>
                <w:bottom w:val="none" w:sz="0" w:space="0" w:color="auto"/>
                <w:right w:val="none" w:sz="0" w:space="0" w:color="auto"/>
              </w:divBdr>
            </w:div>
            <w:div w:id="823013734">
              <w:marLeft w:val="0"/>
              <w:marRight w:val="0"/>
              <w:marTop w:val="0"/>
              <w:marBottom w:val="0"/>
              <w:divBdr>
                <w:top w:val="none" w:sz="0" w:space="0" w:color="auto"/>
                <w:left w:val="none" w:sz="0" w:space="0" w:color="auto"/>
                <w:bottom w:val="none" w:sz="0" w:space="0" w:color="auto"/>
                <w:right w:val="none" w:sz="0" w:space="0" w:color="auto"/>
              </w:divBdr>
            </w:div>
            <w:div w:id="1125658492">
              <w:marLeft w:val="0"/>
              <w:marRight w:val="0"/>
              <w:marTop w:val="0"/>
              <w:marBottom w:val="0"/>
              <w:divBdr>
                <w:top w:val="none" w:sz="0" w:space="0" w:color="auto"/>
                <w:left w:val="none" w:sz="0" w:space="0" w:color="auto"/>
                <w:bottom w:val="none" w:sz="0" w:space="0" w:color="auto"/>
                <w:right w:val="none" w:sz="0" w:space="0" w:color="auto"/>
              </w:divBdr>
            </w:div>
            <w:div w:id="1347175409">
              <w:marLeft w:val="0"/>
              <w:marRight w:val="0"/>
              <w:marTop w:val="0"/>
              <w:marBottom w:val="0"/>
              <w:divBdr>
                <w:top w:val="none" w:sz="0" w:space="0" w:color="auto"/>
                <w:left w:val="none" w:sz="0" w:space="0" w:color="auto"/>
                <w:bottom w:val="none" w:sz="0" w:space="0" w:color="auto"/>
                <w:right w:val="none" w:sz="0" w:space="0" w:color="auto"/>
              </w:divBdr>
            </w:div>
            <w:div w:id="70349405">
              <w:marLeft w:val="0"/>
              <w:marRight w:val="0"/>
              <w:marTop w:val="0"/>
              <w:marBottom w:val="0"/>
              <w:divBdr>
                <w:top w:val="none" w:sz="0" w:space="0" w:color="auto"/>
                <w:left w:val="none" w:sz="0" w:space="0" w:color="auto"/>
                <w:bottom w:val="none" w:sz="0" w:space="0" w:color="auto"/>
                <w:right w:val="none" w:sz="0" w:space="0" w:color="auto"/>
              </w:divBdr>
            </w:div>
            <w:div w:id="2025936372">
              <w:marLeft w:val="0"/>
              <w:marRight w:val="0"/>
              <w:marTop w:val="0"/>
              <w:marBottom w:val="0"/>
              <w:divBdr>
                <w:top w:val="none" w:sz="0" w:space="0" w:color="auto"/>
                <w:left w:val="none" w:sz="0" w:space="0" w:color="auto"/>
                <w:bottom w:val="none" w:sz="0" w:space="0" w:color="auto"/>
                <w:right w:val="none" w:sz="0" w:space="0" w:color="auto"/>
              </w:divBdr>
            </w:div>
            <w:div w:id="277374112">
              <w:marLeft w:val="0"/>
              <w:marRight w:val="0"/>
              <w:marTop w:val="0"/>
              <w:marBottom w:val="0"/>
              <w:divBdr>
                <w:top w:val="none" w:sz="0" w:space="0" w:color="auto"/>
                <w:left w:val="none" w:sz="0" w:space="0" w:color="auto"/>
                <w:bottom w:val="none" w:sz="0" w:space="0" w:color="auto"/>
                <w:right w:val="none" w:sz="0" w:space="0" w:color="auto"/>
              </w:divBdr>
            </w:div>
            <w:div w:id="2003967934">
              <w:marLeft w:val="0"/>
              <w:marRight w:val="0"/>
              <w:marTop w:val="0"/>
              <w:marBottom w:val="0"/>
              <w:divBdr>
                <w:top w:val="none" w:sz="0" w:space="0" w:color="auto"/>
                <w:left w:val="none" w:sz="0" w:space="0" w:color="auto"/>
                <w:bottom w:val="none" w:sz="0" w:space="0" w:color="auto"/>
                <w:right w:val="none" w:sz="0" w:space="0" w:color="auto"/>
              </w:divBdr>
            </w:div>
            <w:div w:id="1106853841">
              <w:marLeft w:val="0"/>
              <w:marRight w:val="0"/>
              <w:marTop w:val="0"/>
              <w:marBottom w:val="0"/>
              <w:divBdr>
                <w:top w:val="none" w:sz="0" w:space="0" w:color="auto"/>
                <w:left w:val="none" w:sz="0" w:space="0" w:color="auto"/>
                <w:bottom w:val="none" w:sz="0" w:space="0" w:color="auto"/>
                <w:right w:val="none" w:sz="0" w:space="0" w:color="auto"/>
              </w:divBdr>
            </w:div>
            <w:div w:id="1310358300">
              <w:marLeft w:val="0"/>
              <w:marRight w:val="0"/>
              <w:marTop w:val="0"/>
              <w:marBottom w:val="0"/>
              <w:divBdr>
                <w:top w:val="none" w:sz="0" w:space="0" w:color="auto"/>
                <w:left w:val="none" w:sz="0" w:space="0" w:color="auto"/>
                <w:bottom w:val="none" w:sz="0" w:space="0" w:color="auto"/>
                <w:right w:val="none" w:sz="0" w:space="0" w:color="auto"/>
              </w:divBdr>
            </w:div>
          </w:divsChild>
        </w:div>
        <w:div w:id="999960575">
          <w:marLeft w:val="0"/>
          <w:marRight w:val="0"/>
          <w:marTop w:val="0"/>
          <w:marBottom w:val="0"/>
          <w:divBdr>
            <w:top w:val="none" w:sz="0" w:space="0" w:color="auto"/>
            <w:left w:val="none" w:sz="0" w:space="0" w:color="auto"/>
            <w:bottom w:val="none" w:sz="0" w:space="0" w:color="auto"/>
            <w:right w:val="none" w:sz="0" w:space="0" w:color="auto"/>
          </w:divBdr>
        </w:div>
        <w:div w:id="1825973899">
          <w:marLeft w:val="0"/>
          <w:marRight w:val="0"/>
          <w:marTop w:val="0"/>
          <w:marBottom w:val="0"/>
          <w:divBdr>
            <w:top w:val="none" w:sz="0" w:space="0" w:color="auto"/>
            <w:left w:val="none" w:sz="0" w:space="0" w:color="auto"/>
            <w:bottom w:val="none" w:sz="0" w:space="0" w:color="auto"/>
            <w:right w:val="none" w:sz="0" w:space="0" w:color="auto"/>
          </w:divBdr>
        </w:div>
        <w:div w:id="893199556">
          <w:marLeft w:val="0"/>
          <w:marRight w:val="0"/>
          <w:marTop w:val="0"/>
          <w:marBottom w:val="0"/>
          <w:divBdr>
            <w:top w:val="none" w:sz="0" w:space="0" w:color="auto"/>
            <w:left w:val="none" w:sz="0" w:space="0" w:color="auto"/>
            <w:bottom w:val="none" w:sz="0" w:space="0" w:color="auto"/>
            <w:right w:val="none" w:sz="0" w:space="0" w:color="auto"/>
          </w:divBdr>
        </w:div>
        <w:div w:id="28183576">
          <w:marLeft w:val="0"/>
          <w:marRight w:val="0"/>
          <w:marTop w:val="0"/>
          <w:marBottom w:val="0"/>
          <w:divBdr>
            <w:top w:val="none" w:sz="0" w:space="0" w:color="auto"/>
            <w:left w:val="none" w:sz="0" w:space="0" w:color="auto"/>
            <w:bottom w:val="none" w:sz="0" w:space="0" w:color="auto"/>
            <w:right w:val="none" w:sz="0" w:space="0" w:color="auto"/>
          </w:divBdr>
          <w:divsChild>
            <w:div w:id="1937713555">
              <w:marLeft w:val="-75"/>
              <w:marRight w:val="0"/>
              <w:marTop w:val="30"/>
              <w:marBottom w:val="30"/>
              <w:divBdr>
                <w:top w:val="none" w:sz="0" w:space="0" w:color="auto"/>
                <w:left w:val="none" w:sz="0" w:space="0" w:color="auto"/>
                <w:bottom w:val="none" w:sz="0" w:space="0" w:color="auto"/>
                <w:right w:val="none" w:sz="0" w:space="0" w:color="auto"/>
              </w:divBdr>
              <w:divsChild>
                <w:div w:id="1328944918">
                  <w:marLeft w:val="0"/>
                  <w:marRight w:val="0"/>
                  <w:marTop w:val="0"/>
                  <w:marBottom w:val="0"/>
                  <w:divBdr>
                    <w:top w:val="none" w:sz="0" w:space="0" w:color="auto"/>
                    <w:left w:val="none" w:sz="0" w:space="0" w:color="auto"/>
                    <w:bottom w:val="none" w:sz="0" w:space="0" w:color="auto"/>
                    <w:right w:val="none" w:sz="0" w:space="0" w:color="auto"/>
                  </w:divBdr>
                  <w:divsChild>
                    <w:div w:id="342250033">
                      <w:marLeft w:val="0"/>
                      <w:marRight w:val="0"/>
                      <w:marTop w:val="0"/>
                      <w:marBottom w:val="0"/>
                      <w:divBdr>
                        <w:top w:val="none" w:sz="0" w:space="0" w:color="auto"/>
                        <w:left w:val="none" w:sz="0" w:space="0" w:color="auto"/>
                        <w:bottom w:val="none" w:sz="0" w:space="0" w:color="auto"/>
                        <w:right w:val="none" w:sz="0" w:space="0" w:color="auto"/>
                      </w:divBdr>
                    </w:div>
                  </w:divsChild>
                </w:div>
                <w:div w:id="316034930">
                  <w:marLeft w:val="0"/>
                  <w:marRight w:val="0"/>
                  <w:marTop w:val="0"/>
                  <w:marBottom w:val="0"/>
                  <w:divBdr>
                    <w:top w:val="none" w:sz="0" w:space="0" w:color="auto"/>
                    <w:left w:val="none" w:sz="0" w:space="0" w:color="auto"/>
                    <w:bottom w:val="none" w:sz="0" w:space="0" w:color="auto"/>
                    <w:right w:val="none" w:sz="0" w:space="0" w:color="auto"/>
                  </w:divBdr>
                  <w:divsChild>
                    <w:div w:id="922372488">
                      <w:marLeft w:val="0"/>
                      <w:marRight w:val="0"/>
                      <w:marTop w:val="0"/>
                      <w:marBottom w:val="0"/>
                      <w:divBdr>
                        <w:top w:val="none" w:sz="0" w:space="0" w:color="auto"/>
                        <w:left w:val="none" w:sz="0" w:space="0" w:color="auto"/>
                        <w:bottom w:val="none" w:sz="0" w:space="0" w:color="auto"/>
                        <w:right w:val="none" w:sz="0" w:space="0" w:color="auto"/>
                      </w:divBdr>
                    </w:div>
                  </w:divsChild>
                </w:div>
                <w:div w:id="1936667593">
                  <w:marLeft w:val="0"/>
                  <w:marRight w:val="0"/>
                  <w:marTop w:val="0"/>
                  <w:marBottom w:val="0"/>
                  <w:divBdr>
                    <w:top w:val="none" w:sz="0" w:space="0" w:color="auto"/>
                    <w:left w:val="none" w:sz="0" w:space="0" w:color="auto"/>
                    <w:bottom w:val="none" w:sz="0" w:space="0" w:color="auto"/>
                    <w:right w:val="none" w:sz="0" w:space="0" w:color="auto"/>
                  </w:divBdr>
                  <w:divsChild>
                    <w:div w:id="2022972304">
                      <w:marLeft w:val="0"/>
                      <w:marRight w:val="0"/>
                      <w:marTop w:val="0"/>
                      <w:marBottom w:val="0"/>
                      <w:divBdr>
                        <w:top w:val="none" w:sz="0" w:space="0" w:color="auto"/>
                        <w:left w:val="none" w:sz="0" w:space="0" w:color="auto"/>
                        <w:bottom w:val="none" w:sz="0" w:space="0" w:color="auto"/>
                        <w:right w:val="none" w:sz="0" w:space="0" w:color="auto"/>
                      </w:divBdr>
                    </w:div>
                  </w:divsChild>
                </w:div>
                <w:div w:id="1646935925">
                  <w:marLeft w:val="0"/>
                  <w:marRight w:val="0"/>
                  <w:marTop w:val="0"/>
                  <w:marBottom w:val="0"/>
                  <w:divBdr>
                    <w:top w:val="none" w:sz="0" w:space="0" w:color="auto"/>
                    <w:left w:val="none" w:sz="0" w:space="0" w:color="auto"/>
                    <w:bottom w:val="none" w:sz="0" w:space="0" w:color="auto"/>
                    <w:right w:val="none" w:sz="0" w:space="0" w:color="auto"/>
                  </w:divBdr>
                  <w:divsChild>
                    <w:div w:id="129421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0722">
          <w:marLeft w:val="0"/>
          <w:marRight w:val="0"/>
          <w:marTop w:val="0"/>
          <w:marBottom w:val="0"/>
          <w:divBdr>
            <w:top w:val="none" w:sz="0" w:space="0" w:color="auto"/>
            <w:left w:val="none" w:sz="0" w:space="0" w:color="auto"/>
            <w:bottom w:val="none" w:sz="0" w:space="0" w:color="auto"/>
            <w:right w:val="none" w:sz="0" w:space="0" w:color="auto"/>
          </w:divBdr>
        </w:div>
        <w:div w:id="1266618661">
          <w:marLeft w:val="0"/>
          <w:marRight w:val="0"/>
          <w:marTop w:val="0"/>
          <w:marBottom w:val="0"/>
          <w:divBdr>
            <w:top w:val="none" w:sz="0" w:space="0" w:color="auto"/>
            <w:left w:val="none" w:sz="0" w:space="0" w:color="auto"/>
            <w:bottom w:val="none" w:sz="0" w:space="0" w:color="auto"/>
            <w:right w:val="none" w:sz="0" w:space="0" w:color="auto"/>
          </w:divBdr>
        </w:div>
        <w:div w:id="952201827">
          <w:marLeft w:val="0"/>
          <w:marRight w:val="0"/>
          <w:marTop w:val="0"/>
          <w:marBottom w:val="0"/>
          <w:divBdr>
            <w:top w:val="none" w:sz="0" w:space="0" w:color="auto"/>
            <w:left w:val="none" w:sz="0" w:space="0" w:color="auto"/>
            <w:bottom w:val="none" w:sz="0" w:space="0" w:color="auto"/>
            <w:right w:val="none" w:sz="0" w:space="0" w:color="auto"/>
          </w:divBdr>
        </w:div>
        <w:div w:id="1646621218">
          <w:marLeft w:val="0"/>
          <w:marRight w:val="0"/>
          <w:marTop w:val="0"/>
          <w:marBottom w:val="0"/>
          <w:divBdr>
            <w:top w:val="none" w:sz="0" w:space="0" w:color="auto"/>
            <w:left w:val="none" w:sz="0" w:space="0" w:color="auto"/>
            <w:bottom w:val="none" w:sz="0" w:space="0" w:color="auto"/>
            <w:right w:val="none" w:sz="0" w:space="0" w:color="auto"/>
          </w:divBdr>
        </w:div>
        <w:div w:id="614481865">
          <w:marLeft w:val="0"/>
          <w:marRight w:val="0"/>
          <w:marTop w:val="0"/>
          <w:marBottom w:val="0"/>
          <w:divBdr>
            <w:top w:val="none" w:sz="0" w:space="0" w:color="auto"/>
            <w:left w:val="none" w:sz="0" w:space="0" w:color="auto"/>
            <w:bottom w:val="none" w:sz="0" w:space="0" w:color="auto"/>
            <w:right w:val="none" w:sz="0" w:space="0" w:color="auto"/>
          </w:divBdr>
        </w:div>
        <w:div w:id="337538254">
          <w:marLeft w:val="0"/>
          <w:marRight w:val="0"/>
          <w:marTop w:val="0"/>
          <w:marBottom w:val="0"/>
          <w:divBdr>
            <w:top w:val="none" w:sz="0" w:space="0" w:color="auto"/>
            <w:left w:val="none" w:sz="0" w:space="0" w:color="auto"/>
            <w:bottom w:val="none" w:sz="0" w:space="0" w:color="auto"/>
            <w:right w:val="none" w:sz="0" w:space="0" w:color="auto"/>
          </w:divBdr>
          <w:divsChild>
            <w:div w:id="1365252018">
              <w:marLeft w:val="-75"/>
              <w:marRight w:val="0"/>
              <w:marTop w:val="30"/>
              <w:marBottom w:val="30"/>
              <w:divBdr>
                <w:top w:val="none" w:sz="0" w:space="0" w:color="auto"/>
                <w:left w:val="none" w:sz="0" w:space="0" w:color="auto"/>
                <w:bottom w:val="none" w:sz="0" w:space="0" w:color="auto"/>
                <w:right w:val="none" w:sz="0" w:space="0" w:color="auto"/>
              </w:divBdr>
              <w:divsChild>
                <w:div w:id="1703945407">
                  <w:marLeft w:val="0"/>
                  <w:marRight w:val="0"/>
                  <w:marTop w:val="0"/>
                  <w:marBottom w:val="0"/>
                  <w:divBdr>
                    <w:top w:val="none" w:sz="0" w:space="0" w:color="auto"/>
                    <w:left w:val="none" w:sz="0" w:space="0" w:color="auto"/>
                    <w:bottom w:val="none" w:sz="0" w:space="0" w:color="auto"/>
                    <w:right w:val="none" w:sz="0" w:space="0" w:color="auto"/>
                  </w:divBdr>
                  <w:divsChild>
                    <w:div w:id="555505773">
                      <w:marLeft w:val="0"/>
                      <w:marRight w:val="0"/>
                      <w:marTop w:val="0"/>
                      <w:marBottom w:val="0"/>
                      <w:divBdr>
                        <w:top w:val="none" w:sz="0" w:space="0" w:color="auto"/>
                        <w:left w:val="none" w:sz="0" w:space="0" w:color="auto"/>
                        <w:bottom w:val="none" w:sz="0" w:space="0" w:color="auto"/>
                        <w:right w:val="none" w:sz="0" w:space="0" w:color="auto"/>
                      </w:divBdr>
                    </w:div>
                  </w:divsChild>
                </w:div>
                <w:div w:id="814448190">
                  <w:marLeft w:val="0"/>
                  <w:marRight w:val="0"/>
                  <w:marTop w:val="0"/>
                  <w:marBottom w:val="0"/>
                  <w:divBdr>
                    <w:top w:val="none" w:sz="0" w:space="0" w:color="auto"/>
                    <w:left w:val="none" w:sz="0" w:space="0" w:color="auto"/>
                    <w:bottom w:val="none" w:sz="0" w:space="0" w:color="auto"/>
                    <w:right w:val="none" w:sz="0" w:space="0" w:color="auto"/>
                  </w:divBdr>
                  <w:divsChild>
                    <w:div w:id="960454484">
                      <w:marLeft w:val="0"/>
                      <w:marRight w:val="0"/>
                      <w:marTop w:val="0"/>
                      <w:marBottom w:val="0"/>
                      <w:divBdr>
                        <w:top w:val="none" w:sz="0" w:space="0" w:color="auto"/>
                        <w:left w:val="none" w:sz="0" w:space="0" w:color="auto"/>
                        <w:bottom w:val="none" w:sz="0" w:space="0" w:color="auto"/>
                        <w:right w:val="none" w:sz="0" w:space="0" w:color="auto"/>
                      </w:divBdr>
                    </w:div>
                  </w:divsChild>
                </w:div>
                <w:div w:id="53747012">
                  <w:marLeft w:val="0"/>
                  <w:marRight w:val="0"/>
                  <w:marTop w:val="0"/>
                  <w:marBottom w:val="0"/>
                  <w:divBdr>
                    <w:top w:val="none" w:sz="0" w:space="0" w:color="auto"/>
                    <w:left w:val="none" w:sz="0" w:space="0" w:color="auto"/>
                    <w:bottom w:val="none" w:sz="0" w:space="0" w:color="auto"/>
                    <w:right w:val="none" w:sz="0" w:space="0" w:color="auto"/>
                  </w:divBdr>
                  <w:divsChild>
                    <w:div w:id="1298608705">
                      <w:marLeft w:val="0"/>
                      <w:marRight w:val="0"/>
                      <w:marTop w:val="0"/>
                      <w:marBottom w:val="0"/>
                      <w:divBdr>
                        <w:top w:val="none" w:sz="0" w:space="0" w:color="auto"/>
                        <w:left w:val="none" w:sz="0" w:space="0" w:color="auto"/>
                        <w:bottom w:val="none" w:sz="0" w:space="0" w:color="auto"/>
                        <w:right w:val="none" w:sz="0" w:space="0" w:color="auto"/>
                      </w:divBdr>
                    </w:div>
                  </w:divsChild>
                </w:div>
                <w:div w:id="1735011473">
                  <w:marLeft w:val="0"/>
                  <w:marRight w:val="0"/>
                  <w:marTop w:val="0"/>
                  <w:marBottom w:val="0"/>
                  <w:divBdr>
                    <w:top w:val="none" w:sz="0" w:space="0" w:color="auto"/>
                    <w:left w:val="none" w:sz="0" w:space="0" w:color="auto"/>
                    <w:bottom w:val="none" w:sz="0" w:space="0" w:color="auto"/>
                    <w:right w:val="none" w:sz="0" w:space="0" w:color="auto"/>
                  </w:divBdr>
                  <w:divsChild>
                    <w:div w:id="1483811776">
                      <w:marLeft w:val="0"/>
                      <w:marRight w:val="0"/>
                      <w:marTop w:val="0"/>
                      <w:marBottom w:val="0"/>
                      <w:divBdr>
                        <w:top w:val="none" w:sz="0" w:space="0" w:color="auto"/>
                        <w:left w:val="none" w:sz="0" w:space="0" w:color="auto"/>
                        <w:bottom w:val="none" w:sz="0" w:space="0" w:color="auto"/>
                        <w:right w:val="none" w:sz="0" w:space="0" w:color="auto"/>
                      </w:divBdr>
                    </w:div>
                  </w:divsChild>
                </w:div>
                <w:div w:id="248583567">
                  <w:marLeft w:val="0"/>
                  <w:marRight w:val="0"/>
                  <w:marTop w:val="0"/>
                  <w:marBottom w:val="0"/>
                  <w:divBdr>
                    <w:top w:val="none" w:sz="0" w:space="0" w:color="auto"/>
                    <w:left w:val="none" w:sz="0" w:space="0" w:color="auto"/>
                    <w:bottom w:val="none" w:sz="0" w:space="0" w:color="auto"/>
                    <w:right w:val="none" w:sz="0" w:space="0" w:color="auto"/>
                  </w:divBdr>
                  <w:divsChild>
                    <w:div w:id="1172837488">
                      <w:marLeft w:val="0"/>
                      <w:marRight w:val="0"/>
                      <w:marTop w:val="0"/>
                      <w:marBottom w:val="0"/>
                      <w:divBdr>
                        <w:top w:val="none" w:sz="0" w:space="0" w:color="auto"/>
                        <w:left w:val="none" w:sz="0" w:space="0" w:color="auto"/>
                        <w:bottom w:val="none" w:sz="0" w:space="0" w:color="auto"/>
                        <w:right w:val="none" w:sz="0" w:space="0" w:color="auto"/>
                      </w:divBdr>
                    </w:div>
                  </w:divsChild>
                </w:div>
                <w:div w:id="2140221500">
                  <w:marLeft w:val="0"/>
                  <w:marRight w:val="0"/>
                  <w:marTop w:val="0"/>
                  <w:marBottom w:val="0"/>
                  <w:divBdr>
                    <w:top w:val="none" w:sz="0" w:space="0" w:color="auto"/>
                    <w:left w:val="none" w:sz="0" w:space="0" w:color="auto"/>
                    <w:bottom w:val="none" w:sz="0" w:space="0" w:color="auto"/>
                    <w:right w:val="none" w:sz="0" w:space="0" w:color="auto"/>
                  </w:divBdr>
                  <w:divsChild>
                    <w:div w:id="625433496">
                      <w:marLeft w:val="0"/>
                      <w:marRight w:val="0"/>
                      <w:marTop w:val="0"/>
                      <w:marBottom w:val="0"/>
                      <w:divBdr>
                        <w:top w:val="none" w:sz="0" w:space="0" w:color="auto"/>
                        <w:left w:val="none" w:sz="0" w:space="0" w:color="auto"/>
                        <w:bottom w:val="none" w:sz="0" w:space="0" w:color="auto"/>
                        <w:right w:val="none" w:sz="0" w:space="0" w:color="auto"/>
                      </w:divBdr>
                    </w:div>
                  </w:divsChild>
                </w:div>
                <w:div w:id="1086078424">
                  <w:marLeft w:val="0"/>
                  <w:marRight w:val="0"/>
                  <w:marTop w:val="0"/>
                  <w:marBottom w:val="0"/>
                  <w:divBdr>
                    <w:top w:val="none" w:sz="0" w:space="0" w:color="auto"/>
                    <w:left w:val="none" w:sz="0" w:space="0" w:color="auto"/>
                    <w:bottom w:val="none" w:sz="0" w:space="0" w:color="auto"/>
                    <w:right w:val="none" w:sz="0" w:space="0" w:color="auto"/>
                  </w:divBdr>
                  <w:divsChild>
                    <w:div w:id="2117434231">
                      <w:marLeft w:val="0"/>
                      <w:marRight w:val="0"/>
                      <w:marTop w:val="0"/>
                      <w:marBottom w:val="0"/>
                      <w:divBdr>
                        <w:top w:val="none" w:sz="0" w:space="0" w:color="auto"/>
                        <w:left w:val="none" w:sz="0" w:space="0" w:color="auto"/>
                        <w:bottom w:val="none" w:sz="0" w:space="0" w:color="auto"/>
                        <w:right w:val="none" w:sz="0" w:space="0" w:color="auto"/>
                      </w:divBdr>
                    </w:div>
                  </w:divsChild>
                </w:div>
                <w:div w:id="309091878">
                  <w:marLeft w:val="0"/>
                  <w:marRight w:val="0"/>
                  <w:marTop w:val="0"/>
                  <w:marBottom w:val="0"/>
                  <w:divBdr>
                    <w:top w:val="none" w:sz="0" w:space="0" w:color="auto"/>
                    <w:left w:val="none" w:sz="0" w:space="0" w:color="auto"/>
                    <w:bottom w:val="none" w:sz="0" w:space="0" w:color="auto"/>
                    <w:right w:val="none" w:sz="0" w:space="0" w:color="auto"/>
                  </w:divBdr>
                  <w:divsChild>
                    <w:div w:id="410195636">
                      <w:marLeft w:val="0"/>
                      <w:marRight w:val="0"/>
                      <w:marTop w:val="0"/>
                      <w:marBottom w:val="0"/>
                      <w:divBdr>
                        <w:top w:val="none" w:sz="0" w:space="0" w:color="auto"/>
                        <w:left w:val="none" w:sz="0" w:space="0" w:color="auto"/>
                        <w:bottom w:val="none" w:sz="0" w:space="0" w:color="auto"/>
                        <w:right w:val="none" w:sz="0" w:space="0" w:color="auto"/>
                      </w:divBdr>
                    </w:div>
                  </w:divsChild>
                </w:div>
                <w:div w:id="92750194">
                  <w:marLeft w:val="0"/>
                  <w:marRight w:val="0"/>
                  <w:marTop w:val="0"/>
                  <w:marBottom w:val="0"/>
                  <w:divBdr>
                    <w:top w:val="none" w:sz="0" w:space="0" w:color="auto"/>
                    <w:left w:val="none" w:sz="0" w:space="0" w:color="auto"/>
                    <w:bottom w:val="none" w:sz="0" w:space="0" w:color="auto"/>
                    <w:right w:val="none" w:sz="0" w:space="0" w:color="auto"/>
                  </w:divBdr>
                  <w:divsChild>
                    <w:div w:id="213272861">
                      <w:marLeft w:val="0"/>
                      <w:marRight w:val="0"/>
                      <w:marTop w:val="0"/>
                      <w:marBottom w:val="0"/>
                      <w:divBdr>
                        <w:top w:val="none" w:sz="0" w:space="0" w:color="auto"/>
                        <w:left w:val="none" w:sz="0" w:space="0" w:color="auto"/>
                        <w:bottom w:val="none" w:sz="0" w:space="0" w:color="auto"/>
                        <w:right w:val="none" w:sz="0" w:space="0" w:color="auto"/>
                      </w:divBdr>
                    </w:div>
                  </w:divsChild>
                </w:div>
                <w:div w:id="1545755776">
                  <w:marLeft w:val="0"/>
                  <w:marRight w:val="0"/>
                  <w:marTop w:val="0"/>
                  <w:marBottom w:val="0"/>
                  <w:divBdr>
                    <w:top w:val="none" w:sz="0" w:space="0" w:color="auto"/>
                    <w:left w:val="none" w:sz="0" w:space="0" w:color="auto"/>
                    <w:bottom w:val="none" w:sz="0" w:space="0" w:color="auto"/>
                    <w:right w:val="none" w:sz="0" w:space="0" w:color="auto"/>
                  </w:divBdr>
                  <w:divsChild>
                    <w:div w:id="102918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232066">
          <w:marLeft w:val="0"/>
          <w:marRight w:val="0"/>
          <w:marTop w:val="0"/>
          <w:marBottom w:val="0"/>
          <w:divBdr>
            <w:top w:val="none" w:sz="0" w:space="0" w:color="auto"/>
            <w:left w:val="none" w:sz="0" w:space="0" w:color="auto"/>
            <w:bottom w:val="none" w:sz="0" w:space="0" w:color="auto"/>
            <w:right w:val="none" w:sz="0" w:space="0" w:color="auto"/>
          </w:divBdr>
        </w:div>
        <w:div w:id="1161696518">
          <w:marLeft w:val="0"/>
          <w:marRight w:val="0"/>
          <w:marTop w:val="0"/>
          <w:marBottom w:val="0"/>
          <w:divBdr>
            <w:top w:val="none" w:sz="0" w:space="0" w:color="auto"/>
            <w:left w:val="none" w:sz="0" w:space="0" w:color="auto"/>
            <w:bottom w:val="none" w:sz="0" w:space="0" w:color="auto"/>
            <w:right w:val="none" w:sz="0" w:space="0" w:color="auto"/>
          </w:divBdr>
        </w:div>
        <w:div w:id="276765336">
          <w:marLeft w:val="0"/>
          <w:marRight w:val="0"/>
          <w:marTop w:val="0"/>
          <w:marBottom w:val="0"/>
          <w:divBdr>
            <w:top w:val="none" w:sz="0" w:space="0" w:color="auto"/>
            <w:left w:val="none" w:sz="0" w:space="0" w:color="auto"/>
            <w:bottom w:val="none" w:sz="0" w:space="0" w:color="auto"/>
            <w:right w:val="none" w:sz="0" w:space="0" w:color="auto"/>
          </w:divBdr>
        </w:div>
        <w:div w:id="920674620">
          <w:marLeft w:val="0"/>
          <w:marRight w:val="0"/>
          <w:marTop w:val="0"/>
          <w:marBottom w:val="0"/>
          <w:divBdr>
            <w:top w:val="none" w:sz="0" w:space="0" w:color="auto"/>
            <w:left w:val="none" w:sz="0" w:space="0" w:color="auto"/>
            <w:bottom w:val="none" w:sz="0" w:space="0" w:color="auto"/>
            <w:right w:val="none" w:sz="0" w:space="0" w:color="auto"/>
          </w:divBdr>
        </w:div>
        <w:div w:id="330257230">
          <w:marLeft w:val="0"/>
          <w:marRight w:val="0"/>
          <w:marTop w:val="0"/>
          <w:marBottom w:val="0"/>
          <w:divBdr>
            <w:top w:val="none" w:sz="0" w:space="0" w:color="auto"/>
            <w:left w:val="none" w:sz="0" w:space="0" w:color="auto"/>
            <w:bottom w:val="none" w:sz="0" w:space="0" w:color="auto"/>
            <w:right w:val="none" w:sz="0" w:space="0" w:color="auto"/>
          </w:divBdr>
          <w:divsChild>
            <w:div w:id="215356228">
              <w:marLeft w:val="-75"/>
              <w:marRight w:val="0"/>
              <w:marTop w:val="30"/>
              <w:marBottom w:val="30"/>
              <w:divBdr>
                <w:top w:val="none" w:sz="0" w:space="0" w:color="auto"/>
                <w:left w:val="none" w:sz="0" w:space="0" w:color="auto"/>
                <w:bottom w:val="none" w:sz="0" w:space="0" w:color="auto"/>
                <w:right w:val="none" w:sz="0" w:space="0" w:color="auto"/>
              </w:divBdr>
              <w:divsChild>
                <w:div w:id="546139196">
                  <w:marLeft w:val="0"/>
                  <w:marRight w:val="0"/>
                  <w:marTop w:val="0"/>
                  <w:marBottom w:val="0"/>
                  <w:divBdr>
                    <w:top w:val="none" w:sz="0" w:space="0" w:color="auto"/>
                    <w:left w:val="none" w:sz="0" w:space="0" w:color="auto"/>
                    <w:bottom w:val="none" w:sz="0" w:space="0" w:color="auto"/>
                    <w:right w:val="none" w:sz="0" w:space="0" w:color="auto"/>
                  </w:divBdr>
                  <w:divsChild>
                    <w:div w:id="1328556226">
                      <w:marLeft w:val="0"/>
                      <w:marRight w:val="0"/>
                      <w:marTop w:val="0"/>
                      <w:marBottom w:val="0"/>
                      <w:divBdr>
                        <w:top w:val="none" w:sz="0" w:space="0" w:color="auto"/>
                        <w:left w:val="none" w:sz="0" w:space="0" w:color="auto"/>
                        <w:bottom w:val="none" w:sz="0" w:space="0" w:color="auto"/>
                        <w:right w:val="none" w:sz="0" w:space="0" w:color="auto"/>
                      </w:divBdr>
                    </w:div>
                  </w:divsChild>
                </w:div>
                <w:div w:id="1476222124">
                  <w:marLeft w:val="0"/>
                  <w:marRight w:val="0"/>
                  <w:marTop w:val="0"/>
                  <w:marBottom w:val="0"/>
                  <w:divBdr>
                    <w:top w:val="none" w:sz="0" w:space="0" w:color="auto"/>
                    <w:left w:val="none" w:sz="0" w:space="0" w:color="auto"/>
                    <w:bottom w:val="none" w:sz="0" w:space="0" w:color="auto"/>
                    <w:right w:val="none" w:sz="0" w:space="0" w:color="auto"/>
                  </w:divBdr>
                  <w:divsChild>
                    <w:div w:id="1497257799">
                      <w:marLeft w:val="0"/>
                      <w:marRight w:val="0"/>
                      <w:marTop w:val="0"/>
                      <w:marBottom w:val="0"/>
                      <w:divBdr>
                        <w:top w:val="none" w:sz="0" w:space="0" w:color="auto"/>
                        <w:left w:val="none" w:sz="0" w:space="0" w:color="auto"/>
                        <w:bottom w:val="none" w:sz="0" w:space="0" w:color="auto"/>
                        <w:right w:val="none" w:sz="0" w:space="0" w:color="auto"/>
                      </w:divBdr>
                    </w:div>
                  </w:divsChild>
                </w:div>
                <w:div w:id="2066027887">
                  <w:marLeft w:val="0"/>
                  <w:marRight w:val="0"/>
                  <w:marTop w:val="0"/>
                  <w:marBottom w:val="0"/>
                  <w:divBdr>
                    <w:top w:val="none" w:sz="0" w:space="0" w:color="auto"/>
                    <w:left w:val="none" w:sz="0" w:space="0" w:color="auto"/>
                    <w:bottom w:val="none" w:sz="0" w:space="0" w:color="auto"/>
                    <w:right w:val="none" w:sz="0" w:space="0" w:color="auto"/>
                  </w:divBdr>
                  <w:divsChild>
                    <w:div w:id="1206984262">
                      <w:marLeft w:val="0"/>
                      <w:marRight w:val="0"/>
                      <w:marTop w:val="0"/>
                      <w:marBottom w:val="0"/>
                      <w:divBdr>
                        <w:top w:val="none" w:sz="0" w:space="0" w:color="auto"/>
                        <w:left w:val="none" w:sz="0" w:space="0" w:color="auto"/>
                        <w:bottom w:val="none" w:sz="0" w:space="0" w:color="auto"/>
                        <w:right w:val="none" w:sz="0" w:space="0" w:color="auto"/>
                      </w:divBdr>
                    </w:div>
                  </w:divsChild>
                </w:div>
                <w:div w:id="1502888749">
                  <w:marLeft w:val="0"/>
                  <w:marRight w:val="0"/>
                  <w:marTop w:val="0"/>
                  <w:marBottom w:val="0"/>
                  <w:divBdr>
                    <w:top w:val="none" w:sz="0" w:space="0" w:color="auto"/>
                    <w:left w:val="none" w:sz="0" w:space="0" w:color="auto"/>
                    <w:bottom w:val="none" w:sz="0" w:space="0" w:color="auto"/>
                    <w:right w:val="none" w:sz="0" w:space="0" w:color="auto"/>
                  </w:divBdr>
                  <w:divsChild>
                    <w:div w:id="1172179347">
                      <w:marLeft w:val="0"/>
                      <w:marRight w:val="0"/>
                      <w:marTop w:val="0"/>
                      <w:marBottom w:val="0"/>
                      <w:divBdr>
                        <w:top w:val="none" w:sz="0" w:space="0" w:color="auto"/>
                        <w:left w:val="none" w:sz="0" w:space="0" w:color="auto"/>
                        <w:bottom w:val="none" w:sz="0" w:space="0" w:color="auto"/>
                        <w:right w:val="none" w:sz="0" w:space="0" w:color="auto"/>
                      </w:divBdr>
                    </w:div>
                  </w:divsChild>
                </w:div>
                <w:div w:id="1025713673">
                  <w:marLeft w:val="0"/>
                  <w:marRight w:val="0"/>
                  <w:marTop w:val="0"/>
                  <w:marBottom w:val="0"/>
                  <w:divBdr>
                    <w:top w:val="none" w:sz="0" w:space="0" w:color="auto"/>
                    <w:left w:val="none" w:sz="0" w:space="0" w:color="auto"/>
                    <w:bottom w:val="none" w:sz="0" w:space="0" w:color="auto"/>
                    <w:right w:val="none" w:sz="0" w:space="0" w:color="auto"/>
                  </w:divBdr>
                  <w:divsChild>
                    <w:div w:id="597980336">
                      <w:marLeft w:val="0"/>
                      <w:marRight w:val="0"/>
                      <w:marTop w:val="0"/>
                      <w:marBottom w:val="0"/>
                      <w:divBdr>
                        <w:top w:val="none" w:sz="0" w:space="0" w:color="auto"/>
                        <w:left w:val="none" w:sz="0" w:space="0" w:color="auto"/>
                        <w:bottom w:val="none" w:sz="0" w:space="0" w:color="auto"/>
                        <w:right w:val="none" w:sz="0" w:space="0" w:color="auto"/>
                      </w:divBdr>
                    </w:div>
                  </w:divsChild>
                </w:div>
                <w:div w:id="843662509">
                  <w:marLeft w:val="0"/>
                  <w:marRight w:val="0"/>
                  <w:marTop w:val="0"/>
                  <w:marBottom w:val="0"/>
                  <w:divBdr>
                    <w:top w:val="none" w:sz="0" w:space="0" w:color="auto"/>
                    <w:left w:val="none" w:sz="0" w:space="0" w:color="auto"/>
                    <w:bottom w:val="none" w:sz="0" w:space="0" w:color="auto"/>
                    <w:right w:val="none" w:sz="0" w:space="0" w:color="auto"/>
                  </w:divBdr>
                  <w:divsChild>
                    <w:div w:id="1302152451">
                      <w:marLeft w:val="0"/>
                      <w:marRight w:val="0"/>
                      <w:marTop w:val="0"/>
                      <w:marBottom w:val="0"/>
                      <w:divBdr>
                        <w:top w:val="none" w:sz="0" w:space="0" w:color="auto"/>
                        <w:left w:val="none" w:sz="0" w:space="0" w:color="auto"/>
                        <w:bottom w:val="none" w:sz="0" w:space="0" w:color="auto"/>
                        <w:right w:val="none" w:sz="0" w:space="0" w:color="auto"/>
                      </w:divBdr>
                    </w:div>
                  </w:divsChild>
                </w:div>
                <w:div w:id="1218591765">
                  <w:marLeft w:val="0"/>
                  <w:marRight w:val="0"/>
                  <w:marTop w:val="0"/>
                  <w:marBottom w:val="0"/>
                  <w:divBdr>
                    <w:top w:val="none" w:sz="0" w:space="0" w:color="auto"/>
                    <w:left w:val="none" w:sz="0" w:space="0" w:color="auto"/>
                    <w:bottom w:val="none" w:sz="0" w:space="0" w:color="auto"/>
                    <w:right w:val="none" w:sz="0" w:space="0" w:color="auto"/>
                  </w:divBdr>
                  <w:divsChild>
                    <w:div w:id="1136919671">
                      <w:marLeft w:val="0"/>
                      <w:marRight w:val="0"/>
                      <w:marTop w:val="0"/>
                      <w:marBottom w:val="0"/>
                      <w:divBdr>
                        <w:top w:val="none" w:sz="0" w:space="0" w:color="auto"/>
                        <w:left w:val="none" w:sz="0" w:space="0" w:color="auto"/>
                        <w:bottom w:val="none" w:sz="0" w:space="0" w:color="auto"/>
                        <w:right w:val="none" w:sz="0" w:space="0" w:color="auto"/>
                      </w:divBdr>
                    </w:div>
                  </w:divsChild>
                </w:div>
                <w:div w:id="1797135813">
                  <w:marLeft w:val="0"/>
                  <w:marRight w:val="0"/>
                  <w:marTop w:val="0"/>
                  <w:marBottom w:val="0"/>
                  <w:divBdr>
                    <w:top w:val="none" w:sz="0" w:space="0" w:color="auto"/>
                    <w:left w:val="none" w:sz="0" w:space="0" w:color="auto"/>
                    <w:bottom w:val="none" w:sz="0" w:space="0" w:color="auto"/>
                    <w:right w:val="none" w:sz="0" w:space="0" w:color="auto"/>
                  </w:divBdr>
                  <w:divsChild>
                    <w:div w:id="10015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265911">
          <w:marLeft w:val="0"/>
          <w:marRight w:val="0"/>
          <w:marTop w:val="0"/>
          <w:marBottom w:val="0"/>
          <w:divBdr>
            <w:top w:val="none" w:sz="0" w:space="0" w:color="auto"/>
            <w:left w:val="none" w:sz="0" w:space="0" w:color="auto"/>
            <w:bottom w:val="none" w:sz="0" w:space="0" w:color="auto"/>
            <w:right w:val="none" w:sz="0" w:space="0" w:color="auto"/>
          </w:divBdr>
        </w:div>
        <w:div w:id="331881782">
          <w:marLeft w:val="0"/>
          <w:marRight w:val="0"/>
          <w:marTop w:val="0"/>
          <w:marBottom w:val="0"/>
          <w:divBdr>
            <w:top w:val="none" w:sz="0" w:space="0" w:color="auto"/>
            <w:left w:val="none" w:sz="0" w:space="0" w:color="auto"/>
            <w:bottom w:val="none" w:sz="0" w:space="0" w:color="auto"/>
            <w:right w:val="none" w:sz="0" w:space="0" w:color="auto"/>
          </w:divBdr>
        </w:div>
        <w:div w:id="513107616">
          <w:marLeft w:val="0"/>
          <w:marRight w:val="0"/>
          <w:marTop w:val="0"/>
          <w:marBottom w:val="0"/>
          <w:divBdr>
            <w:top w:val="none" w:sz="0" w:space="0" w:color="auto"/>
            <w:left w:val="none" w:sz="0" w:space="0" w:color="auto"/>
            <w:bottom w:val="none" w:sz="0" w:space="0" w:color="auto"/>
            <w:right w:val="none" w:sz="0" w:space="0" w:color="auto"/>
          </w:divBdr>
        </w:div>
        <w:div w:id="888801715">
          <w:marLeft w:val="0"/>
          <w:marRight w:val="0"/>
          <w:marTop w:val="0"/>
          <w:marBottom w:val="0"/>
          <w:divBdr>
            <w:top w:val="none" w:sz="0" w:space="0" w:color="auto"/>
            <w:left w:val="none" w:sz="0" w:space="0" w:color="auto"/>
            <w:bottom w:val="none" w:sz="0" w:space="0" w:color="auto"/>
            <w:right w:val="none" w:sz="0" w:space="0" w:color="auto"/>
          </w:divBdr>
        </w:div>
        <w:div w:id="717557735">
          <w:marLeft w:val="0"/>
          <w:marRight w:val="0"/>
          <w:marTop w:val="0"/>
          <w:marBottom w:val="0"/>
          <w:divBdr>
            <w:top w:val="none" w:sz="0" w:space="0" w:color="auto"/>
            <w:left w:val="none" w:sz="0" w:space="0" w:color="auto"/>
            <w:bottom w:val="none" w:sz="0" w:space="0" w:color="auto"/>
            <w:right w:val="none" w:sz="0" w:space="0" w:color="auto"/>
          </w:divBdr>
          <w:divsChild>
            <w:div w:id="1773358800">
              <w:marLeft w:val="-75"/>
              <w:marRight w:val="0"/>
              <w:marTop w:val="30"/>
              <w:marBottom w:val="30"/>
              <w:divBdr>
                <w:top w:val="none" w:sz="0" w:space="0" w:color="auto"/>
                <w:left w:val="none" w:sz="0" w:space="0" w:color="auto"/>
                <w:bottom w:val="none" w:sz="0" w:space="0" w:color="auto"/>
                <w:right w:val="none" w:sz="0" w:space="0" w:color="auto"/>
              </w:divBdr>
              <w:divsChild>
                <w:div w:id="1069186232">
                  <w:marLeft w:val="0"/>
                  <w:marRight w:val="0"/>
                  <w:marTop w:val="0"/>
                  <w:marBottom w:val="0"/>
                  <w:divBdr>
                    <w:top w:val="none" w:sz="0" w:space="0" w:color="auto"/>
                    <w:left w:val="none" w:sz="0" w:space="0" w:color="auto"/>
                    <w:bottom w:val="none" w:sz="0" w:space="0" w:color="auto"/>
                    <w:right w:val="none" w:sz="0" w:space="0" w:color="auto"/>
                  </w:divBdr>
                  <w:divsChild>
                    <w:div w:id="847333720">
                      <w:marLeft w:val="0"/>
                      <w:marRight w:val="0"/>
                      <w:marTop w:val="0"/>
                      <w:marBottom w:val="0"/>
                      <w:divBdr>
                        <w:top w:val="none" w:sz="0" w:space="0" w:color="auto"/>
                        <w:left w:val="none" w:sz="0" w:space="0" w:color="auto"/>
                        <w:bottom w:val="none" w:sz="0" w:space="0" w:color="auto"/>
                        <w:right w:val="none" w:sz="0" w:space="0" w:color="auto"/>
                      </w:divBdr>
                    </w:div>
                  </w:divsChild>
                </w:div>
                <w:div w:id="855770309">
                  <w:marLeft w:val="0"/>
                  <w:marRight w:val="0"/>
                  <w:marTop w:val="0"/>
                  <w:marBottom w:val="0"/>
                  <w:divBdr>
                    <w:top w:val="none" w:sz="0" w:space="0" w:color="auto"/>
                    <w:left w:val="none" w:sz="0" w:space="0" w:color="auto"/>
                    <w:bottom w:val="none" w:sz="0" w:space="0" w:color="auto"/>
                    <w:right w:val="none" w:sz="0" w:space="0" w:color="auto"/>
                  </w:divBdr>
                  <w:divsChild>
                    <w:div w:id="127062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838748">
          <w:marLeft w:val="0"/>
          <w:marRight w:val="0"/>
          <w:marTop w:val="0"/>
          <w:marBottom w:val="0"/>
          <w:divBdr>
            <w:top w:val="none" w:sz="0" w:space="0" w:color="auto"/>
            <w:left w:val="none" w:sz="0" w:space="0" w:color="auto"/>
            <w:bottom w:val="none" w:sz="0" w:space="0" w:color="auto"/>
            <w:right w:val="none" w:sz="0" w:space="0" w:color="auto"/>
          </w:divBdr>
        </w:div>
        <w:div w:id="1507984947">
          <w:marLeft w:val="0"/>
          <w:marRight w:val="0"/>
          <w:marTop w:val="0"/>
          <w:marBottom w:val="0"/>
          <w:divBdr>
            <w:top w:val="none" w:sz="0" w:space="0" w:color="auto"/>
            <w:left w:val="none" w:sz="0" w:space="0" w:color="auto"/>
            <w:bottom w:val="none" w:sz="0" w:space="0" w:color="auto"/>
            <w:right w:val="none" w:sz="0" w:space="0" w:color="auto"/>
          </w:divBdr>
        </w:div>
        <w:div w:id="1339885792">
          <w:marLeft w:val="0"/>
          <w:marRight w:val="0"/>
          <w:marTop w:val="0"/>
          <w:marBottom w:val="0"/>
          <w:divBdr>
            <w:top w:val="none" w:sz="0" w:space="0" w:color="auto"/>
            <w:left w:val="none" w:sz="0" w:space="0" w:color="auto"/>
            <w:bottom w:val="none" w:sz="0" w:space="0" w:color="auto"/>
            <w:right w:val="none" w:sz="0" w:space="0" w:color="auto"/>
          </w:divBdr>
        </w:div>
        <w:div w:id="4985516">
          <w:marLeft w:val="0"/>
          <w:marRight w:val="0"/>
          <w:marTop w:val="0"/>
          <w:marBottom w:val="0"/>
          <w:divBdr>
            <w:top w:val="none" w:sz="0" w:space="0" w:color="auto"/>
            <w:left w:val="none" w:sz="0" w:space="0" w:color="auto"/>
            <w:bottom w:val="none" w:sz="0" w:space="0" w:color="auto"/>
            <w:right w:val="none" w:sz="0" w:space="0" w:color="auto"/>
          </w:divBdr>
        </w:div>
        <w:div w:id="1814636910">
          <w:marLeft w:val="0"/>
          <w:marRight w:val="0"/>
          <w:marTop w:val="0"/>
          <w:marBottom w:val="0"/>
          <w:divBdr>
            <w:top w:val="none" w:sz="0" w:space="0" w:color="auto"/>
            <w:left w:val="none" w:sz="0" w:space="0" w:color="auto"/>
            <w:bottom w:val="none" w:sz="0" w:space="0" w:color="auto"/>
            <w:right w:val="none" w:sz="0" w:space="0" w:color="auto"/>
          </w:divBdr>
        </w:div>
        <w:div w:id="1735196756">
          <w:marLeft w:val="0"/>
          <w:marRight w:val="0"/>
          <w:marTop w:val="0"/>
          <w:marBottom w:val="0"/>
          <w:divBdr>
            <w:top w:val="none" w:sz="0" w:space="0" w:color="auto"/>
            <w:left w:val="none" w:sz="0" w:space="0" w:color="auto"/>
            <w:bottom w:val="none" w:sz="0" w:space="0" w:color="auto"/>
            <w:right w:val="none" w:sz="0" w:space="0" w:color="auto"/>
          </w:divBdr>
        </w:div>
        <w:div w:id="482740513">
          <w:marLeft w:val="0"/>
          <w:marRight w:val="0"/>
          <w:marTop w:val="0"/>
          <w:marBottom w:val="0"/>
          <w:divBdr>
            <w:top w:val="none" w:sz="0" w:space="0" w:color="auto"/>
            <w:left w:val="none" w:sz="0" w:space="0" w:color="auto"/>
            <w:bottom w:val="none" w:sz="0" w:space="0" w:color="auto"/>
            <w:right w:val="none" w:sz="0" w:space="0" w:color="auto"/>
          </w:divBdr>
        </w:div>
        <w:div w:id="951285653">
          <w:marLeft w:val="0"/>
          <w:marRight w:val="0"/>
          <w:marTop w:val="0"/>
          <w:marBottom w:val="0"/>
          <w:divBdr>
            <w:top w:val="none" w:sz="0" w:space="0" w:color="auto"/>
            <w:left w:val="none" w:sz="0" w:space="0" w:color="auto"/>
            <w:bottom w:val="none" w:sz="0" w:space="0" w:color="auto"/>
            <w:right w:val="none" w:sz="0" w:space="0" w:color="auto"/>
          </w:divBdr>
        </w:div>
        <w:div w:id="1297877069">
          <w:marLeft w:val="0"/>
          <w:marRight w:val="0"/>
          <w:marTop w:val="0"/>
          <w:marBottom w:val="0"/>
          <w:divBdr>
            <w:top w:val="none" w:sz="0" w:space="0" w:color="auto"/>
            <w:left w:val="none" w:sz="0" w:space="0" w:color="auto"/>
            <w:bottom w:val="none" w:sz="0" w:space="0" w:color="auto"/>
            <w:right w:val="none" w:sz="0" w:space="0" w:color="auto"/>
          </w:divBdr>
        </w:div>
        <w:div w:id="1801224062">
          <w:marLeft w:val="0"/>
          <w:marRight w:val="0"/>
          <w:marTop w:val="0"/>
          <w:marBottom w:val="0"/>
          <w:divBdr>
            <w:top w:val="none" w:sz="0" w:space="0" w:color="auto"/>
            <w:left w:val="none" w:sz="0" w:space="0" w:color="auto"/>
            <w:bottom w:val="none" w:sz="0" w:space="0" w:color="auto"/>
            <w:right w:val="none" w:sz="0" w:space="0" w:color="auto"/>
          </w:divBdr>
        </w:div>
        <w:div w:id="801075963">
          <w:marLeft w:val="0"/>
          <w:marRight w:val="0"/>
          <w:marTop w:val="0"/>
          <w:marBottom w:val="0"/>
          <w:divBdr>
            <w:top w:val="none" w:sz="0" w:space="0" w:color="auto"/>
            <w:left w:val="none" w:sz="0" w:space="0" w:color="auto"/>
            <w:bottom w:val="none" w:sz="0" w:space="0" w:color="auto"/>
            <w:right w:val="none" w:sz="0" w:space="0" w:color="auto"/>
          </w:divBdr>
        </w:div>
        <w:div w:id="746265899">
          <w:marLeft w:val="0"/>
          <w:marRight w:val="0"/>
          <w:marTop w:val="0"/>
          <w:marBottom w:val="0"/>
          <w:divBdr>
            <w:top w:val="none" w:sz="0" w:space="0" w:color="auto"/>
            <w:left w:val="none" w:sz="0" w:space="0" w:color="auto"/>
            <w:bottom w:val="none" w:sz="0" w:space="0" w:color="auto"/>
            <w:right w:val="none" w:sz="0" w:space="0" w:color="auto"/>
          </w:divBdr>
        </w:div>
        <w:div w:id="298195959">
          <w:marLeft w:val="0"/>
          <w:marRight w:val="0"/>
          <w:marTop w:val="0"/>
          <w:marBottom w:val="0"/>
          <w:divBdr>
            <w:top w:val="none" w:sz="0" w:space="0" w:color="auto"/>
            <w:left w:val="none" w:sz="0" w:space="0" w:color="auto"/>
            <w:bottom w:val="none" w:sz="0" w:space="0" w:color="auto"/>
            <w:right w:val="none" w:sz="0" w:space="0" w:color="auto"/>
          </w:divBdr>
        </w:div>
        <w:div w:id="1508597695">
          <w:marLeft w:val="0"/>
          <w:marRight w:val="0"/>
          <w:marTop w:val="0"/>
          <w:marBottom w:val="0"/>
          <w:divBdr>
            <w:top w:val="none" w:sz="0" w:space="0" w:color="auto"/>
            <w:left w:val="none" w:sz="0" w:space="0" w:color="auto"/>
            <w:bottom w:val="none" w:sz="0" w:space="0" w:color="auto"/>
            <w:right w:val="none" w:sz="0" w:space="0" w:color="auto"/>
          </w:divBdr>
        </w:div>
        <w:div w:id="1442532928">
          <w:marLeft w:val="0"/>
          <w:marRight w:val="0"/>
          <w:marTop w:val="0"/>
          <w:marBottom w:val="0"/>
          <w:divBdr>
            <w:top w:val="none" w:sz="0" w:space="0" w:color="auto"/>
            <w:left w:val="none" w:sz="0" w:space="0" w:color="auto"/>
            <w:bottom w:val="none" w:sz="0" w:space="0" w:color="auto"/>
            <w:right w:val="none" w:sz="0" w:space="0" w:color="auto"/>
          </w:divBdr>
        </w:div>
        <w:div w:id="412163568">
          <w:marLeft w:val="0"/>
          <w:marRight w:val="0"/>
          <w:marTop w:val="0"/>
          <w:marBottom w:val="0"/>
          <w:divBdr>
            <w:top w:val="none" w:sz="0" w:space="0" w:color="auto"/>
            <w:left w:val="none" w:sz="0" w:space="0" w:color="auto"/>
            <w:bottom w:val="none" w:sz="0" w:space="0" w:color="auto"/>
            <w:right w:val="none" w:sz="0" w:space="0" w:color="auto"/>
          </w:divBdr>
        </w:div>
        <w:div w:id="594675858">
          <w:marLeft w:val="0"/>
          <w:marRight w:val="0"/>
          <w:marTop w:val="0"/>
          <w:marBottom w:val="0"/>
          <w:divBdr>
            <w:top w:val="none" w:sz="0" w:space="0" w:color="auto"/>
            <w:left w:val="none" w:sz="0" w:space="0" w:color="auto"/>
            <w:bottom w:val="none" w:sz="0" w:space="0" w:color="auto"/>
            <w:right w:val="none" w:sz="0" w:space="0" w:color="auto"/>
          </w:divBdr>
        </w:div>
        <w:div w:id="1635598419">
          <w:marLeft w:val="0"/>
          <w:marRight w:val="0"/>
          <w:marTop w:val="0"/>
          <w:marBottom w:val="0"/>
          <w:divBdr>
            <w:top w:val="none" w:sz="0" w:space="0" w:color="auto"/>
            <w:left w:val="none" w:sz="0" w:space="0" w:color="auto"/>
            <w:bottom w:val="none" w:sz="0" w:space="0" w:color="auto"/>
            <w:right w:val="none" w:sz="0" w:space="0" w:color="auto"/>
          </w:divBdr>
        </w:div>
        <w:div w:id="1250306114">
          <w:marLeft w:val="0"/>
          <w:marRight w:val="0"/>
          <w:marTop w:val="0"/>
          <w:marBottom w:val="0"/>
          <w:divBdr>
            <w:top w:val="none" w:sz="0" w:space="0" w:color="auto"/>
            <w:left w:val="none" w:sz="0" w:space="0" w:color="auto"/>
            <w:bottom w:val="none" w:sz="0" w:space="0" w:color="auto"/>
            <w:right w:val="none" w:sz="0" w:space="0" w:color="auto"/>
          </w:divBdr>
        </w:div>
        <w:div w:id="1974169381">
          <w:marLeft w:val="0"/>
          <w:marRight w:val="0"/>
          <w:marTop w:val="0"/>
          <w:marBottom w:val="0"/>
          <w:divBdr>
            <w:top w:val="none" w:sz="0" w:space="0" w:color="auto"/>
            <w:left w:val="none" w:sz="0" w:space="0" w:color="auto"/>
            <w:bottom w:val="none" w:sz="0" w:space="0" w:color="auto"/>
            <w:right w:val="none" w:sz="0" w:space="0" w:color="auto"/>
          </w:divBdr>
        </w:div>
        <w:div w:id="2049645284">
          <w:marLeft w:val="0"/>
          <w:marRight w:val="0"/>
          <w:marTop w:val="0"/>
          <w:marBottom w:val="0"/>
          <w:divBdr>
            <w:top w:val="none" w:sz="0" w:space="0" w:color="auto"/>
            <w:left w:val="none" w:sz="0" w:space="0" w:color="auto"/>
            <w:bottom w:val="none" w:sz="0" w:space="0" w:color="auto"/>
            <w:right w:val="none" w:sz="0" w:space="0" w:color="auto"/>
          </w:divBdr>
        </w:div>
        <w:div w:id="491332251">
          <w:marLeft w:val="0"/>
          <w:marRight w:val="0"/>
          <w:marTop w:val="0"/>
          <w:marBottom w:val="0"/>
          <w:divBdr>
            <w:top w:val="none" w:sz="0" w:space="0" w:color="auto"/>
            <w:left w:val="none" w:sz="0" w:space="0" w:color="auto"/>
            <w:bottom w:val="none" w:sz="0" w:space="0" w:color="auto"/>
            <w:right w:val="none" w:sz="0" w:space="0" w:color="auto"/>
          </w:divBdr>
        </w:div>
        <w:div w:id="509831733">
          <w:marLeft w:val="0"/>
          <w:marRight w:val="0"/>
          <w:marTop w:val="0"/>
          <w:marBottom w:val="0"/>
          <w:divBdr>
            <w:top w:val="none" w:sz="0" w:space="0" w:color="auto"/>
            <w:left w:val="none" w:sz="0" w:space="0" w:color="auto"/>
            <w:bottom w:val="none" w:sz="0" w:space="0" w:color="auto"/>
            <w:right w:val="none" w:sz="0" w:space="0" w:color="auto"/>
          </w:divBdr>
        </w:div>
        <w:div w:id="207257023">
          <w:marLeft w:val="0"/>
          <w:marRight w:val="0"/>
          <w:marTop w:val="0"/>
          <w:marBottom w:val="0"/>
          <w:divBdr>
            <w:top w:val="none" w:sz="0" w:space="0" w:color="auto"/>
            <w:left w:val="none" w:sz="0" w:space="0" w:color="auto"/>
            <w:bottom w:val="none" w:sz="0" w:space="0" w:color="auto"/>
            <w:right w:val="none" w:sz="0" w:space="0" w:color="auto"/>
          </w:divBdr>
        </w:div>
        <w:div w:id="1019624257">
          <w:marLeft w:val="0"/>
          <w:marRight w:val="0"/>
          <w:marTop w:val="0"/>
          <w:marBottom w:val="0"/>
          <w:divBdr>
            <w:top w:val="none" w:sz="0" w:space="0" w:color="auto"/>
            <w:left w:val="none" w:sz="0" w:space="0" w:color="auto"/>
            <w:bottom w:val="none" w:sz="0" w:space="0" w:color="auto"/>
            <w:right w:val="none" w:sz="0" w:space="0" w:color="auto"/>
          </w:divBdr>
        </w:div>
        <w:div w:id="1360351553">
          <w:marLeft w:val="0"/>
          <w:marRight w:val="0"/>
          <w:marTop w:val="0"/>
          <w:marBottom w:val="0"/>
          <w:divBdr>
            <w:top w:val="none" w:sz="0" w:space="0" w:color="auto"/>
            <w:left w:val="none" w:sz="0" w:space="0" w:color="auto"/>
            <w:bottom w:val="none" w:sz="0" w:space="0" w:color="auto"/>
            <w:right w:val="none" w:sz="0" w:space="0" w:color="auto"/>
          </w:divBdr>
        </w:div>
        <w:div w:id="2075004983">
          <w:marLeft w:val="0"/>
          <w:marRight w:val="0"/>
          <w:marTop w:val="0"/>
          <w:marBottom w:val="0"/>
          <w:divBdr>
            <w:top w:val="none" w:sz="0" w:space="0" w:color="auto"/>
            <w:left w:val="none" w:sz="0" w:space="0" w:color="auto"/>
            <w:bottom w:val="none" w:sz="0" w:space="0" w:color="auto"/>
            <w:right w:val="none" w:sz="0" w:space="0" w:color="auto"/>
          </w:divBdr>
          <w:divsChild>
            <w:div w:id="2101372364">
              <w:marLeft w:val="-75"/>
              <w:marRight w:val="0"/>
              <w:marTop w:val="30"/>
              <w:marBottom w:val="30"/>
              <w:divBdr>
                <w:top w:val="none" w:sz="0" w:space="0" w:color="auto"/>
                <w:left w:val="none" w:sz="0" w:space="0" w:color="auto"/>
                <w:bottom w:val="none" w:sz="0" w:space="0" w:color="auto"/>
                <w:right w:val="none" w:sz="0" w:space="0" w:color="auto"/>
              </w:divBdr>
              <w:divsChild>
                <w:div w:id="1067387348">
                  <w:marLeft w:val="0"/>
                  <w:marRight w:val="0"/>
                  <w:marTop w:val="0"/>
                  <w:marBottom w:val="0"/>
                  <w:divBdr>
                    <w:top w:val="none" w:sz="0" w:space="0" w:color="auto"/>
                    <w:left w:val="none" w:sz="0" w:space="0" w:color="auto"/>
                    <w:bottom w:val="none" w:sz="0" w:space="0" w:color="auto"/>
                    <w:right w:val="none" w:sz="0" w:space="0" w:color="auto"/>
                  </w:divBdr>
                  <w:divsChild>
                    <w:div w:id="1176849455">
                      <w:marLeft w:val="0"/>
                      <w:marRight w:val="0"/>
                      <w:marTop w:val="0"/>
                      <w:marBottom w:val="0"/>
                      <w:divBdr>
                        <w:top w:val="none" w:sz="0" w:space="0" w:color="auto"/>
                        <w:left w:val="none" w:sz="0" w:space="0" w:color="auto"/>
                        <w:bottom w:val="none" w:sz="0" w:space="0" w:color="auto"/>
                        <w:right w:val="none" w:sz="0" w:space="0" w:color="auto"/>
                      </w:divBdr>
                    </w:div>
                  </w:divsChild>
                </w:div>
                <w:div w:id="452603361">
                  <w:marLeft w:val="0"/>
                  <w:marRight w:val="0"/>
                  <w:marTop w:val="0"/>
                  <w:marBottom w:val="0"/>
                  <w:divBdr>
                    <w:top w:val="none" w:sz="0" w:space="0" w:color="auto"/>
                    <w:left w:val="none" w:sz="0" w:space="0" w:color="auto"/>
                    <w:bottom w:val="none" w:sz="0" w:space="0" w:color="auto"/>
                    <w:right w:val="none" w:sz="0" w:space="0" w:color="auto"/>
                  </w:divBdr>
                  <w:divsChild>
                    <w:div w:id="191118478">
                      <w:marLeft w:val="0"/>
                      <w:marRight w:val="0"/>
                      <w:marTop w:val="0"/>
                      <w:marBottom w:val="0"/>
                      <w:divBdr>
                        <w:top w:val="none" w:sz="0" w:space="0" w:color="auto"/>
                        <w:left w:val="none" w:sz="0" w:space="0" w:color="auto"/>
                        <w:bottom w:val="none" w:sz="0" w:space="0" w:color="auto"/>
                        <w:right w:val="none" w:sz="0" w:space="0" w:color="auto"/>
                      </w:divBdr>
                    </w:div>
                  </w:divsChild>
                </w:div>
                <w:div w:id="646207579">
                  <w:marLeft w:val="0"/>
                  <w:marRight w:val="0"/>
                  <w:marTop w:val="0"/>
                  <w:marBottom w:val="0"/>
                  <w:divBdr>
                    <w:top w:val="none" w:sz="0" w:space="0" w:color="auto"/>
                    <w:left w:val="none" w:sz="0" w:space="0" w:color="auto"/>
                    <w:bottom w:val="none" w:sz="0" w:space="0" w:color="auto"/>
                    <w:right w:val="none" w:sz="0" w:space="0" w:color="auto"/>
                  </w:divBdr>
                  <w:divsChild>
                    <w:div w:id="755440533">
                      <w:marLeft w:val="0"/>
                      <w:marRight w:val="0"/>
                      <w:marTop w:val="0"/>
                      <w:marBottom w:val="0"/>
                      <w:divBdr>
                        <w:top w:val="none" w:sz="0" w:space="0" w:color="auto"/>
                        <w:left w:val="none" w:sz="0" w:space="0" w:color="auto"/>
                        <w:bottom w:val="none" w:sz="0" w:space="0" w:color="auto"/>
                        <w:right w:val="none" w:sz="0" w:space="0" w:color="auto"/>
                      </w:divBdr>
                    </w:div>
                  </w:divsChild>
                </w:div>
                <w:div w:id="1529222149">
                  <w:marLeft w:val="0"/>
                  <w:marRight w:val="0"/>
                  <w:marTop w:val="0"/>
                  <w:marBottom w:val="0"/>
                  <w:divBdr>
                    <w:top w:val="none" w:sz="0" w:space="0" w:color="auto"/>
                    <w:left w:val="none" w:sz="0" w:space="0" w:color="auto"/>
                    <w:bottom w:val="none" w:sz="0" w:space="0" w:color="auto"/>
                    <w:right w:val="none" w:sz="0" w:space="0" w:color="auto"/>
                  </w:divBdr>
                  <w:divsChild>
                    <w:div w:id="777145392">
                      <w:marLeft w:val="0"/>
                      <w:marRight w:val="0"/>
                      <w:marTop w:val="0"/>
                      <w:marBottom w:val="0"/>
                      <w:divBdr>
                        <w:top w:val="none" w:sz="0" w:space="0" w:color="auto"/>
                        <w:left w:val="none" w:sz="0" w:space="0" w:color="auto"/>
                        <w:bottom w:val="none" w:sz="0" w:space="0" w:color="auto"/>
                        <w:right w:val="none" w:sz="0" w:space="0" w:color="auto"/>
                      </w:divBdr>
                    </w:div>
                  </w:divsChild>
                </w:div>
                <w:div w:id="1398086799">
                  <w:marLeft w:val="0"/>
                  <w:marRight w:val="0"/>
                  <w:marTop w:val="0"/>
                  <w:marBottom w:val="0"/>
                  <w:divBdr>
                    <w:top w:val="none" w:sz="0" w:space="0" w:color="auto"/>
                    <w:left w:val="none" w:sz="0" w:space="0" w:color="auto"/>
                    <w:bottom w:val="none" w:sz="0" w:space="0" w:color="auto"/>
                    <w:right w:val="none" w:sz="0" w:space="0" w:color="auto"/>
                  </w:divBdr>
                  <w:divsChild>
                    <w:div w:id="347365498">
                      <w:marLeft w:val="0"/>
                      <w:marRight w:val="0"/>
                      <w:marTop w:val="0"/>
                      <w:marBottom w:val="0"/>
                      <w:divBdr>
                        <w:top w:val="none" w:sz="0" w:space="0" w:color="auto"/>
                        <w:left w:val="none" w:sz="0" w:space="0" w:color="auto"/>
                        <w:bottom w:val="none" w:sz="0" w:space="0" w:color="auto"/>
                        <w:right w:val="none" w:sz="0" w:space="0" w:color="auto"/>
                      </w:divBdr>
                    </w:div>
                  </w:divsChild>
                </w:div>
                <w:div w:id="1154879404">
                  <w:marLeft w:val="0"/>
                  <w:marRight w:val="0"/>
                  <w:marTop w:val="0"/>
                  <w:marBottom w:val="0"/>
                  <w:divBdr>
                    <w:top w:val="none" w:sz="0" w:space="0" w:color="auto"/>
                    <w:left w:val="none" w:sz="0" w:space="0" w:color="auto"/>
                    <w:bottom w:val="none" w:sz="0" w:space="0" w:color="auto"/>
                    <w:right w:val="none" w:sz="0" w:space="0" w:color="auto"/>
                  </w:divBdr>
                  <w:divsChild>
                    <w:div w:id="720590415">
                      <w:marLeft w:val="0"/>
                      <w:marRight w:val="0"/>
                      <w:marTop w:val="0"/>
                      <w:marBottom w:val="0"/>
                      <w:divBdr>
                        <w:top w:val="none" w:sz="0" w:space="0" w:color="auto"/>
                        <w:left w:val="none" w:sz="0" w:space="0" w:color="auto"/>
                        <w:bottom w:val="none" w:sz="0" w:space="0" w:color="auto"/>
                        <w:right w:val="none" w:sz="0" w:space="0" w:color="auto"/>
                      </w:divBdr>
                    </w:div>
                  </w:divsChild>
                </w:div>
                <w:div w:id="1535849299">
                  <w:marLeft w:val="0"/>
                  <w:marRight w:val="0"/>
                  <w:marTop w:val="0"/>
                  <w:marBottom w:val="0"/>
                  <w:divBdr>
                    <w:top w:val="none" w:sz="0" w:space="0" w:color="auto"/>
                    <w:left w:val="none" w:sz="0" w:space="0" w:color="auto"/>
                    <w:bottom w:val="none" w:sz="0" w:space="0" w:color="auto"/>
                    <w:right w:val="none" w:sz="0" w:space="0" w:color="auto"/>
                  </w:divBdr>
                  <w:divsChild>
                    <w:div w:id="1389919690">
                      <w:marLeft w:val="0"/>
                      <w:marRight w:val="0"/>
                      <w:marTop w:val="0"/>
                      <w:marBottom w:val="0"/>
                      <w:divBdr>
                        <w:top w:val="none" w:sz="0" w:space="0" w:color="auto"/>
                        <w:left w:val="none" w:sz="0" w:space="0" w:color="auto"/>
                        <w:bottom w:val="none" w:sz="0" w:space="0" w:color="auto"/>
                        <w:right w:val="none" w:sz="0" w:space="0" w:color="auto"/>
                      </w:divBdr>
                    </w:div>
                  </w:divsChild>
                </w:div>
                <w:div w:id="2130775668">
                  <w:marLeft w:val="0"/>
                  <w:marRight w:val="0"/>
                  <w:marTop w:val="0"/>
                  <w:marBottom w:val="0"/>
                  <w:divBdr>
                    <w:top w:val="none" w:sz="0" w:space="0" w:color="auto"/>
                    <w:left w:val="none" w:sz="0" w:space="0" w:color="auto"/>
                    <w:bottom w:val="none" w:sz="0" w:space="0" w:color="auto"/>
                    <w:right w:val="none" w:sz="0" w:space="0" w:color="auto"/>
                  </w:divBdr>
                  <w:divsChild>
                    <w:div w:id="562182578">
                      <w:marLeft w:val="0"/>
                      <w:marRight w:val="0"/>
                      <w:marTop w:val="0"/>
                      <w:marBottom w:val="0"/>
                      <w:divBdr>
                        <w:top w:val="none" w:sz="0" w:space="0" w:color="auto"/>
                        <w:left w:val="none" w:sz="0" w:space="0" w:color="auto"/>
                        <w:bottom w:val="none" w:sz="0" w:space="0" w:color="auto"/>
                        <w:right w:val="none" w:sz="0" w:space="0" w:color="auto"/>
                      </w:divBdr>
                    </w:div>
                  </w:divsChild>
                </w:div>
                <w:div w:id="1938368208">
                  <w:marLeft w:val="0"/>
                  <w:marRight w:val="0"/>
                  <w:marTop w:val="0"/>
                  <w:marBottom w:val="0"/>
                  <w:divBdr>
                    <w:top w:val="none" w:sz="0" w:space="0" w:color="auto"/>
                    <w:left w:val="none" w:sz="0" w:space="0" w:color="auto"/>
                    <w:bottom w:val="none" w:sz="0" w:space="0" w:color="auto"/>
                    <w:right w:val="none" w:sz="0" w:space="0" w:color="auto"/>
                  </w:divBdr>
                  <w:divsChild>
                    <w:div w:id="105274090">
                      <w:marLeft w:val="0"/>
                      <w:marRight w:val="0"/>
                      <w:marTop w:val="0"/>
                      <w:marBottom w:val="0"/>
                      <w:divBdr>
                        <w:top w:val="none" w:sz="0" w:space="0" w:color="auto"/>
                        <w:left w:val="none" w:sz="0" w:space="0" w:color="auto"/>
                        <w:bottom w:val="none" w:sz="0" w:space="0" w:color="auto"/>
                        <w:right w:val="none" w:sz="0" w:space="0" w:color="auto"/>
                      </w:divBdr>
                    </w:div>
                  </w:divsChild>
                </w:div>
                <w:div w:id="722867083">
                  <w:marLeft w:val="0"/>
                  <w:marRight w:val="0"/>
                  <w:marTop w:val="0"/>
                  <w:marBottom w:val="0"/>
                  <w:divBdr>
                    <w:top w:val="none" w:sz="0" w:space="0" w:color="auto"/>
                    <w:left w:val="none" w:sz="0" w:space="0" w:color="auto"/>
                    <w:bottom w:val="none" w:sz="0" w:space="0" w:color="auto"/>
                    <w:right w:val="none" w:sz="0" w:space="0" w:color="auto"/>
                  </w:divBdr>
                  <w:divsChild>
                    <w:div w:id="407927674">
                      <w:marLeft w:val="0"/>
                      <w:marRight w:val="0"/>
                      <w:marTop w:val="0"/>
                      <w:marBottom w:val="0"/>
                      <w:divBdr>
                        <w:top w:val="none" w:sz="0" w:space="0" w:color="auto"/>
                        <w:left w:val="none" w:sz="0" w:space="0" w:color="auto"/>
                        <w:bottom w:val="none" w:sz="0" w:space="0" w:color="auto"/>
                        <w:right w:val="none" w:sz="0" w:space="0" w:color="auto"/>
                      </w:divBdr>
                    </w:div>
                  </w:divsChild>
                </w:div>
                <w:div w:id="1479762265">
                  <w:marLeft w:val="0"/>
                  <w:marRight w:val="0"/>
                  <w:marTop w:val="0"/>
                  <w:marBottom w:val="0"/>
                  <w:divBdr>
                    <w:top w:val="none" w:sz="0" w:space="0" w:color="auto"/>
                    <w:left w:val="none" w:sz="0" w:space="0" w:color="auto"/>
                    <w:bottom w:val="none" w:sz="0" w:space="0" w:color="auto"/>
                    <w:right w:val="none" w:sz="0" w:space="0" w:color="auto"/>
                  </w:divBdr>
                  <w:divsChild>
                    <w:div w:id="1376932368">
                      <w:marLeft w:val="0"/>
                      <w:marRight w:val="0"/>
                      <w:marTop w:val="0"/>
                      <w:marBottom w:val="0"/>
                      <w:divBdr>
                        <w:top w:val="none" w:sz="0" w:space="0" w:color="auto"/>
                        <w:left w:val="none" w:sz="0" w:space="0" w:color="auto"/>
                        <w:bottom w:val="none" w:sz="0" w:space="0" w:color="auto"/>
                        <w:right w:val="none" w:sz="0" w:space="0" w:color="auto"/>
                      </w:divBdr>
                    </w:div>
                  </w:divsChild>
                </w:div>
                <w:div w:id="1256281241">
                  <w:marLeft w:val="0"/>
                  <w:marRight w:val="0"/>
                  <w:marTop w:val="0"/>
                  <w:marBottom w:val="0"/>
                  <w:divBdr>
                    <w:top w:val="none" w:sz="0" w:space="0" w:color="auto"/>
                    <w:left w:val="none" w:sz="0" w:space="0" w:color="auto"/>
                    <w:bottom w:val="none" w:sz="0" w:space="0" w:color="auto"/>
                    <w:right w:val="none" w:sz="0" w:space="0" w:color="auto"/>
                  </w:divBdr>
                  <w:divsChild>
                    <w:div w:id="978000536">
                      <w:marLeft w:val="0"/>
                      <w:marRight w:val="0"/>
                      <w:marTop w:val="0"/>
                      <w:marBottom w:val="0"/>
                      <w:divBdr>
                        <w:top w:val="none" w:sz="0" w:space="0" w:color="auto"/>
                        <w:left w:val="none" w:sz="0" w:space="0" w:color="auto"/>
                        <w:bottom w:val="none" w:sz="0" w:space="0" w:color="auto"/>
                        <w:right w:val="none" w:sz="0" w:space="0" w:color="auto"/>
                      </w:divBdr>
                    </w:div>
                  </w:divsChild>
                </w:div>
                <w:div w:id="1922837694">
                  <w:marLeft w:val="0"/>
                  <w:marRight w:val="0"/>
                  <w:marTop w:val="0"/>
                  <w:marBottom w:val="0"/>
                  <w:divBdr>
                    <w:top w:val="none" w:sz="0" w:space="0" w:color="auto"/>
                    <w:left w:val="none" w:sz="0" w:space="0" w:color="auto"/>
                    <w:bottom w:val="none" w:sz="0" w:space="0" w:color="auto"/>
                    <w:right w:val="none" w:sz="0" w:space="0" w:color="auto"/>
                  </w:divBdr>
                  <w:divsChild>
                    <w:div w:id="275986075">
                      <w:marLeft w:val="0"/>
                      <w:marRight w:val="0"/>
                      <w:marTop w:val="0"/>
                      <w:marBottom w:val="0"/>
                      <w:divBdr>
                        <w:top w:val="none" w:sz="0" w:space="0" w:color="auto"/>
                        <w:left w:val="none" w:sz="0" w:space="0" w:color="auto"/>
                        <w:bottom w:val="none" w:sz="0" w:space="0" w:color="auto"/>
                        <w:right w:val="none" w:sz="0" w:space="0" w:color="auto"/>
                      </w:divBdr>
                    </w:div>
                  </w:divsChild>
                </w:div>
                <w:div w:id="1269895725">
                  <w:marLeft w:val="0"/>
                  <w:marRight w:val="0"/>
                  <w:marTop w:val="0"/>
                  <w:marBottom w:val="0"/>
                  <w:divBdr>
                    <w:top w:val="none" w:sz="0" w:space="0" w:color="auto"/>
                    <w:left w:val="none" w:sz="0" w:space="0" w:color="auto"/>
                    <w:bottom w:val="none" w:sz="0" w:space="0" w:color="auto"/>
                    <w:right w:val="none" w:sz="0" w:space="0" w:color="auto"/>
                  </w:divBdr>
                  <w:divsChild>
                    <w:div w:id="227036838">
                      <w:marLeft w:val="0"/>
                      <w:marRight w:val="0"/>
                      <w:marTop w:val="0"/>
                      <w:marBottom w:val="0"/>
                      <w:divBdr>
                        <w:top w:val="none" w:sz="0" w:space="0" w:color="auto"/>
                        <w:left w:val="none" w:sz="0" w:space="0" w:color="auto"/>
                        <w:bottom w:val="none" w:sz="0" w:space="0" w:color="auto"/>
                        <w:right w:val="none" w:sz="0" w:space="0" w:color="auto"/>
                      </w:divBdr>
                    </w:div>
                  </w:divsChild>
                </w:div>
                <w:div w:id="1960600669">
                  <w:marLeft w:val="0"/>
                  <w:marRight w:val="0"/>
                  <w:marTop w:val="0"/>
                  <w:marBottom w:val="0"/>
                  <w:divBdr>
                    <w:top w:val="none" w:sz="0" w:space="0" w:color="auto"/>
                    <w:left w:val="none" w:sz="0" w:space="0" w:color="auto"/>
                    <w:bottom w:val="none" w:sz="0" w:space="0" w:color="auto"/>
                    <w:right w:val="none" w:sz="0" w:space="0" w:color="auto"/>
                  </w:divBdr>
                  <w:divsChild>
                    <w:div w:id="1387297647">
                      <w:marLeft w:val="0"/>
                      <w:marRight w:val="0"/>
                      <w:marTop w:val="0"/>
                      <w:marBottom w:val="0"/>
                      <w:divBdr>
                        <w:top w:val="none" w:sz="0" w:space="0" w:color="auto"/>
                        <w:left w:val="none" w:sz="0" w:space="0" w:color="auto"/>
                        <w:bottom w:val="none" w:sz="0" w:space="0" w:color="auto"/>
                        <w:right w:val="none" w:sz="0" w:space="0" w:color="auto"/>
                      </w:divBdr>
                    </w:div>
                  </w:divsChild>
                </w:div>
                <w:div w:id="756171990">
                  <w:marLeft w:val="0"/>
                  <w:marRight w:val="0"/>
                  <w:marTop w:val="0"/>
                  <w:marBottom w:val="0"/>
                  <w:divBdr>
                    <w:top w:val="none" w:sz="0" w:space="0" w:color="auto"/>
                    <w:left w:val="none" w:sz="0" w:space="0" w:color="auto"/>
                    <w:bottom w:val="none" w:sz="0" w:space="0" w:color="auto"/>
                    <w:right w:val="none" w:sz="0" w:space="0" w:color="auto"/>
                  </w:divBdr>
                  <w:divsChild>
                    <w:div w:id="2047370732">
                      <w:marLeft w:val="0"/>
                      <w:marRight w:val="0"/>
                      <w:marTop w:val="0"/>
                      <w:marBottom w:val="0"/>
                      <w:divBdr>
                        <w:top w:val="none" w:sz="0" w:space="0" w:color="auto"/>
                        <w:left w:val="none" w:sz="0" w:space="0" w:color="auto"/>
                        <w:bottom w:val="none" w:sz="0" w:space="0" w:color="auto"/>
                        <w:right w:val="none" w:sz="0" w:space="0" w:color="auto"/>
                      </w:divBdr>
                    </w:div>
                  </w:divsChild>
                </w:div>
                <w:div w:id="486367001">
                  <w:marLeft w:val="0"/>
                  <w:marRight w:val="0"/>
                  <w:marTop w:val="0"/>
                  <w:marBottom w:val="0"/>
                  <w:divBdr>
                    <w:top w:val="none" w:sz="0" w:space="0" w:color="auto"/>
                    <w:left w:val="none" w:sz="0" w:space="0" w:color="auto"/>
                    <w:bottom w:val="none" w:sz="0" w:space="0" w:color="auto"/>
                    <w:right w:val="none" w:sz="0" w:space="0" w:color="auto"/>
                  </w:divBdr>
                  <w:divsChild>
                    <w:div w:id="1746143684">
                      <w:marLeft w:val="0"/>
                      <w:marRight w:val="0"/>
                      <w:marTop w:val="0"/>
                      <w:marBottom w:val="0"/>
                      <w:divBdr>
                        <w:top w:val="none" w:sz="0" w:space="0" w:color="auto"/>
                        <w:left w:val="none" w:sz="0" w:space="0" w:color="auto"/>
                        <w:bottom w:val="none" w:sz="0" w:space="0" w:color="auto"/>
                        <w:right w:val="none" w:sz="0" w:space="0" w:color="auto"/>
                      </w:divBdr>
                    </w:div>
                  </w:divsChild>
                </w:div>
                <w:div w:id="1569999013">
                  <w:marLeft w:val="0"/>
                  <w:marRight w:val="0"/>
                  <w:marTop w:val="0"/>
                  <w:marBottom w:val="0"/>
                  <w:divBdr>
                    <w:top w:val="none" w:sz="0" w:space="0" w:color="auto"/>
                    <w:left w:val="none" w:sz="0" w:space="0" w:color="auto"/>
                    <w:bottom w:val="none" w:sz="0" w:space="0" w:color="auto"/>
                    <w:right w:val="none" w:sz="0" w:space="0" w:color="auto"/>
                  </w:divBdr>
                  <w:divsChild>
                    <w:div w:id="1541866472">
                      <w:marLeft w:val="0"/>
                      <w:marRight w:val="0"/>
                      <w:marTop w:val="0"/>
                      <w:marBottom w:val="0"/>
                      <w:divBdr>
                        <w:top w:val="none" w:sz="0" w:space="0" w:color="auto"/>
                        <w:left w:val="none" w:sz="0" w:space="0" w:color="auto"/>
                        <w:bottom w:val="none" w:sz="0" w:space="0" w:color="auto"/>
                        <w:right w:val="none" w:sz="0" w:space="0" w:color="auto"/>
                      </w:divBdr>
                    </w:div>
                  </w:divsChild>
                </w:div>
                <w:div w:id="1104300656">
                  <w:marLeft w:val="0"/>
                  <w:marRight w:val="0"/>
                  <w:marTop w:val="0"/>
                  <w:marBottom w:val="0"/>
                  <w:divBdr>
                    <w:top w:val="none" w:sz="0" w:space="0" w:color="auto"/>
                    <w:left w:val="none" w:sz="0" w:space="0" w:color="auto"/>
                    <w:bottom w:val="none" w:sz="0" w:space="0" w:color="auto"/>
                    <w:right w:val="none" w:sz="0" w:space="0" w:color="auto"/>
                  </w:divBdr>
                  <w:divsChild>
                    <w:div w:id="128742326">
                      <w:marLeft w:val="0"/>
                      <w:marRight w:val="0"/>
                      <w:marTop w:val="0"/>
                      <w:marBottom w:val="0"/>
                      <w:divBdr>
                        <w:top w:val="none" w:sz="0" w:space="0" w:color="auto"/>
                        <w:left w:val="none" w:sz="0" w:space="0" w:color="auto"/>
                        <w:bottom w:val="none" w:sz="0" w:space="0" w:color="auto"/>
                        <w:right w:val="none" w:sz="0" w:space="0" w:color="auto"/>
                      </w:divBdr>
                    </w:div>
                  </w:divsChild>
                </w:div>
                <w:div w:id="358624488">
                  <w:marLeft w:val="0"/>
                  <w:marRight w:val="0"/>
                  <w:marTop w:val="0"/>
                  <w:marBottom w:val="0"/>
                  <w:divBdr>
                    <w:top w:val="none" w:sz="0" w:space="0" w:color="auto"/>
                    <w:left w:val="none" w:sz="0" w:space="0" w:color="auto"/>
                    <w:bottom w:val="none" w:sz="0" w:space="0" w:color="auto"/>
                    <w:right w:val="none" w:sz="0" w:space="0" w:color="auto"/>
                  </w:divBdr>
                  <w:divsChild>
                    <w:div w:id="1059133379">
                      <w:marLeft w:val="0"/>
                      <w:marRight w:val="0"/>
                      <w:marTop w:val="0"/>
                      <w:marBottom w:val="0"/>
                      <w:divBdr>
                        <w:top w:val="none" w:sz="0" w:space="0" w:color="auto"/>
                        <w:left w:val="none" w:sz="0" w:space="0" w:color="auto"/>
                        <w:bottom w:val="none" w:sz="0" w:space="0" w:color="auto"/>
                        <w:right w:val="none" w:sz="0" w:space="0" w:color="auto"/>
                      </w:divBdr>
                    </w:div>
                  </w:divsChild>
                </w:div>
                <w:div w:id="1011683231">
                  <w:marLeft w:val="0"/>
                  <w:marRight w:val="0"/>
                  <w:marTop w:val="0"/>
                  <w:marBottom w:val="0"/>
                  <w:divBdr>
                    <w:top w:val="none" w:sz="0" w:space="0" w:color="auto"/>
                    <w:left w:val="none" w:sz="0" w:space="0" w:color="auto"/>
                    <w:bottom w:val="none" w:sz="0" w:space="0" w:color="auto"/>
                    <w:right w:val="none" w:sz="0" w:space="0" w:color="auto"/>
                  </w:divBdr>
                  <w:divsChild>
                    <w:div w:id="1571038355">
                      <w:marLeft w:val="0"/>
                      <w:marRight w:val="0"/>
                      <w:marTop w:val="0"/>
                      <w:marBottom w:val="0"/>
                      <w:divBdr>
                        <w:top w:val="none" w:sz="0" w:space="0" w:color="auto"/>
                        <w:left w:val="none" w:sz="0" w:space="0" w:color="auto"/>
                        <w:bottom w:val="none" w:sz="0" w:space="0" w:color="auto"/>
                        <w:right w:val="none" w:sz="0" w:space="0" w:color="auto"/>
                      </w:divBdr>
                    </w:div>
                  </w:divsChild>
                </w:div>
                <w:div w:id="1993213935">
                  <w:marLeft w:val="0"/>
                  <w:marRight w:val="0"/>
                  <w:marTop w:val="0"/>
                  <w:marBottom w:val="0"/>
                  <w:divBdr>
                    <w:top w:val="none" w:sz="0" w:space="0" w:color="auto"/>
                    <w:left w:val="none" w:sz="0" w:space="0" w:color="auto"/>
                    <w:bottom w:val="none" w:sz="0" w:space="0" w:color="auto"/>
                    <w:right w:val="none" w:sz="0" w:space="0" w:color="auto"/>
                  </w:divBdr>
                  <w:divsChild>
                    <w:div w:id="1509901106">
                      <w:marLeft w:val="0"/>
                      <w:marRight w:val="0"/>
                      <w:marTop w:val="0"/>
                      <w:marBottom w:val="0"/>
                      <w:divBdr>
                        <w:top w:val="none" w:sz="0" w:space="0" w:color="auto"/>
                        <w:left w:val="none" w:sz="0" w:space="0" w:color="auto"/>
                        <w:bottom w:val="none" w:sz="0" w:space="0" w:color="auto"/>
                        <w:right w:val="none" w:sz="0" w:space="0" w:color="auto"/>
                      </w:divBdr>
                    </w:div>
                  </w:divsChild>
                </w:div>
                <w:div w:id="2033070987">
                  <w:marLeft w:val="0"/>
                  <w:marRight w:val="0"/>
                  <w:marTop w:val="0"/>
                  <w:marBottom w:val="0"/>
                  <w:divBdr>
                    <w:top w:val="none" w:sz="0" w:space="0" w:color="auto"/>
                    <w:left w:val="none" w:sz="0" w:space="0" w:color="auto"/>
                    <w:bottom w:val="none" w:sz="0" w:space="0" w:color="auto"/>
                    <w:right w:val="none" w:sz="0" w:space="0" w:color="auto"/>
                  </w:divBdr>
                  <w:divsChild>
                    <w:div w:id="1718972233">
                      <w:marLeft w:val="0"/>
                      <w:marRight w:val="0"/>
                      <w:marTop w:val="0"/>
                      <w:marBottom w:val="0"/>
                      <w:divBdr>
                        <w:top w:val="none" w:sz="0" w:space="0" w:color="auto"/>
                        <w:left w:val="none" w:sz="0" w:space="0" w:color="auto"/>
                        <w:bottom w:val="none" w:sz="0" w:space="0" w:color="auto"/>
                        <w:right w:val="none" w:sz="0" w:space="0" w:color="auto"/>
                      </w:divBdr>
                    </w:div>
                  </w:divsChild>
                </w:div>
                <w:div w:id="353263627">
                  <w:marLeft w:val="0"/>
                  <w:marRight w:val="0"/>
                  <w:marTop w:val="0"/>
                  <w:marBottom w:val="0"/>
                  <w:divBdr>
                    <w:top w:val="none" w:sz="0" w:space="0" w:color="auto"/>
                    <w:left w:val="none" w:sz="0" w:space="0" w:color="auto"/>
                    <w:bottom w:val="none" w:sz="0" w:space="0" w:color="auto"/>
                    <w:right w:val="none" w:sz="0" w:space="0" w:color="auto"/>
                  </w:divBdr>
                  <w:divsChild>
                    <w:div w:id="1704742998">
                      <w:marLeft w:val="0"/>
                      <w:marRight w:val="0"/>
                      <w:marTop w:val="0"/>
                      <w:marBottom w:val="0"/>
                      <w:divBdr>
                        <w:top w:val="none" w:sz="0" w:space="0" w:color="auto"/>
                        <w:left w:val="none" w:sz="0" w:space="0" w:color="auto"/>
                        <w:bottom w:val="none" w:sz="0" w:space="0" w:color="auto"/>
                        <w:right w:val="none" w:sz="0" w:space="0" w:color="auto"/>
                      </w:divBdr>
                    </w:div>
                  </w:divsChild>
                </w:div>
                <w:div w:id="1405377109">
                  <w:marLeft w:val="0"/>
                  <w:marRight w:val="0"/>
                  <w:marTop w:val="0"/>
                  <w:marBottom w:val="0"/>
                  <w:divBdr>
                    <w:top w:val="none" w:sz="0" w:space="0" w:color="auto"/>
                    <w:left w:val="none" w:sz="0" w:space="0" w:color="auto"/>
                    <w:bottom w:val="none" w:sz="0" w:space="0" w:color="auto"/>
                    <w:right w:val="none" w:sz="0" w:space="0" w:color="auto"/>
                  </w:divBdr>
                  <w:divsChild>
                    <w:div w:id="827475468">
                      <w:marLeft w:val="0"/>
                      <w:marRight w:val="0"/>
                      <w:marTop w:val="0"/>
                      <w:marBottom w:val="0"/>
                      <w:divBdr>
                        <w:top w:val="none" w:sz="0" w:space="0" w:color="auto"/>
                        <w:left w:val="none" w:sz="0" w:space="0" w:color="auto"/>
                        <w:bottom w:val="none" w:sz="0" w:space="0" w:color="auto"/>
                        <w:right w:val="none" w:sz="0" w:space="0" w:color="auto"/>
                      </w:divBdr>
                    </w:div>
                  </w:divsChild>
                </w:div>
                <w:div w:id="1122304032">
                  <w:marLeft w:val="0"/>
                  <w:marRight w:val="0"/>
                  <w:marTop w:val="0"/>
                  <w:marBottom w:val="0"/>
                  <w:divBdr>
                    <w:top w:val="none" w:sz="0" w:space="0" w:color="auto"/>
                    <w:left w:val="none" w:sz="0" w:space="0" w:color="auto"/>
                    <w:bottom w:val="none" w:sz="0" w:space="0" w:color="auto"/>
                    <w:right w:val="none" w:sz="0" w:space="0" w:color="auto"/>
                  </w:divBdr>
                  <w:divsChild>
                    <w:div w:id="288165083">
                      <w:marLeft w:val="0"/>
                      <w:marRight w:val="0"/>
                      <w:marTop w:val="0"/>
                      <w:marBottom w:val="0"/>
                      <w:divBdr>
                        <w:top w:val="none" w:sz="0" w:space="0" w:color="auto"/>
                        <w:left w:val="none" w:sz="0" w:space="0" w:color="auto"/>
                        <w:bottom w:val="none" w:sz="0" w:space="0" w:color="auto"/>
                        <w:right w:val="none" w:sz="0" w:space="0" w:color="auto"/>
                      </w:divBdr>
                    </w:div>
                  </w:divsChild>
                </w:div>
                <w:div w:id="1114982325">
                  <w:marLeft w:val="0"/>
                  <w:marRight w:val="0"/>
                  <w:marTop w:val="0"/>
                  <w:marBottom w:val="0"/>
                  <w:divBdr>
                    <w:top w:val="none" w:sz="0" w:space="0" w:color="auto"/>
                    <w:left w:val="none" w:sz="0" w:space="0" w:color="auto"/>
                    <w:bottom w:val="none" w:sz="0" w:space="0" w:color="auto"/>
                    <w:right w:val="none" w:sz="0" w:space="0" w:color="auto"/>
                  </w:divBdr>
                  <w:divsChild>
                    <w:div w:id="1451976653">
                      <w:marLeft w:val="0"/>
                      <w:marRight w:val="0"/>
                      <w:marTop w:val="0"/>
                      <w:marBottom w:val="0"/>
                      <w:divBdr>
                        <w:top w:val="none" w:sz="0" w:space="0" w:color="auto"/>
                        <w:left w:val="none" w:sz="0" w:space="0" w:color="auto"/>
                        <w:bottom w:val="none" w:sz="0" w:space="0" w:color="auto"/>
                        <w:right w:val="none" w:sz="0" w:space="0" w:color="auto"/>
                      </w:divBdr>
                    </w:div>
                  </w:divsChild>
                </w:div>
                <w:div w:id="815415483">
                  <w:marLeft w:val="0"/>
                  <w:marRight w:val="0"/>
                  <w:marTop w:val="0"/>
                  <w:marBottom w:val="0"/>
                  <w:divBdr>
                    <w:top w:val="none" w:sz="0" w:space="0" w:color="auto"/>
                    <w:left w:val="none" w:sz="0" w:space="0" w:color="auto"/>
                    <w:bottom w:val="none" w:sz="0" w:space="0" w:color="auto"/>
                    <w:right w:val="none" w:sz="0" w:space="0" w:color="auto"/>
                  </w:divBdr>
                  <w:divsChild>
                    <w:div w:id="186911222">
                      <w:marLeft w:val="0"/>
                      <w:marRight w:val="0"/>
                      <w:marTop w:val="0"/>
                      <w:marBottom w:val="0"/>
                      <w:divBdr>
                        <w:top w:val="none" w:sz="0" w:space="0" w:color="auto"/>
                        <w:left w:val="none" w:sz="0" w:space="0" w:color="auto"/>
                        <w:bottom w:val="none" w:sz="0" w:space="0" w:color="auto"/>
                        <w:right w:val="none" w:sz="0" w:space="0" w:color="auto"/>
                      </w:divBdr>
                    </w:div>
                  </w:divsChild>
                </w:div>
                <w:div w:id="326901971">
                  <w:marLeft w:val="0"/>
                  <w:marRight w:val="0"/>
                  <w:marTop w:val="0"/>
                  <w:marBottom w:val="0"/>
                  <w:divBdr>
                    <w:top w:val="none" w:sz="0" w:space="0" w:color="auto"/>
                    <w:left w:val="none" w:sz="0" w:space="0" w:color="auto"/>
                    <w:bottom w:val="none" w:sz="0" w:space="0" w:color="auto"/>
                    <w:right w:val="none" w:sz="0" w:space="0" w:color="auto"/>
                  </w:divBdr>
                  <w:divsChild>
                    <w:div w:id="1682275227">
                      <w:marLeft w:val="0"/>
                      <w:marRight w:val="0"/>
                      <w:marTop w:val="0"/>
                      <w:marBottom w:val="0"/>
                      <w:divBdr>
                        <w:top w:val="none" w:sz="0" w:space="0" w:color="auto"/>
                        <w:left w:val="none" w:sz="0" w:space="0" w:color="auto"/>
                        <w:bottom w:val="none" w:sz="0" w:space="0" w:color="auto"/>
                        <w:right w:val="none" w:sz="0" w:space="0" w:color="auto"/>
                      </w:divBdr>
                    </w:div>
                  </w:divsChild>
                </w:div>
                <w:div w:id="1828208503">
                  <w:marLeft w:val="0"/>
                  <w:marRight w:val="0"/>
                  <w:marTop w:val="0"/>
                  <w:marBottom w:val="0"/>
                  <w:divBdr>
                    <w:top w:val="none" w:sz="0" w:space="0" w:color="auto"/>
                    <w:left w:val="none" w:sz="0" w:space="0" w:color="auto"/>
                    <w:bottom w:val="none" w:sz="0" w:space="0" w:color="auto"/>
                    <w:right w:val="none" w:sz="0" w:space="0" w:color="auto"/>
                  </w:divBdr>
                  <w:divsChild>
                    <w:div w:id="1261454967">
                      <w:marLeft w:val="0"/>
                      <w:marRight w:val="0"/>
                      <w:marTop w:val="0"/>
                      <w:marBottom w:val="0"/>
                      <w:divBdr>
                        <w:top w:val="none" w:sz="0" w:space="0" w:color="auto"/>
                        <w:left w:val="none" w:sz="0" w:space="0" w:color="auto"/>
                        <w:bottom w:val="none" w:sz="0" w:space="0" w:color="auto"/>
                        <w:right w:val="none" w:sz="0" w:space="0" w:color="auto"/>
                      </w:divBdr>
                    </w:div>
                  </w:divsChild>
                </w:div>
                <w:div w:id="1193151060">
                  <w:marLeft w:val="0"/>
                  <w:marRight w:val="0"/>
                  <w:marTop w:val="0"/>
                  <w:marBottom w:val="0"/>
                  <w:divBdr>
                    <w:top w:val="none" w:sz="0" w:space="0" w:color="auto"/>
                    <w:left w:val="none" w:sz="0" w:space="0" w:color="auto"/>
                    <w:bottom w:val="none" w:sz="0" w:space="0" w:color="auto"/>
                    <w:right w:val="none" w:sz="0" w:space="0" w:color="auto"/>
                  </w:divBdr>
                  <w:divsChild>
                    <w:div w:id="1681421035">
                      <w:marLeft w:val="0"/>
                      <w:marRight w:val="0"/>
                      <w:marTop w:val="0"/>
                      <w:marBottom w:val="0"/>
                      <w:divBdr>
                        <w:top w:val="none" w:sz="0" w:space="0" w:color="auto"/>
                        <w:left w:val="none" w:sz="0" w:space="0" w:color="auto"/>
                        <w:bottom w:val="none" w:sz="0" w:space="0" w:color="auto"/>
                        <w:right w:val="none" w:sz="0" w:space="0" w:color="auto"/>
                      </w:divBdr>
                    </w:div>
                  </w:divsChild>
                </w:div>
                <w:div w:id="1232623229">
                  <w:marLeft w:val="0"/>
                  <w:marRight w:val="0"/>
                  <w:marTop w:val="0"/>
                  <w:marBottom w:val="0"/>
                  <w:divBdr>
                    <w:top w:val="none" w:sz="0" w:space="0" w:color="auto"/>
                    <w:left w:val="none" w:sz="0" w:space="0" w:color="auto"/>
                    <w:bottom w:val="none" w:sz="0" w:space="0" w:color="auto"/>
                    <w:right w:val="none" w:sz="0" w:space="0" w:color="auto"/>
                  </w:divBdr>
                  <w:divsChild>
                    <w:div w:id="1341660561">
                      <w:marLeft w:val="0"/>
                      <w:marRight w:val="0"/>
                      <w:marTop w:val="0"/>
                      <w:marBottom w:val="0"/>
                      <w:divBdr>
                        <w:top w:val="none" w:sz="0" w:space="0" w:color="auto"/>
                        <w:left w:val="none" w:sz="0" w:space="0" w:color="auto"/>
                        <w:bottom w:val="none" w:sz="0" w:space="0" w:color="auto"/>
                        <w:right w:val="none" w:sz="0" w:space="0" w:color="auto"/>
                      </w:divBdr>
                    </w:div>
                  </w:divsChild>
                </w:div>
                <w:div w:id="600183206">
                  <w:marLeft w:val="0"/>
                  <w:marRight w:val="0"/>
                  <w:marTop w:val="0"/>
                  <w:marBottom w:val="0"/>
                  <w:divBdr>
                    <w:top w:val="none" w:sz="0" w:space="0" w:color="auto"/>
                    <w:left w:val="none" w:sz="0" w:space="0" w:color="auto"/>
                    <w:bottom w:val="none" w:sz="0" w:space="0" w:color="auto"/>
                    <w:right w:val="none" w:sz="0" w:space="0" w:color="auto"/>
                  </w:divBdr>
                  <w:divsChild>
                    <w:div w:id="637304038">
                      <w:marLeft w:val="0"/>
                      <w:marRight w:val="0"/>
                      <w:marTop w:val="0"/>
                      <w:marBottom w:val="0"/>
                      <w:divBdr>
                        <w:top w:val="none" w:sz="0" w:space="0" w:color="auto"/>
                        <w:left w:val="none" w:sz="0" w:space="0" w:color="auto"/>
                        <w:bottom w:val="none" w:sz="0" w:space="0" w:color="auto"/>
                        <w:right w:val="none" w:sz="0" w:space="0" w:color="auto"/>
                      </w:divBdr>
                    </w:div>
                  </w:divsChild>
                </w:div>
                <w:div w:id="698699517">
                  <w:marLeft w:val="0"/>
                  <w:marRight w:val="0"/>
                  <w:marTop w:val="0"/>
                  <w:marBottom w:val="0"/>
                  <w:divBdr>
                    <w:top w:val="none" w:sz="0" w:space="0" w:color="auto"/>
                    <w:left w:val="none" w:sz="0" w:space="0" w:color="auto"/>
                    <w:bottom w:val="none" w:sz="0" w:space="0" w:color="auto"/>
                    <w:right w:val="none" w:sz="0" w:space="0" w:color="auto"/>
                  </w:divBdr>
                  <w:divsChild>
                    <w:div w:id="266349569">
                      <w:marLeft w:val="0"/>
                      <w:marRight w:val="0"/>
                      <w:marTop w:val="0"/>
                      <w:marBottom w:val="0"/>
                      <w:divBdr>
                        <w:top w:val="none" w:sz="0" w:space="0" w:color="auto"/>
                        <w:left w:val="none" w:sz="0" w:space="0" w:color="auto"/>
                        <w:bottom w:val="none" w:sz="0" w:space="0" w:color="auto"/>
                        <w:right w:val="none" w:sz="0" w:space="0" w:color="auto"/>
                      </w:divBdr>
                    </w:div>
                  </w:divsChild>
                </w:div>
                <w:div w:id="1735620866">
                  <w:marLeft w:val="0"/>
                  <w:marRight w:val="0"/>
                  <w:marTop w:val="0"/>
                  <w:marBottom w:val="0"/>
                  <w:divBdr>
                    <w:top w:val="none" w:sz="0" w:space="0" w:color="auto"/>
                    <w:left w:val="none" w:sz="0" w:space="0" w:color="auto"/>
                    <w:bottom w:val="none" w:sz="0" w:space="0" w:color="auto"/>
                    <w:right w:val="none" w:sz="0" w:space="0" w:color="auto"/>
                  </w:divBdr>
                  <w:divsChild>
                    <w:div w:id="1722632730">
                      <w:marLeft w:val="0"/>
                      <w:marRight w:val="0"/>
                      <w:marTop w:val="0"/>
                      <w:marBottom w:val="0"/>
                      <w:divBdr>
                        <w:top w:val="none" w:sz="0" w:space="0" w:color="auto"/>
                        <w:left w:val="none" w:sz="0" w:space="0" w:color="auto"/>
                        <w:bottom w:val="none" w:sz="0" w:space="0" w:color="auto"/>
                        <w:right w:val="none" w:sz="0" w:space="0" w:color="auto"/>
                      </w:divBdr>
                    </w:div>
                  </w:divsChild>
                </w:div>
                <w:div w:id="1280454766">
                  <w:marLeft w:val="0"/>
                  <w:marRight w:val="0"/>
                  <w:marTop w:val="0"/>
                  <w:marBottom w:val="0"/>
                  <w:divBdr>
                    <w:top w:val="none" w:sz="0" w:space="0" w:color="auto"/>
                    <w:left w:val="none" w:sz="0" w:space="0" w:color="auto"/>
                    <w:bottom w:val="none" w:sz="0" w:space="0" w:color="auto"/>
                    <w:right w:val="none" w:sz="0" w:space="0" w:color="auto"/>
                  </w:divBdr>
                  <w:divsChild>
                    <w:div w:id="1841698599">
                      <w:marLeft w:val="0"/>
                      <w:marRight w:val="0"/>
                      <w:marTop w:val="0"/>
                      <w:marBottom w:val="0"/>
                      <w:divBdr>
                        <w:top w:val="none" w:sz="0" w:space="0" w:color="auto"/>
                        <w:left w:val="none" w:sz="0" w:space="0" w:color="auto"/>
                        <w:bottom w:val="none" w:sz="0" w:space="0" w:color="auto"/>
                        <w:right w:val="none" w:sz="0" w:space="0" w:color="auto"/>
                      </w:divBdr>
                    </w:div>
                  </w:divsChild>
                </w:div>
                <w:div w:id="1221403365">
                  <w:marLeft w:val="0"/>
                  <w:marRight w:val="0"/>
                  <w:marTop w:val="0"/>
                  <w:marBottom w:val="0"/>
                  <w:divBdr>
                    <w:top w:val="none" w:sz="0" w:space="0" w:color="auto"/>
                    <w:left w:val="none" w:sz="0" w:space="0" w:color="auto"/>
                    <w:bottom w:val="none" w:sz="0" w:space="0" w:color="auto"/>
                    <w:right w:val="none" w:sz="0" w:space="0" w:color="auto"/>
                  </w:divBdr>
                  <w:divsChild>
                    <w:div w:id="314189702">
                      <w:marLeft w:val="0"/>
                      <w:marRight w:val="0"/>
                      <w:marTop w:val="0"/>
                      <w:marBottom w:val="0"/>
                      <w:divBdr>
                        <w:top w:val="none" w:sz="0" w:space="0" w:color="auto"/>
                        <w:left w:val="none" w:sz="0" w:space="0" w:color="auto"/>
                        <w:bottom w:val="none" w:sz="0" w:space="0" w:color="auto"/>
                        <w:right w:val="none" w:sz="0" w:space="0" w:color="auto"/>
                      </w:divBdr>
                    </w:div>
                  </w:divsChild>
                </w:div>
                <w:div w:id="1168711316">
                  <w:marLeft w:val="0"/>
                  <w:marRight w:val="0"/>
                  <w:marTop w:val="0"/>
                  <w:marBottom w:val="0"/>
                  <w:divBdr>
                    <w:top w:val="none" w:sz="0" w:space="0" w:color="auto"/>
                    <w:left w:val="none" w:sz="0" w:space="0" w:color="auto"/>
                    <w:bottom w:val="none" w:sz="0" w:space="0" w:color="auto"/>
                    <w:right w:val="none" w:sz="0" w:space="0" w:color="auto"/>
                  </w:divBdr>
                  <w:divsChild>
                    <w:div w:id="959650719">
                      <w:marLeft w:val="0"/>
                      <w:marRight w:val="0"/>
                      <w:marTop w:val="0"/>
                      <w:marBottom w:val="0"/>
                      <w:divBdr>
                        <w:top w:val="none" w:sz="0" w:space="0" w:color="auto"/>
                        <w:left w:val="none" w:sz="0" w:space="0" w:color="auto"/>
                        <w:bottom w:val="none" w:sz="0" w:space="0" w:color="auto"/>
                        <w:right w:val="none" w:sz="0" w:space="0" w:color="auto"/>
                      </w:divBdr>
                    </w:div>
                  </w:divsChild>
                </w:div>
                <w:div w:id="564029306">
                  <w:marLeft w:val="0"/>
                  <w:marRight w:val="0"/>
                  <w:marTop w:val="0"/>
                  <w:marBottom w:val="0"/>
                  <w:divBdr>
                    <w:top w:val="none" w:sz="0" w:space="0" w:color="auto"/>
                    <w:left w:val="none" w:sz="0" w:space="0" w:color="auto"/>
                    <w:bottom w:val="none" w:sz="0" w:space="0" w:color="auto"/>
                    <w:right w:val="none" w:sz="0" w:space="0" w:color="auto"/>
                  </w:divBdr>
                  <w:divsChild>
                    <w:div w:id="584415034">
                      <w:marLeft w:val="0"/>
                      <w:marRight w:val="0"/>
                      <w:marTop w:val="0"/>
                      <w:marBottom w:val="0"/>
                      <w:divBdr>
                        <w:top w:val="none" w:sz="0" w:space="0" w:color="auto"/>
                        <w:left w:val="none" w:sz="0" w:space="0" w:color="auto"/>
                        <w:bottom w:val="none" w:sz="0" w:space="0" w:color="auto"/>
                        <w:right w:val="none" w:sz="0" w:space="0" w:color="auto"/>
                      </w:divBdr>
                    </w:div>
                  </w:divsChild>
                </w:div>
                <w:div w:id="1285425544">
                  <w:marLeft w:val="0"/>
                  <w:marRight w:val="0"/>
                  <w:marTop w:val="0"/>
                  <w:marBottom w:val="0"/>
                  <w:divBdr>
                    <w:top w:val="none" w:sz="0" w:space="0" w:color="auto"/>
                    <w:left w:val="none" w:sz="0" w:space="0" w:color="auto"/>
                    <w:bottom w:val="none" w:sz="0" w:space="0" w:color="auto"/>
                    <w:right w:val="none" w:sz="0" w:space="0" w:color="auto"/>
                  </w:divBdr>
                  <w:divsChild>
                    <w:div w:id="1415203257">
                      <w:marLeft w:val="0"/>
                      <w:marRight w:val="0"/>
                      <w:marTop w:val="0"/>
                      <w:marBottom w:val="0"/>
                      <w:divBdr>
                        <w:top w:val="none" w:sz="0" w:space="0" w:color="auto"/>
                        <w:left w:val="none" w:sz="0" w:space="0" w:color="auto"/>
                        <w:bottom w:val="none" w:sz="0" w:space="0" w:color="auto"/>
                        <w:right w:val="none" w:sz="0" w:space="0" w:color="auto"/>
                      </w:divBdr>
                    </w:div>
                  </w:divsChild>
                </w:div>
                <w:div w:id="1298026864">
                  <w:marLeft w:val="0"/>
                  <w:marRight w:val="0"/>
                  <w:marTop w:val="0"/>
                  <w:marBottom w:val="0"/>
                  <w:divBdr>
                    <w:top w:val="none" w:sz="0" w:space="0" w:color="auto"/>
                    <w:left w:val="none" w:sz="0" w:space="0" w:color="auto"/>
                    <w:bottom w:val="none" w:sz="0" w:space="0" w:color="auto"/>
                    <w:right w:val="none" w:sz="0" w:space="0" w:color="auto"/>
                  </w:divBdr>
                  <w:divsChild>
                    <w:div w:id="866719344">
                      <w:marLeft w:val="0"/>
                      <w:marRight w:val="0"/>
                      <w:marTop w:val="0"/>
                      <w:marBottom w:val="0"/>
                      <w:divBdr>
                        <w:top w:val="none" w:sz="0" w:space="0" w:color="auto"/>
                        <w:left w:val="none" w:sz="0" w:space="0" w:color="auto"/>
                        <w:bottom w:val="none" w:sz="0" w:space="0" w:color="auto"/>
                        <w:right w:val="none" w:sz="0" w:space="0" w:color="auto"/>
                      </w:divBdr>
                    </w:div>
                  </w:divsChild>
                </w:div>
                <w:div w:id="1744139553">
                  <w:marLeft w:val="0"/>
                  <w:marRight w:val="0"/>
                  <w:marTop w:val="0"/>
                  <w:marBottom w:val="0"/>
                  <w:divBdr>
                    <w:top w:val="none" w:sz="0" w:space="0" w:color="auto"/>
                    <w:left w:val="none" w:sz="0" w:space="0" w:color="auto"/>
                    <w:bottom w:val="none" w:sz="0" w:space="0" w:color="auto"/>
                    <w:right w:val="none" w:sz="0" w:space="0" w:color="auto"/>
                  </w:divBdr>
                  <w:divsChild>
                    <w:div w:id="1218130270">
                      <w:marLeft w:val="0"/>
                      <w:marRight w:val="0"/>
                      <w:marTop w:val="0"/>
                      <w:marBottom w:val="0"/>
                      <w:divBdr>
                        <w:top w:val="none" w:sz="0" w:space="0" w:color="auto"/>
                        <w:left w:val="none" w:sz="0" w:space="0" w:color="auto"/>
                        <w:bottom w:val="none" w:sz="0" w:space="0" w:color="auto"/>
                        <w:right w:val="none" w:sz="0" w:space="0" w:color="auto"/>
                      </w:divBdr>
                    </w:div>
                  </w:divsChild>
                </w:div>
                <w:div w:id="1167598502">
                  <w:marLeft w:val="0"/>
                  <w:marRight w:val="0"/>
                  <w:marTop w:val="0"/>
                  <w:marBottom w:val="0"/>
                  <w:divBdr>
                    <w:top w:val="none" w:sz="0" w:space="0" w:color="auto"/>
                    <w:left w:val="none" w:sz="0" w:space="0" w:color="auto"/>
                    <w:bottom w:val="none" w:sz="0" w:space="0" w:color="auto"/>
                    <w:right w:val="none" w:sz="0" w:space="0" w:color="auto"/>
                  </w:divBdr>
                  <w:divsChild>
                    <w:div w:id="417217699">
                      <w:marLeft w:val="0"/>
                      <w:marRight w:val="0"/>
                      <w:marTop w:val="0"/>
                      <w:marBottom w:val="0"/>
                      <w:divBdr>
                        <w:top w:val="none" w:sz="0" w:space="0" w:color="auto"/>
                        <w:left w:val="none" w:sz="0" w:space="0" w:color="auto"/>
                        <w:bottom w:val="none" w:sz="0" w:space="0" w:color="auto"/>
                        <w:right w:val="none" w:sz="0" w:space="0" w:color="auto"/>
                      </w:divBdr>
                    </w:div>
                  </w:divsChild>
                </w:div>
                <w:div w:id="2056270220">
                  <w:marLeft w:val="0"/>
                  <w:marRight w:val="0"/>
                  <w:marTop w:val="0"/>
                  <w:marBottom w:val="0"/>
                  <w:divBdr>
                    <w:top w:val="none" w:sz="0" w:space="0" w:color="auto"/>
                    <w:left w:val="none" w:sz="0" w:space="0" w:color="auto"/>
                    <w:bottom w:val="none" w:sz="0" w:space="0" w:color="auto"/>
                    <w:right w:val="none" w:sz="0" w:space="0" w:color="auto"/>
                  </w:divBdr>
                  <w:divsChild>
                    <w:div w:id="780226432">
                      <w:marLeft w:val="0"/>
                      <w:marRight w:val="0"/>
                      <w:marTop w:val="0"/>
                      <w:marBottom w:val="0"/>
                      <w:divBdr>
                        <w:top w:val="none" w:sz="0" w:space="0" w:color="auto"/>
                        <w:left w:val="none" w:sz="0" w:space="0" w:color="auto"/>
                        <w:bottom w:val="none" w:sz="0" w:space="0" w:color="auto"/>
                        <w:right w:val="none" w:sz="0" w:space="0" w:color="auto"/>
                      </w:divBdr>
                    </w:div>
                  </w:divsChild>
                </w:div>
                <w:div w:id="2093426128">
                  <w:marLeft w:val="0"/>
                  <w:marRight w:val="0"/>
                  <w:marTop w:val="0"/>
                  <w:marBottom w:val="0"/>
                  <w:divBdr>
                    <w:top w:val="none" w:sz="0" w:space="0" w:color="auto"/>
                    <w:left w:val="none" w:sz="0" w:space="0" w:color="auto"/>
                    <w:bottom w:val="none" w:sz="0" w:space="0" w:color="auto"/>
                    <w:right w:val="none" w:sz="0" w:space="0" w:color="auto"/>
                  </w:divBdr>
                  <w:divsChild>
                    <w:div w:id="1724793547">
                      <w:marLeft w:val="0"/>
                      <w:marRight w:val="0"/>
                      <w:marTop w:val="0"/>
                      <w:marBottom w:val="0"/>
                      <w:divBdr>
                        <w:top w:val="none" w:sz="0" w:space="0" w:color="auto"/>
                        <w:left w:val="none" w:sz="0" w:space="0" w:color="auto"/>
                        <w:bottom w:val="none" w:sz="0" w:space="0" w:color="auto"/>
                        <w:right w:val="none" w:sz="0" w:space="0" w:color="auto"/>
                      </w:divBdr>
                    </w:div>
                  </w:divsChild>
                </w:div>
                <w:div w:id="268977310">
                  <w:marLeft w:val="0"/>
                  <w:marRight w:val="0"/>
                  <w:marTop w:val="0"/>
                  <w:marBottom w:val="0"/>
                  <w:divBdr>
                    <w:top w:val="none" w:sz="0" w:space="0" w:color="auto"/>
                    <w:left w:val="none" w:sz="0" w:space="0" w:color="auto"/>
                    <w:bottom w:val="none" w:sz="0" w:space="0" w:color="auto"/>
                    <w:right w:val="none" w:sz="0" w:space="0" w:color="auto"/>
                  </w:divBdr>
                  <w:divsChild>
                    <w:div w:id="1036851329">
                      <w:marLeft w:val="0"/>
                      <w:marRight w:val="0"/>
                      <w:marTop w:val="0"/>
                      <w:marBottom w:val="0"/>
                      <w:divBdr>
                        <w:top w:val="none" w:sz="0" w:space="0" w:color="auto"/>
                        <w:left w:val="none" w:sz="0" w:space="0" w:color="auto"/>
                        <w:bottom w:val="none" w:sz="0" w:space="0" w:color="auto"/>
                        <w:right w:val="none" w:sz="0" w:space="0" w:color="auto"/>
                      </w:divBdr>
                    </w:div>
                  </w:divsChild>
                </w:div>
                <w:div w:id="1598827090">
                  <w:marLeft w:val="0"/>
                  <w:marRight w:val="0"/>
                  <w:marTop w:val="0"/>
                  <w:marBottom w:val="0"/>
                  <w:divBdr>
                    <w:top w:val="none" w:sz="0" w:space="0" w:color="auto"/>
                    <w:left w:val="none" w:sz="0" w:space="0" w:color="auto"/>
                    <w:bottom w:val="none" w:sz="0" w:space="0" w:color="auto"/>
                    <w:right w:val="none" w:sz="0" w:space="0" w:color="auto"/>
                  </w:divBdr>
                  <w:divsChild>
                    <w:div w:id="171377263">
                      <w:marLeft w:val="0"/>
                      <w:marRight w:val="0"/>
                      <w:marTop w:val="0"/>
                      <w:marBottom w:val="0"/>
                      <w:divBdr>
                        <w:top w:val="none" w:sz="0" w:space="0" w:color="auto"/>
                        <w:left w:val="none" w:sz="0" w:space="0" w:color="auto"/>
                        <w:bottom w:val="none" w:sz="0" w:space="0" w:color="auto"/>
                        <w:right w:val="none" w:sz="0" w:space="0" w:color="auto"/>
                      </w:divBdr>
                    </w:div>
                  </w:divsChild>
                </w:div>
                <w:div w:id="2093231796">
                  <w:marLeft w:val="0"/>
                  <w:marRight w:val="0"/>
                  <w:marTop w:val="0"/>
                  <w:marBottom w:val="0"/>
                  <w:divBdr>
                    <w:top w:val="none" w:sz="0" w:space="0" w:color="auto"/>
                    <w:left w:val="none" w:sz="0" w:space="0" w:color="auto"/>
                    <w:bottom w:val="none" w:sz="0" w:space="0" w:color="auto"/>
                    <w:right w:val="none" w:sz="0" w:space="0" w:color="auto"/>
                  </w:divBdr>
                  <w:divsChild>
                    <w:div w:id="695810055">
                      <w:marLeft w:val="0"/>
                      <w:marRight w:val="0"/>
                      <w:marTop w:val="0"/>
                      <w:marBottom w:val="0"/>
                      <w:divBdr>
                        <w:top w:val="none" w:sz="0" w:space="0" w:color="auto"/>
                        <w:left w:val="none" w:sz="0" w:space="0" w:color="auto"/>
                        <w:bottom w:val="none" w:sz="0" w:space="0" w:color="auto"/>
                        <w:right w:val="none" w:sz="0" w:space="0" w:color="auto"/>
                      </w:divBdr>
                    </w:div>
                  </w:divsChild>
                </w:div>
                <w:div w:id="1228960257">
                  <w:marLeft w:val="0"/>
                  <w:marRight w:val="0"/>
                  <w:marTop w:val="0"/>
                  <w:marBottom w:val="0"/>
                  <w:divBdr>
                    <w:top w:val="none" w:sz="0" w:space="0" w:color="auto"/>
                    <w:left w:val="none" w:sz="0" w:space="0" w:color="auto"/>
                    <w:bottom w:val="none" w:sz="0" w:space="0" w:color="auto"/>
                    <w:right w:val="none" w:sz="0" w:space="0" w:color="auto"/>
                  </w:divBdr>
                  <w:divsChild>
                    <w:div w:id="1112895611">
                      <w:marLeft w:val="0"/>
                      <w:marRight w:val="0"/>
                      <w:marTop w:val="0"/>
                      <w:marBottom w:val="0"/>
                      <w:divBdr>
                        <w:top w:val="none" w:sz="0" w:space="0" w:color="auto"/>
                        <w:left w:val="none" w:sz="0" w:space="0" w:color="auto"/>
                        <w:bottom w:val="none" w:sz="0" w:space="0" w:color="auto"/>
                        <w:right w:val="none" w:sz="0" w:space="0" w:color="auto"/>
                      </w:divBdr>
                    </w:div>
                  </w:divsChild>
                </w:div>
                <w:div w:id="1027098301">
                  <w:marLeft w:val="0"/>
                  <w:marRight w:val="0"/>
                  <w:marTop w:val="0"/>
                  <w:marBottom w:val="0"/>
                  <w:divBdr>
                    <w:top w:val="none" w:sz="0" w:space="0" w:color="auto"/>
                    <w:left w:val="none" w:sz="0" w:space="0" w:color="auto"/>
                    <w:bottom w:val="none" w:sz="0" w:space="0" w:color="auto"/>
                    <w:right w:val="none" w:sz="0" w:space="0" w:color="auto"/>
                  </w:divBdr>
                  <w:divsChild>
                    <w:div w:id="772550677">
                      <w:marLeft w:val="0"/>
                      <w:marRight w:val="0"/>
                      <w:marTop w:val="0"/>
                      <w:marBottom w:val="0"/>
                      <w:divBdr>
                        <w:top w:val="none" w:sz="0" w:space="0" w:color="auto"/>
                        <w:left w:val="none" w:sz="0" w:space="0" w:color="auto"/>
                        <w:bottom w:val="none" w:sz="0" w:space="0" w:color="auto"/>
                        <w:right w:val="none" w:sz="0" w:space="0" w:color="auto"/>
                      </w:divBdr>
                    </w:div>
                  </w:divsChild>
                </w:div>
                <w:div w:id="1999457159">
                  <w:marLeft w:val="0"/>
                  <w:marRight w:val="0"/>
                  <w:marTop w:val="0"/>
                  <w:marBottom w:val="0"/>
                  <w:divBdr>
                    <w:top w:val="none" w:sz="0" w:space="0" w:color="auto"/>
                    <w:left w:val="none" w:sz="0" w:space="0" w:color="auto"/>
                    <w:bottom w:val="none" w:sz="0" w:space="0" w:color="auto"/>
                    <w:right w:val="none" w:sz="0" w:space="0" w:color="auto"/>
                  </w:divBdr>
                  <w:divsChild>
                    <w:div w:id="1813862789">
                      <w:marLeft w:val="0"/>
                      <w:marRight w:val="0"/>
                      <w:marTop w:val="0"/>
                      <w:marBottom w:val="0"/>
                      <w:divBdr>
                        <w:top w:val="none" w:sz="0" w:space="0" w:color="auto"/>
                        <w:left w:val="none" w:sz="0" w:space="0" w:color="auto"/>
                        <w:bottom w:val="none" w:sz="0" w:space="0" w:color="auto"/>
                        <w:right w:val="none" w:sz="0" w:space="0" w:color="auto"/>
                      </w:divBdr>
                    </w:div>
                  </w:divsChild>
                </w:div>
                <w:div w:id="1770589280">
                  <w:marLeft w:val="0"/>
                  <w:marRight w:val="0"/>
                  <w:marTop w:val="0"/>
                  <w:marBottom w:val="0"/>
                  <w:divBdr>
                    <w:top w:val="none" w:sz="0" w:space="0" w:color="auto"/>
                    <w:left w:val="none" w:sz="0" w:space="0" w:color="auto"/>
                    <w:bottom w:val="none" w:sz="0" w:space="0" w:color="auto"/>
                    <w:right w:val="none" w:sz="0" w:space="0" w:color="auto"/>
                  </w:divBdr>
                  <w:divsChild>
                    <w:div w:id="570311334">
                      <w:marLeft w:val="0"/>
                      <w:marRight w:val="0"/>
                      <w:marTop w:val="0"/>
                      <w:marBottom w:val="0"/>
                      <w:divBdr>
                        <w:top w:val="none" w:sz="0" w:space="0" w:color="auto"/>
                        <w:left w:val="none" w:sz="0" w:space="0" w:color="auto"/>
                        <w:bottom w:val="none" w:sz="0" w:space="0" w:color="auto"/>
                        <w:right w:val="none" w:sz="0" w:space="0" w:color="auto"/>
                      </w:divBdr>
                    </w:div>
                  </w:divsChild>
                </w:div>
                <w:div w:id="1450665492">
                  <w:marLeft w:val="0"/>
                  <w:marRight w:val="0"/>
                  <w:marTop w:val="0"/>
                  <w:marBottom w:val="0"/>
                  <w:divBdr>
                    <w:top w:val="none" w:sz="0" w:space="0" w:color="auto"/>
                    <w:left w:val="none" w:sz="0" w:space="0" w:color="auto"/>
                    <w:bottom w:val="none" w:sz="0" w:space="0" w:color="auto"/>
                    <w:right w:val="none" w:sz="0" w:space="0" w:color="auto"/>
                  </w:divBdr>
                  <w:divsChild>
                    <w:div w:id="1277250357">
                      <w:marLeft w:val="0"/>
                      <w:marRight w:val="0"/>
                      <w:marTop w:val="0"/>
                      <w:marBottom w:val="0"/>
                      <w:divBdr>
                        <w:top w:val="none" w:sz="0" w:space="0" w:color="auto"/>
                        <w:left w:val="none" w:sz="0" w:space="0" w:color="auto"/>
                        <w:bottom w:val="none" w:sz="0" w:space="0" w:color="auto"/>
                        <w:right w:val="none" w:sz="0" w:space="0" w:color="auto"/>
                      </w:divBdr>
                    </w:div>
                  </w:divsChild>
                </w:div>
                <w:div w:id="1194346599">
                  <w:marLeft w:val="0"/>
                  <w:marRight w:val="0"/>
                  <w:marTop w:val="0"/>
                  <w:marBottom w:val="0"/>
                  <w:divBdr>
                    <w:top w:val="none" w:sz="0" w:space="0" w:color="auto"/>
                    <w:left w:val="none" w:sz="0" w:space="0" w:color="auto"/>
                    <w:bottom w:val="none" w:sz="0" w:space="0" w:color="auto"/>
                    <w:right w:val="none" w:sz="0" w:space="0" w:color="auto"/>
                  </w:divBdr>
                  <w:divsChild>
                    <w:div w:id="1116482151">
                      <w:marLeft w:val="0"/>
                      <w:marRight w:val="0"/>
                      <w:marTop w:val="0"/>
                      <w:marBottom w:val="0"/>
                      <w:divBdr>
                        <w:top w:val="none" w:sz="0" w:space="0" w:color="auto"/>
                        <w:left w:val="none" w:sz="0" w:space="0" w:color="auto"/>
                        <w:bottom w:val="none" w:sz="0" w:space="0" w:color="auto"/>
                        <w:right w:val="none" w:sz="0" w:space="0" w:color="auto"/>
                      </w:divBdr>
                    </w:div>
                  </w:divsChild>
                </w:div>
                <w:div w:id="1255821138">
                  <w:marLeft w:val="0"/>
                  <w:marRight w:val="0"/>
                  <w:marTop w:val="0"/>
                  <w:marBottom w:val="0"/>
                  <w:divBdr>
                    <w:top w:val="none" w:sz="0" w:space="0" w:color="auto"/>
                    <w:left w:val="none" w:sz="0" w:space="0" w:color="auto"/>
                    <w:bottom w:val="none" w:sz="0" w:space="0" w:color="auto"/>
                    <w:right w:val="none" w:sz="0" w:space="0" w:color="auto"/>
                  </w:divBdr>
                  <w:divsChild>
                    <w:div w:id="980427874">
                      <w:marLeft w:val="0"/>
                      <w:marRight w:val="0"/>
                      <w:marTop w:val="0"/>
                      <w:marBottom w:val="0"/>
                      <w:divBdr>
                        <w:top w:val="none" w:sz="0" w:space="0" w:color="auto"/>
                        <w:left w:val="none" w:sz="0" w:space="0" w:color="auto"/>
                        <w:bottom w:val="none" w:sz="0" w:space="0" w:color="auto"/>
                        <w:right w:val="none" w:sz="0" w:space="0" w:color="auto"/>
                      </w:divBdr>
                    </w:div>
                  </w:divsChild>
                </w:div>
                <w:div w:id="299388727">
                  <w:marLeft w:val="0"/>
                  <w:marRight w:val="0"/>
                  <w:marTop w:val="0"/>
                  <w:marBottom w:val="0"/>
                  <w:divBdr>
                    <w:top w:val="none" w:sz="0" w:space="0" w:color="auto"/>
                    <w:left w:val="none" w:sz="0" w:space="0" w:color="auto"/>
                    <w:bottom w:val="none" w:sz="0" w:space="0" w:color="auto"/>
                    <w:right w:val="none" w:sz="0" w:space="0" w:color="auto"/>
                  </w:divBdr>
                  <w:divsChild>
                    <w:div w:id="190919500">
                      <w:marLeft w:val="0"/>
                      <w:marRight w:val="0"/>
                      <w:marTop w:val="0"/>
                      <w:marBottom w:val="0"/>
                      <w:divBdr>
                        <w:top w:val="none" w:sz="0" w:space="0" w:color="auto"/>
                        <w:left w:val="none" w:sz="0" w:space="0" w:color="auto"/>
                        <w:bottom w:val="none" w:sz="0" w:space="0" w:color="auto"/>
                        <w:right w:val="none" w:sz="0" w:space="0" w:color="auto"/>
                      </w:divBdr>
                    </w:div>
                  </w:divsChild>
                </w:div>
                <w:div w:id="759377971">
                  <w:marLeft w:val="0"/>
                  <w:marRight w:val="0"/>
                  <w:marTop w:val="0"/>
                  <w:marBottom w:val="0"/>
                  <w:divBdr>
                    <w:top w:val="none" w:sz="0" w:space="0" w:color="auto"/>
                    <w:left w:val="none" w:sz="0" w:space="0" w:color="auto"/>
                    <w:bottom w:val="none" w:sz="0" w:space="0" w:color="auto"/>
                    <w:right w:val="none" w:sz="0" w:space="0" w:color="auto"/>
                  </w:divBdr>
                  <w:divsChild>
                    <w:div w:id="2125689875">
                      <w:marLeft w:val="0"/>
                      <w:marRight w:val="0"/>
                      <w:marTop w:val="0"/>
                      <w:marBottom w:val="0"/>
                      <w:divBdr>
                        <w:top w:val="none" w:sz="0" w:space="0" w:color="auto"/>
                        <w:left w:val="none" w:sz="0" w:space="0" w:color="auto"/>
                        <w:bottom w:val="none" w:sz="0" w:space="0" w:color="auto"/>
                        <w:right w:val="none" w:sz="0" w:space="0" w:color="auto"/>
                      </w:divBdr>
                    </w:div>
                  </w:divsChild>
                </w:div>
                <w:div w:id="1870947144">
                  <w:marLeft w:val="0"/>
                  <w:marRight w:val="0"/>
                  <w:marTop w:val="0"/>
                  <w:marBottom w:val="0"/>
                  <w:divBdr>
                    <w:top w:val="none" w:sz="0" w:space="0" w:color="auto"/>
                    <w:left w:val="none" w:sz="0" w:space="0" w:color="auto"/>
                    <w:bottom w:val="none" w:sz="0" w:space="0" w:color="auto"/>
                    <w:right w:val="none" w:sz="0" w:space="0" w:color="auto"/>
                  </w:divBdr>
                  <w:divsChild>
                    <w:div w:id="520054127">
                      <w:marLeft w:val="0"/>
                      <w:marRight w:val="0"/>
                      <w:marTop w:val="0"/>
                      <w:marBottom w:val="0"/>
                      <w:divBdr>
                        <w:top w:val="none" w:sz="0" w:space="0" w:color="auto"/>
                        <w:left w:val="none" w:sz="0" w:space="0" w:color="auto"/>
                        <w:bottom w:val="none" w:sz="0" w:space="0" w:color="auto"/>
                        <w:right w:val="none" w:sz="0" w:space="0" w:color="auto"/>
                      </w:divBdr>
                    </w:div>
                  </w:divsChild>
                </w:div>
                <w:div w:id="1970671445">
                  <w:marLeft w:val="0"/>
                  <w:marRight w:val="0"/>
                  <w:marTop w:val="0"/>
                  <w:marBottom w:val="0"/>
                  <w:divBdr>
                    <w:top w:val="none" w:sz="0" w:space="0" w:color="auto"/>
                    <w:left w:val="none" w:sz="0" w:space="0" w:color="auto"/>
                    <w:bottom w:val="none" w:sz="0" w:space="0" w:color="auto"/>
                    <w:right w:val="none" w:sz="0" w:space="0" w:color="auto"/>
                  </w:divBdr>
                  <w:divsChild>
                    <w:div w:id="1521313482">
                      <w:marLeft w:val="0"/>
                      <w:marRight w:val="0"/>
                      <w:marTop w:val="0"/>
                      <w:marBottom w:val="0"/>
                      <w:divBdr>
                        <w:top w:val="none" w:sz="0" w:space="0" w:color="auto"/>
                        <w:left w:val="none" w:sz="0" w:space="0" w:color="auto"/>
                        <w:bottom w:val="none" w:sz="0" w:space="0" w:color="auto"/>
                        <w:right w:val="none" w:sz="0" w:space="0" w:color="auto"/>
                      </w:divBdr>
                    </w:div>
                  </w:divsChild>
                </w:div>
                <w:div w:id="1270619920">
                  <w:marLeft w:val="0"/>
                  <w:marRight w:val="0"/>
                  <w:marTop w:val="0"/>
                  <w:marBottom w:val="0"/>
                  <w:divBdr>
                    <w:top w:val="none" w:sz="0" w:space="0" w:color="auto"/>
                    <w:left w:val="none" w:sz="0" w:space="0" w:color="auto"/>
                    <w:bottom w:val="none" w:sz="0" w:space="0" w:color="auto"/>
                    <w:right w:val="none" w:sz="0" w:space="0" w:color="auto"/>
                  </w:divBdr>
                  <w:divsChild>
                    <w:div w:id="754672719">
                      <w:marLeft w:val="0"/>
                      <w:marRight w:val="0"/>
                      <w:marTop w:val="0"/>
                      <w:marBottom w:val="0"/>
                      <w:divBdr>
                        <w:top w:val="none" w:sz="0" w:space="0" w:color="auto"/>
                        <w:left w:val="none" w:sz="0" w:space="0" w:color="auto"/>
                        <w:bottom w:val="none" w:sz="0" w:space="0" w:color="auto"/>
                        <w:right w:val="none" w:sz="0" w:space="0" w:color="auto"/>
                      </w:divBdr>
                    </w:div>
                  </w:divsChild>
                </w:div>
                <w:div w:id="532352925">
                  <w:marLeft w:val="0"/>
                  <w:marRight w:val="0"/>
                  <w:marTop w:val="0"/>
                  <w:marBottom w:val="0"/>
                  <w:divBdr>
                    <w:top w:val="none" w:sz="0" w:space="0" w:color="auto"/>
                    <w:left w:val="none" w:sz="0" w:space="0" w:color="auto"/>
                    <w:bottom w:val="none" w:sz="0" w:space="0" w:color="auto"/>
                    <w:right w:val="none" w:sz="0" w:space="0" w:color="auto"/>
                  </w:divBdr>
                  <w:divsChild>
                    <w:div w:id="833570158">
                      <w:marLeft w:val="0"/>
                      <w:marRight w:val="0"/>
                      <w:marTop w:val="0"/>
                      <w:marBottom w:val="0"/>
                      <w:divBdr>
                        <w:top w:val="none" w:sz="0" w:space="0" w:color="auto"/>
                        <w:left w:val="none" w:sz="0" w:space="0" w:color="auto"/>
                        <w:bottom w:val="none" w:sz="0" w:space="0" w:color="auto"/>
                        <w:right w:val="none" w:sz="0" w:space="0" w:color="auto"/>
                      </w:divBdr>
                    </w:div>
                  </w:divsChild>
                </w:div>
                <w:div w:id="625502300">
                  <w:marLeft w:val="0"/>
                  <w:marRight w:val="0"/>
                  <w:marTop w:val="0"/>
                  <w:marBottom w:val="0"/>
                  <w:divBdr>
                    <w:top w:val="none" w:sz="0" w:space="0" w:color="auto"/>
                    <w:left w:val="none" w:sz="0" w:space="0" w:color="auto"/>
                    <w:bottom w:val="none" w:sz="0" w:space="0" w:color="auto"/>
                    <w:right w:val="none" w:sz="0" w:space="0" w:color="auto"/>
                  </w:divBdr>
                  <w:divsChild>
                    <w:div w:id="38476199">
                      <w:marLeft w:val="0"/>
                      <w:marRight w:val="0"/>
                      <w:marTop w:val="0"/>
                      <w:marBottom w:val="0"/>
                      <w:divBdr>
                        <w:top w:val="none" w:sz="0" w:space="0" w:color="auto"/>
                        <w:left w:val="none" w:sz="0" w:space="0" w:color="auto"/>
                        <w:bottom w:val="none" w:sz="0" w:space="0" w:color="auto"/>
                        <w:right w:val="none" w:sz="0" w:space="0" w:color="auto"/>
                      </w:divBdr>
                    </w:div>
                  </w:divsChild>
                </w:div>
                <w:div w:id="1601838940">
                  <w:marLeft w:val="0"/>
                  <w:marRight w:val="0"/>
                  <w:marTop w:val="0"/>
                  <w:marBottom w:val="0"/>
                  <w:divBdr>
                    <w:top w:val="none" w:sz="0" w:space="0" w:color="auto"/>
                    <w:left w:val="none" w:sz="0" w:space="0" w:color="auto"/>
                    <w:bottom w:val="none" w:sz="0" w:space="0" w:color="auto"/>
                    <w:right w:val="none" w:sz="0" w:space="0" w:color="auto"/>
                  </w:divBdr>
                  <w:divsChild>
                    <w:div w:id="732697023">
                      <w:marLeft w:val="0"/>
                      <w:marRight w:val="0"/>
                      <w:marTop w:val="0"/>
                      <w:marBottom w:val="0"/>
                      <w:divBdr>
                        <w:top w:val="none" w:sz="0" w:space="0" w:color="auto"/>
                        <w:left w:val="none" w:sz="0" w:space="0" w:color="auto"/>
                        <w:bottom w:val="none" w:sz="0" w:space="0" w:color="auto"/>
                        <w:right w:val="none" w:sz="0" w:space="0" w:color="auto"/>
                      </w:divBdr>
                    </w:div>
                  </w:divsChild>
                </w:div>
                <w:div w:id="1933322315">
                  <w:marLeft w:val="0"/>
                  <w:marRight w:val="0"/>
                  <w:marTop w:val="0"/>
                  <w:marBottom w:val="0"/>
                  <w:divBdr>
                    <w:top w:val="none" w:sz="0" w:space="0" w:color="auto"/>
                    <w:left w:val="none" w:sz="0" w:space="0" w:color="auto"/>
                    <w:bottom w:val="none" w:sz="0" w:space="0" w:color="auto"/>
                    <w:right w:val="none" w:sz="0" w:space="0" w:color="auto"/>
                  </w:divBdr>
                  <w:divsChild>
                    <w:div w:id="341979693">
                      <w:marLeft w:val="0"/>
                      <w:marRight w:val="0"/>
                      <w:marTop w:val="0"/>
                      <w:marBottom w:val="0"/>
                      <w:divBdr>
                        <w:top w:val="none" w:sz="0" w:space="0" w:color="auto"/>
                        <w:left w:val="none" w:sz="0" w:space="0" w:color="auto"/>
                        <w:bottom w:val="none" w:sz="0" w:space="0" w:color="auto"/>
                        <w:right w:val="none" w:sz="0" w:space="0" w:color="auto"/>
                      </w:divBdr>
                    </w:div>
                  </w:divsChild>
                </w:div>
                <w:div w:id="769159631">
                  <w:marLeft w:val="0"/>
                  <w:marRight w:val="0"/>
                  <w:marTop w:val="0"/>
                  <w:marBottom w:val="0"/>
                  <w:divBdr>
                    <w:top w:val="none" w:sz="0" w:space="0" w:color="auto"/>
                    <w:left w:val="none" w:sz="0" w:space="0" w:color="auto"/>
                    <w:bottom w:val="none" w:sz="0" w:space="0" w:color="auto"/>
                    <w:right w:val="none" w:sz="0" w:space="0" w:color="auto"/>
                  </w:divBdr>
                  <w:divsChild>
                    <w:div w:id="1549337354">
                      <w:marLeft w:val="0"/>
                      <w:marRight w:val="0"/>
                      <w:marTop w:val="0"/>
                      <w:marBottom w:val="0"/>
                      <w:divBdr>
                        <w:top w:val="none" w:sz="0" w:space="0" w:color="auto"/>
                        <w:left w:val="none" w:sz="0" w:space="0" w:color="auto"/>
                        <w:bottom w:val="none" w:sz="0" w:space="0" w:color="auto"/>
                        <w:right w:val="none" w:sz="0" w:space="0" w:color="auto"/>
                      </w:divBdr>
                    </w:div>
                  </w:divsChild>
                </w:div>
                <w:div w:id="178592963">
                  <w:marLeft w:val="0"/>
                  <w:marRight w:val="0"/>
                  <w:marTop w:val="0"/>
                  <w:marBottom w:val="0"/>
                  <w:divBdr>
                    <w:top w:val="none" w:sz="0" w:space="0" w:color="auto"/>
                    <w:left w:val="none" w:sz="0" w:space="0" w:color="auto"/>
                    <w:bottom w:val="none" w:sz="0" w:space="0" w:color="auto"/>
                    <w:right w:val="none" w:sz="0" w:space="0" w:color="auto"/>
                  </w:divBdr>
                  <w:divsChild>
                    <w:div w:id="1150750411">
                      <w:marLeft w:val="0"/>
                      <w:marRight w:val="0"/>
                      <w:marTop w:val="0"/>
                      <w:marBottom w:val="0"/>
                      <w:divBdr>
                        <w:top w:val="none" w:sz="0" w:space="0" w:color="auto"/>
                        <w:left w:val="none" w:sz="0" w:space="0" w:color="auto"/>
                        <w:bottom w:val="none" w:sz="0" w:space="0" w:color="auto"/>
                        <w:right w:val="none" w:sz="0" w:space="0" w:color="auto"/>
                      </w:divBdr>
                    </w:div>
                  </w:divsChild>
                </w:div>
                <w:div w:id="141894212">
                  <w:marLeft w:val="0"/>
                  <w:marRight w:val="0"/>
                  <w:marTop w:val="0"/>
                  <w:marBottom w:val="0"/>
                  <w:divBdr>
                    <w:top w:val="none" w:sz="0" w:space="0" w:color="auto"/>
                    <w:left w:val="none" w:sz="0" w:space="0" w:color="auto"/>
                    <w:bottom w:val="none" w:sz="0" w:space="0" w:color="auto"/>
                    <w:right w:val="none" w:sz="0" w:space="0" w:color="auto"/>
                  </w:divBdr>
                  <w:divsChild>
                    <w:div w:id="1655792327">
                      <w:marLeft w:val="0"/>
                      <w:marRight w:val="0"/>
                      <w:marTop w:val="0"/>
                      <w:marBottom w:val="0"/>
                      <w:divBdr>
                        <w:top w:val="none" w:sz="0" w:space="0" w:color="auto"/>
                        <w:left w:val="none" w:sz="0" w:space="0" w:color="auto"/>
                        <w:bottom w:val="none" w:sz="0" w:space="0" w:color="auto"/>
                        <w:right w:val="none" w:sz="0" w:space="0" w:color="auto"/>
                      </w:divBdr>
                    </w:div>
                  </w:divsChild>
                </w:div>
                <w:div w:id="1823810884">
                  <w:marLeft w:val="0"/>
                  <w:marRight w:val="0"/>
                  <w:marTop w:val="0"/>
                  <w:marBottom w:val="0"/>
                  <w:divBdr>
                    <w:top w:val="none" w:sz="0" w:space="0" w:color="auto"/>
                    <w:left w:val="none" w:sz="0" w:space="0" w:color="auto"/>
                    <w:bottom w:val="none" w:sz="0" w:space="0" w:color="auto"/>
                    <w:right w:val="none" w:sz="0" w:space="0" w:color="auto"/>
                  </w:divBdr>
                  <w:divsChild>
                    <w:div w:id="509485341">
                      <w:marLeft w:val="0"/>
                      <w:marRight w:val="0"/>
                      <w:marTop w:val="0"/>
                      <w:marBottom w:val="0"/>
                      <w:divBdr>
                        <w:top w:val="none" w:sz="0" w:space="0" w:color="auto"/>
                        <w:left w:val="none" w:sz="0" w:space="0" w:color="auto"/>
                        <w:bottom w:val="none" w:sz="0" w:space="0" w:color="auto"/>
                        <w:right w:val="none" w:sz="0" w:space="0" w:color="auto"/>
                      </w:divBdr>
                    </w:div>
                  </w:divsChild>
                </w:div>
                <w:div w:id="1658143390">
                  <w:marLeft w:val="0"/>
                  <w:marRight w:val="0"/>
                  <w:marTop w:val="0"/>
                  <w:marBottom w:val="0"/>
                  <w:divBdr>
                    <w:top w:val="none" w:sz="0" w:space="0" w:color="auto"/>
                    <w:left w:val="none" w:sz="0" w:space="0" w:color="auto"/>
                    <w:bottom w:val="none" w:sz="0" w:space="0" w:color="auto"/>
                    <w:right w:val="none" w:sz="0" w:space="0" w:color="auto"/>
                  </w:divBdr>
                  <w:divsChild>
                    <w:div w:id="1058437825">
                      <w:marLeft w:val="0"/>
                      <w:marRight w:val="0"/>
                      <w:marTop w:val="0"/>
                      <w:marBottom w:val="0"/>
                      <w:divBdr>
                        <w:top w:val="none" w:sz="0" w:space="0" w:color="auto"/>
                        <w:left w:val="none" w:sz="0" w:space="0" w:color="auto"/>
                        <w:bottom w:val="none" w:sz="0" w:space="0" w:color="auto"/>
                        <w:right w:val="none" w:sz="0" w:space="0" w:color="auto"/>
                      </w:divBdr>
                    </w:div>
                  </w:divsChild>
                </w:div>
                <w:div w:id="1736006962">
                  <w:marLeft w:val="0"/>
                  <w:marRight w:val="0"/>
                  <w:marTop w:val="0"/>
                  <w:marBottom w:val="0"/>
                  <w:divBdr>
                    <w:top w:val="none" w:sz="0" w:space="0" w:color="auto"/>
                    <w:left w:val="none" w:sz="0" w:space="0" w:color="auto"/>
                    <w:bottom w:val="none" w:sz="0" w:space="0" w:color="auto"/>
                    <w:right w:val="none" w:sz="0" w:space="0" w:color="auto"/>
                  </w:divBdr>
                  <w:divsChild>
                    <w:div w:id="1267076396">
                      <w:marLeft w:val="0"/>
                      <w:marRight w:val="0"/>
                      <w:marTop w:val="0"/>
                      <w:marBottom w:val="0"/>
                      <w:divBdr>
                        <w:top w:val="none" w:sz="0" w:space="0" w:color="auto"/>
                        <w:left w:val="none" w:sz="0" w:space="0" w:color="auto"/>
                        <w:bottom w:val="none" w:sz="0" w:space="0" w:color="auto"/>
                        <w:right w:val="none" w:sz="0" w:space="0" w:color="auto"/>
                      </w:divBdr>
                    </w:div>
                  </w:divsChild>
                </w:div>
                <w:div w:id="927540705">
                  <w:marLeft w:val="0"/>
                  <w:marRight w:val="0"/>
                  <w:marTop w:val="0"/>
                  <w:marBottom w:val="0"/>
                  <w:divBdr>
                    <w:top w:val="none" w:sz="0" w:space="0" w:color="auto"/>
                    <w:left w:val="none" w:sz="0" w:space="0" w:color="auto"/>
                    <w:bottom w:val="none" w:sz="0" w:space="0" w:color="auto"/>
                    <w:right w:val="none" w:sz="0" w:space="0" w:color="auto"/>
                  </w:divBdr>
                  <w:divsChild>
                    <w:div w:id="1684669899">
                      <w:marLeft w:val="0"/>
                      <w:marRight w:val="0"/>
                      <w:marTop w:val="0"/>
                      <w:marBottom w:val="0"/>
                      <w:divBdr>
                        <w:top w:val="none" w:sz="0" w:space="0" w:color="auto"/>
                        <w:left w:val="none" w:sz="0" w:space="0" w:color="auto"/>
                        <w:bottom w:val="none" w:sz="0" w:space="0" w:color="auto"/>
                        <w:right w:val="none" w:sz="0" w:space="0" w:color="auto"/>
                      </w:divBdr>
                    </w:div>
                  </w:divsChild>
                </w:div>
                <w:div w:id="1965646955">
                  <w:marLeft w:val="0"/>
                  <w:marRight w:val="0"/>
                  <w:marTop w:val="0"/>
                  <w:marBottom w:val="0"/>
                  <w:divBdr>
                    <w:top w:val="none" w:sz="0" w:space="0" w:color="auto"/>
                    <w:left w:val="none" w:sz="0" w:space="0" w:color="auto"/>
                    <w:bottom w:val="none" w:sz="0" w:space="0" w:color="auto"/>
                    <w:right w:val="none" w:sz="0" w:space="0" w:color="auto"/>
                  </w:divBdr>
                  <w:divsChild>
                    <w:div w:id="1161893756">
                      <w:marLeft w:val="0"/>
                      <w:marRight w:val="0"/>
                      <w:marTop w:val="0"/>
                      <w:marBottom w:val="0"/>
                      <w:divBdr>
                        <w:top w:val="none" w:sz="0" w:space="0" w:color="auto"/>
                        <w:left w:val="none" w:sz="0" w:space="0" w:color="auto"/>
                        <w:bottom w:val="none" w:sz="0" w:space="0" w:color="auto"/>
                        <w:right w:val="none" w:sz="0" w:space="0" w:color="auto"/>
                      </w:divBdr>
                    </w:div>
                  </w:divsChild>
                </w:div>
                <w:div w:id="1205681155">
                  <w:marLeft w:val="0"/>
                  <w:marRight w:val="0"/>
                  <w:marTop w:val="0"/>
                  <w:marBottom w:val="0"/>
                  <w:divBdr>
                    <w:top w:val="none" w:sz="0" w:space="0" w:color="auto"/>
                    <w:left w:val="none" w:sz="0" w:space="0" w:color="auto"/>
                    <w:bottom w:val="none" w:sz="0" w:space="0" w:color="auto"/>
                    <w:right w:val="none" w:sz="0" w:space="0" w:color="auto"/>
                  </w:divBdr>
                  <w:divsChild>
                    <w:div w:id="2064406519">
                      <w:marLeft w:val="0"/>
                      <w:marRight w:val="0"/>
                      <w:marTop w:val="0"/>
                      <w:marBottom w:val="0"/>
                      <w:divBdr>
                        <w:top w:val="none" w:sz="0" w:space="0" w:color="auto"/>
                        <w:left w:val="none" w:sz="0" w:space="0" w:color="auto"/>
                        <w:bottom w:val="none" w:sz="0" w:space="0" w:color="auto"/>
                        <w:right w:val="none" w:sz="0" w:space="0" w:color="auto"/>
                      </w:divBdr>
                    </w:div>
                  </w:divsChild>
                </w:div>
                <w:div w:id="653529514">
                  <w:marLeft w:val="0"/>
                  <w:marRight w:val="0"/>
                  <w:marTop w:val="0"/>
                  <w:marBottom w:val="0"/>
                  <w:divBdr>
                    <w:top w:val="none" w:sz="0" w:space="0" w:color="auto"/>
                    <w:left w:val="none" w:sz="0" w:space="0" w:color="auto"/>
                    <w:bottom w:val="none" w:sz="0" w:space="0" w:color="auto"/>
                    <w:right w:val="none" w:sz="0" w:space="0" w:color="auto"/>
                  </w:divBdr>
                  <w:divsChild>
                    <w:div w:id="1444611036">
                      <w:marLeft w:val="0"/>
                      <w:marRight w:val="0"/>
                      <w:marTop w:val="0"/>
                      <w:marBottom w:val="0"/>
                      <w:divBdr>
                        <w:top w:val="none" w:sz="0" w:space="0" w:color="auto"/>
                        <w:left w:val="none" w:sz="0" w:space="0" w:color="auto"/>
                        <w:bottom w:val="none" w:sz="0" w:space="0" w:color="auto"/>
                        <w:right w:val="none" w:sz="0" w:space="0" w:color="auto"/>
                      </w:divBdr>
                    </w:div>
                  </w:divsChild>
                </w:div>
                <w:div w:id="1536039314">
                  <w:marLeft w:val="0"/>
                  <w:marRight w:val="0"/>
                  <w:marTop w:val="0"/>
                  <w:marBottom w:val="0"/>
                  <w:divBdr>
                    <w:top w:val="none" w:sz="0" w:space="0" w:color="auto"/>
                    <w:left w:val="none" w:sz="0" w:space="0" w:color="auto"/>
                    <w:bottom w:val="none" w:sz="0" w:space="0" w:color="auto"/>
                    <w:right w:val="none" w:sz="0" w:space="0" w:color="auto"/>
                  </w:divBdr>
                  <w:divsChild>
                    <w:div w:id="607736356">
                      <w:marLeft w:val="0"/>
                      <w:marRight w:val="0"/>
                      <w:marTop w:val="0"/>
                      <w:marBottom w:val="0"/>
                      <w:divBdr>
                        <w:top w:val="none" w:sz="0" w:space="0" w:color="auto"/>
                        <w:left w:val="none" w:sz="0" w:space="0" w:color="auto"/>
                        <w:bottom w:val="none" w:sz="0" w:space="0" w:color="auto"/>
                        <w:right w:val="none" w:sz="0" w:space="0" w:color="auto"/>
                      </w:divBdr>
                    </w:div>
                  </w:divsChild>
                </w:div>
                <w:div w:id="1108354068">
                  <w:marLeft w:val="0"/>
                  <w:marRight w:val="0"/>
                  <w:marTop w:val="0"/>
                  <w:marBottom w:val="0"/>
                  <w:divBdr>
                    <w:top w:val="none" w:sz="0" w:space="0" w:color="auto"/>
                    <w:left w:val="none" w:sz="0" w:space="0" w:color="auto"/>
                    <w:bottom w:val="none" w:sz="0" w:space="0" w:color="auto"/>
                    <w:right w:val="none" w:sz="0" w:space="0" w:color="auto"/>
                  </w:divBdr>
                  <w:divsChild>
                    <w:div w:id="383918691">
                      <w:marLeft w:val="0"/>
                      <w:marRight w:val="0"/>
                      <w:marTop w:val="0"/>
                      <w:marBottom w:val="0"/>
                      <w:divBdr>
                        <w:top w:val="none" w:sz="0" w:space="0" w:color="auto"/>
                        <w:left w:val="none" w:sz="0" w:space="0" w:color="auto"/>
                        <w:bottom w:val="none" w:sz="0" w:space="0" w:color="auto"/>
                        <w:right w:val="none" w:sz="0" w:space="0" w:color="auto"/>
                      </w:divBdr>
                    </w:div>
                  </w:divsChild>
                </w:div>
                <w:div w:id="628248235">
                  <w:marLeft w:val="0"/>
                  <w:marRight w:val="0"/>
                  <w:marTop w:val="0"/>
                  <w:marBottom w:val="0"/>
                  <w:divBdr>
                    <w:top w:val="none" w:sz="0" w:space="0" w:color="auto"/>
                    <w:left w:val="none" w:sz="0" w:space="0" w:color="auto"/>
                    <w:bottom w:val="none" w:sz="0" w:space="0" w:color="auto"/>
                    <w:right w:val="none" w:sz="0" w:space="0" w:color="auto"/>
                  </w:divBdr>
                  <w:divsChild>
                    <w:div w:id="931359572">
                      <w:marLeft w:val="0"/>
                      <w:marRight w:val="0"/>
                      <w:marTop w:val="0"/>
                      <w:marBottom w:val="0"/>
                      <w:divBdr>
                        <w:top w:val="none" w:sz="0" w:space="0" w:color="auto"/>
                        <w:left w:val="none" w:sz="0" w:space="0" w:color="auto"/>
                        <w:bottom w:val="none" w:sz="0" w:space="0" w:color="auto"/>
                        <w:right w:val="none" w:sz="0" w:space="0" w:color="auto"/>
                      </w:divBdr>
                    </w:div>
                  </w:divsChild>
                </w:div>
                <w:div w:id="717776382">
                  <w:marLeft w:val="0"/>
                  <w:marRight w:val="0"/>
                  <w:marTop w:val="0"/>
                  <w:marBottom w:val="0"/>
                  <w:divBdr>
                    <w:top w:val="none" w:sz="0" w:space="0" w:color="auto"/>
                    <w:left w:val="none" w:sz="0" w:space="0" w:color="auto"/>
                    <w:bottom w:val="none" w:sz="0" w:space="0" w:color="auto"/>
                    <w:right w:val="none" w:sz="0" w:space="0" w:color="auto"/>
                  </w:divBdr>
                  <w:divsChild>
                    <w:div w:id="374622464">
                      <w:marLeft w:val="0"/>
                      <w:marRight w:val="0"/>
                      <w:marTop w:val="0"/>
                      <w:marBottom w:val="0"/>
                      <w:divBdr>
                        <w:top w:val="none" w:sz="0" w:space="0" w:color="auto"/>
                        <w:left w:val="none" w:sz="0" w:space="0" w:color="auto"/>
                        <w:bottom w:val="none" w:sz="0" w:space="0" w:color="auto"/>
                        <w:right w:val="none" w:sz="0" w:space="0" w:color="auto"/>
                      </w:divBdr>
                    </w:div>
                  </w:divsChild>
                </w:div>
                <w:div w:id="1759399088">
                  <w:marLeft w:val="0"/>
                  <w:marRight w:val="0"/>
                  <w:marTop w:val="0"/>
                  <w:marBottom w:val="0"/>
                  <w:divBdr>
                    <w:top w:val="none" w:sz="0" w:space="0" w:color="auto"/>
                    <w:left w:val="none" w:sz="0" w:space="0" w:color="auto"/>
                    <w:bottom w:val="none" w:sz="0" w:space="0" w:color="auto"/>
                    <w:right w:val="none" w:sz="0" w:space="0" w:color="auto"/>
                  </w:divBdr>
                  <w:divsChild>
                    <w:div w:id="1835949272">
                      <w:marLeft w:val="0"/>
                      <w:marRight w:val="0"/>
                      <w:marTop w:val="0"/>
                      <w:marBottom w:val="0"/>
                      <w:divBdr>
                        <w:top w:val="none" w:sz="0" w:space="0" w:color="auto"/>
                        <w:left w:val="none" w:sz="0" w:space="0" w:color="auto"/>
                        <w:bottom w:val="none" w:sz="0" w:space="0" w:color="auto"/>
                        <w:right w:val="none" w:sz="0" w:space="0" w:color="auto"/>
                      </w:divBdr>
                    </w:div>
                  </w:divsChild>
                </w:div>
                <w:div w:id="1951860893">
                  <w:marLeft w:val="0"/>
                  <w:marRight w:val="0"/>
                  <w:marTop w:val="0"/>
                  <w:marBottom w:val="0"/>
                  <w:divBdr>
                    <w:top w:val="none" w:sz="0" w:space="0" w:color="auto"/>
                    <w:left w:val="none" w:sz="0" w:space="0" w:color="auto"/>
                    <w:bottom w:val="none" w:sz="0" w:space="0" w:color="auto"/>
                    <w:right w:val="none" w:sz="0" w:space="0" w:color="auto"/>
                  </w:divBdr>
                  <w:divsChild>
                    <w:div w:id="398988586">
                      <w:marLeft w:val="0"/>
                      <w:marRight w:val="0"/>
                      <w:marTop w:val="0"/>
                      <w:marBottom w:val="0"/>
                      <w:divBdr>
                        <w:top w:val="none" w:sz="0" w:space="0" w:color="auto"/>
                        <w:left w:val="none" w:sz="0" w:space="0" w:color="auto"/>
                        <w:bottom w:val="none" w:sz="0" w:space="0" w:color="auto"/>
                        <w:right w:val="none" w:sz="0" w:space="0" w:color="auto"/>
                      </w:divBdr>
                    </w:div>
                  </w:divsChild>
                </w:div>
                <w:div w:id="366105654">
                  <w:marLeft w:val="0"/>
                  <w:marRight w:val="0"/>
                  <w:marTop w:val="0"/>
                  <w:marBottom w:val="0"/>
                  <w:divBdr>
                    <w:top w:val="none" w:sz="0" w:space="0" w:color="auto"/>
                    <w:left w:val="none" w:sz="0" w:space="0" w:color="auto"/>
                    <w:bottom w:val="none" w:sz="0" w:space="0" w:color="auto"/>
                    <w:right w:val="none" w:sz="0" w:space="0" w:color="auto"/>
                  </w:divBdr>
                  <w:divsChild>
                    <w:div w:id="116874340">
                      <w:marLeft w:val="0"/>
                      <w:marRight w:val="0"/>
                      <w:marTop w:val="0"/>
                      <w:marBottom w:val="0"/>
                      <w:divBdr>
                        <w:top w:val="none" w:sz="0" w:space="0" w:color="auto"/>
                        <w:left w:val="none" w:sz="0" w:space="0" w:color="auto"/>
                        <w:bottom w:val="none" w:sz="0" w:space="0" w:color="auto"/>
                        <w:right w:val="none" w:sz="0" w:space="0" w:color="auto"/>
                      </w:divBdr>
                    </w:div>
                  </w:divsChild>
                </w:div>
                <w:div w:id="888345297">
                  <w:marLeft w:val="0"/>
                  <w:marRight w:val="0"/>
                  <w:marTop w:val="0"/>
                  <w:marBottom w:val="0"/>
                  <w:divBdr>
                    <w:top w:val="none" w:sz="0" w:space="0" w:color="auto"/>
                    <w:left w:val="none" w:sz="0" w:space="0" w:color="auto"/>
                    <w:bottom w:val="none" w:sz="0" w:space="0" w:color="auto"/>
                    <w:right w:val="none" w:sz="0" w:space="0" w:color="auto"/>
                  </w:divBdr>
                  <w:divsChild>
                    <w:div w:id="920410760">
                      <w:marLeft w:val="0"/>
                      <w:marRight w:val="0"/>
                      <w:marTop w:val="0"/>
                      <w:marBottom w:val="0"/>
                      <w:divBdr>
                        <w:top w:val="none" w:sz="0" w:space="0" w:color="auto"/>
                        <w:left w:val="none" w:sz="0" w:space="0" w:color="auto"/>
                        <w:bottom w:val="none" w:sz="0" w:space="0" w:color="auto"/>
                        <w:right w:val="none" w:sz="0" w:space="0" w:color="auto"/>
                      </w:divBdr>
                    </w:div>
                  </w:divsChild>
                </w:div>
                <w:div w:id="596209316">
                  <w:marLeft w:val="0"/>
                  <w:marRight w:val="0"/>
                  <w:marTop w:val="0"/>
                  <w:marBottom w:val="0"/>
                  <w:divBdr>
                    <w:top w:val="none" w:sz="0" w:space="0" w:color="auto"/>
                    <w:left w:val="none" w:sz="0" w:space="0" w:color="auto"/>
                    <w:bottom w:val="none" w:sz="0" w:space="0" w:color="auto"/>
                    <w:right w:val="none" w:sz="0" w:space="0" w:color="auto"/>
                  </w:divBdr>
                  <w:divsChild>
                    <w:div w:id="1926571338">
                      <w:marLeft w:val="0"/>
                      <w:marRight w:val="0"/>
                      <w:marTop w:val="0"/>
                      <w:marBottom w:val="0"/>
                      <w:divBdr>
                        <w:top w:val="none" w:sz="0" w:space="0" w:color="auto"/>
                        <w:left w:val="none" w:sz="0" w:space="0" w:color="auto"/>
                        <w:bottom w:val="none" w:sz="0" w:space="0" w:color="auto"/>
                        <w:right w:val="none" w:sz="0" w:space="0" w:color="auto"/>
                      </w:divBdr>
                    </w:div>
                  </w:divsChild>
                </w:div>
                <w:div w:id="1530340257">
                  <w:marLeft w:val="0"/>
                  <w:marRight w:val="0"/>
                  <w:marTop w:val="0"/>
                  <w:marBottom w:val="0"/>
                  <w:divBdr>
                    <w:top w:val="none" w:sz="0" w:space="0" w:color="auto"/>
                    <w:left w:val="none" w:sz="0" w:space="0" w:color="auto"/>
                    <w:bottom w:val="none" w:sz="0" w:space="0" w:color="auto"/>
                    <w:right w:val="none" w:sz="0" w:space="0" w:color="auto"/>
                  </w:divBdr>
                  <w:divsChild>
                    <w:div w:id="532694634">
                      <w:marLeft w:val="0"/>
                      <w:marRight w:val="0"/>
                      <w:marTop w:val="0"/>
                      <w:marBottom w:val="0"/>
                      <w:divBdr>
                        <w:top w:val="none" w:sz="0" w:space="0" w:color="auto"/>
                        <w:left w:val="none" w:sz="0" w:space="0" w:color="auto"/>
                        <w:bottom w:val="none" w:sz="0" w:space="0" w:color="auto"/>
                        <w:right w:val="none" w:sz="0" w:space="0" w:color="auto"/>
                      </w:divBdr>
                    </w:div>
                  </w:divsChild>
                </w:div>
                <w:div w:id="1766609666">
                  <w:marLeft w:val="0"/>
                  <w:marRight w:val="0"/>
                  <w:marTop w:val="0"/>
                  <w:marBottom w:val="0"/>
                  <w:divBdr>
                    <w:top w:val="none" w:sz="0" w:space="0" w:color="auto"/>
                    <w:left w:val="none" w:sz="0" w:space="0" w:color="auto"/>
                    <w:bottom w:val="none" w:sz="0" w:space="0" w:color="auto"/>
                    <w:right w:val="none" w:sz="0" w:space="0" w:color="auto"/>
                  </w:divBdr>
                  <w:divsChild>
                    <w:div w:id="1516769384">
                      <w:marLeft w:val="0"/>
                      <w:marRight w:val="0"/>
                      <w:marTop w:val="0"/>
                      <w:marBottom w:val="0"/>
                      <w:divBdr>
                        <w:top w:val="none" w:sz="0" w:space="0" w:color="auto"/>
                        <w:left w:val="none" w:sz="0" w:space="0" w:color="auto"/>
                        <w:bottom w:val="none" w:sz="0" w:space="0" w:color="auto"/>
                        <w:right w:val="none" w:sz="0" w:space="0" w:color="auto"/>
                      </w:divBdr>
                    </w:div>
                  </w:divsChild>
                </w:div>
                <w:div w:id="601495341">
                  <w:marLeft w:val="0"/>
                  <w:marRight w:val="0"/>
                  <w:marTop w:val="0"/>
                  <w:marBottom w:val="0"/>
                  <w:divBdr>
                    <w:top w:val="none" w:sz="0" w:space="0" w:color="auto"/>
                    <w:left w:val="none" w:sz="0" w:space="0" w:color="auto"/>
                    <w:bottom w:val="none" w:sz="0" w:space="0" w:color="auto"/>
                    <w:right w:val="none" w:sz="0" w:space="0" w:color="auto"/>
                  </w:divBdr>
                  <w:divsChild>
                    <w:div w:id="234703805">
                      <w:marLeft w:val="0"/>
                      <w:marRight w:val="0"/>
                      <w:marTop w:val="0"/>
                      <w:marBottom w:val="0"/>
                      <w:divBdr>
                        <w:top w:val="none" w:sz="0" w:space="0" w:color="auto"/>
                        <w:left w:val="none" w:sz="0" w:space="0" w:color="auto"/>
                        <w:bottom w:val="none" w:sz="0" w:space="0" w:color="auto"/>
                        <w:right w:val="none" w:sz="0" w:space="0" w:color="auto"/>
                      </w:divBdr>
                    </w:div>
                  </w:divsChild>
                </w:div>
                <w:div w:id="1524855701">
                  <w:marLeft w:val="0"/>
                  <w:marRight w:val="0"/>
                  <w:marTop w:val="0"/>
                  <w:marBottom w:val="0"/>
                  <w:divBdr>
                    <w:top w:val="none" w:sz="0" w:space="0" w:color="auto"/>
                    <w:left w:val="none" w:sz="0" w:space="0" w:color="auto"/>
                    <w:bottom w:val="none" w:sz="0" w:space="0" w:color="auto"/>
                    <w:right w:val="none" w:sz="0" w:space="0" w:color="auto"/>
                  </w:divBdr>
                  <w:divsChild>
                    <w:div w:id="800997529">
                      <w:marLeft w:val="0"/>
                      <w:marRight w:val="0"/>
                      <w:marTop w:val="0"/>
                      <w:marBottom w:val="0"/>
                      <w:divBdr>
                        <w:top w:val="none" w:sz="0" w:space="0" w:color="auto"/>
                        <w:left w:val="none" w:sz="0" w:space="0" w:color="auto"/>
                        <w:bottom w:val="none" w:sz="0" w:space="0" w:color="auto"/>
                        <w:right w:val="none" w:sz="0" w:space="0" w:color="auto"/>
                      </w:divBdr>
                    </w:div>
                  </w:divsChild>
                </w:div>
                <w:div w:id="1310599387">
                  <w:marLeft w:val="0"/>
                  <w:marRight w:val="0"/>
                  <w:marTop w:val="0"/>
                  <w:marBottom w:val="0"/>
                  <w:divBdr>
                    <w:top w:val="none" w:sz="0" w:space="0" w:color="auto"/>
                    <w:left w:val="none" w:sz="0" w:space="0" w:color="auto"/>
                    <w:bottom w:val="none" w:sz="0" w:space="0" w:color="auto"/>
                    <w:right w:val="none" w:sz="0" w:space="0" w:color="auto"/>
                  </w:divBdr>
                  <w:divsChild>
                    <w:div w:id="1474639084">
                      <w:marLeft w:val="0"/>
                      <w:marRight w:val="0"/>
                      <w:marTop w:val="0"/>
                      <w:marBottom w:val="0"/>
                      <w:divBdr>
                        <w:top w:val="none" w:sz="0" w:space="0" w:color="auto"/>
                        <w:left w:val="none" w:sz="0" w:space="0" w:color="auto"/>
                        <w:bottom w:val="none" w:sz="0" w:space="0" w:color="auto"/>
                        <w:right w:val="none" w:sz="0" w:space="0" w:color="auto"/>
                      </w:divBdr>
                    </w:div>
                  </w:divsChild>
                </w:div>
                <w:div w:id="299844819">
                  <w:marLeft w:val="0"/>
                  <w:marRight w:val="0"/>
                  <w:marTop w:val="0"/>
                  <w:marBottom w:val="0"/>
                  <w:divBdr>
                    <w:top w:val="none" w:sz="0" w:space="0" w:color="auto"/>
                    <w:left w:val="none" w:sz="0" w:space="0" w:color="auto"/>
                    <w:bottom w:val="none" w:sz="0" w:space="0" w:color="auto"/>
                    <w:right w:val="none" w:sz="0" w:space="0" w:color="auto"/>
                  </w:divBdr>
                  <w:divsChild>
                    <w:div w:id="1821191925">
                      <w:marLeft w:val="0"/>
                      <w:marRight w:val="0"/>
                      <w:marTop w:val="0"/>
                      <w:marBottom w:val="0"/>
                      <w:divBdr>
                        <w:top w:val="none" w:sz="0" w:space="0" w:color="auto"/>
                        <w:left w:val="none" w:sz="0" w:space="0" w:color="auto"/>
                        <w:bottom w:val="none" w:sz="0" w:space="0" w:color="auto"/>
                        <w:right w:val="none" w:sz="0" w:space="0" w:color="auto"/>
                      </w:divBdr>
                    </w:div>
                  </w:divsChild>
                </w:div>
                <w:div w:id="338459986">
                  <w:marLeft w:val="0"/>
                  <w:marRight w:val="0"/>
                  <w:marTop w:val="0"/>
                  <w:marBottom w:val="0"/>
                  <w:divBdr>
                    <w:top w:val="none" w:sz="0" w:space="0" w:color="auto"/>
                    <w:left w:val="none" w:sz="0" w:space="0" w:color="auto"/>
                    <w:bottom w:val="none" w:sz="0" w:space="0" w:color="auto"/>
                    <w:right w:val="none" w:sz="0" w:space="0" w:color="auto"/>
                  </w:divBdr>
                  <w:divsChild>
                    <w:div w:id="2089841586">
                      <w:marLeft w:val="0"/>
                      <w:marRight w:val="0"/>
                      <w:marTop w:val="0"/>
                      <w:marBottom w:val="0"/>
                      <w:divBdr>
                        <w:top w:val="none" w:sz="0" w:space="0" w:color="auto"/>
                        <w:left w:val="none" w:sz="0" w:space="0" w:color="auto"/>
                        <w:bottom w:val="none" w:sz="0" w:space="0" w:color="auto"/>
                        <w:right w:val="none" w:sz="0" w:space="0" w:color="auto"/>
                      </w:divBdr>
                    </w:div>
                  </w:divsChild>
                </w:div>
                <w:div w:id="1129057626">
                  <w:marLeft w:val="0"/>
                  <w:marRight w:val="0"/>
                  <w:marTop w:val="0"/>
                  <w:marBottom w:val="0"/>
                  <w:divBdr>
                    <w:top w:val="none" w:sz="0" w:space="0" w:color="auto"/>
                    <w:left w:val="none" w:sz="0" w:space="0" w:color="auto"/>
                    <w:bottom w:val="none" w:sz="0" w:space="0" w:color="auto"/>
                    <w:right w:val="none" w:sz="0" w:space="0" w:color="auto"/>
                  </w:divBdr>
                  <w:divsChild>
                    <w:div w:id="1701589494">
                      <w:marLeft w:val="0"/>
                      <w:marRight w:val="0"/>
                      <w:marTop w:val="0"/>
                      <w:marBottom w:val="0"/>
                      <w:divBdr>
                        <w:top w:val="none" w:sz="0" w:space="0" w:color="auto"/>
                        <w:left w:val="none" w:sz="0" w:space="0" w:color="auto"/>
                        <w:bottom w:val="none" w:sz="0" w:space="0" w:color="auto"/>
                        <w:right w:val="none" w:sz="0" w:space="0" w:color="auto"/>
                      </w:divBdr>
                    </w:div>
                  </w:divsChild>
                </w:div>
                <w:div w:id="2033264689">
                  <w:marLeft w:val="0"/>
                  <w:marRight w:val="0"/>
                  <w:marTop w:val="0"/>
                  <w:marBottom w:val="0"/>
                  <w:divBdr>
                    <w:top w:val="none" w:sz="0" w:space="0" w:color="auto"/>
                    <w:left w:val="none" w:sz="0" w:space="0" w:color="auto"/>
                    <w:bottom w:val="none" w:sz="0" w:space="0" w:color="auto"/>
                    <w:right w:val="none" w:sz="0" w:space="0" w:color="auto"/>
                  </w:divBdr>
                  <w:divsChild>
                    <w:div w:id="999238118">
                      <w:marLeft w:val="0"/>
                      <w:marRight w:val="0"/>
                      <w:marTop w:val="0"/>
                      <w:marBottom w:val="0"/>
                      <w:divBdr>
                        <w:top w:val="none" w:sz="0" w:space="0" w:color="auto"/>
                        <w:left w:val="none" w:sz="0" w:space="0" w:color="auto"/>
                        <w:bottom w:val="none" w:sz="0" w:space="0" w:color="auto"/>
                        <w:right w:val="none" w:sz="0" w:space="0" w:color="auto"/>
                      </w:divBdr>
                    </w:div>
                  </w:divsChild>
                </w:div>
                <w:div w:id="1391462166">
                  <w:marLeft w:val="0"/>
                  <w:marRight w:val="0"/>
                  <w:marTop w:val="0"/>
                  <w:marBottom w:val="0"/>
                  <w:divBdr>
                    <w:top w:val="none" w:sz="0" w:space="0" w:color="auto"/>
                    <w:left w:val="none" w:sz="0" w:space="0" w:color="auto"/>
                    <w:bottom w:val="none" w:sz="0" w:space="0" w:color="auto"/>
                    <w:right w:val="none" w:sz="0" w:space="0" w:color="auto"/>
                  </w:divBdr>
                  <w:divsChild>
                    <w:div w:id="1796633653">
                      <w:marLeft w:val="0"/>
                      <w:marRight w:val="0"/>
                      <w:marTop w:val="0"/>
                      <w:marBottom w:val="0"/>
                      <w:divBdr>
                        <w:top w:val="none" w:sz="0" w:space="0" w:color="auto"/>
                        <w:left w:val="none" w:sz="0" w:space="0" w:color="auto"/>
                        <w:bottom w:val="none" w:sz="0" w:space="0" w:color="auto"/>
                        <w:right w:val="none" w:sz="0" w:space="0" w:color="auto"/>
                      </w:divBdr>
                    </w:div>
                  </w:divsChild>
                </w:div>
                <w:div w:id="2025402588">
                  <w:marLeft w:val="0"/>
                  <w:marRight w:val="0"/>
                  <w:marTop w:val="0"/>
                  <w:marBottom w:val="0"/>
                  <w:divBdr>
                    <w:top w:val="none" w:sz="0" w:space="0" w:color="auto"/>
                    <w:left w:val="none" w:sz="0" w:space="0" w:color="auto"/>
                    <w:bottom w:val="none" w:sz="0" w:space="0" w:color="auto"/>
                    <w:right w:val="none" w:sz="0" w:space="0" w:color="auto"/>
                  </w:divBdr>
                  <w:divsChild>
                    <w:div w:id="1920290024">
                      <w:marLeft w:val="0"/>
                      <w:marRight w:val="0"/>
                      <w:marTop w:val="0"/>
                      <w:marBottom w:val="0"/>
                      <w:divBdr>
                        <w:top w:val="none" w:sz="0" w:space="0" w:color="auto"/>
                        <w:left w:val="none" w:sz="0" w:space="0" w:color="auto"/>
                        <w:bottom w:val="none" w:sz="0" w:space="0" w:color="auto"/>
                        <w:right w:val="none" w:sz="0" w:space="0" w:color="auto"/>
                      </w:divBdr>
                    </w:div>
                  </w:divsChild>
                </w:div>
                <w:div w:id="845637247">
                  <w:marLeft w:val="0"/>
                  <w:marRight w:val="0"/>
                  <w:marTop w:val="0"/>
                  <w:marBottom w:val="0"/>
                  <w:divBdr>
                    <w:top w:val="none" w:sz="0" w:space="0" w:color="auto"/>
                    <w:left w:val="none" w:sz="0" w:space="0" w:color="auto"/>
                    <w:bottom w:val="none" w:sz="0" w:space="0" w:color="auto"/>
                    <w:right w:val="none" w:sz="0" w:space="0" w:color="auto"/>
                  </w:divBdr>
                  <w:divsChild>
                    <w:div w:id="205144253">
                      <w:marLeft w:val="0"/>
                      <w:marRight w:val="0"/>
                      <w:marTop w:val="0"/>
                      <w:marBottom w:val="0"/>
                      <w:divBdr>
                        <w:top w:val="none" w:sz="0" w:space="0" w:color="auto"/>
                        <w:left w:val="none" w:sz="0" w:space="0" w:color="auto"/>
                        <w:bottom w:val="none" w:sz="0" w:space="0" w:color="auto"/>
                        <w:right w:val="none" w:sz="0" w:space="0" w:color="auto"/>
                      </w:divBdr>
                    </w:div>
                  </w:divsChild>
                </w:div>
                <w:div w:id="76437917">
                  <w:marLeft w:val="0"/>
                  <w:marRight w:val="0"/>
                  <w:marTop w:val="0"/>
                  <w:marBottom w:val="0"/>
                  <w:divBdr>
                    <w:top w:val="none" w:sz="0" w:space="0" w:color="auto"/>
                    <w:left w:val="none" w:sz="0" w:space="0" w:color="auto"/>
                    <w:bottom w:val="none" w:sz="0" w:space="0" w:color="auto"/>
                    <w:right w:val="none" w:sz="0" w:space="0" w:color="auto"/>
                  </w:divBdr>
                  <w:divsChild>
                    <w:div w:id="127031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563511">
          <w:marLeft w:val="0"/>
          <w:marRight w:val="0"/>
          <w:marTop w:val="0"/>
          <w:marBottom w:val="0"/>
          <w:divBdr>
            <w:top w:val="none" w:sz="0" w:space="0" w:color="auto"/>
            <w:left w:val="none" w:sz="0" w:space="0" w:color="auto"/>
            <w:bottom w:val="none" w:sz="0" w:space="0" w:color="auto"/>
            <w:right w:val="none" w:sz="0" w:space="0" w:color="auto"/>
          </w:divBdr>
        </w:div>
        <w:div w:id="2130011046">
          <w:marLeft w:val="0"/>
          <w:marRight w:val="0"/>
          <w:marTop w:val="0"/>
          <w:marBottom w:val="0"/>
          <w:divBdr>
            <w:top w:val="none" w:sz="0" w:space="0" w:color="auto"/>
            <w:left w:val="none" w:sz="0" w:space="0" w:color="auto"/>
            <w:bottom w:val="none" w:sz="0" w:space="0" w:color="auto"/>
            <w:right w:val="none" w:sz="0" w:space="0" w:color="auto"/>
          </w:divBdr>
          <w:divsChild>
            <w:div w:id="1362197946">
              <w:marLeft w:val="-75"/>
              <w:marRight w:val="0"/>
              <w:marTop w:val="30"/>
              <w:marBottom w:val="30"/>
              <w:divBdr>
                <w:top w:val="none" w:sz="0" w:space="0" w:color="auto"/>
                <w:left w:val="none" w:sz="0" w:space="0" w:color="auto"/>
                <w:bottom w:val="none" w:sz="0" w:space="0" w:color="auto"/>
                <w:right w:val="none" w:sz="0" w:space="0" w:color="auto"/>
              </w:divBdr>
              <w:divsChild>
                <w:div w:id="772945730">
                  <w:marLeft w:val="0"/>
                  <w:marRight w:val="0"/>
                  <w:marTop w:val="0"/>
                  <w:marBottom w:val="0"/>
                  <w:divBdr>
                    <w:top w:val="none" w:sz="0" w:space="0" w:color="auto"/>
                    <w:left w:val="none" w:sz="0" w:space="0" w:color="auto"/>
                    <w:bottom w:val="none" w:sz="0" w:space="0" w:color="auto"/>
                    <w:right w:val="none" w:sz="0" w:space="0" w:color="auto"/>
                  </w:divBdr>
                  <w:divsChild>
                    <w:div w:id="618416931">
                      <w:marLeft w:val="0"/>
                      <w:marRight w:val="0"/>
                      <w:marTop w:val="0"/>
                      <w:marBottom w:val="0"/>
                      <w:divBdr>
                        <w:top w:val="none" w:sz="0" w:space="0" w:color="auto"/>
                        <w:left w:val="none" w:sz="0" w:space="0" w:color="auto"/>
                        <w:bottom w:val="none" w:sz="0" w:space="0" w:color="auto"/>
                        <w:right w:val="none" w:sz="0" w:space="0" w:color="auto"/>
                      </w:divBdr>
                    </w:div>
                    <w:div w:id="232666130">
                      <w:marLeft w:val="0"/>
                      <w:marRight w:val="0"/>
                      <w:marTop w:val="0"/>
                      <w:marBottom w:val="0"/>
                      <w:divBdr>
                        <w:top w:val="none" w:sz="0" w:space="0" w:color="auto"/>
                        <w:left w:val="none" w:sz="0" w:space="0" w:color="auto"/>
                        <w:bottom w:val="none" w:sz="0" w:space="0" w:color="auto"/>
                        <w:right w:val="none" w:sz="0" w:space="0" w:color="auto"/>
                      </w:divBdr>
                    </w:div>
                  </w:divsChild>
                </w:div>
                <w:div w:id="1782338344">
                  <w:marLeft w:val="0"/>
                  <w:marRight w:val="0"/>
                  <w:marTop w:val="0"/>
                  <w:marBottom w:val="0"/>
                  <w:divBdr>
                    <w:top w:val="none" w:sz="0" w:space="0" w:color="auto"/>
                    <w:left w:val="none" w:sz="0" w:space="0" w:color="auto"/>
                    <w:bottom w:val="none" w:sz="0" w:space="0" w:color="auto"/>
                    <w:right w:val="none" w:sz="0" w:space="0" w:color="auto"/>
                  </w:divBdr>
                  <w:divsChild>
                    <w:div w:id="2755477">
                      <w:marLeft w:val="0"/>
                      <w:marRight w:val="0"/>
                      <w:marTop w:val="0"/>
                      <w:marBottom w:val="0"/>
                      <w:divBdr>
                        <w:top w:val="none" w:sz="0" w:space="0" w:color="auto"/>
                        <w:left w:val="none" w:sz="0" w:space="0" w:color="auto"/>
                        <w:bottom w:val="none" w:sz="0" w:space="0" w:color="auto"/>
                        <w:right w:val="none" w:sz="0" w:space="0" w:color="auto"/>
                      </w:divBdr>
                    </w:div>
                  </w:divsChild>
                </w:div>
                <w:div w:id="33628310">
                  <w:marLeft w:val="0"/>
                  <w:marRight w:val="0"/>
                  <w:marTop w:val="0"/>
                  <w:marBottom w:val="0"/>
                  <w:divBdr>
                    <w:top w:val="none" w:sz="0" w:space="0" w:color="auto"/>
                    <w:left w:val="none" w:sz="0" w:space="0" w:color="auto"/>
                    <w:bottom w:val="none" w:sz="0" w:space="0" w:color="auto"/>
                    <w:right w:val="none" w:sz="0" w:space="0" w:color="auto"/>
                  </w:divBdr>
                  <w:divsChild>
                    <w:div w:id="1495947774">
                      <w:marLeft w:val="0"/>
                      <w:marRight w:val="0"/>
                      <w:marTop w:val="0"/>
                      <w:marBottom w:val="0"/>
                      <w:divBdr>
                        <w:top w:val="none" w:sz="0" w:space="0" w:color="auto"/>
                        <w:left w:val="none" w:sz="0" w:space="0" w:color="auto"/>
                        <w:bottom w:val="none" w:sz="0" w:space="0" w:color="auto"/>
                        <w:right w:val="none" w:sz="0" w:space="0" w:color="auto"/>
                      </w:divBdr>
                    </w:div>
                  </w:divsChild>
                </w:div>
                <w:div w:id="2126002451">
                  <w:marLeft w:val="0"/>
                  <w:marRight w:val="0"/>
                  <w:marTop w:val="0"/>
                  <w:marBottom w:val="0"/>
                  <w:divBdr>
                    <w:top w:val="none" w:sz="0" w:space="0" w:color="auto"/>
                    <w:left w:val="none" w:sz="0" w:space="0" w:color="auto"/>
                    <w:bottom w:val="none" w:sz="0" w:space="0" w:color="auto"/>
                    <w:right w:val="none" w:sz="0" w:space="0" w:color="auto"/>
                  </w:divBdr>
                  <w:divsChild>
                    <w:div w:id="906304307">
                      <w:marLeft w:val="0"/>
                      <w:marRight w:val="0"/>
                      <w:marTop w:val="0"/>
                      <w:marBottom w:val="0"/>
                      <w:divBdr>
                        <w:top w:val="none" w:sz="0" w:space="0" w:color="auto"/>
                        <w:left w:val="none" w:sz="0" w:space="0" w:color="auto"/>
                        <w:bottom w:val="none" w:sz="0" w:space="0" w:color="auto"/>
                        <w:right w:val="none" w:sz="0" w:space="0" w:color="auto"/>
                      </w:divBdr>
                    </w:div>
                  </w:divsChild>
                </w:div>
                <w:div w:id="1287083219">
                  <w:marLeft w:val="0"/>
                  <w:marRight w:val="0"/>
                  <w:marTop w:val="0"/>
                  <w:marBottom w:val="0"/>
                  <w:divBdr>
                    <w:top w:val="none" w:sz="0" w:space="0" w:color="auto"/>
                    <w:left w:val="none" w:sz="0" w:space="0" w:color="auto"/>
                    <w:bottom w:val="none" w:sz="0" w:space="0" w:color="auto"/>
                    <w:right w:val="none" w:sz="0" w:space="0" w:color="auto"/>
                  </w:divBdr>
                  <w:divsChild>
                    <w:div w:id="633289224">
                      <w:marLeft w:val="0"/>
                      <w:marRight w:val="0"/>
                      <w:marTop w:val="0"/>
                      <w:marBottom w:val="0"/>
                      <w:divBdr>
                        <w:top w:val="none" w:sz="0" w:space="0" w:color="auto"/>
                        <w:left w:val="none" w:sz="0" w:space="0" w:color="auto"/>
                        <w:bottom w:val="none" w:sz="0" w:space="0" w:color="auto"/>
                        <w:right w:val="none" w:sz="0" w:space="0" w:color="auto"/>
                      </w:divBdr>
                    </w:div>
                  </w:divsChild>
                </w:div>
                <w:div w:id="479884524">
                  <w:marLeft w:val="0"/>
                  <w:marRight w:val="0"/>
                  <w:marTop w:val="0"/>
                  <w:marBottom w:val="0"/>
                  <w:divBdr>
                    <w:top w:val="none" w:sz="0" w:space="0" w:color="auto"/>
                    <w:left w:val="none" w:sz="0" w:space="0" w:color="auto"/>
                    <w:bottom w:val="none" w:sz="0" w:space="0" w:color="auto"/>
                    <w:right w:val="none" w:sz="0" w:space="0" w:color="auto"/>
                  </w:divBdr>
                  <w:divsChild>
                    <w:div w:id="969558122">
                      <w:marLeft w:val="0"/>
                      <w:marRight w:val="0"/>
                      <w:marTop w:val="0"/>
                      <w:marBottom w:val="0"/>
                      <w:divBdr>
                        <w:top w:val="none" w:sz="0" w:space="0" w:color="auto"/>
                        <w:left w:val="none" w:sz="0" w:space="0" w:color="auto"/>
                        <w:bottom w:val="none" w:sz="0" w:space="0" w:color="auto"/>
                        <w:right w:val="none" w:sz="0" w:space="0" w:color="auto"/>
                      </w:divBdr>
                    </w:div>
                  </w:divsChild>
                </w:div>
                <w:div w:id="1207721732">
                  <w:marLeft w:val="0"/>
                  <w:marRight w:val="0"/>
                  <w:marTop w:val="0"/>
                  <w:marBottom w:val="0"/>
                  <w:divBdr>
                    <w:top w:val="none" w:sz="0" w:space="0" w:color="auto"/>
                    <w:left w:val="none" w:sz="0" w:space="0" w:color="auto"/>
                    <w:bottom w:val="none" w:sz="0" w:space="0" w:color="auto"/>
                    <w:right w:val="none" w:sz="0" w:space="0" w:color="auto"/>
                  </w:divBdr>
                  <w:divsChild>
                    <w:div w:id="1064450491">
                      <w:marLeft w:val="0"/>
                      <w:marRight w:val="0"/>
                      <w:marTop w:val="0"/>
                      <w:marBottom w:val="0"/>
                      <w:divBdr>
                        <w:top w:val="none" w:sz="0" w:space="0" w:color="auto"/>
                        <w:left w:val="none" w:sz="0" w:space="0" w:color="auto"/>
                        <w:bottom w:val="none" w:sz="0" w:space="0" w:color="auto"/>
                        <w:right w:val="none" w:sz="0" w:space="0" w:color="auto"/>
                      </w:divBdr>
                    </w:div>
                  </w:divsChild>
                </w:div>
                <w:div w:id="1936937979">
                  <w:marLeft w:val="0"/>
                  <w:marRight w:val="0"/>
                  <w:marTop w:val="0"/>
                  <w:marBottom w:val="0"/>
                  <w:divBdr>
                    <w:top w:val="none" w:sz="0" w:space="0" w:color="auto"/>
                    <w:left w:val="none" w:sz="0" w:space="0" w:color="auto"/>
                    <w:bottom w:val="none" w:sz="0" w:space="0" w:color="auto"/>
                    <w:right w:val="none" w:sz="0" w:space="0" w:color="auto"/>
                  </w:divBdr>
                  <w:divsChild>
                    <w:div w:id="803619120">
                      <w:marLeft w:val="0"/>
                      <w:marRight w:val="0"/>
                      <w:marTop w:val="0"/>
                      <w:marBottom w:val="0"/>
                      <w:divBdr>
                        <w:top w:val="none" w:sz="0" w:space="0" w:color="auto"/>
                        <w:left w:val="none" w:sz="0" w:space="0" w:color="auto"/>
                        <w:bottom w:val="none" w:sz="0" w:space="0" w:color="auto"/>
                        <w:right w:val="none" w:sz="0" w:space="0" w:color="auto"/>
                      </w:divBdr>
                    </w:div>
                  </w:divsChild>
                </w:div>
                <w:div w:id="897908778">
                  <w:marLeft w:val="0"/>
                  <w:marRight w:val="0"/>
                  <w:marTop w:val="0"/>
                  <w:marBottom w:val="0"/>
                  <w:divBdr>
                    <w:top w:val="none" w:sz="0" w:space="0" w:color="auto"/>
                    <w:left w:val="none" w:sz="0" w:space="0" w:color="auto"/>
                    <w:bottom w:val="none" w:sz="0" w:space="0" w:color="auto"/>
                    <w:right w:val="none" w:sz="0" w:space="0" w:color="auto"/>
                  </w:divBdr>
                  <w:divsChild>
                    <w:div w:id="1606382048">
                      <w:marLeft w:val="0"/>
                      <w:marRight w:val="0"/>
                      <w:marTop w:val="0"/>
                      <w:marBottom w:val="0"/>
                      <w:divBdr>
                        <w:top w:val="none" w:sz="0" w:space="0" w:color="auto"/>
                        <w:left w:val="none" w:sz="0" w:space="0" w:color="auto"/>
                        <w:bottom w:val="none" w:sz="0" w:space="0" w:color="auto"/>
                        <w:right w:val="none" w:sz="0" w:space="0" w:color="auto"/>
                      </w:divBdr>
                    </w:div>
                  </w:divsChild>
                </w:div>
                <w:div w:id="512693900">
                  <w:marLeft w:val="0"/>
                  <w:marRight w:val="0"/>
                  <w:marTop w:val="0"/>
                  <w:marBottom w:val="0"/>
                  <w:divBdr>
                    <w:top w:val="none" w:sz="0" w:space="0" w:color="auto"/>
                    <w:left w:val="none" w:sz="0" w:space="0" w:color="auto"/>
                    <w:bottom w:val="none" w:sz="0" w:space="0" w:color="auto"/>
                    <w:right w:val="none" w:sz="0" w:space="0" w:color="auto"/>
                  </w:divBdr>
                  <w:divsChild>
                    <w:div w:id="1515723148">
                      <w:marLeft w:val="0"/>
                      <w:marRight w:val="0"/>
                      <w:marTop w:val="0"/>
                      <w:marBottom w:val="0"/>
                      <w:divBdr>
                        <w:top w:val="none" w:sz="0" w:space="0" w:color="auto"/>
                        <w:left w:val="none" w:sz="0" w:space="0" w:color="auto"/>
                        <w:bottom w:val="none" w:sz="0" w:space="0" w:color="auto"/>
                        <w:right w:val="none" w:sz="0" w:space="0" w:color="auto"/>
                      </w:divBdr>
                    </w:div>
                  </w:divsChild>
                </w:div>
                <w:div w:id="38479666">
                  <w:marLeft w:val="0"/>
                  <w:marRight w:val="0"/>
                  <w:marTop w:val="0"/>
                  <w:marBottom w:val="0"/>
                  <w:divBdr>
                    <w:top w:val="none" w:sz="0" w:space="0" w:color="auto"/>
                    <w:left w:val="none" w:sz="0" w:space="0" w:color="auto"/>
                    <w:bottom w:val="none" w:sz="0" w:space="0" w:color="auto"/>
                    <w:right w:val="none" w:sz="0" w:space="0" w:color="auto"/>
                  </w:divBdr>
                  <w:divsChild>
                    <w:div w:id="209074176">
                      <w:marLeft w:val="0"/>
                      <w:marRight w:val="0"/>
                      <w:marTop w:val="0"/>
                      <w:marBottom w:val="0"/>
                      <w:divBdr>
                        <w:top w:val="none" w:sz="0" w:space="0" w:color="auto"/>
                        <w:left w:val="none" w:sz="0" w:space="0" w:color="auto"/>
                        <w:bottom w:val="none" w:sz="0" w:space="0" w:color="auto"/>
                        <w:right w:val="none" w:sz="0" w:space="0" w:color="auto"/>
                      </w:divBdr>
                    </w:div>
                  </w:divsChild>
                </w:div>
                <w:div w:id="534467147">
                  <w:marLeft w:val="0"/>
                  <w:marRight w:val="0"/>
                  <w:marTop w:val="0"/>
                  <w:marBottom w:val="0"/>
                  <w:divBdr>
                    <w:top w:val="none" w:sz="0" w:space="0" w:color="auto"/>
                    <w:left w:val="none" w:sz="0" w:space="0" w:color="auto"/>
                    <w:bottom w:val="none" w:sz="0" w:space="0" w:color="auto"/>
                    <w:right w:val="none" w:sz="0" w:space="0" w:color="auto"/>
                  </w:divBdr>
                  <w:divsChild>
                    <w:div w:id="960306122">
                      <w:marLeft w:val="0"/>
                      <w:marRight w:val="0"/>
                      <w:marTop w:val="0"/>
                      <w:marBottom w:val="0"/>
                      <w:divBdr>
                        <w:top w:val="none" w:sz="0" w:space="0" w:color="auto"/>
                        <w:left w:val="none" w:sz="0" w:space="0" w:color="auto"/>
                        <w:bottom w:val="none" w:sz="0" w:space="0" w:color="auto"/>
                        <w:right w:val="none" w:sz="0" w:space="0" w:color="auto"/>
                      </w:divBdr>
                    </w:div>
                  </w:divsChild>
                </w:div>
                <w:div w:id="23868904">
                  <w:marLeft w:val="0"/>
                  <w:marRight w:val="0"/>
                  <w:marTop w:val="0"/>
                  <w:marBottom w:val="0"/>
                  <w:divBdr>
                    <w:top w:val="none" w:sz="0" w:space="0" w:color="auto"/>
                    <w:left w:val="none" w:sz="0" w:space="0" w:color="auto"/>
                    <w:bottom w:val="none" w:sz="0" w:space="0" w:color="auto"/>
                    <w:right w:val="none" w:sz="0" w:space="0" w:color="auto"/>
                  </w:divBdr>
                  <w:divsChild>
                    <w:div w:id="460658266">
                      <w:marLeft w:val="0"/>
                      <w:marRight w:val="0"/>
                      <w:marTop w:val="0"/>
                      <w:marBottom w:val="0"/>
                      <w:divBdr>
                        <w:top w:val="none" w:sz="0" w:space="0" w:color="auto"/>
                        <w:left w:val="none" w:sz="0" w:space="0" w:color="auto"/>
                        <w:bottom w:val="none" w:sz="0" w:space="0" w:color="auto"/>
                        <w:right w:val="none" w:sz="0" w:space="0" w:color="auto"/>
                      </w:divBdr>
                    </w:div>
                  </w:divsChild>
                </w:div>
                <w:div w:id="1966538969">
                  <w:marLeft w:val="0"/>
                  <w:marRight w:val="0"/>
                  <w:marTop w:val="0"/>
                  <w:marBottom w:val="0"/>
                  <w:divBdr>
                    <w:top w:val="none" w:sz="0" w:space="0" w:color="auto"/>
                    <w:left w:val="none" w:sz="0" w:space="0" w:color="auto"/>
                    <w:bottom w:val="none" w:sz="0" w:space="0" w:color="auto"/>
                    <w:right w:val="none" w:sz="0" w:space="0" w:color="auto"/>
                  </w:divBdr>
                  <w:divsChild>
                    <w:div w:id="741030585">
                      <w:marLeft w:val="0"/>
                      <w:marRight w:val="0"/>
                      <w:marTop w:val="0"/>
                      <w:marBottom w:val="0"/>
                      <w:divBdr>
                        <w:top w:val="none" w:sz="0" w:space="0" w:color="auto"/>
                        <w:left w:val="none" w:sz="0" w:space="0" w:color="auto"/>
                        <w:bottom w:val="none" w:sz="0" w:space="0" w:color="auto"/>
                        <w:right w:val="none" w:sz="0" w:space="0" w:color="auto"/>
                      </w:divBdr>
                    </w:div>
                  </w:divsChild>
                </w:div>
                <w:div w:id="143670465">
                  <w:marLeft w:val="0"/>
                  <w:marRight w:val="0"/>
                  <w:marTop w:val="0"/>
                  <w:marBottom w:val="0"/>
                  <w:divBdr>
                    <w:top w:val="none" w:sz="0" w:space="0" w:color="auto"/>
                    <w:left w:val="none" w:sz="0" w:space="0" w:color="auto"/>
                    <w:bottom w:val="none" w:sz="0" w:space="0" w:color="auto"/>
                    <w:right w:val="none" w:sz="0" w:space="0" w:color="auto"/>
                  </w:divBdr>
                  <w:divsChild>
                    <w:div w:id="474028591">
                      <w:marLeft w:val="0"/>
                      <w:marRight w:val="0"/>
                      <w:marTop w:val="0"/>
                      <w:marBottom w:val="0"/>
                      <w:divBdr>
                        <w:top w:val="none" w:sz="0" w:space="0" w:color="auto"/>
                        <w:left w:val="none" w:sz="0" w:space="0" w:color="auto"/>
                        <w:bottom w:val="none" w:sz="0" w:space="0" w:color="auto"/>
                        <w:right w:val="none" w:sz="0" w:space="0" w:color="auto"/>
                      </w:divBdr>
                    </w:div>
                  </w:divsChild>
                </w:div>
                <w:div w:id="1204946017">
                  <w:marLeft w:val="0"/>
                  <w:marRight w:val="0"/>
                  <w:marTop w:val="0"/>
                  <w:marBottom w:val="0"/>
                  <w:divBdr>
                    <w:top w:val="none" w:sz="0" w:space="0" w:color="auto"/>
                    <w:left w:val="none" w:sz="0" w:space="0" w:color="auto"/>
                    <w:bottom w:val="none" w:sz="0" w:space="0" w:color="auto"/>
                    <w:right w:val="none" w:sz="0" w:space="0" w:color="auto"/>
                  </w:divBdr>
                  <w:divsChild>
                    <w:div w:id="1304122909">
                      <w:marLeft w:val="0"/>
                      <w:marRight w:val="0"/>
                      <w:marTop w:val="0"/>
                      <w:marBottom w:val="0"/>
                      <w:divBdr>
                        <w:top w:val="none" w:sz="0" w:space="0" w:color="auto"/>
                        <w:left w:val="none" w:sz="0" w:space="0" w:color="auto"/>
                        <w:bottom w:val="none" w:sz="0" w:space="0" w:color="auto"/>
                        <w:right w:val="none" w:sz="0" w:space="0" w:color="auto"/>
                      </w:divBdr>
                    </w:div>
                  </w:divsChild>
                </w:div>
                <w:div w:id="1372150803">
                  <w:marLeft w:val="0"/>
                  <w:marRight w:val="0"/>
                  <w:marTop w:val="0"/>
                  <w:marBottom w:val="0"/>
                  <w:divBdr>
                    <w:top w:val="none" w:sz="0" w:space="0" w:color="auto"/>
                    <w:left w:val="none" w:sz="0" w:space="0" w:color="auto"/>
                    <w:bottom w:val="none" w:sz="0" w:space="0" w:color="auto"/>
                    <w:right w:val="none" w:sz="0" w:space="0" w:color="auto"/>
                  </w:divBdr>
                  <w:divsChild>
                    <w:div w:id="2095545765">
                      <w:marLeft w:val="0"/>
                      <w:marRight w:val="0"/>
                      <w:marTop w:val="0"/>
                      <w:marBottom w:val="0"/>
                      <w:divBdr>
                        <w:top w:val="none" w:sz="0" w:space="0" w:color="auto"/>
                        <w:left w:val="none" w:sz="0" w:space="0" w:color="auto"/>
                        <w:bottom w:val="none" w:sz="0" w:space="0" w:color="auto"/>
                        <w:right w:val="none" w:sz="0" w:space="0" w:color="auto"/>
                      </w:divBdr>
                    </w:div>
                  </w:divsChild>
                </w:div>
                <w:div w:id="1018429939">
                  <w:marLeft w:val="0"/>
                  <w:marRight w:val="0"/>
                  <w:marTop w:val="0"/>
                  <w:marBottom w:val="0"/>
                  <w:divBdr>
                    <w:top w:val="none" w:sz="0" w:space="0" w:color="auto"/>
                    <w:left w:val="none" w:sz="0" w:space="0" w:color="auto"/>
                    <w:bottom w:val="none" w:sz="0" w:space="0" w:color="auto"/>
                    <w:right w:val="none" w:sz="0" w:space="0" w:color="auto"/>
                  </w:divBdr>
                  <w:divsChild>
                    <w:div w:id="2002460826">
                      <w:marLeft w:val="0"/>
                      <w:marRight w:val="0"/>
                      <w:marTop w:val="0"/>
                      <w:marBottom w:val="0"/>
                      <w:divBdr>
                        <w:top w:val="none" w:sz="0" w:space="0" w:color="auto"/>
                        <w:left w:val="none" w:sz="0" w:space="0" w:color="auto"/>
                        <w:bottom w:val="none" w:sz="0" w:space="0" w:color="auto"/>
                        <w:right w:val="none" w:sz="0" w:space="0" w:color="auto"/>
                      </w:divBdr>
                    </w:div>
                  </w:divsChild>
                </w:div>
                <w:div w:id="386221810">
                  <w:marLeft w:val="0"/>
                  <w:marRight w:val="0"/>
                  <w:marTop w:val="0"/>
                  <w:marBottom w:val="0"/>
                  <w:divBdr>
                    <w:top w:val="none" w:sz="0" w:space="0" w:color="auto"/>
                    <w:left w:val="none" w:sz="0" w:space="0" w:color="auto"/>
                    <w:bottom w:val="none" w:sz="0" w:space="0" w:color="auto"/>
                    <w:right w:val="none" w:sz="0" w:space="0" w:color="auto"/>
                  </w:divBdr>
                  <w:divsChild>
                    <w:div w:id="1451046973">
                      <w:marLeft w:val="0"/>
                      <w:marRight w:val="0"/>
                      <w:marTop w:val="0"/>
                      <w:marBottom w:val="0"/>
                      <w:divBdr>
                        <w:top w:val="none" w:sz="0" w:space="0" w:color="auto"/>
                        <w:left w:val="none" w:sz="0" w:space="0" w:color="auto"/>
                        <w:bottom w:val="none" w:sz="0" w:space="0" w:color="auto"/>
                        <w:right w:val="none" w:sz="0" w:space="0" w:color="auto"/>
                      </w:divBdr>
                    </w:div>
                  </w:divsChild>
                </w:div>
                <w:div w:id="2121336242">
                  <w:marLeft w:val="0"/>
                  <w:marRight w:val="0"/>
                  <w:marTop w:val="0"/>
                  <w:marBottom w:val="0"/>
                  <w:divBdr>
                    <w:top w:val="none" w:sz="0" w:space="0" w:color="auto"/>
                    <w:left w:val="none" w:sz="0" w:space="0" w:color="auto"/>
                    <w:bottom w:val="none" w:sz="0" w:space="0" w:color="auto"/>
                    <w:right w:val="none" w:sz="0" w:space="0" w:color="auto"/>
                  </w:divBdr>
                  <w:divsChild>
                    <w:div w:id="1479955238">
                      <w:marLeft w:val="0"/>
                      <w:marRight w:val="0"/>
                      <w:marTop w:val="0"/>
                      <w:marBottom w:val="0"/>
                      <w:divBdr>
                        <w:top w:val="none" w:sz="0" w:space="0" w:color="auto"/>
                        <w:left w:val="none" w:sz="0" w:space="0" w:color="auto"/>
                        <w:bottom w:val="none" w:sz="0" w:space="0" w:color="auto"/>
                        <w:right w:val="none" w:sz="0" w:space="0" w:color="auto"/>
                      </w:divBdr>
                    </w:div>
                  </w:divsChild>
                </w:div>
                <w:div w:id="323976082">
                  <w:marLeft w:val="0"/>
                  <w:marRight w:val="0"/>
                  <w:marTop w:val="0"/>
                  <w:marBottom w:val="0"/>
                  <w:divBdr>
                    <w:top w:val="none" w:sz="0" w:space="0" w:color="auto"/>
                    <w:left w:val="none" w:sz="0" w:space="0" w:color="auto"/>
                    <w:bottom w:val="none" w:sz="0" w:space="0" w:color="auto"/>
                    <w:right w:val="none" w:sz="0" w:space="0" w:color="auto"/>
                  </w:divBdr>
                  <w:divsChild>
                    <w:div w:id="2001804877">
                      <w:marLeft w:val="0"/>
                      <w:marRight w:val="0"/>
                      <w:marTop w:val="0"/>
                      <w:marBottom w:val="0"/>
                      <w:divBdr>
                        <w:top w:val="none" w:sz="0" w:space="0" w:color="auto"/>
                        <w:left w:val="none" w:sz="0" w:space="0" w:color="auto"/>
                        <w:bottom w:val="none" w:sz="0" w:space="0" w:color="auto"/>
                        <w:right w:val="none" w:sz="0" w:space="0" w:color="auto"/>
                      </w:divBdr>
                    </w:div>
                  </w:divsChild>
                </w:div>
                <w:div w:id="517043333">
                  <w:marLeft w:val="0"/>
                  <w:marRight w:val="0"/>
                  <w:marTop w:val="0"/>
                  <w:marBottom w:val="0"/>
                  <w:divBdr>
                    <w:top w:val="none" w:sz="0" w:space="0" w:color="auto"/>
                    <w:left w:val="none" w:sz="0" w:space="0" w:color="auto"/>
                    <w:bottom w:val="none" w:sz="0" w:space="0" w:color="auto"/>
                    <w:right w:val="none" w:sz="0" w:space="0" w:color="auto"/>
                  </w:divBdr>
                  <w:divsChild>
                    <w:div w:id="1179927948">
                      <w:marLeft w:val="0"/>
                      <w:marRight w:val="0"/>
                      <w:marTop w:val="0"/>
                      <w:marBottom w:val="0"/>
                      <w:divBdr>
                        <w:top w:val="none" w:sz="0" w:space="0" w:color="auto"/>
                        <w:left w:val="none" w:sz="0" w:space="0" w:color="auto"/>
                        <w:bottom w:val="none" w:sz="0" w:space="0" w:color="auto"/>
                        <w:right w:val="none" w:sz="0" w:space="0" w:color="auto"/>
                      </w:divBdr>
                    </w:div>
                  </w:divsChild>
                </w:div>
                <w:div w:id="871382811">
                  <w:marLeft w:val="0"/>
                  <w:marRight w:val="0"/>
                  <w:marTop w:val="0"/>
                  <w:marBottom w:val="0"/>
                  <w:divBdr>
                    <w:top w:val="none" w:sz="0" w:space="0" w:color="auto"/>
                    <w:left w:val="none" w:sz="0" w:space="0" w:color="auto"/>
                    <w:bottom w:val="none" w:sz="0" w:space="0" w:color="auto"/>
                    <w:right w:val="none" w:sz="0" w:space="0" w:color="auto"/>
                  </w:divBdr>
                  <w:divsChild>
                    <w:div w:id="1237975235">
                      <w:marLeft w:val="0"/>
                      <w:marRight w:val="0"/>
                      <w:marTop w:val="0"/>
                      <w:marBottom w:val="0"/>
                      <w:divBdr>
                        <w:top w:val="none" w:sz="0" w:space="0" w:color="auto"/>
                        <w:left w:val="none" w:sz="0" w:space="0" w:color="auto"/>
                        <w:bottom w:val="none" w:sz="0" w:space="0" w:color="auto"/>
                        <w:right w:val="none" w:sz="0" w:space="0" w:color="auto"/>
                      </w:divBdr>
                    </w:div>
                  </w:divsChild>
                </w:div>
                <w:div w:id="859398153">
                  <w:marLeft w:val="0"/>
                  <w:marRight w:val="0"/>
                  <w:marTop w:val="0"/>
                  <w:marBottom w:val="0"/>
                  <w:divBdr>
                    <w:top w:val="none" w:sz="0" w:space="0" w:color="auto"/>
                    <w:left w:val="none" w:sz="0" w:space="0" w:color="auto"/>
                    <w:bottom w:val="none" w:sz="0" w:space="0" w:color="auto"/>
                    <w:right w:val="none" w:sz="0" w:space="0" w:color="auto"/>
                  </w:divBdr>
                  <w:divsChild>
                    <w:div w:id="278606102">
                      <w:marLeft w:val="0"/>
                      <w:marRight w:val="0"/>
                      <w:marTop w:val="0"/>
                      <w:marBottom w:val="0"/>
                      <w:divBdr>
                        <w:top w:val="none" w:sz="0" w:space="0" w:color="auto"/>
                        <w:left w:val="none" w:sz="0" w:space="0" w:color="auto"/>
                        <w:bottom w:val="none" w:sz="0" w:space="0" w:color="auto"/>
                        <w:right w:val="none" w:sz="0" w:space="0" w:color="auto"/>
                      </w:divBdr>
                    </w:div>
                  </w:divsChild>
                </w:div>
                <w:div w:id="1070151769">
                  <w:marLeft w:val="0"/>
                  <w:marRight w:val="0"/>
                  <w:marTop w:val="0"/>
                  <w:marBottom w:val="0"/>
                  <w:divBdr>
                    <w:top w:val="none" w:sz="0" w:space="0" w:color="auto"/>
                    <w:left w:val="none" w:sz="0" w:space="0" w:color="auto"/>
                    <w:bottom w:val="none" w:sz="0" w:space="0" w:color="auto"/>
                    <w:right w:val="none" w:sz="0" w:space="0" w:color="auto"/>
                  </w:divBdr>
                  <w:divsChild>
                    <w:div w:id="1424184888">
                      <w:marLeft w:val="0"/>
                      <w:marRight w:val="0"/>
                      <w:marTop w:val="0"/>
                      <w:marBottom w:val="0"/>
                      <w:divBdr>
                        <w:top w:val="none" w:sz="0" w:space="0" w:color="auto"/>
                        <w:left w:val="none" w:sz="0" w:space="0" w:color="auto"/>
                        <w:bottom w:val="none" w:sz="0" w:space="0" w:color="auto"/>
                        <w:right w:val="none" w:sz="0" w:space="0" w:color="auto"/>
                      </w:divBdr>
                    </w:div>
                  </w:divsChild>
                </w:div>
                <w:div w:id="1292633089">
                  <w:marLeft w:val="0"/>
                  <w:marRight w:val="0"/>
                  <w:marTop w:val="0"/>
                  <w:marBottom w:val="0"/>
                  <w:divBdr>
                    <w:top w:val="none" w:sz="0" w:space="0" w:color="auto"/>
                    <w:left w:val="none" w:sz="0" w:space="0" w:color="auto"/>
                    <w:bottom w:val="none" w:sz="0" w:space="0" w:color="auto"/>
                    <w:right w:val="none" w:sz="0" w:space="0" w:color="auto"/>
                  </w:divBdr>
                  <w:divsChild>
                    <w:div w:id="1119489540">
                      <w:marLeft w:val="0"/>
                      <w:marRight w:val="0"/>
                      <w:marTop w:val="0"/>
                      <w:marBottom w:val="0"/>
                      <w:divBdr>
                        <w:top w:val="none" w:sz="0" w:space="0" w:color="auto"/>
                        <w:left w:val="none" w:sz="0" w:space="0" w:color="auto"/>
                        <w:bottom w:val="none" w:sz="0" w:space="0" w:color="auto"/>
                        <w:right w:val="none" w:sz="0" w:space="0" w:color="auto"/>
                      </w:divBdr>
                    </w:div>
                  </w:divsChild>
                </w:div>
                <w:div w:id="1941596559">
                  <w:marLeft w:val="0"/>
                  <w:marRight w:val="0"/>
                  <w:marTop w:val="0"/>
                  <w:marBottom w:val="0"/>
                  <w:divBdr>
                    <w:top w:val="none" w:sz="0" w:space="0" w:color="auto"/>
                    <w:left w:val="none" w:sz="0" w:space="0" w:color="auto"/>
                    <w:bottom w:val="none" w:sz="0" w:space="0" w:color="auto"/>
                    <w:right w:val="none" w:sz="0" w:space="0" w:color="auto"/>
                  </w:divBdr>
                  <w:divsChild>
                    <w:div w:id="663511353">
                      <w:marLeft w:val="0"/>
                      <w:marRight w:val="0"/>
                      <w:marTop w:val="0"/>
                      <w:marBottom w:val="0"/>
                      <w:divBdr>
                        <w:top w:val="none" w:sz="0" w:space="0" w:color="auto"/>
                        <w:left w:val="none" w:sz="0" w:space="0" w:color="auto"/>
                        <w:bottom w:val="none" w:sz="0" w:space="0" w:color="auto"/>
                        <w:right w:val="none" w:sz="0" w:space="0" w:color="auto"/>
                      </w:divBdr>
                    </w:div>
                  </w:divsChild>
                </w:div>
                <w:div w:id="538475731">
                  <w:marLeft w:val="0"/>
                  <w:marRight w:val="0"/>
                  <w:marTop w:val="0"/>
                  <w:marBottom w:val="0"/>
                  <w:divBdr>
                    <w:top w:val="none" w:sz="0" w:space="0" w:color="auto"/>
                    <w:left w:val="none" w:sz="0" w:space="0" w:color="auto"/>
                    <w:bottom w:val="none" w:sz="0" w:space="0" w:color="auto"/>
                    <w:right w:val="none" w:sz="0" w:space="0" w:color="auto"/>
                  </w:divBdr>
                  <w:divsChild>
                    <w:div w:id="670331115">
                      <w:marLeft w:val="0"/>
                      <w:marRight w:val="0"/>
                      <w:marTop w:val="0"/>
                      <w:marBottom w:val="0"/>
                      <w:divBdr>
                        <w:top w:val="none" w:sz="0" w:space="0" w:color="auto"/>
                        <w:left w:val="none" w:sz="0" w:space="0" w:color="auto"/>
                        <w:bottom w:val="none" w:sz="0" w:space="0" w:color="auto"/>
                        <w:right w:val="none" w:sz="0" w:space="0" w:color="auto"/>
                      </w:divBdr>
                    </w:div>
                  </w:divsChild>
                </w:div>
                <w:div w:id="185338857">
                  <w:marLeft w:val="0"/>
                  <w:marRight w:val="0"/>
                  <w:marTop w:val="0"/>
                  <w:marBottom w:val="0"/>
                  <w:divBdr>
                    <w:top w:val="none" w:sz="0" w:space="0" w:color="auto"/>
                    <w:left w:val="none" w:sz="0" w:space="0" w:color="auto"/>
                    <w:bottom w:val="none" w:sz="0" w:space="0" w:color="auto"/>
                    <w:right w:val="none" w:sz="0" w:space="0" w:color="auto"/>
                  </w:divBdr>
                  <w:divsChild>
                    <w:div w:id="1398212268">
                      <w:marLeft w:val="0"/>
                      <w:marRight w:val="0"/>
                      <w:marTop w:val="0"/>
                      <w:marBottom w:val="0"/>
                      <w:divBdr>
                        <w:top w:val="none" w:sz="0" w:space="0" w:color="auto"/>
                        <w:left w:val="none" w:sz="0" w:space="0" w:color="auto"/>
                        <w:bottom w:val="none" w:sz="0" w:space="0" w:color="auto"/>
                        <w:right w:val="none" w:sz="0" w:space="0" w:color="auto"/>
                      </w:divBdr>
                    </w:div>
                  </w:divsChild>
                </w:div>
                <w:div w:id="1246040110">
                  <w:marLeft w:val="0"/>
                  <w:marRight w:val="0"/>
                  <w:marTop w:val="0"/>
                  <w:marBottom w:val="0"/>
                  <w:divBdr>
                    <w:top w:val="none" w:sz="0" w:space="0" w:color="auto"/>
                    <w:left w:val="none" w:sz="0" w:space="0" w:color="auto"/>
                    <w:bottom w:val="none" w:sz="0" w:space="0" w:color="auto"/>
                    <w:right w:val="none" w:sz="0" w:space="0" w:color="auto"/>
                  </w:divBdr>
                  <w:divsChild>
                    <w:div w:id="1723795438">
                      <w:marLeft w:val="0"/>
                      <w:marRight w:val="0"/>
                      <w:marTop w:val="0"/>
                      <w:marBottom w:val="0"/>
                      <w:divBdr>
                        <w:top w:val="none" w:sz="0" w:space="0" w:color="auto"/>
                        <w:left w:val="none" w:sz="0" w:space="0" w:color="auto"/>
                        <w:bottom w:val="none" w:sz="0" w:space="0" w:color="auto"/>
                        <w:right w:val="none" w:sz="0" w:space="0" w:color="auto"/>
                      </w:divBdr>
                    </w:div>
                  </w:divsChild>
                </w:div>
                <w:div w:id="573201347">
                  <w:marLeft w:val="0"/>
                  <w:marRight w:val="0"/>
                  <w:marTop w:val="0"/>
                  <w:marBottom w:val="0"/>
                  <w:divBdr>
                    <w:top w:val="none" w:sz="0" w:space="0" w:color="auto"/>
                    <w:left w:val="none" w:sz="0" w:space="0" w:color="auto"/>
                    <w:bottom w:val="none" w:sz="0" w:space="0" w:color="auto"/>
                    <w:right w:val="none" w:sz="0" w:space="0" w:color="auto"/>
                  </w:divBdr>
                  <w:divsChild>
                    <w:div w:id="1129741398">
                      <w:marLeft w:val="0"/>
                      <w:marRight w:val="0"/>
                      <w:marTop w:val="0"/>
                      <w:marBottom w:val="0"/>
                      <w:divBdr>
                        <w:top w:val="none" w:sz="0" w:space="0" w:color="auto"/>
                        <w:left w:val="none" w:sz="0" w:space="0" w:color="auto"/>
                        <w:bottom w:val="none" w:sz="0" w:space="0" w:color="auto"/>
                        <w:right w:val="none" w:sz="0" w:space="0" w:color="auto"/>
                      </w:divBdr>
                    </w:div>
                  </w:divsChild>
                </w:div>
                <w:div w:id="665398086">
                  <w:marLeft w:val="0"/>
                  <w:marRight w:val="0"/>
                  <w:marTop w:val="0"/>
                  <w:marBottom w:val="0"/>
                  <w:divBdr>
                    <w:top w:val="none" w:sz="0" w:space="0" w:color="auto"/>
                    <w:left w:val="none" w:sz="0" w:space="0" w:color="auto"/>
                    <w:bottom w:val="none" w:sz="0" w:space="0" w:color="auto"/>
                    <w:right w:val="none" w:sz="0" w:space="0" w:color="auto"/>
                  </w:divBdr>
                  <w:divsChild>
                    <w:div w:id="1624267967">
                      <w:marLeft w:val="0"/>
                      <w:marRight w:val="0"/>
                      <w:marTop w:val="0"/>
                      <w:marBottom w:val="0"/>
                      <w:divBdr>
                        <w:top w:val="none" w:sz="0" w:space="0" w:color="auto"/>
                        <w:left w:val="none" w:sz="0" w:space="0" w:color="auto"/>
                        <w:bottom w:val="none" w:sz="0" w:space="0" w:color="auto"/>
                        <w:right w:val="none" w:sz="0" w:space="0" w:color="auto"/>
                      </w:divBdr>
                    </w:div>
                  </w:divsChild>
                </w:div>
                <w:div w:id="587273961">
                  <w:marLeft w:val="0"/>
                  <w:marRight w:val="0"/>
                  <w:marTop w:val="0"/>
                  <w:marBottom w:val="0"/>
                  <w:divBdr>
                    <w:top w:val="none" w:sz="0" w:space="0" w:color="auto"/>
                    <w:left w:val="none" w:sz="0" w:space="0" w:color="auto"/>
                    <w:bottom w:val="none" w:sz="0" w:space="0" w:color="auto"/>
                    <w:right w:val="none" w:sz="0" w:space="0" w:color="auto"/>
                  </w:divBdr>
                  <w:divsChild>
                    <w:div w:id="898128519">
                      <w:marLeft w:val="0"/>
                      <w:marRight w:val="0"/>
                      <w:marTop w:val="0"/>
                      <w:marBottom w:val="0"/>
                      <w:divBdr>
                        <w:top w:val="none" w:sz="0" w:space="0" w:color="auto"/>
                        <w:left w:val="none" w:sz="0" w:space="0" w:color="auto"/>
                        <w:bottom w:val="none" w:sz="0" w:space="0" w:color="auto"/>
                        <w:right w:val="none" w:sz="0" w:space="0" w:color="auto"/>
                      </w:divBdr>
                    </w:div>
                  </w:divsChild>
                </w:div>
                <w:div w:id="265964406">
                  <w:marLeft w:val="0"/>
                  <w:marRight w:val="0"/>
                  <w:marTop w:val="0"/>
                  <w:marBottom w:val="0"/>
                  <w:divBdr>
                    <w:top w:val="none" w:sz="0" w:space="0" w:color="auto"/>
                    <w:left w:val="none" w:sz="0" w:space="0" w:color="auto"/>
                    <w:bottom w:val="none" w:sz="0" w:space="0" w:color="auto"/>
                    <w:right w:val="none" w:sz="0" w:space="0" w:color="auto"/>
                  </w:divBdr>
                  <w:divsChild>
                    <w:div w:id="2038309087">
                      <w:marLeft w:val="0"/>
                      <w:marRight w:val="0"/>
                      <w:marTop w:val="0"/>
                      <w:marBottom w:val="0"/>
                      <w:divBdr>
                        <w:top w:val="none" w:sz="0" w:space="0" w:color="auto"/>
                        <w:left w:val="none" w:sz="0" w:space="0" w:color="auto"/>
                        <w:bottom w:val="none" w:sz="0" w:space="0" w:color="auto"/>
                        <w:right w:val="none" w:sz="0" w:space="0" w:color="auto"/>
                      </w:divBdr>
                    </w:div>
                  </w:divsChild>
                </w:div>
                <w:div w:id="543057438">
                  <w:marLeft w:val="0"/>
                  <w:marRight w:val="0"/>
                  <w:marTop w:val="0"/>
                  <w:marBottom w:val="0"/>
                  <w:divBdr>
                    <w:top w:val="none" w:sz="0" w:space="0" w:color="auto"/>
                    <w:left w:val="none" w:sz="0" w:space="0" w:color="auto"/>
                    <w:bottom w:val="none" w:sz="0" w:space="0" w:color="auto"/>
                    <w:right w:val="none" w:sz="0" w:space="0" w:color="auto"/>
                  </w:divBdr>
                  <w:divsChild>
                    <w:div w:id="183524786">
                      <w:marLeft w:val="0"/>
                      <w:marRight w:val="0"/>
                      <w:marTop w:val="0"/>
                      <w:marBottom w:val="0"/>
                      <w:divBdr>
                        <w:top w:val="none" w:sz="0" w:space="0" w:color="auto"/>
                        <w:left w:val="none" w:sz="0" w:space="0" w:color="auto"/>
                        <w:bottom w:val="none" w:sz="0" w:space="0" w:color="auto"/>
                        <w:right w:val="none" w:sz="0" w:space="0" w:color="auto"/>
                      </w:divBdr>
                    </w:div>
                  </w:divsChild>
                </w:div>
                <w:div w:id="1119957489">
                  <w:marLeft w:val="0"/>
                  <w:marRight w:val="0"/>
                  <w:marTop w:val="0"/>
                  <w:marBottom w:val="0"/>
                  <w:divBdr>
                    <w:top w:val="none" w:sz="0" w:space="0" w:color="auto"/>
                    <w:left w:val="none" w:sz="0" w:space="0" w:color="auto"/>
                    <w:bottom w:val="none" w:sz="0" w:space="0" w:color="auto"/>
                    <w:right w:val="none" w:sz="0" w:space="0" w:color="auto"/>
                  </w:divBdr>
                  <w:divsChild>
                    <w:div w:id="900941967">
                      <w:marLeft w:val="0"/>
                      <w:marRight w:val="0"/>
                      <w:marTop w:val="0"/>
                      <w:marBottom w:val="0"/>
                      <w:divBdr>
                        <w:top w:val="none" w:sz="0" w:space="0" w:color="auto"/>
                        <w:left w:val="none" w:sz="0" w:space="0" w:color="auto"/>
                        <w:bottom w:val="none" w:sz="0" w:space="0" w:color="auto"/>
                        <w:right w:val="none" w:sz="0" w:space="0" w:color="auto"/>
                      </w:divBdr>
                    </w:div>
                  </w:divsChild>
                </w:div>
                <w:div w:id="614097272">
                  <w:marLeft w:val="0"/>
                  <w:marRight w:val="0"/>
                  <w:marTop w:val="0"/>
                  <w:marBottom w:val="0"/>
                  <w:divBdr>
                    <w:top w:val="none" w:sz="0" w:space="0" w:color="auto"/>
                    <w:left w:val="none" w:sz="0" w:space="0" w:color="auto"/>
                    <w:bottom w:val="none" w:sz="0" w:space="0" w:color="auto"/>
                    <w:right w:val="none" w:sz="0" w:space="0" w:color="auto"/>
                  </w:divBdr>
                  <w:divsChild>
                    <w:div w:id="106588725">
                      <w:marLeft w:val="0"/>
                      <w:marRight w:val="0"/>
                      <w:marTop w:val="0"/>
                      <w:marBottom w:val="0"/>
                      <w:divBdr>
                        <w:top w:val="none" w:sz="0" w:space="0" w:color="auto"/>
                        <w:left w:val="none" w:sz="0" w:space="0" w:color="auto"/>
                        <w:bottom w:val="none" w:sz="0" w:space="0" w:color="auto"/>
                        <w:right w:val="none" w:sz="0" w:space="0" w:color="auto"/>
                      </w:divBdr>
                    </w:div>
                  </w:divsChild>
                </w:div>
                <w:div w:id="2121290229">
                  <w:marLeft w:val="0"/>
                  <w:marRight w:val="0"/>
                  <w:marTop w:val="0"/>
                  <w:marBottom w:val="0"/>
                  <w:divBdr>
                    <w:top w:val="none" w:sz="0" w:space="0" w:color="auto"/>
                    <w:left w:val="none" w:sz="0" w:space="0" w:color="auto"/>
                    <w:bottom w:val="none" w:sz="0" w:space="0" w:color="auto"/>
                    <w:right w:val="none" w:sz="0" w:space="0" w:color="auto"/>
                  </w:divBdr>
                  <w:divsChild>
                    <w:div w:id="1410081841">
                      <w:marLeft w:val="0"/>
                      <w:marRight w:val="0"/>
                      <w:marTop w:val="0"/>
                      <w:marBottom w:val="0"/>
                      <w:divBdr>
                        <w:top w:val="none" w:sz="0" w:space="0" w:color="auto"/>
                        <w:left w:val="none" w:sz="0" w:space="0" w:color="auto"/>
                        <w:bottom w:val="none" w:sz="0" w:space="0" w:color="auto"/>
                        <w:right w:val="none" w:sz="0" w:space="0" w:color="auto"/>
                      </w:divBdr>
                    </w:div>
                  </w:divsChild>
                </w:div>
                <w:div w:id="76561736">
                  <w:marLeft w:val="0"/>
                  <w:marRight w:val="0"/>
                  <w:marTop w:val="0"/>
                  <w:marBottom w:val="0"/>
                  <w:divBdr>
                    <w:top w:val="none" w:sz="0" w:space="0" w:color="auto"/>
                    <w:left w:val="none" w:sz="0" w:space="0" w:color="auto"/>
                    <w:bottom w:val="none" w:sz="0" w:space="0" w:color="auto"/>
                    <w:right w:val="none" w:sz="0" w:space="0" w:color="auto"/>
                  </w:divBdr>
                  <w:divsChild>
                    <w:div w:id="959607009">
                      <w:marLeft w:val="0"/>
                      <w:marRight w:val="0"/>
                      <w:marTop w:val="0"/>
                      <w:marBottom w:val="0"/>
                      <w:divBdr>
                        <w:top w:val="none" w:sz="0" w:space="0" w:color="auto"/>
                        <w:left w:val="none" w:sz="0" w:space="0" w:color="auto"/>
                        <w:bottom w:val="none" w:sz="0" w:space="0" w:color="auto"/>
                        <w:right w:val="none" w:sz="0" w:space="0" w:color="auto"/>
                      </w:divBdr>
                    </w:div>
                  </w:divsChild>
                </w:div>
                <w:div w:id="57094137">
                  <w:marLeft w:val="0"/>
                  <w:marRight w:val="0"/>
                  <w:marTop w:val="0"/>
                  <w:marBottom w:val="0"/>
                  <w:divBdr>
                    <w:top w:val="none" w:sz="0" w:space="0" w:color="auto"/>
                    <w:left w:val="none" w:sz="0" w:space="0" w:color="auto"/>
                    <w:bottom w:val="none" w:sz="0" w:space="0" w:color="auto"/>
                    <w:right w:val="none" w:sz="0" w:space="0" w:color="auto"/>
                  </w:divBdr>
                  <w:divsChild>
                    <w:div w:id="2125269660">
                      <w:marLeft w:val="0"/>
                      <w:marRight w:val="0"/>
                      <w:marTop w:val="0"/>
                      <w:marBottom w:val="0"/>
                      <w:divBdr>
                        <w:top w:val="none" w:sz="0" w:space="0" w:color="auto"/>
                        <w:left w:val="none" w:sz="0" w:space="0" w:color="auto"/>
                        <w:bottom w:val="none" w:sz="0" w:space="0" w:color="auto"/>
                        <w:right w:val="none" w:sz="0" w:space="0" w:color="auto"/>
                      </w:divBdr>
                    </w:div>
                  </w:divsChild>
                </w:div>
                <w:div w:id="38356676">
                  <w:marLeft w:val="0"/>
                  <w:marRight w:val="0"/>
                  <w:marTop w:val="0"/>
                  <w:marBottom w:val="0"/>
                  <w:divBdr>
                    <w:top w:val="none" w:sz="0" w:space="0" w:color="auto"/>
                    <w:left w:val="none" w:sz="0" w:space="0" w:color="auto"/>
                    <w:bottom w:val="none" w:sz="0" w:space="0" w:color="auto"/>
                    <w:right w:val="none" w:sz="0" w:space="0" w:color="auto"/>
                  </w:divBdr>
                  <w:divsChild>
                    <w:div w:id="114449881">
                      <w:marLeft w:val="0"/>
                      <w:marRight w:val="0"/>
                      <w:marTop w:val="0"/>
                      <w:marBottom w:val="0"/>
                      <w:divBdr>
                        <w:top w:val="none" w:sz="0" w:space="0" w:color="auto"/>
                        <w:left w:val="none" w:sz="0" w:space="0" w:color="auto"/>
                        <w:bottom w:val="none" w:sz="0" w:space="0" w:color="auto"/>
                        <w:right w:val="none" w:sz="0" w:space="0" w:color="auto"/>
                      </w:divBdr>
                    </w:div>
                  </w:divsChild>
                </w:div>
                <w:div w:id="336464327">
                  <w:marLeft w:val="0"/>
                  <w:marRight w:val="0"/>
                  <w:marTop w:val="0"/>
                  <w:marBottom w:val="0"/>
                  <w:divBdr>
                    <w:top w:val="none" w:sz="0" w:space="0" w:color="auto"/>
                    <w:left w:val="none" w:sz="0" w:space="0" w:color="auto"/>
                    <w:bottom w:val="none" w:sz="0" w:space="0" w:color="auto"/>
                    <w:right w:val="none" w:sz="0" w:space="0" w:color="auto"/>
                  </w:divBdr>
                  <w:divsChild>
                    <w:div w:id="2013872383">
                      <w:marLeft w:val="0"/>
                      <w:marRight w:val="0"/>
                      <w:marTop w:val="0"/>
                      <w:marBottom w:val="0"/>
                      <w:divBdr>
                        <w:top w:val="none" w:sz="0" w:space="0" w:color="auto"/>
                        <w:left w:val="none" w:sz="0" w:space="0" w:color="auto"/>
                        <w:bottom w:val="none" w:sz="0" w:space="0" w:color="auto"/>
                        <w:right w:val="none" w:sz="0" w:space="0" w:color="auto"/>
                      </w:divBdr>
                    </w:div>
                  </w:divsChild>
                </w:div>
                <w:div w:id="1280794061">
                  <w:marLeft w:val="0"/>
                  <w:marRight w:val="0"/>
                  <w:marTop w:val="0"/>
                  <w:marBottom w:val="0"/>
                  <w:divBdr>
                    <w:top w:val="none" w:sz="0" w:space="0" w:color="auto"/>
                    <w:left w:val="none" w:sz="0" w:space="0" w:color="auto"/>
                    <w:bottom w:val="none" w:sz="0" w:space="0" w:color="auto"/>
                    <w:right w:val="none" w:sz="0" w:space="0" w:color="auto"/>
                  </w:divBdr>
                  <w:divsChild>
                    <w:div w:id="436675248">
                      <w:marLeft w:val="0"/>
                      <w:marRight w:val="0"/>
                      <w:marTop w:val="0"/>
                      <w:marBottom w:val="0"/>
                      <w:divBdr>
                        <w:top w:val="none" w:sz="0" w:space="0" w:color="auto"/>
                        <w:left w:val="none" w:sz="0" w:space="0" w:color="auto"/>
                        <w:bottom w:val="none" w:sz="0" w:space="0" w:color="auto"/>
                        <w:right w:val="none" w:sz="0" w:space="0" w:color="auto"/>
                      </w:divBdr>
                    </w:div>
                  </w:divsChild>
                </w:div>
                <w:div w:id="679046768">
                  <w:marLeft w:val="0"/>
                  <w:marRight w:val="0"/>
                  <w:marTop w:val="0"/>
                  <w:marBottom w:val="0"/>
                  <w:divBdr>
                    <w:top w:val="none" w:sz="0" w:space="0" w:color="auto"/>
                    <w:left w:val="none" w:sz="0" w:space="0" w:color="auto"/>
                    <w:bottom w:val="none" w:sz="0" w:space="0" w:color="auto"/>
                    <w:right w:val="none" w:sz="0" w:space="0" w:color="auto"/>
                  </w:divBdr>
                  <w:divsChild>
                    <w:div w:id="900209300">
                      <w:marLeft w:val="0"/>
                      <w:marRight w:val="0"/>
                      <w:marTop w:val="0"/>
                      <w:marBottom w:val="0"/>
                      <w:divBdr>
                        <w:top w:val="none" w:sz="0" w:space="0" w:color="auto"/>
                        <w:left w:val="none" w:sz="0" w:space="0" w:color="auto"/>
                        <w:bottom w:val="none" w:sz="0" w:space="0" w:color="auto"/>
                        <w:right w:val="none" w:sz="0" w:space="0" w:color="auto"/>
                      </w:divBdr>
                    </w:div>
                  </w:divsChild>
                </w:div>
                <w:div w:id="1628706528">
                  <w:marLeft w:val="0"/>
                  <w:marRight w:val="0"/>
                  <w:marTop w:val="0"/>
                  <w:marBottom w:val="0"/>
                  <w:divBdr>
                    <w:top w:val="none" w:sz="0" w:space="0" w:color="auto"/>
                    <w:left w:val="none" w:sz="0" w:space="0" w:color="auto"/>
                    <w:bottom w:val="none" w:sz="0" w:space="0" w:color="auto"/>
                    <w:right w:val="none" w:sz="0" w:space="0" w:color="auto"/>
                  </w:divBdr>
                  <w:divsChild>
                    <w:div w:id="1842037617">
                      <w:marLeft w:val="0"/>
                      <w:marRight w:val="0"/>
                      <w:marTop w:val="0"/>
                      <w:marBottom w:val="0"/>
                      <w:divBdr>
                        <w:top w:val="none" w:sz="0" w:space="0" w:color="auto"/>
                        <w:left w:val="none" w:sz="0" w:space="0" w:color="auto"/>
                        <w:bottom w:val="none" w:sz="0" w:space="0" w:color="auto"/>
                        <w:right w:val="none" w:sz="0" w:space="0" w:color="auto"/>
                      </w:divBdr>
                    </w:div>
                  </w:divsChild>
                </w:div>
                <w:div w:id="337393961">
                  <w:marLeft w:val="0"/>
                  <w:marRight w:val="0"/>
                  <w:marTop w:val="0"/>
                  <w:marBottom w:val="0"/>
                  <w:divBdr>
                    <w:top w:val="none" w:sz="0" w:space="0" w:color="auto"/>
                    <w:left w:val="none" w:sz="0" w:space="0" w:color="auto"/>
                    <w:bottom w:val="none" w:sz="0" w:space="0" w:color="auto"/>
                    <w:right w:val="none" w:sz="0" w:space="0" w:color="auto"/>
                  </w:divBdr>
                  <w:divsChild>
                    <w:div w:id="299462738">
                      <w:marLeft w:val="0"/>
                      <w:marRight w:val="0"/>
                      <w:marTop w:val="0"/>
                      <w:marBottom w:val="0"/>
                      <w:divBdr>
                        <w:top w:val="none" w:sz="0" w:space="0" w:color="auto"/>
                        <w:left w:val="none" w:sz="0" w:space="0" w:color="auto"/>
                        <w:bottom w:val="none" w:sz="0" w:space="0" w:color="auto"/>
                        <w:right w:val="none" w:sz="0" w:space="0" w:color="auto"/>
                      </w:divBdr>
                    </w:div>
                  </w:divsChild>
                </w:div>
                <w:div w:id="1460491935">
                  <w:marLeft w:val="0"/>
                  <w:marRight w:val="0"/>
                  <w:marTop w:val="0"/>
                  <w:marBottom w:val="0"/>
                  <w:divBdr>
                    <w:top w:val="none" w:sz="0" w:space="0" w:color="auto"/>
                    <w:left w:val="none" w:sz="0" w:space="0" w:color="auto"/>
                    <w:bottom w:val="none" w:sz="0" w:space="0" w:color="auto"/>
                    <w:right w:val="none" w:sz="0" w:space="0" w:color="auto"/>
                  </w:divBdr>
                  <w:divsChild>
                    <w:div w:id="25258137">
                      <w:marLeft w:val="0"/>
                      <w:marRight w:val="0"/>
                      <w:marTop w:val="0"/>
                      <w:marBottom w:val="0"/>
                      <w:divBdr>
                        <w:top w:val="none" w:sz="0" w:space="0" w:color="auto"/>
                        <w:left w:val="none" w:sz="0" w:space="0" w:color="auto"/>
                        <w:bottom w:val="none" w:sz="0" w:space="0" w:color="auto"/>
                        <w:right w:val="none" w:sz="0" w:space="0" w:color="auto"/>
                      </w:divBdr>
                    </w:div>
                  </w:divsChild>
                </w:div>
                <w:div w:id="1718889614">
                  <w:marLeft w:val="0"/>
                  <w:marRight w:val="0"/>
                  <w:marTop w:val="0"/>
                  <w:marBottom w:val="0"/>
                  <w:divBdr>
                    <w:top w:val="none" w:sz="0" w:space="0" w:color="auto"/>
                    <w:left w:val="none" w:sz="0" w:space="0" w:color="auto"/>
                    <w:bottom w:val="none" w:sz="0" w:space="0" w:color="auto"/>
                    <w:right w:val="none" w:sz="0" w:space="0" w:color="auto"/>
                  </w:divBdr>
                  <w:divsChild>
                    <w:div w:id="1015418837">
                      <w:marLeft w:val="0"/>
                      <w:marRight w:val="0"/>
                      <w:marTop w:val="0"/>
                      <w:marBottom w:val="0"/>
                      <w:divBdr>
                        <w:top w:val="none" w:sz="0" w:space="0" w:color="auto"/>
                        <w:left w:val="none" w:sz="0" w:space="0" w:color="auto"/>
                        <w:bottom w:val="none" w:sz="0" w:space="0" w:color="auto"/>
                        <w:right w:val="none" w:sz="0" w:space="0" w:color="auto"/>
                      </w:divBdr>
                    </w:div>
                  </w:divsChild>
                </w:div>
                <w:div w:id="1090004195">
                  <w:marLeft w:val="0"/>
                  <w:marRight w:val="0"/>
                  <w:marTop w:val="0"/>
                  <w:marBottom w:val="0"/>
                  <w:divBdr>
                    <w:top w:val="none" w:sz="0" w:space="0" w:color="auto"/>
                    <w:left w:val="none" w:sz="0" w:space="0" w:color="auto"/>
                    <w:bottom w:val="none" w:sz="0" w:space="0" w:color="auto"/>
                    <w:right w:val="none" w:sz="0" w:space="0" w:color="auto"/>
                  </w:divBdr>
                  <w:divsChild>
                    <w:div w:id="1264069573">
                      <w:marLeft w:val="0"/>
                      <w:marRight w:val="0"/>
                      <w:marTop w:val="0"/>
                      <w:marBottom w:val="0"/>
                      <w:divBdr>
                        <w:top w:val="none" w:sz="0" w:space="0" w:color="auto"/>
                        <w:left w:val="none" w:sz="0" w:space="0" w:color="auto"/>
                        <w:bottom w:val="none" w:sz="0" w:space="0" w:color="auto"/>
                        <w:right w:val="none" w:sz="0" w:space="0" w:color="auto"/>
                      </w:divBdr>
                    </w:div>
                  </w:divsChild>
                </w:div>
                <w:div w:id="101147535">
                  <w:marLeft w:val="0"/>
                  <w:marRight w:val="0"/>
                  <w:marTop w:val="0"/>
                  <w:marBottom w:val="0"/>
                  <w:divBdr>
                    <w:top w:val="none" w:sz="0" w:space="0" w:color="auto"/>
                    <w:left w:val="none" w:sz="0" w:space="0" w:color="auto"/>
                    <w:bottom w:val="none" w:sz="0" w:space="0" w:color="auto"/>
                    <w:right w:val="none" w:sz="0" w:space="0" w:color="auto"/>
                  </w:divBdr>
                  <w:divsChild>
                    <w:div w:id="858082513">
                      <w:marLeft w:val="0"/>
                      <w:marRight w:val="0"/>
                      <w:marTop w:val="0"/>
                      <w:marBottom w:val="0"/>
                      <w:divBdr>
                        <w:top w:val="none" w:sz="0" w:space="0" w:color="auto"/>
                        <w:left w:val="none" w:sz="0" w:space="0" w:color="auto"/>
                        <w:bottom w:val="none" w:sz="0" w:space="0" w:color="auto"/>
                        <w:right w:val="none" w:sz="0" w:space="0" w:color="auto"/>
                      </w:divBdr>
                    </w:div>
                  </w:divsChild>
                </w:div>
                <w:div w:id="294411231">
                  <w:marLeft w:val="0"/>
                  <w:marRight w:val="0"/>
                  <w:marTop w:val="0"/>
                  <w:marBottom w:val="0"/>
                  <w:divBdr>
                    <w:top w:val="none" w:sz="0" w:space="0" w:color="auto"/>
                    <w:left w:val="none" w:sz="0" w:space="0" w:color="auto"/>
                    <w:bottom w:val="none" w:sz="0" w:space="0" w:color="auto"/>
                    <w:right w:val="none" w:sz="0" w:space="0" w:color="auto"/>
                  </w:divBdr>
                  <w:divsChild>
                    <w:div w:id="39323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877556">
          <w:marLeft w:val="0"/>
          <w:marRight w:val="0"/>
          <w:marTop w:val="0"/>
          <w:marBottom w:val="0"/>
          <w:divBdr>
            <w:top w:val="none" w:sz="0" w:space="0" w:color="auto"/>
            <w:left w:val="none" w:sz="0" w:space="0" w:color="auto"/>
            <w:bottom w:val="none" w:sz="0" w:space="0" w:color="auto"/>
            <w:right w:val="none" w:sz="0" w:space="0" w:color="auto"/>
          </w:divBdr>
        </w:div>
        <w:div w:id="1647929994">
          <w:marLeft w:val="0"/>
          <w:marRight w:val="0"/>
          <w:marTop w:val="0"/>
          <w:marBottom w:val="0"/>
          <w:divBdr>
            <w:top w:val="none" w:sz="0" w:space="0" w:color="auto"/>
            <w:left w:val="none" w:sz="0" w:space="0" w:color="auto"/>
            <w:bottom w:val="none" w:sz="0" w:space="0" w:color="auto"/>
            <w:right w:val="none" w:sz="0" w:space="0" w:color="auto"/>
          </w:divBdr>
        </w:div>
      </w:divsChild>
    </w:div>
    <w:div w:id="1325821144">
      <w:bodyDiv w:val="1"/>
      <w:marLeft w:val="0"/>
      <w:marRight w:val="0"/>
      <w:marTop w:val="0"/>
      <w:marBottom w:val="0"/>
      <w:divBdr>
        <w:top w:val="none" w:sz="0" w:space="0" w:color="auto"/>
        <w:left w:val="none" w:sz="0" w:space="0" w:color="auto"/>
        <w:bottom w:val="none" w:sz="0" w:space="0" w:color="auto"/>
        <w:right w:val="none" w:sz="0" w:space="0" w:color="auto"/>
      </w:divBdr>
    </w:div>
    <w:div w:id="1326981146">
      <w:bodyDiv w:val="1"/>
      <w:marLeft w:val="0"/>
      <w:marRight w:val="0"/>
      <w:marTop w:val="0"/>
      <w:marBottom w:val="0"/>
      <w:divBdr>
        <w:top w:val="none" w:sz="0" w:space="0" w:color="auto"/>
        <w:left w:val="none" w:sz="0" w:space="0" w:color="auto"/>
        <w:bottom w:val="none" w:sz="0" w:space="0" w:color="auto"/>
        <w:right w:val="none" w:sz="0" w:space="0" w:color="auto"/>
      </w:divBdr>
    </w:div>
    <w:div w:id="1336113401">
      <w:bodyDiv w:val="1"/>
      <w:marLeft w:val="0"/>
      <w:marRight w:val="0"/>
      <w:marTop w:val="0"/>
      <w:marBottom w:val="0"/>
      <w:divBdr>
        <w:top w:val="none" w:sz="0" w:space="0" w:color="auto"/>
        <w:left w:val="none" w:sz="0" w:space="0" w:color="auto"/>
        <w:bottom w:val="none" w:sz="0" w:space="0" w:color="auto"/>
        <w:right w:val="none" w:sz="0" w:space="0" w:color="auto"/>
      </w:divBdr>
    </w:div>
    <w:div w:id="1344940498">
      <w:bodyDiv w:val="1"/>
      <w:marLeft w:val="0"/>
      <w:marRight w:val="0"/>
      <w:marTop w:val="0"/>
      <w:marBottom w:val="0"/>
      <w:divBdr>
        <w:top w:val="none" w:sz="0" w:space="0" w:color="auto"/>
        <w:left w:val="none" w:sz="0" w:space="0" w:color="auto"/>
        <w:bottom w:val="none" w:sz="0" w:space="0" w:color="auto"/>
        <w:right w:val="none" w:sz="0" w:space="0" w:color="auto"/>
      </w:divBdr>
    </w:div>
    <w:div w:id="1346248315">
      <w:bodyDiv w:val="1"/>
      <w:marLeft w:val="0"/>
      <w:marRight w:val="0"/>
      <w:marTop w:val="0"/>
      <w:marBottom w:val="0"/>
      <w:divBdr>
        <w:top w:val="none" w:sz="0" w:space="0" w:color="auto"/>
        <w:left w:val="none" w:sz="0" w:space="0" w:color="auto"/>
        <w:bottom w:val="none" w:sz="0" w:space="0" w:color="auto"/>
        <w:right w:val="none" w:sz="0" w:space="0" w:color="auto"/>
      </w:divBdr>
    </w:div>
    <w:div w:id="1349789266">
      <w:bodyDiv w:val="1"/>
      <w:marLeft w:val="0"/>
      <w:marRight w:val="0"/>
      <w:marTop w:val="0"/>
      <w:marBottom w:val="0"/>
      <w:divBdr>
        <w:top w:val="none" w:sz="0" w:space="0" w:color="auto"/>
        <w:left w:val="none" w:sz="0" w:space="0" w:color="auto"/>
        <w:bottom w:val="none" w:sz="0" w:space="0" w:color="auto"/>
        <w:right w:val="none" w:sz="0" w:space="0" w:color="auto"/>
      </w:divBdr>
    </w:div>
    <w:div w:id="1356033071">
      <w:bodyDiv w:val="1"/>
      <w:marLeft w:val="0"/>
      <w:marRight w:val="0"/>
      <w:marTop w:val="0"/>
      <w:marBottom w:val="0"/>
      <w:divBdr>
        <w:top w:val="none" w:sz="0" w:space="0" w:color="auto"/>
        <w:left w:val="none" w:sz="0" w:space="0" w:color="auto"/>
        <w:bottom w:val="none" w:sz="0" w:space="0" w:color="auto"/>
        <w:right w:val="none" w:sz="0" w:space="0" w:color="auto"/>
      </w:divBdr>
    </w:div>
    <w:div w:id="1358895934">
      <w:bodyDiv w:val="1"/>
      <w:marLeft w:val="0"/>
      <w:marRight w:val="0"/>
      <w:marTop w:val="0"/>
      <w:marBottom w:val="0"/>
      <w:divBdr>
        <w:top w:val="none" w:sz="0" w:space="0" w:color="auto"/>
        <w:left w:val="none" w:sz="0" w:space="0" w:color="auto"/>
        <w:bottom w:val="none" w:sz="0" w:space="0" w:color="auto"/>
        <w:right w:val="none" w:sz="0" w:space="0" w:color="auto"/>
      </w:divBdr>
    </w:div>
    <w:div w:id="1362319553">
      <w:bodyDiv w:val="1"/>
      <w:marLeft w:val="0"/>
      <w:marRight w:val="0"/>
      <w:marTop w:val="0"/>
      <w:marBottom w:val="0"/>
      <w:divBdr>
        <w:top w:val="none" w:sz="0" w:space="0" w:color="auto"/>
        <w:left w:val="none" w:sz="0" w:space="0" w:color="auto"/>
        <w:bottom w:val="none" w:sz="0" w:space="0" w:color="auto"/>
        <w:right w:val="none" w:sz="0" w:space="0" w:color="auto"/>
      </w:divBdr>
    </w:div>
    <w:div w:id="1362437935">
      <w:bodyDiv w:val="1"/>
      <w:marLeft w:val="0"/>
      <w:marRight w:val="0"/>
      <w:marTop w:val="0"/>
      <w:marBottom w:val="0"/>
      <w:divBdr>
        <w:top w:val="none" w:sz="0" w:space="0" w:color="auto"/>
        <w:left w:val="none" w:sz="0" w:space="0" w:color="auto"/>
        <w:bottom w:val="none" w:sz="0" w:space="0" w:color="auto"/>
        <w:right w:val="none" w:sz="0" w:space="0" w:color="auto"/>
      </w:divBdr>
    </w:div>
    <w:div w:id="1369455817">
      <w:bodyDiv w:val="1"/>
      <w:marLeft w:val="0"/>
      <w:marRight w:val="0"/>
      <w:marTop w:val="0"/>
      <w:marBottom w:val="0"/>
      <w:divBdr>
        <w:top w:val="none" w:sz="0" w:space="0" w:color="auto"/>
        <w:left w:val="none" w:sz="0" w:space="0" w:color="auto"/>
        <w:bottom w:val="none" w:sz="0" w:space="0" w:color="auto"/>
        <w:right w:val="none" w:sz="0" w:space="0" w:color="auto"/>
      </w:divBdr>
    </w:div>
    <w:div w:id="1372415553">
      <w:bodyDiv w:val="1"/>
      <w:marLeft w:val="0"/>
      <w:marRight w:val="0"/>
      <w:marTop w:val="0"/>
      <w:marBottom w:val="0"/>
      <w:divBdr>
        <w:top w:val="none" w:sz="0" w:space="0" w:color="auto"/>
        <w:left w:val="none" w:sz="0" w:space="0" w:color="auto"/>
        <w:bottom w:val="none" w:sz="0" w:space="0" w:color="auto"/>
        <w:right w:val="none" w:sz="0" w:space="0" w:color="auto"/>
      </w:divBdr>
    </w:div>
    <w:div w:id="1373845478">
      <w:bodyDiv w:val="1"/>
      <w:marLeft w:val="0"/>
      <w:marRight w:val="0"/>
      <w:marTop w:val="0"/>
      <w:marBottom w:val="0"/>
      <w:divBdr>
        <w:top w:val="none" w:sz="0" w:space="0" w:color="auto"/>
        <w:left w:val="none" w:sz="0" w:space="0" w:color="auto"/>
        <w:bottom w:val="none" w:sz="0" w:space="0" w:color="auto"/>
        <w:right w:val="none" w:sz="0" w:space="0" w:color="auto"/>
      </w:divBdr>
    </w:div>
    <w:div w:id="1374618113">
      <w:bodyDiv w:val="1"/>
      <w:marLeft w:val="0"/>
      <w:marRight w:val="0"/>
      <w:marTop w:val="0"/>
      <w:marBottom w:val="0"/>
      <w:divBdr>
        <w:top w:val="none" w:sz="0" w:space="0" w:color="auto"/>
        <w:left w:val="none" w:sz="0" w:space="0" w:color="auto"/>
        <w:bottom w:val="none" w:sz="0" w:space="0" w:color="auto"/>
        <w:right w:val="none" w:sz="0" w:space="0" w:color="auto"/>
      </w:divBdr>
    </w:div>
    <w:div w:id="1381007027">
      <w:bodyDiv w:val="1"/>
      <w:marLeft w:val="0"/>
      <w:marRight w:val="0"/>
      <w:marTop w:val="0"/>
      <w:marBottom w:val="0"/>
      <w:divBdr>
        <w:top w:val="none" w:sz="0" w:space="0" w:color="auto"/>
        <w:left w:val="none" w:sz="0" w:space="0" w:color="auto"/>
        <w:bottom w:val="none" w:sz="0" w:space="0" w:color="auto"/>
        <w:right w:val="none" w:sz="0" w:space="0" w:color="auto"/>
      </w:divBdr>
    </w:div>
    <w:div w:id="1381317381">
      <w:bodyDiv w:val="1"/>
      <w:marLeft w:val="0"/>
      <w:marRight w:val="0"/>
      <w:marTop w:val="0"/>
      <w:marBottom w:val="0"/>
      <w:divBdr>
        <w:top w:val="none" w:sz="0" w:space="0" w:color="auto"/>
        <w:left w:val="none" w:sz="0" w:space="0" w:color="auto"/>
        <w:bottom w:val="none" w:sz="0" w:space="0" w:color="auto"/>
        <w:right w:val="none" w:sz="0" w:space="0" w:color="auto"/>
      </w:divBdr>
    </w:div>
    <w:div w:id="1388450499">
      <w:bodyDiv w:val="1"/>
      <w:marLeft w:val="0"/>
      <w:marRight w:val="0"/>
      <w:marTop w:val="0"/>
      <w:marBottom w:val="0"/>
      <w:divBdr>
        <w:top w:val="none" w:sz="0" w:space="0" w:color="auto"/>
        <w:left w:val="none" w:sz="0" w:space="0" w:color="auto"/>
        <w:bottom w:val="none" w:sz="0" w:space="0" w:color="auto"/>
        <w:right w:val="none" w:sz="0" w:space="0" w:color="auto"/>
      </w:divBdr>
    </w:div>
    <w:div w:id="1395392652">
      <w:bodyDiv w:val="1"/>
      <w:marLeft w:val="0"/>
      <w:marRight w:val="0"/>
      <w:marTop w:val="0"/>
      <w:marBottom w:val="0"/>
      <w:divBdr>
        <w:top w:val="none" w:sz="0" w:space="0" w:color="auto"/>
        <w:left w:val="none" w:sz="0" w:space="0" w:color="auto"/>
        <w:bottom w:val="none" w:sz="0" w:space="0" w:color="auto"/>
        <w:right w:val="none" w:sz="0" w:space="0" w:color="auto"/>
      </w:divBdr>
    </w:div>
    <w:div w:id="1399547233">
      <w:bodyDiv w:val="1"/>
      <w:marLeft w:val="0"/>
      <w:marRight w:val="0"/>
      <w:marTop w:val="0"/>
      <w:marBottom w:val="0"/>
      <w:divBdr>
        <w:top w:val="none" w:sz="0" w:space="0" w:color="auto"/>
        <w:left w:val="none" w:sz="0" w:space="0" w:color="auto"/>
        <w:bottom w:val="none" w:sz="0" w:space="0" w:color="auto"/>
        <w:right w:val="none" w:sz="0" w:space="0" w:color="auto"/>
      </w:divBdr>
    </w:div>
    <w:div w:id="1400403459">
      <w:bodyDiv w:val="1"/>
      <w:marLeft w:val="0"/>
      <w:marRight w:val="0"/>
      <w:marTop w:val="0"/>
      <w:marBottom w:val="0"/>
      <w:divBdr>
        <w:top w:val="none" w:sz="0" w:space="0" w:color="auto"/>
        <w:left w:val="none" w:sz="0" w:space="0" w:color="auto"/>
        <w:bottom w:val="none" w:sz="0" w:space="0" w:color="auto"/>
        <w:right w:val="none" w:sz="0" w:space="0" w:color="auto"/>
      </w:divBdr>
    </w:div>
    <w:div w:id="1401974763">
      <w:bodyDiv w:val="1"/>
      <w:marLeft w:val="0"/>
      <w:marRight w:val="0"/>
      <w:marTop w:val="0"/>
      <w:marBottom w:val="0"/>
      <w:divBdr>
        <w:top w:val="none" w:sz="0" w:space="0" w:color="auto"/>
        <w:left w:val="none" w:sz="0" w:space="0" w:color="auto"/>
        <w:bottom w:val="none" w:sz="0" w:space="0" w:color="auto"/>
        <w:right w:val="none" w:sz="0" w:space="0" w:color="auto"/>
      </w:divBdr>
    </w:div>
    <w:div w:id="1403912212">
      <w:bodyDiv w:val="1"/>
      <w:marLeft w:val="0"/>
      <w:marRight w:val="0"/>
      <w:marTop w:val="0"/>
      <w:marBottom w:val="0"/>
      <w:divBdr>
        <w:top w:val="none" w:sz="0" w:space="0" w:color="auto"/>
        <w:left w:val="none" w:sz="0" w:space="0" w:color="auto"/>
        <w:bottom w:val="none" w:sz="0" w:space="0" w:color="auto"/>
        <w:right w:val="none" w:sz="0" w:space="0" w:color="auto"/>
      </w:divBdr>
    </w:div>
    <w:div w:id="1414164722">
      <w:bodyDiv w:val="1"/>
      <w:marLeft w:val="0"/>
      <w:marRight w:val="0"/>
      <w:marTop w:val="0"/>
      <w:marBottom w:val="0"/>
      <w:divBdr>
        <w:top w:val="none" w:sz="0" w:space="0" w:color="auto"/>
        <w:left w:val="none" w:sz="0" w:space="0" w:color="auto"/>
        <w:bottom w:val="none" w:sz="0" w:space="0" w:color="auto"/>
        <w:right w:val="none" w:sz="0" w:space="0" w:color="auto"/>
      </w:divBdr>
    </w:div>
    <w:div w:id="1420444436">
      <w:bodyDiv w:val="1"/>
      <w:marLeft w:val="0"/>
      <w:marRight w:val="0"/>
      <w:marTop w:val="0"/>
      <w:marBottom w:val="0"/>
      <w:divBdr>
        <w:top w:val="none" w:sz="0" w:space="0" w:color="auto"/>
        <w:left w:val="none" w:sz="0" w:space="0" w:color="auto"/>
        <w:bottom w:val="none" w:sz="0" w:space="0" w:color="auto"/>
        <w:right w:val="none" w:sz="0" w:space="0" w:color="auto"/>
      </w:divBdr>
      <w:divsChild>
        <w:div w:id="1318150501">
          <w:marLeft w:val="0"/>
          <w:marRight w:val="0"/>
          <w:marTop w:val="0"/>
          <w:marBottom w:val="0"/>
          <w:divBdr>
            <w:top w:val="none" w:sz="0" w:space="0" w:color="auto"/>
            <w:left w:val="none" w:sz="0" w:space="0" w:color="auto"/>
            <w:bottom w:val="none" w:sz="0" w:space="0" w:color="auto"/>
            <w:right w:val="none" w:sz="0" w:space="0" w:color="auto"/>
          </w:divBdr>
          <w:divsChild>
            <w:div w:id="22294013">
              <w:marLeft w:val="0"/>
              <w:marRight w:val="0"/>
              <w:marTop w:val="0"/>
              <w:marBottom w:val="0"/>
              <w:divBdr>
                <w:top w:val="none" w:sz="0" w:space="0" w:color="auto"/>
                <w:left w:val="none" w:sz="0" w:space="0" w:color="auto"/>
                <w:bottom w:val="none" w:sz="0" w:space="0" w:color="auto"/>
                <w:right w:val="none" w:sz="0" w:space="0" w:color="auto"/>
              </w:divBdr>
            </w:div>
          </w:divsChild>
        </w:div>
        <w:div w:id="984355970">
          <w:marLeft w:val="0"/>
          <w:marRight w:val="0"/>
          <w:marTop w:val="0"/>
          <w:marBottom w:val="0"/>
          <w:divBdr>
            <w:top w:val="none" w:sz="0" w:space="0" w:color="auto"/>
            <w:left w:val="none" w:sz="0" w:space="0" w:color="auto"/>
            <w:bottom w:val="none" w:sz="0" w:space="0" w:color="auto"/>
            <w:right w:val="none" w:sz="0" w:space="0" w:color="auto"/>
          </w:divBdr>
          <w:divsChild>
            <w:div w:id="2069374977">
              <w:marLeft w:val="0"/>
              <w:marRight w:val="0"/>
              <w:marTop w:val="0"/>
              <w:marBottom w:val="0"/>
              <w:divBdr>
                <w:top w:val="none" w:sz="0" w:space="0" w:color="auto"/>
                <w:left w:val="none" w:sz="0" w:space="0" w:color="auto"/>
                <w:bottom w:val="none" w:sz="0" w:space="0" w:color="auto"/>
                <w:right w:val="none" w:sz="0" w:space="0" w:color="auto"/>
              </w:divBdr>
            </w:div>
          </w:divsChild>
        </w:div>
        <w:div w:id="295336800">
          <w:marLeft w:val="0"/>
          <w:marRight w:val="0"/>
          <w:marTop w:val="0"/>
          <w:marBottom w:val="0"/>
          <w:divBdr>
            <w:top w:val="none" w:sz="0" w:space="0" w:color="auto"/>
            <w:left w:val="none" w:sz="0" w:space="0" w:color="auto"/>
            <w:bottom w:val="none" w:sz="0" w:space="0" w:color="auto"/>
            <w:right w:val="none" w:sz="0" w:space="0" w:color="auto"/>
          </w:divBdr>
          <w:divsChild>
            <w:div w:id="1215778425">
              <w:marLeft w:val="0"/>
              <w:marRight w:val="0"/>
              <w:marTop w:val="0"/>
              <w:marBottom w:val="0"/>
              <w:divBdr>
                <w:top w:val="none" w:sz="0" w:space="0" w:color="auto"/>
                <w:left w:val="none" w:sz="0" w:space="0" w:color="auto"/>
                <w:bottom w:val="none" w:sz="0" w:space="0" w:color="auto"/>
                <w:right w:val="none" w:sz="0" w:space="0" w:color="auto"/>
              </w:divBdr>
            </w:div>
          </w:divsChild>
        </w:div>
        <w:div w:id="78795522">
          <w:marLeft w:val="0"/>
          <w:marRight w:val="0"/>
          <w:marTop w:val="0"/>
          <w:marBottom w:val="0"/>
          <w:divBdr>
            <w:top w:val="none" w:sz="0" w:space="0" w:color="auto"/>
            <w:left w:val="none" w:sz="0" w:space="0" w:color="auto"/>
            <w:bottom w:val="none" w:sz="0" w:space="0" w:color="auto"/>
            <w:right w:val="none" w:sz="0" w:space="0" w:color="auto"/>
          </w:divBdr>
          <w:divsChild>
            <w:div w:id="1113674281">
              <w:marLeft w:val="0"/>
              <w:marRight w:val="0"/>
              <w:marTop w:val="0"/>
              <w:marBottom w:val="0"/>
              <w:divBdr>
                <w:top w:val="none" w:sz="0" w:space="0" w:color="auto"/>
                <w:left w:val="none" w:sz="0" w:space="0" w:color="auto"/>
                <w:bottom w:val="none" w:sz="0" w:space="0" w:color="auto"/>
                <w:right w:val="none" w:sz="0" w:space="0" w:color="auto"/>
              </w:divBdr>
            </w:div>
          </w:divsChild>
        </w:div>
        <w:div w:id="782696473">
          <w:marLeft w:val="0"/>
          <w:marRight w:val="0"/>
          <w:marTop w:val="0"/>
          <w:marBottom w:val="0"/>
          <w:divBdr>
            <w:top w:val="none" w:sz="0" w:space="0" w:color="auto"/>
            <w:left w:val="none" w:sz="0" w:space="0" w:color="auto"/>
            <w:bottom w:val="none" w:sz="0" w:space="0" w:color="auto"/>
            <w:right w:val="none" w:sz="0" w:space="0" w:color="auto"/>
          </w:divBdr>
          <w:divsChild>
            <w:div w:id="362243183">
              <w:marLeft w:val="0"/>
              <w:marRight w:val="0"/>
              <w:marTop w:val="0"/>
              <w:marBottom w:val="0"/>
              <w:divBdr>
                <w:top w:val="none" w:sz="0" w:space="0" w:color="auto"/>
                <w:left w:val="none" w:sz="0" w:space="0" w:color="auto"/>
                <w:bottom w:val="none" w:sz="0" w:space="0" w:color="auto"/>
                <w:right w:val="none" w:sz="0" w:space="0" w:color="auto"/>
              </w:divBdr>
            </w:div>
          </w:divsChild>
        </w:div>
        <w:div w:id="907885398">
          <w:marLeft w:val="0"/>
          <w:marRight w:val="0"/>
          <w:marTop w:val="0"/>
          <w:marBottom w:val="0"/>
          <w:divBdr>
            <w:top w:val="none" w:sz="0" w:space="0" w:color="auto"/>
            <w:left w:val="none" w:sz="0" w:space="0" w:color="auto"/>
            <w:bottom w:val="none" w:sz="0" w:space="0" w:color="auto"/>
            <w:right w:val="none" w:sz="0" w:space="0" w:color="auto"/>
          </w:divBdr>
          <w:divsChild>
            <w:div w:id="1406798653">
              <w:marLeft w:val="0"/>
              <w:marRight w:val="0"/>
              <w:marTop w:val="0"/>
              <w:marBottom w:val="0"/>
              <w:divBdr>
                <w:top w:val="none" w:sz="0" w:space="0" w:color="auto"/>
                <w:left w:val="none" w:sz="0" w:space="0" w:color="auto"/>
                <w:bottom w:val="none" w:sz="0" w:space="0" w:color="auto"/>
                <w:right w:val="none" w:sz="0" w:space="0" w:color="auto"/>
              </w:divBdr>
            </w:div>
          </w:divsChild>
        </w:div>
        <w:div w:id="691298277">
          <w:marLeft w:val="0"/>
          <w:marRight w:val="0"/>
          <w:marTop w:val="0"/>
          <w:marBottom w:val="0"/>
          <w:divBdr>
            <w:top w:val="none" w:sz="0" w:space="0" w:color="auto"/>
            <w:left w:val="none" w:sz="0" w:space="0" w:color="auto"/>
            <w:bottom w:val="none" w:sz="0" w:space="0" w:color="auto"/>
            <w:right w:val="none" w:sz="0" w:space="0" w:color="auto"/>
          </w:divBdr>
          <w:divsChild>
            <w:div w:id="1735590546">
              <w:marLeft w:val="0"/>
              <w:marRight w:val="0"/>
              <w:marTop w:val="0"/>
              <w:marBottom w:val="0"/>
              <w:divBdr>
                <w:top w:val="none" w:sz="0" w:space="0" w:color="auto"/>
                <w:left w:val="none" w:sz="0" w:space="0" w:color="auto"/>
                <w:bottom w:val="none" w:sz="0" w:space="0" w:color="auto"/>
                <w:right w:val="none" w:sz="0" w:space="0" w:color="auto"/>
              </w:divBdr>
            </w:div>
          </w:divsChild>
        </w:div>
        <w:div w:id="1113667512">
          <w:marLeft w:val="0"/>
          <w:marRight w:val="0"/>
          <w:marTop w:val="0"/>
          <w:marBottom w:val="0"/>
          <w:divBdr>
            <w:top w:val="none" w:sz="0" w:space="0" w:color="auto"/>
            <w:left w:val="none" w:sz="0" w:space="0" w:color="auto"/>
            <w:bottom w:val="none" w:sz="0" w:space="0" w:color="auto"/>
            <w:right w:val="none" w:sz="0" w:space="0" w:color="auto"/>
          </w:divBdr>
          <w:divsChild>
            <w:div w:id="2093892454">
              <w:marLeft w:val="0"/>
              <w:marRight w:val="0"/>
              <w:marTop w:val="0"/>
              <w:marBottom w:val="0"/>
              <w:divBdr>
                <w:top w:val="none" w:sz="0" w:space="0" w:color="auto"/>
                <w:left w:val="none" w:sz="0" w:space="0" w:color="auto"/>
                <w:bottom w:val="none" w:sz="0" w:space="0" w:color="auto"/>
                <w:right w:val="none" w:sz="0" w:space="0" w:color="auto"/>
              </w:divBdr>
            </w:div>
          </w:divsChild>
        </w:div>
        <w:div w:id="321855231">
          <w:marLeft w:val="0"/>
          <w:marRight w:val="0"/>
          <w:marTop w:val="0"/>
          <w:marBottom w:val="0"/>
          <w:divBdr>
            <w:top w:val="none" w:sz="0" w:space="0" w:color="auto"/>
            <w:left w:val="none" w:sz="0" w:space="0" w:color="auto"/>
            <w:bottom w:val="none" w:sz="0" w:space="0" w:color="auto"/>
            <w:right w:val="none" w:sz="0" w:space="0" w:color="auto"/>
          </w:divBdr>
          <w:divsChild>
            <w:div w:id="792527135">
              <w:marLeft w:val="0"/>
              <w:marRight w:val="0"/>
              <w:marTop w:val="0"/>
              <w:marBottom w:val="0"/>
              <w:divBdr>
                <w:top w:val="none" w:sz="0" w:space="0" w:color="auto"/>
                <w:left w:val="none" w:sz="0" w:space="0" w:color="auto"/>
                <w:bottom w:val="none" w:sz="0" w:space="0" w:color="auto"/>
                <w:right w:val="none" w:sz="0" w:space="0" w:color="auto"/>
              </w:divBdr>
            </w:div>
          </w:divsChild>
        </w:div>
        <w:div w:id="919288059">
          <w:marLeft w:val="0"/>
          <w:marRight w:val="0"/>
          <w:marTop w:val="0"/>
          <w:marBottom w:val="0"/>
          <w:divBdr>
            <w:top w:val="none" w:sz="0" w:space="0" w:color="auto"/>
            <w:left w:val="none" w:sz="0" w:space="0" w:color="auto"/>
            <w:bottom w:val="none" w:sz="0" w:space="0" w:color="auto"/>
            <w:right w:val="none" w:sz="0" w:space="0" w:color="auto"/>
          </w:divBdr>
          <w:divsChild>
            <w:div w:id="493229282">
              <w:marLeft w:val="0"/>
              <w:marRight w:val="0"/>
              <w:marTop w:val="0"/>
              <w:marBottom w:val="0"/>
              <w:divBdr>
                <w:top w:val="none" w:sz="0" w:space="0" w:color="auto"/>
                <w:left w:val="none" w:sz="0" w:space="0" w:color="auto"/>
                <w:bottom w:val="none" w:sz="0" w:space="0" w:color="auto"/>
                <w:right w:val="none" w:sz="0" w:space="0" w:color="auto"/>
              </w:divBdr>
            </w:div>
          </w:divsChild>
        </w:div>
        <w:div w:id="1249458067">
          <w:marLeft w:val="0"/>
          <w:marRight w:val="0"/>
          <w:marTop w:val="0"/>
          <w:marBottom w:val="0"/>
          <w:divBdr>
            <w:top w:val="none" w:sz="0" w:space="0" w:color="auto"/>
            <w:left w:val="none" w:sz="0" w:space="0" w:color="auto"/>
            <w:bottom w:val="none" w:sz="0" w:space="0" w:color="auto"/>
            <w:right w:val="none" w:sz="0" w:space="0" w:color="auto"/>
          </w:divBdr>
          <w:divsChild>
            <w:div w:id="232274383">
              <w:marLeft w:val="0"/>
              <w:marRight w:val="0"/>
              <w:marTop w:val="0"/>
              <w:marBottom w:val="0"/>
              <w:divBdr>
                <w:top w:val="none" w:sz="0" w:space="0" w:color="auto"/>
                <w:left w:val="none" w:sz="0" w:space="0" w:color="auto"/>
                <w:bottom w:val="none" w:sz="0" w:space="0" w:color="auto"/>
                <w:right w:val="none" w:sz="0" w:space="0" w:color="auto"/>
              </w:divBdr>
            </w:div>
          </w:divsChild>
        </w:div>
        <w:div w:id="524632871">
          <w:marLeft w:val="0"/>
          <w:marRight w:val="0"/>
          <w:marTop w:val="0"/>
          <w:marBottom w:val="0"/>
          <w:divBdr>
            <w:top w:val="none" w:sz="0" w:space="0" w:color="auto"/>
            <w:left w:val="none" w:sz="0" w:space="0" w:color="auto"/>
            <w:bottom w:val="none" w:sz="0" w:space="0" w:color="auto"/>
            <w:right w:val="none" w:sz="0" w:space="0" w:color="auto"/>
          </w:divBdr>
          <w:divsChild>
            <w:div w:id="753865547">
              <w:marLeft w:val="0"/>
              <w:marRight w:val="0"/>
              <w:marTop w:val="0"/>
              <w:marBottom w:val="0"/>
              <w:divBdr>
                <w:top w:val="none" w:sz="0" w:space="0" w:color="auto"/>
                <w:left w:val="none" w:sz="0" w:space="0" w:color="auto"/>
                <w:bottom w:val="none" w:sz="0" w:space="0" w:color="auto"/>
                <w:right w:val="none" w:sz="0" w:space="0" w:color="auto"/>
              </w:divBdr>
            </w:div>
          </w:divsChild>
        </w:div>
        <w:div w:id="1625039182">
          <w:marLeft w:val="0"/>
          <w:marRight w:val="0"/>
          <w:marTop w:val="0"/>
          <w:marBottom w:val="0"/>
          <w:divBdr>
            <w:top w:val="none" w:sz="0" w:space="0" w:color="auto"/>
            <w:left w:val="none" w:sz="0" w:space="0" w:color="auto"/>
            <w:bottom w:val="none" w:sz="0" w:space="0" w:color="auto"/>
            <w:right w:val="none" w:sz="0" w:space="0" w:color="auto"/>
          </w:divBdr>
          <w:divsChild>
            <w:div w:id="1111318130">
              <w:marLeft w:val="0"/>
              <w:marRight w:val="0"/>
              <w:marTop w:val="0"/>
              <w:marBottom w:val="0"/>
              <w:divBdr>
                <w:top w:val="none" w:sz="0" w:space="0" w:color="auto"/>
                <w:left w:val="none" w:sz="0" w:space="0" w:color="auto"/>
                <w:bottom w:val="none" w:sz="0" w:space="0" w:color="auto"/>
                <w:right w:val="none" w:sz="0" w:space="0" w:color="auto"/>
              </w:divBdr>
            </w:div>
          </w:divsChild>
        </w:div>
        <w:div w:id="211498418">
          <w:marLeft w:val="0"/>
          <w:marRight w:val="0"/>
          <w:marTop w:val="0"/>
          <w:marBottom w:val="0"/>
          <w:divBdr>
            <w:top w:val="none" w:sz="0" w:space="0" w:color="auto"/>
            <w:left w:val="none" w:sz="0" w:space="0" w:color="auto"/>
            <w:bottom w:val="none" w:sz="0" w:space="0" w:color="auto"/>
            <w:right w:val="none" w:sz="0" w:space="0" w:color="auto"/>
          </w:divBdr>
          <w:divsChild>
            <w:div w:id="911819994">
              <w:marLeft w:val="0"/>
              <w:marRight w:val="0"/>
              <w:marTop w:val="0"/>
              <w:marBottom w:val="0"/>
              <w:divBdr>
                <w:top w:val="none" w:sz="0" w:space="0" w:color="auto"/>
                <w:left w:val="none" w:sz="0" w:space="0" w:color="auto"/>
                <w:bottom w:val="none" w:sz="0" w:space="0" w:color="auto"/>
                <w:right w:val="none" w:sz="0" w:space="0" w:color="auto"/>
              </w:divBdr>
            </w:div>
          </w:divsChild>
        </w:div>
        <w:div w:id="1622758947">
          <w:marLeft w:val="0"/>
          <w:marRight w:val="0"/>
          <w:marTop w:val="0"/>
          <w:marBottom w:val="0"/>
          <w:divBdr>
            <w:top w:val="none" w:sz="0" w:space="0" w:color="auto"/>
            <w:left w:val="none" w:sz="0" w:space="0" w:color="auto"/>
            <w:bottom w:val="none" w:sz="0" w:space="0" w:color="auto"/>
            <w:right w:val="none" w:sz="0" w:space="0" w:color="auto"/>
          </w:divBdr>
          <w:divsChild>
            <w:div w:id="2045717156">
              <w:marLeft w:val="0"/>
              <w:marRight w:val="0"/>
              <w:marTop w:val="0"/>
              <w:marBottom w:val="0"/>
              <w:divBdr>
                <w:top w:val="none" w:sz="0" w:space="0" w:color="auto"/>
                <w:left w:val="none" w:sz="0" w:space="0" w:color="auto"/>
                <w:bottom w:val="none" w:sz="0" w:space="0" w:color="auto"/>
                <w:right w:val="none" w:sz="0" w:space="0" w:color="auto"/>
              </w:divBdr>
            </w:div>
          </w:divsChild>
        </w:div>
        <w:div w:id="899484229">
          <w:marLeft w:val="0"/>
          <w:marRight w:val="0"/>
          <w:marTop w:val="0"/>
          <w:marBottom w:val="0"/>
          <w:divBdr>
            <w:top w:val="none" w:sz="0" w:space="0" w:color="auto"/>
            <w:left w:val="none" w:sz="0" w:space="0" w:color="auto"/>
            <w:bottom w:val="none" w:sz="0" w:space="0" w:color="auto"/>
            <w:right w:val="none" w:sz="0" w:space="0" w:color="auto"/>
          </w:divBdr>
          <w:divsChild>
            <w:div w:id="457644108">
              <w:marLeft w:val="0"/>
              <w:marRight w:val="0"/>
              <w:marTop w:val="0"/>
              <w:marBottom w:val="0"/>
              <w:divBdr>
                <w:top w:val="none" w:sz="0" w:space="0" w:color="auto"/>
                <w:left w:val="none" w:sz="0" w:space="0" w:color="auto"/>
                <w:bottom w:val="none" w:sz="0" w:space="0" w:color="auto"/>
                <w:right w:val="none" w:sz="0" w:space="0" w:color="auto"/>
              </w:divBdr>
            </w:div>
          </w:divsChild>
        </w:div>
        <w:div w:id="1225066631">
          <w:marLeft w:val="0"/>
          <w:marRight w:val="0"/>
          <w:marTop w:val="0"/>
          <w:marBottom w:val="0"/>
          <w:divBdr>
            <w:top w:val="none" w:sz="0" w:space="0" w:color="auto"/>
            <w:left w:val="none" w:sz="0" w:space="0" w:color="auto"/>
            <w:bottom w:val="none" w:sz="0" w:space="0" w:color="auto"/>
            <w:right w:val="none" w:sz="0" w:space="0" w:color="auto"/>
          </w:divBdr>
          <w:divsChild>
            <w:div w:id="123042329">
              <w:marLeft w:val="0"/>
              <w:marRight w:val="0"/>
              <w:marTop w:val="0"/>
              <w:marBottom w:val="0"/>
              <w:divBdr>
                <w:top w:val="none" w:sz="0" w:space="0" w:color="auto"/>
                <w:left w:val="none" w:sz="0" w:space="0" w:color="auto"/>
                <w:bottom w:val="none" w:sz="0" w:space="0" w:color="auto"/>
                <w:right w:val="none" w:sz="0" w:space="0" w:color="auto"/>
              </w:divBdr>
            </w:div>
          </w:divsChild>
        </w:div>
        <w:div w:id="423039116">
          <w:marLeft w:val="0"/>
          <w:marRight w:val="0"/>
          <w:marTop w:val="0"/>
          <w:marBottom w:val="0"/>
          <w:divBdr>
            <w:top w:val="none" w:sz="0" w:space="0" w:color="auto"/>
            <w:left w:val="none" w:sz="0" w:space="0" w:color="auto"/>
            <w:bottom w:val="none" w:sz="0" w:space="0" w:color="auto"/>
            <w:right w:val="none" w:sz="0" w:space="0" w:color="auto"/>
          </w:divBdr>
          <w:divsChild>
            <w:div w:id="912012626">
              <w:marLeft w:val="0"/>
              <w:marRight w:val="0"/>
              <w:marTop w:val="0"/>
              <w:marBottom w:val="0"/>
              <w:divBdr>
                <w:top w:val="none" w:sz="0" w:space="0" w:color="auto"/>
                <w:left w:val="none" w:sz="0" w:space="0" w:color="auto"/>
                <w:bottom w:val="none" w:sz="0" w:space="0" w:color="auto"/>
                <w:right w:val="none" w:sz="0" w:space="0" w:color="auto"/>
              </w:divBdr>
            </w:div>
          </w:divsChild>
        </w:div>
        <w:div w:id="887884621">
          <w:marLeft w:val="0"/>
          <w:marRight w:val="0"/>
          <w:marTop w:val="0"/>
          <w:marBottom w:val="0"/>
          <w:divBdr>
            <w:top w:val="none" w:sz="0" w:space="0" w:color="auto"/>
            <w:left w:val="none" w:sz="0" w:space="0" w:color="auto"/>
            <w:bottom w:val="none" w:sz="0" w:space="0" w:color="auto"/>
            <w:right w:val="none" w:sz="0" w:space="0" w:color="auto"/>
          </w:divBdr>
          <w:divsChild>
            <w:div w:id="1775246643">
              <w:marLeft w:val="0"/>
              <w:marRight w:val="0"/>
              <w:marTop w:val="0"/>
              <w:marBottom w:val="0"/>
              <w:divBdr>
                <w:top w:val="none" w:sz="0" w:space="0" w:color="auto"/>
                <w:left w:val="none" w:sz="0" w:space="0" w:color="auto"/>
                <w:bottom w:val="none" w:sz="0" w:space="0" w:color="auto"/>
                <w:right w:val="none" w:sz="0" w:space="0" w:color="auto"/>
              </w:divBdr>
            </w:div>
          </w:divsChild>
        </w:div>
        <w:div w:id="638655898">
          <w:marLeft w:val="0"/>
          <w:marRight w:val="0"/>
          <w:marTop w:val="0"/>
          <w:marBottom w:val="0"/>
          <w:divBdr>
            <w:top w:val="none" w:sz="0" w:space="0" w:color="auto"/>
            <w:left w:val="none" w:sz="0" w:space="0" w:color="auto"/>
            <w:bottom w:val="none" w:sz="0" w:space="0" w:color="auto"/>
            <w:right w:val="none" w:sz="0" w:space="0" w:color="auto"/>
          </w:divBdr>
          <w:divsChild>
            <w:div w:id="510072174">
              <w:marLeft w:val="0"/>
              <w:marRight w:val="0"/>
              <w:marTop w:val="0"/>
              <w:marBottom w:val="0"/>
              <w:divBdr>
                <w:top w:val="none" w:sz="0" w:space="0" w:color="auto"/>
                <w:left w:val="none" w:sz="0" w:space="0" w:color="auto"/>
                <w:bottom w:val="none" w:sz="0" w:space="0" w:color="auto"/>
                <w:right w:val="none" w:sz="0" w:space="0" w:color="auto"/>
              </w:divBdr>
            </w:div>
          </w:divsChild>
        </w:div>
        <w:div w:id="1563566794">
          <w:marLeft w:val="0"/>
          <w:marRight w:val="0"/>
          <w:marTop w:val="0"/>
          <w:marBottom w:val="0"/>
          <w:divBdr>
            <w:top w:val="none" w:sz="0" w:space="0" w:color="auto"/>
            <w:left w:val="none" w:sz="0" w:space="0" w:color="auto"/>
            <w:bottom w:val="none" w:sz="0" w:space="0" w:color="auto"/>
            <w:right w:val="none" w:sz="0" w:space="0" w:color="auto"/>
          </w:divBdr>
          <w:divsChild>
            <w:div w:id="710230974">
              <w:marLeft w:val="0"/>
              <w:marRight w:val="0"/>
              <w:marTop w:val="0"/>
              <w:marBottom w:val="0"/>
              <w:divBdr>
                <w:top w:val="none" w:sz="0" w:space="0" w:color="auto"/>
                <w:left w:val="none" w:sz="0" w:space="0" w:color="auto"/>
                <w:bottom w:val="none" w:sz="0" w:space="0" w:color="auto"/>
                <w:right w:val="none" w:sz="0" w:space="0" w:color="auto"/>
              </w:divBdr>
            </w:div>
          </w:divsChild>
        </w:div>
        <w:div w:id="1963880338">
          <w:marLeft w:val="0"/>
          <w:marRight w:val="0"/>
          <w:marTop w:val="0"/>
          <w:marBottom w:val="0"/>
          <w:divBdr>
            <w:top w:val="none" w:sz="0" w:space="0" w:color="auto"/>
            <w:left w:val="none" w:sz="0" w:space="0" w:color="auto"/>
            <w:bottom w:val="none" w:sz="0" w:space="0" w:color="auto"/>
            <w:right w:val="none" w:sz="0" w:space="0" w:color="auto"/>
          </w:divBdr>
          <w:divsChild>
            <w:div w:id="526021576">
              <w:marLeft w:val="0"/>
              <w:marRight w:val="0"/>
              <w:marTop w:val="0"/>
              <w:marBottom w:val="0"/>
              <w:divBdr>
                <w:top w:val="none" w:sz="0" w:space="0" w:color="auto"/>
                <w:left w:val="none" w:sz="0" w:space="0" w:color="auto"/>
                <w:bottom w:val="none" w:sz="0" w:space="0" w:color="auto"/>
                <w:right w:val="none" w:sz="0" w:space="0" w:color="auto"/>
              </w:divBdr>
            </w:div>
          </w:divsChild>
        </w:div>
        <w:div w:id="310792690">
          <w:marLeft w:val="0"/>
          <w:marRight w:val="0"/>
          <w:marTop w:val="0"/>
          <w:marBottom w:val="0"/>
          <w:divBdr>
            <w:top w:val="none" w:sz="0" w:space="0" w:color="auto"/>
            <w:left w:val="none" w:sz="0" w:space="0" w:color="auto"/>
            <w:bottom w:val="none" w:sz="0" w:space="0" w:color="auto"/>
            <w:right w:val="none" w:sz="0" w:space="0" w:color="auto"/>
          </w:divBdr>
          <w:divsChild>
            <w:div w:id="1823041674">
              <w:marLeft w:val="0"/>
              <w:marRight w:val="0"/>
              <w:marTop w:val="0"/>
              <w:marBottom w:val="0"/>
              <w:divBdr>
                <w:top w:val="none" w:sz="0" w:space="0" w:color="auto"/>
                <w:left w:val="none" w:sz="0" w:space="0" w:color="auto"/>
                <w:bottom w:val="none" w:sz="0" w:space="0" w:color="auto"/>
                <w:right w:val="none" w:sz="0" w:space="0" w:color="auto"/>
              </w:divBdr>
            </w:div>
          </w:divsChild>
        </w:div>
        <w:div w:id="931469495">
          <w:marLeft w:val="0"/>
          <w:marRight w:val="0"/>
          <w:marTop w:val="0"/>
          <w:marBottom w:val="0"/>
          <w:divBdr>
            <w:top w:val="none" w:sz="0" w:space="0" w:color="auto"/>
            <w:left w:val="none" w:sz="0" w:space="0" w:color="auto"/>
            <w:bottom w:val="none" w:sz="0" w:space="0" w:color="auto"/>
            <w:right w:val="none" w:sz="0" w:space="0" w:color="auto"/>
          </w:divBdr>
          <w:divsChild>
            <w:div w:id="1600748904">
              <w:marLeft w:val="0"/>
              <w:marRight w:val="0"/>
              <w:marTop w:val="0"/>
              <w:marBottom w:val="0"/>
              <w:divBdr>
                <w:top w:val="none" w:sz="0" w:space="0" w:color="auto"/>
                <w:left w:val="none" w:sz="0" w:space="0" w:color="auto"/>
                <w:bottom w:val="none" w:sz="0" w:space="0" w:color="auto"/>
                <w:right w:val="none" w:sz="0" w:space="0" w:color="auto"/>
              </w:divBdr>
            </w:div>
          </w:divsChild>
        </w:div>
        <w:div w:id="2120103555">
          <w:marLeft w:val="0"/>
          <w:marRight w:val="0"/>
          <w:marTop w:val="0"/>
          <w:marBottom w:val="0"/>
          <w:divBdr>
            <w:top w:val="none" w:sz="0" w:space="0" w:color="auto"/>
            <w:left w:val="none" w:sz="0" w:space="0" w:color="auto"/>
            <w:bottom w:val="none" w:sz="0" w:space="0" w:color="auto"/>
            <w:right w:val="none" w:sz="0" w:space="0" w:color="auto"/>
          </w:divBdr>
          <w:divsChild>
            <w:div w:id="829903320">
              <w:marLeft w:val="0"/>
              <w:marRight w:val="0"/>
              <w:marTop w:val="0"/>
              <w:marBottom w:val="0"/>
              <w:divBdr>
                <w:top w:val="none" w:sz="0" w:space="0" w:color="auto"/>
                <w:left w:val="none" w:sz="0" w:space="0" w:color="auto"/>
                <w:bottom w:val="none" w:sz="0" w:space="0" w:color="auto"/>
                <w:right w:val="none" w:sz="0" w:space="0" w:color="auto"/>
              </w:divBdr>
            </w:div>
          </w:divsChild>
        </w:div>
        <w:div w:id="462506492">
          <w:marLeft w:val="0"/>
          <w:marRight w:val="0"/>
          <w:marTop w:val="0"/>
          <w:marBottom w:val="0"/>
          <w:divBdr>
            <w:top w:val="none" w:sz="0" w:space="0" w:color="auto"/>
            <w:left w:val="none" w:sz="0" w:space="0" w:color="auto"/>
            <w:bottom w:val="none" w:sz="0" w:space="0" w:color="auto"/>
            <w:right w:val="none" w:sz="0" w:space="0" w:color="auto"/>
          </w:divBdr>
          <w:divsChild>
            <w:div w:id="1480730737">
              <w:marLeft w:val="0"/>
              <w:marRight w:val="0"/>
              <w:marTop w:val="0"/>
              <w:marBottom w:val="0"/>
              <w:divBdr>
                <w:top w:val="none" w:sz="0" w:space="0" w:color="auto"/>
                <w:left w:val="none" w:sz="0" w:space="0" w:color="auto"/>
                <w:bottom w:val="none" w:sz="0" w:space="0" w:color="auto"/>
                <w:right w:val="none" w:sz="0" w:space="0" w:color="auto"/>
              </w:divBdr>
            </w:div>
          </w:divsChild>
        </w:div>
        <w:div w:id="6951124">
          <w:marLeft w:val="0"/>
          <w:marRight w:val="0"/>
          <w:marTop w:val="0"/>
          <w:marBottom w:val="0"/>
          <w:divBdr>
            <w:top w:val="none" w:sz="0" w:space="0" w:color="auto"/>
            <w:left w:val="none" w:sz="0" w:space="0" w:color="auto"/>
            <w:bottom w:val="none" w:sz="0" w:space="0" w:color="auto"/>
            <w:right w:val="none" w:sz="0" w:space="0" w:color="auto"/>
          </w:divBdr>
          <w:divsChild>
            <w:div w:id="1413505494">
              <w:marLeft w:val="0"/>
              <w:marRight w:val="0"/>
              <w:marTop w:val="0"/>
              <w:marBottom w:val="0"/>
              <w:divBdr>
                <w:top w:val="none" w:sz="0" w:space="0" w:color="auto"/>
                <w:left w:val="none" w:sz="0" w:space="0" w:color="auto"/>
                <w:bottom w:val="none" w:sz="0" w:space="0" w:color="auto"/>
                <w:right w:val="none" w:sz="0" w:space="0" w:color="auto"/>
              </w:divBdr>
            </w:div>
          </w:divsChild>
        </w:div>
        <w:div w:id="2035842779">
          <w:marLeft w:val="0"/>
          <w:marRight w:val="0"/>
          <w:marTop w:val="0"/>
          <w:marBottom w:val="0"/>
          <w:divBdr>
            <w:top w:val="none" w:sz="0" w:space="0" w:color="auto"/>
            <w:left w:val="none" w:sz="0" w:space="0" w:color="auto"/>
            <w:bottom w:val="none" w:sz="0" w:space="0" w:color="auto"/>
            <w:right w:val="none" w:sz="0" w:space="0" w:color="auto"/>
          </w:divBdr>
          <w:divsChild>
            <w:div w:id="650059364">
              <w:marLeft w:val="0"/>
              <w:marRight w:val="0"/>
              <w:marTop w:val="0"/>
              <w:marBottom w:val="0"/>
              <w:divBdr>
                <w:top w:val="none" w:sz="0" w:space="0" w:color="auto"/>
                <w:left w:val="none" w:sz="0" w:space="0" w:color="auto"/>
                <w:bottom w:val="none" w:sz="0" w:space="0" w:color="auto"/>
                <w:right w:val="none" w:sz="0" w:space="0" w:color="auto"/>
              </w:divBdr>
            </w:div>
          </w:divsChild>
        </w:div>
        <w:div w:id="363746868">
          <w:marLeft w:val="0"/>
          <w:marRight w:val="0"/>
          <w:marTop w:val="0"/>
          <w:marBottom w:val="0"/>
          <w:divBdr>
            <w:top w:val="none" w:sz="0" w:space="0" w:color="auto"/>
            <w:left w:val="none" w:sz="0" w:space="0" w:color="auto"/>
            <w:bottom w:val="none" w:sz="0" w:space="0" w:color="auto"/>
            <w:right w:val="none" w:sz="0" w:space="0" w:color="auto"/>
          </w:divBdr>
          <w:divsChild>
            <w:div w:id="1203909022">
              <w:marLeft w:val="0"/>
              <w:marRight w:val="0"/>
              <w:marTop w:val="0"/>
              <w:marBottom w:val="0"/>
              <w:divBdr>
                <w:top w:val="none" w:sz="0" w:space="0" w:color="auto"/>
                <w:left w:val="none" w:sz="0" w:space="0" w:color="auto"/>
                <w:bottom w:val="none" w:sz="0" w:space="0" w:color="auto"/>
                <w:right w:val="none" w:sz="0" w:space="0" w:color="auto"/>
              </w:divBdr>
            </w:div>
          </w:divsChild>
        </w:div>
        <w:div w:id="388193487">
          <w:marLeft w:val="0"/>
          <w:marRight w:val="0"/>
          <w:marTop w:val="0"/>
          <w:marBottom w:val="0"/>
          <w:divBdr>
            <w:top w:val="none" w:sz="0" w:space="0" w:color="auto"/>
            <w:left w:val="none" w:sz="0" w:space="0" w:color="auto"/>
            <w:bottom w:val="none" w:sz="0" w:space="0" w:color="auto"/>
            <w:right w:val="none" w:sz="0" w:space="0" w:color="auto"/>
          </w:divBdr>
          <w:divsChild>
            <w:div w:id="662052743">
              <w:marLeft w:val="0"/>
              <w:marRight w:val="0"/>
              <w:marTop w:val="0"/>
              <w:marBottom w:val="0"/>
              <w:divBdr>
                <w:top w:val="none" w:sz="0" w:space="0" w:color="auto"/>
                <w:left w:val="none" w:sz="0" w:space="0" w:color="auto"/>
                <w:bottom w:val="none" w:sz="0" w:space="0" w:color="auto"/>
                <w:right w:val="none" w:sz="0" w:space="0" w:color="auto"/>
              </w:divBdr>
            </w:div>
          </w:divsChild>
        </w:div>
        <w:div w:id="913123325">
          <w:marLeft w:val="0"/>
          <w:marRight w:val="0"/>
          <w:marTop w:val="0"/>
          <w:marBottom w:val="0"/>
          <w:divBdr>
            <w:top w:val="none" w:sz="0" w:space="0" w:color="auto"/>
            <w:left w:val="none" w:sz="0" w:space="0" w:color="auto"/>
            <w:bottom w:val="none" w:sz="0" w:space="0" w:color="auto"/>
            <w:right w:val="none" w:sz="0" w:space="0" w:color="auto"/>
          </w:divBdr>
          <w:divsChild>
            <w:div w:id="630207823">
              <w:marLeft w:val="0"/>
              <w:marRight w:val="0"/>
              <w:marTop w:val="0"/>
              <w:marBottom w:val="0"/>
              <w:divBdr>
                <w:top w:val="none" w:sz="0" w:space="0" w:color="auto"/>
                <w:left w:val="none" w:sz="0" w:space="0" w:color="auto"/>
                <w:bottom w:val="none" w:sz="0" w:space="0" w:color="auto"/>
                <w:right w:val="none" w:sz="0" w:space="0" w:color="auto"/>
              </w:divBdr>
            </w:div>
          </w:divsChild>
        </w:div>
        <w:div w:id="727611433">
          <w:marLeft w:val="0"/>
          <w:marRight w:val="0"/>
          <w:marTop w:val="0"/>
          <w:marBottom w:val="0"/>
          <w:divBdr>
            <w:top w:val="none" w:sz="0" w:space="0" w:color="auto"/>
            <w:left w:val="none" w:sz="0" w:space="0" w:color="auto"/>
            <w:bottom w:val="none" w:sz="0" w:space="0" w:color="auto"/>
            <w:right w:val="none" w:sz="0" w:space="0" w:color="auto"/>
          </w:divBdr>
          <w:divsChild>
            <w:div w:id="763574721">
              <w:marLeft w:val="0"/>
              <w:marRight w:val="0"/>
              <w:marTop w:val="0"/>
              <w:marBottom w:val="0"/>
              <w:divBdr>
                <w:top w:val="none" w:sz="0" w:space="0" w:color="auto"/>
                <w:left w:val="none" w:sz="0" w:space="0" w:color="auto"/>
                <w:bottom w:val="none" w:sz="0" w:space="0" w:color="auto"/>
                <w:right w:val="none" w:sz="0" w:space="0" w:color="auto"/>
              </w:divBdr>
            </w:div>
          </w:divsChild>
        </w:div>
        <w:div w:id="1080643714">
          <w:marLeft w:val="0"/>
          <w:marRight w:val="0"/>
          <w:marTop w:val="0"/>
          <w:marBottom w:val="0"/>
          <w:divBdr>
            <w:top w:val="none" w:sz="0" w:space="0" w:color="auto"/>
            <w:left w:val="none" w:sz="0" w:space="0" w:color="auto"/>
            <w:bottom w:val="none" w:sz="0" w:space="0" w:color="auto"/>
            <w:right w:val="none" w:sz="0" w:space="0" w:color="auto"/>
          </w:divBdr>
          <w:divsChild>
            <w:div w:id="1938637837">
              <w:marLeft w:val="0"/>
              <w:marRight w:val="0"/>
              <w:marTop w:val="0"/>
              <w:marBottom w:val="0"/>
              <w:divBdr>
                <w:top w:val="none" w:sz="0" w:space="0" w:color="auto"/>
                <w:left w:val="none" w:sz="0" w:space="0" w:color="auto"/>
                <w:bottom w:val="none" w:sz="0" w:space="0" w:color="auto"/>
                <w:right w:val="none" w:sz="0" w:space="0" w:color="auto"/>
              </w:divBdr>
            </w:div>
          </w:divsChild>
        </w:div>
        <w:div w:id="1850441569">
          <w:marLeft w:val="0"/>
          <w:marRight w:val="0"/>
          <w:marTop w:val="0"/>
          <w:marBottom w:val="0"/>
          <w:divBdr>
            <w:top w:val="none" w:sz="0" w:space="0" w:color="auto"/>
            <w:left w:val="none" w:sz="0" w:space="0" w:color="auto"/>
            <w:bottom w:val="none" w:sz="0" w:space="0" w:color="auto"/>
            <w:right w:val="none" w:sz="0" w:space="0" w:color="auto"/>
          </w:divBdr>
          <w:divsChild>
            <w:div w:id="582110143">
              <w:marLeft w:val="0"/>
              <w:marRight w:val="0"/>
              <w:marTop w:val="0"/>
              <w:marBottom w:val="0"/>
              <w:divBdr>
                <w:top w:val="none" w:sz="0" w:space="0" w:color="auto"/>
                <w:left w:val="none" w:sz="0" w:space="0" w:color="auto"/>
                <w:bottom w:val="none" w:sz="0" w:space="0" w:color="auto"/>
                <w:right w:val="none" w:sz="0" w:space="0" w:color="auto"/>
              </w:divBdr>
            </w:div>
          </w:divsChild>
        </w:div>
        <w:div w:id="2015721066">
          <w:marLeft w:val="0"/>
          <w:marRight w:val="0"/>
          <w:marTop w:val="0"/>
          <w:marBottom w:val="0"/>
          <w:divBdr>
            <w:top w:val="none" w:sz="0" w:space="0" w:color="auto"/>
            <w:left w:val="none" w:sz="0" w:space="0" w:color="auto"/>
            <w:bottom w:val="none" w:sz="0" w:space="0" w:color="auto"/>
            <w:right w:val="none" w:sz="0" w:space="0" w:color="auto"/>
          </w:divBdr>
          <w:divsChild>
            <w:div w:id="1626691223">
              <w:marLeft w:val="0"/>
              <w:marRight w:val="0"/>
              <w:marTop w:val="0"/>
              <w:marBottom w:val="0"/>
              <w:divBdr>
                <w:top w:val="none" w:sz="0" w:space="0" w:color="auto"/>
                <w:left w:val="none" w:sz="0" w:space="0" w:color="auto"/>
                <w:bottom w:val="none" w:sz="0" w:space="0" w:color="auto"/>
                <w:right w:val="none" w:sz="0" w:space="0" w:color="auto"/>
              </w:divBdr>
            </w:div>
          </w:divsChild>
        </w:div>
        <w:div w:id="286350960">
          <w:marLeft w:val="0"/>
          <w:marRight w:val="0"/>
          <w:marTop w:val="0"/>
          <w:marBottom w:val="0"/>
          <w:divBdr>
            <w:top w:val="none" w:sz="0" w:space="0" w:color="auto"/>
            <w:left w:val="none" w:sz="0" w:space="0" w:color="auto"/>
            <w:bottom w:val="none" w:sz="0" w:space="0" w:color="auto"/>
            <w:right w:val="none" w:sz="0" w:space="0" w:color="auto"/>
          </w:divBdr>
          <w:divsChild>
            <w:div w:id="1629890333">
              <w:marLeft w:val="0"/>
              <w:marRight w:val="0"/>
              <w:marTop w:val="0"/>
              <w:marBottom w:val="0"/>
              <w:divBdr>
                <w:top w:val="none" w:sz="0" w:space="0" w:color="auto"/>
                <w:left w:val="none" w:sz="0" w:space="0" w:color="auto"/>
                <w:bottom w:val="none" w:sz="0" w:space="0" w:color="auto"/>
                <w:right w:val="none" w:sz="0" w:space="0" w:color="auto"/>
              </w:divBdr>
            </w:div>
          </w:divsChild>
        </w:div>
        <w:div w:id="1506750115">
          <w:marLeft w:val="0"/>
          <w:marRight w:val="0"/>
          <w:marTop w:val="0"/>
          <w:marBottom w:val="0"/>
          <w:divBdr>
            <w:top w:val="none" w:sz="0" w:space="0" w:color="auto"/>
            <w:left w:val="none" w:sz="0" w:space="0" w:color="auto"/>
            <w:bottom w:val="none" w:sz="0" w:space="0" w:color="auto"/>
            <w:right w:val="none" w:sz="0" w:space="0" w:color="auto"/>
          </w:divBdr>
          <w:divsChild>
            <w:div w:id="290945215">
              <w:marLeft w:val="0"/>
              <w:marRight w:val="0"/>
              <w:marTop w:val="0"/>
              <w:marBottom w:val="0"/>
              <w:divBdr>
                <w:top w:val="none" w:sz="0" w:space="0" w:color="auto"/>
                <w:left w:val="none" w:sz="0" w:space="0" w:color="auto"/>
                <w:bottom w:val="none" w:sz="0" w:space="0" w:color="auto"/>
                <w:right w:val="none" w:sz="0" w:space="0" w:color="auto"/>
              </w:divBdr>
            </w:div>
          </w:divsChild>
        </w:div>
        <w:div w:id="230769993">
          <w:marLeft w:val="0"/>
          <w:marRight w:val="0"/>
          <w:marTop w:val="0"/>
          <w:marBottom w:val="0"/>
          <w:divBdr>
            <w:top w:val="none" w:sz="0" w:space="0" w:color="auto"/>
            <w:left w:val="none" w:sz="0" w:space="0" w:color="auto"/>
            <w:bottom w:val="none" w:sz="0" w:space="0" w:color="auto"/>
            <w:right w:val="none" w:sz="0" w:space="0" w:color="auto"/>
          </w:divBdr>
          <w:divsChild>
            <w:div w:id="1014264647">
              <w:marLeft w:val="0"/>
              <w:marRight w:val="0"/>
              <w:marTop w:val="0"/>
              <w:marBottom w:val="0"/>
              <w:divBdr>
                <w:top w:val="none" w:sz="0" w:space="0" w:color="auto"/>
                <w:left w:val="none" w:sz="0" w:space="0" w:color="auto"/>
                <w:bottom w:val="none" w:sz="0" w:space="0" w:color="auto"/>
                <w:right w:val="none" w:sz="0" w:space="0" w:color="auto"/>
              </w:divBdr>
            </w:div>
          </w:divsChild>
        </w:div>
        <w:div w:id="273632802">
          <w:marLeft w:val="0"/>
          <w:marRight w:val="0"/>
          <w:marTop w:val="0"/>
          <w:marBottom w:val="0"/>
          <w:divBdr>
            <w:top w:val="none" w:sz="0" w:space="0" w:color="auto"/>
            <w:left w:val="none" w:sz="0" w:space="0" w:color="auto"/>
            <w:bottom w:val="none" w:sz="0" w:space="0" w:color="auto"/>
            <w:right w:val="none" w:sz="0" w:space="0" w:color="auto"/>
          </w:divBdr>
          <w:divsChild>
            <w:div w:id="232786832">
              <w:marLeft w:val="0"/>
              <w:marRight w:val="0"/>
              <w:marTop w:val="0"/>
              <w:marBottom w:val="0"/>
              <w:divBdr>
                <w:top w:val="none" w:sz="0" w:space="0" w:color="auto"/>
                <w:left w:val="none" w:sz="0" w:space="0" w:color="auto"/>
                <w:bottom w:val="none" w:sz="0" w:space="0" w:color="auto"/>
                <w:right w:val="none" w:sz="0" w:space="0" w:color="auto"/>
              </w:divBdr>
            </w:div>
          </w:divsChild>
        </w:div>
        <w:div w:id="1121261590">
          <w:marLeft w:val="0"/>
          <w:marRight w:val="0"/>
          <w:marTop w:val="0"/>
          <w:marBottom w:val="0"/>
          <w:divBdr>
            <w:top w:val="none" w:sz="0" w:space="0" w:color="auto"/>
            <w:left w:val="none" w:sz="0" w:space="0" w:color="auto"/>
            <w:bottom w:val="none" w:sz="0" w:space="0" w:color="auto"/>
            <w:right w:val="none" w:sz="0" w:space="0" w:color="auto"/>
          </w:divBdr>
          <w:divsChild>
            <w:div w:id="2137022606">
              <w:marLeft w:val="0"/>
              <w:marRight w:val="0"/>
              <w:marTop w:val="0"/>
              <w:marBottom w:val="0"/>
              <w:divBdr>
                <w:top w:val="none" w:sz="0" w:space="0" w:color="auto"/>
                <w:left w:val="none" w:sz="0" w:space="0" w:color="auto"/>
                <w:bottom w:val="none" w:sz="0" w:space="0" w:color="auto"/>
                <w:right w:val="none" w:sz="0" w:space="0" w:color="auto"/>
              </w:divBdr>
            </w:div>
          </w:divsChild>
        </w:div>
        <w:div w:id="755638706">
          <w:marLeft w:val="0"/>
          <w:marRight w:val="0"/>
          <w:marTop w:val="0"/>
          <w:marBottom w:val="0"/>
          <w:divBdr>
            <w:top w:val="none" w:sz="0" w:space="0" w:color="auto"/>
            <w:left w:val="none" w:sz="0" w:space="0" w:color="auto"/>
            <w:bottom w:val="none" w:sz="0" w:space="0" w:color="auto"/>
            <w:right w:val="none" w:sz="0" w:space="0" w:color="auto"/>
          </w:divBdr>
          <w:divsChild>
            <w:div w:id="198248396">
              <w:marLeft w:val="0"/>
              <w:marRight w:val="0"/>
              <w:marTop w:val="0"/>
              <w:marBottom w:val="0"/>
              <w:divBdr>
                <w:top w:val="none" w:sz="0" w:space="0" w:color="auto"/>
                <w:left w:val="none" w:sz="0" w:space="0" w:color="auto"/>
                <w:bottom w:val="none" w:sz="0" w:space="0" w:color="auto"/>
                <w:right w:val="none" w:sz="0" w:space="0" w:color="auto"/>
              </w:divBdr>
            </w:div>
          </w:divsChild>
        </w:div>
        <w:div w:id="1867910723">
          <w:marLeft w:val="0"/>
          <w:marRight w:val="0"/>
          <w:marTop w:val="0"/>
          <w:marBottom w:val="0"/>
          <w:divBdr>
            <w:top w:val="none" w:sz="0" w:space="0" w:color="auto"/>
            <w:left w:val="none" w:sz="0" w:space="0" w:color="auto"/>
            <w:bottom w:val="none" w:sz="0" w:space="0" w:color="auto"/>
            <w:right w:val="none" w:sz="0" w:space="0" w:color="auto"/>
          </w:divBdr>
          <w:divsChild>
            <w:div w:id="1282419591">
              <w:marLeft w:val="0"/>
              <w:marRight w:val="0"/>
              <w:marTop w:val="0"/>
              <w:marBottom w:val="0"/>
              <w:divBdr>
                <w:top w:val="none" w:sz="0" w:space="0" w:color="auto"/>
                <w:left w:val="none" w:sz="0" w:space="0" w:color="auto"/>
                <w:bottom w:val="none" w:sz="0" w:space="0" w:color="auto"/>
                <w:right w:val="none" w:sz="0" w:space="0" w:color="auto"/>
              </w:divBdr>
            </w:div>
          </w:divsChild>
        </w:div>
        <w:div w:id="1244950479">
          <w:marLeft w:val="0"/>
          <w:marRight w:val="0"/>
          <w:marTop w:val="0"/>
          <w:marBottom w:val="0"/>
          <w:divBdr>
            <w:top w:val="none" w:sz="0" w:space="0" w:color="auto"/>
            <w:left w:val="none" w:sz="0" w:space="0" w:color="auto"/>
            <w:bottom w:val="none" w:sz="0" w:space="0" w:color="auto"/>
            <w:right w:val="none" w:sz="0" w:space="0" w:color="auto"/>
          </w:divBdr>
          <w:divsChild>
            <w:div w:id="505362518">
              <w:marLeft w:val="0"/>
              <w:marRight w:val="0"/>
              <w:marTop w:val="0"/>
              <w:marBottom w:val="0"/>
              <w:divBdr>
                <w:top w:val="none" w:sz="0" w:space="0" w:color="auto"/>
                <w:left w:val="none" w:sz="0" w:space="0" w:color="auto"/>
                <w:bottom w:val="none" w:sz="0" w:space="0" w:color="auto"/>
                <w:right w:val="none" w:sz="0" w:space="0" w:color="auto"/>
              </w:divBdr>
            </w:div>
          </w:divsChild>
        </w:div>
        <w:div w:id="164436891">
          <w:marLeft w:val="0"/>
          <w:marRight w:val="0"/>
          <w:marTop w:val="0"/>
          <w:marBottom w:val="0"/>
          <w:divBdr>
            <w:top w:val="none" w:sz="0" w:space="0" w:color="auto"/>
            <w:left w:val="none" w:sz="0" w:space="0" w:color="auto"/>
            <w:bottom w:val="none" w:sz="0" w:space="0" w:color="auto"/>
            <w:right w:val="none" w:sz="0" w:space="0" w:color="auto"/>
          </w:divBdr>
          <w:divsChild>
            <w:div w:id="123739892">
              <w:marLeft w:val="0"/>
              <w:marRight w:val="0"/>
              <w:marTop w:val="0"/>
              <w:marBottom w:val="0"/>
              <w:divBdr>
                <w:top w:val="none" w:sz="0" w:space="0" w:color="auto"/>
                <w:left w:val="none" w:sz="0" w:space="0" w:color="auto"/>
                <w:bottom w:val="none" w:sz="0" w:space="0" w:color="auto"/>
                <w:right w:val="none" w:sz="0" w:space="0" w:color="auto"/>
              </w:divBdr>
            </w:div>
          </w:divsChild>
        </w:div>
        <w:div w:id="467749622">
          <w:marLeft w:val="0"/>
          <w:marRight w:val="0"/>
          <w:marTop w:val="0"/>
          <w:marBottom w:val="0"/>
          <w:divBdr>
            <w:top w:val="none" w:sz="0" w:space="0" w:color="auto"/>
            <w:left w:val="none" w:sz="0" w:space="0" w:color="auto"/>
            <w:bottom w:val="none" w:sz="0" w:space="0" w:color="auto"/>
            <w:right w:val="none" w:sz="0" w:space="0" w:color="auto"/>
          </w:divBdr>
          <w:divsChild>
            <w:div w:id="358891789">
              <w:marLeft w:val="0"/>
              <w:marRight w:val="0"/>
              <w:marTop w:val="0"/>
              <w:marBottom w:val="0"/>
              <w:divBdr>
                <w:top w:val="none" w:sz="0" w:space="0" w:color="auto"/>
                <w:left w:val="none" w:sz="0" w:space="0" w:color="auto"/>
                <w:bottom w:val="none" w:sz="0" w:space="0" w:color="auto"/>
                <w:right w:val="none" w:sz="0" w:space="0" w:color="auto"/>
              </w:divBdr>
            </w:div>
          </w:divsChild>
        </w:div>
        <w:div w:id="2031713924">
          <w:marLeft w:val="0"/>
          <w:marRight w:val="0"/>
          <w:marTop w:val="0"/>
          <w:marBottom w:val="0"/>
          <w:divBdr>
            <w:top w:val="none" w:sz="0" w:space="0" w:color="auto"/>
            <w:left w:val="none" w:sz="0" w:space="0" w:color="auto"/>
            <w:bottom w:val="none" w:sz="0" w:space="0" w:color="auto"/>
            <w:right w:val="none" w:sz="0" w:space="0" w:color="auto"/>
          </w:divBdr>
          <w:divsChild>
            <w:div w:id="1584879388">
              <w:marLeft w:val="0"/>
              <w:marRight w:val="0"/>
              <w:marTop w:val="0"/>
              <w:marBottom w:val="0"/>
              <w:divBdr>
                <w:top w:val="none" w:sz="0" w:space="0" w:color="auto"/>
                <w:left w:val="none" w:sz="0" w:space="0" w:color="auto"/>
                <w:bottom w:val="none" w:sz="0" w:space="0" w:color="auto"/>
                <w:right w:val="none" w:sz="0" w:space="0" w:color="auto"/>
              </w:divBdr>
            </w:div>
          </w:divsChild>
        </w:div>
        <w:div w:id="2111733661">
          <w:marLeft w:val="0"/>
          <w:marRight w:val="0"/>
          <w:marTop w:val="0"/>
          <w:marBottom w:val="0"/>
          <w:divBdr>
            <w:top w:val="none" w:sz="0" w:space="0" w:color="auto"/>
            <w:left w:val="none" w:sz="0" w:space="0" w:color="auto"/>
            <w:bottom w:val="none" w:sz="0" w:space="0" w:color="auto"/>
            <w:right w:val="none" w:sz="0" w:space="0" w:color="auto"/>
          </w:divBdr>
          <w:divsChild>
            <w:div w:id="1206790500">
              <w:marLeft w:val="0"/>
              <w:marRight w:val="0"/>
              <w:marTop w:val="0"/>
              <w:marBottom w:val="0"/>
              <w:divBdr>
                <w:top w:val="none" w:sz="0" w:space="0" w:color="auto"/>
                <w:left w:val="none" w:sz="0" w:space="0" w:color="auto"/>
                <w:bottom w:val="none" w:sz="0" w:space="0" w:color="auto"/>
                <w:right w:val="none" w:sz="0" w:space="0" w:color="auto"/>
              </w:divBdr>
            </w:div>
          </w:divsChild>
        </w:div>
        <w:div w:id="509952456">
          <w:marLeft w:val="0"/>
          <w:marRight w:val="0"/>
          <w:marTop w:val="0"/>
          <w:marBottom w:val="0"/>
          <w:divBdr>
            <w:top w:val="none" w:sz="0" w:space="0" w:color="auto"/>
            <w:left w:val="none" w:sz="0" w:space="0" w:color="auto"/>
            <w:bottom w:val="none" w:sz="0" w:space="0" w:color="auto"/>
            <w:right w:val="none" w:sz="0" w:space="0" w:color="auto"/>
          </w:divBdr>
          <w:divsChild>
            <w:div w:id="1746534878">
              <w:marLeft w:val="0"/>
              <w:marRight w:val="0"/>
              <w:marTop w:val="0"/>
              <w:marBottom w:val="0"/>
              <w:divBdr>
                <w:top w:val="none" w:sz="0" w:space="0" w:color="auto"/>
                <w:left w:val="none" w:sz="0" w:space="0" w:color="auto"/>
                <w:bottom w:val="none" w:sz="0" w:space="0" w:color="auto"/>
                <w:right w:val="none" w:sz="0" w:space="0" w:color="auto"/>
              </w:divBdr>
            </w:div>
          </w:divsChild>
        </w:div>
        <w:div w:id="2026974152">
          <w:marLeft w:val="0"/>
          <w:marRight w:val="0"/>
          <w:marTop w:val="0"/>
          <w:marBottom w:val="0"/>
          <w:divBdr>
            <w:top w:val="none" w:sz="0" w:space="0" w:color="auto"/>
            <w:left w:val="none" w:sz="0" w:space="0" w:color="auto"/>
            <w:bottom w:val="none" w:sz="0" w:space="0" w:color="auto"/>
            <w:right w:val="none" w:sz="0" w:space="0" w:color="auto"/>
          </w:divBdr>
          <w:divsChild>
            <w:div w:id="597101418">
              <w:marLeft w:val="0"/>
              <w:marRight w:val="0"/>
              <w:marTop w:val="0"/>
              <w:marBottom w:val="0"/>
              <w:divBdr>
                <w:top w:val="none" w:sz="0" w:space="0" w:color="auto"/>
                <w:left w:val="none" w:sz="0" w:space="0" w:color="auto"/>
                <w:bottom w:val="none" w:sz="0" w:space="0" w:color="auto"/>
                <w:right w:val="none" w:sz="0" w:space="0" w:color="auto"/>
              </w:divBdr>
            </w:div>
          </w:divsChild>
        </w:div>
        <w:div w:id="1785925644">
          <w:marLeft w:val="0"/>
          <w:marRight w:val="0"/>
          <w:marTop w:val="0"/>
          <w:marBottom w:val="0"/>
          <w:divBdr>
            <w:top w:val="none" w:sz="0" w:space="0" w:color="auto"/>
            <w:left w:val="none" w:sz="0" w:space="0" w:color="auto"/>
            <w:bottom w:val="none" w:sz="0" w:space="0" w:color="auto"/>
            <w:right w:val="none" w:sz="0" w:space="0" w:color="auto"/>
          </w:divBdr>
          <w:divsChild>
            <w:div w:id="606473026">
              <w:marLeft w:val="0"/>
              <w:marRight w:val="0"/>
              <w:marTop w:val="0"/>
              <w:marBottom w:val="0"/>
              <w:divBdr>
                <w:top w:val="none" w:sz="0" w:space="0" w:color="auto"/>
                <w:left w:val="none" w:sz="0" w:space="0" w:color="auto"/>
                <w:bottom w:val="none" w:sz="0" w:space="0" w:color="auto"/>
                <w:right w:val="none" w:sz="0" w:space="0" w:color="auto"/>
              </w:divBdr>
            </w:div>
          </w:divsChild>
        </w:div>
        <w:div w:id="1525627504">
          <w:marLeft w:val="0"/>
          <w:marRight w:val="0"/>
          <w:marTop w:val="0"/>
          <w:marBottom w:val="0"/>
          <w:divBdr>
            <w:top w:val="none" w:sz="0" w:space="0" w:color="auto"/>
            <w:left w:val="none" w:sz="0" w:space="0" w:color="auto"/>
            <w:bottom w:val="none" w:sz="0" w:space="0" w:color="auto"/>
            <w:right w:val="none" w:sz="0" w:space="0" w:color="auto"/>
          </w:divBdr>
          <w:divsChild>
            <w:div w:id="650988131">
              <w:marLeft w:val="0"/>
              <w:marRight w:val="0"/>
              <w:marTop w:val="0"/>
              <w:marBottom w:val="0"/>
              <w:divBdr>
                <w:top w:val="none" w:sz="0" w:space="0" w:color="auto"/>
                <w:left w:val="none" w:sz="0" w:space="0" w:color="auto"/>
                <w:bottom w:val="none" w:sz="0" w:space="0" w:color="auto"/>
                <w:right w:val="none" w:sz="0" w:space="0" w:color="auto"/>
              </w:divBdr>
            </w:div>
          </w:divsChild>
        </w:div>
        <w:div w:id="1076560757">
          <w:marLeft w:val="0"/>
          <w:marRight w:val="0"/>
          <w:marTop w:val="0"/>
          <w:marBottom w:val="0"/>
          <w:divBdr>
            <w:top w:val="none" w:sz="0" w:space="0" w:color="auto"/>
            <w:left w:val="none" w:sz="0" w:space="0" w:color="auto"/>
            <w:bottom w:val="none" w:sz="0" w:space="0" w:color="auto"/>
            <w:right w:val="none" w:sz="0" w:space="0" w:color="auto"/>
          </w:divBdr>
          <w:divsChild>
            <w:div w:id="1965841346">
              <w:marLeft w:val="0"/>
              <w:marRight w:val="0"/>
              <w:marTop w:val="0"/>
              <w:marBottom w:val="0"/>
              <w:divBdr>
                <w:top w:val="none" w:sz="0" w:space="0" w:color="auto"/>
                <w:left w:val="none" w:sz="0" w:space="0" w:color="auto"/>
                <w:bottom w:val="none" w:sz="0" w:space="0" w:color="auto"/>
                <w:right w:val="none" w:sz="0" w:space="0" w:color="auto"/>
              </w:divBdr>
            </w:div>
          </w:divsChild>
        </w:div>
        <w:div w:id="1980108244">
          <w:marLeft w:val="0"/>
          <w:marRight w:val="0"/>
          <w:marTop w:val="0"/>
          <w:marBottom w:val="0"/>
          <w:divBdr>
            <w:top w:val="none" w:sz="0" w:space="0" w:color="auto"/>
            <w:left w:val="none" w:sz="0" w:space="0" w:color="auto"/>
            <w:bottom w:val="none" w:sz="0" w:space="0" w:color="auto"/>
            <w:right w:val="none" w:sz="0" w:space="0" w:color="auto"/>
          </w:divBdr>
          <w:divsChild>
            <w:div w:id="995493124">
              <w:marLeft w:val="0"/>
              <w:marRight w:val="0"/>
              <w:marTop w:val="0"/>
              <w:marBottom w:val="0"/>
              <w:divBdr>
                <w:top w:val="none" w:sz="0" w:space="0" w:color="auto"/>
                <w:left w:val="none" w:sz="0" w:space="0" w:color="auto"/>
                <w:bottom w:val="none" w:sz="0" w:space="0" w:color="auto"/>
                <w:right w:val="none" w:sz="0" w:space="0" w:color="auto"/>
              </w:divBdr>
            </w:div>
          </w:divsChild>
        </w:div>
        <w:div w:id="1683583675">
          <w:marLeft w:val="0"/>
          <w:marRight w:val="0"/>
          <w:marTop w:val="0"/>
          <w:marBottom w:val="0"/>
          <w:divBdr>
            <w:top w:val="none" w:sz="0" w:space="0" w:color="auto"/>
            <w:left w:val="none" w:sz="0" w:space="0" w:color="auto"/>
            <w:bottom w:val="none" w:sz="0" w:space="0" w:color="auto"/>
            <w:right w:val="none" w:sz="0" w:space="0" w:color="auto"/>
          </w:divBdr>
          <w:divsChild>
            <w:div w:id="186215197">
              <w:marLeft w:val="0"/>
              <w:marRight w:val="0"/>
              <w:marTop w:val="0"/>
              <w:marBottom w:val="0"/>
              <w:divBdr>
                <w:top w:val="none" w:sz="0" w:space="0" w:color="auto"/>
                <w:left w:val="none" w:sz="0" w:space="0" w:color="auto"/>
                <w:bottom w:val="none" w:sz="0" w:space="0" w:color="auto"/>
                <w:right w:val="none" w:sz="0" w:space="0" w:color="auto"/>
              </w:divBdr>
            </w:div>
          </w:divsChild>
        </w:div>
        <w:div w:id="1926256545">
          <w:marLeft w:val="0"/>
          <w:marRight w:val="0"/>
          <w:marTop w:val="0"/>
          <w:marBottom w:val="0"/>
          <w:divBdr>
            <w:top w:val="none" w:sz="0" w:space="0" w:color="auto"/>
            <w:left w:val="none" w:sz="0" w:space="0" w:color="auto"/>
            <w:bottom w:val="none" w:sz="0" w:space="0" w:color="auto"/>
            <w:right w:val="none" w:sz="0" w:space="0" w:color="auto"/>
          </w:divBdr>
          <w:divsChild>
            <w:div w:id="649022055">
              <w:marLeft w:val="0"/>
              <w:marRight w:val="0"/>
              <w:marTop w:val="0"/>
              <w:marBottom w:val="0"/>
              <w:divBdr>
                <w:top w:val="none" w:sz="0" w:space="0" w:color="auto"/>
                <w:left w:val="none" w:sz="0" w:space="0" w:color="auto"/>
                <w:bottom w:val="none" w:sz="0" w:space="0" w:color="auto"/>
                <w:right w:val="none" w:sz="0" w:space="0" w:color="auto"/>
              </w:divBdr>
            </w:div>
          </w:divsChild>
        </w:div>
        <w:div w:id="671107258">
          <w:marLeft w:val="0"/>
          <w:marRight w:val="0"/>
          <w:marTop w:val="0"/>
          <w:marBottom w:val="0"/>
          <w:divBdr>
            <w:top w:val="none" w:sz="0" w:space="0" w:color="auto"/>
            <w:left w:val="none" w:sz="0" w:space="0" w:color="auto"/>
            <w:bottom w:val="none" w:sz="0" w:space="0" w:color="auto"/>
            <w:right w:val="none" w:sz="0" w:space="0" w:color="auto"/>
          </w:divBdr>
          <w:divsChild>
            <w:div w:id="1430075984">
              <w:marLeft w:val="0"/>
              <w:marRight w:val="0"/>
              <w:marTop w:val="0"/>
              <w:marBottom w:val="0"/>
              <w:divBdr>
                <w:top w:val="none" w:sz="0" w:space="0" w:color="auto"/>
                <w:left w:val="none" w:sz="0" w:space="0" w:color="auto"/>
                <w:bottom w:val="none" w:sz="0" w:space="0" w:color="auto"/>
                <w:right w:val="none" w:sz="0" w:space="0" w:color="auto"/>
              </w:divBdr>
            </w:div>
          </w:divsChild>
        </w:div>
        <w:div w:id="802384319">
          <w:marLeft w:val="0"/>
          <w:marRight w:val="0"/>
          <w:marTop w:val="0"/>
          <w:marBottom w:val="0"/>
          <w:divBdr>
            <w:top w:val="none" w:sz="0" w:space="0" w:color="auto"/>
            <w:left w:val="none" w:sz="0" w:space="0" w:color="auto"/>
            <w:bottom w:val="none" w:sz="0" w:space="0" w:color="auto"/>
            <w:right w:val="none" w:sz="0" w:space="0" w:color="auto"/>
          </w:divBdr>
          <w:divsChild>
            <w:div w:id="697437987">
              <w:marLeft w:val="0"/>
              <w:marRight w:val="0"/>
              <w:marTop w:val="0"/>
              <w:marBottom w:val="0"/>
              <w:divBdr>
                <w:top w:val="none" w:sz="0" w:space="0" w:color="auto"/>
                <w:left w:val="none" w:sz="0" w:space="0" w:color="auto"/>
                <w:bottom w:val="none" w:sz="0" w:space="0" w:color="auto"/>
                <w:right w:val="none" w:sz="0" w:space="0" w:color="auto"/>
              </w:divBdr>
            </w:div>
          </w:divsChild>
        </w:div>
        <w:div w:id="169758531">
          <w:marLeft w:val="0"/>
          <w:marRight w:val="0"/>
          <w:marTop w:val="0"/>
          <w:marBottom w:val="0"/>
          <w:divBdr>
            <w:top w:val="none" w:sz="0" w:space="0" w:color="auto"/>
            <w:left w:val="none" w:sz="0" w:space="0" w:color="auto"/>
            <w:bottom w:val="none" w:sz="0" w:space="0" w:color="auto"/>
            <w:right w:val="none" w:sz="0" w:space="0" w:color="auto"/>
          </w:divBdr>
          <w:divsChild>
            <w:div w:id="1733383164">
              <w:marLeft w:val="0"/>
              <w:marRight w:val="0"/>
              <w:marTop w:val="0"/>
              <w:marBottom w:val="0"/>
              <w:divBdr>
                <w:top w:val="none" w:sz="0" w:space="0" w:color="auto"/>
                <w:left w:val="none" w:sz="0" w:space="0" w:color="auto"/>
                <w:bottom w:val="none" w:sz="0" w:space="0" w:color="auto"/>
                <w:right w:val="none" w:sz="0" w:space="0" w:color="auto"/>
              </w:divBdr>
            </w:div>
          </w:divsChild>
        </w:div>
        <w:div w:id="1956397891">
          <w:marLeft w:val="0"/>
          <w:marRight w:val="0"/>
          <w:marTop w:val="0"/>
          <w:marBottom w:val="0"/>
          <w:divBdr>
            <w:top w:val="none" w:sz="0" w:space="0" w:color="auto"/>
            <w:left w:val="none" w:sz="0" w:space="0" w:color="auto"/>
            <w:bottom w:val="none" w:sz="0" w:space="0" w:color="auto"/>
            <w:right w:val="none" w:sz="0" w:space="0" w:color="auto"/>
          </w:divBdr>
          <w:divsChild>
            <w:div w:id="1654985639">
              <w:marLeft w:val="0"/>
              <w:marRight w:val="0"/>
              <w:marTop w:val="0"/>
              <w:marBottom w:val="0"/>
              <w:divBdr>
                <w:top w:val="none" w:sz="0" w:space="0" w:color="auto"/>
                <w:left w:val="none" w:sz="0" w:space="0" w:color="auto"/>
                <w:bottom w:val="none" w:sz="0" w:space="0" w:color="auto"/>
                <w:right w:val="none" w:sz="0" w:space="0" w:color="auto"/>
              </w:divBdr>
            </w:div>
          </w:divsChild>
        </w:div>
        <w:div w:id="2113670016">
          <w:marLeft w:val="0"/>
          <w:marRight w:val="0"/>
          <w:marTop w:val="0"/>
          <w:marBottom w:val="0"/>
          <w:divBdr>
            <w:top w:val="none" w:sz="0" w:space="0" w:color="auto"/>
            <w:left w:val="none" w:sz="0" w:space="0" w:color="auto"/>
            <w:bottom w:val="none" w:sz="0" w:space="0" w:color="auto"/>
            <w:right w:val="none" w:sz="0" w:space="0" w:color="auto"/>
          </w:divBdr>
          <w:divsChild>
            <w:div w:id="221212059">
              <w:marLeft w:val="0"/>
              <w:marRight w:val="0"/>
              <w:marTop w:val="0"/>
              <w:marBottom w:val="0"/>
              <w:divBdr>
                <w:top w:val="none" w:sz="0" w:space="0" w:color="auto"/>
                <w:left w:val="none" w:sz="0" w:space="0" w:color="auto"/>
                <w:bottom w:val="none" w:sz="0" w:space="0" w:color="auto"/>
                <w:right w:val="none" w:sz="0" w:space="0" w:color="auto"/>
              </w:divBdr>
            </w:div>
          </w:divsChild>
        </w:div>
        <w:div w:id="632369026">
          <w:marLeft w:val="0"/>
          <w:marRight w:val="0"/>
          <w:marTop w:val="0"/>
          <w:marBottom w:val="0"/>
          <w:divBdr>
            <w:top w:val="none" w:sz="0" w:space="0" w:color="auto"/>
            <w:left w:val="none" w:sz="0" w:space="0" w:color="auto"/>
            <w:bottom w:val="none" w:sz="0" w:space="0" w:color="auto"/>
            <w:right w:val="none" w:sz="0" w:space="0" w:color="auto"/>
          </w:divBdr>
          <w:divsChild>
            <w:div w:id="1105804540">
              <w:marLeft w:val="0"/>
              <w:marRight w:val="0"/>
              <w:marTop w:val="0"/>
              <w:marBottom w:val="0"/>
              <w:divBdr>
                <w:top w:val="none" w:sz="0" w:space="0" w:color="auto"/>
                <w:left w:val="none" w:sz="0" w:space="0" w:color="auto"/>
                <w:bottom w:val="none" w:sz="0" w:space="0" w:color="auto"/>
                <w:right w:val="none" w:sz="0" w:space="0" w:color="auto"/>
              </w:divBdr>
            </w:div>
          </w:divsChild>
        </w:div>
        <w:div w:id="790826185">
          <w:marLeft w:val="0"/>
          <w:marRight w:val="0"/>
          <w:marTop w:val="0"/>
          <w:marBottom w:val="0"/>
          <w:divBdr>
            <w:top w:val="none" w:sz="0" w:space="0" w:color="auto"/>
            <w:left w:val="none" w:sz="0" w:space="0" w:color="auto"/>
            <w:bottom w:val="none" w:sz="0" w:space="0" w:color="auto"/>
            <w:right w:val="none" w:sz="0" w:space="0" w:color="auto"/>
          </w:divBdr>
          <w:divsChild>
            <w:div w:id="789787389">
              <w:marLeft w:val="0"/>
              <w:marRight w:val="0"/>
              <w:marTop w:val="0"/>
              <w:marBottom w:val="0"/>
              <w:divBdr>
                <w:top w:val="none" w:sz="0" w:space="0" w:color="auto"/>
                <w:left w:val="none" w:sz="0" w:space="0" w:color="auto"/>
                <w:bottom w:val="none" w:sz="0" w:space="0" w:color="auto"/>
                <w:right w:val="none" w:sz="0" w:space="0" w:color="auto"/>
              </w:divBdr>
            </w:div>
          </w:divsChild>
        </w:div>
        <w:div w:id="2094813231">
          <w:marLeft w:val="0"/>
          <w:marRight w:val="0"/>
          <w:marTop w:val="0"/>
          <w:marBottom w:val="0"/>
          <w:divBdr>
            <w:top w:val="none" w:sz="0" w:space="0" w:color="auto"/>
            <w:left w:val="none" w:sz="0" w:space="0" w:color="auto"/>
            <w:bottom w:val="none" w:sz="0" w:space="0" w:color="auto"/>
            <w:right w:val="none" w:sz="0" w:space="0" w:color="auto"/>
          </w:divBdr>
          <w:divsChild>
            <w:div w:id="371851541">
              <w:marLeft w:val="0"/>
              <w:marRight w:val="0"/>
              <w:marTop w:val="0"/>
              <w:marBottom w:val="0"/>
              <w:divBdr>
                <w:top w:val="none" w:sz="0" w:space="0" w:color="auto"/>
                <w:left w:val="none" w:sz="0" w:space="0" w:color="auto"/>
                <w:bottom w:val="none" w:sz="0" w:space="0" w:color="auto"/>
                <w:right w:val="none" w:sz="0" w:space="0" w:color="auto"/>
              </w:divBdr>
            </w:div>
          </w:divsChild>
        </w:div>
        <w:div w:id="354694418">
          <w:marLeft w:val="0"/>
          <w:marRight w:val="0"/>
          <w:marTop w:val="0"/>
          <w:marBottom w:val="0"/>
          <w:divBdr>
            <w:top w:val="none" w:sz="0" w:space="0" w:color="auto"/>
            <w:left w:val="none" w:sz="0" w:space="0" w:color="auto"/>
            <w:bottom w:val="none" w:sz="0" w:space="0" w:color="auto"/>
            <w:right w:val="none" w:sz="0" w:space="0" w:color="auto"/>
          </w:divBdr>
          <w:divsChild>
            <w:div w:id="1044135591">
              <w:marLeft w:val="0"/>
              <w:marRight w:val="0"/>
              <w:marTop w:val="0"/>
              <w:marBottom w:val="0"/>
              <w:divBdr>
                <w:top w:val="none" w:sz="0" w:space="0" w:color="auto"/>
                <w:left w:val="none" w:sz="0" w:space="0" w:color="auto"/>
                <w:bottom w:val="none" w:sz="0" w:space="0" w:color="auto"/>
                <w:right w:val="none" w:sz="0" w:space="0" w:color="auto"/>
              </w:divBdr>
            </w:div>
          </w:divsChild>
        </w:div>
        <w:div w:id="2012369536">
          <w:marLeft w:val="0"/>
          <w:marRight w:val="0"/>
          <w:marTop w:val="0"/>
          <w:marBottom w:val="0"/>
          <w:divBdr>
            <w:top w:val="none" w:sz="0" w:space="0" w:color="auto"/>
            <w:left w:val="none" w:sz="0" w:space="0" w:color="auto"/>
            <w:bottom w:val="none" w:sz="0" w:space="0" w:color="auto"/>
            <w:right w:val="none" w:sz="0" w:space="0" w:color="auto"/>
          </w:divBdr>
          <w:divsChild>
            <w:div w:id="115683925">
              <w:marLeft w:val="0"/>
              <w:marRight w:val="0"/>
              <w:marTop w:val="0"/>
              <w:marBottom w:val="0"/>
              <w:divBdr>
                <w:top w:val="none" w:sz="0" w:space="0" w:color="auto"/>
                <w:left w:val="none" w:sz="0" w:space="0" w:color="auto"/>
                <w:bottom w:val="none" w:sz="0" w:space="0" w:color="auto"/>
                <w:right w:val="none" w:sz="0" w:space="0" w:color="auto"/>
              </w:divBdr>
            </w:div>
          </w:divsChild>
        </w:div>
        <w:div w:id="244342237">
          <w:marLeft w:val="0"/>
          <w:marRight w:val="0"/>
          <w:marTop w:val="0"/>
          <w:marBottom w:val="0"/>
          <w:divBdr>
            <w:top w:val="none" w:sz="0" w:space="0" w:color="auto"/>
            <w:left w:val="none" w:sz="0" w:space="0" w:color="auto"/>
            <w:bottom w:val="none" w:sz="0" w:space="0" w:color="auto"/>
            <w:right w:val="none" w:sz="0" w:space="0" w:color="auto"/>
          </w:divBdr>
          <w:divsChild>
            <w:div w:id="626161346">
              <w:marLeft w:val="0"/>
              <w:marRight w:val="0"/>
              <w:marTop w:val="0"/>
              <w:marBottom w:val="0"/>
              <w:divBdr>
                <w:top w:val="none" w:sz="0" w:space="0" w:color="auto"/>
                <w:left w:val="none" w:sz="0" w:space="0" w:color="auto"/>
                <w:bottom w:val="none" w:sz="0" w:space="0" w:color="auto"/>
                <w:right w:val="none" w:sz="0" w:space="0" w:color="auto"/>
              </w:divBdr>
            </w:div>
          </w:divsChild>
        </w:div>
        <w:div w:id="308558778">
          <w:marLeft w:val="0"/>
          <w:marRight w:val="0"/>
          <w:marTop w:val="0"/>
          <w:marBottom w:val="0"/>
          <w:divBdr>
            <w:top w:val="none" w:sz="0" w:space="0" w:color="auto"/>
            <w:left w:val="none" w:sz="0" w:space="0" w:color="auto"/>
            <w:bottom w:val="none" w:sz="0" w:space="0" w:color="auto"/>
            <w:right w:val="none" w:sz="0" w:space="0" w:color="auto"/>
          </w:divBdr>
          <w:divsChild>
            <w:div w:id="465512254">
              <w:marLeft w:val="0"/>
              <w:marRight w:val="0"/>
              <w:marTop w:val="0"/>
              <w:marBottom w:val="0"/>
              <w:divBdr>
                <w:top w:val="none" w:sz="0" w:space="0" w:color="auto"/>
                <w:left w:val="none" w:sz="0" w:space="0" w:color="auto"/>
                <w:bottom w:val="none" w:sz="0" w:space="0" w:color="auto"/>
                <w:right w:val="none" w:sz="0" w:space="0" w:color="auto"/>
              </w:divBdr>
            </w:div>
          </w:divsChild>
        </w:div>
        <w:div w:id="854926449">
          <w:marLeft w:val="0"/>
          <w:marRight w:val="0"/>
          <w:marTop w:val="0"/>
          <w:marBottom w:val="0"/>
          <w:divBdr>
            <w:top w:val="none" w:sz="0" w:space="0" w:color="auto"/>
            <w:left w:val="none" w:sz="0" w:space="0" w:color="auto"/>
            <w:bottom w:val="none" w:sz="0" w:space="0" w:color="auto"/>
            <w:right w:val="none" w:sz="0" w:space="0" w:color="auto"/>
          </w:divBdr>
          <w:divsChild>
            <w:div w:id="1749227273">
              <w:marLeft w:val="0"/>
              <w:marRight w:val="0"/>
              <w:marTop w:val="0"/>
              <w:marBottom w:val="0"/>
              <w:divBdr>
                <w:top w:val="none" w:sz="0" w:space="0" w:color="auto"/>
                <w:left w:val="none" w:sz="0" w:space="0" w:color="auto"/>
                <w:bottom w:val="none" w:sz="0" w:space="0" w:color="auto"/>
                <w:right w:val="none" w:sz="0" w:space="0" w:color="auto"/>
              </w:divBdr>
            </w:div>
          </w:divsChild>
        </w:div>
        <w:div w:id="1073161503">
          <w:marLeft w:val="0"/>
          <w:marRight w:val="0"/>
          <w:marTop w:val="0"/>
          <w:marBottom w:val="0"/>
          <w:divBdr>
            <w:top w:val="none" w:sz="0" w:space="0" w:color="auto"/>
            <w:left w:val="none" w:sz="0" w:space="0" w:color="auto"/>
            <w:bottom w:val="none" w:sz="0" w:space="0" w:color="auto"/>
            <w:right w:val="none" w:sz="0" w:space="0" w:color="auto"/>
          </w:divBdr>
          <w:divsChild>
            <w:div w:id="423186069">
              <w:marLeft w:val="0"/>
              <w:marRight w:val="0"/>
              <w:marTop w:val="0"/>
              <w:marBottom w:val="0"/>
              <w:divBdr>
                <w:top w:val="none" w:sz="0" w:space="0" w:color="auto"/>
                <w:left w:val="none" w:sz="0" w:space="0" w:color="auto"/>
                <w:bottom w:val="none" w:sz="0" w:space="0" w:color="auto"/>
                <w:right w:val="none" w:sz="0" w:space="0" w:color="auto"/>
              </w:divBdr>
            </w:div>
          </w:divsChild>
        </w:div>
        <w:div w:id="469204533">
          <w:marLeft w:val="0"/>
          <w:marRight w:val="0"/>
          <w:marTop w:val="0"/>
          <w:marBottom w:val="0"/>
          <w:divBdr>
            <w:top w:val="none" w:sz="0" w:space="0" w:color="auto"/>
            <w:left w:val="none" w:sz="0" w:space="0" w:color="auto"/>
            <w:bottom w:val="none" w:sz="0" w:space="0" w:color="auto"/>
            <w:right w:val="none" w:sz="0" w:space="0" w:color="auto"/>
          </w:divBdr>
          <w:divsChild>
            <w:div w:id="410084533">
              <w:marLeft w:val="0"/>
              <w:marRight w:val="0"/>
              <w:marTop w:val="0"/>
              <w:marBottom w:val="0"/>
              <w:divBdr>
                <w:top w:val="none" w:sz="0" w:space="0" w:color="auto"/>
                <w:left w:val="none" w:sz="0" w:space="0" w:color="auto"/>
                <w:bottom w:val="none" w:sz="0" w:space="0" w:color="auto"/>
                <w:right w:val="none" w:sz="0" w:space="0" w:color="auto"/>
              </w:divBdr>
            </w:div>
          </w:divsChild>
        </w:div>
        <w:div w:id="41298330">
          <w:marLeft w:val="0"/>
          <w:marRight w:val="0"/>
          <w:marTop w:val="0"/>
          <w:marBottom w:val="0"/>
          <w:divBdr>
            <w:top w:val="none" w:sz="0" w:space="0" w:color="auto"/>
            <w:left w:val="none" w:sz="0" w:space="0" w:color="auto"/>
            <w:bottom w:val="none" w:sz="0" w:space="0" w:color="auto"/>
            <w:right w:val="none" w:sz="0" w:space="0" w:color="auto"/>
          </w:divBdr>
          <w:divsChild>
            <w:div w:id="1780179378">
              <w:marLeft w:val="0"/>
              <w:marRight w:val="0"/>
              <w:marTop w:val="0"/>
              <w:marBottom w:val="0"/>
              <w:divBdr>
                <w:top w:val="none" w:sz="0" w:space="0" w:color="auto"/>
                <w:left w:val="none" w:sz="0" w:space="0" w:color="auto"/>
                <w:bottom w:val="none" w:sz="0" w:space="0" w:color="auto"/>
                <w:right w:val="none" w:sz="0" w:space="0" w:color="auto"/>
              </w:divBdr>
            </w:div>
          </w:divsChild>
        </w:div>
        <w:div w:id="95177874">
          <w:marLeft w:val="0"/>
          <w:marRight w:val="0"/>
          <w:marTop w:val="0"/>
          <w:marBottom w:val="0"/>
          <w:divBdr>
            <w:top w:val="none" w:sz="0" w:space="0" w:color="auto"/>
            <w:left w:val="none" w:sz="0" w:space="0" w:color="auto"/>
            <w:bottom w:val="none" w:sz="0" w:space="0" w:color="auto"/>
            <w:right w:val="none" w:sz="0" w:space="0" w:color="auto"/>
          </w:divBdr>
          <w:divsChild>
            <w:div w:id="297995235">
              <w:marLeft w:val="0"/>
              <w:marRight w:val="0"/>
              <w:marTop w:val="0"/>
              <w:marBottom w:val="0"/>
              <w:divBdr>
                <w:top w:val="none" w:sz="0" w:space="0" w:color="auto"/>
                <w:left w:val="none" w:sz="0" w:space="0" w:color="auto"/>
                <w:bottom w:val="none" w:sz="0" w:space="0" w:color="auto"/>
                <w:right w:val="none" w:sz="0" w:space="0" w:color="auto"/>
              </w:divBdr>
            </w:div>
          </w:divsChild>
        </w:div>
        <w:div w:id="1984238463">
          <w:marLeft w:val="0"/>
          <w:marRight w:val="0"/>
          <w:marTop w:val="0"/>
          <w:marBottom w:val="0"/>
          <w:divBdr>
            <w:top w:val="none" w:sz="0" w:space="0" w:color="auto"/>
            <w:left w:val="none" w:sz="0" w:space="0" w:color="auto"/>
            <w:bottom w:val="none" w:sz="0" w:space="0" w:color="auto"/>
            <w:right w:val="none" w:sz="0" w:space="0" w:color="auto"/>
          </w:divBdr>
          <w:divsChild>
            <w:div w:id="739838236">
              <w:marLeft w:val="0"/>
              <w:marRight w:val="0"/>
              <w:marTop w:val="0"/>
              <w:marBottom w:val="0"/>
              <w:divBdr>
                <w:top w:val="none" w:sz="0" w:space="0" w:color="auto"/>
                <w:left w:val="none" w:sz="0" w:space="0" w:color="auto"/>
                <w:bottom w:val="none" w:sz="0" w:space="0" w:color="auto"/>
                <w:right w:val="none" w:sz="0" w:space="0" w:color="auto"/>
              </w:divBdr>
            </w:div>
          </w:divsChild>
        </w:div>
        <w:div w:id="155342894">
          <w:marLeft w:val="0"/>
          <w:marRight w:val="0"/>
          <w:marTop w:val="0"/>
          <w:marBottom w:val="0"/>
          <w:divBdr>
            <w:top w:val="none" w:sz="0" w:space="0" w:color="auto"/>
            <w:left w:val="none" w:sz="0" w:space="0" w:color="auto"/>
            <w:bottom w:val="none" w:sz="0" w:space="0" w:color="auto"/>
            <w:right w:val="none" w:sz="0" w:space="0" w:color="auto"/>
          </w:divBdr>
          <w:divsChild>
            <w:div w:id="205606804">
              <w:marLeft w:val="0"/>
              <w:marRight w:val="0"/>
              <w:marTop w:val="0"/>
              <w:marBottom w:val="0"/>
              <w:divBdr>
                <w:top w:val="none" w:sz="0" w:space="0" w:color="auto"/>
                <w:left w:val="none" w:sz="0" w:space="0" w:color="auto"/>
                <w:bottom w:val="none" w:sz="0" w:space="0" w:color="auto"/>
                <w:right w:val="none" w:sz="0" w:space="0" w:color="auto"/>
              </w:divBdr>
            </w:div>
          </w:divsChild>
        </w:div>
        <w:div w:id="214507206">
          <w:marLeft w:val="0"/>
          <w:marRight w:val="0"/>
          <w:marTop w:val="0"/>
          <w:marBottom w:val="0"/>
          <w:divBdr>
            <w:top w:val="none" w:sz="0" w:space="0" w:color="auto"/>
            <w:left w:val="none" w:sz="0" w:space="0" w:color="auto"/>
            <w:bottom w:val="none" w:sz="0" w:space="0" w:color="auto"/>
            <w:right w:val="none" w:sz="0" w:space="0" w:color="auto"/>
          </w:divBdr>
          <w:divsChild>
            <w:div w:id="58938761">
              <w:marLeft w:val="0"/>
              <w:marRight w:val="0"/>
              <w:marTop w:val="0"/>
              <w:marBottom w:val="0"/>
              <w:divBdr>
                <w:top w:val="none" w:sz="0" w:space="0" w:color="auto"/>
                <w:left w:val="none" w:sz="0" w:space="0" w:color="auto"/>
                <w:bottom w:val="none" w:sz="0" w:space="0" w:color="auto"/>
                <w:right w:val="none" w:sz="0" w:space="0" w:color="auto"/>
              </w:divBdr>
            </w:div>
          </w:divsChild>
        </w:div>
        <w:div w:id="1822112563">
          <w:marLeft w:val="0"/>
          <w:marRight w:val="0"/>
          <w:marTop w:val="0"/>
          <w:marBottom w:val="0"/>
          <w:divBdr>
            <w:top w:val="none" w:sz="0" w:space="0" w:color="auto"/>
            <w:left w:val="none" w:sz="0" w:space="0" w:color="auto"/>
            <w:bottom w:val="none" w:sz="0" w:space="0" w:color="auto"/>
            <w:right w:val="none" w:sz="0" w:space="0" w:color="auto"/>
          </w:divBdr>
          <w:divsChild>
            <w:div w:id="311980623">
              <w:marLeft w:val="0"/>
              <w:marRight w:val="0"/>
              <w:marTop w:val="0"/>
              <w:marBottom w:val="0"/>
              <w:divBdr>
                <w:top w:val="none" w:sz="0" w:space="0" w:color="auto"/>
                <w:left w:val="none" w:sz="0" w:space="0" w:color="auto"/>
                <w:bottom w:val="none" w:sz="0" w:space="0" w:color="auto"/>
                <w:right w:val="none" w:sz="0" w:space="0" w:color="auto"/>
              </w:divBdr>
            </w:div>
          </w:divsChild>
        </w:div>
        <w:div w:id="167525036">
          <w:marLeft w:val="0"/>
          <w:marRight w:val="0"/>
          <w:marTop w:val="0"/>
          <w:marBottom w:val="0"/>
          <w:divBdr>
            <w:top w:val="none" w:sz="0" w:space="0" w:color="auto"/>
            <w:left w:val="none" w:sz="0" w:space="0" w:color="auto"/>
            <w:bottom w:val="none" w:sz="0" w:space="0" w:color="auto"/>
            <w:right w:val="none" w:sz="0" w:space="0" w:color="auto"/>
          </w:divBdr>
          <w:divsChild>
            <w:div w:id="659775134">
              <w:marLeft w:val="0"/>
              <w:marRight w:val="0"/>
              <w:marTop w:val="0"/>
              <w:marBottom w:val="0"/>
              <w:divBdr>
                <w:top w:val="none" w:sz="0" w:space="0" w:color="auto"/>
                <w:left w:val="none" w:sz="0" w:space="0" w:color="auto"/>
                <w:bottom w:val="none" w:sz="0" w:space="0" w:color="auto"/>
                <w:right w:val="none" w:sz="0" w:space="0" w:color="auto"/>
              </w:divBdr>
            </w:div>
          </w:divsChild>
        </w:div>
        <w:div w:id="5140477">
          <w:marLeft w:val="0"/>
          <w:marRight w:val="0"/>
          <w:marTop w:val="0"/>
          <w:marBottom w:val="0"/>
          <w:divBdr>
            <w:top w:val="none" w:sz="0" w:space="0" w:color="auto"/>
            <w:left w:val="none" w:sz="0" w:space="0" w:color="auto"/>
            <w:bottom w:val="none" w:sz="0" w:space="0" w:color="auto"/>
            <w:right w:val="none" w:sz="0" w:space="0" w:color="auto"/>
          </w:divBdr>
          <w:divsChild>
            <w:div w:id="1638294041">
              <w:marLeft w:val="0"/>
              <w:marRight w:val="0"/>
              <w:marTop w:val="0"/>
              <w:marBottom w:val="0"/>
              <w:divBdr>
                <w:top w:val="none" w:sz="0" w:space="0" w:color="auto"/>
                <w:left w:val="none" w:sz="0" w:space="0" w:color="auto"/>
                <w:bottom w:val="none" w:sz="0" w:space="0" w:color="auto"/>
                <w:right w:val="none" w:sz="0" w:space="0" w:color="auto"/>
              </w:divBdr>
            </w:div>
          </w:divsChild>
        </w:div>
        <w:div w:id="1050031473">
          <w:marLeft w:val="0"/>
          <w:marRight w:val="0"/>
          <w:marTop w:val="0"/>
          <w:marBottom w:val="0"/>
          <w:divBdr>
            <w:top w:val="none" w:sz="0" w:space="0" w:color="auto"/>
            <w:left w:val="none" w:sz="0" w:space="0" w:color="auto"/>
            <w:bottom w:val="none" w:sz="0" w:space="0" w:color="auto"/>
            <w:right w:val="none" w:sz="0" w:space="0" w:color="auto"/>
          </w:divBdr>
          <w:divsChild>
            <w:div w:id="1967810155">
              <w:marLeft w:val="0"/>
              <w:marRight w:val="0"/>
              <w:marTop w:val="0"/>
              <w:marBottom w:val="0"/>
              <w:divBdr>
                <w:top w:val="none" w:sz="0" w:space="0" w:color="auto"/>
                <w:left w:val="none" w:sz="0" w:space="0" w:color="auto"/>
                <w:bottom w:val="none" w:sz="0" w:space="0" w:color="auto"/>
                <w:right w:val="none" w:sz="0" w:space="0" w:color="auto"/>
              </w:divBdr>
            </w:div>
          </w:divsChild>
        </w:div>
        <w:div w:id="1898474731">
          <w:marLeft w:val="0"/>
          <w:marRight w:val="0"/>
          <w:marTop w:val="0"/>
          <w:marBottom w:val="0"/>
          <w:divBdr>
            <w:top w:val="none" w:sz="0" w:space="0" w:color="auto"/>
            <w:left w:val="none" w:sz="0" w:space="0" w:color="auto"/>
            <w:bottom w:val="none" w:sz="0" w:space="0" w:color="auto"/>
            <w:right w:val="none" w:sz="0" w:space="0" w:color="auto"/>
          </w:divBdr>
          <w:divsChild>
            <w:div w:id="951664160">
              <w:marLeft w:val="0"/>
              <w:marRight w:val="0"/>
              <w:marTop w:val="0"/>
              <w:marBottom w:val="0"/>
              <w:divBdr>
                <w:top w:val="none" w:sz="0" w:space="0" w:color="auto"/>
                <w:left w:val="none" w:sz="0" w:space="0" w:color="auto"/>
                <w:bottom w:val="none" w:sz="0" w:space="0" w:color="auto"/>
                <w:right w:val="none" w:sz="0" w:space="0" w:color="auto"/>
              </w:divBdr>
            </w:div>
          </w:divsChild>
        </w:div>
        <w:div w:id="819619404">
          <w:marLeft w:val="0"/>
          <w:marRight w:val="0"/>
          <w:marTop w:val="0"/>
          <w:marBottom w:val="0"/>
          <w:divBdr>
            <w:top w:val="none" w:sz="0" w:space="0" w:color="auto"/>
            <w:left w:val="none" w:sz="0" w:space="0" w:color="auto"/>
            <w:bottom w:val="none" w:sz="0" w:space="0" w:color="auto"/>
            <w:right w:val="none" w:sz="0" w:space="0" w:color="auto"/>
          </w:divBdr>
          <w:divsChild>
            <w:div w:id="230233794">
              <w:marLeft w:val="0"/>
              <w:marRight w:val="0"/>
              <w:marTop w:val="0"/>
              <w:marBottom w:val="0"/>
              <w:divBdr>
                <w:top w:val="none" w:sz="0" w:space="0" w:color="auto"/>
                <w:left w:val="none" w:sz="0" w:space="0" w:color="auto"/>
                <w:bottom w:val="none" w:sz="0" w:space="0" w:color="auto"/>
                <w:right w:val="none" w:sz="0" w:space="0" w:color="auto"/>
              </w:divBdr>
            </w:div>
          </w:divsChild>
        </w:div>
        <w:div w:id="270825889">
          <w:marLeft w:val="0"/>
          <w:marRight w:val="0"/>
          <w:marTop w:val="0"/>
          <w:marBottom w:val="0"/>
          <w:divBdr>
            <w:top w:val="none" w:sz="0" w:space="0" w:color="auto"/>
            <w:left w:val="none" w:sz="0" w:space="0" w:color="auto"/>
            <w:bottom w:val="none" w:sz="0" w:space="0" w:color="auto"/>
            <w:right w:val="none" w:sz="0" w:space="0" w:color="auto"/>
          </w:divBdr>
          <w:divsChild>
            <w:div w:id="240987400">
              <w:marLeft w:val="0"/>
              <w:marRight w:val="0"/>
              <w:marTop w:val="0"/>
              <w:marBottom w:val="0"/>
              <w:divBdr>
                <w:top w:val="none" w:sz="0" w:space="0" w:color="auto"/>
                <w:left w:val="none" w:sz="0" w:space="0" w:color="auto"/>
                <w:bottom w:val="none" w:sz="0" w:space="0" w:color="auto"/>
                <w:right w:val="none" w:sz="0" w:space="0" w:color="auto"/>
              </w:divBdr>
            </w:div>
          </w:divsChild>
        </w:div>
        <w:div w:id="535966774">
          <w:marLeft w:val="0"/>
          <w:marRight w:val="0"/>
          <w:marTop w:val="0"/>
          <w:marBottom w:val="0"/>
          <w:divBdr>
            <w:top w:val="none" w:sz="0" w:space="0" w:color="auto"/>
            <w:left w:val="none" w:sz="0" w:space="0" w:color="auto"/>
            <w:bottom w:val="none" w:sz="0" w:space="0" w:color="auto"/>
            <w:right w:val="none" w:sz="0" w:space="0" w:color="auto"/>
          </w:divBdr>
          <w:divsChild>
            <w:div w:id="1399548506">
              <w:marLeft w:val="0"/>
              <w:marRight w:val="0"/>
              <w:marTop w:val="0"/>
              <w:marBottom w:val="0"/>
              <w:divBdr>
                <w:top w:val="none" w:sz="0" w:space="0" w:color="auto"/>
                <w:left w:val="none" w:sz="0" w:space="0" w:color="auto"/>
                <w:bottom w:val="none" w:sz="0" w:space="0" w:color="auto"/>
                <w:right w:val="none" w:sz="0" w:space="0" w:color="auto"/>
              </w:divBdr>
            </w:div>
          </w:divsChild>
        </w:div>
        <w:div w:id="1194225670">
          <w:marLeft w:val="0"/>
          <w:marRight w:val="0"/>
          <w:marTop w:val="0"/>
          <w:marBottom w:val="0"/>
          <w:divBdr>
            <w:top w:val="none" w:sz="0" w:space="0" w:color="auto"/>
            <w:left w:val="none" w:sz="0" w:space="0" w:color="auto"/>
            <w:bottom w:val="none" w:sz="0" w:space="0" w:color="auto"/>
            <w:right w:val="none" w:sz="0" w:space="0" w:color="auto"/>
          </w:divBdr>
          <w:divsChild>
            <w:div w:id="227418456">
              <w:marLeft w:val="0"/>
              <w:marRight w:val="0"/>
              <w:marTop w:val="0"/>
              <w:marBottom w:val="0"/>
              <w:divBdr>
                <w:top w:val="none" w:sz="0" w:space="0" w:color="auto"/>
                <w:left w:val="none" w:sz="0" w:space="0" w:color="auto"/>
                <w:bottom w:val="none" w:sz="0" w:space="0" w:color="auto"/>
                <w:right w:val="none" w:sz="0" w:space="0" w:color="auto"/>
              </w:divBdr>
            </w:div>
          </w:divsChild>
        </w:div>
        <w:div w:id="96869458">
          <w:marLeft w:val="0"/>
          <w:marRight w:val="0"/>
          <w:marTop w:val="0"/>
          <w:marBottom w:val="0"/>
          <w:divBdr>
            <w:top w:val="none" w:sz="0" w:space="0" w:color="auto"/>
            <w:left w:val="none" w:sz="0" w:space="0" w:color="auto"/>
            <w:bottom w:val="none" w:sz="0" w:space="0" w:color="auto"/>
            <w:right w:val="none" w:sz="0" w:space="0" w:color="auto"/>
          </w:divBdr>
          <w:divsChild>
            <w:div w:id="1244487847">
              <w:marLeft w:val="0"/>
              <w:marRight w:val="0"/>
              <w:marTop w:val="0"/>
              <w:marBottom w:val="0"/>
              <w:divBdr>
                <w:top w:val="none" w:sz="0" w:space="0" w:color="auto"/>
                <w:left w:val="none" w:sz="0" w:space="0" w:color="auto"/>
                <w:bottom w:val="none" w:sz="0" w:space="0" w:color="auto"/>
                <w:right w:val="none" w:sz="0" w:space="0" w:color="auto"/>
              </w:divBdr>
            </w:div>
          </w:divsChild>
        </w:div>
        <w:div w:id="1229654345">
          <w:marLeft w:val="0"/>
          <w:marRight w:val="0"/>
          <w:marTop w:val="0"/>
          <w:marBottom w:val="0"/>
          <w:divBdr>
            <w:top w:val="none" w:sz="0" w:space="0" w:color="auto"/>
            <w:left w:val="none" w:sz="0" w:space="0" w:color="auto"/>
            <w:bottom w:val="none" w:sz="0" w:space="0" w:color="auto"/>
            <w:right w:val="none" w:sz="0" w:space="0" w:color="auto"/>
          </w:divBdr>
          <w:divsChild>
            <w:div w:id="25644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084253">
      <w:bodyDiv w:val="1"/>
      <w:marLeft w:val="0"/>
      <w:marRight w:val="0"/>
      <w:marTop w:val="0"/>
      <w:marBottom w:val="0"/>
      <w:divBdr>
        <w:top w:val="none" w:sz="0" w:space="0" w:color="auto"/>
        <w:left w:val="none" w:sz="0" w:space="0" w:color="auto"/>
        <w:bottom w:val="none" w:sz="0" w:space="0" w:color="auto"/>
        <w:right w:val="none" w:sz="0" w:space="0" w:color="auto"/>
      </w:divBdr>
    </w:div>
    <w:div w:id="1435632545">
      <w:bodyDiv w:val="1"/>
      <w:marLeft w:val="0"/>
      <w:marRight w:val="0"/>
      <w:marTop w:val="0"/>
      <w:marBottom w:val="0"/>
      <w:divBdr>
        <w:top w:val="none" w:sz="0" w:space="0" w:color="auto"/>
        <w:left w:val="none" w:sz="0" w:space="0" w:color="auto"/>
        <w:bottom w:val="none" w:sz="0" w:space="0" w:color="auto"/>
        <w:right w:val="none" w:sz="0" w:space="0" w:color="auto"/>
      </w:divBdr>
    </w:div>
    <w:div w:id="1440561115">
      <w:bodyDiv w:val="1"/>
      <w:marLeft w:val="0"/>
      <w:marRight w:val="0"/>
      <w:marTop w:val="0"/>
      <w:marBottom w:val="0"/>
      <w:divBdr>
        <w:top w:val="none" w:sz="0" w:space="0" w:color="auto"/>
        <w:left w:val="none" w:sz="0" w:space="0" w:color="auto"/>
        <w:bottom w:val="none" w:sz="0" w:space="0" w:color="auto"/>
        <w:right w:val="none" w:sz="0" w:space="0" w:color="auto"/>
      </w:divBdr>
    </w:div>
    <w:div w:id="1443040133">
      <w:bodyDiv w:val="1"/>
      <w:marLeft w:val="0"/>
      <w:marRight w:val="0"/>
      <w:marTop w:val="0"/>
      <w:marBottom w:val="0"/>
      <w:divBdr>
        <w:top w:val="none" w:sz="0" w:space="0" w:color="auto"/>
        <w:left w:val="none" w:sz="0" w:space="0" w:color="auto"/>
        <w:bottom w:val="none" w:sz="0" w:space="0" w:color="auto"/>
        <w:right w:val="none" w:sz="0" w:space="0" w:color="auto"/>
      </w:divBdr>
    </w:div>
    <w:div w:id="1448506925">
      <w:bodyDiv w:val="1"/>
      <w:marLeft w:val="0"/>
      <w:marRight w:val="0"/>
      <w:marTop w:val="0"/>
      <w:marBottom w:val="0"/>
      <w:divBdr>
        <w:top w:val="none" w:sz="0" w:space="0" w:color="auto"/>
        <w:left w:val="none" w:sz="0" w:space="0" w:color="auto"/>
        <w:bottom w:val="none" w:sz="0" w:space="0" w:color="auto"/>
        <w:right w:val="none" w:sz="0" w:space="0" w:color="auto"/>
      </w:divBdr>
    </w:div>
    <w:div w:id="1451054025">
      <w:bodyDiv w:val="1"/>
      <w:marLeft w:val="0"/>
      <w:marRight w:val="0"/>
      <w:marTop w:val="0"/>
      <w:marBottom w:val="0"/>
      <w:divBdr>
        <w:top w:val="none" w:sz="0" w:space="0" w:color="auto"/>
        <w:left w:val="none" w:sz="0" w:space="0" w:color="auto"/>
        <w:bottom w:val="none" w:sz="0" w:space="0" w:color="auto"/>
        <w:right w:val="none" w:sz="0" w:space="0" w:color="auto"/>
      </w:divBdr>
    </w:div>
    <w:div w:id="1456212476">
      <w:bodyDiv w:val="1"/>
      <w:marLeft w:val="0"/>
      <w:marRight w:val="0"/>
      <w:marTop w:val="0"/>
      <w:marBottom w:val="0"/>
      <w:divBdr>
        <w:top w:val="none" w:sz="0" w:space="0" w:color="auto"/>
        <w:left w:val="none" w:sz="0" w:space="0" w:color="auto"/>
        <w:bottom w:val="none" w:sz="0" w:space="0" w:color="auto"/>
        <w:right w:val="none" w:sz="0" w:space="0" w:color="auto"/>
      </w:divBdr>
      <w:divsChild>
        <w:div w:id="766803465">
          <w:marLeft w:val="0"/>
          <w:marRight w:val="0"/>
          <w:marTop w:val="0"/>
          <w:marBottom w:val="0"/>
          <w:divBdr>
            <w:top w:val="none" w:sz="0" w:space="0" w:color="auto"/>
            <w:left w:val="none" w:sz="0" w:space="0" w:color="auto"/>
            <w:bottom w:val="none" w:sz="0" w:space="0" w:color="auto"/>
            <w:right w:val="none" w:sz="0" w:space="0" w:color="auto"/>
          </w:divBdr>
        </w:div>
      </w:divsChild>
    </w:div>
    <w:div w:id="1459684683">
      <w:bodyDiv w:val="1"/>
      <w:marLeft w:val="0"/>
      <w:marRight w:val="0"/>
      <w:marTop w:val="0"/>
      <w:marBottom w:val="0"/>
      <w:divBdr>
        <w:top w:val="none" w:sz="0" w:space="0" w:color="auto"/>
        <w:left w:val="none" w:sz="0" w:space="0" w:color="auto"/>
        <w:bottom w:val="none" w:sz="0" w:space="0" w:color="auto"/>
        <w:right w:val="none" w:sz="0" w:space="0" w:color="auto"/>
      </w:divBdr>
      <w:divsChild>
        <w:div w:id="510920801">
          <w:marLeft w:val="0"/>
          <w:marRight w:val="0"/>
          <w:marTop w:val="0"/>
          <w:marBottom w:val="0"/>
          <w:divBdr>
            <w:top w:val="none" w:sz="0" w:space="0" w:color="auto"/>
            <w:left w:val="none" w:sz="0" w:space="0" w:color="auto"/>
            <w:bottom w:val="none" w:sz="0" w:space="0" w:color="auto"/>
            <w:right w:val="none" w:sz="0" w:space="0" w:color="auto"/>
          </w:divBdr>
        </w:div>
        <w:div w:id="1927565977">
          <w:marLeft w:val="0"/>
          <w:marRight w:val="0"/>
          <w:marTop w:val="0"/>
          <w:marBottom w:val="0"/>
          <w:divBdr>
            <w:top w:val="none" w:sz="0" w:space="0" w:color="auto"/>
            <w:left w:val="none" w:sz="0" w:space="0" w:color="auto"/>
            <w:bottom w:val="none" w:sz="0" w:space="0" w:color="auto"/>
            <w:right w:val="none" w:sz="0" w:space="0" w:color="auto"/>
          </w:divBdr>
        </w:div>
        <w:div w:id="1529443247">
          <w:marLeft w:val="0"/>
          <w:marRight w:val="0"/>
          <w:marTop w:val="0"/>
          <w:marBottom w:val="0"/>
          <w:divBdr>
            <w:top w:val="none" w:sz="0" w:space="0" w:color="auto"/>
            <w:left w:val="none" w:sz="0" w:space="0" w:color="auto"/>
            <w:bottom w:val="none" w:sz="0" w:space="0" w:color="auto"/>
            <w:right w:val="none" w:sz="0" w:space="0" w:color="auto"/>
          </w:divBdr>
        </w:div>
        <w:div w:id="857426058">
          <w:marLeft w:val="0"/>
          <w:marRight w:val="0"/>
          <w:marTop w:val="0"/>
          <w:marBottom w:val="0"/>
          <w:divBdr>
            <w:top w:val="none" w:sz="0" w:space="0" w:color="auto"/>
            <w:left w:val="none" w:sz="0" w:space="0" w:color="auto"/>
            <w:bottom w:val="none" w:sz="0" w:space="0" w:color="auto"/>
            <w:right w:val="none" w:sz="0" w:space="0" w:color="auto"/>
          </w:divBdr>
        </w:div>
        <w:div w:id="1708989729">
          <w:marLeft w:val="0"/>
          <w:marRight w:val="0"/>
          <w:marTop w:val="0"/>
          <w:marBottom w:val="0"/>
          <w:divBdr>
            <w:top w:val="none" w:sz="0" w:space="0" w:color="auto"/>
            <w:left w:val="none" w:sz="0" w:space="0" w:color="auto"/>
            <w:bottom w:val="none" w:sz="0" w:space="0" w:color="auto"/>
            <w:right w:val="none" w:sz="0" w:space="0" w:color="auto"/>
          </w:divBdr>
        </w:div>
        <w:div w:id="136190416">
          <w:marLeft w:val="0"/>
          <w:marRight w:val="0"/>
          <w:marTop w:val="0"/>
          <w:marBottom w:val="0"/>
          <w:divBdr>
            <w:top w:val="none" w:sz="0" w:space="0" w:color="auto"/>
            <w:left w:val="none" w:sz="0" w:space="0" w:color="auto"/>
            <w:bottom w:val="none" w:sz="0" w:space="0" w:color="auto"/>
            <w:right w:val="none" w:sz="0" w:space="0" w:color="auto"/>
          </w:divBdr>
        </w:div>
        <w:div w:id="1608736397">
          <w:marLeft w:val="0"/>
          <w:marRight w:val="0"/>
          <w:marTop w:val="0"/>
          <w:marBottom w:val="0"/>
          <w:divBdr>
            <w:top w:val="none" w:sz="0" w:space="0" w:color="auto"/>
            <w:left w:val="none" w:sz="0" w:space="0" w:color="auto"/>
            <w:bottom w:val="none" w:sz="0" w:space="0" w:color="auto"/>
            <w:right w:val="none" w:sz="0" w:space="0" w:color="auto"/>
          </w:divBdr>
        </w:div>
        <w:div w:id="2001276252">
          <w:marLeft w:val="0"/>
          <w:marRight w:val="0"/>
          <w:marTop w:val="0"/>
          <w:marBottom w:val="0"/>
          <w:divBdr>
            <w:top w:val="none" w:sz="0" w:space="0" w:color="auto"/>
            <w:left w:val="none" w:sz="0" w:space="0" w:color="auto"/>
            <w:bottom w:val="none" w:sz="0" w:space="0" w:color="auto"/>
            <w:right w:val="none" w:sz="0" w:space="0" w:color="auto"/>
          </w:divBdr>
        </w:div>
        <w:div w:id="445663229">
          <w:marLeft w:val="0"/>
          <w:marRight w:val="0"/>
          <w:marTop w:val="0"/>
          <w:marBottom w:val="0"/>
          <w:divBdr>
            <w:top w:val="none" w:sz="0" w:space="0" w:color="auto"/>
            <w:left w:val="none" w:sz="0" w:space="0" w:color="auto"/>
            <w:bottom w:val="none" w:sz="0" w:space="0" w:color="auto"/>
            <w:right w:val="none" w:sz="0" w:space="0" w:color="auto"/>
          </w:divBdr>
        </w:div>
        <w:div w:id="1336106056">
          <w:marLeft w:val="0"/>
          <w:marRight w:val="0"/>
          <w:marTop w:val="0"/>
          <w:marBottom w:val="0"/>
          <w:divBdr>
            <w:top w:val="none" w:sz="0" w:space="0" w:color="auto"/>
            <w:left w:val="none" w:sz="0" w:space="0" w:color="auto"/>
            <w:bottom w:val="none" w:sz="0" w:space="0" w:color="auto"/>
            <w:right w:val="none" w:sz="0" w:space="0" w:color="auto"/>
          </w:divBdr>
        </w:div>
        <w:div w:id="1610163854">
          <w:marLeft w:val="0"/>
          <w:marRight w:val="0"/>
          <w:marTop w:val="0"/>
          <w:marBottom w:val="0"/>
          <w:divBdr>
            <w:top w:val="none" w:sz="0" w:space="0" w:color="auto"/>
            <w:left w:val="none" w:sz="0" w:space="0" w:color="auto"/>
            <w:bottom w:val="none" w:sz="0" w:space="0" w:color="auto"/>
            <w:right w:val="none" w:sz="0" w:space="0" w:color="auto"/>
          </w:divBdr>
        </w:div>
        <w:div w:id="545029014">
          <w:marLeft w:val="0"/>
          <w:marRight w:val="0"/>
          <w:marTop w:val="0"/>
          <w:marBottom w:val="0"/>
          <w:divBdr>
            <w:top w:val="none" w:sz="0" w:space="0" w:color="auto"/>
            <w:left w:val="none" w:sz="0" w:space="0" w:color="auto"/>
            <w:bottom w:val="none" w:sz="0" w:space="0" w:color="auto"/>
            <w:right w:val="none" w:sz="0" w:space="0" w:color="auto"/>
          </w:divBdr>
        </w:div>
        <w:div w:id="1244487919">
          <w:marLeft w:val="0"/>
          <w:marRight w:val="0"/>
          <w:marTop w:val="0"/>
          <w:marBottom w:val="0"/>
          <w:divBdr>
            <w:top w:val="none" w:sz="0" w:space="0" w:color="auto"/>
            <w:left w:val="none" w:sz="0" w:space="0" w:color="auto"/>
            <w:bottom w:val="none" w:sz="0" w:space="0" w:color="auto"/>
            <w:right w:val="none" w:sz="0" w:space="0" w:color="auto"/>
          </w:divBdr>
        </w:div>
        <w:div w:id="1459059329">
          <w:marLeft w:val="0"/>
          <w:marRight w:val="0"/>
          <w:marTop w:val="0"/>
          <w:marBottom w:val="0"/>
          <w:divBdr>
            <w:top w:val="none" w:sz="0" w:space="0" w:color="auto"/>
            <w:left w:val="none" w:sz="0" w:space="0" w:color="auto"/>
            <w:bottom w:val="none" w:sz="0" w:space="0" w:color="auto"/>
            <w:right w:val="none" w:sz="0" w:space="0" w:color="auto"/>
          </w:divBdr>
        </w:div>
      </w:divsChild>
    </w:div>
    <w:div w:id="1466585819">
      <w:bodyDiv w:val="1"/>
      <w:marLeft w:val="0"/>
      <w:marRight w:val="0"/>
      <w:marTop w:val="0"/>
      <w:marBottom w:val="0"/>
      <w:divBdr>
        <w:top w:val="none" w:sz="0" w:space="0" w:color="auto"/>
        <w:left w:val="none" w:sz="0" w:space="0" w:color="auto"/>
        <w:bottom w:val="none" w:sz="0" w:space="0" w:color="auto"/>
        <w:right w:val="none" w:sz="0" w:space="0" w:color="auto"/>
      </w:divBdr>
    </w:div>
    <w:div w:id="1479035577">
      <w:bodyDiv w:val="1"/>
      <w:marLeft w:val="0"/>
      <w:marRight w:val="0"/>
      <w:marTop w:val="0"/>
      <w:marBottom w:val="0"/>
      <w:divBdr>
        <w:top w:val="none" w:sz="0" w:space="0" w:color="auto"/>
        <w:left w:val="none" w:sz="0" w:space="0" w:color="auto"/>
        <w:bottom w:val="none" w:sz="0" w:space="0" w:color="auto"/>
        <w:right w:val="none" w:sz="0" w:space="0" w:color="auto"/>
      </w:divBdr>
    </w:div>
    <w:div w:id="1480222279">
      <w:bodyDiv w:val="1"/>
      <w:marLeft w:val="0"/>
      <w:marRight w:val="0"/>
      <w:marTop w:val="0"/>
      <w:marBottom w:val="0"/>
      <w:divBdr>
        <w:top w:val="none" w:sz="0" w:space="0" w:color="auto"/>
        <w:left w:val="none" w:sz="0" w:space="0" w:color="auto"/>
        <w:bottom w:val="none" w:sz="0" w:space="0" w:color="auto"/>
        <w:right w:val="none" w:sz="0" w:space="0" w:color="auto"/>
      </w:divBdr>
    </w:div>
    <w:div w:id="1487625689">
      <w:bodyDiv w:val="1"/>
      <w:marLeft w:val="0"/>
      <w:marRight w:val="0"/>
      <w:marTop w:val="0"/>
      <w:marBottom w:val="0"/>
      <w:divBdr>
        <w:top w:val="none" w:sz="0" w:space="0" w:color="auto"/>
        <w:left w:val="none" w:sz="0" w:space="0" w:color="auto"/>
        <w:bottom w:val="none" w:sz="0" w:space="0" w:color="auto"/>
        <w:right w:val="none" w:sz="0" w:space="0" w:color="auto"/>
      </w:divBdr>
    </w:div>
    <w:div w:id="1489249025">
      <w:bodyDiv w:val="1"/>
      <w:marLeft w:val="0"/>
      <w:marRight w:val="0"/>
      <w:marTop w:val="0"/>
      <w:marBottom w:val="0"/>
      <w:divBdr>
        <w:top w:val="none" w:sz="0" w:space="0" w:color="auto"/>
        <w:left w:val="none" w:sz="0" w:space="0" w:color="auto"/>
        <w:bottom w:val="none" w:sz="0" w:space="0" w:color="auto"/>
        <w:right w:val="none" w:sz="0" w:space="0" w:color="auto"/>
      </w:divBdr>
    </w:div>
    <w:div w:id="1496798530">
      <w:bodyDiv w:val="1"/>
      <w:marLeft w:val="0"/>
      <w:marRight w:val="0"/>
      <w:marTop w:val="0"/>
      <w:marBottom w:val="0"/>
      <w:divBdr>
        <w:top w:val="none" w:sz="0" w:space="0" w:color="auto"/>
        <w:left w:val="none" w:sz="0" w:space="0" w:color="auto"/>
        <w:bottom w:val="none" w:sz="0" w:space="0" w:color="auto"/>
        <w:right w:val="none" w:sz="0" w:space="0" w:color="auto"/>
      </w:divBdr>
    </w:div>
    <w:div w:id="1498031833">
      <w:bodyDiv w:val="1"/>
      <w:marLeft w:val="0"/>
      <w:marRight w:val="0"/>
      <w:marTop w:val="0"/>
      <w:marBottom w:val="0"/>
      <w:divBdr>
        <w:top w:val="none" w:sz="0" w:space="0" w:color="auto"/>
        <w:left w:val="none" w:sz="0" w:space="0" w:color="auto"/>
        <w:bottom w:val="none" w:sz="0" w:space="0" w:color="auto"/>
        <w:right w:val="none" w:sz="0" w:space="0" w:color="auto"/>
      </w:divBdr>
    </w:div>
    <w:div w:id="1498501319">
      <w:bodyDiv w:val="1"/>
      <w:marLeft w:val="0"/>
      <w:marRight w:val="0"/>
      <w:marTop w:val="0"/>
      <w:marBottom w:val="0"/>
      <w:divBdr>
        <w:top w:val="none" w:sz="0" w:space="0" w:color="auto"/>
        <w:left w:val="none" w:sz="0" w:space="0" w:color="auto"/>
        <w:bottom w:val="none" w:sz="0" w:space="0" w:color="auto"/>
        <w:right w:val="none" w:sz="0" w:space="0" w:color="auto"/>
      </w:divBdr>
    </w:div>
    <w:div w:id="1501238248">
      <w:bodyDiv w:val="1"/>
      <w:marLeft w:val="0"/>
      <w:marRight w:val="0"/>
      <w:marTop w:val="0"/>
      <w:marBottom w:val="0"/>
      <w:divBdr>
        <w:top w:val="none" w:sz="0" w:space="0" w:color="auto"/>
        <w:left w:val="none" w:sz="0" w:space="0" w:color="auto"/>
        <w:bottom w:val="none" w:sz="0" w:space="0" w:color="auto"/>
        <w:right w:val="none" w:sz="0" w:space="0" w:color="auto"/>
      </w:divBdr>
    </w:div>
    <w:div w:id="1501504137">
      <w:bodyDiv w:val="1"/>
      <w:marLeft w:val="0"/>
      <w:marRight w:val="0"/>
      <w:marTop w:val="0"/>
      <w:marBottom w:val="0"/>
      <w:divBdr>
        <w:top w:val="none" w:sz="0" w:space="0" w:color="auto"/>
        <w:left w:val="none" w:sz="0" w:space="0" w:color="auto"/>
        <w:bottom w:val="none" w:sz="0" w:space="0" w:color="auto"/>
        <w:right w:val="none" w:sz="0" w:space="0" w:color="auto"/>
      </w:divBdr>
    </w:div>
    <w:div w:id="1510291601">
      <w:bodyDiv w:val="1"/>
      <w:marLeft w:val="0"/>
      <w:marRight w:val="0"/>
      <w:marTop w:val="0"/>
      <w:marBottom w:val="0"/>
      <w:divBdr>
        <w:top w:val="none" w:sz="0" w:space="0" w:color="auto"/>
        <w:left w:val="none" w:sz="0" w:space="0" w:color="auto"/>
        <w:bottom w:val="none" w:sz="0" w:space="0" w:color="auto"/>
        <w:right w:val="none" w:sz="0" w:space="0" w:color="auto"/>
      </w:divBdr>
    </w:div>
    <w:div w:id="1512333431">
      <w:bodyDiv w:val="1"/>
      <w:marLeft w:val="0"/>
      <w:marRight w:val="0"/>
      <w:marTop w:val="0"/>
      <w:marBottom w:val="0"/>
      <w:divBdr>
        <w:top w:val="none" w:sz="0" w:space="0" w:color="auto"/>
        <w:left w:val="none" w:sz="0" w:space="0" w:color="auto"/>
        <w:bottom w:val="none" w:sz="0" w:space="0" w:color="auto"/>
        <w:right w:val="none" w:sz="0" w:space="0" w:color="auto"/>
      </w:divBdr>
    </w:div>
    <w:div w:id="1514416991">
      <w:bodyDiv w:val="1"/>
      <w:marLeft w:val="0"/>
      <w:marRight w:val="0"/>
      <w:marTop w:val="0"/>
      <w:marBottom w:val="0"/>
      <w:divBdr>
        <w:top w:val="none" w:sz="0" w:space="0" w:color="auto"/>
        <w:left w:val="none" w:sz="0" w:space="0" w:color="auto"/>
        <w:bottom w:val="none" w:sz="0" w:space="0" w:color="auto"/>
        <w:right w:val="none" w:sz="0" w:space="0" w:color="auto"/>
      </w:divBdr>
    </w:div>
    <w:div w:id="1516773536">
      <w:bodyDiv w:val="1"/>
      <w:marLeft w:val="0"/>
      <w:marRight w:val="0"/>
      <w:marTop w:val="0"/>
      <w:marBottom w:val="0"/>
      <w:divBdr>
        <w:top w:val="none" w:sz="0" w:space="0" w:color="auto"/>
        <w:left w:val="none" w:sz="0" w:space="0" w:color="auto"/>
        <w:bottom w:val="none" w:sz="0" w:space="0" w:color="auto"/>
        <w:right w:val="none" w:sz="0" w:space="0" w:color="auto"/>
      </w:divBdr>
    </w:div>
    <w:div w:id="1517110397">
      <w:bodyDiv w:val="1"/>
      <w:marLeft w:val="0"/>
      <w:marRight w:val="0"/>
      <w:marTop w:val="0"/>
      <w:marBottom w:val="0"/>
      <w:divBdr>
        <w:top w:val="none" w:sz="0" w:space="0" w:color="auto"/>
        <w:left w:val="none" w:sz="0" w:space="0" w:color="auto"/>
        <w:bottom w:val="none" w:sz="0" w:space="0" w:color="auto"/>
        <w:right w:val="none" w:sz="0" w:space="0" w:color="auto"/>
      </w:divBdr>
    </w:div>
    <w:div w:id="1519390815">
      <w:bodyDiv w:val="1"/>
      <w:marLeft w:val="0"/>
      <w:marRight w:val="0"/>
      <w:marTop w:val="0"/>
      <w:marBottom w:val="0"/>
      <w:divBdr>
        <w:top w:val="none" w:sz="0" w:space="0" w:color="auto"/>
        <w:left w:val="none" w:sz="0" w:space="0" w:color="auto"/>
        <w:bottom w:val="none" w:sz="0" w:space="0" w:color="auto"/>
        <w:right w:val="none" w:sz="0" w:space="0" w:color="auto"/>
      </w:divBdr>
    </w:div>
    <w:div w:id="1520050418">
      <w:bodyDiv w:val="1"/>
      <w:marLeft w:val="0"/>
      <w:marRight w:val="0"/>
      <w:marTop w:val="0"/>
      <w:marBottom w:val="0"/>
      <w:divBdr>
        <w:top w:val="none" w:sz="0" w:space="0" w:color="auto"/>
        <w:left w:val="none" w:sz="0" w:space="0" w:color="auto"/>
        <w:bottom w:val="none" w:sz="0" w:space="0" w:color="auto"/>
        <w:right w:val="none" w:sz="0" w:space="0" w:color="auto"/>
      </w:divBdr>
    </w:div>
    <w:div w:id="1531994550">
      <w:bodyDiv w:val="1"/>
      <w:marLeft w:val="0"/>
      <w:marRight w:val="0"/>
      <w:marTop w:val="0"/>
      <w:marBottom w:val="0"/>
      <w:divBdr>
        <w:top w:val="none" w:sz="0" w:space="0" w:color="auto"/>
        <w:left w:val="none" w:sz="0" w:space="0" w:color="auto"/>
        <w:bottom w:val="none" w:sz="0" w:space="0" w:color="auto"/>
        <w:right w:val="none" w:sz="0" w:space="0" w:color="auto"/>
      </w:divBdr>
    </w:div>
    <w:div w:id="1536234896">
      <w:bodyDiv w:val="1"/>
      <w:marLeft w:val="0"/>
      <w:marRight w:val="0"/>
      <w:marTop w:val="0"/>
      <w:marBottom w:val="0"/>
      <w:divBdr>
        <w:top w:val="none" w:sz="0" w:space="0" w:color="auto"/>
        <w:left w:val="none" w:sz="0" w:space="0" w:color="auto"/>
        <w:bottom w:val="none" w:sz="0" w:space="0" w:color="auto"/>
        <w:right w:val="none" w:sz="0" w:space="0" w:color="auto"/>
      </w:divBdr>
    </w:div>
    <w:div w:id="1537231497">
      <w:bodyDiv w:val="1"/>
      <w:marLeft w:val="0"/>
      <w:marRight w:val="0"/>
      <w:marTop w:val="0"/>
      <w:marBottom w:val="0"/>
      <w:divBdr>
        <w:top w:val="none" w:sz="0" w:space="0" w:color="auto"/>
        <w:left w:val="none" w:sz="0" w:space="0" w:color="auto"/>
        <w:bottom w:val="none" w:sz="0" w:space="0" w:color="auto"/>
        <w:right w:val="none" w:sz="0" w:space="0" w:color="auto"/>
      </w:divBdr>
    </w:div>
    <w:div w:id="1538158272">
      <w:bodyDiv w:val="1"/>
      <w:marLeft w:val="0"/>
      <w:marRight w:val="0"/>
      <w:marTop w:val="0"/>
      <w:marBottom w:val="0"/>
      <w:divBdr>
        <w:top w:val="none" w:sz="0" w:space="0" w:color="auto"/>
        <w:left w:val="none" w:sz="0" w:space="0" w:color="auto"/>
        <w:bottom w:val="none" w:sz="0" w:space="0" w:color="auto"/>
        <w:right w:val="none" w:sz="0" w:space="0" w:color="auto"/>
      </w:divBdr>
      <w:divsChild>
        <w:div w:id="32580444">
          <w:marLeft w:val="0"/>
          <w:marRight w:val="0"/>
          <w:marTop w:val="0"/>
          <w:marBottom w:val="0"/>
          <w:divBdr>
            <w:top w:val="none" w:sz="0" w:space="0" w:color="auto"/>
            <w:left w:val="none" w:sz="0" w:space="0" w:color="auto"/>
            <w:bottom w:val="none" w:sz="0" w:space="0" w:color="auto"/>
            <w:right w:val="none" w:sz="0" w:space="0" w:color="auto"/>
          </w:divBdr>
        </w:div>
        <w:div w:id="416096195">
          <w:marLeft w:val="0"/>
          <w:marRight w:val="0"/>
          <w:marTop w:val="0"/>
          <w:marBottom w:val="0"/>
          <w:divBdr>
            <w:top w:val="none" w:sz="0" w:space="0" w:color="auto"/>
            <w:left w:val="none" w:sz="0" w:space="0" w:color="auto"/>
            <w:bottom w:val="none" w:sz="0" w:space="0" w:color="auto"/>
            <w:right w:val="none" w:sz="0" w:space="0" w:color="auto"/>
          </w:divBdr>
        </w:div>
        <w:div w:id="221871386">
          <w:marLeft w:val="0"/>
          <w:marRight w:val="0"/>
          <w:marTop w:val="0"/>
          <w:marBottom w:val="0"/>
          <w:divBdr>
            <w:top w:val="none" w:sz="0" w:space="0" w:color="auto"/>
            <w:left w:val="none" w:sz="0" w:space="0" w:color="auto"/>
            <w:bottom w:val="none" w:sz="0" w:space="0" w:color="auto"/>
            <w:right w:val="none" w:sz="0" w:space="0" w:color="auto"/>
          </w:divBdr>
        </w:div>
        <w:div w:id="1986157939">
          <w:marLeft w:val="0"/>
          <w:marRight w:val="0"/>
          <w:marTop w:val="0"/>
          <w:marBottom w:val="0"/>
          <w:divBdr>
            <w:top w:val="none" w:sz="0" w:space="0" w:color="auto"/>
            <w:left w:val="none" w:sz="0" w:space="0" w:color="auto"/>
            <w:bottom w:val="none" w:sz="0" w:space="0" w:color="auto"/>
            <w:right w:val="none" w:sz="0" w:space="0" w:color="auto"/>
          </w:divBdr>
        </w:div>
        <w:div w:id="649292819">
          <w:marLeft w:val="0"/>
          <w:marRight w:val="0"/>
          <w:marTop w:val="0"/>
          <w:marBottom w:val="0"/>
          <w:divBdr>
            <w:top w:val="none" w:sz="0" w:space="0" w:color="auto"/>
            <w:left w:val="none" w:sz="0" w:space="0" w:color="auto"/>
            <w:bottom w:val="none" w:sz="0" w:space="0" w:color="auto"/>
            <w:right w:val="none" w:sz="0" w:space="0" w:color="auto"/>
          </w:divBdr>
        </w:div>
        <w:div w:id="1588270499">
          <w:marLeft w:val="0"/>
          <w:marRight w:val="0"/>
          <w:marTop w:val="0"/>
          <w:marBottom w:val="0"/>
          <w:divBdr>
            <w:top w:val="none" w:sz="0" w:space="0" w:color="auto"/>
            <w:left w:val="none" w:sz="0" w:space="0" w:color="auto"/>
            <w:bottom w:val="none" w:sz="0" w:space="0" w:color="auto"/>
            <w:right w:val="none" w:sz="0" w:space="0" w:color="auto"/>
          </w:divBdr>
          <w:divsChild>
            <w:div w:id="2105032207">
              <w:marLeft w:val="-75"/>
              <w:marRight w:val="0"/>
              <w:marTop w:val="30"/>
              <w:marBottom w:val="30"/>
              <w:divBdr>
                <w:top w:val="none" w:sz="0" w:space="0" w:color="auto"/>
                <w:left w:val="none" w:sz="0" w:space="0" w:color="auto"/>
                <w:bottom w:val="none" w:sz="0" w:space="0" w:color="auto"/>
                <w:right w:val="none" w:sz="0" w:space="0" w:color="auto"/>
              </w:divBdr>
              <w:divsChild>
                <w:div w:id="937250314">
                  <w:marLeft w:val="0"/>
                  <w:marRight w:val="0"/>
                  <w:marTop w:val="0"/>
                  <w:marBottom w:val="0"/>
                  <w:divBdr>
                    <w:top w:val="none" w:sz="0" w:space="0" w:color="auto"/>
                    <w:left w:val="none" w:sz="0" w:space="0" w:color="auto"/>
                    <w:bottom w:val="none" w:sz="0" w:space="0" w:color="auto"/>
                    <w:right w:val="none" w:sz="0" w:space="0" w:color="auto"/>
                  </w:divBdr>
                  <w:divsChild>
                    <w:div w:id="1079716855">
                      <w:marLeft w:val="0"/>
                      <w:marRight w:val="0"/>
                      <w:marTop w:val="0"/>
                      <w:marBottom w:val="0"/>
                      <w:divBdr>
                        <w:top w:val="none" w:sz="0" w:space="0" w:color="auto"/>
                        <w:left w:val="none" w:sz="0" w:space="0" w:color="auto"/>
                        <w:bottom w:val="none" w:sz="0" w:space="0" w:color="auto"/>
                        <w:right w:val="none" w:sz="0" w:space="0" w:color="auto"/>
                      </w:divBdr>
                    </w:div>
                  </w:divsChild>
                </w:div>
                <w:div w:id="874125293">
                  <w:marLeft w:val="0"/>
                  <w:marRight w:val="0"/>
                  <w:marTop w:val="0"/>
                  <w:marBottom w:val="0"/>
                  <w:divBdr>
                    <w:top w:val="none" w:sz="0" w:space="0" w:color="auto"/>
                    <w:left w:val="none" w:sz="0" w:space="0" w:color="auto"/>
                    <w:bottom w:val="none" w:sz="0" w:space="0" w:color="auto"/>
                    <w:right w:val="none" w:sz="0" w:space="0" w:color="auto"/>
                  </w:divBdr>
                  <w:divsChild>
                    <w:div w:id="2028437187">
                      <w:marLeft w:val="0"/>
                      <w:marRight w:val="0"/>
                      <w:marTop w:val="0"/>
                      <w:marBottom w:val="0"/>
                      <w:divBdr>
                        <w:top w:val="none" w:sz="0" w:space="0" w:color="auto"/>
                        <w:left w:val="none" w:sz="0" w:space="0" w:color="auto"/>
                        <w:bottom w:val="none" w:sz="0" w:space="0" w:color="auto"/>
                        <w:right w:val="none" w:sz="0" w:space="0" w:color="auto"/>
                      </w:divBdr>
                    </w:div>
                  </w:divsChild>
                </w:div>
                <w:div w:id="1311253340">
                  <w:marLeft w:val="0"/>
                  <w:marRight w:val="0"/>
                  <w:marTop w:val="0"/>
                  <w:marBottom w:val="0"/>
                  <w:divBdr>
                    <w:top w:val="none" w:sz="0" w:space="0" w:color="auto"/>
                    <w:left w:val="none" w:sz="0" w:space="0" w:color="auto"/>
                    <w:bottom w:val="none" w:sz="0" w:space="0" w:color="auto"/>
                    <w:right w:val="none" w:sz="0" w:space="0" w:color="auto"/>
                  </w:divBdr>
                  <w:divsChild>
                    <w:div w:id="2126925364">
                      <w:marLeft w:val="0"/>
                      <w:marRight w:val="0"/>
                      <w:marTop w:val="0"/>
                      <w:marBottom w:val="0"/>
                      <w:divBdr>
                        <w:top w:val="none" w:sz="0" w:space="0" w:color="auto"/>
                        <w:left w:val="none" w:sz="0" w:space="0" w:color="auto"/>
                        <w:bottom w:val="none" w:sz="0" w:space="0" w:color="auto"/>
                        <w:right w:val="none" w:sz="0" w:space="0" w:color="auto"/>
                      </w:divBdr>
                    </w:div>
                  </w:divsChild>
                </w:div>
                <w:div w:id="1902055038">
                  <w:marLeft w:val="0"/>
                  <w:marRight w:val="0"/>
                  <w:marTop w:val="0"/>
                  <w:marBottom w:val="0"/>
                  <w:divBdr>
                    <w:top w:val="none" w:sz="0" w:space="0" w:color="auto"/>
                    <w:left w:val="none" w:sz="0" w:space="0" w:color="auto"/>
                    <w:bottom w:val="none" w:sz="0" w:space="0" w:color="auto"/>
                    <w:right w:val="none" w:sz="0" w:space="0" w:color="auto"/>
                  </w:divBdr>
                  <w:divsChild>
                    <w:div w:id="439833529">
                      <w:marLeft w:val="0"/>
                      <w:marRight w:val="0"/>
                      <w:marTop w:val="0"/>
                      <w:marBottom w:val="0"/>
                      <w:divBdr>
                        <w:top w:val="none" w:sz="0" w:space="0" w:color="auto"/>
                        <w:left w:val="none" w:sz="0" w:space="0" w:color="auto"/>
                        <w:bottom w:val="none" w:sz="0" w:space="0" w:color="auto"/>
                        <w:right w:val="none" w:sz="0" w:space="0" w:color="auto"/>
                      </w:divBdr>
                    </w:div>
                  </w:divsChild>
                </w:div>
                <w:div w:id="542979910">
                  <w:marLeft w:val="0"/>
                  <w:marRight w:val="0"/>
                  <w:marTop w:val="0"/>
                  <w:marBottom w:val="0"/>
                  <w:divBdr>
                    <w:top w:val="none" w:sz="0" w:space="0" w:color="auto"/>
                    <w:left w:val="none" w:sz="0" w:space="0" w:color="auto"/>
                    <w:bottom w:val="none" w:sz="0" w:space="0" w:color="auto"/>
                    <w:right w:val="none" w:sz="0" w:space="0" w:color="auto"/>
                  </w:divBdr>
                  <w:divsChild>
                    <w:div w:id="135994804">
                      <w:marLeft w:val="0"/>
                      <w:marRight w:val="0"/>
                      <w:marTop w:val="0"/>
                      <w:marBottom w:val="0"/>
                      <w:divBdr>
                        <w:top w:val="none" w:sz="0" w:space="0" w:color="auto"/>
                        <w:left w:val="none" w:sz="0" w:space="0" w:color="auto"/>
                        <w:bottom w:val="none" w:sz="0" w:space="0" w:color="auto"/>
                        <w:right w:val="none" w:sz="0" w:space="0" w:color="auto"/>
                      </w:divBdr>
                    </w:div>
                  </w:divsChild>
                </w:div>
                <w:div w:id="511605395">
                  <w:marLeft w:val="0"/>
                  <w:marRight w:val="0"/>
                  <w:marTop w:val="0"/>
                  <w:marBottom w:val="0"/>
                  <w:divBdr>
                    <w:top w:val="none" w:sz="0" w:space="0" w:color="auto"/>
                    <w:left w:val="none" w:sz="0" w:space="0" w:color="auto"/>
                    <w:bottom w:val="none" w:sz="0" w:space="0" w:color="auto"/>
                    <w:right w:val="none" w:sz="0" w:space="0" w:color="auto"/>
                  </w:divBdr>
                  <w:divsChild>
                    <w:div w:id="171576872">
                      <w:marLeft w:val="0"/>
                      <w:marRight w:val="0"/>
                      <w:marTop w:val="0"/>
                      <w:marBottom w:val="0"/>
                      <w:divBdr>
                        <w:top w:val="none" w:sz="0" w:space="0" w:color="auto"/>
                        <w:left w:val="none" w:sz="0" w:space="0" w:color="auto"/>
                        <w:bottom w:val="none" w:sz="0" w:space="0" w:color="auto"/>
                        <w:right w:val="none" w:sz="0" w:space="0" w:color="auto"/>
                      </w:divBdr>
                    </w:div>
                  </w:divsChild>
                </w:div>
                <w:div w:id="55708878">
                  <w:marLeft w:val="0"/>
                  <w:marRight w:val="0"/>
                  <w:marTop w:val="0"/>
                  <w:marBottom w:val="0"/>
                  <w:divBdr>
                    <w:top w:val="none" w:sz="0" w:space="0" w:color="auto"/>
                    <w:left w:val="none" w:sz="0" w:space="0" w:color="auto"/>
                    <w:bottom w:val="none" w:sz="0" w:space="0" w:color="auto"/>
                    <w:right w:val="none" w:sz="0" w:space="0" w:color="auto"/>
                  </w:divBdr>
                  <w:divsChild>
                    <w:div w:id="1969045852">
                      <w:marLeft w:val="0"/>
                      <w:marRight w:val="0"/>
                      <w:marTop w:val="0"/>
                      <w:marBottom w:val="0"/>
                      <w:divBdr>
                        <w:top w:val="none" w:sz="0" w:space="0" w:color="auto"/>
                        <w:left w:val="none" w:sz="0" w:space="0" w:color="auto"/>
                        <w:bottom w:val="none" w:sz="0" w:space="0" w:color="auto"/>
                        <w:right w:val="none" w:sz="0" w:space="0" w:color="auto"/>
                      </w:divBdr>
                    </w:div>
                  </w:divsChild>
                </w:div>
                <w:div w:id="2044748409">
                  <w:marLeft w:val="0"/>
                  <w:marRight w:val="0"/>
                  <w:marTop w:val="0"/>
                  <w:marBottom w:val="0"/>
                  <w:divBdr>
                    <w:top w:val="none" w:sz="0" w:space="0" w:color="auto"/>
                    <w:left w:val="none" w:sz="0" w:space="0" w:color="auto"/>
                    <w:bottom w:val="none" w:sz="0" w:space="0" w:color="auto"/>
                    <w:right w:val="none" w:sz="0" w:space="0" w:color="auto"/>
                  </w:divBdr>
                  <w:divsChild>
                    <w:div w:id="1089427775">
                      <w:marLeft w:val="0"/>
                      <w:marRight w:val="0"/>
                      <w:marTop w:val="0"/>
                      <w:marBottom w:val="0"/>
                      <w:divBdr>
                        <w:top w:val="none" w:sz="0" w:space="0" w:color="auto"/>
                        <w:left w:val="none" w:sz="0" w:space="0" w:color="auto"/>
                        <w:bottom w:val="none" w:sz="0" w:space="0" w:color="auto"/>
                        <w:right w:val="none" w:sz="0" w:space="0" w:color="auto"/>
                      </w:divBdr>
                    </w:div>
                  </w:divsChild>
                </w:div>
                <w:div w:id="1832986905">
                  <w:marLeft w:val="0"/>
                  <w:marRight w:val="0"/>
                  <w:marTop w:val="0"/>
                  <w:marBottom w:val="0"/>
                  <w:divBdr>
                    <w:top w:val="none" w:sz="0" w:space="0" w:color="auto"/>
                    <w:left w:val="none" w:sz="0" w:space="0" w:color="auto"/>
                    <w:bottom w:val="none" w:sz="0" w:space="0" w:color="auto"/>
                    <w:right w:val="none" w:sz="0" w:space="0" w:color="auto"/>
                  </w:divBdr>
                  <w:divsChild>
                    <w:div w:id="1496534464">
                      <w:marLeft w:val="0"/>
                      <w:marRight w:val="0"/>
                      <w:marTop w:val="0"/>
                      <w:marBottom w:val="0"/>
                      <w:divBdr>
                        <w:top w:val="none" w:sz="0" w:space="0" w:color="auto"/>
                        <w:left w:val="none" w:sz="0" w:space="0" w:color="auto"/>
                        <w:bottom w:val="none" w:sz="0" w:space="0" w:color="auto"/>
                        <w:right w:val="none" w:sz="0" w:space="0" w:color="auto"/>
                      </w:divBdr>
                    </w:div>
                  </w:divsChild>
                </w:div>
                <w:div w:id="5712438">
                  <w:marLeft w:val="0"/>
                  <w:marRight w:val="0"/>
                  <w:marTop w:val="0"/>
                  <w:marBottom w:val="0"/>
                  <w:divBdr>
                    <w:top w:val="none" w:sz="0" w:space="0" w:color="auto"/>
                    <w:left w:val="none" w:sz="0" w:space="0" w:color="auto"/>
                    <w:bottom w:val="none" w:sz="0" w:space="0" w:color="auto"/>
                    <w:right w:val="none" w:sz="0" w:space="0" w:color="auto"/>
                  </w:divBdr>
                  <w:divsChild>
                    <w:div w:id="1163545011">
                      <w:marLeft w:val="0"/>
                      <w:marRight w:val="0"/>
                      <w:marTop w:val="0"/>
                      <w:marBottom w:val="0"/>
                      <w:divBdr>
                        <w:top w:val="none" w:sz="0" w:space="0" w:color="auto"/>
                        <w:left w:val="none" w:sz="0" w:space="0" w:color="auto"/>
                        <w:bottom w:val="none" w:sz="0" w:space="0" w:color="auto"/>
                        <w:right w:val="none" w:sz="0" w:space="0" w:color="auto"/>
                      </w:divBdr>
                    </w:div>
                  </w:divsChild>
                </w:div>
                <w:div w:id="2028022997">
                  <w:marLeft w:val="0"/>
                  <w:marRight w:val="0"/>
                  <w:marTop w:val="0"/>
                  <w:marBottom w:val="0"/>
                  <w:divBdr>
                    <w:top w:val="none" w:sz="0" w:space="0" w:color="auto"/>
                    <w:left w:val="none" w:sz="0" w:space="0" w:color="auto"/>
                    <w:bottom w:val="none" w:sz="0" w:space="0" w:color="auto"/>
                    <w:right w:val="none" w:sz="0" w:space="0" w:color="auto"/>
                  </w:divBdr>
                  <w:divsChild>
                    <w:div w:id="1544780778">
                      <w:marLeft w:val="0"/>
                      <w:marRight w:val="0"/>
                      <w:marTop w:val="0"/>
                      <w:marBottom w:val="0"/>
                      <w:divBdr>
                        <w:top w:val="none" w:sz="0" w:space="0" w:color="auto"/>
                        <w:left w:val="none" w:sz="0" w:space="0" w:color="auto"/>
                        <w:bottom w:val="none" w:sz="0" w:space="0" w:color="auto"/>
                        <w:right w:val="none" w:sz="0" w:space="0" w:color="auto"/>
                      </w:divBdr>
                    </w:div>
                  </w:divsChild>
                </w:div>
                <w:div w:id="341713149">
                  <w:marLeft w:val="0"/>
                  <w:marRight w:val="0"/>
                  <w:marTop w:val="0"/>
                  <w:marBottom w:val="0"/>
                  <w:divBdr>
                    <w:top w:val="none" w:sz="0" w:space="0" w:color="auto"/>
                    <w:left w:val="none" w:sz="0" w:space="0" w:color="auto"/>
                    <w:bottom w:val="none" w:sz="0" w:space="0" w:color="auto"/>
                    <w:right w:val="none" w:sz="0" w:space="0" w:color="auto"/>
                  </w:divBdr>
                  <w:divsChild>
                    <w:div w:id="1958832026">
                      <w:marLeft w:val="0"/>
                      <w:marRight w:val="0"/>
                      <w:marTop w:val="0"/>
                      <w:marBottom w:val="0"/>
                      <w:divBdr>
                        <w:top w:val="none" w:sz="0" w:space="0" w:color="auto"/>
                        <w:left w:val="none" w:sz="0" w:space="0" w:color="auto"/>
                        <w:bottom w:val="none" w:sz="0" w:space="0" w:color="auto"/>
                        <w:right w:val="none" w:sz="0" w:space="0" w:color="auto"/>
                      </w:divBdr>
                    </w:div>
                  </w:divsChild>
                </w:div>
                <w:div w:id="2089375906">
                  <w:marLeft w:val="0"/>
                  <w:marRight w:val="0"/>
                  <w:marTop w:val="0"/>
                  <w:marBottom w:val="0"/>
                  <w:divBdr>
                    <w:top w:val="none" w:sz="0" w:space="0" w:color="auto"/>
                    <w:left w:val="none" w:sz="0" w:space="0" w:color="auto"/>
                    <w:bottom w:val="none" w:sz="0" w:space="0" w:color="auto"/>
                    <w:right w:val="none" w:sz="0" w:space="0" w:color="auto"/>
                  </w:divBdr>
                  <w:divsChild>
                    <w:div w:id="492650700">
                      <w:marLeft w:val="0"/>
                      <w:marRight w:val="0"/>
                      <w:marTop w:val="0"/>
                      <w:marBottom w:val="0"/>
                      <w:divBdr>
                        <w:top w:val="none" w:sz="0" w:space="0" w:color="auto"/>
                        <w:left w:val="none" w:sz="0" w:space="0" w:color="auto"/>
                        <w:bottom w:val="none" w:sz="0" w:space="0" w:color="auto"/>
                        <w:right w:val="none" w:sz="0" w:space="0" w:color="auto"/>
                      </w:divBdr>
                    </w:div>
                  </w:divsChild>
                </w:div>
                <w:div w:id="1519352127">
                  <w:marLeft w:val="0"/>
                  <w:marRight w:val="0"/>
                  <w:marTop w:val="0"/>
                  <w:marBottom w:val="0"/>
                  <w:divBdr>
                    <w:top w:val="none" w:sz="0" w:space="0" w:color="auto"/>
                    <w:left w:val="none" w:sz="0" w:space="0" w:color="auto"/>
                    <w:bottom w:val="none" w:sz="0" w:space="0" w:color="auto"/>
                    <w:right w:val="none" w:sz="0" w:space="0" w:color="auto"/>
                  </w:divBdr>
                  <w:divsChild>
                    <w:div w:id="1324314384">
                      <w:marLeft w:val="0"/>
                      <w:marRight w:val="0"/>
                      <w:marTop w:val="0"/>
                      <w:marBottom w:val="0"/>
                      <w:divBdr>
                        <w:top w:val="none" w:sz="0" w:space="0" w:color="auto"/>
                        <w:left w:val="none" w:sz="0" w:space="0" w:color="auto"/>
                        <w:bottom w:val="none" w:sz="0" w:space="0" w:color="auto"/>
                        <w:right w:val="none" w:sz="0" w:space="0" w:color="auto"/>
                      </w:divBdr>
                    </w:div>
                  </w:divsChild>
                </w:div>
                <w:div w:id="1772704283">
                  <w:marLeft w:val="0"/>
                  <w:marRight w:val="0"/>
                  <w:marTop w:val="0"/>
                  <w:marBottom w:val="0"/>
                  <w:divBdr>
                    <w:top w:val="none" w:sz="0" w:space="0" w:color="auto"/>
                    <w:left w:val="none" w:sz="0" w:space="0" w:color="auto"/>
                    <w:bottom w:val="none" w:sz="0" w:space="0" w:color="auto"/>
                    <w:right w:val="none" w:sz="0" w:space="0" w:color="auto"/>
                  </w:divBdr>
                  <w:divsChild>
                    <w:div w:id="148717288">
                      <w:marLeft w:val="0"/>
                      <w:marRight w:val="0"/>
                      <w:marTop w:val="0"/>
                      <w:marBottom w:val="0"/>
                      <w:divBdr>
                        <w:top w:val="none" w:sz="0" w:space="0" w:color="auto"/>
                        <w:left w:val="none" w:sz="0" w:space="0" w:color="auto"/>
                        <w:bottom w:val="none" w:sz="0" w:space="0" w:color="auto"/>
                        <w:right w:val="none" w:sz="0" w:space="0" w:color="auto"/>
                      </w:divBdr>
                    </w:div>
                  </w:divsChild>
                </w:div>
                <w:div w:id="352221107">
                  <w:marLeft w:val="0"/>
                  <w:marRight w:val="0"/>
                  <w:marTop w:val="0"/>
                  <w:marBottom w:val="0"/>
                  <w:divBdr>
                    <w:top w:val="none" w:sz="0" w:space="0" w:color="auto"/>
                    <w:left w:val="none" w:sz="0" w:space="0" w:color="auto"/>
                    <w:bottom w:val="none" w:sz="0" w:space="0" w:color="auto"/>
                    <w:right w:val="none" w:sz="0" w:space="0" w:color="auto"/>
                  </w:divBdr>
                  <w:divsChild>
                    <w:div w:id="1903639647">
                      <w:marLeft w:val="0"/>
                      <w:marRight w:val="0"/>
                      <w:marTop w:val="0"/>
                      <w:marBottom w:val="0"/>
                      <w:divBdr>
                        <w:top w:val="none" w:sz="0" w:space="0" w:color="auto"/>
                        <w:left w:val="none" w:sz="0" w:space="0" w:color="auto"/>
                        <w:bottom w:val="none" w:sz="0" w:space="0" w:color="auto"/>
                        <w:right w:val="none" w:sz="0" w:space="0" w:color="auto"/>
                      </w:divBdr>
                    </w:div>
                  </w:divsChild>
                </w:div>
                <w:div w:id="251088538">
                  <w:marLeft w:val="0"/>
                  <w:marRight w:val="0"/>
                  <w:marTop w:val="0"/>
                  <w:marBottom w:val="0"/>
                  <w:divBdr>
                    <w:top w:val="none" w:sz="0" w:space="0" w:color="auto"/>
                    <w:left w:val="none" w:sz="0" w:space="0" w:color="auto"/>
                    <w:bottom w:val="none" w:sz="0" w:space="0" w:color="auto"/>
                    <w:right w:val="none" w:sz="0" w:space="0" w:color="auto"/>
                  </w:divBdr>
                  <w:divsChild>
                    <w:div w:id="816924050">
                      <w:marLeft w:val="0"/>
                      <w:marRight w:val="0"/>
                      <w:marTop w:val="0"/>
                      <w:marBottom w:val="0"/>
                      <w:divBdr>
                        <w:top w:val="none" w:sz="0" w:space="0" w:color="auto"/>
                        <w:left w:val="none" w:sz="0" w:space="0" w:color="auto"/>
                        <w:bottom w:val="none" w:sz="0" w:space="0" w:color="auto"/>
                        <w:right w:val="none" w:sz="0" w:space="0" w:color="auto"/>
                      </w:divBdr>
                    </w:div>
                  </w:divsChild>
                </w:div>
                <w:div w:id="742215609">
                  <w:marLeft w:val="0"/>
                  <w:marRight w:val="0"/>
                  <w:marTop w:val="0"/>
                  <w:marBottom w:val="0"/>
                  <w:divBdr>
                    <w:top w:val="none" w:sz="0" w:space="0" w:color="auto"/>
                    <w:left w:val="none" w:sz="0" w:space="0" w:color="auto"/>
                    <w:bottom w:val="none" w:sz="0" w:space="0" w:color="auto"/>
                    <w:right w:val="none" w:sz="0" w:space="0" w:color="auto"/>
                  </w:divBdr>
                  <w:divsChild>
                    <w:div w:id="2133740253">
                      <w:marLeft w:val="0"/>
                      <w:marRight w:val="0"/>
                      <w:marTop w:val="0"/>
                      <w:marBottom w:val="0"/>
                      <w:divBdr>
                        <w:top w:val="none" w:sz="0" w:space="0" w:color="auto"/>
                        <w:left w:val="none" w:sz="0" w:space="0" w:color="auto"/>
                        <w:bottom w:val="none" w:sz="0" w:space="0" w:color="auto"/>
                        <w:right w:val="none" w:sz="0" w:space="0" w:color="auto"/>
                      </w:divBdr>
                    </w:div>
                  </w:divsChild>
                </w:div>
                <w:div w:id="970791280">
                  <w:marLeft w:val="0"/>
                  <w:marRight w:val="0"/>
                  <w:marTop w:val="0"/>
                  <w:marBottom w:val="0"/>
                  <w:divBdr>
                    <w:top w:val="none" w:sz="0" w:space="0" w:color="auto"/>
                    <w:left w:val="none" w:sz="0" w:space="0" w:color="auto"/>
                    <w:bottom w:val="none" w:sz="0" w:space="0" w:color="auto"/>
                    <w:right w:val="none" w:sz="0" w:space="0" w:color="auto"/>
                  </w:divBdr>
                  <w:divsChild>
                    <w:div w:id="481040877">
                      <w:marLeft w:val="0"/>
                      <w:marRight w:val="0"/>
                      <w:marTop w:val="0"/>
                      <w:marBottom w:val="0"/>
                      <w:divBdr>
                        <w:top w:val="none" w:sz="0" w:space="0" w:color="auto"/>
                        <w:left w:val="none" w:sz="0" w:space="0" w:color="auto"/>
                        <w:bottom w:val="none" w:sz="0" w:space="0" w:color="auto"/>
                        <w:right w:val="none" w:sz="0" w:space="0" w:color="auto"/>
                      </w:divBdr>
                    </w:div>
                  </w:divsChild>
                </w:div>
                <w:div w:id="1412005793">
                  <w:marLeft w:val="0"/>
                  <w:marRight w:val="0"/>
                  <w:marTop w:val="0"/>
                  <w:marBottom w:val="0"/>
                  <w:divBdr>
                    <w:top w:val="none" w:sz="0" w:space="0" w:color="auto"/>
                    <w:left w:val="none" w:sz="0" w:space="0" w:color="auto"/>
                    <w:bottom w:val="none" w:sz="0" w:space="0" w:color="auto"/>
                    <w:right w:val="none" w:sz="0" w:space="0" w:color="auto"/>
                  </w:divBdr>
                  <w:divsChild>
                    <w:div w:id="1570311708">
                      <w:marLeft w:val="0"/>
                      <w:marRight w:val="0"/>
                      <w:marTop w:val="0"/>
                      <w:marBottom w:val="0"/>
                      <w:divBdr>
                        <w:top w:val="none" w:sz="0" w:space="0" w:color="auto"/>
                        <w:left w:val="none" w:sz="0" w:space="0" w:color="auto"/>
                        <w:bottom w:val="none" w:sz="0" w:space="0" w:color="auto"/>
                        <w:right w:val="none" w:sz="0" w:space="0" w:color="auto"/>
                      </w:divBdr>
                    </w:div>
                  </w:divsChild>
                </w:div>
                <w:div w:id="704524274">
                  <w:marLeft w:val="0"/>
                  <w:marRight w:val="0"/>
                  <w:marTop w:val="0"/>
                  <w:marBottom w:val="0"/>
                  <w:divBdr>
                    <w:top w:val="none" w:sz="0" w:space="0" w:color="auto"/>
                    <w:left w:val="none" w:sz="0" w:space="0" w:color="auto"/>
                    <w:bottom w:val="none" w:sz="0" w:space="0" w:color="auto"/>
                    <w:right w:val="none" w:sz="0" w:space="0" w:color="auto"/>
                  </w:divBdr>
                  <w:divsChild>
                    <w:div w:id="1982222089">
                      <w:marLeft w:val="0"/>
                      <w:marRight w:val="0"/>
                      <w:marTop w:val="0"/>
                      <w:marBottom w:val="0"/>
                      <w:divBdr>
                        <w:top w:val="none" w:sz="0" w:space="0" w:color="auto"/>
                        <w:left w:val="none" w:sz="0" w:space="0" w:color="auto"/>
                        <w:bottom w:val="none" w:sz="0" w:space="0" w:color="auto"/>
                        <w:right w:val="none" w:sz="0" w:space="0" w:color="auto"/>
                      </w:divBdr>
                    </w:div>
                  </w:divsChild>
                </w:div>
                <w:div w:id="1693844423">
                  <w:marLeft w:val="0"/>
                  <w:marRight w:val="0"/>
                  <w:marTop w:val="0"/>
                  <w:marBottom w:val="0"/>
                  <w:divBdr>
                    <w:top w:val="none" w:sz="0" w:space="0" w:color="auto"/>
                    <w:left w:val="none" w:sz="0" w:space="0" w:color="auto"/>
                    <w:bottom w:val="none" w:sz="0" w:space="0" w:color="auto"/>
                    <w:right w:val="none" w:sz="0" w:space="0" w:color="auto"/>
                  </w:divBdr>
                  <w:divsChild>
                    <w:div w:id="1660647378">
                      <w:marLeft w:val="0"/>
                      <w:marRight w:val="0"/>
                      <w:marTop w:val="0"/>
                      <w:marBottom w:val="0"/>
                      <w:divBdr>
                        <w:top w:val="none" w:sz="0" w:space="0" w:color="auto"/>
                        <w:left w:val="none" w:sz="0" w:space="0" w:color="auto"/>
                        <w:bottom w:val="none" w:sz="0" w:space="0" w:color="auto"/>
                        <w:right w:val="none" w:sz="0" w:space="0" w:color="auto"/>
                      </w:divBdr>
                    </w:div>
                  </w:divsChild>
                </w:div>
                <w:div w:id="478691263">
                  <w:marLeft w:val="0"/>
                  <w:marRight w:val="0"/>
                  <w:marTop w:val="0"/>
                  <w:marBottom w:val="0"/>
                  <w:divBdr>
                    <w:top w:val="none" w:sz="0" w:space="0" w:color="auto"/>
                    <w:left w:val="none" w:sz="0" w:space="0" w:color="auto"/>
                    <w:bottom w:val="none" w:sz="0" w:space="0" w:color="auto"/>
                    <w:right w:val="none" w:sz="0" w:space="0" w:color="auto"/>
                  </w:divBdr>
                  <w:divsChild>
                    <w:div w:id="1823689597">
                      <w:marLeft w:val="0"/>
                      <w:marRight w:val="0"/>
                      <w:marTop w:val="0"/>
                      <w:marBottom w:val="0"/>
                      <w:divBdr>
                        <w:top w:val="none" w:sz="0" w:space="0" w:color="auto"/>
                        <w:left w:val="none" w:sz="0" w:space="0" w:color="auto"/>
                        <w:bottom w:val="none" w:sz="0" w:space="0" w:color="auto"/>
                        <w:right w:val="none" w:sz="0" w:space="0" w:color="auto"/>
                      </w:divBdr>
                    </w:div>
                  </w:divsChild>
                </w:div>
                <w:div w:id="20980727">
                  <w:marLeft w:val="0"/>
                  <w:marRight w:val="0"/>
                  <w:marTop w:val="0"/>
                  <w:marBottom w:val="0"/>
                  <w:divBdr>
                    <w:top w:val="none" w:sz="0" w:space="0" w:color="auto"/>
                    <w:left w:val="none" w:sz="0" w:space="0" w:color="auto"/>
                    <w:bottom w:val="none" w:sz="0" w:space="0" w:color="auto"/>
                    <w:right w:val="none" w:sz="0" w:space="0" w:color="auto"/>
                  </w:divBdr>
                  <w:divsChild>
                    <w:div w:id="341706966">
                      <w:marLeft w:val="0"/>
                      <w:marRight w:val="0"/>
                      <w:marTop w:val="0"/>
                      <w:marBottom w:val="0"/>
                      <w:divBdr>
                        <w:top w:val="none" w:sz="0" w:space="0" w:color="auto"/>
                        <w:left w:val="none" w:sz="0" w:space="0" w:color="auto"/>
                        <w:bottom w:val="none" w:sz="0" w:space="0" w:color="auto"/>
                        <w:right w:val="none" w:sz="0" w:space="0" w:color="auto"/>
                      </w:divBdr>
                    </w:div>
                  </w:divsChild>
                </w:div>
                <w:div w:id="1218202347">
                  <w:marLeft w:val="0"/>
                  <w:marRight w:val="0"/>
                  <w:marTop w:val="0"/>
                  <w:marBottom w:val="0"/>
                  <w:divBdr>
                    <w:top w:val="none" w:sz="0" w:space="0" w:color="auto"/>
                    <w:left w:val="none" w:sz="0" w:space="0" w:color="auto"/>
                    <w:bottom w:val="none" w:sz="0" w:space="0" w:color="auto"/>
                    <w:right w:val="none" w:sz="0" w:space="0" w:color="auto"/>
                  </w:divBdr>
                  <w:divsChild>
                    <w:div w:id="1173839156">
                      <w:marLeft w:val="0"/>
                      <w:marRight w:val="0"/>
                      <w:marTop w:val="0"/>
                      <w:marBottom w:val="0"/>
                      <w:divBdr>
                        <w:top w:val="none" w:sz="0" w:space="0" w:color="auto"/>
                        <w:left w:val="none" w:sz="0" w:space="0" w:color="auto"/>
                        <w:bottom w:val="none" w:sz="0" w:space="0" w:color="auto"/>
                        <w:right w:val="none" w:sz="0" w:space="0" w:color="auto"/>
                      </w:divBdr>
                    </w:div>
                  </w:divsChild>
                </w:div>
                <w:div w:id="1360543936">
                  <w:marLeft w:val="0"/>
                  <w:marRight w:val="0"/>
                  <w:marTop w:val="0"/>
                  <w:marBottom w:val="0"/>
                  <w:divBdr>
                    <w:top w:val="none" w:sz="0" w:space="0" w:color="auto"/>
                    <w:left w:val="none" w:sz="0" w:space="0" w:color="auto"/>
                    <w:bottom w:val="none" w:sz="0" w:space="0" w:color="auto"/>
                    <w:right w:val="none" w:sz="0" w:space="0" w:color="auto"/>
                  </w:divBdr>
                  <w:divsChild>
                    <w:div w:id="1014109197">
                      <w:marLeft w:val="0"/>
                      <w:marRight w:val="0"/>
                      <w:marTop w:val="0"/>
                      <w:marBottom w:val="0"/>
                      <w:divBdr>
                        <w:top w:val="none" w:sz="0" w:space="0" w:color="auto"/>
                        <w:left w:val="none" w:sz="0" w:space="0" w:color="auto"/>
                        <w:bottom w:val="none" w:sz="0" w:space="0" w:color="auto"/>
                        <w:right w:val="none" w:sz="0" w:space="0" w:color="auto"/>
                      </w:divBdr>
                    </w:div>
                  </w:divsChild>
                </w:div>
                <w:div w:id="1650591843">
                  <w:marLeft w:val="0"/>
                  <w:marRight w:val="0"/>
                  <w:marTop w:val="0"/>
                  <w:marBottom w:val="0"/>
                  <w:divBdr>
                    <w:top w:val="none" w:sz="0" w:space="0" w:color="auto"/>
                    <w:left w:val="none" w:sz="0" w:space="0" w:color="auto"/>
                    <w:bottom w:val="none" w:sz="0" w:space="0" w:color="auto"/>
                    <w:right w:val="none" w:sz="0" w:space="0" w:color="auto"/>
                  </w:divBdr>
                  <w:divsChild>
                    <w:div w:id="468089086">
                      <w:marLeft w:val="0"/>
                      <w:marRight w:val="0"/>
                      <w:marTop w:val="0"/>
                      <w:marBottom w:val="0"/>
                      <w:divBdr>
                        <w:top w:val="none" w:sz="0" w:space="0" w:color="auto"/>
                        <w:left w:val="none" w:sz="0" w:space="0" w:color="auto"/>
                        <w:bottom w:val="none" w:sz="0" w:space="0" w:color="auto"/>
                        <w:right w:val="none" w:sz="0" w:space="0" w:color="auto"/>
                      </w:divBdr>
                    </w:div>
                  </w:divsChild>
                </w:div>
                <w:div w:id="428699162">
                  <w:marLeft w:val="0"/>
                  <w:marRight w:val="0"/>
                  <w:marTop w:val="0"/>
                  <w:marBottom w:val="0"/>
                  <w:divBdr>
                    <w:top w:val="none" w:sz="0" w:space="0" w:color="auto"/>
                    <w:left w:val="none" w:sz="0" w:space="0" w:color="auto"/>
                    <w:bottom w:val="none" w:sz="0" w:space="0" w:color="auto"/>
                    <w:right w:val="none" w:sz="0" w:space="0" w:color="auto"/>
                  </w:divBdr>
                  <w:divsChild>
                    <w:div w:id="1166092942">
                      <w:marLeft w:val="0"/>
                      <w:marRight w:val="0"/>
                      <w:marTop w:val="0"/>
                      <w:marBottom w:val="0"/>
                      <w:divBdr>
                        <w:top w:val="none" w:sz="0" w:space="0" w:color="auto"/>
                        <w:left w:val="none" w:sz="0" w:space="0" w:color="auto"/>
                        <w:bottom w:val="none" w:sz="0" w:space="0" w:color="auto"/>
                        <w:right w:val="none" w:sz="0" w:space="0" w:color="auto"/>
                      </w:divBdr>
                    </w:div>
                  </w:divsChild>
                </w:div>
                <w:div w:id="484204426">
                  <w:marLeft w:val="0"/>
                  <w:marRight w:val="0"/>
                  <w:marTop w:val="0"/>
                  <w:marBottom w:val="0"/>
                  <w:divBdr>
                    <w:top w:val="none" w:sz="0" w:space="0" w:color="auto"/>
                    <w:left w:val="none" w:sz="0" w:space="0" w:color="auto"/>
                    <w:bottom w:val="none" w:sz="0" w:space="0" w:color="auto"/>
                    <w:right w:val="none" w:sz="0" w:space="0" w:color="auto"/>
                  </w:divBdr>
                  <w:divsChild>
                    <w:div w:id="2030176527">
                      <w:marLeft w:val="0"/>
                      <w:marRight w:val="0"/>
                      <w:marTop w:val="0"/>
                      <w:marBottom w:val="0"/>
                      <w:divBdr>
                        <w:top w:val="none" w:sz="0" w:space="0" w:color="auto"/>
                        <w:left w:val="none" w:sz="0" w:space="0" w:color="auto"/>
                        <w:bottom w:val="none" w:sz="0" w:space="0" w:color="auto"/>
                        <w:right w:val="none" w:sz="0" w:space="0" w:color="auto"/>
                      </w:divBdr>
                    </w:div>
                  </w:divsChild>
                </w:div>
                <w:div w:id="1029987852">
                  <w:marLeft w:val="0"/>
                  <w:marRight w:val="0"/>
                  <w:marTop w:val="0"/>
                  <w:marBottom w:val="0"/>
                  <w:divBdr>
                    <w:top w:val="none" w:sz="0" w:space="0" w:color="auto"/>
                    <w:left w:val="none" w:sz="0" w:space="0" w:color="auto"/>
                    <w:bottom w:val="none" w:sz="0" w:space="0" w:color="auto"/>
                    <w:right w:val="none" w:sz="0" w:space="0" w:color="auto"/>
                  </w:divBdr>
                  <w:divsChild>
                    <w:div w:id="1548686092">
                      <w:marLeft w:val="0"/>
                      <w:marRight w:val="0"/>
                      <w:marTop w:val="0"/>
                      <w:marBottom w:val="0"/>
                      <w:divBdr>
                        <w:top w:val="none" w:sz="0" w:space="0" w:color="auto"/>
                        <w:left w:val="none" w:sz="0" w:space="0" w:color="auto"/>
                        <w:bottom w:val="none" w:sz="0" w:space="0" w:color="auto"/>
                        <w:right w:val="none" w:sz="0" w:space="0" w:color="auto"/>
                      </w:divBdr>
                    </w:div>
                  </w:divsChild>
                </w:div>
                <w:div w:id="1886941590">
                  <w:marLeft w:val="0"/>
                  <w:marRight w:val="0"/>
                  <w:marTop w:val="0"/>
                  <w:marBottom w:val="0"/>
                  <w:divBdr>
                    <w:top w:val="none" w:sz="0" w:space="0" w:color="auto"/>
                    <w:left w:val="none" w:sz="0" w:space="0" w:color="auto"/>
                    <w:bottom w:val="none" w:sz="0" w:space="0" w:color="auto"/>
                    <w:right w:val="none" w:sz="0" w:space="0" w:color="auto"/>
                  </w:divBdr>
                  <w:divsChild>
                    <w:div w:id="507908961">
                      <w:marLeft w:val="0"/>
                      <w:marRight w:val="0"/>
                      <w:marTop w:val="0"/>
                      <w:marBottom w:val="0"/>
                      <w:divBdr>
                        <w:top w:val="none" w:sz="0" w:space="0" w:color="auto"/>
                        <w:left w:val="none" w:sz="0" w:space="0" w:color="auto"/>
                        <w:bottom w:val="none" w:sz="0" w:space="0" w:color="auto"/>
                        <w:right w:val="none" w:sz="0" w:space="0" w:color="auto"/>
                      </w:divBdr>
                    </w:div>
                  </w:divsChild>
                </w:div>
                <w:div w:id="593589646">
                  <w:marLeft w:val="0"/>
                  <w:marRight w:val="0"/>
                  <w:marTop w:val="0"/>
                  <w:marBottom w:val="0"/>
                  <w:divBdr>
                    <w:top w:val="none" w:sz="0" w:space="0" w:color="auto"/>
                    <w:left w:val="none" w:sz="0" w:space="0" w:color="auto"/>
                    <w:bottom w:val="none" w:sz="0" w:space="0" w:color="auto"/>
                    <w:right w:val="none" w:sz="0" w:space="0" w:color="auto"/>
                  </w:divBdr>
                  <w:divsChild>
                    <w:div w:id="1135953595">
                      <w:marLeft w:val="0"/>
                      <w:marRight w:val="0"/>
                      <w:marTop w:val="0"/>
                      <w:marBottom w:val="0"/>
                      <w:divBdr>
                        <w:top w:val="none" w:sz="0" w:space="0" w:color="auto"/>
                        <w:left w:val="none" w:sz="0" w:space="0" w:color="auto"/>
                        <w:bottom w:val="none" w:sz="0" w:space="0" w:color="auto"/>
                        <w:right w:val="none" w:sz="0" w:space="0" w:color="auto"/>
                      </w:divBdr>
                    </w:div>
                  </w:divsChild>
                </w:div>
                <w:div w:id="2104033482">
                  <w:marLeft w:val="0"/>
                  <w:marRight w:val="0"/>
                  <w:marTop w:val="0"/>
                  <w:marBottom w:val="0"/>
                  <w:divBdr>
                    <w:top w:val="none" w:sz="0" w:space="0" w:color="auto"/>
                    <w:left w:val="none" w:sz="0" w:space="0" w:color="auto"/>
                    <w:bottom w:val="none" w:sz="0" w:space="0" w:color="auto"/>
                    <w:right w:val="none" w:sz="0" w:space="0" w:color="auto"/>
                  </w:divBdr>
                  <w:divsChild>
                    <w:div w:id="1758207228">
                      <w:marLeft w:val="0"/>
                      <w:marRight w:val="0"/>
                      <w:marTop w:val="0"/>
                      <w:marBottom w:val="0"/>
                      <w:divBdr>
                        <w:top w:val="none" w:sz="0" w:space="0" w:color="auto"/>
                        <w:left w:val="none" w:sz="0" w:space="0" w:color="auto"/>
                        <w:bottom w:val="none" w:sz="0" w:space="0" w:color="auto"/>
                        <w:right w:val="none" w:sz="0" w:space="0" w:color="auto"/>
                      </w:divBdr>
                    </w:div>
                  </w:divsChild>
                </w:div>
                <w:div w:id="1334987808">
                  <w:marLeft w:val="0"/>
                  <w:marRight w:val="0"/>
                  <w:marTop w:val="0"/>
                  <w:marBottom w:val="0"/>
                  <w:divBdr>
                    <w:top w:val="none" w:sz="0" w:space="0" w:color="auto"/>
                    <w:left w:val="none" w:sz="0" w:space="0" w:color="auto"/>
                    <w:bottom w:val="none" w:sz="0" w:space="0" w:color="auto"/>
                    <w:right w:val="none" w:sz="0" w:space="0" w:color="auto"/>
                  </w:divBdr>
                  <w:divsChild>
                    <w:div w:id="1162165678">
                      <w:marLeft w:val="0"/>
                      <w:marRight w:val="0"/>
                      <w:marTop w:val="0"/>
                      <w:marBottom w:val="0"/>
                      <w:divBdr>
                        <w:top w:val="none" w:sz="0" w:space="0" w:color="auto"/>
                        <w:left w:val="none" w:sz="0" w:space="0" w:color="auto"/>
                        <w:bottom w:val="none" w:sz="0" w:space="0" w:color="auto"/>
                        <w:right w:val="none" w:sz="0" w:space="0" w:color="auto"/>
                      </w:divBdr>
                    </w:div>
                  </w:divsChild>
                </w:div>
                <w:div w:id="185293495">
                  <w:marLeft w:val="0"/>
                  <w:marRight w:val="0"/>
                  <w:marTop w:val="0"/>
                  <w:marBottom w:val="0"/>
                  <w:divBdr>
                    <w:top w:val="none" w:sz="0" w:space="0" w:color="auto"/>
                    <w:left w:val="none" w:sz="0" w:space="0" w:color="auto"/>
                    <w:bottom w:val="none" w:sz="0" w:space="0" w:color="auto"/>
                    <w:right w:val="none" w:sz="0" w:space="0" w:color="auto"/>
                  </w:divBdr>
                  <w:divsChild>
                    <w:div w:id="1977568929">
                      <w:marLeft w:val="0"/>
                      <w:marRight w:val="0"/>
                      <w:marTop w:val="0"/>
                      <w:marBottom w:val="0"/>
                      <w:divBdr>
                        <w:top w:val="none" w:sz="0" w:space="0" w:color="auto"/>
                        <w:left w:val="none" w:sz="0" w:space="0" w:color="auto"/>
                        <w:bottom w:val="none" w:sz="0" w:space="0" w:color="auto"/>
                        <w:right w:val="none" w:sz="0" w:space="0" w:color="auto"/>
                      </w:divBdr>
                    </w:div>
                  </w:divsChild>
                </w:div>
                <w:div w:id="103505901">
                  <w:marLeft w:val="0"/>
                  <w:marRight w:val="0"/>
                  <w:marTop w:val="0"/>
                  <w:marBottom w:val="0"/>
                  <w:divBdr>
                    <w:top w:val="none" w:sz="0" w:space="0" w:color="auto"/>
                    <w:left w:val="none" w:sz="0" w:space="0" w:color="auto"/>
                    <w:bottom w:val="none" w:sz="0" w:space="0" w:color="auto"/>
                    <w:right w:val="none" w:sz="0" w:space="0" w:color="auto"/>
                  </w:divBdr>
                  <w:divsChild>
                    <w:div w:id="96084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88474">
          <w:marLeft w:val="0"/>
          <w:marRight w:val="0"/>
          <w:marTop w:val="0"/>
          <w:marBottom w:val="0"/>
          <w:divBdr>
            <w:top w:val="none" w:sz="0" w:space="0" w:color="auto"/>
            <w:left w:val="none" w:sz="0" w:space="0" w:color="auto"/>
            <w:bottom w:val="none" w:sz="0" w:space="0" w:color="auto"/>
            <w:right w:val="none" w:sz="0" w:space="0" w:color="auto"/>
          </w:divBdr>
        </w:div>
        <w:div w:id="1113742914">
          <w:marLeft w:val="0"/>
          <w:marRight w:val="0"/>
          <w:marTop w:val="0"/>
          <w:marBottom w:val="0"/>
          <w:divBdr>
            <w:top w:val="none" w:sz="0" w:space="0" w:color="auto"/>
            <w:left w:val="none" w:sz="0" w:space="0" w:color="auto"/>
            <w:bottom w:val="none" w:sz="0" w:space="0" w:color="auto"/>
            <w:right w:val="none" w:sz="0" w:space="0" w:color="auto"/>
          </w:divBdr>
        </w:div>
        <w:div w:id="626929306">
          <w:marLeft w:val="0"/>
          <w:marRight w:val="0"/>
          <w:marTop w:val="0"/>
          <w:marBottom w:val="0"/>
          <w:divBdr>
            <w:top w:val="none" w:sz="0" w:space="0" w:color="auto"/>
            <w:left w:val="none" w:sz="0" w:space="0" w:color="auto"/>
            <w:bottom w:val="none" w:sz="0" w:space="0" w:color="auto"/>
            <w:right w:val="none" w:sz="0" w:space="0" w:color="auto"/>
          </w:divBdr>
        </w:div>
        <w:div w:id="1464813802">
          <w:marLeft w:val="0"/>
          <w:marRight w:val="0"/>
          <w:marTop w:val="0"/>
          <w:marBottom w:val="0"/>
          <w:divBdr>
            <w:top w:val="none" w:sz="0" w:space="0" w:color="auto"/>
            <w:left w:val="none" w:sz="0" w:space="0" w:color="auto"/>
            <w:bottom w:val="none" w:sz="0" w:space="0" w:color="auto"/>
            <w:right w:val="none" w:sz="0" w:space="0" w:color="auto"/>
          </w:divBdr>
        </w:div>
        <w:div w:id="1599174951">
          <w:marLeft w:val="0"/>
          <w:marRight w:val="0"/>
          <w:marTop w:val="0"/>
          <w:marBottom w:val="0"/>
          <w:divBdr>
            <w:top w:val="none" w:sz="0" w:space="0" w:color="auto"/>
            <w:left w:val="none" w:sz="0" w:space="0" w:color="auto"/>
            <w:bottom w:val="none" w:sz="0" w:space="0" w:color="auto"/>
            <w:right w:val="none" w:sz="0" w:space="0" w:color="auto"/>
          </w:divBdr>
        </w:div>
        <w:div w:id="1773823232">
          <w:marLeft w:val="0"/>
          <w:marRight w:val="0"/>
          <w:marTop w:val="0"/>
          <w:marBottom w:val="0"/>
          <w:divBdr>
            <w:top w:val="none" w:sz="0" w:space="0" w:color="auto"/>
            <w:left w:val="none" w:sz="0" w:space="0" w:color="auto"/>
            <w:bottom w:val="none" w:sz="0" w:space="0" w:color="auto"/>
            <w:right w:val="none" w:sz="0" w:space="0" w:color="auto"/>
          </w:divBdr>
        </w:div>
        <w:div w:id="1441607859">
          <w:marLeft w:val="0"/>
          <w:marRight w:val="0"/>
          <w:marTop w:val="0"/>
          <w:marBottom w:val="0"/>
          <w:divBdr>
            <w:top w:val="none" w:sz="0" w:space="0" w:color="auto"/>
            <w:left w:val="none" w:sz="0" w:space="0" w:color="auto"/>
            <w:bottom w:val="none" w:sz="0" w:space="0" w:color="auto"/>
            <w:right w:val="none" w:sz="0" w:space="0" w:color="auto"/>
          </w:divBdr>
        </w:div>
        <w:div w:id="1731072852">
          <w:marLeft w:val="0"/>
          <w:marRight w:val="0"/>
          <w:marTop w:val="0"/>
          <w:marBottom w:val="0"/>
          <w:divBdr>
            <w:top w:val="none" w:sz="0" w:space="0" w:color="auto"/>
            <w:left w:val="none" w:sz="0" w:space="0" w:color="auto"/>
            <w:bottom w:val="none" w:sz="0" w:space="0" w:color="auto"/>
            <w:right w:val="none" w:sz="0" w:space="0" w:color="auto"/>
          </w:divBdr>
        </w:div>
        <w:div w:id="472411022">
          <w:marLeft w:val="0"/>
          <w:marRight w:val="0"/>
          <w:marTop w:val="0"/>
          <w:marBottom w:val="0"/>
          <w:divBdr>
            <w:top w:val="none" w:sz="0" w:space="0" w:color="auto"/>
            <w:left w:val="none" w:sz="0" w:space="0" w:color="auto"/>
            <w:bottom w:val="none" w:sz="0" w:space="0" w:color="auto"/>
            <w:right w:val="none" w:sz="0" w:space="0" w:color="auto"/>
          </w:divBdr>
        </w:div>
        <w:div w:id="1319772058">
          <w:marLeft w:val="0"/>
          <w:marRight w:val="0"/>
          <w:marTop w:val="0"/>
          <w:marBottom w:val="0"/>
          <w:divBdr>
            <w:top w:val="none" w:sz="0" w:space="0" w:color="auto"/>
            <w:left w:val="none" w:sz="0" w:space="0" w:color="auto"/>
            <w:bottom w:val="none" w:sz="0" w:space="0" w:color="auto"/>
            <w:right w:val="none" w:sz="0" w:space="0" w:color="auto"/>
          </w:divBdr>
        </w:div>
      </w:divsChild>
    </w:div>
    <w:div w:id="1564952361">
      <w:bodyDiv w:val="1"/>
      <w:marLeft w:val="0"/>
      <w:marRight w:val="0"/>
      <w:marTop w:val="0"/>
      <w:marBottom w:val="0"/>
      <w:divBdr>
        <w:top w:val="none" w:sz="0" w:space="0" w:color="auto"/>
        <w:left w:val="none" w:sz="0" w:space="0" w:color="auto"/>
        <w:bottom w:val="none" w:sz="0" w:space="0" w:color="auto"/>
        <w:right w:val="none" w:sz="0" w:space="0" w:color="auto"/>
      </w:divBdr>
    </w:div>
    <w:div w:id="1567648081">
      <w:bodyDiv w:val="1"/>
      <w:marLeft w:val="0"/>
      <w:marRight w:val="0"/>
      <w:marTop w:val="0"/>
      <w:marBottom w:val="0"/>
      <w:divBdr>
        <w:top w:val="none" w:sz="0" w:space="0" w:color="auto"/>
        <w:left w:val="none" w:sz="0" w:space="0" w:color="auto"/>
        <w:bottom w:val="none" w:sz="0" w:space="0" w:color="auto"/>
        <w:right w:val="none" w:sz="0" w:space="0" w:color="auto"/>
      </w:divBdr>
    </w:div>
    <w:div w:id="1571697117">
      <w:bodyDiv w:val="1"/>
      <w:marLeft w:val="0"/>
      <w:marRight w:val="0"/>
      <w:marTop w:val="0"/>
      <w:marBottom w:val="0"/>
      <w:divBdr>
        <w:top w:val="none" w:sz="0" w:space="0" w:color="auto"/>
        <w:left w:val="none" w:sz="0" w:space="0" w:color="auto"/>
        <w:bottom w:val="none" w:sz="0" w:space="0" w:color="auto"/>
        <w:right w:val="none" w:sz="0" w:space="0" w:color="auto"/>
      </w:divBdr>
    </w:div>
    <w:div w:id="1577545246">
      <w:bodyDiv w:val="1"/>
      <w:marLeft w:val="0"/>
      <w:marRight w:val="0"/>
      <w:marTop w:val="0"/>
      <w:marBottom w:val="0"/>
      <w:divBdr>
        <w:top w:val="none" w:sz="0" w:space="0" w:color="auto"/>
        <w:left w:val="none" w:sz="0" w:space="0" w:color="auto"/>
        <w:bottom w:val="none" w:sz="0" w:space="0" w:color="auto"/>
        <w:right w:val="none" w:sz="0" w:space="0" w:color="auto"/>
      </w:divBdr>
    </w:div>
    <w:div w:id="1579948505">
      <w:bodyDiv w:val="1"/>
      <w:marLeft w:val="0"/>
      <w:marRight w:val="0"/>
      <w:marTop w:val="0"/>
      <w:marBottom w:val="0"/>
      <w:divBdr>
        <w:top w:val="none" w:sz="0" w:space="0" w:color="auto"/>
        <w:left w:val="none" w:sz="0" w:space="0" w:color="auto"/>
        <w:bottom w:val="none" w:sz="0" w:space="0" w:color="auto"/>
        <w:right w:val="none" w:sz="0" w:space="0" w:color="auto"/>
      </w:divBdr>
    </w:div>
    <w:div w:id="1593398210">
      <w:bodyDiv w:val="1"/>
      <w:marLeft w:val="0"/>
      <w:marRight w:val="0"/>
      <w:marTop w:val="0"/>
      <w:marBottom w:val="0"/>
      <w:divBdr>
        <w:top w:val="none" w:sz="0" w:space="0" w:color="auto"/>
        <w:left w:val="none" w:sz="0" w:space="0" w:color="auto"/>
        <w:bottom w:val="none" w:sz="0" w:space="0" w:color="auto"/>
        <w:right w:val="none" w:sz="0" w:space="0" w:color="auto"/>
      </w:divBdr>
    </w:div>
    <w:div w:id="1594246710">
      <w:bodyDiv w:val="1"/>
      <w:marLeft w:val="0"/>
      <w:marRight w:val="0"/>
      <w:marTop w:val="0"/>
      <w:marBottom w:val="0"/>
      <w:divBdr>
        <w:top w:val="none" w:sz="0" w:space="0" w:color="auto"/>
        <w:left w:val="none" w:sz="0" w:space="0" w:color="auto"/>
        <w:bottom w:val="none" w:sz="0" w:space="0" w:color="auto"/>
        <w:right w:val="none" w:sz="0" w:space="0" w:color="auto"/>
      </w:divBdr>
    </w:div>
    <w:div w:id="1602563113">
      <w:bodyDiv w:val="1"/>
      <w:marLeft w:val="0"/>
      <w:marRight w:val="0"/>
      <w:marTop w:val="0"/>
      <w:marBottom w:val="0"/>
      <w:divBdr>
        <w:top w:val="none" w:sz="0" w:space="0" w:color="auto"/>
        <w:left w:val="none" w:sz="0" w:space="0" w:color="auto"/>
        <w:bottom w:val="none" w:sz="0" w:space="0" w:color="auto"/>
        <w:right w:val="none" w:sz="0" w:space="0" w:color="auto"/>
      </w:divBdr>
    </w:div>
    <w:div w:id="1606646229">
      <w:bodyDiv w:val="1"/>
      <w:marLeft w:val="0"/>
      <w:marRight w:val="0"/>
      <w:marTop w:val="0"/>
      <w:marBottom w:val="0"/>
      <w:divBdr>
        <w:top w:val="none" w:sz="0" w:space="0" w:color="auto"/>
        <w:left w:val="none" w:sz="0" w:space="0" w:color="auto"/>
        <w:bottom w:val="none" w:sz="0" w:space="0" w:color="auto"/>
        <w:right w:val="none" w:sz="0" w:space="0" w:color="auto"/>
      </w:divBdr>
    </w:div>
    <w:div w:id="1612122863">
      <w:bodyDiv w:val="1"/>
      <w:marLeft w:val="0"/>
      <w:marRight w:val="0"/>
      <w:marTop w:val="0"/>
      <w:marBottom w:val="0"/>
      <w:divBdr>
        <w:top w:val="none" w:sz="0" w:space="0" w:color="auto"/>
        <w:left w:val="none" w:sz="0" w:space="0" w:color="auto"/>
        <w:bottom w:val="none" w:sz="0" w:space="0" w:color="auto"/>
        <w:right w:val="none" w:sz="0" w:space="0" w:color="auto"/>
      </w:divBdr>
    </w:div>
    <w:div w:id="1628703695">
      <w:bodyDiv w:val="1"/>
      <w:marLeft w:val="0"/>
      <w:marRight w:val="0"/>
      <w:marTop w:val="0"/>
      <w:marBottom w:val="0"/>
      <w:divBdr>
        <w:top w:val="none" w:sz="0" w:space="0" w:color="auto"/>
        <w:left w:val="none" w:sz="0" w:space="0" w:color="auto"/>
        <w:bottom w:val="none" w:sz="0" w:space="0" w:color="auto"/>
        <w:right w:val="none" w:sz="0" w:space="0" w:color="auto"/>
      </w:divBdr>
    </w:div>
    <w:div w:id="1634213028">
      <w:bodyDiv w:val="1"/>
      <w:marLeft w:val="0"/>
      <w:marRight w:val="0"/>
      <w:marTop w:val="0"/>
      <w:marBottom w:val="0"/>
      <w:divBdr>
        <w:top w:val="none" w:sz="0" w:space="0" w:color="auto"/>
        <w:left w:val="none" w:sz="0" w:space="0" w:color="auto"/>
        <w:bottom w:val="none" w:sz="0" w:space="0" w:color="auto"/>
        <w:right w:val="none" w:sz="0" w:space="0" w:color="auto"/>
      </w:divBdr>
    </w:div>
    <w:div w:id="1634867634">
      <w:bodyDiv w:val="1"/>
      <w:marLeft w:val="0"/>
      <w:marRight w:val="0"/>
      <w:marTop w:val="0"/>
      <w:marBottom w:val="0"/>
      <w:divBdr>
        <w:top w:val="none" w:sz="0" w:space="0" w:color="auto"/>
        <w:left w:val="none" w:sz="0" w:space="0" w:color="auto"/>
        <w:bottom w:val="none" w:sz="0" w:space="0" w:color="auto"/>
        <w:right w:val="none" w:sz="0" w:space="0" w:color="auto"/>
      </w:divBdr>
    </w:div>
    <w:div w:id="1635869412">
      <w:bodyDiv w:val="1"/>
      <w:marLeft w:val="0"/>
      <w:marRight w:val="0"/>
      <w:marTop w:val="0"/>
      <w:marBottom w:val="0"/>
      <w:divBdr>
        <w:top w:val="none" w:sz="0" w:space="0" w:color="auto"/>
        <w:left w:val="none" w:sz="0" w:space="0" w:color="auto"/>
        <w:bottom w:val="none" w:sz="0" w:space="0" w:color="auto"/>
        <w:right w:val="none" w:sz="0" w:space="0" w:color="auto"/>
      </w:divBdr>
    </w:div>
    <w:div w:id="1647663290">
      <w:bodyDiv w:val="1"/>
      <w:marLeft w:val="0"/>
      <w:marRight w:val="0"/>
      <w:marTop w:val="0"/>
      <w:marBottom w:val="0"/>
      <w:divBdr>
        <w:top w:val="none" w:sz="0" w:space="0" w:color="auto"/>
        <w:left w:val="none" w:sz="0" w:space="0" w:color="auto"/>
        <w:bottom w:val="none" w:sz="0" w:space="0" w:color="auto"/>
        <w:right w:val="none" w:sz="0" w:space="0" w:color="auto"/>
      </w:divBdr>
    </w:div>
    <w:div w:id="1648895317">
      <w:bodyDiv w:val="1"/>
      <w:marLeft w:val="0"/>
      <w:marRight w:val="0"/>
      <w:marTop w:val="0"/>
      <w:marBottom w:val="0"/>
      <w:divBdr>
        <w:top w:val="none" w:sz="0" w:space="0" w:color="auto"/>
        <w:left w:val="none" w:sz="0" w:space="0" w:color="auto"/>
        <w:bottom w:val="none" w:sz="0" w:space="0" w:color="auto"/>
        <w:right w:val="none" w:sz="0" w:space="0" w:color="auto"/>
      </w:divBdr>
    </w:div>
    <w:div w:id="1650162572">
      <w:bodyDiv w:val="1"/>
      <w:marLeft w:val="0"/>
      <w:marRight w:val="0"/>
      <w:marTop w:val="0"/>
      <w:marBottom w:val="0"/>
      <w:divBdr>
        <w:top w:val="none" w:sz="0" w:space="0" w:color="auto"/>
        <w:left w:val="none" w:sz="0" w:space="0" w:color="auto"/>
        <w:bottom w:val="none" w:sz="0" w:space="0" w:color="auto"/>
        <w:right w:val="none" w:sz="0" w:space="0" w:color="auto"/>
      </w:divBdr>
    </w:div>
    <w:div w:id="1670020536">
      <w:bodyDiv w:val="1"/>
      <w:marLeft w:val="0"/>
      <w:marRight w:val="0"/>
      <w:marTop w:val="0"/>
      <w:marBottom w:val="0"/>
      <w:divBdr>
        <w:top w:val="none" w:sz="0" w:space="0" w:color="auto"/>
        <w:left w:val="none" w:sz="0" w:space="0" w:color="auto"/>
        <w:bottom w:val="none" w:sz="0" w:space="0" w:color="auto"/>
        <w:right w:val="none" w:sz="0" w:space="0" w:color="auto"/>
      </w:divBdr>
    </w:div>
    <w:div w:id="1670861796">
      <w:bodyDiv w:val="1"/>
      <w:marLeft w:val="0"/>
      <w:marRight w:val="0"/>
      <w:marTop w:val="0"/>
      <w:marBottom w:val="0"/>
      <w:divBdr>
        <w:top w:val="none" w:sz="0" w:space="0" w:color="auto"/>
        <w:left w:val="none" w:sz="0" w:space="0" w:color="auto"/>
        <w:bottom w:val="none" w:sz="0" w:space="0" w:color="auto"/>
        <w:right w:val="none" w:sz="0" w:space="0" w:color="auto"/>
      </w:divBdr>
    </w:div>
    <w:div w:id="1688481876">
      <w:bodyDiv w:val="1"/>
      <w:marLeft w:val="0"/>
      <w:marRight w:val="0"/>
      <w:marTop w:val="0"/>
      <w:marBottom w:val="0"/>
      <w:divBdr>
        <w:top w:val="none" w:sz="0" w:space="0" w:color="auto"/>
        <w:left w:val="none" w:sz="0" w:space="0" w:color="auto"/>
        <w:bottom w:val="none" w:sz="0" w:space="0" w:color="auto"/>
        <w:right w:val="none" w:sz="0" w:space="0" w:color="auto"/>
      </w:divBdr>
    </w:div>
    <w:div w:id="1702198241">
      <w:bodyDiv w:val="1"/>
      <w:marLeft w:val="0"/>
      <w:marRight w:val="0"/>
      <w:marTop w:val="0"/>
      <w:marBottom w:val="0"/>
      <w:divBdr>
        <w:top w:val="none" w:sz="0" w:space="0" w:color="auto"/>
        <w:left w:val="none" w:sz="0" w:space="0" w:color="auto"/>
        <w:bottom w:val="none" w:sz="0" w:space="0" w:color="auto"/>
        <w:right w:val="none" w:sz="0" w:space="0" w:color="auto"/>
      </w:divBdr>
    </w:div>
    <w:div w:id="1704014342">
      <w:bodyDiv w:val="1"/>
      <w:marLeft w:val="0"/>
      <w:marRight w:val="0"/>
      <w:marTop w:val="0"/>
      <w:marBottom w:val="0"/>
      <w:divBdr>
        <w:top w:val="none" w:sz="0" w:space="0" w:color="auto"/>
        <w:left w:val="none" w:sz="0" w:space="0" w:color="auto"/>
        <w:bottom w:val="none" w:sz="0" w:space="0" w:color="auto"/>
        <w:right w:val="none" w:sz="0" w:space="0" w:color="auto"/>
      </w:divBdr>
    </w:div>
    <w:div w:id="1729260169">
      <w:bodyDiv w:val="1"/>
      <w:marLeft w:val="0"/>
      <w:marRight w:val="0"/>
      <w:marTop w:val="0"/>
      <w:marBottom w:val="0"/>
      <w:divBdr>
        <w:top w:val="none" w:sz="0" w:space="0" w:color="auto"/>
        <w:left w:val="none" w:sz="0" w:space="0" w:color="auto"/>
        <w:bottom w:val="none" w:sz="0" w:space="0" w:color="auto"/>
        <w:right w:val="none" w:sz="0" w:space="0" w:color="auto"/>
      </w:divBdr>
    </w:div>
    <w:div w:id="1731223113">
      <w:bodyDiv w:val="1"/>
      <w:marLeft w:val="0"/>
      <w:marRight w:val="0"/>
      <w:marTop w:val="0"/>
      <w:marBottom w:val="0"/>
      <w:divBdr>
        <w:top w:val="none" w:sz="0" w:space="0" w:color="auto"/>
        <w:left w:val="none" w:sz="0" w:space="0" w:color="auto"/>
        <w:bottom w:val="none" w:sz="0" w:space="0" w:color="auto"/>
        <w:right w:val="none" w:sz="0" w:space="0" w:color="auto"/>
      </w:divBdr>
    </w:div>
    <w:div w:id="1757700941">
      <w:bodyDiv w:val="1"/>
      <w:marLeft w:val="0"/>
      <w:marRight w:val="0"/>
      <w:marTop w:val="0"/>
      <w:marBottom w:val="0"/>
      <w:divBdr>
        <w:top w:val="none" w:sz="0" w:space="0" w:color="auto"/>
        <w:left w:val="none" w:sz="0" w:space="0" w:color="auto"/>
        <w:bottom w:val="none" w:sz="0" w:space="0" w:color="auto"/>
        <w:right w:val="none" w:sz="0" w:space="0" w:color="auto"/>
      </w:divBdr>
    </w:div>
    <w:div w:id="1761830625">
      <w:bodyDiv w:val="1"/>
      <w:marLeft w:val="0"/>
      <w:marRight w:val="0"/>
      <w:marTop w:val="0"/>
      <w:marBottom w:val="0"/>
      <w:divBdr>
        <w:top w:val="none" w:sz="0" w:space="0" w:color="auto"/>
        <w:left w:val="none" w:sz="0" w:space="0" w:color="auto"/>
        <w:bottom w:val="none" w:sz="0" w:space="0" w:color="auto"/>
        <w:right w:val="none" w:sz="0" w:space="0" w:color="auto"/>
      </w:divBdr>
    </w:div>
    <w:div w:id="1763453286">
      <w:bodyDiv w:val="1"/>
      <w:marLeft w:val="0"/>
      <w:marRight w:val="0"/>
      <w:marTop w:val="0"/>
      <w:marBottom w:val="0"/>
      <w:divBdr>
        <w:top w:val="none" w:sz="0" w:space="0" w:color="auto"/>
        <w:left w:val="none" w:sz="0" w:space="0" w:color="auto"/>
        <w:bottom w:val="none" w:sz="0" w:space="0" w:color="auto"/>
        <w:right w:val="none" w:sz="0" w:space="0" w:color="auto"/>
      </w:divBdr>
    </w:div>
    <w:div w:id="1769351457">
      <w:bodyDiv w:val="1"/>
      <w:marLeft w:val="0"/>
      <w:marRight w:val="0"/>
      <w:marTop w:val="0"/>
      <w:marBottom w:val="0"/>
      <w:divBdr>
        <w:top w:val="none" w:sz="0" w:space="0" w:color="auto"/>
        <w:left w:val="none" w:sz="0" w:space="0" w:color="auto"/>
        <w:bottom w:val="none" w:sz="0" w:space="0" w:color="auto"/>
        <w:right w:val="none" w:sz="0" w:space="0" w:color="auto"/>
      </w:divBdr>
    </w:div>
    <w:div w:id="1774476901">
      <w:bodyDiv w:val="1"/>
      <w:marLeft w:val="0"/>
      <w:marRight w:val="0"/>
      <w:marTop w:val="0"/>
      <w:marBottom w:val="0"/>
      <w:divBdr>
        <w:top w:val="none" w:sz="0" w:space="0" w:color="auto"/>
        <w:left w:val="none" w:sz="0" w:space="0" w:color="auto"/>
        <w:bottom w:val="none" w:sz="0" w:space="0" w:color="auto"/>
        <w:right w:val="none" w:sz="0" w:space="0" w:color="auto"/>
      </w:divBdr>
    </w:div>
    <w:div w:id="1782871112">
      <w:bodyDiv w:val="1"/>
      <w:marLeft w:val="0"/>
      <w:marRight w:val="0"/>
      <w:marTop w:val="0"/>
      <w:marBottom w:val="0"/>
      <w:divBdr>
        <w:top w:val="none" w:sz="0" w:space="0" w:color="auto"/>
        <w:left w:val="none" w:sz="0" w:space="0" w:color="auto"/>
        <w:bottom w:val="none" w:sz="0" w:space="0" w:color="auto"/>
        <w:right w:val="none" w:sz="0" w:space="0" w:color="auto"/>
      </w:divBdr>
    </w:div>
    <w:div w:id="1788573674">
      <w:bodyDiv w:val="1"/>
      <w:marLeft w:val="0"/>
      <w:marRight w:val="0"/>
      <w:marTop w:val="0"/>
      <w:marBottom w:val="0"/>
      <w:divBdr>
        <w:top w:val="none" w:sz="0" w:space="0" w:color="auto"/>
        <w:left w:val="none" w:sz="0" w:space="0" w:color="auto"/>
        <w:bottom w:val="none" w:sz="0" w:space="0" w:color="auto"/>
        <w:right w:val="none" w:sz="0" w:space="0" w:color="auto"/>
      </w:divBdr>
    </w:div>
    <w:div w:id="1808819818">
      <w:bodyDiv w:val="1"/>
      <w:marLeft w:val="0"/>
      <w:marRight w:val="0"/>
      <w:marTop w:val="0"/>
      <w:marBottom w:val="0"/>
      <w:divBdr>
        <w:top w:val="none" w:sz="0" w:space="0" w:color="auto"/>
        <w:left w:val="none" w:sz="0" w:space="0" w:color="auto"/>
        <w:bottom w:val="none" w:sz="0" w:space="0" w:color="auto"/>
        <w:right w:val="none" w:sz="0" w:space="0" w:color="auto"/>
      </w:divBdr>
    </w:div>
    <w:div w:id="1815684019">
      <w:bodyDiv w:val="1"/>
      <w:marLeft w:val="0"/>
      <w:marRight w:val="0"/>
      <w:marTop w:val="0"/>
      <w:marBottom w:val="0"/>
      <w:divBdr>
        <w:top w:val="none" w:sz="0" w:space="0" w:color="auto"/>
        <w:left w:val="none" w:sz="0" w:space="0" w:color="auto"/>
        <w:bottom w:val="none" w:sz="0" w:space="0" w:color="auto"/>
        <w:right w:val="none" w:sz="0" w:space="0" w:color="auto"/>
      </w:divBdr>
    </w:div>
    <w:div w:id="1818065779">
      <w:bodyDiv w:val="1"/>
      <w:marLeft w:val="0"/>
      <w:marRight w:val="0"/>
      <w:marTop w:val="0"/>
      <w:marBottom w:val="0"/>
      <w:divBdr>
        <w:top w:val="none" w:sz="0" w:space="0" w:color="auto"/>
        <w:left w:val="none" w:sz="0" w:space="0" w:color="auto"/>
        <w:bottom w:val="none" w:sz="0" w:space="0" w:color="auto"/>
        <w:right w:val="none" w:sz="0" w:space="0" w:color="auto"/>
      </w:divBdr>
    </w:div>
    <w:div w:id="1818568156">
      <w:bodyDiv w:val="1"/>
      <w:marLeft w:val="0"/>
      <w:marRight w:val="0"/>
      <w:marTop w:val="0"/>
      <w:marBottom w:val="0"/>
      <w:divBdr>
        <w:top w:val="none" w:sz="0" w:space="0" w:color="auto"/>
        <w:left w:val="none" w:sz="0" w:space="0" w:color="auto"/>
        <w:bottom w:val="none" w:sz="0" w:space="0" w:color="auto"/>
        <w:right w:val="none" w:sz="0" w:space="0" w:color="auto"/>
      </w:divBdr>
    </w:div>
    <w:div w:id="1827431413">
      <w:bodyDiv w:val="1"/>
      <w:marLeft w:val="0"/>
      <w:marRight w:val="0"/>
      <w:marTop w:val="0"/>
      <w:marBottom w:val="0"/>
      <w:divBdr>
        <w:top w:val="none" w:sz="0" w:space="0" w:color="auto"/>
        <w:left w:val="none" w:sz="0" w:space="0" w:color="auto"/>
        <w:bottom w:val="none" w:sz="0" w:space="0" w:color="auto"/>
        <w:right w:val="none" w:sz="0" w:space="0" w:color="auto"/>
      </w:divBdr>
    </w:div>
    <w:div w:id="1834249346">
      <w:bodyDiv w:val="1"/>
      <w:marLeft w:val="0"/>
      <w:marRight w:val="0"/>
      <w:marTop w:val="0"/>
      <w:marBottom w:val="0"/>
      <w:divBdr>
        <w:top w:val="none" w:sz="0" w:space="0" w:color="auto"/>
        <w:left w:val="none" w:sz="0" w:space="0" w:color="auto"/>
        <w:bottom w:val="none" w:sz="0" w:space="0" w:color="auto"/>
        <w:right w:val="none" w:sz="0" w:space="0" w:color="auto"/>
      </w:divBdr>
    </w:div>
    <w:div w:id="1853254885">
      <w:bodyDiv w:val="1"/>
      <w:marLeft w:val="0"/>
      <w:marRight w:val="0"/>
      <w:marTop w:val="0"/>
      <w:marBottom w:val="0"/>
      <w:divBdr>
        <w:top w:val="none" w:sz="0" w:space="0" w:color="auto"/>
        <w:left w:val="none" w:sz="0" w:space="0" w:color="auto"/>
        <w:bottom w:val="none" w:sz="0" w:space="0" w:color="auto"/>
        <w:right w:val="none" w:sz="0" w:space="0" w:color="auto"/>
      </w:divBdr>
    </w:div>
    <w:div w:id="1857301626">
      <w:bodyDiv w:val="1"/>
      <w:marLeft w:val="0"/>
      <w:marRight w:val="0"/>
      <w:marTop w:val="0"/>
      <w:marBottom w:val="0"/>
      <w:divBdr>
        <w:top w:val="none" w:sz="0" w:space="0" w:color="auto"/>
        <w:left w:val="none" w:sz="0" w:space="0" w:color="auto"/>
        <w:bottom w:val="none" w:sz="0" w:space="0" w:color="auto"/>
        <w:right w:val="none" w:sz="0" w:space="0" w:color="auto"/>
      </w:divBdr>
      <w:divsChild>
        <w:div w:id="501897821">
          <w:marLeft w:val="0"/>
          <w:marRight w:val="0"/>
          <w:marTop w:val="0"/>
          <w:marBottom w:val="0"/>
          <w:divBdr>
            <w:top w:val="none" w:sz="0" w:space="0" w:color="auto"/>
            <w:left w:val="none" w:sz="0" w:space="0" w:color="auto"/>
            <w:bottom w:val="none" w:sz="0" w:space="0" w:color="auto"/>
            <w:right w:val="none" w:sz="0" w:space="0" w:color="auto"/>
          </w:divBdr>
        </w:div>
        <w:div w:id="1287010153">
          <w:marLeft w:val="0"/>
          <w:marRight w:val="0"/>
          <w:marTop w:val="0"/>
          <w:marBottom w:val="0"/>
          <w:divBdr>
            <w:top w:val="none" w:sz="0" w:space="0" w:color="auto"/>
            <w:left w:val="none" w:sz="0" w:space="0" w:color="auto"/>
            <w:bottom w:val="none" w:sz="0" w:space="0" w:color="auto"/>
            <w:right w:val="none" w:sz="0" w:space="0" w:color="auto"/>
          </w:divBdr>
        </w:div>
        <w:div w:id="1087775640">
          <w:marLeft w:val="0"/>
          <w:marRight w:val="0"/>
          <w:marTop w:val="0"/>
          <w:marBottom w:val="0"/>
          <w:divBdr>
            <w:top w:val="none" w:sz="0" w:space="0" w:color="auto"/>
            <w:left w:val="none" w:sz="0" w:space="0" w:color="auto"/>
            <w:bottom w:val="none" w:sz="0" w:space="0" w:color="auto"/>
            <w:right w:val="none" w:sz="0" w:space="0" w:color="auto"/>
          </w:divBdr>
        </w:div>
        <w:div w:id="565841759">
          <w:marLeft w:val="0"/>
          <w:marRight w:val="0"/>
          <w:marTop w:val="0"/>
          <w:marBottom w:val="0"/>
          <w:divBdr>
            <w:top w:val="none" w:sz="0" w:space="0" w:color="auto"/>
            <w:left w:val="none" w:sz="0" w:space="0" w:color="auto"/>
            <w:bottom w:val="none" w:sz="0" w:space="0" w:color="auto"/>
            <w:right w:val="none" w:sz="0" w:space="0" w:color="auto"/>
          </w:divBdr>
        </w:div>
        <w:div w:id="777604107">
          <w:marLeft w:val="0"/>
          <w:marRight w:val="0"/>
          <w:marTop w:val="0"/>
          <w:marBottom w:val="0"/>
          <w:divBdr>
            <w:top w:val="none" w:sz="0" w:space="0" w:color="auto"/>
            <w:left w:val="none" w:sz="0" w:space="0" w:color="auto"/>
            <w:bottom w:val="none" w:sz="0" w:space="0" w:color="auto"/>
            <w:right w:val="none" w:sz="0" w:space="0" w:color="auto"/>
          </w:divBdr>
        </w:div>
        <w:div w:id="1611006794">
          <w:marLeft w:val="0"/>
          <w:marRight w:val="0"/>
          <w:marTop w:val="0"/>
          <w:marBottom w:val="0"/>
          <w:divBdr>
            <w:top w:val="none" w:sz="0" w:space="0" w:color="auto"/>
            <w:left w:val="none" w:sz="0" w:space="0" w:color="auto"/>
            <w:bottom w:val="none" w:sz="0" w:space="0" w:color="auto"/>
            <w:right w:val="none" w:sz="0" w:space="0" w:color="auto"/>
          </w:divBdr>
        </w:div>
        <w:div w:id="1141272315">
          <w:marLeft w:val="0"/>
          <w:marRight w:val="0"/>
          <w:marTop w:val="0"/>
          <w:marBottom w:val="0"/>
          <w:divBdr>
            <w:top w:val="none" w:sz="0" w:space="0" w:color="auto"/>
            <w:left w:val="none" w:sz="0" w:space="0" w:color="auto"/>
            <w:bottom w:val="none" w:sz="0" w:space="0" w:color="auto"/>
            <w:right w:val="none" w:sz="0" w:space="0" w:color="auto"/>
          </w:divBdr>
        </w:div>
        <w:div w:id="994920645">
          <w:marLeft w:val="0"/>
          <w:marRight w:val="0"/>
          <w:marTop w:val="0"/>
          <w:marBottom w:val="0"/>
          <w:divBdr>
            <w:top w:val="none" w:sz="0" w:space="0" w:color="auto"/>
            <w:left w:val="none" w:sz="0" w:space="0" w:color="auto"/>
            <w:bottom w:val="none" w:sz="0" w:space="0" w:color="auto"/>
            <w:right w:val="none" w:sz="0" w:space="0" w:color="auto"/>
          </w:divBdr>
        </w:div>
        <w:div w:id="1161039857">
          <w:marLeft w:val="0"/>
          <w:marRight w:val="0"/>
          <w:marTop w:val="0"/>
          <w:marBottom w:val="0"/>
          <w:divBdr>
            <w:top w:val="none" w:sz="0" w:space="0" w:color="auto"/>
            <w:left w:val="none" w:sz="0" w:space="0" w:color="auto"/>
            <w:bottom w:val="none" w:sz="0" w:space="0" w:color="auto"/>
            <w:right w:val="none" w:sz="0" w:space="0" w:color="auto"/>
          </w:divBdr>
        </w:div>
        <w:div w:id="495341760">
          <w:marLeft w:val="0"/>
          <w:marRight w:val="0"/>
          <w:marTop w:val="0"/>
          <w:marBottom w:val="0"/>
          <w:divBdr>
            <w:top w:val="none" w:sz="0" w:space="0" w:color="auto"/>
            <w:left w:val="none" w:sz="0" w:space="0" w:color="auto"/>
            <w:bottom w:val="none" w:sz="0" w:space="0" w:color="auto"/>
            <w:right w:val="none" w:sz="0" w:space="0" w:color="auto"/>
          </w:divBdr>
        </w:div>
        <w:div w:id="2146192682">
          <w:marLeft w:val="0"/>
          <w:marRight w:val="0"/>
          <w:marTop w:val="0"/>
          <w:marBottom w:val="0"/>
          <w:divBdr>
            <w:top w:val="none" w:sz="0" w:space="0" w:color="auto"/>
            <w:left w:val="none" w:sz="0" w:space="0" w:color="auto"/>
            <w:bottom w:val="none" w:sz="0" w:space="0" w:color="auto"/>
            <w:right w:val="none" w:sz="0" w:space="0" w:color="auto"/>
          </w:divBdr>
        </w:div>
        <w:div w:id="1720203697">
          <w:marLeft w:val="0"/>
          <w:marRight w:val="0"/>
          <w:marTop w:val="0"/>
          <w:marBottom w:val="0"/>
          <w:divBdr>
            <w:top w:val="none" w:sz="0" w:space="0" w:color="auto"/>
            <w:left w:val="none" w:sz="0" w:space="0" w:color="auto"/>
            <w:bottom w:val="none" w:sz="0" w:space="0" w:color="auto"/>
            <w:right w:val="none" w:sz="0" w:space="0" w:color="auto"/>
          </w:divBdr>
        </w:div>
        <w:div w:id="1366565552">
          <w:marLeft w:val="0"/>
          <w:marRight w:val="0"/>
          <w:marTop w:val="0"/>
          <w:marBottom w:val="0"/>
          <w:divBdr>
            <w:top w:val="none" w:sz="0" w:space="0" w:color="auto"/>
            <w:left w:val="none" w:sz="0" w:space="0" w:color="auto"/>
            <w:bottom w:val="none" w:sz="0" w:space="0" w:color="auto"/>
            <w:right w:val="none" w:sz="0" w:space="0" w:color="auto"/>
          </w:divBdr>
        </w:div>
        <w:div w:id="1406024842">
          <w:marLeft w:val="0"/>
          <w:marRight w:val="0"/>
          <w:marTop w:val="0"/>
          <w:marBottom w:val="0"/>
          <w:divBdr>
            <w:top w:val="none" w:sz="0" w:space="0" w:color="auto"/>
            <w:left w:val="none" w:sz="0" w:space="0" w:color="auto"/>
            <w:bottom w:val="none" w:sz="0" w:space="0" w:color="auto"/>
            <w:right w:val="none" w:sz="0" w:space="0" w:color="auto"/>
          </w:divBdr>
        </w:div>
        <w:div w:id="94986404">
          <w:marLeft w:val="0"/>
          <w:marRight w:val="0"/>
          <w:marTop w:val="0"/>
          <w:marBottom w:val="0"/>
          <w:divBdr>
            <w:top w:val="none" w:sz="0" w:space="0" w:color="auto"/>
            <w:left w:val="none" w:sz="0" w:space="0" w:color="auto"/>
            <w:bottom w:val="none" w:sz="0" w:space="0" w:color="auto"/>
            <w:right w:val="none" w:sz="0" w:space="0" w:color="auto"/>
          </w:divBdr>
        </w:div>
        <w:div w:id="390077034">
          <w:marLeft w:val="0"/>
          <w:marRight w:val="0"/>
          <w:marTop w:val="0"/>
          <w:marBottom w:val="0"/>
          <w:divBdr>
            <w:top w:val="none" w:sz="0" w:space="0" w:color="auto"/>
            <w:left w:val="none" w:sz="0" w:space="0" w:color="auto"/>
            <w:bottom w:val="none" w:sz="0" w:space="0" w:color="auto"/>
            <w:right w:val="none" w:sz="0" w:space="0" w:color="auto"/>
          </w:divBdr>
        </w:div>
        <w:div w:id="1550612178">
          <w:marLeft w:val="0"/>
          <w:marRight w:val="0"/>
          <w:marTop w:val="0"/>
          <w:marBottom w:val="0"/>
          <w:divBdr>
            <w:top w:val="none" w:sz="0" w:space="0" w:color="auto"/>
            <w:left w:val="none" w:sz="0" w:space="0" w:color="auto"/>
            <w:bottom w:val="none" w:sz="0" w:space="0" w:color="auto"/>
            <w:right w:val="none" w:sz="0" w:space="0" w:color="auto"/>
          </w:divBdr>
        </w:div>
        <w:div w:id="307714114">
          <w:marLeft w:val="0"/>
          <w:marRight w:val="0"/>
          <w:marTop w:val="0"/>
          <w:marBottom w:val="0"/>
          <w:divBdr>
            <w:top w:val="none" w:sz="0" w:space="0" w:color="auto"/>
            <w:left w:val="none" w:sz="0" w:space="0" w:color="auto"/>
            <w:bottom w:val="none" w:sz="0" w:space="0" w:color="auto"/>
            <w:right w:val="none" w:sz="0" w:space="0" w:color="auto"/>
          </w:divBdr>
        </w:div>
      </w:divsChild>
    </w:div>
    <w:div w:id="1857844236">
      <w:bodyDiv w:val="1"/>
      <w:marLeft w:val="0"/>
      <w:marRight w:val="0"/>
      <w:marTop w:val="0"/>
      <w:marBottom w:val="0"/>
      <w:divBdr>
        <w:top w:val="none" w:sz="0" w:space="0" w:color="auto"/>
        <w:left w:val="none" w:sz="0" w:space="0" w:color="auto"/>
        <w:bottom w:val="none" w:sz="0" w:space="0" w:color="auto"/>
        <w:right w:val="none" w:sz="0" w:space="0" w:color="auto"/>
      </w:divBdr>
    </w:div>
    <w:div w:id="1858350177">
      <w:bodyDiv w:val="1"/>
      <w:marLeft w:val="0"/>
      <w:marRight w:val="0"/>
      <w:marTop w:val="0"/>
      <w:marBottom w:val="0"/>
      <w:divBdr>
        <w:top w:val="none" w:sz="0" w:space="0" w:color="auto"/>
        <w:left w:val="none" w:sz="0" w:space="0" w:color="auto"/>
        <w:bottom w:val="none" w:sz="0" w:space="0" w:color="auto"/>
        <w:right w:val="none" w:sz="0" w:space="0" w:color="auto"/>
      </w:divBdr>
    </w:div>
    <w:div w:id="1884516616">
      <w:bodyDiv w:val="1"/>
      <w:marLeft w:val="0"/>
      <w:marRight w:val="0"/>
      <w:marTop w:val="0"/>
      <w:marBottom w:val="0"/>
      <w:divBdr>
        <w:top w:val="none" w:sz="0" w:space="0" w:color="auto"/>
        <w:left w:val="none" w:sz="0" w:space="0" w:color="auto"/>
        <w:bottom w:val="none" w:sz="0" w:space="0" w:color="auto"/>
        <w:right w:val="none" w:sz="0" w:space="0" w:color="auto"/>
      </w:divBdr>
    </w:div>
    <w:div w:id="1886603736">
      <w:bodyDiv w:val="1"/>
      <w:marLeft w:val="0"/>
      <w:marRight w:val="0"/>
      <w:marTop w:val="0"/>
      <w:marBottom w:val="0"/>
      <w:divBdr>
        <w:top w:val="none" w:sz="0" w:space="0" w:color="auto"/>
        <w:left w:val="none" w:sz="0" w:space="0" w:color="auto"/>
        <w:bottom w:val="none" w:sz="0" w:space="0" w:color="auto"/>
        <w:right w:val="none" w:sz="0" w:space="0" w:color="auto"/>
      </w:divBdr>
    </w:div>
    <w:div w:id="1892501092">
      <w:bodyDiv w:val="1"/>
      <w:marLeft w:val="0"/>
      <w:marRight w:val="0"/>
      <w:marTop w:val="0"/>
      <w:marBottom w:val="0"/>
      <w:divBdr>
        <w:top w:val="none" w:sz="0" w:space="0" w:color="auto"/>
        <w:left w:val="none" w:sz="0" w:space="0" w:color="auto"/>
        <w:bottom w:val="none" w:sz="0" w:space="0" w:color="auto"/>
        <w:right w:val="none" w:sz="0" w:space="0" w:color="auto"/>
      </w:divBdr>
    </w:div>
    <w:div w:id="1896427893">
      <w:bodyDiv w:val="1"/>
      <w:marLeft w:val="0"/>
      <w:marRight w:val="0"/>
      <w:marTop w:val="0"/>
      <w:marBottom w:val="0"/>
      <w:divBdr>
        <w:top w:val="none" w:sz="0" w:space="0" w:color="auto"/>
        <w:left w:val="none" w:sz="0" w:space="0" w:color="auto"/>
        <w:bottom w:val="none" w:sz="0" w:space="0" w:color="auto"/>
        <w:right w:val="none" w:sz="0" w:space="0" w:color="auto"/>
      </w:divBdr>
    </w:div>
    <w:div w:id="1896694460">
      <w:bodyDiv w:val="1"/>
      <w:marLeft w:val="0"/>
      <w:marRight w:val="0"/>
      <w:marTop w:val="0"/>
      <w:marBottom w:val="0"/>
      <w:divBdr>
        <w:top w:val="none" w:sz="0" w:space="0" w:color="auto"/>
        <w:left w:val="none" w:sz="0" w:space="0" w:color="auto"/>
        <w:bottom w:val="none" w:sz="0" w:space="0" w:color="auto"/>
        <w:right w:val="none" w:sz="0" w:space="0" w:color="auto"/>
      </w:divBdr>
    </w:div>
    <w:div w:id="1899591782">
      <w:bodyDiv w:val="1"/>
      <w:marLeft w:val="0"/>
      <w:marRight w:val="0"/>
      <w:marTop w:val="0"/>
      <w:marBottom w:val="0"/>
      <w:divBdr>
        <w:top w:val="none" w:sz="0" w:space="0" w:color="auto"/>
        <w:left w:val="none" w:sz="0" w:space="0" w:color="auto"/>
        <w:bottom w:val="none" w:sz="0" w:space="0" w:color="auto"/>
        <w:right w:val="none" w:sz="0" w:space="0" w:color="auto"/>
      </w:divBdr>
    </w:div>
    <w:div w:id="1899633287">
      <w:bodyDiv w:val="1"/>
      <w:marLeft w:val="0"/>
      <w:marRight w:val="0"/>
      <w:marTop w:val="0"/>
      <w:marBottom w:val="0"/>
      <w:divBdr>
        <w:top w:val="none" w:sz="0" w:space="0" w:color="auto"/>
        <w:left w:val="none" w:sz="0" w:space="0" w:color="auto"/>
        <w:bottom w:val="none" w:sz="0" w:space="0" w:color="auto"/>
        <w:right w:val="none" w:sz="0" w:space="0" w:color="auto"/>
      </w:divBdr>
    </w:div>
    <w:div w:id="1903179471">
      <w:bodyDiv w:val="1"/>
      <w:marLeft w:val="0"/>
      <w:marRight w:val="0"/>
      <w:marTop w:val="0"/>
      <w:marBottom w:val="0"/>
      <w:divBdr>
        <w:top w:val="none" w:sz="0" w:space="0" w:color="auto"/>
        <w:left w:val="none" w:sz="0" w:space="0" w:color="auto"/>
        <w:bottom w:val="none" w:sz="0" w:space="0" w:color="auto"/>
        <w:right w:val="none" w:sz="0" w:space="0" w:color="auto"/>
      </w:divBdr>
    </w:div>
    <w:div w:id="1913854214">
      <w:bodyDiv w:val="1"/>
      <w:marLeft w:val="0"/>
      <w:marRight w:val="0"/>
      <w:marTop w:val="0"/>
      <w:marBottom w:val="0"/>
      <w:divBdr>
        <w:top w:val="none" w:sz="0" w:space="0" w:color="auto"/>
        <w:left w:val="none" w:sz="0" w:space="0" w:color="auto"/>
        <w:bottom w:val="none" w:sz="0" w:space="0" w:color="auto"/>
        <w:right w:val="none" w:sz="0" w:space="0" w:color="auto"/>
      </w:divBdr>
    </w:div>
    <w:div w:id="1915819332">
      <w:bodyDiv w:val="1"/>
      <w:marLeft w:val="0"/>
      <w:marRight w:val="0"/>
      <w:marTop w:val="0"/>
      <w:marBottom w:val="0"/>
      <w:divBdr>
        <w:top w:val="none" w:sz="0" w:space="0" w:color="auto"/>
        <w:left w:val="none" w:sz="0" w:space="0" w:color="auto"/>
        <w:bottom w:val="none" w:sz="0" w:space="0" w:color="auto"/>
        <w:right w:val="none" w:sz="0" w:space="0" w:color="auto"/>
      </w:divBdr>
    </w:div>
    <w:div w:id="1918594106">
      <w:bodyDiv w:val="1"/>
      <w:marLeft w:val="0"/>
      <w:marRight w:val="0"/>
      <w:marTop w:val="0"/>
      <w:marBottom w:val="0"/>
      <w:divBdr>
        <w:top w:val="none" w:sz="0" w:space="0" w:color="auto"/>
        <w:left w:val="none" w:sz="0" w:space="0" w:color="auto"/>
        <w:bottom w:val="none" w:sz="0" w:space="0" w:color="auto"/>
        <w:right w:val="none" w:sz="0" w:space="0" w:color="auto"/>
      </w:divBdr>
    </w:div>
    <w:div w:id="1930386183">
      <w:bodyDiv w:val="1"/>
      <w:marLeft w:val="0"/>
      <w:marRight w:val="0"/>
      <w:marTop w:val="0"/>
      <w:marBottom w:val="0"/>
      <w:divBdr>
        <w:top w:val="none" w:sz="0" w:space="0" w:color="auto"/>
        <w:left w:val="none" w:sz="0" w:space="0" w:color="auto"/>
        <w:bottom w:val="none" w:sz="0" w:space="0" w:color="auto"/>
        <w:right w:val="none" w:sz="0" w:space="0" w:color="auto"/>
      </w:divBdr>
    </w:div>
    <w:div w:id="1941912792">
      <w:bodyDiv w:val="1"/>
      <w:marLeft w:val="0"/>
      <w:marRight w:val="0"/>
      <w:marTop w:val="0"/>
      <w:marBottom w:val="0"/>
      <w:divBdr>
        <w:top w:val="none" w:sz="0" w:space="0" w:color="auto"/>
        <w:left w:val="none" w:sz="0" w:space="0" w:color="auto"/>
        <w:bottom w:val="none" w:sz="0" w:space="0" w:color="auto"/>
        <w:right w:val="none" w:sz="0" w:space="0" w:color="auto"/>
      </w:divBdr>
    </w:div>
    <w:div w:id="1946425986">
      <w:bodyDiv w:val="1"/>
      <w:marLeft w:val="0"/>
      <w:marRight w:val="0"/>
      <w:marTop w:val="0"/>
      <w:marBottom w:val="0"/>
      <w:divBdr>
        <w:top w:val="none" w:sz="0" w:space="0" w:color="auto"/>
        <w:left w:val="none" w:sz="0" w:space="0" w:color="auto"/>
        <w:bottom w:val="none" w:sz="0" w:space="0" w:color="auto"/>
        <w:right w:val="none" w:sz="0" w:space="0" w:color="auto"/>
      </w:divBdr>
    </w:div>
    <w:div w:id="1952933000">
      <w:bodyDiv w:val="1"/>
      <w:marLeft w:val="0"/>
      <w:marRight w:val="0"/>
      <w:marTop w:val="0"/>
      <w:marBottom w:val="0"/>
      <w:divBdr>
        <w:top w:val="none" w:sz="0" w:space="0" w:color="auto"/>
        <w:left w:val="none" w:sz="0" w:space="0" w:color="auto"/>
        <w:bottom w:val="none" w:sz="0" w:space="0" w:color="auto"/>
        <w:right w:val="none" w:sz="0" w:space="0" w:color="auto"/>
      </w:divBdr>
    </w:div>
    <w:div w:id="1956862627">
      <w:bodyDiv w:val="1"/>
      <w:marLeft w:val="0"/>
      <w:marRight w:val="0"/>
      <w:marTop w:val="0"/>
      <w:marBottom w:val="0"/>
      <w:divBdr>
        <w:top w:val="none" w:sz="0" w:space="0" w:color="auto"/>
        <w:left w:val="none" w:sz="0" w:space="0" w:color="auto"/>
        <w:bottom w:val="none" w:sz="0" w:space="0" w:color="auto"/>
        <w:right w:val="none" w:sz="0" w:space="0" w:color="auto"/>
      </w:divBdr>
    </w:div>
    <w:div w:id="1969509074">
      <w:bodyDiv w:val="1"/>
      <w:marLeft w:val="0"/>
      <w:marRight w:val="0"/>
      <w:marTop w:val="0"/>
      <w:marBottom w:val="0"/>
      <w:divBdr>
        <w:top w:val="none" w:sz="0" w:space="0" w:color="auto"/>
        <w:left w:val="none" w:sz="0" w:space="0" w:color="auto"/>
        <w:bottom w:val="none" w:sz="0" w:space="0" w:color="auto"/>
        <w:right w:val="none" w:sz="0" w:space="0" w:color="auto"/>
      </w:divBdr>
    </w:div>
    <w:div w:id="1981687112">
      <w:bodyDiv w:val="1"/>
      <w:marLeft w:val="0"/>
      <w:marRight w:val="0"/>
      <w:marTop w:val="0"/>
      <w:marBottom w:val="0"/>
      <w:divBdr>
        <w:top w:val="none" w:sz="0" w:space="0" w:color="auto"/>
        <w:left w:val="none" w:sz="0" w:space="0" w:color="auto"/>
        <w:bottom w:val="none" w:sz="0" w:space="0" w:color="auto"/>
        <w:right w:val="none" w:sz="0" w:space="0" w:color="auto"/>
      </w:divBdr>
    </w:div>
    <w:div w:id="1987467017">
      <w:bodyDiv w:val="1"/>
      <w:marLeft w:val="0"/>
      <w:marRight w:val="0"/>
      <w:marTop w:val="0"/>
      <w:marBottom w:val="0"/>
      <w:divBdr>
        <w:top w:val="none" w:sz="0" w:space="0" w:color="auto"/>
        <w:left w:val="none" w:sz="0" w:space="0" w:color="auto"/>
        <w:bottom w:val="none" w:sz="0" w:space="0" w:color="auto"/>
        <w:right w:val="none" w:sz="0" w:space="0" w:color="auto"/>
      </w:divBdr>
      <w:divsChild>
        <w:div w:id="538663890">
          <w:marLeft w:val="0"/>
          <w:marRight w:val="0"/>
          <w:marTop w:val="0"/>
          <w:marBottom w:val="0"/>
          <w:divBdr>
            <w:top w:val="none" w:sz="0" w:space="0" w:color="auto"/>
            <w:left w:val="none" w:sz="0" w:space="0" w:color="auto"/>
            <w:bottom w:val="none" w:sz="0" w:space="0" w:color="auto"/>
            <w:right w:val="none" w:sz="0" w:space="0" w:color="auto"/>
          </w:divBdr>
        </w:div>
        <w:div w:id="985889761">
          <w:marLeft w:val="0"/>
          <w:marRight w:val="0"/>
          <w:marTop w:val="0"/>
          <w:marBottom w:val="0"/>
          <w:divBdr>
            <w:top w:val="none" w:sz="0" w:space="0" w:color="auto"/>
            <w:left w:val="none" w:sz="0" w:space="0" w:color="auto"/>
            <w:bottom w:val="none" w:sz="0" w:space="0" w:color="auto"/>
            <w:right w:val="none" w:sz="0" w:space="0" w:color="auto"/>
          </w:divBdr>
        </w:div>
        <w:div w:id="78868395">
          <w:marLeft w:val="0"/>
          <w:marRight w:val="0"/>
          <w:marTop w:val="0"/>
          <w:marBottom w:val="0"/>
          <w:divBdr>
            <w:top w:val="none" w:sz="0" w:space="0" w:color="auto"/>
            <w:left w:val="none" w:sz="0" w:space="0" w:color="auto"/>
            <w:bottom w:val="none" w:sz="0" w:space="0" w:color="auto"/>
            <w:right w:val="none" w:sz="0" w:space="0" w:color="auto"/>
          </w:divBdr>
        </w:div>
        <w:div w:id="405417635">
          <w:marLeft w:val="0"/>
          <w:marRight w:val="0"/>
          <w:marTop w:val="0"/>
          <w:marBottom w:val="0"/>
          <w:divBdr>
            <w:top w:val="none" w:sz="0" w:space="0" w:color="auto"/>
            <w:left w:val="none" w:sz="0" w:space="0" w:color="auto"/>
            <w:bottom w:val="none" w:sz="0" w:space="0" w:color="auto"/>
            <w:right w:val="none" w:sz="0" w:space="0" w:color="auto"/>
          </w:divBdr>
        </w:div>
        <w:div w:id="663583096">
          <w:marLeft w:val="0"/>
          <w:marRight w:val="0"/>
          <w:marTop w:val="0"/>
          <w:marBottom w:val="0"/>
          <w:divBdr>
            <w:top w:val="none" w:sz="0" w:space="0" w:color="auto"/>
            <w:left w:val="none" w:sz="0" w:space="0" w:color="auto"/>
            <w:bottom w:val="none" w:sz="0" w:space="0" w:color="auto"/>
            <w:right w:val="none" w:sz="0" w:space="0" w:color="auto"/>
          </w:divBdr>
        </w:div>
        <w:div w:id="569854145">
          <w:marLeft w:val="0"/>
          <w:marRight w:val="0"/>
          <w:marTop w:val="0"/>
          <w:marBottom w:val="0"/>
          <w:divBdr>
            <w:top w:val="none" w:sz="0" w:space="0" w:color="auto"/>
            <w:left w:val="none" w:sz="0" w:space="0" w:color="auto"/>
            <w:bottom w:val="none" w:sz="0" w:space="0" w:color="auto"/>
            <w:right w:val="none" w:sz="0" w:space="0" w:color="auto"/>
          </w:divBdr>
        </w:div>
        <w:div w:id="873155523">
          <w:marLeft w:val="0"/>
          <w:marRight w:val="0"/>
          <w:marTop w:val="0"/>
          <w:marBottom w:val="0"/>
          <w:divBdr>
            <w:top w:val="none" w:sz="0" w:space="0" w:color="auto"/>
            <w:left w:val="none" w:sz="0" w:space="0" w:color="auto"/>
            <w:bottom w:val="none" w:sz="0" w:space="0" w:color="auto"/>
            <w:right w:val="none" w:sz="0" w:space="0" w:color="auto"/>
          </w:divBdr>
        </w:div>
        <w:div w:id="141850649">
          <w:marLeft w:val="0"/>
          <w:marRight w:val="0"/>
          <w:marTop w:val="0"/>
          <w:marBottom w:val="0"/>
          <w:divBdr>
            <w:top w:val="none" w:sz="0" w:space="0" w:color="auto"/>
            <w:left w:val="none" w:sz="0" w:space="0" w:color="auto"/>
            <w:bottom w:val="none" w:sz="0" w:space="0" w:color="auto"/>
            <w:right w:val="none" w:sz="0" w:space="0" w:color="auto"/>
          </w:divBdr>
        </w:div>
        <w:div w:id="1912692052">
          <w:marLeft w:val="0"/>
          <w:marRight w:val="0"/>
          <w:marTop w:val="0"/>
          <w:marBottom w:val="0"/>
          <w:divBdr>
            <w:top w:val="none" w:sz="0" w:space="0" w:color="auto"/>
            <w:left w:val="none" w:sz="0" w:space="0" w:color="auto"/>
            <w:bottom w:val="none" w:sz="0" w:space="0" w:color="auto"/>
            <w:right w:val="none" w:sz="0" w:space="0" w:color="auto"/>
          </w:divBdr>
        </w:div>
        <w:div w:id="198789076">
          <w:marLeft w:val="0"/>
          <w:marRight w:val="0"/>
          <w:marTop w:val="0"/>
          <w:marBottom w:val="0"/>
          <w:divBdr>
            <w:top w:val="none" w:sz="0" w:space="0" w:color="auto"/>
            <w:left w:val="none" w:sz="0" w:space="0" w:color="auto"/>
            <w:bottom w:val="none" w:sz="0" w:space="0" w:color="auto"/>
            <w:right w:val="none" w:sz="0" w:space="0" w:color="auto"/>
          </w:divBdr>
        </w:div>
        <w:div w:id="1023287179">
          <w:marLeft w:val="0"/>
          <w:marRight w:val="0"/>
          <w:marTop w:val="0"/>
          <w:marBottom w:val="0"/>
          <w:divBdr>
            <w:top w:val="none" w:sz="0" w:space="0" w:color="auto"/>
            <w:left w:val="none" w:sz="0" w:space="0" w:color="auto"/>
            <w:bottom w:val="none" w:sz="0" w:space="0" w:color="auto"/>
            <w:right w:val="none" w:sz="0" w:space="0" w:color="auto"/>
          </w:divBdr>
        </w:div>
        <w:div w:id="501120661">
          <w:marLeft w:val="0"/>
          <w:marRight w:val="0"/>
          <w:marTop w:val="0"/>
          <w:marBottom w:val="0"/>
          <w:divBdr>
            <w:top w:val="none" w:sz="0" w:space="0" w:color="auto"/>
            <w:left w:val="none" w:sz="0" w:space="0" w:color="auto"/>
            <w:bottom w:val="none" w:sz="0" w:space="0" w:color="auto"/>
            <w:right w:val="none" w:sz="0" w:space="0" w:color="auto"/>
          </w:divBdr>
        </w:div>
        <w:div w:id="922763623">
          <w:marLeft w:val="0"/>
          <w:marRight w:val="0"/>
          <w:marTop w:val="0"/>
          <w:marBottom w:val="0"/>
          <w:divBdr>
            <w:top w:val="none" w:sz="0" w:space="0" w:color="auto"/>
            <w:left w:val="none" w:sz="0" w:space="0" w:color="auto"/>
            <w:bottom w:val="none" w:sz="0" w:space="0" w:color="auto"/>
            <w:right w:val="none" w:sz="0" w:space="0" w:color="auto"/>
          </w:divBdr>
        </w:div>
        <w:div w:id="725834562">
          <w:marLeft w:val="0"/>
          <w:marRight w:val="0"/>
          <w:marTop w:val="0"/>
          <w:marBottom w:val="0"/>
          <w:divBdr>
            <w:top w:val="none" w:sz="0" w:space="0" w:color="auto"/>
            <w:left w:val="none" w:sz="0" w:space="0" w:color="auto"/>
            <w:bottom w:val="none" w:sz="0" w:space="0" w:color="auto"/>
            <w:right w:val="none" w:sz="0" w:space="0" w:color="auto"/>
          </w:divBdr>
        </w:div>
        <w:div w:id="568421451">
          <w:marLeft w:val="0"/>
          <w:marRight w:val="0"/>
          <w:marTop w:val="0"/>
          <w:marBottom w:val="0"/>
          <w:divBdr>
            <w:top w:val="none" w:sz="0" w:space="0" w:color="auto"/>
            <w:left w:val="none" w:sz="0" w:space="0" w:color="auto"/>
            <w:bottom w:val="none" w:sz="0" w:space="0" w:color="auto"/>
            <w:right w:val="none" w:sz="0" w:space="0" w:color="auto"/>
          </w:divBdr>
        </w:div>
        <w:div w:id="628321872">
          <w:marLeft w:val="0"/>
          <w:marRight w:val="0"/>
          <w:marTop w:val="0"/>
          <w:marBottom w:val="0"/>
          <w:divBdr>
            <w:top w:val="none" w:sz="0" w:space="0" w:color="auto"/>
            <w:left w:val="none" w:sz="0" w:space="0" w:color="auto"/>
            <w:bottom w:val="none" w:sz="0" w:space="0" w:color="auto"/>
            <w:right w:val="none" w:sz="0" w:space="0" w:color="auto"/>
          </w:divBdr>
        </w:div>
        <w:div w:id="501241822">
          <w:marLeft w:val="0"/>
          <w:marRight w:val="0"/>
          <w:marTop w:val="0"/>
          <w:marBottom w:val="0"/>
          <w:divBdr>
            <w:top w:val="none" w:sz="0" w:space="0" w:color="auto"/>
            <w:left w:val="none" w:sz="0" w:space="0" w:color="auto"/>
            <w:bottom w:val="none" w:sz="0" w:space="0" w:color="auto"/>
            <w:right w:val="none" w:sz="0" w:space="0" w:color="auto"/>
          </w:divBdr>
        </w:div>
        <w:div w:id="1928348579">
          <w:marLeft w:val="0"/>
          <w:marRight w:val="0"/>
          <w:marTop w:val="0"/>
          <w:marBottom w:val="0"/>
          <w:divBdr>
            <w:top w:val="none" w:sz="0" w:space="0" w:color="auto"/>
            <w:left w:val="none" w:sz="0" w:space="0" w:color="auto"/>
            <w:bottom w:val="none" w:sz="0" w:space="0" w:color="auto"/>
            <w:right w:val="none" w:sz="0" w:space="0" w:color="auto"/>
          </w:divBdr>
        </w:div>
        <w:div w:id="1326861767">
          <w:marLeft w:val="0"/>
          <w:marRight w:val="0"/>
          <w:marTop w:val="0"/>
          <w:marBottom w:val="0"/>
          <w:divBdr>
            <w:top w:val="none" w:sz="0" w:space="0" w:color="auto"/>
            <w:left w:val="none" w:sz="0" w:space="0" w:color="auto"/>
            <w:bottom w:val="none" w:sz="0" w:space="0" w:color="auto"/>
            <w:right w:val="none" w:sz="0" w:space="0" w:color="auto"/>
          </w:divBdr>
        </w:div>
        <w:div w:id="1464691085">
          <w:marLeft w:val="0"/>
          <w:marRight w:val="0"/>
          <w:marTop w:val="0"/>
          <w:marBottom w:val="0"/>
          <w:divBdr>
            <w:top w:val="none" w:sz="0" w:space="0" w:color="auto"/>
            <w:left w:val="none" w:sz="0" w:space="0" w:color="auto"/>
            <w:bottom w:val="none" w:sz="0" w:space="0" w:color="auto"/>
            <w:right w:val="none" w:sz="0" w:space="0" w:color="auto"/>
          </w:divBdr>
        </w:div>
      </w:divsChild>
    </w:div>
    <w:div w:id="1989050160">
      <w:bodyDiv w:val="1"/>
      <w:marLeft w:val="0"/>
      <w:marRight w:val="0"/>
      <w:marTop w:val="0"/>
      <w:marBottom w:val="0"/>
      <w:divBdr>
        <w:top w:val="none" w:sz="0" w:space="0" w:color="auto"/>
        <w:left w:val="none" w:sz="0" w:space="0" w:color="auto"/>
        <w:bottom w:val="none" w:sz="0" w:space="0" w:color="auto"/>
        <w:right w:val="none" w:sz="0" w:space="0" w:color="auto"/>
      </w:divBdr>
    </w:div>
    <w:div w:id="1989674065">
      <w:bodyDiv w:val="1"/>
      <w:marLeft w:val="0"/>
      <w:marRight w:val="0"/>
      <w:marTop w:val="0"/>
      <w:marBottom w:val="0"/>
      <w:divBdr>
        <w:top w:val="none" w:sz="0" w:space="0" w:color="auto"/>
        <w:left w:val="none" w:sz="0" w:space="0" w:color="auto"/>
        <w:bottom w:val="none" w:sz="0" w:space="0" w:color="auto"/>
        <w:right w:val="none" w:sz="0" w:space="0" w:color="auto"/>
      </w:divBdr>
    </w:div>
    <w:div w:id="2001035827">
      <w:bodyDiv w:val="1"/>
      <w:marLeft w:val="0"/>
      <w:marRight w:val="0"/>
      <w:marTop w:val="0"/>
      <w:marBottom w:val="0"/>
      <w:divBdr>
        <w:top w:val="none" w:sz="0" w:space="0" w:color="auto"/>
        <w:left w:val="none" w:sz="0" w:space="0" w:color="auto"/>
        <w:bottom w:val="none" w:sz="0" w:space="0" w:color="auto"/>
        <w:right w:val="none" w:sz="0" w:space="0" w:color="auto"/>
      </w:divBdr>
    </w:div>
    <w:div w:id="2006203190">
      <w:bodyDiv w:val="1"/>
      <w:marLeft w:val="0"/>
      <w:marRight w:val="0"/>
      <w:marTop w:val="0"/>
      <w:marBottom w:val="0"/>
      <w:divBdr>
        <w:top w:val="none" w:sz="0" w:space="0" w:color="auto"/>
        <w:left w:val="none" w:sz="0" w:space="0" w:color="auto"/>
        <w:bottom w:val="none" w:sz="0" w:space="0" w:color="auto"/>
        <w:right w:val="none" w:sz="0" w:space="0" w:color="auto"/>
      </w:divBdr>
    </w:div>
    <w:div w:id="2010519166">
      <w:bodyDiv w:val="1"/>
      <w:marLeft w:val="0"/>
      <w:marRight w:val="0"/>
      <w:marTop w:val="0"/>
      <w:marBottom w:val="0"/>
      <w:divBdr>
        <w:top w:val="none" w:sz="0" w:space="0" w:color="auto"/>
        <w:left w:val="none" w:sz="0" w:space="0" w:color="auto"/>
        <w:bottom w:val="none" w:sz="0" w:space="0" w:color="auto"/>
        <w:right w:val="none" w:sz="0" w:space="0" w:color="auto"/>
      </w:divBdr>
    </w:div>
    <w:div w:id="2019039012">
      <w:bodyDiv w:val="1"/>
      <w:marLeft w:val="0"/>
      <w:marRight w:val="0"/>
      <w:marTop w:val="0"/>
      <w:marBottom w:val="0"/>
      <w:divBdr>
        <w:top w:val="none" w:sz="0" w:space="0" w:color="auto"/>
        <w:left w:val="none" w:sz="0" w:space="0" w:color="auto"/>
        <w:bottom w:val="none" w:sz="0" w:space="0" w:color="auto"/>
        <w:right w:val="none" w:sz="0" w:space="0" w:color="auto"/>
      </w:divBdr>
    </w:div>
    <w:div w:id="2032562471">
      <w:bodyDiv w:val="1"/>
      <w:marLeft w:val="0"/>
      <w:marRight w:val="0"/>
      <w:marTop w:val="0"/>
      <w:marBottom w:val="0"/>
      <w:divBdr>
        <w:top w:val="none" w:sz="0" w:space="0" w:color="auto"/>
        <w:left w:val="none" w:sz="0" w:space="0" w:color="auto"/>
        <w:bottom w:val="none" w:sz="0" w:space="0" w:color="auto"/>
        <w:right w:val="none" w:sz="0" w:space="0" w:color="auto"/>
      </w:divBdr>
    </w:div>
    <w:div w:id="2043509094">
      <w:bodyDiv w:val="1"/>
      <w:marLeft w:val="0"/>
      <w:marRight w:val="0"/>
      <w:marTop w:val="0"/>
      <w:marBottom w:val="0"/>
      <w:divBdr>
        <w:top w:val="none" w:sz="0" w:space="0" w:color="auto"/>
        <w:left w:val="none" w:sz="0" w:space="0" w:color="auto"/>
        <w:bottom w:val="none" w:sz="0" w:space="0" w:color="auto"/>
        <w:right w:val="none" w:sz="0" w:space="0" w:color="auto"/>
      </w:divBdr>
    </w:div>
    <w:div w:id="2058972989">
      <w:bodyDiv w:val="1"/>
      <w:marLeft w:val="0"/>
      <w:marRight w:val="0"/>
      <w:marTop w:val="0"/>
      <w:marBottom w:val="0"/>
      <w:divBdr>
        <w:top w:val="none" w:sz="0" w:space="0" w:color="auto"/>
        <w:left w:val="none" w:sz="0" w:space="0" w:color="auto"/>
        <w:bottom w:val="none" w:sz="0" w:space="0" w:color="auto"/>
        <w:right w:val="none" w:sz="0" w:space="0" w:color="auto"/>
      </w:divBdr>
    </w:div>
    <w:div w:id="2062703777">
      <w:bodyDiv w:val="1"/>
      <w:marLeft w:val="0"/>
      <w:marRight w:val="0"/>
      <w:marTop w:val="0"/>
      <w:marBottom w:val="0"/>
      <w:divBdr>
        <w:top w:val="none" w:sz="0" w:space="0" w:color="auto"/>
        <w:left w:val="none" w:sz="0" w:space="0" w:color="auto"/>
        <w:bottom w:val="none" w:sz="0" w:space="0" w:color="auto"/>
        <w:right w:val="none" w:sz="0" w:space="0" w:color="auto"/>
      </w:divBdr>
    </w:div>
    <w:div w:id="2069526053">
      <w:bodyDiv w:val="1"/>
      <w:marLeft w:val="0"/>
      <w:marRight w:val="0"/>
      <w:marTop w:val="0"/>
      <w:marBottom w:val="0"/>
      <w:divBdr>
        <w:top w:val="none" w:sz="0" w:space="0" w:color="auto"/>
        <w:left w:val="none" w:sz="0" w:space="0" w:color="auto"/>
        <w:bottom w:val="none" w:sz="0" w:space="0" w:color="auto"/>
        <w:right w:val="none" w:sz="0" w:space="0" w:color="auto"/>
      </w:divBdr>
    </w:div>
    <w:div w:id="2070033734">
      <w:bodyDiv w:val="1"/>
      <w:marLeft w:val="0"/>
      <w:marRight w:val="0"/>
      <w:marTop w:val="0"/>
      <w:marBottom w:val="0"/>
      <w:divBdr>
        <w:top w:val="none" w:sz="0" w:space="0" w:color="auto"/>
        <w:left w:val="none" w:sz="0" w:space="0" w:color="auto"/>
        <w:bottom w:val="none" w:sz="0" w:space="0" w:color="auto"/>
        <w:right w:val="none" w:sz="0" w:space="0" w:color="auto"/>
      </w:divBdr>
    </w:div>
    <w:div w:id="2076276724">
      <w:bodyDiv w:val="1"/>
      <w:marLeft w:val="0"/>
      <w:marRight w:val="0"/>
      <w:marTop w:val="0"/>
      <w:marBottom w:val="0"/>
      <w:divBdr>
        <w:top w:val="none" w:sz="0" w:space="0" w:color="auto"/>
        <w:left w:val="none" w:sz="0" w:space="0" w:color="auto"/>
        <w:bottom w:val="none" w:sz="0" w:space="0" w:color="auto"/>
        <w:right w:val="none" w:sz="0" w:space="0" w:color="auto"/>
      </w:divBdr>
    </w:div>
    <w:div w:id="2077437861">
      <w:bodyDiv w:val="1"/>
      <w:marLeft w:val="0"/>
      <w:marRight w:val="0"/>
      <w:marTop w:val="0"/>
      <w:marBottom w:val="0"/>
      <w:divBdr>
        <w:top w:val="none" w:sz="0" w:space="0" w:color="auto"/>
        <w:left w:val="none" w:sz="0" w:space="0" w:color="auto"/>
        <w:bottom w:val="none" w:sz="0" w:space="0" w:color="auto"/>
        <w:right w:val="none" w:sz="0" w:space="0" w:color="auto"/>
      </w:divBdr>
    </w:div>
    <w:div w:id="2081828334">
      <w:bodyDiv w:val="1"/>
      <w:marLeft w:val="0"/>
      <w:marRight w:val="0"/>
      <w:marTop w:val="0"/>
      <w:marBottom w:val="0"/>
      <w:divBdr>
        <w:top w:val="none" w:sz="0" w:space="0" w:color="auto"/>
        <w:left w:val="none" w:sz="0" w:space="0" w:color="auto"/>
        <w:bottom w:val="none" w:sz="0" w:space="0" w:color="auto"/>
        <w:right w:val="none" w:sz="0" w:space="0" w:color="auto"/>
      </w:divBdr>
    </w:div>
    <w:div w:id="2086754072">
      <w:bodyDiv w:val="1"/>
      <w:marLeft w:val="0"/>
      <w:marRight w:val="0"/>
      <w:marTop w:val="0"/>
      <w:marBottom w:val="0"/>
      <w:divBdr>
        <w:top w:val="none" w:sz="0" w:space="0" w:color="auto"/>
        <w:left w:val="none" w:sz="0" w:space="0" w:color="auto"/>
        <w:bottom w:val="none" w:sz="0" w:space="0" w:color="auto"/>
        <w:right w:val="none" w:sz="0" w:space="0" w:color="auto"/>
      </w:divBdr>
    </w:div>
    <w:div w:id="2093113170">
      <w:bodyDiv w:val="1"/>
      <w:marLeft w:val="0"/>
      <w:marRight w:val="0"/>
      <w:marTop w:val="0"/>
      <w:marBottom w:val="0"/>
      <w:divBdr>
        <w:top w:val="none" w:sz="0" w:space="0" w:color="auto"/>
        <w:left w:val="none" w:sz="0" w:space="0" w:color="auto"/>
        <w:bottom w:val="none" w:sz="0" w:space="0" w:color="auto"/>
        <w:right w:val="none" w:sz="0" w:space="0" w:color="auto"/>
      </w:divBdr>
    </w:div>
    <w:div w:id="2094156585">
      <w:bodyDiv w:val="1"/>
      <w:marLeft w:val="0"/>
      <w:marRight w:val="0"/>
      <w:marTop w:val="0"/>
      <w:marBottom w:val="0"/>
      <w:divBdr>
        <w:top w:val="none" w:sz="0" w:space="0" w:color="auto"/>
        <w:left w:val="none" w:sz="0" w:space="0" w:color="auto"/>
        <w:bottom w:val="none" w:sz="0" w:space="0" w:color="auto"/>
        <w:right w:val="none" w:sz="0" w:space="0" w:color="auto"/>
      </w:divBdr>
    </w:div>
    <w:div w:id="2095781174">
      <w:bodyDiv w:val="1"/>
      <w:marLeft w:val="0"/>
      <w:marRight w:val="0"/>
      <w:marTop w:val="0"/>
      <w:marBottom w:val="0"/>
      <w:divBdr>
        <w:top w:val="none" w:sz="0" w:space="0" w:color="auto"/>
        <w:left w:val="none" w:sz="0" w:space="0" w:color="auto"/>
        <w:bottom w:val="none" w:sz="0" w:space="0" w:color="auto"/>
        <w:right w:val="none" w:sz="0" w:space="0" w:color="auto"/>
      </w:divBdr>
    </w:div>
    <w:div w:id="2101944951">
      <w:bodyDiv w:val="1"/>
      <w:marLeft w:val="0"/>
      <w:marRight w:val="0"/>
      <w:marTop w:val="0"/>
      <w:marBottom w:val="0"/>
      <w:divBdr>
        <w:top w:val="none" w:sz="0" w:space="0" w:color="auto"/>
        <w:left w:val="none" w:sz="0" w:space="0" w:color="auto"/>
        <w:bottom w:val="none" w:sz="0" w:space="0" w:color="auto"/>
        <w:right w:val="none" w:sz="0" w:space="0" w:color="auto"/>
      </w:divBdr>
    </w:div>
    <w:div w:id="2108499564">
      <w:bodyDiv w:val="1"/>
      <w:marLeft w:val="0"/>
      <w:marRight w:val="0"/>
      <w:marTop w:val="0"/>
      <w:marBottom w:val="0"/>
      <w:divBdr>
        <w:top w:val="none" w:sz="0" w:space="0" w:color="auto"/>
        <w:left w:val="none" w:sz="0" w:space="0" w:color="auto"/>
        <w:bottom w:val="none" w:sz="0" w:space="0" w:color="auto"/>
        <w:right w:val="none" w:sz="0" w:space="0" w:color="auto"/>
      </w:divBdr>
    </w:div>
    <w:div w:id="2111001513">
      <w:bodyDiv w:val="1"/>
      <w:marLeft w:val="0"/>
      <w:marRight w:val="0"/>
      <w:marTop w:val="0"/>
      <w:marBottom w:val="0"/>
      <w:divBdr>
        <w:top w:val="none" w:sz="0" w:space="0" w:color="auto"/>
        <w:left w:val="none" w:sz="0" w:space="0" w:color="auto"/>
        <w:bottom w:val="none" w:sz="0" w:space="0" w:color="auto"/>
        <w:right w:val="none" w:sz="0" w:space="0" w:color="auto"/>
      </w:divBdr>
    </w:div>
    <w:div w:id="2114086137">
      <w:bodyDiv w:val="1"/>
      <w:marLeft w:val="0"/>
      <w:marRight w:val="0"/>
      <w:marTop w:val="0"/>
      <w:marBottom w:val="0"/>
      <w:divBdr>
        <w:top w:val="none" w:sz="0" w:space="0" w:color="auto"/>
        <w:left w:val="none" w:sz="0" w:space="0" w:color="auto"/>
        <w:bottom w:val="none" w:sz="0" w:space="0" w:color="auto"/>
        <w:right w:val="none" w:sz="0" w:space="0" w:color="auto"/>
      </w:divBdr>
    </w:div>
    <w:div w:id="2117214423">
      <w:bodyDiv w:val="1"/>
      <w:marLeft w:val="0"/>
      <w:marRight w:val="0"/>
      <w:marTop w:val="0"/>
      <w:marBottom w:val="0"/>
      <w:divBdr>
        <w:top w:val="none" w:sz="0" w:space="0" w:color="auto"/>
        <w:left w:val="none" w:sz="0" w:space="0" w:color="auto"/>
        <w:bottom w:val="none" w:sz="0" w:space="0" w:color="auto"/>
        <w:right w:val="none" w:sz="0" w:space="0" w:color="auto"/>
      </w:divBdr>
    </w:div>
    <w:div w:id="2118405660">
      <w:bodyDiv w:val="1"/>
      <w:marLeft w:val="0"/>
      <w:marRight w:val="0"/>
      <w:marTop w:val="0"/>
      <w:marBottom w:val="0"/>
      <w:divBdr>
        <w:top w:val="none" w:sz="0" w:space="0" w:color="auto"/>
        <w:left w:val="none" w:sz="0" w:space="0" w:color="auto"/>
        <w:bottom w:val="none" w:sz="0" w:space="0" w:color="auto"/>
        <w:right w:val="none" w:sz="0" w:space="0" w:color="auto"/>
      </w:divBdr>
    </w:div>
    <w:div w:id="2121993258">
      <w:bodyDiv w:val="1"/>
      <w:marLeft w:val="0"/>
      <w:marRight w:val="0"/>
      <w:marTop w:val="0"/>
      <w:marBottom w:val="0"/>
      <w:divBdr>
        <w:top w:val="none" w:sz="0" w:space="0" w:color="auto"/>
        <w:left w:val="none" w:sz="0" w:space="0" w:color="auto"/>
        <w:bottom w:val="none" w:sz="0" w:space="0" w:color="auto"/>
        <w:right w:val="none" w:sz="0" w:space="0" w:color="auto"/>
      </w:divBdr>
    </w:div>
    <w:div w:id="2125996395">
      <w:bodyDiv w:val="1"/>
      <w:marLeft w:val="0"/>
      <w:marRight w:val="0"/>
      <w:marTop w:val="0"/>
      <w:marBottom w:val="0"/>
      <w:divBdr>
        <w:top w:val="none" w:sz="0" w:space="0" w:color="auto"/>
        <w:left w:val="none" w:sz="0" w:space="0" w:color="auto"/>
        <w:bottom w:val="none" w:sz="0" w:space="0" w:color="auto"/>
        <w:right w:val="none" w:sz="0" w:space="0" w:color="auto"/>
      </w:divBdr>
    </w:div>
    <w:div w:id="2128960654">
      <w:bodyDiv w:val="1"/>
      <w:marLeft w:val="0"/>
      <w:marRight w:val="0"/>
      <w:marTop w:val="0"/>
      <w:marBottom w:val="0"/>
      <w:divBdr>
        <w:top w:val="none" w:sz="0" w:space="0" w:color="auto"/>
        <w:left w:val="none" w:sz="0" w:space="0" w:color="auto"/>
        <w:bottom w:val="none" w:sz="0" w:space="0" w:color="auto"/>
        <w:right w:val="none" w:sz="0" w:space="0" w:color="auto"/>
      </w:divBdr>
    </w:div>
    <w:div w:id="2132698345">
      <w:bodyDiv w:val="1"/>
      <w:marLeft w:val="0"/>
      <w:marRight w:val="0"/>
      <w:marTop w:val="0"/>
      <w:marBottom w:val="0"/>
      <w:divBdr>
        <w:top w:val="none" w:sz="0" w:space="0" w:color="auto"/>
        <w:left w:val="none" w:sz="0" w:space="0" w:color="auto"/>
        <w:bottom w:val="none" w:sz="0" w:space="0" w:color="auto"/>
        <w:right w:val="none" w:sz="0" w:space="0" w:color="auto"/>
      </w:divBdr>
    </w:div>
    <w:div w:id="2133598406">
      <w:bodyDiv w:val="1"/>
      <w:marLeft w:val="0"/>
      <w:marRight w:val="0"/>
      <w:marTop w:val="0"/>
      <w:marBottom w:val="0"/>
      <w:divBdr>
        <w:top w:val="none" w:sz="0" w:space="0" w:color="auto"/>
        <w:left w:val="none" w:sz="0" w:space="0" w:color="auto"/>
        <w:bottom w:val="none" w:sz="0" w:space="0" w:color="auto"/>
        <w:right w:val="none" w:sz="0" w:space="0" w:color="auto"/>
      </w:divBdr>
    </w:div>
    <w:div w:id="2135059502">
      <w:bodyDiv w:val="1"/>
      <w:marLeft w:val="0"/>
      <w:marRight w:val="0"/>
      <w:marTop w:val="0"/>
      <w:marBottom w:val="0"/>
      <w:divBdr>
        <w:top w:val="none" w:sz="0" w:space="0" w:color="auto"/>
        <w:left w:val="none" w:sz="0" w:space="0" w:color="auto"/>
        <w:bottom w:val="none" w:sz="0" w:space="0" w:color="auto"/>
        <w:right w:val="none" w:sz="0" w:space="0" w:color="auto"/>
      </w:divBdr>
    </w:div>
    <w:div w:id="2137287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www.moneysupermarket.com/gas-and-electricity/energy-price-cap/" TargetMode="External"/><Relationship Id="rId26" Type="http://schemas.openxmlformats.org/officeDocument/2006/relationships/image" Target="media/image17.jpeg"/><Relationship Id="rId39" Type="http://schemas.openxmlformats.org/officeDocument/2006/relationships/hyperlink" Target="mailto:met-tr.members-medway@nhs.net" TargetMode="Externa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29.png"/><Relationship Id="rId47" Type="http://schemas.openxmlformats.org/officeDocument/2006/relationships/image" Target="media/image31.jpeg"/><Relationship Id="rId50" Type="http://schemas.openxmlformats.org/officeDocument/2006/relationships/image" Target="media/image3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0.jpeg"/><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hyperlink" Target="https://www.medway.nhs.uk/work-with-us/volunteering/" TargetMode="External"/><Relationship Id="rId40" Type="http://schemas.openxmlformats.org/officeDocument/2006/relationships/hyperlink" Target="http://www.medway.nhs.uk" TargetMode="External"/><Relationship Id="rId45" Type="http://schemas.openxmlformats.org/officeDocument/2006/relationships/footer" Target="footer1.xm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emf"/><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hyperlink" Target="http://www.frc.org.uk/auditorsresponsibilities"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hyperlink" Target="mailto:medwayft.trustsecretary@nhs.net" TargetMode="External"/><Relationship Id="rId48"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image" Target="media/image33.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www.gov.uk/guidance/combined-heat-and-power" TargetMode="External"/><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hyperlink" Target="https://www.medway.nhs.uk/work-with-us/volunteering/" TargetMode="External"/><Relationship Id="rId46" Type="http://schemas.openxmlformats.org/officeDocument/2006/relationships/image" Target="media/image30.jpeg"/><Relationship Id="rId20" Type="http://schemas.openxmlformats.org/officeDocument/2006/relationships/image" Target="media/image11.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386802-8BEA-4CF5-AD02-A9B37058B2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139</Pages>
  <Words>55146</Words>
  <Characters>314333</Characters>
  <Application>Microsoft Office Word</Application>
  <DocSecurity>0</DocSecurity>
  <Lines>2619</Lines>
  <Paragraphs>737</Paragraphs>
  <ScaleCrop>false</ScaleCrop>
  <HeadingPairs>
    <vt:vector size="2" baseType="variant">
      <vt:variant>
        <vt:lpstr>Title</vt:lpstr>
      </vt:variant>
      <vt:variant>
        <vt:i4>1</vt:i4>
      </vt:variant>
    </vt:vector>
  </HeadingPairs>
  <TitlesOfParts>
    <vt:vector size="1" baseType="lpstr">
      <vt:lpstr/>
    </vt:vector>
  </TitlesOfParts>
  <Company>Medway NHS Foundation Trust</Company>
  <LinksUpToDate>false</LinksUpToDate>
  <CharactersWithSpaces>368742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Capper</dc:creator>
  <cp:keywords/>
  <dc:description/>
  <cp:lastModifiedBy>LEE, Nina (MEDWAY NHS FOUNDATION TRUST)</cp:lastModifiedBy>
  <cp:revision>4</cp:revision>
  <cp:lastPrinted>2024-05-15T07:53:00Z</cp:lastPrinted>
  <dcterms:created xsi:type="dcterms:W3CDTF">2025-06-26T08:58:00Z</dcterms:created>
  <dcterms:modified xsi:type="dcterms:W3CDTF">2025-09-17T09:42:00Z</dcterms:modified>
</cp:coreProperties>
</file>