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1C5F" w14:textId="77777777" w:rsidR="00F0075C" w:rsidRPr="00817662" w:rsidRDefault="00F0075C" w:rsidP="00F0075C">
      <w:pPr>
        <w:pStyle w:val="Title"/>
        <w:jc w:val="left"/>
        <w:rPr>
          <w:rFonts w:cs="Arial"/>
          <w:bCs/>
          <w:caps/>
          <w:color w:val="365F91" w:themeColor="accent1" w:themeShade="BF"/>
          <w:kern w:val="32"/>
          <w:sz w:val="22"/>
          <w:szCs w:val="22"/>
        </w:rPr>
      </w:pPr>
      <w:r w:rsidRPr="00817662">
        <w:rPr>
          <w:rFonts w:cs="Arial"/>
          <w:bCs/>
          <w:caps/>
          <w:color w:val="365F91" w:themeColor="accent1" w:themeShade="BF"/>
          <w:kern w:val="32"/>
          <w:sz w:val="22"/>
          <w:szCs w:val="22"/>
        </w:rPr>
        <w:t xml:space="preserve">Appendix </w:t>
      </w:r>
      <w:r w:rsidR="006118CB">
        <w:rPr>
          <w:rFonts w:cs="Arial"/>
          <w:bCs/>
          <w:caps/>
          <w:color w:val="365F91" w:themeColor="accent1" w:themeShade="BF"/>
          <w:kern w:val="32"/>
          <w:sz w:val="22"/>
          <w:szCs w:val="22"/>
        </w:rPr>
        <w:t>2</w:t>
      </w:r>
    </w:p>
    <w:p w14:paraId="143F5CE1" w14:textId="77777777" w:rsidR="00F0075C" w:rsidRPr="00817662" w:rsidRDefault="00F0075C" w:rsidP="00F0075C">
      <w:pPr>
        <w:pStyle w:val="Title"/>
        <w:jc w:val="left"/>
        <w:rPr>
          <w:rFonts w:cs="Arial"/>
          <w:sz w:val="22"/>
          <w:szCs w:val="22"/>
        </w:rPr>
      </w:pPr>
    </w:p>
    <w:p w14:paraId="5DDADA96" w14:textId="77777777" w:rsidR="00F0075C" w:rsidRPr="00817662" w:rsidRDefault="00F0075C" w:rsidP="00F0075C">
      <w:pPr>
        <w:pStyle w:val="Title"/>
        <w:jc w:val="left"/>
        <w:rPr>
          <w:rFonts w:cs="Arial"/>
          <w:sz w:val="22"/>
          <w:szCs w:val="22"/>
        </w:rPr>
      </w:pPr>
      <w:r w:rsidRPr="00817662">
        <w:rPr>
          <w:rFonts w:cs="Arial"/>
          <w:sz w:val="22"/>
          <w:szCs w:val="22"/>
        </w:rPr>
        <w:t>Meeting of the People Committee 31 July 202</w:t>
      </w:r>
      <w:r w:rsidR="00EB067A">
        <w:rPr>
          <w:rFonts w:cs="Arial"/>
          <w:sz w:val="22"/>
          <w:szCs w:val="22"/>
        </w:rPr>
        <w:t>5</w:t>
      </w:r>
    </w:p>
    <w:p w14:paraId="300084D5" w14:textId="77777777" w:rsidR="00F0075C" w:rsidRPr="00817662" w:rsidRDefault="00F0075C" w:rsidP="00F0075C">
      <w:pPr>
        <w:pStyle w:val="Title"/>
        <w:jc w:val="left"/>
        <w:rPr>
          <w:rFonts w:cs="Arial"/>
          <w:sz w:val="22"/>
          <w:szCs w:val="22"/>
        </w:rPr>
      </w:pPr>
    </w:p>
    <w:p w14:paraId="1EF4BF24" w14:textId="77777777" w:rsidR="00F0075C" w:rsidRPr="00817662" w:rsidRDefault="00F0075C" w:rsidP="00F0075C">
      <w:pPr>
        <w:pStyle w:val="Title"/>
        <w:jc w:val="left"/>
        <w:rPr>
          <w:rFonts w:cs="Arial"/>
          <w:bCs/>
          <w:caps/>
          <w:color w:val="365F91" w:themeColor="accent1" w:themeShade="BF"/>
          <w:kern w:val="32"/>
          <w:sz w:val="22"/>
          <w:szCs w:val="22"/>
        </w:rPr>
      </w:pPr>
      <w:r w:rsidRPr="00817662">
        <w:rPr>
          <w:rFonts w:cs="Arial"/>
          <w:bCs/>
          <w:caps/>
          <w:color w:val="365F91" w:themeColor="accent1" w:themeShade="BF"/>
          <w:kern w:val="32"/>
          <w:sz w:val="22"/>
          <w:szCs w:val="22"/>
        </w:rPr>
        <w:t>Workforce Race Equality Standard Data Report for 202</w:t>
      </w:r>
      <w:r w:rsidR="00EB067A">
        <w:rPr>
          <w:rFonts w:cs="Arial"/>
          <w:bCs/>
          <w:caps/>
          <w:color w:val="365F91" w:themeColor="accent1" w:themeShade="BF"/>
          <w:kern w:val="32"/>
          <w:sz w:val="22"/>
          <w:szCs w:val="22"/>
        </w:rPr>
        <w:t>5</w:t>
      </w:r>
    </w:p>
    <w:p w14:paraId="2E5580CD" w14:textId="77777777" w:rsidR="00F0075C" w:rsidRPr="00817662" w:rsidRDefault="00F0075C" w:rsidP="00F0075C">
      <w:pPr>
        <w:pStyle w:val="Title"/>
        <w:jc w:val="left"/>
        <w:rPr>
          <w:rFonts w:cs="Arial"/>
          <w:b w:val="0"/>
          <w:sz w:val="22"/>
          <w:szCs w:val="22"/>
        </w:rPr>
      </w:pPr>
    </w:p>
    <w:p w14:paraId="213AFF35" w14:textId="77777777" w:rsidR="00F0075C" w:rsidRPr="00817662" w:rsidRDefault="00F0075C" w:rsidP="00F0075C">
      <w:pPr>
        <w:pStyle w:val="Title"/>
        <w:tabs>
          <w:tab w:val="left" w:pos="3402"/>
        </w:tabs>
        <w:jc w:val="left"/>
        <w:rPr>
          <w:rFonts w:cs="Arial"/>
          <w:b w:val="0"/>
          <w:sz w:val="22"/>
          <w:szCs w:val="22"/>
        </w:rPr>
      </w:pPr>
      <w:r w:rsidRPr="00817662">
        <w:rPr>
          <w:rFonts w:cs="Arial"/>
          <w:b w:val="0"/>
          <w:sz w:val="22"/>
          <w:szCs w:val="22"/>
        </w:rPr>
        <w:t>Report Author</w:t>
      </w:r>
      <w:r w:rsidRPr="00817662">
        <w:rPr>
          <w:rFonts w:cs="Arial"/>
          <w:b w:val="0"/>
          <w:sz w:val="22"/>
          <w:szCs w:val="22"/>
        </w:rPr>
        <w:tab/>
        <w:t>Alister McClure, Head of Equality and Inclusion</w:t>
      </w:r>
    </w:p>
    <w:p w14:paraId="6F5D59B6" w14:textId="77777777" w:rsidR="00F0075C" w:rsidRPr="00817662" w:rsidRDefault="00F0075C" w:rsidP="00F0075C">
      <w:pPr>
        <w:pStyle w:val="Title"/>
        <w:tabs>
          <w:tab w:val="left" w:pos="3402"/>
        </w:tabs>
        <w:jc w:val="left"/>
        <w:rPr>
          <w:rFonts w:cs="Arial"/>
          <w:b w:val="0"/>
          <w:sz w:val="22"/>
          <w:szCs w:val="22"/>
        </w:rPr>
      </w:pPr>
    </w:p>
    <w:p w14:paraId="6B478391" w14:textId="77777777" w:rsidR="00F0075C" w:rsidRPr="00817662" w:rsidRDefault="00F0075C" w:rsidP="00F0075C">
      <w:pPr>
        <w:pStyle w:val="Title"/>
        <w:tabs>
          <w:tab w:val="left" w:pos="3402"/>
        </w:tabs>
        <w:jc w:val="left"/>
        <w:rPr>
          <w:rFonts w:cs="Arial"/>
          <w:b w:val="0"/>
          <w:sz w:val="22"/>
          <w:szCs w:val="22"/>
        </w:rPr>
      </w:pPr>
      <w:r w:rsidRPr="00817662">
        <w:rPr>
          <w:rFonts w:cs="Arial"/>
          <w:b w:val="0"/>
          <w:sz w:val="22"/>
          <w:szCs w:val="22"/>
        </w:rPr>
        <w:t>Lead Director</w:t>
      </w:r>
      <w:r w:rsidRPr="00817662">
        <w:rPr>
          <w:rFonts w:cs="Arial"/>
          <w:b w:val="0"/>
          <w:sz w:val="22"/>
          <w:szCs w:val="22"/>
        </w:rPr>
        <w:tab/>
      </w:r>
      <w:r w:rsidR="00EB067A">
        <w:rPr>
          <w:rFonts w:cs="Arial"/>
          <w:b w:val="0"/>
          <w:sz w:val="22"/>
          <w:szCs w:val="22"/>
        </w:rPr>
        <w:t>Sheridan</w:t>
      </w:r>
      <w:r w:rsidR="00897C27">
        <w:rPr>
          <w:rFonts w:cs="Arial"/>
          <w:b w:val="0"/>
          <w:sz w:val="22"/>
          <w:szCs w:val="22"/>
        </w:rPr>
        <w:t xml:space="preserve"> Flavin</w:t>
      </w:r>
      <w:r w:rsidRPr="00817662">
        <w:rPr>
          <w:rFonts w:cs="Arial"/>
          <w:b w:val="0"/>
          <w:sz w:val="22"/>
          <w:szCs w:val="22"/>
        </w:rPr>
        <w:t xml:space="preserve">, </w:t>
      </w:r>
      <w:r w:rsidR="00897C27">
        <w:rPr>
          <w:rFonts w:cs="Arial"/>
          <w:b w:val="0"/>
          <w:sz w:val="22"/>
          <w:szCs w:val="22"/>
        </w:rPr>
        <w:t xml:space="preserve">Interim </w:t>
      </w:r>
      <w:r w:rsidRPr="00817662">
        <w:rPr>
          <w:rFonts w:cs="Arial"/>
          <w:b w:val="0"/>
          <w:sz w:val="22"/>
          <w:szCs w:val="22"/>
        </w:rPr>
        <w:t>Chief People Officer</w:t>
      </w:r>
    </w:p>
    <w:p w14:paraId="318F3375" w14:textId="77777777" w:rsidR="00F0075C" w:rsidRPr="00817662" w:rsidRDefault="00F0075C" w:rsidP="00F0075C">
      <w:pPr>
        <w:pStyle w:val="Title"/>
        <w:jc w:val="left"/>
        <w:rPr>
          <w:rFonts w:cs="Arial"/>
          <w:b w:val="0"/>
          <w:sz w:val="22"/>
          <w:szCs w:val="22"/>
        </w:rPr>
      </w:pPr>
    </w:p>
    <w:p w14:paraId="5DB5EAFD" w14:textId="77777777" w:rsidR="00F0075C" w:rsidRPr="00817662" w:rsidRDefault="00F0075C" w:rsidP="00F0075C">
      <w:pPr>
        <w:pStyle w:val="Title"/>
        <w:jc w:val="left"/>
        <w:rPr>
          <w:rFonts w:cs="Arial"/>
          <w:b w:val="0"/>
          <w:sz w:val="22"/>
          <w:szCs w:val="22"/>
          <w:u w:val="single"/>
        </w:rPr>
      </w:pPr>
      <w:r w:rsidRPr="00817662">
        <w:rPr>
          <w:rFonts w:cs="Arial"/>
          <w:b w:val="0"/>
          <w:sz w:val="22"/>
          <w:szCs w:val="22"/>
          <w:u w:val="single"/>
        </w:rPr>
        <w:t>Executive Summary</w:t>
      </w:r>
    </w:p>
    <w:p w14:paraId="2704E3CC" w14:textId="77777777" w:rsidR="00F0075C" w:rsidRPr="00817662" w:rsidRDefault="00F0075C" w:rsidP="00F0075C">
      <w:pPr>
        <w:pStyle w:val="Title"/>
        <w:jc w:val="left"/>
        <w:rPr>
          <w:rFonts w:cs="Arial"/>
          <w:b w:val="0"/>
          <w:sz w:val="22"/>
          <w:szCs w:val="22"/>
        </w:rPr>
      </w:pPr>
    </w:p>
    <w:p w14:paraId="01A3D491" w14:textId="77777777" w:rsidR="00F0075C" w:rsidRPr="00817662" w:rsidRDefault="00F0075C" w:rsidP="00F0075C">
      <w:pPr>
        <w:spacing w:after="120"/>
        <w:ind w:left="709" w:right="260" w:hanging="709"/>
        <w:jc w:val="both"/>
        <w:rPr>
          <w:rFonts w:cs="Arial"/>
          <w:sz w:val="22"/>
          <w:szCs w:val="22"/>
        </w:rPr>
      </w:pPr>
      <w:r w:rsidRPr="00817662">
        <w:rPr>
          <w:rFonts w:cs="Arial"/>
          <w:sz w:val="22"/>
          <w:szCs w:val="22"/>
        </w:rPr>
        <w:t>1.1</w:t>
      </w:r>
      <w:r w:rsidRPr="00817662">
        <w:rPr>
          <w:rFonts w:cs="Arial"/>
          <w:sz w:val="22"/>
          <w:szCs w:val="22"/>
        </w:rPr>
        <w:tab/>
        <w:t xml:space="preserve">The main purpose of the Workforce Race Equality Standard (WRES) is: </w:t>
      </w:r>
    </w:p>
    <w:p w14:paraId="051E6EC9" w14:textId="77777777" w:rsidR="00F0075C" w:rsidRPr="00817662" w:rsidRDefault="00F0075C" w:rsidP="00F0075C">
      <w:pPr>
        <w:numPr>
          <w:ilvl w:val="2"/>
          <w:numId w:val="29"/>
        </w:numPr>
        <w:spacing w:after="120"/>
        <w:ind w:left="1225" w:right="260" w:hanging="505"/>
        <w:jc w:val="both"/>
        <w:rPr>
          <w:rFonts w:cs="Arial"/>
          <w:sz w:val="22"/>
          <w:szCs w:val="22"/>
        </w:rPr>
      </w:pPr>
      <w:r w:rsidRPr="00817662">
        <w:rPr>
          <w:rFonts w:cs="Arial"/>
          <w:sz w:val="22"/>
          <w:szCs w:val="22"/>
        </w:rPr>
        <w:t xml:space="preserve">to help local, and national, NHS organisations (and other organisations providing NHS services) to review their data against the nine WRES indicators, </w:t>
      </w:r>
    </w:p>
    <w:p w14:paraId="7B8CB9A8" w14:textId="77777777" w:rsidR="00F0075C" w:rsidRPr="00817662" w:rsidRDefault="00F0075C" w:rsidP="00F0075C">
      <w:pPr>
        <w:numPr>
          <w:ilvl w:val="2"/>
          <w:numId w:val="29"/>
        </w:numPr>
        <w:spacing w:after="120"/>
        <w:ind w:left="1225" w:right="260" w:hanging="505"/>
        <w:jc w:val="both"/>
        <w:rPr>
          <w:rFonts w:cs="Arial"/>
          <w:sz w:val="22"/>
          <w:szCs w:val="22"/>
        </w:rPr>
      </w:pPr>
      <w:r w:rsidRPr="00817662">
        <w:rPr>
          <w:rFonts w:cs="Arial"/>
          <w:sz w:val="22"/>
          <w:szCs w:val="22"/>
        </w:rPr>
        <w:t xml:space="preserve">to produce action plans to close the gaps in workplace experience between white and Black and Ethnic Minority (BME) staff, and, </w:t>
      </w:r>
    </w:p>
    <w:p w14:paraId="60BB66EA" w14:textId="77777777" w:rsidR="00F0075C" w:rsidRPr="00817662" w:rsidRDefault="00F0075C" w:rsidP="00F0075C">
      <w:pPr>
        <w:numPr>
          <w:ilvl w:val="2"/>
          <w:numId w:val="29"/>
        </w:numPr>
        <w:spacing w:after="120"/>
        <w:ind w:left="1225" w:right="260" w:hanging="505"/>
        <w:jc w:val="both"/>
        <w:rPr>
          <w:rFonts w:cs="Arial"/>
          <w:sz w:val="22"/>
          <w:szCs w:val="22"/>
        </w:rPr>
      </w:pPr>
      <w:r w:rsidRPr="00817662">
        <w:rPr>
          <w:rFonts w:cs="Arial"/>
          <w:sz w:val="22"/>
          <w:szCs w:val="22"/>
        </w:rPr>
        <w:t xml:space="preserve">to improve BME representation at the Board level of the organisation. </w:t>
      </w:r>
    </w:p>
    <w:p w14:paraId="1068116D" w14:textId="77777777" w:rsidR="00F0075C" w:rsidRPr="00817662" w:rsidRDefault="00F0075C" w:rsidP="00F0075C">
      <w:pPr>
        <w:spacing w:after="240"/>
        <w:ind w:left="709" w:right="260" w:hanging="709"/>
        <w:jc w:val="both"/>
        <w:rPr>
          <w:rFonts w:cs="Arial"/>
          <w:sz w:val="22"/>
          <w:szCs w:val="22"/>
        </w:rPr>
      </w:pPr>
      <w:r w:rsidRPr="00817662">
        <w:rPr>
          <w:rFonts w:cs="Arial"/>
          <w:sz w:val="22"/>
          <w:szCs w:val="22"/>
        </w:rPr>
        <w:t>1.2</w:t>
      </w:r>
      <w:r w:rsidRPr="00817662">
        <w:rPr>
          <w:rFonts w:cs="Arial"/>
          <w:sz w:val="22"/>
          <w:szCs w:val="22"/>
        </w:rPr>
        <w:tab/>
        <w:t>The WRES assessment has been prepared following revised technical guidance published by NHS England in 2021.  There are 9 performance indicators.</w:t>
      </w:r>
    </w:p>
    <w:p w14:paraId="03714417" w14:textId="77777777" w:rsidR="00F0075C" w:rsidRPr="00817662" w:rsidRDefault="00F0075C" w:rsidP="00F0075C">
      <w:pPr>
        <w:spacing w:after="240"/>
        <w:ind w:left="709" w:right="260"/>
        <w:jc w:val="both"/>
        <w:rPr>
          <w:rFonts w:cs="Arial"/>
          <w:sz w:val="22"/>
          <w:szCs w:val="22"/>
        </w:rPr>
      </w:pPr>
      <w:r w:rsidRPr="00817662">
        <w:rPr>
          <w:rFonts w:cs="Arial"/>
          <w:sz w:val="22"/>
          <w:szCs w:val="22"/>
        </w:rPr>
        <w:t>[For indicators 2, 3 and 4, a score of 1.00 equals equity.  A score of greater than 1.00 shows an advantage to White staff; a score of less than 1.00 shows an advantage to BME staff.]</w:t>
      </w:r>
    </w:p>
    <w:p w14:paraId="2B4DD064" w14:textId="77777777" w:rsidR="00F0075C" w:rsidRPr="00817662" w:rsidRDefault="00F0075C" w:rsidP="00F0075C">
      <w:pPr>
        <w:spacing w:after="120"/>
        <w:ind w:left="705" w:right="260" w:hanging="705"/>
        <w:rPr>
          <w:rFonts w:cs="Arial"/>
          <w:sz w:val="22"/>
          <w:szCs w:val="22"/>
        </w:rPr>
      </w:pPr>
      <w:r w:rsidRPr="00817662">
        <w:rPr>
          <w:rFonts w:cs="Arial"/>
          <w:sz w:val="22"/>
          <w:szCs w:val="22"/>
        </w:rPr>
        <w:t>1.</w:t>
      </w:r>
      <w:r w:rsidR="009D66B2">
        <w:rPr>
          <w:rFonts w:cs="Arial"/>
          <w:sz w:val="22"/>
          <w:szCs w:val="22"/>
        </w:rPr>
        <w:t>3</w:t>
      </w:r>
      <w:r w:rsidRPr="00817662">
        <w:rPr>
          <w:rFonts w:cs="Arial"/>
          <w:sz w:val="22"/>
          <w:szCs w:val="22"/>
        </w:rPr>
        <w:tab/>
        <w:t>It is a mandatory requirement in NHS standard contracts (Schedule 6a) to report on the WRES, and publish the data by 31 August each year, and publish a WRES Action Plan by 30 September.</w:t>
      </w:r>
    </w:p>
    <w:p w14:paraId="63406258" w14:textId="77777777" w:rsidR="00F0075C" w:rsidRPr="00817662" w:rsidRDefault="00000000" w:rsidP="00F0075C">
      <w:pPr>
        <w:keepNext/>
        <w:numPr>
          <w:ilvl w:val="0"/>
          <w:numId w:val="28"/>
        </w:numPr>
        <w:shd w:val="clear" w:color="auto" w:fill="FFFFFF"/>
        <w:spacing w:before="240" w:after="60"/>
        <w:ind w:right="260"/>
        <w:outlineLvl w:val="0"/>
        <w:rPr>
          <w:rFonts w:cs="Arial"/>
          <w:b/>
          <w:bCs/>
          <w:caps/>
          <w:color w:val="365F91"/>
          <w:kern w:val="32"/>
          <w:sz w:val="22"/>
          <w:szCs w:val="22"/>
        </w:rPr>
      </w:pPr>
      <w:sdt>
        <w:sdtPr>
          <w:rPr>
            <w:rFonts w:cs="Arial"/>
            <w:b/>
            <w:bCs/>
            <w:caps/>
            <w:color w:val="365F91"/>
            <w:kern w:val="32"/>
            <w:sz w:val="22"/>
            <w:szCs w:val="22"/>
          </w:rPr>
          <w:id w:val="-1927108837"/>
        </w:sdtPr>
        <w:sdtContent>
          <w:r w:rsidR="00F0075C" w:rsidRPr="00817662">
            <w:rPr>
              <w:rFonts w:cs="Arial"/>
              <w:b/>
              <w:bCs/>
              <w:color w:val="365F91"/>
              <w:kern w:val="32"/>
              <w:sz w:val="22"/>
              <w:szCs w:val="22"/>
            </w:rPr>
            <w:t>KEY FINDINGS</w:t>
          </w:r>
        </w:sdtContent>
      </w:sdt>
    </w:p>
    <w:p w14:paraId="3809B7E4" w14:textId="77777777" w:rsidR="00F0075C" w:rsidRPr="00817662" w:rsidRDefault="00F0075C" w:rsidP="00F0075C">
      <w:pPr>
        <w:ind w:right="260"/>
        <w:rPr>
          <w:rFonts w:cs="Arial"/>
          <w:sz w:val="22"/>
          <w:szCs w:val="22"/>
        </w:rPr>
      </w:pPr>
    </w:p>
    <w:p w14:paraId="67E06B36" w14:textId="77777777" w:rsidR="00F0075C" w:rsidRPr="00817662" w:rsidRDefault="00F0075C" w:rsidP="00F0075C">
      <w:pPr>
        <w:numPr>
          <w:ilvl w:val="1"/>
          <w:numId w:val="28"/>
        </w:numPr>
        <w:spacing w:after="120"/>
        <w:ind w:right="260"/>
        <w:jc w:val="both"/>
        <w:rPr>
          <w:rFonts w:cs="Arial"/>
          <w:sz w:val="22"/>
          <w:szCs w:val="22"/>
        </w:rPr>
      </w:pPr>
      <w:r w:rsidRPr="00817662">
        <w:rPr>
          <w:rFonts w:cs="Arial"/>
          <w:sz w:val="22"/>
          <w:szCs w:val="22"/>
        </w:rPr>
        <w:t>The WRES data report has been prepared following revised technical guidance published by NHS England in 2021.  There are 9 performance indicators, [For indicators 2, 3 and 4, a score of 1.00 equals equity.  A score of greater than 1.00 shows an advantage to White staff; a score of less than 1.00 shows an advantage to BME staff.]  Indicator 9 (Board representation is not included in this report, is in the online data report.</w:t>
      </w:r>
    </w:p>
    <w:p w14:paraId="277DD81A" w14:textId="77777777" w:rsidR="00F0075C" w:rsidRPr="00817662" w:rsidRDefault="00F0075C" w:rsidP="00F0075C">
      <w:pPr>
        <w:numPr>
          <w:ilvl w:val="1"/>
          <w:numId w:val="28"/>
        </w:numPr>
        <w:spacing w:after="120"/>
        <w:ind w:right="260"/>
        <w:rPr>
          <w:rFonts w:cs="Arial"/>
          <w:sz w:val="22"/>
          <w:szCs w:val="22"/>
        </w:rPr>
      </w:pPr>
      <w:r w:rsidRPr="00817662">
        <w:rPr>
          <w:rFonts w:cs="Arial"/>
          <w:b/>
          <w:sz w:val="22"/>
          <w:szCs w:val="22"/>
        </w:rPr>
        <w:t>Indicator 1</w:t>
      </w:r>
      <w:r w:rsidRPr="00817662">
        <w:rPr>
          <w:rFonts w:cs="Arial"/>
          <w:sz w:val="22"/>
          <w:szCs w:val="22"/>
        </w:rPr>
        <w:t xml:space="preserve"> – </w:t>
      </w:r>
      <w:r w:rsidRPr="00817662">
        <w:rPr>
          <w:rFonts w:cs="Arial"/>
          <w:b/>
          <w:sz w:val="22"/>
          <w:szCs w:val="22"/>
        </w:rPr>
        <w:t>Workforce profile</w:t>
      </w:r>
    </w:p>
    <w:p w14:paraId="21D81CFD" w14:textId="77777777" w:rsidR="00F0075C" w:rsidRPr="00817662" w:rsidRDefault="00F0075C" w:rsidP="00F0075C">
      <w:pPr>
        <w:ind w:left="720" w:right="260"/>
        <w:rPr>
          <w:rFonts w:cs="Arial"/>
          <w:sz w:val="22"/>
          <w:szCs w:val="22"/>
        </w:rPr>
      </w:pPr>
    </w:p>
    <w:p w14:paraId="7ADCCA95" w14:textId="77777777" w:rsidR="00F0075C" w:rsidRPr="00817662" w:rsidRDefault="00F0075C" w:rsidP="00F0075C">
      <w:pPr>
        <w:spacing w:after="120"/>
        <w:ind w:left="705" w:right="260"/>
        <w:jc w:val="both"/>
        <w:rPr>
          <w:rFonts w:cs="Arial"/>
          <w:sz w:val="22"/>
          <w:szCs w:val="22"/>
        </w:rPr>
      </w:pPr>
      <w:r w:rsidRPr="00817662">
        <w:rPr>
          <w:rFonts w:cs="Arial"/>
          <w:sz w:val="22"/>
          <w:szCs w:val="22"/>
        </w:rPr>
        <w:t>Staff in each of the Agenda for Change (AfC) Bands 1-9 and VSM (including Executive Group members) compared with staff in the overall workforce.</w:t>
      </w:r>
    </w:p>
    <w:p w14:paraId="0354AA92" w14:textId="77777777" w:rsidR="00F0075C" w:rsidRPr="00817662" w:rsidRDefault="00F0075C" w:rsidP="00F0075C">
      <w:pPr>
        <w:spacing w:after="120"/>
        <w:ind w:left="705" w:right="260"/>
        <w:jc w:val="both"/>
        <w:rPr>
          <w:rFonts w:cs="Arial"/>
          <w:sz w:val="22"/>
          <w:szCs w:val="22"/>
        </w:rPr>
      </w:pPr>
      <w:r w:rsidRPr="00817662">
        <w:rPr>
          <w:rFonts w:cs="Arial"/>
          <w:sz w:val="22"/>
          <w:szCs w:val="22"/>
        </w:rPr>
        <w:t>This information is required to be broken down not only by band, but also separating clinical non-medical, medical and dental and non-clinical staff.  The data shows that there points in progression between grades where the proportion of staff</w:t>
      </w:r>
      <w:r w:rsidR="00897C27">
        <w:rPr>
          <w:rFonts w:cs="Arial"/>
          <w:sz w:val="22"/>
          <w:szCs w:val="22"/>
        </w:rPr>
        <w:t xml:space="preserve"> from backgrounds other than White (described in the WRES as ‘Other Ethnic Groups’)</w:t>
      </w:r>
      <w:r w:rsidRPr="00817662">
        <w:rPr>
          <w:rFonts w:cs="Arial"/>
          <w:sz w:val="22"/>
          <w:szCs w:val="22"/>
        </w:rPr>
        <w:t xml:space="preserve"> in the workforce is lower than expected.  For example, there </w:t>
      </w:r>
      <w:r w:rsidR="00897C27">
        <w:rPr>
          <w:rFonts w:cs="Arial"/>
          <w:sz w:val="22"/>
          <w:szCs w:val="22"/>
        </w:rPr>
        <w:t>continues to be</w:t>
      </w:r>
      <w:r w:rsidRPr="00817662">
        <w:rPr>
          <w:rFonts w:cs="Arial"/>
          <w:sz w:val="22"/>
          <w:szCs w:val="22"/>
        </w:rPr>
        <w:t xml:space="preserve"> a dip in representation from Bands 6 and 7, (prior to 2023 the dip was between Bands 5 and 6) and progressively from Bands 5 through to 8a in the non-medical clinical workforce.  </w:t>
      </w:r>
      <w:r w:rsidR="00897C27">
        <w:rPr>
          <w:rFonts w:cs="Arial"/>
          <w:sz w:val="22"/>
          <w:szCs w:val="22"/>
        </w:rPr>
        <w:t xml:space="preserve">Representation of ‘Other Ethnic Groups’ is generally consistent in non-clinical roles, up to Band 8a. </w:t>
      </w:r>
      <w:r w:rsidRPr="00817662">
        <w:rPr>
          <w:rFonts w:cs="Arial"/>
          <w:sz w:val="22"/>
          <w:szCs w:val="22"/>
        </w:rPr>
        <w:t xml:space="preserve">The Trust’s workforce is considerably more diverse than the local population, and the representation of staff for Black, Asian and Minority Ethnic (BME) backgrounds is similar to the local population </w:t>
      </w:r>
      <w:r w:rsidR="00897C27">
        <w:rPr>
          <w:rFonts w:cs="Arial"/>
          <w:sz w:val="22"/>
          <w:szCs w:val="22"/>
        </w:rPr>
        <w:t>amongst</w:t>
      </w:r>
      <w:r w:rsidRPr="00817662">
        <w:rPr>
          <w:rFonts w:cs="Arial"/>
          <w:sz w:val="22"/>
          <w:szCs w:val="22"/>
        </w:rPr>
        <w:t xml:space="preserve"> the non-clinical workforce. </w:t>
      </w:r>
    </w:p>
    <w:p w14:paraId="622060DA" w14:textId="77777777" w:rsidR="00F0075C" w:rsidRPr="00817662" w:rsidRDefault="00F0075C" w:rsidP="00F0075C">
      <w:pPr>
        <w:spacing w:after="120"/>
        <w:ind w:left="705" w:right="260"/>
        <w:jc w:val="both"/>
        <w:rPr>
          <w:rFonts w:cs="Arial"/>
          <w:sz w:val="22"/>
          <w:szCs w:val="22"/>
        </w:rPr>
      </w:pPr>
      <w:r w:rsidRPr="00817662">
        <w:rPr>
          <w:rFonts w:cs="Arial"/>
          <w:sz w:val="22"/>
          <w:szCs w:val="22"/>
        </w:rPr>
        <w:t xml:space="preserve">There is significantly higher representation of people from </w:t>
      </w:r>
      <w:r w:rsidR="00897C27">
        <w:rPr>
          <w:rFonts w:cs="Arial"/>
          <w:sz w:val="22"/>
          <w:szCs w:val="22"/>
        </w:rPr>
        <w:t>‘Other Ethnic Groups’</w:t>
      </w:r>
      <w:r w:rsidRPr="00817662">
        <w:rPr>
          <w:rFonts w:cs="Arial"/>
          <w:sz w:val="22"/>
          <w:szCs w:val="22"/>
        </w:rPr>
        <w:t xml:space="preserve"> backgrounds in medical and dental roles, which is reflective of the profile of their professions.</w:t>
      </w:r>
    </w:p>
    <w:p w14:paraId="0F3085C9" w14:textId="77777777" w:rsidR="00F0075C" w:rsidRPr="00817662" w:rsidRDefault="00F0075C" w:rsidP="00F0075C">
      <w:pPr>
        <w:ind w:right="260"/>
        <w:rPr>
          <w:rFonts w:cs="Arial"/>
          <w:sz w:val="22"/>
          <w:szCs w:val="22"/>
        </w:rPr>
      </w:pPr>
    </w:p>
    <w:tbl>
      <w:tblPr>
        <w:tblW w:w="9200" w:type="dxa"/>
        <w:tblInd w:w="699" w:type="dxa"/>
        <w:tblCellMar>
          <w:left w:w="0" w:type="dxa"/>
          <w:right w:w="0" w:type="dxa"/>
        </w:tblCellMar>
        <w:tblLook w:val="0420" w:firstRow="1" w:lastRow="0" w:firstColumn="0" w:lastColumn="0" w:noHBand="0" w:noVBand="1"/>
      </w:tblPr>
      <w:tblGrid>
        <w:gridCol w:w="3066"/>
        <w:gridCol w:w="3067"/>
        <w:gridCol w:w="3067"/>
      </w:tblGrid>
      <w:tr w:rsidR="001161FD" w:rsidRPr="00817662" w14:paraId="42313C8C" w14:textId="77777777" w:rsidTr="001161FD">
        <w:trPr>
          <w:trHeight w:val="584"/>
        </w:trPr>
        <w:tc>
          <w:tcPr>
            <w:tcW w:w="3066"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53891A6E" w14:textId="77777777" w:rsidR="003C7666" w:rsidRPr="00817662" w:rsidRDefault="003C7666" w:rsidP="003C7666">
            <w:pPr>
              <w:ind w:right="260"/>
              <w:rPr>
                <w:rFonts w:cs="Arial"/>
                <w:color w:val="FFFFFF" w:themeColor="background1"/>
                <w:sz w:val="22"/>
                <w:szCs w:val="22"/>
              </w:rPr>
            </w:pPr>
            <w:r w:rsidRPr="00817662">
              <w:rPr>
                <w:rFonts w:cs="Arial"/>
                <w:b/>
                <w:bCs/>
                <w:color w:val="FFFFFF" w:themeColor="background1"/>
                <w:sz w:val="22"/>
                <w:szCs w:val="22"/>
              </w:rPr>
              <w:lastRenderedPageBreak/>
              <w:t>Cluster (Bands)</w:t>
            </w:r>
          </w:p>
        </w:tc>
        <w:tc>
          <w:tcPr>
            <w:tcW w:w="3067"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4DC7C075" w14:textId="77777777" w:rsidR="003C7666" w:rsidRPr="00817662" w:rsidRDefault="003C7666" w:rsidP="003C7666">
            <w:pPr>
              <w:ind w:right="260"/>
              <w:rPr>
                <w:rFonts w:cs="Arial"/>
                <w:color w:val="FFFFFF" w:themeColor="background1"/>
                <w:sz w:val="22"/>
                <w:szCs w:val="22"/>
              </w:rPr>
            </w:pPr>
            <w:r w:rsidRPr="00817662">
              <w:rPr>
                <w:rFonts w:cs="Arial"/>
                <w:b/>
                <w:bCs/>
                <w:color w:val="FFFFFF" w:themeColor="background1"/>
                <w:sz w:val="22"/>
                <w:szCs w:val="22"/>
              </w:rPr>
              <w:t>Non-Clinical</w:t>
            </w:r>
          </w:p>
        </w:tc>
        <w:tc>
          <w:tcPr>
            <w:tcW w:w="3067"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032F21D3" w14:textId="77777777" w:rsidR="003C7666" w:rsidRPr="00817662" w:rsidRDefault="003C7666" w:rsidP="003C7666">
            <w:pPr>
              <w:ind w:right="260"/>
              <w:rPr>
                <w:rFonts w:cs="Arial"/>
                <w:color w:val="FFFFFF" w:themeColor="background1"/>
                <w:sz w:val="22"/>
                <w:szCs w:val="22"/>
              </w:rPr>
            </w:pPr>
            <w:r w:rsidRPr="00817662">
              <w:rPr>
                <w:rFonts w:cs="Arial"/>
                <w:b/>
                <w:bCs/>
                <w:color w:val="FFFFFF" w:themeColor="background1"/>
                <w:sz w:val="22"/>
                <w:szCs w:val="22"/>
              </w:rPr>
              <w:t>Clinical</w:t>
            </w:r>
          </w:p>
        </w:tc>
      </w:tr>
      <w:tr w:rsidR="00897C27" w:rsidRPr="00817662" w14:paraId="60AC888F" w14:textId="77777777" w:rsidTr="001B1D45">
        <w:trPr>
          <w:trHeight w:val="584"/>
        </w:trPr>
        <w:tc>
          <w:tcPr>
            <w:tcW w:w="3066"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75EC96BB" w14:textId="77777777" w:rsidR="00897C27" w:rsidRPr="00897C27" w:rsidRDefault="00897C27" w:rsidP="00897C27">
            <w:pPr>
              <w:numPr>
                <w:ilvl w:val="0"/>
                <w:numId w:val="32"/>
              </w:numPr>
              <w:ind w:right="260" w:hanging="720"/>
              <w:rPr>
                <w:rFonts w:cs="Arial"/>
                <w:szCs w:val="22"/>
              </w:rPr>
            </w:pPr>
            <w:r w:rsidRPr="00897C27">
              <w:rPr>
                <w:rFonts w:cs="Arial"/>
                <w:szCs w:val="22"/>
              </w:rPr>
              <w:t>1-4</w:t>
            </w:r>
          </w:p>
        </w:tc>
        <w:tc>
          <w:tcPr>
            <w:tcW w:w="3067"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105F8CE8" w14:textId="77777777" w:rsidR="00897C27" w:rsidRPr="00897C27" w:rsidRDefault="00897C27" w:rsidP="00897C27">
            <w:pPr>
              <w:jc w:val="center"/>
              <w:rPr>
                <w:rFonts w:cs="Arial"/>
                <w:szCs w:val="22"/>
                <w:lang w:eastAsia="en-GB"/>
              </w:rPr>
            </w:pPr>
            <w:r w:rsidRPr="00897C27">
              <w:rPr>
                <w:rFonts w:cs="Arial"/>
                <w:szCs w:val="22"/>
              </w:rPr>
              <w:t>20.2%</w:t>
            </w:r>
          </w:p>
        </w:tc>
        <w:tc>
          <w:tcPr>
            <w:tcW w:w="3067"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3CAD5542" w14:textId="77777777" w:rsidR="00897C27" w:rsidRPr="00897C27" w:rsidRDefault="00897C27" w:rsidP="00897C27">
            <w:pPr>
              <w:jc w:val="center"/>
              <w:rPr>
                <w:rFonts w:cs="Arial"/>
                <w:szCs w:val="22"/>
                <w:lang w:eastAsia="en-GB"/>
              </w:rPr>
            </w:pPr>
            <w:r w:rsidRPr="00897C27">
              <w:rPr>
                <w:rFonts w:cs="Arial"/>
                <w:szCs w:val="22"/>
              </w:rPr>
              <w:t>37.5%</w:t>
            </w:r>
          </w:p>
        </w:tc>
      </w:tr>
      <w:tr w:rsidR="00897C27" w:rsidRPr="00817662" w14:paraId="2B2E31BD" w14:textId="77777777" w:rsidTr="001B1D45">
        <w:trPr>
          <w:trHeight w:val="584"/>
        </w:trPr>
        <w:tc>
          <w:tcPr>
            <w:tcW w:w="3066"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55FFD002" w14:textId="77777777" w:rsidR="00897C27" w:rsidRPr="00897C27" w:rsidRDefault="00897C27" w:rsidP="00897C27">
            <w:pPr>
              <w:ind w:right="260"/>
              <w:rPr>
                <w:rFonts w:cs="Arial"/>
                <w:szCs w:val="22"/>
              </w:rPr>
            </w:pPr>
            <w:r w:rsidRPr="00897C27">
              <w:rPr>
                <w:rFonts w:cs="Arial"/>
                <w:szCs w:val="22"/>
              </w:rPr>
              <w:t xml:space="preserve">2. </w:t>
            </w:r>
            <w:r w:rsidRPr="00897C27">
              <w:rPr>
                <w:rFonts w:cs="Arial"/>
                <w:szCs w:val="22"/>
              </w:rPr>
              <w:tab/>
              <w:t>5-7</w:t>
            </w:r>
          </w:p>
        </w:tc>
        <w:tc>
          <w:tcPr>
            <w:tcW w:w="306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51DBB272" w14:textId="77777777" w:rsidR="00897C27" w:rsidRPr="00897C27" w:rsidRDefault="00897C27" w:rsidP="00897C27">
            <w:pPr>
              <w:jc w:val="center"/>
              <w:rPr>
                <w:rFonts w:cs="Arial"/>
                <w:szCs w:val="22"/>
              </w:rPr>
            </w:pPr>
            <w:r w:rsidRPr="00897C27">
              <w:rPr>
                <w:rFonts w:cs="Arial"/>
                <w:szCs w:val="22"/>
              </w:rPr>
              <w:t>19.5%</w:t>
            </w:r>
          </w:p>
        </w:tc>
        <w:tc>
          <w:tcPr>
            <w:tcW w:w="306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74599175" w14:textId="77777777" w:rsidR="00897C27" w:rsidRPr="00897C27" w:rsidRDefault="00897C27" w:rsidP="00897C27">
            <w:pPr>
              <w:jc w:val="center"/>
              <w:rPr>
                <w:rFonts w:cs="Arial"/>
                <w:szCs w:val="22"/>
              </w:rPr>
            </w:pPr>
            <w:r w:rsidRPr="00897C27">
              <w:rPr>
                <w:rFonts w:cs="Arial"/>
                <w:szCs w:val="22"/>
              </w:rPr>
              <w:t>51.0%</w:t>
            </w:r>
          </w:p>
        </w:tc>
      </w:tr>
      <w:tr w:rsidR="00897C27" w:rsidRPr="00817662" w14:paraId="227D63EA" w14:textId="77777777" w:rsidTr="001B1D45">
        <w:trPr>
          <w:trHeight w:val="584"/>
        </w:trPr>
        <w:tc>
          <w:tcPr>
            <w:tcW w:w="3066"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2636D948" w14:textId="77777777" w:rsidR="00897C27" w:rsidRPr="00897C27" w:rsidRDefault="00897C27" w:rsidP="00897C27">
            <w:pPr>
              <w:ind w:right="260"/>
              <w:rPr>
                <w:rFonts w:cs="Arial"/>
                <w:szCs w:val="22"/>
              </w:rPr>
            </w:pPr>
            <w:r w:rsidRPr="00897C27">
              <w:rPr>
                <w:rFonts w:cs="Arial"/>
                <w:szCs w:val="22"/>
              </w:rPr>
              <w:t xml:space="preserve">3. </w:t>
            </w:r>
            <w:r w:rsidRPr="00897C27">
              <w:rPr>
                <w:rFonts w:cs="Arial"/>
                <w:szCs w:val="22"/>
              </w:rPr>
              <w:tab/>
              <w:t>8a-8b</w:t>
            </w:r>
          </w:p>
        </w:tc>
        <w:tc>
          <w:tcPr>
            <w:tcW w:w="306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213A6CC9" w14:textId="77777777" w:rsidR="00897C27" w:rsidRPr="00897C27" w:rsidRDefault="00897C27" w:rsidP="00897C27">
            <w:pPr>
              <w:jc w:val="center"/>
              <w:rPr>
                <w:rFonts w:cs="Arial"/>
                <w:szCs w:val="22"/>
              </w:rPr>
            </w:pPr>
            <w:r w:rsidRPr="00897C27">
              <w:rPr>
                <w:rFonts w:cs="Arial"/>
                <w:szCs w:val="22"/>
              </w:rPr>
              <w:t>18.2%</w:t>
            </w:r>
          </w:p>
        </w:tc>
        <w:tc>
          <w:tcPr>
            <w:tcW w:w="306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596C1563" w14:textId="77777777" w:rsidR="00897C27" w:rsidRPr="00897C27" w:rsidRDefault="00897C27" w:rsidP="00897C27">
            <w:pPr>
              <w:jc w:val="center"/>
              <w:rPr>
                <w:rFonts w:cs="Arial"/>
                <w:szCs w:val="22"/>
              </w:rPr>
            </w:pPr>
            <w:r w:rsidRPr="00897C27">
              <w:rPr>
                <w:rFonts w:cs="Arial"/>
                <w:szCs w:val="22"/>
              </w:rPr>
              <w:t>24.4%</w:t>
            </w:r>
          </w:p>
        </w:tc>
      </w:tr>
      <w:tr w:rsidR="00897C27" w:rsidRPr="00817662" w14:paraId="1F1CAFF9" w14:textId="77777777" w:rsidTr="001B1D45">
        <w:trPr>
          <w:trHeight w:val="584"/>
        </w:trPr>
        <w:tc>
          <w:tcPr>
            <w:tcW w:w="3066"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3F6EBF88" w14:textId="77777777" w:rsidR="00897C27" w:rsidRPr="00897C27" w:rsidRDefault="00897C27" w:rsidP="00897C27">
            <w:pPr>
              <w:ind w:right="260"/>
              <w:rPr>
                <w:rFonts w:cs="Arial"/>
                <w:szCs w:val="22"/>
              </w:rPr>
            </w:pPr>
            <w:r w:rsidRPr="00897C27">
              <w:rPr>
                <w:rFonts w:cs="Arial"/>
                <w:szCs w:val="22"/>
              </w:rPr>
              <w:t xml:space="preserve">4. </w:t>
            </w:r>
            <w:r w:rsidRPr="00897C27">
              <w:rPr>
                <w:rFonts w:cs="Arial"/>
                <w:szCs w:val="22"/>
              </w:rPr>
              <w:tab/>
              <w:t>8c-VSM</w:t>
            </w:r>
          </w:p>
        </w:tc>
        <w:tc>
          <w:tcPr>
            <w:tcW w:w="306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16B68EBD" w14:textId="77777777" w:rsidR="00897C27" w:rsidRPr="00897C27" w:rsidRDefault="00897C27" w:rsidP="00897C27">
            <w:pPr>
              <w:jc w:val="center"/>
              <w:rPr>
                <w:rFonts w:cs="Arial"/>
                <w:szCs w:val="22"/>
              </w:rPr>
            </w:pPr>
            <w:r w:rsidRPr="00897C27">
              <w:rPr>
                <w:rFonts w:cs="Arial"/>
                <w:szCs w:val="22"/>
              </w:rPr>
              <w:t>14.8%</w:t>
            </w:r>
          </w:p>
        </w:tc>
        <w:tc>
          <w:tcPr>
            <w:tcW w:w="306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748EA353" w14:textId="77777777" w:rsidR="00897C27" w:rsidRPr="00897C27" w:rsidRDefault="00897C27" w:rsidP="00897C27">
            <w:pPr>
              <w:jc w:val="center"/>
              <w:rPr>
                <w:rFonts w:cs="Arial"/>
                <w:szCs w:val="22"/>
              </w:rPr>
            </w:pPr>
            <w:r w:rsidRPr="00897C27">
              <w:rPr>
                <w:rFonts w:cs="Arial"/>
                <w:szCs w:val="22"/>
              </w:rPr>
              <w:t>21.1%</w:t>
            </w:r>
          </w:p>
        </w:tc>
      </w:tr>
      <w:tr w:rsidR="00897C27" w:rsidRPr="00817662" w14:paraId="292F4C6D" w14:textId="77777777" w:rsidTr="001B1D45">
        <w:trPr>
          <w:trHeight w:val="584"/>
        </w:trPr>
        <w:tc>
          <w:tcPr>
            <w:tcW w:w="3066"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2A97B0DC" w14:textId="77777777" w:rsidR="00897C27" w:rsidRPr="00897C27" w:rsidRDefault="00897C27" w:rsidP="00897C27">
            <w:pPr>
              <w:ind w:right="260"/>
              <w:rPr>
                <w:rFonts w:cs="Arial"/>
                <w:szCs w:val="22"/>
              </w:rPr>
            </w:pPr>
            <w:r w:rsidRPr="00897C27">
              <w:rPr>
                <w:rFonts w:cs="Arial"/>
                <w:szCs w:val="22"/>
              </w:rPr>
              <w:t>Average</w:t>
            </w:r>
          </w:p>
        </w:tc>
        <w:tc>
          <w:tcPr>
            <w:tcW w:w="306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1868B3C1" w14:textId="77777777" w:rsidR="00897C27" w:rsidRPr="00897C27" w:rsidRDefault="00897C27" w:rsidP="00897C27">
            <w:pPr>
              <w:jc w:val="center"/>
              <w:rPr>
                <w:rFonts w:cs="Arial"/>
                <w:szCs w:val="22"/>
              </w:rPr>
            </w:pPr>
            <w:r w:rsidRPr="00897C27">
              <w:rPr>
                <w:rFonts w:cs="Arial"/>
                <w:szCs w:val="22"/>
              </w:rPr>
              <w:t>19.8%</w:t>
            </w:r>
          </w:p>
        </w:tc>
        <w:tc>
          <w:tcPr>
            <w:tcW w:w="306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03C49FB3" w14:textId="77777777" w:rsidR="00897C27" w:rsidRPr="00897C27" w:rsidRDefault="00897C27" w:rsidP="00897C27">
            <w:pPr>
              <w:jc w:val="center"/>
              <w:rPr>
                <w:rFonts w:cs="Arial"/>
                <w:szCs w:val="22"/>
              </w:rPr>
            </w:pPr>
            <w:r w:rsidRPr="00897C27">
              <w:rPr>
                <w:rFonts w:cs="Arial"/>
                <w:szCs w:val="22"/>
              </w:rPr>
              <w:t>45.2%</w:t>
            </w:r>
          </w:p>
        </w:tc>
      </w:tr>
    </w:tbl>
    <w:p w14:paraId="1693C67F" w14:textId="77777777" w:rsidR="008B210A" w:rsidRPr="00817662" w:rsidRDefault="008B210A" w:rsidP="00F0075C">
      <w:pPr>
        <w:ind w:right="260"/>
        <w:rPr>
          <w:rFonts w:cs="Arial"/>
          <w:sz w:val="22"/>
          <w:szCs w:val="22"/>
        </w:rPr>
      </w:pPr>
    </w:p>
    <w:tbl>
      <w:tblPr>
        <w:tblW w:w="6520" w:type="dxa"/>
        <w:tblInd w:w="699" w:type="dxa"/>
        <w:tblCellMar>
          <w:left w:w="0" w:type="dxa"/>
          <w:right w:w="0" w:type="dxa"/>
        </w:tblCellMar>
        <w:tblLook w:val="0420" w:firstRow="1" w:lastRow="0" w:firstColumn="0" w:lastColumn="0" w:noHBand="0" w:noVBand="1"/>
      </w:tblPr>
      <w:tblGrid>
        <w:gridCol w:w="3260"/>
        <w:gridCol w:w="3260"/>
      </w:tblGrid>
      <w:tr w:rsidR="001161FD" w:rsidRPr="00817662" w14:paraId="51A30768" w14:textId="77777777" w:rsidTr="001161FD">
        <w:trPr>
          <w:trHeight w:val="584"/>
        </w:trPr>
        <w:tc>
          <w:tcPr>
            <w:tcW w:w="326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3E32A1E5" w14:textId="77777777" w:rsidR="003C7666" w:rsidRPr="00817662" w:rsidRDefault="003C7666" w:rsidP="003C7666">
            <w:pPr>
              <w:ind w:right="260"/>
              <w:rPr>
                <w:rFonts w:cs="Arial"/>
                <w:color w:val="FFFFFF" w:themeColor="background1"/>
                <w:sz w:val="22"/>
                <w:szCs w:val="22"/>
              </w:rPr>
            </w:pPr>
            <w:r w:rsidRPr="00817662">
              <w:rPr>
                <w:rFonts w:cs="Arial"/>
                <w:b/>
                <w:bCs/>
                <w:color w:val="FFFFFF" w:themeColor="background1"/>
                <w:sz w:val="22"/>
                <w:szCs w:val="22"/>
              </w:rPr>
              <w:t>Cluster</w:t>
            </w:r>
          </w:p>
        </w:tc>
        <w:tc>
          <w:tcPr>
            <w:tcW w:w="326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3779AB07" w14:textId="77777777" w:rsidR="003C7666" w:rsidRPr="00817662" w:rsidRDefault="003C7666" w:rsidP="003C7666">
            <w:pPr>
              <w:ind w:right="260"/>
              <w:rPr>
                <w:rFonts w:cs="Arial"/>
                <w:color w:val="FFFFFF" w:themeColor="background1"/>
                <w:sz w:val="22"/>
                <w:szCs w:val="22"/>
              </w:rPr>
            </w:pPr>
            <w:r w:rsidRPr="00817662">
              <w:rPr>
                <w:rFonts w:cs="Arial"/>
                <w:b/>
                <w:bCs/>
                <w:color w:val="FFFFFF" w:themeColor="background1"/>
                <w:sz w:val="22"/>
                <w:szCs w:val="22"/>
              </w:rPr>
              <w:t>Medical and Dental</w:t>
            </w:r>
          </w:p>
        </w:tc>
      </w:tr>
      <w:tr w:rsidR="003C7666" w:rsidRPr="00817662" w14:paraId="2B635BFE" w14:textId="77777777" w:rsidTr="003C7666">
        <w:trPr>
          <w:trHeight w:val="584"/>
        </w:trPr>
        <w:tc>
          <w:tcPr>
            <w:tcW w:w="326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765FEEC7" w14:textId="77777777" w:rsidR="003C7666" w:rsidRPr="00817662" w:rsidRDefault="003C7666" w:rsidP="003C7666">
            <w:pPr>
              <w:ind w:right="260"/>
              <w:rPr>
                <w:rFonts w:cs="Arial"/>
                <w:sz w:val="22"/>
                <w:szCs w:val="22"/>
              </w:rPr>
            </w:pPr>
            <w:r w:rsidRPr="00817662">
              <w:rPr>
                <w:rFonts w:cs="Arial"/>
                <w:sz w:val="22"/>
                <w:szCs w:val="22"/>
              </w:rPr>
              <w:t>Trainees</w:t>
            </w:r>
          </w:p>
        </w:tc>
        <w:tc>
          <w:tcPr>
            <w:tcW w:w="326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59584BDE" w14:textId="77777777" w:rsidR="003C7666" w:rsidRPr="00817662" w:rsidRDefault="00897C27" w:rsidP="003C7666">
            <w:pPr>
              <w:ind w:right="260"/>
              <w:rPr>
                <w:rFonts w:cs="Arial"/>
                <w:sz w:val="22"/>
                <w:szCs w:val="22"/>
              </w:rPr>
            </w:pPr>
            <w:r>
              <w:rPr>
                <w:rFonts w:cs="Arial"/>
                <w:sz w:val="22"/>
                <w:szCs w:val="22"/>
              </w:rPr>
              <w:t>54.7</w:t>
            </w:r>
            <w:r w:rsidR="003C7666" w:rsidRPr="00817662">
              <w:rPr>
                <w:rFonts w:cs="Arial"/>
                <w:sz w:val="22"/>
                <w:szCs w:val="22"/>
              </w:rPr>
              <w:t>%</w:t>
            </w:r>
          </w:p>
        </w:tc>
      </w:tr>
      <w:tr w:rsidR="003C7666" w:rsidRPr="00817662" w14:paraId="783872FC" w14:textId="77777777" w:rsidTr="003C7666">
        <w:trPr>
          <w:trHeight w:val="584"/>
        </w:trPr>
        <w:tc>
          <w:tcPr>
            <w:tcW w:w="3260"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1DCCD8AC" w14:textId="77777777" w:rsidR="003C7666" w:rsidRPr="00817662" w:rsidRDefault="003C7666" w:rsidP="003C7666">
            <w:pPr>
              <w:ind w:right="260"/>
              <w:rPr>
                <w:rFonts w:cs="Arial"/>
                <w:sz w:val="22"/>
                <w:szCs w:val="22"/>
              </w:rPr>
            </w:pPr>
            <w:r w:rsidRPr="00817662">
              <w:rPr>
                <w:rFonts w:cs="Arial"/>
                <w:sz w:val="22"/>
                <w:szCs w:val="22"/>
              </w:rPr>
              <w:t>Non-Consultant</w:t>
            </w:r>
          </w:p>
        </w:tc>
        <w:tc>
          <w:tcPr>
            <w:tcW w:w="3260"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56A0F734" w14:textId="77777777" w:rsidR="003C7666" w:rsidRPr="00817662" w:rsidRDefault="00897C27" w:rsidP="003C7666">
            <w:pPr>
              <w:ind w:right="260"/>
              <w:rPr>
                <w:rFonts w:cs="Arial"/>
                <w:sz w:val="22"/>
                <w:szCs w:val="22"/>
              </w:rPr>
            </w:pPr>
            <w:r>
              <w:rPr>
                <w:rFonts w:cs="Arial"/>
                <w:sz w:val="22"/>
                <w:szCs w:val="22"/>
              </w:rPr>
              <w:t>74.7</w:t>
            </w:r>
            <w:r w:rsidR="003C7666" w:rsidRPr="00817662">
              <w:rPr>
                <w:rFonts w:cs="Arial"/>
                <w:sz w:val="22"/>
                <w:szCs w:val="22"/>
              </w:rPr>
              <w:t>%</w:t>
            </w:r>
          </w:p>
        </w:tc>
      </w:tr>
      <w:tr w:rsidR="003C7666" w:rsidRPr="00817662" w14:paraId="34D1963C" w14:textId="77777777" w:rsidTr="003C7666">
        <w:trPr>
          <w:trHeight w:val="584"/>
        </w:trPr>
        <w:tc>
          <w:tcPr>
            <w:tcW w:w="3260"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28A0195F" w14:textId="77777777" w:rsidR="003C7666" w:rsidRPr="00817662" w:rsidRDefault="003C7666" w:rsidP="003C7666">
            <w:pPr>
              <w:ind w:right="260"/>
              <w:rPr>
                <w:rFonts w:cs="Arial"/>
                <w:sz w:val="22"/>
                <w:szCs w:val="22"/>
              </w:rPr>
            </w:pPr>
            <w:r w:rsidRPr="00817662">
              <w:rPr>
                <w:rFonts w:cs="Arial"/>
                <w:sz w:val="22"/>
                <w:szCs w:val="22"/>
              </w:rPr>
              <w:t>Consultant</w:t>
            </w:r>
          </w:p>
        </w:tc>
        <w:tc>
          <w:tcPr>
            <w:tcW w:w="3260"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20FA13AD" w14:textId="77777777" w:rsidR="003C7666" w:rsidRPr="00817662" w:rsidRDefault="003C7666" w:rsidP="003C7666">
            <w:pPr>
              <w:ind w:right="260"/>
              <w:rPr>
                <w:rFonts w:cs="Arial"/>
                <w:sz w:val="22"/>
                <w:szCs w:val="22"/>
              </w:rPr>
            </w:pPr>
            <w:r w:rsidRPr="00817662">
              <w:rPr>
                <w:rFonts w:cs="Arial"/>
                <w:sz w:val="22"/>
                <w:szCs w:val="22"/>
              </w:rPr>
              <w:t>6</w:t>
            </w:r>
            <w:r w:rsidR="00897C27">
              <w:rPr>
                <w:rFonts w:cs="Arial"/>
                <w:sz w:val="22"/>
                <w:szCs w:val="22"/>
              </w:rPr>
              <w:t>6</w:t>
            </w:r>
            <w:r w:rsidRPr="00817662">
              <w:rPr>
                <w:rFonts w:cs="Arial"/>
                <w:sz w:val="22"/>
                <w:szCs w:val="22"/>
              </w:rPr>
              <w:t>.</w:t>
            </w:r>
            <w:r w:rsidR="00897C27">
              <w:rPr>
                <w:rFonts w:cs="Arial"/>
                <w:sz w:val="22"/>
                <w:szCs w:val="22"/>
              </w:rPr>
              <w:t>1</w:t>
            </w:r>
            <w:r w:rsidRPr="00817662">
              <w:rPr>
                <w:rFonts w:cs="Arial"/>
                <w:sz w:val="22"/>
                <w:szCs w:val="22"/>
              </w:rPr>
              <w:t>%</w:t>
            </w:r>
          </w:p>
        </w:tc>
      </w:tr>
      <w:tr w:rsidR="003C7666" w:rsidRPr="00817662" w14:paraId="0DB91093" w14:textId="77777777" w:rsidTr="003C7666">
        <w:trPr>
          <w:trHeight w:val="584"/>
        </w:trPr>
        <w:tc>
          <w:tcPr>
            <w:tcW w:w="3260"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677D5316" w14:textId="77777777" w:rsidR="003C7666" w:rsidRPr="00817662" w:rsidRDefault="003C7666" w:rsidP="003C7666">
            <w:pPr>
              <w:ind w:right="260"/>
              <w:rPr>
                <w:rFonts w:cs="Arial"/>
                <w:sz w:val="22"/>
                <w:szCs w:val="22"/>
              </w:rPr>
            </w:pPr>
            <w:r w:rsidRPr="00817662">
              <w:rPr>
                <w:rFonts w:cs="Arial"/>
                <w:sz w:val="22"/>
                <w:szCs w:val="22"/>
              </w:rPr>
              <w:t>Total</w:t>
            </w:r>
          </w:p>
        </w:tc>
        <w:tc>
          <w:tcPr>
            <w:tcW w:w="3260"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4DE96449" w14:textId="77777777" w:rsidR="003C7666" w:rsidRPr="00817662" w:rsidRDefault="003C7666" w:rsidP="003C7666">
            <w:pPr>
              <w:ind w:right="260"/>
              <w:rPr>
                <w:rFonts w:cs="Arial"/>
                <w:sz w:val="22"/>
                <w:szCs w:val="22"/>
              </w:rPr>
            </w:pPr>
            <w:r w:rsidRPr="00817662">
              <w:rPr>
                <w:rFonts w:cs="Arial"/>
                <w:sz w:val="22"/>
                <w:szCs w:val="22"/>
              </w:rPr>
              <w:t>64.2%</w:t>
            </w:r>
          </w:p>
        </w:tc>
      </w:tr>
    </w:tbl>
    <w:p w14:paraId="0FBD98E5" w14:textId="77777777" w:rsidR="00F0075C" w:rsidRPr="00817662" w:rsidRDefault="00F0075C" w:rsidP="00F0075C">
      <w:pPr>
        <w:numPr>
          <w:ilvl w:val="1"/>
          <w:numId w:val="28"/>
        </w:numPr>
        <w:spacing w:after="120"/>
        <w:ind w:right="260"/>
        <w:jc w:val="both"/>
        <w:rPr>
          <w:rFonts w:cs="Arial"/>
          <w:b/>
          <w:sz w:val="22"/>
          <w:szCs w:val="22"/>
        </w:rPr>
      </w:pPr>
      <w:r w:rsidRPr="00817662">
        <w:rPr>
          <w:rFonts w:cs="Arial"/>
          <w:b/>
          <w:sz w:val="22"/>
          <w:szCs w:val="22"/>
        </w:rPr>
        <w:t>Indicator 2</w:t>
      </w:r>
      <w:r w:rsidRPr="00817662">
        <w:rPr>
          <w:rFonts w:cs="Arial"/>
          <w:sz w:val="22"/>
          <w:szCs w:val="22"/>
        </w:rPr>
        <w:t xml:space="preserve"> - Relative likelihood of staff being appointed from shortlisting across all posts.</w:t>
      </w:r>
      <w:r w:rsidRPr="00817662">
        <w:rPr>
          <w:rFonts w:cs="Arial"/>
          <w:sz w:val="22"/>
          <w:szCs w:val="22"/>
        </w:rPr>
        <w:br/>
      </w:r>
      <w:r w:rsidRPr="00817662">
        <w:rPr>
          <w:rFonts w:cs="Arial"/>
          <w:b/>
          <w:sz w:val="22"/>
          <w:szCs w:val="22"/>
        </w:rPr>
        <w:t>Performance in 202</w:t>
      </w:r>
      <w:r w:rsidR="001E1933">
        <w:rPr>
          <w:rFonts w:cs="Arial"/>
          <w:b/>
          <w:sz w:val="22"/>
          <w:szCs w:val="22"/>
        </w:rPr>
        <w:t>5</w:t>
      </w:r>
      <w:r w:rsidRPr="00817662">
        <w:rPr>
          <w:rFonts w:cs="Arial"/>
          <w:b/>
          <w:sz w:val="22"/>
          <w:szCs w:val="22"/>
        </w:rPr>
        <w:t xml:space="preserve">: </w:t>
      </w:r>
      <w:r w:rsidR="003C7666" w:rsidRPr="00817662">
        <w:rPr>
          <w:rFonts w:cs="Arial"/>
          <w:b/>
          <w:sz w:val="22"/>
          <w:szCs w:val="22"/>
        </w:rPr>
        <w:t>0.49</w:t>
      </w:r>
    </w:p>
    <w:p w14:paraId="779F3339" w14:textId="77777777" w:rsidR="005604F0" w:rsidRPr="00817662" w:rsidRDefault="00F0075C" w:rsidP="00F0075C">
      <w:pPr>
        <w:spacing w:after="120"/>
        <w:ind w:left="705" w:right="260"/>
        <w:jc w:val="both"/>
        <w:rPr>
          <w:rFonts w:cs="Arial"/>
          <w:sz w:val="22"/>
          <w:szCs w:val="22"/>
        </w:rPr>
      </w:pPr>
      <w:r w:rsidRPr="00817662">
        <w:rPr>
          <w:rFonts w:cs="Arial"/>
          <w:sz w:val="22"/>
          <w:szCs w:val="22"/>
        </w:rPr>
        <w:t>In 2015/16, White people shortlisted for interview were 2.58 times more likely than BME people to be appointed.  By 2020 this gap narrowed to 1.1 times, and widened by 2022 to 1.52 times. The ratio for 202</w:t>
      </w:r>
      <w:r w:rsidR="003C7666" w:rsidRPr="00817662">
        <w:rPr>
          <w:rFonts w:cs="Arial"/>
          <w:sz w:val="22"/>
          <w:szCs w:val="22"/>
        </w:rPr>
        <w:t>4</w:t>
      </w:r>
      <w:r w:rsidRPr="00817662">
        <w:rPr>
          <w:rFonts w:cs="Arial"/>
          <w:sz w:val="22"/>
          <w:szCs w:val="22"/>
        </w:rPr>
        <w:t xml:space="preserve"> appears to be </w:t>
      </w:r>
      <w:r w:rsidR="003C7666" w:rsidRPr="00817662">
        <w:rPr>
          <w:rFonts w:cs="Arial"/>
          <w:b/>
          <w:sz w:val="22"/>
          <w:szCs w:val="22"/>
        </w:rPr>
        <w:t>0.49</w:t>
      </w:r>
      <w:r w:rsidRPr="00817662">
        <w:rPr>
          <w:rFonts w:cs="Arial"/>
          <w:sz w:val="22"/>
          <w:szCs w:val="22"/>
        </w:rPr>
        <w:t xml:space="preserve">, which suggests that White people are </w:t>
      </w:r>
      <w:r w:rsidR="003C7666" w:rsidRPr="00817662">
        <w:rPr>
          <w:rFonts w:cs="Arial"/>
          <w:sz w:val="22"/>
          <w:szCs w:val="22"/>
        </w:rPr>
        <w:t xml:space="preserve">less likely to appointed </w:t>
      </w:r>
      <w:r w:rsidRPr="00817662">
        <w:rPr>
          <w:rFonts w:cs="Arial"/>
          <w:sz w:val="22"/>
          <w:szCs w:val="22"/>
        </w:rPr>
        <w:t xml:space="preserve">from shortlist compared to Black, Asian, and Minority Ethnic/Global Majority people.  </w:t>
      </w:r>
    </w:p>
    <w:tbl>
      <w:tblPr>
        <w:tblW w:w="9497" w:type="dxa"/>
        <w:tblInd w:w="699" w:type="dxa"/>
        <w:tblCellMar>
          <w:left w:w="0" w:type="dxa"/>
          <w:right w:w="0" w:type="dxa"/>
        </w:tblCellMar>
        <w:tblLook w:val="0420" w:firstRow="1" w:lastRow="0" w:firstColumn="0" w:lastColumn="0" w:noHBand="0" w:noVBand="1"/>
      </w:tblPr>
      <w:tblGrid>
        <w:gridCol w:w="1860"/>
        <w:gridCol w:w="1900"/>
        <w:gridCol w:w="5737"/>
      </w:tblGrid>
      <w:tr w:rsidR="001161FD" w:rsidRPr="00817662" w14:paraId="0A73A2D0" w14:textId="77777777" w:rsidTr="001161FD">
        <w:trPr>
          <w:trHeight w:val="584"/>
        </w:trPr>
        <w:tc>
          <w:tcPr>
            <w:tcW w:w="186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317D0E17" w14:textId="77777777" w:rsidR="005604F0" w:rsidRPr="00817662" w:rsidRDefault="005604F0" w:rsidP="005604F0">
            <w:pPr>
              <w:spacing w:after="120"/>
              <w:ind w:left="705" w:right="260"/>
              <w:jc w:val="both"/>
              <w:rPr>
                <w:rFonts w:cs="Arial"/>
                <w:color w:val="FFFFFF" w:themeColor="background1"/>
                <w:sz w:val="22"/>
                <w:szCs w:val="22"/>
              </w:rPr>
            </w:pPr>
            <w:r w:rsidRPr="00817662">
              <w:rPr>
                <w:rFonts w:cs="Arial"/>
                <w:b/>
                <w:bCs/>
                <w:color w:val="FFFFFF" w:themeColor="background1"/>
                <w:sz w:val="22"/>
                <w:szCs w:val="22"/>
              </w:rPr>
              <w:t>202</w:t>
            </w:r>
            <w:r w:rsidR="00897C27">
              <w:rPr>
                <w:rFonts w:cs="Arial"/>
                <w:b/>
                <w:bCs/>
                <w:color w:val="FFFFFF" w:themeColor="background1"/>
                <w:sz w:val="22"/>
                <w:szCs w:val="22"/>
              </w:rPr>
              <w:t>4</w:t>
            </w:r>
          </w:p>
        </w:tc>
        <w:tc>
          <w:tcPr>
            <w:tcW w:w="190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25924FEA" w14:textId="77777777" w:rsidR="005604F0" w:rsidRPr="00817662" w:rsidRDefault="005604F0" w:rsidP="005604F0">
            <w:pPr>
              <w:spacing w:after="120"/>
              <w:ind w:left="705" w:right="260"/>
              <w:jc w:val="both"/>
              <w:rPr>
                <w:rFonts w:cs="Arial"/>
                <w:color w:val="FFFFFF" w:themeColor="background1"/>
                <w:sz w:val="22"/>
                <w:szCs w:val="22"/>
              </w:rPr>
            </w:pPr>
            <w:r w:rsidRPr="00817662">
              <w:rPr>
                <w:rFonts w:cs="Arial"/>
                <w:b/>
                <w:bCs/>
                <w:color w:val="FFFFFF" w:themeColor="background1"/>
                <w:sz w:val="22"/>
                <w:szCs w:val="22"/>
              </w:rPr>
              <w:t>202</w:t>
            </w:r>
            <w:r w:rsidR="00897C27">
              <w:rPr>
                <w:rFonts w:cs="Arial"/>
                <w:b/>
                <w:bCs/>
                <w:color w:val="FFFFFF" w:themeColor="background1"/>
                <w:sz w:val="22"/>
                <w:szCs w:val="22"/>
              </w:rPr>
              <w:t>5</w:t>
            </w:r>
          </w:p>
        </w:tc>
        <w:tc>
          <w:tcPr>
            <w:tcW w:w="5737"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79108963" w14:textId="77777777" w:rsidR="005604F0" w:rsidRPr="00817662" w:rsidRDefault="005604F0" w:rsidP="005604F0">
            <w:pPr>
              <w:spacing w:after="120"/>
              <w:ind w:left="705" w:right="260"/>
              <w:jc w:val="both"/>
              <w:rPr>
                <w:rFonts w:cs="Arial"/>
                <w:color w:val="FFFFFF" w:themeColor="background1"/>
                <w:sz w:val="22"/>
                <w:szCs w:val="22"/>
              </w:rPr>
            </w:pPr>
            <w:r w:rsidRPr="00817662">
              <w:rPr>
                <w:rFonts w:cs="Arial"/>
                <w:b/>
                <w:bCs/>
                <w:color w:val="FFFFFF" w:themeColor="background1"/>
                <w:sz w:val="22"/>
                <w:szCs w:val="22"/>
              </w:rPr>
              <w:t>Comment</w:t>
            </w:r>
          </w:p>
        </w:tc>
      </w:tr>
      <w:tr w:rsidR="005604F0" w:rsidRPr="00817662" w14:paraId="566669B8" w14:textId="77777777" w:rsidTr="005604F0">
        <w:trPr>
          <w:trHeight w:val="584"/>
        </w:trPr>
        <w:tc>
          <w:tcPr>
            <w:tcW w:w="186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1139C52E" w14:textId="77777777" w:rsidR="005604F0" w:rsidRPr="00817662" w:rsidRDefault="00897C27" w:rsidP="005604F0">
            <w:pPr>
              <w:spacing w:after="120"/>
              <w:ind w:left="705" w:right="260"/>
              <w:jc w:val="both"/>
              <w:rPr>
                <w:rFonts w:cs="Arial"/>
                <w:sz w:val="22"/>
                <w:szCs w:val="22"/>
              </w:rPr>
            </w:pPr>
            <w:r>
              <w:rPr>
                <w:rFonts w:cs="Arial"/>
                <w:sz w:val="22"/>
                <w:szCs w:val="22"/>
              </w:rPr>
              <w:t>0.49</w:t>
            </w:r>
          </w:p>
        </w:tc>
        <w:tc>
          <w:tcPr>
            <w:tcW w:w="190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704E315A" w14:textId="77777777" w:rsidR="005604F0" w:rsidRPr="00817662" w:rsidRDefault="00897C27" w:rsidP="005604F0">
            <w:pPr>
              <w:spacing w:after="120"/>
              <w:ind w:left="705" w:right="260"/>
              <w:jc w:val="both"/>
              <w:rPr>
                <w:rFonts w:cs="Arial"/>
                <w:sz w:val="22"/>
                <w:szCs w:val="22"/>
              </w:rPr>
            </w:pPr>
            <w:r>
              <w:rPr>
                <w:rFonts w:cs="Arial"/>
                <w:sz w:val="22"/>
                <w:szCs w:val="22"/>
              </w:rPr>
              <w:t>3.3</w:t>
            </w:r>
          </w:p>
        </w:tc>
        <w:tc>
          <w:tcPr>
            <w:tcW w:w="5737"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02C83A04" w14:textId="77777777" w:rsidR="005604F0" w:rsidRPr="00817662" w:rsidRDefault="001D5E2D" w:rsidP="001161FD">
            <w:pPr>
              <w:spacing w:after="120"/>
              <w:ind w:left="705" w:right="260"/>
              <w:jc w:val="both"/>
              <w:rPr>
                <w:rFonts w:cs="Arial"/>
                <w:sz w:val="22"/>
                <w:szCs w:val="22"/>
              </w:rPr>
            </w:pPr>
            <w:r>
              <w:rPr>
                <w:rFonts w:cs="Arial"/>
                <w:sz w:val="22"/>
                <w:szCs w:val="22"/>
              </w:rPr>
              <w:t>This is very significant deterioration from the previous year. Higher volumes of applications, following the cessation of direct international recruitment could be a reason for the shift; but further investigation of patterns of recruitment are needed. Declaration rates for ethnicity, although high in the workforce, are lower at recruitment.</w:t>
            </w:r>
          </w:p>
        </w:tc>
      </w:tr>
    </w:tbl>
    <w:p w14:paraId="31F28F83" w14:textId="77777777" w:rsidR="005604F0" w:rsidRPr="00817662" w:rsidRDefault="005604F0" w:rsidP="00F0075C">
      <w:pPr>
        <w:spacing w:after="120"/>
        <w:ind w:left="705" w:right="260"/>
        <w:jc w:val="both"/>
        <w:rPr>
          <w:rFonts w:cs="Arial"/>
          <w:sz w:val="22"/>
          <w:szCs w:val="22"/>
        </w:rPr>
      </w:pPr>
    </w:p>
    <w:p w14:paraId="41787300" w14:textId="77777777" w:rsidR="00F0075C" w:rsidRPr="00817662" w:rsidRDefault="003C7666" w:rsidP="00F0075C">
      <w:pPr>
        <w:spacing w:after="120"/>
        <w:ind w:left="705" w:right="260"/>
        <w:jc w:val="both"/>
        <w:rPr>
          <w:rFonts w:cs="Arial"/>
          <w:sz w:val="22"/>
          <w:szCs w:val="22"/>
        </w:rPr>
      </w:pPr>
      <w:r w:rsidRPr="00817662">
        <w:rPr>
          <w:rFonts w:cs="Arial"/>
          <w:sz w:val="22"/>
          <w:szCs w:val="22"/>
        </w:rPr>
        <w:lastRenderedPageBreak/>
        <w:t>However, significant work at the Band 5/6 threshold ha</w:t>
      </w:r>
      <w:r w:rsidR="001D5E2D">
        <w:rPr>
          <w:rFonts w:cs="Arial"/>
          <w:sz w:val="22"/>
          <w:szCs w:val="22"/>
        </w:rPr>
        <w:t>d</w:t>
      </w:r>
      <w:r w:rsidRPr="00817662">
        <w:rPr>
          <w:rFonts w:cs="Arial"/>
          <w:sz w:val="22"/>
          <w:szCs w:val="22"/>
        </w:rPr>
        <w:t xml:space="preserve"> been done </w:t>
      </w:r>
      <w:r w:rsidR="001D5E2D">
        <w:rPr>
          <w:rFonts w:cs="Arial"/>
          <w:sz w:val="22"/>
          <w:szCs w:val="22"/>
        </w:rPr>
        <w:t xml:space="preserve">in the previous two years </w:t>
      </w:r>
      <w:r w:rsidRPr="00817662">
        <w:rPr>
          <w:rFonts w:cs="Arial"/>
          <w:sz w:val="22"/>
          <w:szCs w:val="22"/>
        </w:rPr>
        <w:t>to promote the development of nursing staff.</w:t>
      </w:r>
    </w:p>
    <w:p w14:paraId="44E09BBE" w14:textId="77777777" w:rsidR="00F0075C" w:rsidRPr="00817662" w:rsidRDefault="00F0075C" w:rsidP="00F0075C">
      <w:pPr>
        <w:numPr>
          <w:ilvl w:val="1"/>
          <w:numId w:val="28"/>
        </w:numPr>
        <w:spacing w:after="120"/>
        <w:ind w:right="260"/>
        <w:jc w:val="both"/>
        <w:rPr>
          <w:rFonts w:cs="Arial"/>
          <w:b/>
          <w:sz w:val="22"/>
          <w:szCs w:val="22"/>
        </w:rPr>
      </w:pPr>
      <w:r w:rsidRPr="00817662">
        <w:rPr>
          <w:rFonts w:cs="Arial"/>
          <w:b/>
          <w:sz w:val="22"/>
          <w:szCs w:val="22"/>
        </w:rPr>
        <w:t xml:space="preserve">Indicator 3 </w:t>
      </w:r>
      <w:r w:rsidRPr="00817662">
        <w:rPr>
          <w:rFonts w:cs="Arial"/>
          <w:sz w:val="22"/>
          <w:szCs w:val="22"/>
        </w:rPr>
        <w:t xml:space="preserve">- Relative likelihood of staff entering the formal disciplinary process, as measured by entry into a formal disciplinary investigation.  </w:t>
      </w:r>
      <w:r w:rsidRPr="00817662">
        <w:rPr>
          <w:rFonts w:cs="Arial"/>
          <w:b/>
          <w:sz w:val="22"/>
          <w:szCs w:val="22"/>
        </w:rPr>
        <w:t>Performance in 202</w:t>
      </w:r>
      <w:r w:rsidR="00596154">
        <w:rPr>
          <w:rFonts w:cs="Arial"/>
          <w:b/>
          <w:sz w:val="22"/>
          <w:szCs w:val="22"/>
        </w:rPr>
        <w:t>5</w:t>
      </w:r>
      <w:r w:rsidRPr="00817662">
        <w:rPr>
          <w:rFonts w:cs="Arial"/>
          <w:b/>
          <w:sz w:val="22"/>
          <w:szCs w:val="22"/>
        </w:rPr>
        <w:t>:1.</w:t>
      </w:r>
      <w:r w:rsidR="00596154">
        <w:rPr>
          <w:rFonts w:cs="Arial"/>
          <w:b/>
          <w:sz w:val="22"/>
          <w:szCs w:val="22"/>
        </w:rPr>
        <w:t>2</w:t>
      </w:r>
      <w:r w:rsidRPr="00817662">
        <w:rPr>
          <w:rFonts w:cs="Arial"/>
          <w:b/>
          <w:sz w:val="22"/>
          <w:szCs w:val="22"/>
        </w:rPr>
        <w:t>6</w:t>
      </w:r>
    </w:p>
    <w:p w14:paraId="77C3B292" w14:textId="77777777" w:rsidR="004F772E" w:rsidRPr="00817662" w:rsidRDefault="004F772E" w:rsidP="00F0075C">
      <w:pPr>
        <w:spacing w:after="240"/>
        <w:ind w:left="709" w:right="260" w:hanging="4"/>
        <w:jc w:val="both"/>
        <w:rPr>
          <w:rFonts w:cs="Arial"/>
          <w:sz w:val="22"/>
          <w:szCs w:val="22"/>
        </w:rPr>
      </w:pPr>
      <w:r w:rsidRPr="00817662">
        <w:rPr>
          <w:rFonts w:cs="Arial"/>
          <w:sz w:val="22"/>
          <w:szCs w:val="22"/>
        </w:rPr>
        <w:t xml:space="preserve">This is </w:t>
      </w:r>
      <w:r w:rsidR="00596154">
        <w:rPr>
          <w:rFonts w:cs="Arial"/>
          <w:sz w:val="22"/>
          <w:szCs w:val="22"/>
        </w:rPr>
        <w:t>an improvement form 2024</w:t>
      </w:r>
    </w:p>
    <w:p w14:paraId="29A6701E" w14:textId="77777777" w:rsidR="00F0075C" w:rsidRPr="00817662" w:rsidRDefault="00F0075C" w:rsidP="00F0075C">
      <w:pPr>
        <w:spacing w:after="240"/>
        <w:ind w:left="709" w:right="260" w:hanging="4"/>
        <w:jc w:val="both"/>
        <w:rPr>
          <w:rFonts w:cs="Arial"/>
          <w:b/>
          <w:sz w:val="22"/>
          <w:szCs w:val="22"/>
        </w:rPr>
      </w:pPr>
      <w:r w:rsidRPr="00817662">
        <w:rPr>
          <w:rFonts w:cs="Arial"/>
          <w:sz w:val="22"/>
          <w:szCs w:val="22"/>
        </w:rPr>
        <w:t>Likelihood of staff entering the formal disciplinary process, as measured by entry into a formal disciplinary investigation</w:t>
      </w:r>
    </w:p>
    <w:tbl>
      <w:tblPr>
        <w:tblStyle w:val="TableGrid"/>
        <w:tblW w:w="0" w:type="auto"/>
        <w:tblInd w:w="705" w:type="dxa"/>
        <w:tblLook w:val="04A0" w:firstRow="1" w:lastRow="0" w:firstColumn="1" w:lastColumn="0" w:noHBand="0" w:noVBand="1"/>
      </w:tblPr>
      <w:tblGrid>
        <w:gridCol w:w="2138"/>
        <w:gridCol w:w="2188"/>
        <w:gridCol w:w="2188"/>
        <w:gridCol w:w="2183"/>
      </w:tblGrid>
      <w:tr w:rsidR="001161FD" w:rsidRPr="00817662" w14:paraId="0A7D8C4C" w14:textId="77777777" w:rsidTr="001161FD">
        <w:tc>
          <w:tcPr>
            <w:tcW w:w="2138" w:type="dxa"/>
            <w:shd w:val="clear" w:color="auto" w:fill="0070C0"/>
          </w:tcPr>
          <w:p w14:paraId="71280A15" w14:textId="77777777" w:rsidR="00F0075C" w:rsidRPr="00817662" w:rsidRDefault="00F0075C" w:rsidP="00CD0676">
            <w:pPr>
              <w:spacing w:after="120"/>
              <w:ind w:right="260"/>
              <w:rPr>
                <w:rFonts w:cs="Arial"/>
                <w:color w:val="FFFFFF" w:themeColor="background1"/>
                <w:sz w:val="22"/>
                <w:szCs w:val="22"/>
              </w:rPr>
            </w:pPr>
            <w:r w:rsidRPr="00817662">
              <w:rPr>
                <w:rFonts w:cs="Arial"/>
                <w:color w:val="FFFFFF" w:themeColor="background1"/>
                <w:sz w:val="22"/>
                <w:szCs w:val="22"/>
              </w:rPr>
              <w:t>WRES year</w:t>
            </w:r>
            <w:r w:rsidRPr="00817662">
              <w:rPr>
                <w:rFonts w:cs="Arial"/>
                <w:color w:val="FFFFFF" w:themeColor="background1"/>
                <w:sz w:val="22"/>
                <w:szCs w:val="22"/>
              </w:rPr>
              <w:br/>
            </w:r>
          </w:p>
        </w:tc>
        <w:tc>
          <w:tcPr>
            <w:tcW w:w="2188" w:type="dxa"/>
            <w:shd w:val="clear" w:color="auto" w:fill="0070C0"/>
          </w:tcPr>
          <w:p w14:paraId="2817CA02" w14:textId="77777777" w:rsidR="00F0075C" w:rsidRPr="00817662" w:rsidRDefault="00F0075C" w:rsidP="00CD0676">
            <w:pPr>
              <w:spacing w:after="120"/>
              <w:ind w:right="260"/>
              <w:rPr>
                <w:rFonts w:cs="Arial"/>
                <w:color w:val="FFFFFF" w:themeColor="background1"/>
                <w:sz w:val="22"/>
                <w:szCs w:val="22"/>
              </w:rPr>
            </w:pPr>
            <w:r w:rsidRPr="00817662">
              <w:rPr>
                <w:rFonts w:cs="Arial"/>
                <w:color w:val="FFFFFF" w:themeColor="background1"/>
                <w:sz w:val="22"/>
                <w:szCs w:val="22"/>
              </w:rPr>
              <w:t>White employees</w:t>
            </w:r>
          </w:p>
        </w:tc>
        <w:tc>
          <w:tcPr>
            <w:tcW w:w="2188" w:type="dxa"/>
            <w:shd w:val="clear" w:color="auto" w:fill="0070C0"/>
          </w:tcPr>
          <w:p w14:paraId="33AD644D" w14:textId="77777777" w:rsidR="00F0075C" w:rsidRPr="00817662" w:rsidRDefault="00F0075C" w:rsidP="00CD0676">
            <w:pPr>
              <w:spacing w:after="120"/>
              <w:ind w:right="260"/>
              <w:rPr>
                <w:rFonts w:cs="Arial"/>
                <w:color w:val="FFFFFF" w:themeColor="background1"/>
                <w:sz w:val="22"/>
                <w:szCs w:val="22"/>
              </w:rPr>
            </w:pPr>
            <w:r w:rsidRPr="00817662">
              <w:rPr>
                <w:rFonts w:cs="Arial"/>
                <w:color w:val="FFFFFF" w:themeColor="background1"/>
                <w:sz w:val="22"/>
                <w:szCs w:val="22"/>
              </w:rPr>
              <w:t>BME employees</w:t>
            </w:r>
          </w:p>
        </w:tc>
        <w:tc>
          <w:tcPr>
            <w:tcW w:w="2183" w:type="dxa"/>
            <w:shd w:val="clear" w:color="auto" w:fill="0070C0"/>
          </w:tcPr>
          <w:p w14:paraId="1DEDB2F2" w14:textId="77777777" w:rsidR="00F0075C" w:rsidRPr="00817662" w:rsidRDefault="00F0075C" w:rsidP="00CD0676">
            <w:pPr>
              <w:spacing w:after="120"/>
              <w:ind w:right="260"/>
              <w:rPr>
                <w:rFonts w:cs="Arial"/>
                <w:b/>
                <w:color w:val="FFFFFF" w:themeColor="background1"/>
                <w:sz w:val="22"/>
                <w:szCs w:val="22"/>
              </w:rPr>
            </w:pPr>
            <w:r w:rsidRPr="00817662">
              <w:rPr>
                <w:rFonts w:cs="Arial"/>
                <w:b/>
                <w:color w:val="FFFFFF" w:themeColor="background1"/>
                <w:sz w:val="22"/>
                <w:szCs w:val="22"/>
              </w:rPr>
              <w:t>Relative likelihood (ratio)</w:t>
            </w:r>
          </w:p>
          <w:p w14:paraId="42F6A0A4" w14:textId="77777777" w:rsidR="00F0075C" w:rsidRPr="00817662" w:rsidRDefault="00F0075C" w:rsidP="00CD0676">
            <w:pPr>
              <w:spacing w:after="120"/>
              <w:ind w:right="260"/>
              <w:rPr>
                <w:rFonts w:cs="Arial"/>
                <w:color w:val="FFFFFF" w:themeColor="background1"/>
                <w:sz w:val="22"/>
                <w:szCs w:val="22"/>
              </w:rPr>
            </w:pPr>
            <w:r w:rsidRPr="00817662">
              <w:rPr>
                <w:rFonts w:cs="Arial"/>
                <w:color w:val="FFFFFF" w:themeColor="background1"/>
                <w:sz w:val="22"/>
                <w:szCs w:val="22"/>
              </w:rPr>
              <w:t>(1.00 = equality)</w:t>
            </w:r>
          </w:p>
        </w:tc>
      </w:tr>
      <w:tr w:rsidR="001D5E2D" w:rsidRPr="00817662" w14:paraId="532E8978" w14:textId="77777777" w:rsidTr="00CD0676">
        <w:tc>
          <w:tcPr>
            <w:tcW w:w="2138" w:type="dxa"/>
          </w:tcPr>
          <w:p w14:paraId="0D7BF57C" w14:textId="77777777" w:rsidR="001D5E2D" w:rsidRPr="00817662" w:rsidRDefault="001D5E2D" w:rsidP="00CD0676">
            <w:pPr>
              <w:spacing w:after="120"/>
              <w:ind w:right="260"/>
              <w:rPr>
                <w:rFonts w:cs="Arial"/>
                <w:sz w:val="22"/>
                <w:szCs w:val="22"/>
              </w:rPr>
            </w:pPr>
            <w:r>
              <w:rPr>
                <w:rFonts w:cs="Arial"/>
                <w:sz w:val="22"/>
                <w:szCs w:val="22"/>
              </w:rPr>
              <w:t>2025</w:t>
            </w:r>
          </w:p>
        </w:tc>
        <w:tc>
          <w:tcPr>
            <w:tcW w:w="2188" w:type="dxa"/>
          </w:tcPr>
          <w:p w14:paraId="67856086" w14:textId="77777777" w:rsidR="001D5E2D" w:rsidRPr="00817662" w:rsidRDefault="00596154" w:rsidP="00CD0676">
            <w:pPr>
              <w:spacing w:after="120" w:line="360" w:lineRule="auto"/>
              <w:ind w:right="260"/>
              <w:rPr>
                <w:rFonts w:cs="Arial"/>
                <w:sz w:val="22"/>
                <w:szCs w:val="22"/>
              </w:rPr>
            </w:pPr>
            <w:r>
              <w:rPr>
                <w:rFonts w:cs="Arial"/>
                <w:sz w:val="22"/>
                <w:szCs w:val="22"/>
              </w:rPr>
              <w:t>0.68%</w:t>
            </w:r>
          </w:p>
        </w:tc>
        <w:tc>
          <w:tcPr>
            <w:tcW w:w="2188" w:type="dxa"/>
          </w:tcPr>
          <w:p w14:paraId="02D4E3A7" w14:textId="77777777" w:rsidR="001D5E2D" w:rsidRPr="00817662" w:rsidRDefault="00596154" w:rsidP="00CD0676">
            <w:pPr>
              <w:spacing w:after="120"/>
              <w:ind w:right="260"/>
              <w:rPr>
                <w:rFonts w:cs="Arial"/>
                <w:sz w:val="22"/>
                <w:szCs w:val="22"/>
              </w:rPr>
            </w:pPr>
            <w:r>
              <w:rPr>
                <w:rFonts w:cs="Arial"/>
                <w:sz w:val="22"/>
                <w:szCs w:val="22"/>
              </w:rPr>
              <w:t>0.86%</w:t>
            </w:r>
          </w:p>
        </w:tc>
        <w:tc>
          <w:tcPr>
            <w:tcW w:w="2183" w:type="dxa"/>
          </w:tcPr>
          <w:p w14:paraId="3C2E3185" w14:textId="77777777" w:rsidR="001D5E2D" w:rsidRPr="00817662" w:rsidRDefault="00596154" w:rsidP="00CD0676">
            <w:pPr>
              <w:spacing w:after="120"/>
              <w:ind w:right="260"/>
              <w:rPr>
                <w:rFonts w:cs="Arial"/>
                <w:sz w:val="22"/>
                <w:szCs w:val="22"/>
              </w:rPr>
            </w:pPr>
            <w:r>
              <w:rPr>
                <w:rFonts w:cs="Arial"/>
                <w:sz w:val="22"/>
                <w:szCs w:val="22"/>
              </w:rPr>
              <w:t>1.26</w:t>
            </w:r>
          </w:p>
        </w:tc>
      </w:tr>
      <w:tr w:rsidR="004F772E" w:rsidRPr="00817662" w14:paraId="72C9CBC8" w14:textId="77777777" w:rsidTr="00CD0676">
        <w:tc>
          <w:tcPr>
            <w:tcW w:w="2138" w:type="dxa"/>
          </w:tcPr>
          <w:p w14:paraId="3B5C9C62" w14:textId="77777777" w:rsidR="004F772E" w:rsidRPr="00817662" w:rsidRDefault="004F772E" w:rsidP="00CD0676">
            <w:pPr>
              <w:spacing w:after="120"/>
              <w:ind w:right="260"/>
              <w:rPr>
                <w:rFonts w:cs="Arial"/>
                <w:sz w:val="22"/>
                <w:szCs w:val="22"/>
              </w:rPr>
            </w:pPr>
            <w:r w:rsidRPr="00817662">
              <w:rPr>
                <w:rFonts w:cs="Arial"/>
                <w:sz w:val="22"/>
                <w:szCs w:val="22"/>
              </w:rPr>
              <w:t>2024</w:t>
            </w:r>
          </w:p>
        </w:tc>
        <w:tc>
          <w:tcPr>
            <w:tcW w:w="2188" w:type="dxa"/>
          </w:tcPr>
          <w:p w14:paraId="6AE822A2" w14:textId="77777777" w:rsidR="004F772E" w:rsidRPr="00817662" w:rsidRDefault="004F772E" w:rsidP="00CD0676">
            <w:pPr>
              <w:spacing w:after="120" w:line="360" w:lineRule="auto"/>
              <w:ind w:right="260"/>
              <w:rPr>
                <w:rFonts w:cs="Arial"/>
                <w:sz w:val="22"/>
                <w:szCs w:val="22"/>
              </w:rPr>
            </w:pPr>
            <w:r w:rsidRPr="00817662">
              <w:rPr>
                <w:rFonts w:cs="Arial"/>
                <w:sz w:val="22"/>
                <w:szCs w:val="22"/>
              </w:rPr>
              <w:t>0.59%</w:t>
            </w:r>
          </w:p>
        </w:tc>
        <w:tc>
          <w:tcPr>
            <w:tcW w:w="2188" w:type="dxa"/>
          </w:tcPr>
          <w:p w14:paraId="6685822E" w14:textId="77777777" w:rsidR="004F772E" w:rsidRPr="00817662" w:rsidRDefault="0003275E" w:rsidP="00CD0676">
            <w:pPr>
              <w:spacing w:after="120"/>
              <w:ind w:right="260"/>
              <w:rPr>
                <w:rFonts w:cs="Arial"/>
                <w:sz w:val="22"/>
                <w:szCs w:val="22"/>
              </w:rPr>
            </w:pPr>
            <w:r w:rsidRPr="00817662">
              <w:rPr>
                <w:rFonts w:cs="Arial"/>
                <w:sz w:val="22"/>
                <w:szCs w:val="22"/>
              </w:rPr>
              <w:t>0.98%</w:t>
            </w:r>
          </w:p>
        </w:tc>
        <w:tc>
          <w:tcPr>
            <w:tcW w:w="2183" w:type="dxa"/>
          </w:tcPr>
          <w:p w14:paraId="2AE01D1E" w14:textId="77777777" w:rsidR="004F772E" w:rsidRPr="00817662" w:rsidRDefault="004F772E" w:rsidP="00CD0676">
            <w:pPr>
              <w:spacing w:after="120"/>
              <w:ind w:right="260"/>
              <w:rPr>
                <w:rFonts w:cs="Arial"/>
                <w:sz w:val="22"/>
                <w:szCs w:val="22"/>
              </w:rPr>
            </w:pPr>
            <w:r w:rsidRPr="00817662">
              <w:rPr>
                <w:rFonts w:cs="Arial"/>
                <w:sz w:val="22"/>
                <w:szCs w:val="22"/>
              </w:rPr>
              <w:t>1.66</w:t>
            </w:r>
          </w:p>
        </w:tc>
      </w:tr>
      <w:tr w:rsidR="00F0075C" w:rsidRPr="00817662" w14:paraId="75C079AA" w14:textId="77777777" w:rsidTr="00CD0676">
        <w:tc>
          <w:tcPr>
            <w:tcW w:w="2138" w:type="dxa"/>
          </w:tcPr>
          <w:p w14:paraId="429BA73A" w14:textId="77777777" w:rsidR="00F0075C" w:rsidRPr="00817662" w:rsidRDefault="00F0075C" w:rsidP="00CD0676">
            <w:pPr>
              <w:spacing w:after="120"/>
              <w:ind w:right="260"/>
              <w:rPr>
                <w:rFonts w:cs="Arial"/>
                <w:sz w:val="22"/>
                <w:szCs w:val="22"/>
              </w:rPr>
            </w:pPr>
            <w:r w:rsidRPr="00817662">
              <w:rPr>
                <w:rFonts w:cs="Arial"/>
                <w:sz w:val="22"/>
                <w:szCs w:val="22"/>
              </w:rPr>
              <w:t>2023</w:t>
            </w:r>
          </w:p>
        </w:tc>
        <w:tc>
          <w:tcPr>
            <w:tcW w:w="2188" w:type="dxa"/>
          </w:tcPr>
          <w:p w14:paraId="686B2160" w14:textId="77777777" w:rsidR="00F0075C" w:rsidRPr="00817662" w:rsidRDefault="00F0075C" w:rsidP="00CD0676">
            <w:pPr>
              <w:spacing w:after="120" w:line="360" w:lineRule="auto"/>
              <w:ind w:right="260"/>
              <w:rPr>
                <w:rFonts w:cs="Arial"/>
                <w:sz w:val="22"/>
                <w:szCs w:val="22"/>
              </w:rPr>
            </w:pPr>
            <w:r w:rsidRPr="00817662">
              <w:rPr>
                <w:rFonts w:cs="Arial"/>
                <w:sz w:val="22"/>
                <w:szCs w:val="22"/>
              </w:rPr>
              <w:t>0.58%</w:t>
            </w:r>
          </w:p>
        </w:tc>
        <w:tc>
          <w:tcPr>
            <w:tcW w:w="2188" w:type="dxa"/>
          </w:tcPr>
          <w:p w14:paraId="70EC60C0" w14:textId="77777777" w:rsidR="00F0075C" w:rsidRPr="00817662" w:rsidRDefault="00F0075C" w:rsidP="00CD0676">
            <w:pPr>
              <w:spacing w:after="120"/>
              <w:ind w:right="260"/>
              <w:rPr>
                <w:rFonts w:cs="Arial"/>
                <w:sz w:val="22"/>
                <w:szCs w:val="22"/>
              </w:rPr>
            </w:pPr>
            <w:r w:rsidRPr="00817662">
              <w:rPr>
                <w:rFonts w:cs="Arial"/>
                <w:sz w:val="22"/>
                <w:szCs w:val="22"/>
              </w:rPr>
              <w:t>0.62%</w:t>
            </w:r>
          </w:p>
        </w:tc>
        <w:tc>
          <w:tcPr>
            <w:tcW w:w="2183" w:type="dxa"/>
          </w:tcPr>
          <w:p w14:paraId="37488FC6" w14:textId="77777777" w:rsidR="00F0075C" w:rsidRPr="00817662" w:rsidRDefault="00F0075C" w:rsidP="00CD0676">
            <w:pPr>
              <w:spacing w:after="120"/>
              <w:ind w:right="260"/>
              <w:rPr>
                <w:rFonts w:cs="Arial"/>
                <w:sz w:val="22"/>
                <w:szCs w:val="22"/>
              </w:rPr>
            </w:pPr>
            <w:r w:rsidRPr="00817662">
              <w:rPr>
                <w:rFonts w:cs="Arial"/>
                <w:sz w:val="22"/>
                <w:szCs w:val="22"/>
              </w:rPr>
              <w:t>1.06</w:t>
            </w:r>
          </w:p>
        </w:tc>
      </w:tr>
      <w:tr w:rsidR="00F0075C" w:rsidRPr="00817662" w14:paraId="27341315" w14:textId="77777777" w:rsidTr="00CD0676">
        <w:tc>
          <w:tcPr>
            <w:tcW w:w="2138" w:type="dxa"/>
          </w:tcPr>
          <w:p w14:paraId="74086DAF" w14:textId="77777777" w:rsidR="00F0075C" w:rsidRPr="00817662" w:rsidRDefault="00F0075C" w:rsidP="00CD0676">
            <w:pPr>
              <w:spacing w:after="120"/>
              <w:ind w:right="260"/>
              <w:rPr>
                <w:rFonts w:cs="Arial"/>
                <w:sz w:val="22"/>
                <w:szCs w:val="22"/>
              </w:rPr>
            </w:pPr>
            <w:r w:rsidRPr="00817662">
              <w:rPr>
                <w:rFonts w:cs="Arial"/>
                <w:sz w:val="22"/>
                <w:szCs w:val="22"/>
              </w:rPr>
              <w:t>2022</w:t>
            </w:r>
          </w:p>
        </w:tc>
        <w:tc>
          <w:tcPr>
            <w:tcW w:w="2188" w:type="dxa"/>
          </w:tcPr>
          <w:p w14:paraId="0264C73E" w14:textId="77777777" w:rsidR="00F0075C" w:rsidRPr="00817662" w:rsidRDefault="00F0075C" w:rsidP="00CD0676">
            <w:pPr>
              <w:spacing w:after="120"/>
              <w:ind w:right="260"/>
              <w:rPr>
                <w:rFonts w:cs="Arial"/>
                <w:sz w:val="22"/>
                <w:szCs w:val="22"/>
              </w:rPr>
            </w:pPr>
            <w:r w:rsidRPr="00817662">
              <w:rPr>
                <w:rFonts w:cs="Arial"/>
                <w:sz w:val="22"/>
                <w:szCs w:val="22"/>
              </w:rPr>
              <w:t>0.5%</w:t>
            </w:r>
          </w:p>
        </w:tc>
        <w:tc>
          <w:tcPr>
            <w:tcW w:w="2188" w:type="dxa"/>
          </w:tcPr>
          <w:p w14:paraId="6F3C41F4" w14:textId="77777777" w:rsidR="00F0075C" w:rsidRPr="00817662" w:rsidRDefault="00F0075C" w:rsidP="00CD0676">
            <w:pPr>
              <w:spacing w:after="120"/>
              <w:ind w:right="260"/>
              <w:rPr>
                <w:rFonts w:cs="Arial"/>
                <w:sz w:val="22"/>
                <w:szCs w:val="22"/>
              </w:rPr>
            </w:pPr>
            <w:r w:rsidRPr="00817662">
              <w:rPr>
                <w:rFonts w:cs="Arial"/>
                <w:sz w:val="22"/>
                <w:szCs w:val="22"/>
              </w:rPr>
              <w:t>0.4%</w:t>
            </w:r>
          </w:p>
        </w:tc>
        <w:tc>
          <w:tcPr>
            <w:tcW w:w="2183" w:type="dxa"/>
          </w:tcPr>
          <w:p w14:paraId="75BB22D4" w14:textId="77777777" w:rsidR="00F0075C" w:rsidRPr="00817662" w:rsidRDefault="00F0075C" w:rsidP="00CD0676">
            <w:pPr>
              <w:spacing w:after="120"/>
              <w:ind w:right="260"/>
              <w:rPr>
                <w:rFonts w:cs="Arial"/>
                <w:sz w:val="22"/>
                <w:szCs w:val="22"/>
              </w:rPr>
            </w:pPr>
            <w:r w:rsidRPr="00817662">
              <w:rPr>
                <w:rFonts w:cs="Arial"/>
                <w:sz w:val="22"/>
                <w:szCs w:val="22"/>
              </w:rPr>
              <w:t>0.80</w:t>
            </w:r>
          </w:p>
        </w:tc>
      </w:tr>
      <w:tr w:rsidR="00F0075C" w:rsidRPr="00817662" w14:paraId="15847C60" w14:textId="77777777" w:rsidTr="00CD0676">
        <w:tc>
          <w:tcPr>
            <w:tcW w:w="2138" w:type="dxa"/>
          </w:tcPr>
          <w:p w14:paraId="13CCCE0B" w14:textId="77777777" w:rsidR="00F0075C" w:rsidRPr="00817662" w:rsidRDefault="00F0075C" w:rsidP="00CD0676">
            <w:pPr>
              <w:spacing w:after="120"/>
              <w:ind w:right="260"/>
              <w:rPr>
                <w:rFonts w:cs="Arial"/>
                <w:sz w:val="22"/>
                <w:szCs w:val="22"/>
              </w:rPr>
            </w:pPr>
            <w:r w:rsidRPr="00817662">
              <w:rPr>
                <w:rFonts w:cs="Arial"/>
                <w:sz w:val="22"/>
                <w:szCs w:val="22"/>
              </w:rPr>
              <w:t>2021</w:t>
            </w:r>
          </w:p>
        </w:tc>
        <w:tc>
          <w:tcPr>
            <w:tcW w:w="2188" w:type="dxa"/>
          </w:tcPr>
          <w:p w14:paraId="3309456D" w14:textId="77777777" w:rsidR="00F0075C" w:rsidRPr="00817662" w:rsidRDefault="00F0075C" w:rsidP="00CD0676">
            <w:pPr>
              <w:spacing w:after="120"/>
              <w:ind w:right="260"/>
              <w:rPr>
                <w:rFonts w:cs="Arial"/>
                <w:sz w:val="22"/>
                <w:szCs w:val="22"/>
              </w:rPr>
            </w:pPr>
            <w:r w:rsidRPr="00817662">
              <w:rPr>
                <w:rFonts w:cs="Arial"/>
                <w:sz w:val="22"/>
                <w:szCs w:val="22"/>
              </w:rPr>
              <w:t>0.74%</w:t>
            </w:r>
          </w:p>
        </w:tc>
        <w:tc>
          <w:tcPr>
            <w:tcW w:w="2188" w:type="dxa"/>
          </w:tcPr>
          <w:p w14:paraId="05B940BE" w14:textId="77777777" w:rsidR="00F0075C" w:rsidRPr="00817662" w:rsidRDefault="00F0075C" w:rsidP="00CD0676">
            <w:pPr>
              <w:spacing w:after="120"/>
              <w:ind w:right="260"/>
              <w:rPr>
                <w:rFonts w:cs="Arial"/>
                <w:sz w:val="22"/>
                <w:szCs w:val="22"/>
              </w:rPr>
            </w:pPr>
            <w:r w:rsidRPr="00817662">
              <w:rPr>
                <w:rFonts w:cs="Arial"/>
                <w:sz w:val="22"/>
                <w:szCs w:val="22"/>
              </w:rPr>
              <w:t>0.76%</w:t>
            </w:r>
          </w:p>
        </w:tc>
        <w:tc>
          <w:tcPr>
            <w:tcW w:w="2183" w:type="dxa"/>
          </w:tcPr>
          <w:p w14:paraId="2EF559D8" w14:textId="77777777" w:rsidR="00F0075C" w:rsidRPr="00817662" w:rsidRDefault="00F0075C" w:rsidP="00CD0676">
            <w:pPr>
              <w:spacing w:after="120"/>
              <w:ind w:right="260"/>
              <w:rPr>
                <w:rFonts w:cs="Arial"/>
                <w:sz w:val="22"/>
                <w:szCs w:val="22"/>
              </w:rPr>
            </w:pPr>
            <w:r w:rsidRPr="00817662">
              <w:rPr>
                <w:rFonts w:cs="Arial"/>
                <w:sz w:val="22"/>
                <w:szCs w:val="22"/>
              </w:rPr>
              <w:t>1.03</w:t>
            </w:r>
          </w:p>
        </w:tc>
      </w:tr>
      <w:tr w:rsidR="00F0075C" w:rsidRPr="00817662" w14:paraId="5143BA49" w14:textId="77777777" w:rsidTr="00CD0676">
        <w:tc>
          <w:tcPr>
            <w:tcW w:w="2138" w:type="dxa"/>
          </w:tcPr>
          <w:p w14:paraId="16A43E9A" w14:textId="77777777" w:rsidR="00F0075C" w:rsidRPr="00817662" w:rsidRDefault="00F0075C" w:rsidP="00CD0676">
            <w:pPr>
              <w:spacing w:after="120"/>
              <w:ind w:right="260"/>
              <w:rPr>
                <w:rFonts w:cs="Arial"/>
                <w:sz w:val="22"/>
                <w:szCs w:val="22"/>
              </w:rPr>
            </w:pPr>
            <w:r w:rsidRPr="00817662">
              <w:rPr>
                <w:rFonts w:cs="Arial"/>
                <w:sz w:val="22"/>
                <w:szCs w:val="22"/>
              </w:rPr>
              <w:t>2020</w:t>
            </w:r>
          </w:p>
        </w:tc>
        <w:tc>
          <w:tcPr>
            <w:tcW w:w="2188" w:type="dxa"/>
          </w:tcPr>
          <w:p w14:paraId="3602579D" w14:textId="77777777" w:rsidR="00F0075C" w:rsidRPr="00817662" w:rsidRDefault="00F0075C" w:rsidP="00CD0676">
            <w:pPr>
              <w:spacing w:after="120"/>
              <w:ind w:right="260"/>
              <w:rPr>
                <w:rFonts w:cs="Arial"/>
                <w:sz w:val="22"/>
                <w:szCs w:val="22"/>
              </w:rPr>
            </w:pPr>
            <w:r w:rsidRPr="00817662">
              <w:rPr>
                <w:rFonts w:cs="Arial"/>
                <w:sz w:val="22"/>
                <w:szCs w:val="22"/>
              </w:rPr>
              <w:t>1.53%</w:t>
            </w:r>
          </w:p>
        </w:tc>
        <w:tc>
          <w:tcPr>
            <w:tcW w:w="2188" w:type="dxa"/>
          </w:tcPr>
          <w:p w14:paraId="12E7E852" w14:textId="77777777" w:rsidR="00F0075C" w:rsidRPr="00817662" w:rsidRDefault="00F0075C" w:rsidP="00CD0676">
            <w:pPr>
              <w:spacing w:after="120"/>
              <w:ind w:right="260"/>
              <w:rPr>
                <w:rFonts w:cs="Arial"/>
                <w:sz w:val="22"/>
                <w:szCs w:val="22"/>
              </w:rPr>
            </w:pPr>
            <w:r w:rsidRPr="00817662">
              <w:rPr>
                <w:rFonts w:cs="Arial"/>
                <w:sz w:val="22"/>
                <w:szCs w:val="22"/>
              </w:rPr>
              <w:t>0.90%</w:t>
            </w:r>
          </w:p>
        </w:tc>
        <w:tc>
          <w:tcPr>
            <w:tcW w:w="2183" w:type="dxa"/>
          </w:tcPr>
          <w:p w14:paraId="65C853CD" w14:textId="77777777" w:rsidR="00F0075C" w:rsidRPr="00817662" w:rsidRDefault="00F0075C" w:rsidP="00CD0676">
            <w:pPr>
              <w:spacing w:after="120"/>
              <w:ind w:right="260"/>
              <w:rPr>
                <w:rFonts w:cs="Arial"/>
                <w:sz w:val="22"/>
                <w:szCs w:val="22"/>
              </w:rPr>
            </w:pPr>
            <w:r w:rsidRPr="00817662">
              <w:rPr>
                <w:rFonts w:cs="Arial"/>
                <w:sz w:val="22"/>
                <w:szCs w:val="22"/>
              </w:rPr>
              <w:t>0.59</w:t>
            </w:r>
          </w:p>
        </w:tc>
      </w:tr>
      <w:tr w:rsidR="00F0075C" w:rsidRPr="00817662" w14:paraId="46B6A9DA" w14:textId="77777777" w:rsidTr="00CD0676">
        <w:tc>
          <w:tcPr>
            <w:tcW w:w="2138" w:type="dxa"/>
          </w:tcPr>
          <w:p w14:paraId="2E4E620E" w14:textId="77777777" w:rsidR="00F0075C" w:rsidRPr="00817662" w:rsidRDefault="00F0075C" w:rsidP="00CD0676">
            <w:pPr>
              <w:spacing w:after="120"/>
              <w:ind w:right="260"/>
              <w:rPr>
                <w:rFonts w:cs="Arial"/>
                <w:sz w:val="22"/>
                <w:szCs w:val="22"/>
              </w:rPr>
            </w:pPr>
            <w:r w:rsidRPr="00817662">
              <w:rPr>
                <w:rFonts w:cs="Arial"/>
                <w:sz w:val="22"/>
                <w:szCs w:val="22"/>
              </w:rPr>
              <w:t>2019</w:t>
            </w:r>
          </w:p>
        </w:tc>
        <w:tc>
          <w:tcPr>
            <w:tcW w:w="2188" w:type="dxa"/>
          </w:tcPr>
          <w:p w14:paraId="10147D45" w14:textId="77777777" w:rsidR="00F0075C" w:rsidRPr="00817662" w:rsidRDefault="00F0075C" w:rsidP="00CD0676">
            <w:pPr>
              <w:spacing w:after="120"/>
              <w:ind w:right="260"/>
              <w:rPr>
                <w:rFonts w:cs="Arial"/>
                <w:sz w:val="22"/>
                <w:szCs w:val="22"/>
              </w:rPr>
            </w:pPr>
            <w:r w:rsidRPr="00817662">
              <w:rPr>
                <w:rFonts w:cs="Arial"/>
                <w:sz w:val="22"/>
                <w:szCs w:val="22"/>
              </w:rPr>
              <w:t>2.23%</w:t>
            </w:r>
          </w:p>
        </w:tc>
        <w:tc>
          <w:tcPr>
            <w:tcW w:w="2188" w:type="dxa"/>
          </w:tcPr>
          <w:p w14:paraId="7D166CCC" w14:textId="77777777" w:rsidR="00F0075C" w:rsidRPr="00817662" w:rsidRDefault="00F0075C" w:rsidP="00CD0676">
            <w:pPr>
              <w:spacing w:after="120"/>
              <w:ind w:right="260"/>
              <w:rPr>
                <w:rFonts w:cs="Arial"/>
                <w:sz w:val="22"/>
                <w:szCs w:val="22"/>
              </w:rPr>
            </w:pPr>
            <w:r w:rsidRPr="00817662">
              <w:rPr>
                <w:rFonts w:cs="Arial"/>
                <w:sz w:val="22"/>
                <w:szCs w:val="22"/>
              </w:rPr>
              <w:t>1.25%</w:t>
            </w:r>
          </w:p>
        </w:tc>
        <w:tc>
          <w:tcPr>
            <w:tcW w:w="2183" w:type="dxa"/>
          </w:tcPr>
          <w:p w14:paraId="6058B8CE" w14:textId="77777777" w:rsidR="00F0075C" w:rsidRPr="00817662" w:rsidRDefault="00F0075C" w:rsidP="00CD0676">
            <w:pPr>
              <w:spacing w:after="120"/>
              <w:ind w:right="260"/>
              <w:rPr>
                <w:rFonts w:cs="Arial"/>
                <w:sz w:val="22"/>
                <w:szCs w:val="22"/>
              </w:rPr>
            </w:pPr>
            <w:r w:rsidRPr="00817662">
              <w:rPr>
                <w:rFonts w:cs="Arial"/>
                <w:sz w:val="22"/>
                <w:szCs w:val="22"/>
              </w:rPr>
              <w:t>0.56</w:t>
            </w:r>
          </w:p>
        </w:tc>
      </w:tr>
    </w:tbl>
    <w:p w14:paraId="689EE310" w14:textId="77777777" w:rsidR="00F0075C" w:rsidRPr="00817662" w:rsidRDefault="00F0075C" w:rsidP="00817662">
      <w:pPr>
        <w:spacing w:after="120"/>
        <w:ind w:left="705" w:right="260"/>
        <w:rPr>
          <w:rFonts w:cs="Arial"/>
          <w:b/>
          <w:sz w:val="22"/>
          <w:szCs w:val="22"/>
        </w:rPr>
      </w:pPr>
    </w:p>
    <w:p w14:paraId="3279D8F8" w14:textId="77777777" w:rsidR="00F0075C" w:rsidRPr="00817662" w:rsidRDefault="00F0075C" w:rsidP="00F0075C">
      <w:pPr>
        <w:numPr>
          <w:ilvl w:val="1"/>
          <w:numId w:val="28"/>
        </w:numPr>
        <w:spacing w:after="120"/>
        <w:ind w:right="260"/>
        <w:rPr>
          <w:rFonts w:cs="Arial"/>
          <w:b/>
          <w:sz w:val="22"/>
          <w:szCs w:val="22"/>
        </w:rPr>
      </w:pPr>
      <w:r w:rsidRPr="00817662">
        <w:rPr>
          <w:rFonts w:cs="Arial"/>
          <w:b/>
          <w:sz w:val="22"/>
          <w:szCs w:val="22"/>
        </w:rPr>
        <w:t>Indicator 4</w:t>
      </w:r>
      <w:r w:rsidRPr="00817662">
        <w:rPr>
          <w:rFonts w:cs="Arial"/>
          <w:sz w:val="22"/>
          <w:szCs w:val="22"/>
        </w:rPr>
        <w:t xml:space="preserve"> - Relative likelihood of staff accessing non-mandatory training and CPD.</w:t>
      </w:r>
      <w:r w:rsidRPr="00817662">
        <w:rPr>
          <w:rFonts w:cs="Arial"/>
          <w:sz w:val="22"/>
          <w:szCs w:val="22"/>
        </w:rPr>
        <w:br/>
      </w:r>
      <w:r w:rsidRPr="00817662">
        <w:rPr>
          <w:rFonts w:cs="Arial"/>
          <w:b/>
          <w:sz w:val="22"/>
          <w:szCs w:val="22"/>
        </w:rPr>
        <w:t>Performance in 202</w:t>
      </w:r>
      <w:r w:rsidR="001E1933">
        <w:rPr>
          <w:rFonts w:cs="Arial"/>
          <w:b/>
          <w:sz w:val="22"/>
          <w:szCs w:val="22"/>
        </w:rPr>
        <w:t>5</w:t>
      </w:r>
      <w:r w:rsidRPr="00817662">
        <w:rPr>
          <w:rFonts w:cs="Arial"/>
          <w:b/>
          <w:sz w:val="22"/>
          <w:szCs w:val="22"/>
        </w:rPr>
        <w:t xml:space="preserve">: </w:t>
      </w:r>
      <w:r w:rsidR="005D09F6">
        <w:rPr>
          <w:rFonts w:cs="Arial"/>
          <w:b/>
          <w:sz w:val="22"/>
          <w:szCs w:val="22"/>
        </w:rPr>
        <w:t>0.67</w:t>
      </w:r>
    </w:p>
    <w:p w14:paraId="07857B1D" w14:textId="77777777" w:rsidR="00F0075C" w:rsidRPr="00817662" w:rsidRDefault="00F0075C" w:rsidP="00F0075C">
      <w:pPr>
        <w:spacing w:after="120"/>
        <w:ind w:left="705" w:right="260"/>
        <w:jc w:val="both"/>
        <w:rPr>
          <w:rFonts w:cs="Arial"/>
          <w:sz w:val="22"/>
          <w:szCs w:val="22"/>
        </w:rPr>
      </w:pPr>
      <w:r w:rsidRPr="00817662">
        <w:rPr>
          <w:rFonts w:cs="Arial"/>
          <w:sz w:val="22"/>
          <w:szCs w:val="22"/>
        </w:rPr>
        <w:t xml:space="preserve">NHS organisations set and are expected to explain their definition of non-mandatory training.  </w:t>
      </w:r>
      <w:r w:rsidR="005D09F6">
        <w:rPr>
          <w:rFonts w:cs="Arial"/>
          <w:sz w:val="22"/>
          <w:szCs w:val="22"/>
        </w:rPr>
        <w:t xml:space="preserve">This year the Trust has used a new and more accurate method of calculating this indicator, by ensuring that no double counting of employees could occur, and only employees still employed on 31 March 2025 are counted. </w:t>
      </w:r>
      <w:r w:rsidRPr="00817662">
        <w:rPr>
          <w:rFonts w:cs="Arial"/>
          <w:sz w:val="22"/>
          <w:szCs w:val="22"/>
        </w:rPr>
        <w:t xml:space="preserve">The Trust defines access to non-mandatory training as being all training available via My ESR (the training platform that is part of the NHS Electronic Staff Record) with the exception of Statutory and Mandatory training courses under the Core Training Standards Framework, and courses regarded as essential training (including FIT testing).  Continued Professional Development (CPD) is defined as formal courses provided by Universities and other external providers.  In house professional development specific to individual clinical disciplines and medical education are not included.  The take up of either CPD or Non-mandatory training is compared for White </w:t>
      </w:r>
      <w:r w:rsidR="005D09F6">
        <w:rPr>
          <w:rFonts w:cs="Arial"/>
          <w:sz w:val="22"/>
          <w:szCs w:val="22"/>
        </w:rPr>
        <w:t xml:space="preserve">staff </w:t>
      </w:r>
      <w:r w:rsidRPr="00817662">
        <w:rPr>
          <w:rFonts w:cs="Arial"/>
          <w:sz w:val="22"/>
          <w:szCs w:val="22"/>
        </w:rPr>
        <w:t xml:space="preserve">and </w:t>
      </w:r>
      <w:r w:rsidR="005D09F6">
        <w:rPr>
          <w:rFonts w:cs="Arial"/>
          <w:sz w:val="22"/>
          <w:szCs w:val="22"/>
        </w:rPr>
        <w:t>those from ‘Other Ethnic Groups’</w:t>
      </w:r>
      <w:r w:rsidRPr="00817662">
        <w:rPr>
          <w:rFonts w:cs="Arial"/>
          <w:sz w:val="22"/>
          <w:szCs w:val="22"/>
        </w:rPr>
        <w:t>, and the data taken from the Electronic Staff Record (ESR)</w:t>
      </w:r>
    </w:p>
    <w:p w14:paraId="26D0B2EC" w14:textId="77777777" w:rsidR="00F0075C" w:rsidRPr="00817662" w:rsidRDefault="00F0075C" w:rsidP="00F0075C">
      <w:pPr>
        <w:spacing w:after="120"/>
        <w:ind w:left="705" w:right="260"/>
        <w:jc w:val="both"/>
        <w:rPr>
          <w:rFonts w:cs="Arial"/>
          <w:sz w:val="22"/>
          <w:szCs w:val="22"/>
        </w:rPr>
      </w:pPr>
      <w:r w:rsidRPr="00817662">
        <w:rPr>
          <w:rFonts w:cs="Arial"/>
          <w:sz w:val="22"/>
          <w:szCs w:val="22"/>
        </w:rPr>
        <w:t xml:space="preserve">The data for this indicator shows that the performance on this indicator shows that </w:t>
      </w:r>
      <w:r w:rsidR="005D09F6">
        <w:rPr>
          <w:rFonts w:cs="Arial"/>
          <w:sz w:val="22"/>
          <w:szCs w:val="22"/>
        </w:rPr>
        <w:t>45</w:t>
      </w:r>
      <w:r w:rsidRPr="00817662">
        <w:rPr>
          <w:rFonts w:cs="Arial"/>
          <w:sz w:val="22"/>
          <w:szCs w:val="22"/>
        </w:rPr>
        <w:t xml:space="preserve">% of </w:t>
      </w:r>
      <w:r w:rsidR="005D09F6">
        <w:rPr>
          <w:rFonts w:cs="Arial"/>
          <w:sz w:val="22"/>
          <w:szCs w:val="22"/>
        </w:rPr>
        <w:t>Black, Asian, Minority Ethnic or Global Majority</w:t>
      </w:r>
      <w:r w:rsidRPr="00817662">
        <w:rPr>
          <w:rFonts w:cs="Arial"/>
          <w:sz w:val="22"/>
          <w:szCs w:val="22"/>
        </w:rPr>
        <w:t xml:space="preserve"> staff</w:t>
      </w:r>
      <w:r w:rsidR="005D09F6">
        <w:rPr>
          <w:rFonts w:cs="Arial"/>
          <w:sz w:val="22"/>
          <w:szCs w:val="22"/>
        </w:rPr>
        <w:t>,</w:t>
      </w:r>
      <w:r w:rsidRPr="00817662">
        <w:rPr>
          <w:rFonts w:cs="Arial"/>
          <w:sz w:val="22"/>
          <w:szCs w:val="22"/>
        </w:rPr>
        <w:t xml:space="preserve"> </w:t>
      </w:r>
      <w:r w:rsidR="005D09F6">
        <w:rPr>
          <w:rFonts w:cs="Arial"/>
          <w:sz w:val="22"/>
          <w:szCs w:val="22"/>
        </w:rPr>
        <w:t>compared to</w:t>
      </w:r>
      <w:r w:rsidRPr="00817662">
        <w:rPr>
          <w:rFonts w:cs="Arial"/>
          <w:sz w:val="22"/>
          <w:szCs w:val="22"/>
        </w:rPr>
        <w:t xml:space="preserve"> </w:t>
      </w:r>
      <w:r w:rsidR="005D09F6">
        <w:rPr>
          <w:rFonts w:cs="Arial"/>
          <w:sz w:val="22"/>
          <w:szCs w:val="22"/>
        </w:rPr>
        <w:t xml:space="preserve">30% of </w:t>
      </w:r>
      <w:r w:rsidRPr="00817662">
        <w:rPr>
          <w:rFonts w:cs="Arial"/>
          <w:sz w:val="22"/>
          <w:szCs w:val="22"/>
        </w:rPr>
        <w:t>White staff</w:t>
      </w:r>
      <w:r w:rsidR="005D09F6">
        <w:rPr>
          <w:rFonts w:cs="Arial"/>
          <w:sz w:val="22"/>
          <w:szCs w:val="22"/>
        </w:rPr>
        <w:t>,</w:t>
      </w:r>
      <w:r w:rsidRPr="00817662">
        <w:rPr>
          <w:rFonts w:cs="Arial"/>
          <w:sz w:val="22"/>
          <w:szCs w:val="22"/>
        </w:rPr>
        <w:t xml:space="preserve"> accessed non-mandatory training.  This creates a relative likelihood of uptake at </w:t>
      </w:r>
      <w:r w:rsidR="005D09F6">
        <w:rPr>
          <w:rFonts w:cs="Arial"/>
          <w:sz w:val="22"/>
          <w:szCs w:val="22"/>
        </w:rPr>
        <w:t>0.67</w:t>
      </w:r>
      <w:r w:rsidRPr="00817662">
        <w:rPr>
          <w:rFonts w:cs="Arial"/>
          <w:sz w:val="22"/>
          <w:szCs w:val="22"/>
        </w:rPr>
        <w:t>.</w:t>
      </w:r>
    </w:p>
    <w:p w14:paraId="2F6CC1BB" w14:textId="77777777" w:rsidR="00F0075C" w:rsidRPr="00817662" w:rsidRDefault="00F0075C" w:rsidP="00F0075C">
      <w:pPr>
        <w:spacing w:after="120"/>
        <w:ind w:left="705" w:right="260"/>
        <w:jc w:val="both"/>
        <w:rPr>
          <w:rFonts w:cs="Arial"/>
          <w:sz w:val="22"/>
          <w:szCs w:val="22"/>
        </w:rPr>
      </w:pPr>
    </w:p>
    <w:p w14:paraId="7A50ED09" w14:textId="77777777" w:rsidR="00F0075C" w:rsidRPr="00817662" w:rsidRDefault="00F0075C" w:rsidP="00F0075C">
      <w:pPr>
        <w:spacing w:after="240"/>
        <w:ind w:left="709" w:right="260" w:hanging="4"/>
        <w:jc w:val="both"/>
        <w:rPr>
          <w:rFonts w:cs="Arial"/>
          <w:b/>
          <w:sz w:val="22"/>
          <w:szCs w:val="22"/>
        </w:rPr>
      </w:pPr>
      <w:r w:rsidRPr="00817662">
        <w:rPr>
          <w:rFonts w:cs="Arial"/>
          <w:b/>
          <w:sz w:val="22"/>
          <w:szCs w:val="22"/>
        </w:rPr>
        <w:t>Table - Indicator 4 – NON-MANDATORY TRAINING</w:t>
      </w:r>
    </w:p>
    <w:p w14:paraId="0DA264C3" w14:textId="77777777" w:rsidR="00F0075C" w:rsidRPr="00817662" w:rsidRDefault="00F0075C" w:rsidP="00F0075C">
      <w:pPr>
        <w:spacing w:after="120"/>
        <w:ind w:left="705" w:right="260"/>
        <w:rPr>
          <w:rFonts w:cs="Arial"/>
          <w:sz w:val="22"/>
          <w:szCs w:val="22"/>
        </w:rPr>
      </w:pPr>
      <w:r w:rsidRPr="00817662">
        <w:rPr>
          <w:rFonts w:cs="Arial"/>
          <w:b/>
          <w:sz w:val="22"/>
          <w:szCs w:val="22"/>
        </w:rPr>
        <w:t>Indicators 5-8</w:t>
      </w:r>
      <w:r w:rsidRPr="00817662">
        <w:rPr>
          <w:rFonts w:cs="Arial"/>
          <w:sz w:val="22"/>
          <w:szCs w:val="22"/>
        </w:rPr>
        <w:t xml:space="preserve"> – Staff Perception indicators</w:t>
      </w:r>
    </w:p>
    <w:p w14:paraId="2A00554C" w14:textId="77777777" w:rsidR="00F0075C" w:rsidRPr="00817662" w:rsidRDefault="00F0075C" w:rsidP="00F0075C">
      <w:pPr>
        <w:spacing w:after="120"/>
        <w:ind w:left="705" w:right="260"/>
        <w:rPr>
          <w:rFonts w:cs="Arial"/>
          <w:sz w:val="22"/>
          <w:szCs w:val="22"/>
        </w:rPr>
      </w:pPr>
      <w:r w:rsidRPr="00817662">
        <w:rPr>
          <w:rFonts w:cs="Arial"/>
          <w:sz w:val="22"/>
          <w:szCs w:val="22"/>
        </w:rPr>
        <w:t xml:space="preserve">These were reported at </w:t>
      </w:r>
      <w:r w:rsidR="007C44F0" w:rsidRPr="00817662">
        <w:rPr>
          <w:rFonts w:cs="Arial"/>
          <w:sz w:val="22"/>
          <w:szCs w:val="22"/>
        </w:rPr>
        <w:t>a previous</w:t>
      </w:r>
      <w:r w:rsidRPr="00817662">
        <w:rPr>
          <w:rFonts w:cs="Arial"/>
          <w:sz w:val="22"/>
          <w:szCs w:val="22"/>
        </w:rPr>
        <w:t xml:space="preserve"> meeting, of the Committee, and do not need to be submitted </w:t>
      </w:r>
      <w:r w:rsidR="007C44F0" w:rsidRPr="00817662">
        <w:rPr>
          <w:rFonts w:cs="Arial"/>
          <w:sz w:val="22"/>
          <w:szCs w:val="22"/>
        </w:rPr>
        <w:t>again</w:t>
      </w:r>
      <w:r w:rsidRPr="00817662">
        <w:rPr>
          <w:rFonts w:cs="Arial"/>
          <w:sz w:val="22"/>
          <w:szCs w:val="22"/>
        </w:rPr>
        <w:t>.</w:t>
      </w:r>
    </w:p>
    <w:p w14:paraId="69D510E2" w14:textId="77777777" w:rsidR="00F0075C" w:rsidRPr="00817662" w:rsidRDefault="00F0075C" w:rsidP="00F0075C">
      <w:pPr>
        <w:spacing w:after="120"/>
        <w:ind w:left="705" w:right="260"/>
        <w:rPr>
          <w:rFonts w:cs="Arial"/>
          <w:sz w:val="22"/>
          <w:szCs w:val="22"/>
        </w:rPr>
      </w:pPr>
    </w:p>
    <w:p w14:paraId="2DF5AADC" w14:textId="77777777" w:rsidR="00F0075C" w:rsidRPr="00817662" w:rsidRDefault="00F0075C" w:rsidP="00F0075C">
      <w:pPr>
        <w:spacing w:after="120"/>
        <w:ind w:left="705" w:right="260"/>
        <w:rPr>
          <w:rFonts w:cs="Arial"/>
          <w:sz w:val="22"/>
          <w:szCs w:val="22"/>
        </w:rPr>
      </w:pPr>
      <w:r w:rsidRPr="00817662">
        <w:rPr>
          <w:rFonts w:cs="Arial"/>
          <w:b/>
          <w:sz w:val="22"/>
          <w:szCs w:val="22"/>
        </w:rPr>
        <w:lastRenderedPageBreak/>
        <w:t>Indicator 9</w:t>
      </w:r>
      <w:r w:rsidRPr="00817662">
        <w:rPr>
          <w:rFonts w:cs="Arial"/>
          <w:sz w:val="22"/>
          <w:szCs w:val="22"/>
        </w:rPr>
        <w:t xml:space="preserve"> – Board Representation</w:t>
      </w:r>
    </w:p>
    <w:tbl>
      <w:tblPr>
        <w:tblW w:w="8930" w:type="dxa"/>
        <w:tblInd w:w="699" w:type="dxa"/>
        <w:tblCellMar>
          <w:left w:w="0" w:type="dxa"/>
          <w:right w:w="0" w:type="dxa"/>
        </w:tblCellMar>
        <w:tblLook w:val="0420" w:firstRow="1" w:lastRow="0" w:firstColumn="0" w:lastColumn="0" w:noHBand="0" w:noVBand="1"/>
      </w:tblPr>
      <w:tblGrid>
        <w:gridCol w:w="1559"/>
        <w:gridCol w:w="1560"/>
        <w:gridCol w:w="5811"/>
      </w:tblGrid>
      <w:tr w:rsidR="001161FD" w:rsidRPr="00817662" w14:paraId="0EE24B68" w14:textId="77777777" w:rsidTr="001161FD">
        <w:tc>
          <w:tcPr>
            <w:tcW w:w="1559"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44A87DF5" w14:textId="77777777" w:rsidR="007C44F0" w:rsidRPr="00817662" w:rsidRDefault="007C44F0" w:rsidP="007C44F0">
            <w:pPr>
              <w:rPr>
                <w:rFonts w:cs="Arial"/>
                <w:color w:val="FFFFFF" w:themeColor="background1"/>
                <w:sz w:val="22"/>
                <w:szCs w:val="22"/>
              </w:rPr>
            </w:pPr>
            <w:r w:rsidRPr="00817662">
              <w:rPr>
                <w:rFonts w:cs="Arial"/>
                <w:b/>
                <w:bCs/>
                <w:color w:val="FFFFFF" w:themeColor="background1"/>
                <w:sz w:val="22"/>
                <w:szCs w:val="22"/>
              </w:rPr>
              <w:t>White</w:t>
            </w:r>
          </w:p>
        </w:tc>
        <w:tc>
          <w:tcPr>
            <w:tcW w:w="156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0EF4F726" w14:textId="77777777" w:rsidR="007C44F0" w:rsidRPr="00817662" w:rsidRDefault="007C44F0" w:rsidP="007C44F0">
            <w:pPr>
              <w:rPr>
                <w:rFonts w:cs="Arial"/>
                <w:color w:val="FFFFFF" w:themeColor="background1"/>
                <w:sz w:val="22"/>
                <w:szCs w:val="22"/>
              </w:rPr>
            </w:pPr>
            <w:r w:rsidRPr="00817662">
              <w:rPr>
                <w:rFonts w:cs="Arial"/>
                <w:b/>
                <w:bCs/>
                <w:color w:val="FFFFFF" w:themeColor="background1"/>
                <w:sz w:val="22"/>
                <w:szCs w:val="22"/>
              </w:rPr>
              <w:t>BME</w:t>
            </w:r>
          </w:p>
        </w:tc>
        <w:tc>
          <w:tcPr>
            <w:tcW w:w="5811"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66BA29CB" w14:textId="77777777" w:rsidR="007C44F0" w:rsidRPr="00817662" w:rsidRDefault="007C44F0" w:rsidP="007C44F0">
            <w:pPr>
              <w:rPr>
                <w:rFonts w:cs="Arial"/>
                <w:color w:val="FFFFFF" w:themeColor="background1"/>
                <w:sz w:val="22"/>
                <w:szCs w:val="22"/>
              </w:rPr>
            </w:pPr>
            <w:r w:rsidRPr="00817662">
              <w:rPr>
                <w:rFonts w:cs="Arial"/>
                <w:b/>
                <w:bCs/>
                <w:color w:val="FFFFFF" w:themeColor="background1"/>
                <w:sz w:val="22"/>
                <w:szCs w:val="22"/>
              </w:rPr>
              <w:t>Comment</w:t>
            </w:r>
          </w:p>
        </w:tc>
      </w:tr>
      <w:tr w:rsidR="007C44F0" w:rsidRPr="00817662" w14:paraId="4B0BE8C7" w14:textId="77777777" w:rsidTr="007C44F0">
        <w:trPr>
          <w:trHeight w:val="584"/>
        </w:trPr>
        <w:tc>
          <w:tcPr>
            <w:tcW w:w="1559"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1A739586" w14:textId="77777777" w:rsidR="007C44F0" w:rsidRPr="00817662" w:rsidRDefault="005D09F6" w:rsidP="007C44F0">
            <w:pPr>
              <w:rPr>
                <w:rFonts w:cs="Arial"/>
                <w:sz w:val="22"/>
                <w:szCs w:val="22"/>
              </w:rPr>
            </w:pPr>
            <w:r>
              <w:rPr>
                <w:rFonts w:cs="Arial"/>
                <w:sz w:val="22"/>
                <w:szCs w:val="22"/>
              </w:rPr>
              <w:t>29.7</w:t>
            </w:r>
            <w:r w:rsidR="007C44F0" w:rsidRPr="00817662">
              <w:rPr>
                <w:rFonts w:cs="Arial"/>
                <w:sz w:val="22"/>
                <w:szCs w:val="22"/>
              </w:rPr>
              <w:t>% over</w:t>
            </w:r>
          </w:p>
        </w:tc>
        <w:tc>
          <w:tcPr>
            <w:tcW w:w="156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5F3BE6C2" w14:textId="77777777" w:rsidR="007C44F0" w:rsidRPr="00817662" w:rsidRDefault="007C44F0" w:rsidP="007C44F0">
            <w:pPr>
              <w:rPr>
                <w:rFonts w:cs="Arial"/>
                <w:sz w:val="22"/>
                <w:szCs w:val="22"/>
              </w:rPr>
            </w:pPr>
            <w:r w:rsidRPr="00817662">
              <w:rPr>
                <w:rFonts w:cs="Arial"/>
                <w:sz w:val="22"/>
                <w:szCs w:val="22"/>
              </w:rPr>
              <w:t>1</w:t>
            </w:r>
            <w:r w:rsidR="005D09F6">
              <w:rPr>
                <w:rFonts w:cs="Arial"/>
                <w:sz w:val="22"/>
                <w:szCs w:val="22"/>
              </w:rPr>
              <w:t>9.6</w:t>
            </w:r>
            <w:r w:rsidRPr="00817662">
              <w:rPr>
                <w:rFonts w:cs="Arial"/>
                <w:sz w:val="22"/>
                <w:szCs w:val="22"/>
              </w:rPr>
              <w:t>% under</w:t>
            </w:r>
          </w:p>
        </w:tc>
        <w:tc>
          <w:tcPr>
            <w:tcW w:w="5811"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18107958" w14:textId="77777777" w:rsidR="007C44F0" w:rsidRPr="00817662" w:rsidRDefault="007C44F0" w:rsidP="007C44F0">
            <w:pPr>
              <w:rPr>
                <w:rFonts w:cs="Arial"/>
                <w:sz w:val="22"/>
                <w:szCs w:val="22"/>
              </w:rPr>
            </w:pPr>
            <w:r w:rsidRPr="00817662">
              <w:rPr>
                <w:rFonts w:cs="Arial"/>
                <w:sz w:val="22"/>
                <w:szCs w:val="22"/>
              </w:rPr>
              <w:t>May be affected by 3 of 1</w:t>
            </w:r>
            <w:r w:rsidR="005D09F6">
              <w:rPr>
                <w:rFonts w:cs="Arial"/>
                <w:sz w:val="22"/>
                <w:szCs w:val="22"/>
              </w:rPr>
              <w:t>5</w:t>
            </w:r>
            <w:r w:rsidRPr="00817662">
              <w:rPr>
                <w:rFonts w:cs="Arial"/>
                <w:sz w:val="22"/>
                <w:szCs w:val="22"/>
              </w:rPr>
              <w:t xml:space="preserve"> Board members not declaring ethnicity</w:t>
            </w:r>
          </w:p>
        </w:tc>
      </w:tr>
    </w:tbl>
    <w:p w14:paraId="22EE02E5" w14:textId="77777777" w:rsidR="00817662" w:rsidRDefault="00817662">
      <w:pPr>
        <w:rPr>
          <w:rFonts w:cs="Arial"/>
          <w:b/>
          <w:bCs/>
          <w:caps/>
          <w:color w:val="365F91" w:themeColor="accent1" w:themeShade="BF"/>
          <w:kern w:val="32"/>
          <w:sz w:val="22"/>
          <w:szCs w:val="22"/>
        </w:rPr>
      </w:pPr>
    </w:p>
    <w:p w14:paraId="1FF1D48C" w14:textId="77777777" w:rsidR="005D09F6" w:rsidRDefault="005D09F6">
      <w:pPr>
        <w:rPr>
          <w:rFonts w:cs="Arial"/>
          <w:b/>
          <w:bCs/>
          <w:caps/>
          <w:color w:val="365F91" w:themeColor="accent1" w:themeShade="BF"/>
          <w:kern w:val="32"/>
          <w:sz w:val="22"/>
          <w:szCs w:val="22"/>
        </w:rPr>
      </w:pPr>
      <w:r>
        <w:rPr>
          <w:rFonts w:cs="Arial"/>
          <w:b/>
          <w:bCs/>
          <w:caps/>
          <w:color w:val="365F91" w:themeColor="accent1" w:themeShade="BF"/>
          <w:kern w:val="32"/>
          <w:sz w:val="22"/>
          <w:szCs w:val="22"/>
        </w:rPr>
        <w:br w:type="page"/>
      </w:r>
    </w:p>
    <w:p w14:paraId="1B73D208" w14:textId="77777777" w:rsidR="001F086E" w:rsidRDefault="001161FD">
      <w:pPr>
        <w:rPr>
          <w:rFonts w:cs="Arial"/>
          <w:b/>
          <w:bCs/>
          <w:caps/>
          <w:color w:val="365F91" w:themeColor="accent1" w:themeShade="BF"/>
          <w:kern w:val="32"/>
          <w:sz w:val="22"/>
          <w:szCs w:val="22"/>
        </w:rPr>
      </w:pPr>
      <w:r w:rsidRPr="00817662">
        <w:rPr>
          <w:rFonts w:cs="Arial"/>
          <w:b/>
          <w:bCs/>
          <w:caps/>
          <w:color w:val="365F91" w:themeColor="accent1" w:themeShade="BF"/>
          <w:kern w:val="32"/>
          <w:sz w:val="22"/>
          <w:szCs w:val="22"/>
        </w:rPr>
        <w:lastRenderedPageBreak/>
        <w:t>Appendix 3A – Indicator 1 Charts</w:t>
      </w:r>
    </w:p>
    <w:p w14:paraId="454D4836" w14:textId="77777777" w:rsidR="005D09F6" w:rsidRDefault="005D09F6">
      <w:pPr>
        <w:rPr>
          <w:rFonts w:cs="Arial"/>
          <w:b/>
          <w:bCs/>
          <w:caps/>
          <w:color w:val="365F91" w:themeColor="accent1" w:themeShade="BF"/>
          <w:kern w:val="32"/>
          <w:sz w:val="22"/>
          <w:szCs w:val="22"/>
        </w:rPr>
      </w:pPr>
    </w:p>
    <w:p w14:paraId="40D80826" w14:textId="77777777" w:rsidR="005D09F6" w:rsidRDefault="00612063">
      <w:pPr>
        <w:rPr>
          <w:rFonts w:cs="Arial"/>
          <w:b/>
          <w:bCs/>
          <w:caps/>
          <w:color w:val="365F91" w:themeColor="accent1" w:themeShade="BF"/>
          <w:kern w:val="32"/>
          <w:sz w:val="22"/>
          <w:szCs w:val="22"/>
        </w:rPr>
      </w:pPr>
      <w:r>
        <w:rPr>
          <w:noProof/>
        </w:rPr>
        <w:drawing>
          <wp:inline distT="0" distB="0" distL="0" distR="0" wp14:anchorId="144723C9" wp14:editId="06BA7655">
            <wp:extent cx="5791200" cy="2733675"/>
            <wp:effectExtent l="0" t="0" r="12700" b="9525"/>
            <wp:docPr id="1" name="Chart 1" descr="Workforce profile chart of non-clinical staff broken down by banding. The data shows that there points in progression between grades where the proportion of staff from backgrounds other than White (described in the WRES as ‘Other Ethnic Groups’) in the workforce is lower than expected.  For example, there continues to be a dip in representation from Bands 6 and 7, (prior to 2023 the dip was between Bands 5 and 6) and progressively from Bands 5 through to 8a in the non-medical clinical workforce.  Representation of ‘Other Ethnic Groups’ is generally consistent in non-clinical roles, up to Band 8a. The Trust’s workforce is considerably more diverse than the local population, and the representation of staff for Black, Asian and Minority Ethnic (BME) backgrounds is similar to the local population amongst the non-clinical workforce. &#13;&#10;There is significantly higher representation of people from ‘Other Ethnic Groups’ backgrounds in medical and dental roles, which is reflective of the profile of their professions.&#13;&#10;">
              <a:extLst xmlns:a="http://schemas.openxmlformats.org/drawingml/2006/main">
                <a:ext uri="{FF2B5EF4-FFF2-40B4-BE49-F238E27FC236}">
                  <a16:creationId xmlns:a16="http://schemas.microsoft.com/office/drawing/2014/main" id="{FF6CB3D4-1B48-4547-A663-F90F9AAC46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BD6D0D" w14:textId="77777777" w:rsidR="005D09F6" w:rsidRDefault="005D09F6">
      <w:pPr>
        <w:rPr>
          <w:rFonts w:cs="Arial"/>
          <w:b/>
          <w:bCs/>
          <w:caps/>
          <w:color w:val="365F91" w:themeColor="accent1" w:themeShade="BF"/>
          <w:kern w:val="32"/>
          <w:sz w:val="22"/>
          <w:szCs w:val="22"/>
        </w:rPr>
      </w:pPr>
    </w:p>
    <w:p w14:paraId="100D5DFF" w14:textId="77777777" w:rsidR="005D09F6" w:rsidRDefault="00612063">
      <w:pPr>
        <w:rPr>
          <w:rFonts w:cs="Arial"/>
          <w:b/>
          <w:bCs/>
          <w:caps/>
          <w:color w:val="365F91" w:themeColor="accent1" w:themeShade="BF"/>
          <w:kern w:val="32"/>
          <w:sz w:val="22"/>
          <w:szCs w:val="22"/>
        </w:rPr>
      </w:pPr>
      <w:r>
        <w:rPr>
          <w:noProof/>
        </w:rPr>
        <w:drawing>
          <wp:inline distT="0" distB="0" distL="0" distR="0" wp14:anchorId="64D8E44B" wp14:editId="77D3D76C">
            <wp:extent cx="5800725" cy="2847975"/>
            <wp:effectExtent l="0" t="0" r="15875" b="9525"/>
            <wp:docPr id="8" name="Chart 8" descr="Workforce profile chart of clinical staff broken down by banding. The data shows that there points in progression between grades where the proportion of staff from backgrounds other than White (described in the WRES as ‘Other Ethnic Groups’) in the workforce is lower than expected.  For example, there continues to be a dip in representation from Bands 6 and 7, (prior to 2023 the dip was between Bands 5 and 6) and progressively from Bands 5 through to 8a in the non-medical clinical workforce.  Representation of ‘Other Ethnic Groups’ is generally consistent in non-clinical roles, up to Band 8a. The Trust’s workforce is considerably more diverse than the local population, and the representation of staff for Black, Asian and Minority Ethnic (BME) backgrounds is similar to the local population amongst the non-clinical workforce. &#13;&#10;There is significantly higher representation of people from ‘Other Ethnic Groups’ backgrounds in medical and dental roles, which is reflective of the profile of their professions.&#13;&#10;">
              <a:extLst xmlns:a="http://schemas.openxmlformats.org/drawingml/2006/main">
                <a:ext uri="{FF2B5EF4-FFF2-40B4-BE49-F238E27FC236}">
                  <a16:creationId xmlns:a16="http://schemas.microsoft.com/office/drawing/2014/main" id="{5432D127-8047-4558-8F3D-6461BD5C2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DBC40B" w14:textId="77777777" w:rsidR="00612063" w:rsidRDefault="00612063">
      <w:pPr>
        <w:rPr>
          <w:rFonts w:cs="Arial"/>
          <w:b/>
          <w:bCs/>
          <w:caps/>
          <w:color w:val="365F91" w:themeColor="accent1" w:themeShade="BF"/>
          <w:kern w:val="32"/>
          <w:sz w:val="22"/>
          <w:szCs w:val="22"/>
        </w:rPr>
      </w:pPr>
    </w:p>
    <w:p w14:paraId="68FCD3FA" w14:textId="77777777" w:rsidR="00612063" w:rsidRDefault="00612063">
      <w:pPr>
        <w:rPr>
          <w:rFonts w:cs="Arial"/>
          <w:b/>
          <w:bCs/>
          <w:caps/>
          <w:color w:val="365F91" w:themeColor="accent1" w:themeShade="BF"/>
          <w:kern w:val="32"/>
          <w:sz w:val="22"/>
          <w:szCs w:val="22"/>
        </w:rPr>
      </w:pPr>
      <w:r>
        <w:rPr>
          <w:noProof/>
        </w:rPr>
        <w:lastRenderedPageBreak/>
        <w:drawing>
          <wp:inline distT="0" distB="0" distL="0" distR="0" wp14:anchorId="76685CA5" wp14:editId="4B46BB78">
            <wp:extent cx="5791200" cy="3133725"/>
            <wp:effectExtent l="0" t="0" r="12700" b="15875"/>
            <wp:docPr id="9" name="Chart 9" descr="Workforce profile chart of medical and dental staff broken down by banding. The data shows that there points in progression between grades where the proportion of staff from backgrounds other than White (described in the WRES as ‘Other Ethnic Groups’) in the workforce is lower than expected.  For example, there continues to be a dip in representation from Bands 6 and 7, (prior to 2023 the dip was between Bands 5 and 6) and progressively from Bands 5 through to 8a in the non-medical clinical workforce.  Representation of ‘Other Ethnic Groups’ is generally consistent in non-clinical roles, up to Band 8a. The Trust’s workforce is considerably more diverse than the local population, and the representation of staff for Black, Asian and Minority Ethnic (BME) backgrounds is similar to the local population amongst the non-clinical workforce. &#13;&#10;There is significantly higher representation of people from ‘Other Ethnic Groups’ backgrounds in medical and dental roles, which is reflective of the profile of their professions.&#13;&#10;">
              <a:extLst xmlns:a="http://schemas.openxmlformats.org/drawingml/2006/main">
                <a:ext uri="{FF2B5EF4-FFF2-40B4-BE49-F238E27FC236}">
                  <a16:creationId xmlns:a16="http://schemas.microsoft.com/office/drawing/2014/main" id="{E64E36A2-C8C8-46BC-AED8-E4BB2B93C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5D12EF" w14:textId="77777777" w:rsidR="00612063" w:rsidRDefault="00612063">
      <w:pPr>
        <w:rPr>
          <w:rFonts w:cs="Arial"/>
          <w:b/>
          <w:bCs/>
          <w:caps/>
          <w:color w:val="365F91" w:themeColor="accent1" w:themeShade="BF"/>
          <w:kern w:val="32"/>
          <w:sz w:val="22"/>
          <w:szCs w:val="22"/>
        </w:rPr>
      </w:pPr>
    </w:p>
    <w:p w14:paraId="7BAC30FD" w14:textId="77777777" w:rsidR="00612063" w:rsidRPr="00817662" w:rsidRDefault="00612063">
      <w:pPr>
        <w:rPr>
          <w:rFonts w:cs="Arial"/>
          <w:b/>
          <w:bCs/>
          <w:caps/>
          <w:color w:val="365F91" w:themeColor="accent1" w:themeShade="BF"/>
          <w:kern w:val="32"/>
          <w:sz w:val="22"/>
          <w:szCs w:val="22"/>
        </w:rPr>
      </w:pPr>
    </w:p>
    <w:p w14:paraId="17E055C5" w14:textId="77777777" w:rsidR="001161FD" w:rsidRPr="00817662" w:rsidRDefault="001161FD">
      <w:pPr>
        <w:rPr>
          <w:rFonts w:cs="Arial"/>
          <w:sz w:val="22"/>
          <w:szCs w:val="22"/>
        </w:rPr>
      </w:pPr>
    </w:p>
    <w:sectPr w:rsidR="001161FD" w:rsidRPr="00817662" w:rsidSect="00B6209C">
      <w:headerReference w:type="default" r:id="rId14"/>
      <w:footerReference w:type="default" r:id="rId15"/>
      <w:headerReference w:type="first" r:id="rId16"/>
      <w:pgSz w:w="11906" w:h="16838" w:code="9"/>
      <w:pgMar w:top="720" w:right="720" w:bottom="1135" w:left="72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D3EA" w14:textId="77777777" w:rsidR="005A02DD" w:rsidRDefault="005A02DD">
      <w:r>
        <w:separator/>
      </w:r>
    </w:p>
  </w:endnote>
  <w:endnote w:type="continuationSeparator" w:id="0">
    <w:p w14:paraId="21889F09" w14:textId="77777777" w:rsidR="005A02DD" w:rsidRDefault="005A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76BC" w14:textId="77777777" w:rsidR="00CD0676" w:rsidRPr="00273EB7" w:rsidRDefault="00CD0676" w:rsidP="00476E07">
    <w:pPr>
      <w:pStyle w:val="Footer"/>
      <w:jc w:val="right"/>
      <w:rPr>
        <w:sz w:val="16"/>
        <w:szCs w:val="16"/>
      </w:rPr>
    </w:pPr>
    <w:r w:rsidRPr="00273EB7">
      <w:rPr>
        <w:noProof/>
        <w:color w:val="365F91" w:themeColor="accent1" w:themeShade="BF"/>
        <w:sz w:val="16"/>
        <w:szCs w:val="16"/>
        <w:lang w:eastAsia="en-GB"/>
      </w:rPr>
      <w:drawing>
        <wp:anchor distT="0" distB="0" distL="114300" distR="114300" simplePos="0" relativeHeight="251666432" behindDoc="1" locked="0" layoutInCell="1" allowOverlap="1" wp14:anchorId="7A626AFE" wp14:editId="5EE1CCEC">
          <wp:simplePos x="0" y="0"/>
          <wp:positionH relativeFrom="column">
            <wp:posOffset>-191386</wp:posOffset>
          </wp:positionH>
          <wp:positionV relativeFrom="paragraph">
            <wp:posOffset>-208899</wp:posOffset>
          </wp:positionV>
          <wp:extent cx="2076450" cy="596088"/>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661" cy="5972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People Committee, EDI Mandated reports</w:t>
    </w:r>
  </w:p>
  <w:p w14:paraId="5522E482" w14:textId="77777777" w:rsidR="00CD0676" w:rsidRDefault="00CD0676" w:rsidP="00476E07">
    <w:pPr>
      <w:pStyle w:val="Footer"/>
    </w:pPr>
  </w:p>
  <w:p w14:paraId="36A543BE" w14:textId="77777777" w:rsidR="00CD0676" w:rsidRDefault="00CD06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8F3D" w14:textId="77777777" w:rsidR="005A02DD" w:rsidRDefault="005A02DD">
      <w:r>
        <w:separator/>
      </w:r>
    </w:p>
  </w:footnote>
  <w:footnote w:type="continuationSeparator" w:id="0">
    <w:p w14:paraId="59FF468F" w14:textId="77777777" w:rsidR="005A02DD" w:rsidRDefault="005A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2CE9" w14:textId="77777777" w:rsidR="00CD0676" w:rsidRDefault="00CD0676" w:rsidP="00422783">
    <w:pPr>
      <w:jc w:val="right"/>
    </w:pPr>
    <w:r>
      <w:rPr>
        <w:noProof/>
        <w:lang w:eastAsia="en-GB"/>
      </w:rPr>
      <w:drawing>
        <wp:anchor distT="0" distB="0" distL="114300" distR="114300" simplePos="0" relativeHeight="251668480" behindDoc="0" locked="0" layoutInCell="1" allowOverlap="1" wp14:anchorId="1577CA33" wp14:editId="1B9EF708">
          <wp:simplePos x="0" y="0"/>
          <wp:positionH relativeFrom="column">
            <wp:posOffset>5544185</wp:posOffset>
          </wp:positionH>
          <wp:positionV relativeFrom="paragraph">
            <wp:posOffset>-570230</wp:posOffset>
          </wp:positionV>
          <wp:extent cx="1637665" cy="964565"/>
          <wp:effectExtent l="0" t="0" r="635" b="63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p w14:paraId="1CF7C2E2" w14:textId="77777777" w:rsidR="00CD0676" w:rsidRPr="00476E07" w:rsidRDefault="00CD0676" w:rsidP="00476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994B" w14:textId="77777777" w:rsidR="00CD0676" w:rsidRDefault="00CD0676" w:rsidP="00D71F45">
    <w:pPr>
      <w:pStyle w:val="Title"/>
      <w:tabs>
        <w:tab w:val="left" w:pos="6345"/>
      </w:tabs>
      <w:jc w:val="left"/>
      <w:rPr>
        <w:noProof/>
        <w:sz w:val="52"/>
        <w:szCs w:val="52"/>
        <w:lang w:eastAsia="en-GB"/>
      </w:rPr>
    </w:pPr>
    <w:r>
      <w:rPr>
        <w:noProof/>
        <w:lang w:eastAsia="en-GB"/>
      </w:rPr>
      <w:drawing>
        <wp:anchor distT="0" distB="0" distL="114300" distR="114300" simplePos="0" relativeHeight="251661312" behindDoc="0" locked="0" layoutInCell="1" allowOverlap="1" wp14:anchorId="67C3D65B" wp14:editId="3FF8A602">
          <wp:simplePos x="0" y="0"/>
          <wp:positionH relativeFrom="column">
            <wp:posOffset>5506085</wp:posOffset>
          </wp:positionH>
          <wp:positionV relativeFrom="paragraph">
            <wp:posOffset>-560705</wp:posOffset>
          </wp:positionV>
          <wp:extent cx="1637665" cy="964565"/>
          <wp:effectExtent l="0" t="0" r="635"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r>
      <w:rPr>
        <w:noProof/>
        <w:sz w:val="52"/>
        <w:szCs w:val="5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2BC"/>
    <w:multiLevelType w:val="hybridMultilevel"/>
    <w:tmpl w:val="4B5C83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01A9A"/>
    <w:multiLevelType w:val="hybridMultilevel"/>
    <w:tmpl w:val="93DA8B26"/>
    <w:lvl w:ilvl="0" w:tplc="BAE68CDC">
      <w:start w:val="1"/>
      <w:numFmt w:val="decimal"/>
      <w:lvlText w:val="%1."/>
      <w:lvlJc w:val="left"/>
      <w:pPr>
        <w:tabs>
          <w:tab w:val="num" w:pos="720"/>
        </w:tabs>
        <w:ind w:left="720" w:hanging="360"/>
      </w:pPr>
    </w:lvl>
    <w:lvl w:ilvl="1" w:tplc="794A9DF8" w:tentative="1">
      <w:start w:val="1"/>
      <w:numFmt w:val="decimal"/>
      <w:lvlText w:val="%2."/>
      <w:lvlJc w:val="left"/>
      <w:pPr>
        <w:tabs>
          <w:tab w:val="num" w:pos="1440"/>
        </w:tabs>
        <w:ind w:left="1440" w:hanging="360"/>
      </w:pPr>
    </w:lvl>
    <w:lvl w:ilvl="2" w:tplc="D5FE146E" w:tentative="1">
      <w:start w:val="1"/>
      <w:numFmt w:val="decimal"/>
      <w:lvlText w:val="%3."/>
      <w:lvlJc w:val="left"/>
      <w:pPr>
        <w:tabs>
          <w:tab w:val="num" w:pos="2160"/>
        </w:tabs>
        <w:ind w:left="2160" w:hanging="360"/>
      </w:pPr>
    </w:lvl>
    <w:lvl w:ilvl="3" w:tplc="05504F0C" w:tentative="1">
      <w:start w:val="1"/>
      <w:numFmt w:val="decimal"/>
      <w:lvlText w:val="%4."/>
      <w:lvlJc w:val="left"/>
      <w:pPr>
        <w:tabs>
          <w:tab w:val="num" w:pos="2880"/>
        </w:tabs>
        <w:ind w:left="2880" w:hanging="360"/>
      </w:pPr>
    </w:lvl>
    <w:lvl w:ilvl="4" w:tplc="F1B6669C" w:tentative="1">
      <w:start w:val="1"/>
      <w:numFmt w:val="decimal"/>
      <w:lvlText w:val="%5."/>
      <w:lvlJc w:val="left"/>
      <w:pPr>
        <w:tabs>
          <w:tab w:val="num" w:pos="3600"/>
        </w:tabs>
        <w:ind w:left="3600" w:hanging="360"/>
      </w:pPr>
    </w:lvl>
    <w:lvl w:ilvl="5" w:tplc="C94864AC" w:tentative="1">
      <w:start w:val="1"/>
      <w:numFmt w:val="decimal"/>
      <w:lvlText w:val="%6."/>
      <w:lvlJc w:val="left"/>
      <w:pPr>
        <w:tabs>
          <w:tab w:val="num" w:pos="4320"/>
        </w:tabs>
        <w:ind w:left="4320" w:hanging="360"/>
      </w:pPr>
    </w:lvl>
    <w:lvl w:ilvl="6" w:tplc="BB3EA9C0" w:tentative="1">
      <w:start w:val="1"/>
      <w:numFmt w:val="decimal"/>
      <w:lvlText w:val="%7."/>
      <w:lvlJc w:val="left"/>
      <w:pPr>
        <w:tabs>
          <w:tab w:val="num" w:pos="5040"/>
        </w:tabs>
        <w:ind w:left="5040" w:hanging="360"/>
      </w:pPr>
    </w:lvl>
    <w:lvl w:ilvl="7" w:tplc="C2105AA4" w:tentative="1">
      <w:start w:val="1"/>
      <w:numFmt w:val="decimal"/>
      <w:lvlText w:val="%8."/>
      <w:lvlJc w:val="left"/>
      <w:pPr>
        <w:tabs>
          <w:tab w:val="num" w:pos="5760"/>
        </w:tabs>
        <w:ind w:left="5760" w:hanging="360"/>
      </w:pPr>
    </w:lvl>
    <w:lvl w:ilvl="8" w:tplc="A29479DA" w:tentative="1">
      <w:start w:val="1"/>
      <w:numFmt w:val="decimal"/>
      <w:lvlText w:val="%9."/>
      <w:lvlJc w:val="left"/>
      <w:pPr>
        <w:tabs>
          <w:tab w:val="num" w:pos="6480"/>
        </w:tabs>
        <w:ind w:left="6480" w:hanging="360"/>
      </w:pPr>
    </w:lvl>
  </w:abstractNum>
  <w:abstractNum w:abstractNumId="2" w15:restartNumberingAfterBreak="0">
    <w:nsid w:val="0A4524F7"/>
    <w:multiLevelType w:val="multilevel"/>
    <w:tmpl w:val="BC488F8A"/>
    <w:styleLink w:val="StyleStyleOutlinenumberedOutlinenumbered"/>
    <w:lvl w:ilvl="0">
      <w:start w:val="1"/>
      <w:numFmt w:val="decimal"/>
      <w:lvlText w:val="%1"/>
      <w:lvlJc w:val="left"/>
      <w:pPr>
        <w:tabs>
          <w:tab w:val="num" w:pos="705"/>
        </w:tabs>
        <w:ind w:left="705" w:hanging="705"/>
      </w:pPr>
      <w:rPr>
        <w:rFonts w:hint="default"/>
        <w:b/>
        <w:sz w:val="22"/>
        <w:szCs w:val="22"/>
      </w:rPr>
    </w:lvl>
    <w:lvl w:ilvl="1">
      <w:start w:val="2"/>
      <w:numFmt w:val="decimal"/>
      <w:lvlText w:val="%1.%2"/>
      <w:lvlJc w:val="left"/>
      <w:pPr>
        <w:tabs>
          <w:tab w:val="num" w:pos="705"/>
        </w:tabs>
        <w:ind w:left="705" w:hanging="705"/>
      </w:pPr>
      <w:rPr>
        <w:rFonts w:ascii="Arial" w:hAnsi="Arial" w:hint="default"/>
        <w:b/>
        <w:bCs/>
        <w:sz w:val="22"/>
      </w:rPr>
    </w:lvl>
    <w:lvl w:ilvl="2">
      <w:start w:val="3"/>
      <w:numFmt w:val="decimal"/>
      <w:lvlText w:val="%1.%2.%3"/>
      <w:lvlJc w:val="left"/>
      <w:pPr>
        <w:tabs>
          <w:tab w:val="num" w:pos="1571"/>
        </w:tabs>
        <w:ind w:left="1571" w:hanging="777"/>
      </w:pPr>
      <w:rPr>
        <w:rFonts w:hint="default"/>
        <w:b w:val="0"/>
      </w:rPr>
    </w:lvl>
    <w:lvl w:ilvl="3">
      <w:start w:val="4"/>
      <w:numFmt w:val="decimal"/>
      <w:lvlText w:val="%1.%2.%3.%4"/>
      <w:lvlJc w:val="left"/>
      <w:pPr>
        <w:tabs>
          <w:tab w:val="num" w:pos="720"/>
        </w:tabs>
        <w:ind w:left="720" w:hanging="720"/>
      </w:pPr>
      <w:rPr>
        <w:rFonts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4C67A8"/>
    <w:multiLevelType w:val="hybridMultilevel"/>
    <w:tmpl w:val="B98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22889"/>
    <w:multiLevelType w:val="multilevel"/>
    <w:tmpl w:val="7C2C32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70B29F6"/>
    <w:multiLevelType w:val="hybridMultilevel"/>
    <w:tmpl w:val="4B9AAAC4"/>
    <w:lvl w:ilvl="0" w:tplc="A0C0773A">
      <w:start w:val="2"/>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93173B2"/>
    <w:multiLevelType w:val="hybridMultilevel"/>
    <w:tmpl w:val="D884FC2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AB1255"/>
    <w:multiLevelType w:val="hybridMultilevel"/>
    <w:tmpl w:val="F7482CF0"/>
    <w:lvl w:ilvl="0" w:tplc="370C5186">
      <w:start w:val="1"/>
      <w:numFmt w:val="decimal"/>
      <w:lvlText w:val="%1."/>
      <w:lvlJc w:val="left"/>
      <w:pPr>
        <w:tabs>
          <w:tab w:val="num" w:pos="720"/>
        </w:tabs>
        <w:ind w:left="720" w:hanging="360"/>
      </w:pPr>
    </w:lvl>
    <w:lvl w:ilvl="1" w:tplc="DDAED952" w:tentative="1">
      <w:start w:val="1"/>
      <w:numFmt w:val="decimal"/>
      <w:lvlText w:val="%2."/>
      <w:lvlJc w:val="left"/>
      <w:pPr>
        <w:tabs>
          <w:tab w:val="num" w:pos="1440"/>
        </w:tabs>
        <w:ind w:left="1440" w:hanging="360"/>
      </w:pPr>
    </w:lvl>
    <w:lvl w:ilvl="2" w:tplc="B1E08D52" w:tentative="1">
      <w:start w:val="1"/>
      <w:numFmt w:val="decimal"/>
      <w:lvlText w:val="%3."/>
      <w:lvlJc w:val="left"/>
      <w:pPr>
        <w:tabs>
          <w:tab w:val="num" w:pos="2160"/>
        </w:tabs>
        <w:ind w:left="2160" w:hanging="360"/>
      </w:pPr>
    </w:lvl>
    <w:lvl w:ilvl="3" w:tplc="E6CA9A12" w:tentative="1">
      <w:start w:val="1"/>
      <w:numFmt w:val="decimal"/>
      <w:lvlText w:val="%4."/>
      <w:lvlJc w:val="left"/>
      <w:pPr>
        <w:tabs>
          <w:tab w:val="num" w:pos="2880"/>
        </w:tabs>
        <w:ind w:left="2880" w:hanging="360"/>
      </w:pPr>
    </w:lvl>
    <w:lvl w:ilvl="4" w:tplc="1528264C" w:tentative="1">
      <w:start w:val="1"/>
      <w:numFmt w:val="decimal"/>
      <w:lvlText w:val="%5."/>
      <w:lvlJc w:val="left"/>
      <w:pPr>
        <w:tabs>
          <w:tab w:val="num" w:pos="3600"/>
        </w:tabs>
        <w:ind w:left="3600" w:hanging="360"/>
      </w:pPr>
    </w:lvl>
    <w:lvl w:ilvl="5" w:tplc="820C88B2" w:tentative="1">
      <w:start w:val="1"/>
      <w:numFmt w:val="decimal"/>
      <w:lvlText w:val="%6."/>
      <w:lvlJc w:val="left"/>
      <w:pPr>
        <w:tabs>
          <w:tab w:val="num" w:pos="4320"/>
        </w:tabs>
        <w:ind w:left="4320" w:hanging="360"/>
      </w:pPr>
    </w:lvl>
    <w:lvl w:ilvl="6" w:tplc="76505D90" w:tentative="1">
      <w:start w:val="1"/>
      <w:numFmt w:val="decimal"/>
      <w:lvlText w:val="%7."/>
      <w:lvlJc w:val="left"/>
      <w:pPr>
        <w:tabs>
          <w:tab w:val="num" w:pos="5040"/>
        </w:tabs>
        <w:ind w:left="5040" w:hanging="360"/>
      </w:pPr>
    </w:lvl>
    <w:lvl w:ilvl="7" w:tplc="DC00AFC6" w:tentative="1">
      <w:start w:val="1"/>
      <w:numFmt w:val="decimal"/>
      <w:lvlText w:val="%8."/>
      <w:lvlJc w:val="left"/>
      <w:pPr>
        <w:tabs>
          <w:tab w:val="num" w:pos="5760"/>
        </w:tabs>
        <w:ind w:left="5760" w:hanging="360"/>
      </w:pPr>
    </w:lvl>
    <w:lvl w:ilvl="8" w:tplc="AAFC2158" w:tentative="1">
      <w:start w:val="1"/>
      <w:numFmt w:val="decimal"/>
      <w:lvlText w:val="%9."/>
      <w:lvlJc w:val="left"/>
      <w:pPr>
        <w:tabs>
          <w:tab w:val="num" w:pos="6480"/>
        </w:tabs>
        <w:ind w:left="6480" w:hanging="360"/>
      </w:pPr>
    </w:lvl>
  </w:abstractNum>
  <w:abstractNum w:abstractNumId="9" w15:restartNumberingAfterBreak="0">
    <w:nsid w:val="2EC75005"/>
    <w:multiLevelType w:val="hybridMultilevel"/>
    <w:tmpl w:val="4496AA7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7B73178"/>
    <w:multiLevelType w:val="multilevel"/>
    <w:tmpl w:val="0C962F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46248C"/>
    <w:multiLevelType w:val="multilevel"/>
    <w:tmpl w:val="AB28B4D4"/>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B0A02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F902B8"/>
    <w:multiLevelType w:val="multilevel"/>
    <w:tmpl w:val="47F27370"/>
    <w:numStyleLink w:val="StyleOutlinenumbered"/>
  </w:abstractNum>
  <w:abstractNum w:abstractNumId="14" w15:restartNumberingAfterBreak="0">
    <w:nsid w:val="5EFD4817"/>
    <w:multiLevelType w:val="multilevel"/>
    <w:tmpl w:val="CB865B7E"/>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sz w:val="22"/>
      </w:rPr>
    </w:lvl>
    <w:lvl w:ilvl="2">
      <w:start w:val="1"/>
      <w:numFmt w:val="decimal"/>
      <w:lvlText w:val="%1.%2.%3"/>
      <w:lvlJc w:val="left"/>
      <w:pPr>
        <w:tabs>
          <w:tab w:val="num" w:pos="1571"/>
        </w:tabs>
        <w:ind w:left="1571" w:hanging="720"/>
      </w:pPr>
      <w:rPr>
        <w:rFonts w:hint="default"/>
        <w:b w:val="0"/>
      </w:rPr>
    </w:lvl>
    <w:lvl w:ilvl="3">
      <w:start w:val="1"/>
      <w:numFmt w:val="bullet"/>
      <w:pStyle w:val="Char"/>
      <w:lvlText w:val=""/>
      <w:lvlJc w:val="left"/>
      <w:pPr>
        <w:tabs>
          <w:tab w:val="num" w:pos="1871"/>
        </w:tabs>
        <w:ind w:left="2438" w:hanging="850"/>
      </w:pPr>
      <w:rPr>
        <w:rFonts w:ascii="Symbol" w:hAnsi="Symbol"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5D5917"/>
    <w:multiLevelType w:val="multilevel"/>
    <w:tmpl w:val="3E8C04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0E2BAB"/>
    <w:multiLevelType w:val="multilevel"/>
    <w:tmpl w:val="4014A550"/>
    <w:lvl w:ilvl="0">
      <w:start w:val="1"/>
      <w:numFmt w:val="decimal"/>
      <w:pStyle w:val="Heading1"/>
      <w:lvlText w:val="%1"/>
      <w:lvlJc w:val="left"/>
      <w:pPr>
        <w:tabs>
          <w:tab w:val="num" w:pos="705"/>
        </w:tabs>
        <w:ind w:left="705" w:hanging="70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ascii="Arial" w:hAnsi="Arial" w:hint="default"/>
        <w:b w:val="0"/>
        <w:sz w:val="22"/>
        <w:szCs w:val="22"/>
      </w:rPr>
    </w:lvl>
    <w:lvl w:ilvl="2">
      <w:start w:val="1"/>
      <w:numFmt w:val="decimal"/>
      <w:lvlText w:val="%1.%2.%3"/>
      <w:lvlJc w:val="left"/>
      <w:pPr>
        <w:tabs>
          <w:tab w:val="num" w:pos="1571"/>
        </w:tabs>
        <w:ind w:left="1571" w:hanging="720"/>
      </w:pPr>
      <w:rPr>
        <w:rFonts w:hint="default"/>
        <w:b w:val="0"/>
      </w:rPr>
    </w:lvl>
    <w:lvl w:ilvl="3">
      <w:start w:val="1"/>
      <w:numFmt w:val="bullet"/>
      <w:lvlText w:val=""/>
      <w:lvlJc w:val="left"/>
      <w:pPr>
        <w:tabs>
          <w:tab w:val="num" w:pos="2835"/>
        </w:tabs>
        <w:ind w:left="2835" w:hanging="510"/>
      </w:pPr>
      <w:rPr>
        <w:rFonts w:ascii="Symbol" w:hAnsi="Symbol"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EB414DB"/>
    <w:multiLevelType w:val="multilevel"/>
    <w:tmpl w:val="715066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1918257">
    <w:abstractNumId w:val="16"/>
  </w:num>
  <w:num w:numId="2" w16cid:durableId="1467772840">
    <w:abstractNumId w:val="7"/>
  </w:num>
  <w:num w:numId="3" w16cid:durableId="1841698837">
    <w:abstractNumId w:val="2"/>
  </w:num>
  <w:num w:numId="4" w16cid:durableId="1732001755">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16cid:durableId="1528910696">
    <w:abstractNumId w:val="0"/>
  </w:num>
  <w:num w:numId="6" w16cid:durableId="1282036593">
    <w:abstractNumId w:val="14"/>
  </w:num>
  <w:num w:numId="7" w16cid:durableId="463933592">
    <w:abstractNumId w:val="13"/>
    <w:lvlOverride w:ilvl="0">
      <w:lvl w:ilvl="0">
        <w:start w:val="1"/>
        <w:numFmt w:val="decimal"/>
        <w:lvlText w:val="%1"/>
        <w:lvlJc w:val="left"/>
        <w:pPr>
          <w:tabs>
            <w:tab w:val="num" w:pos="705"/>
          </w:tabs>
          <w:ind w:left="705" w:hanging="705"/>
        </w:pPr>
        <w:rPr>
          <w:rFonts w:ascii="Arial" w:hAnsi="Arial" w:hint="default"/>
          <w:b/>
          <w:sz w:val="22"/>
          <w:szCs w:val="22"/>
        </w:rPr>
      </w:lvl>
    </w:lvlOverride>
    <w:lvlOverride w:ilvl="1">
      <w:lvl w:ilvl="1">
        <w:start w:val="1"/>
        <w:numFmt w:val="bullet"/>
        <w:lvlText w:val=""/>
        <w:lvlJc w:val="left"/>
        <w:pPr>
          <w:tabs>
            <w:tab w:val="num" w:pos="705"/>
          </w:tabs>
          <w:ind w:left="705" w:hanging="705"/>
        </w:pPr>
        <w:rPr>
          <w:rFonts w:ascii="Symbol" w:hAnsi="Symbol" w:hint="default"/>
          <w:sz w:val="22"/>
        </w:rPr>
      </w:lvl>
    </w:lvlOverride>
    <w:lvlOverride w:ilvl="2">
      <w:lvl w:ilvl="2">
        <w:start w:val="1"/>
        <w:numFmt w:val="bullet"/>
        <w:lvlText w:val=""/>
        <w:lvlJc w:val="left"/>
        <w:pPr>
          <w:tabs>
            <w:tab w:val="num" w:pos="1571"/>
          </w:tabs>
          <w:ind w:left="1571" w:hanging="720"/>
        </w:pPr>
        <w:rPr>
          <w:rFonts w:ascii="Symbol" w:hAnsi="Symbol" w:hint="default"/>
          <w:b w:val="0"/>
        </w:rPr>
      </w:lvl>
    </w:lvlOverride>
    <w:lvlOverride w:ilvl="3">
      <w:lvl w:ilvl="3">
        <w:start w:val="1"/>
        <w:numFmt w:val="decimal"/>
        <w:lvlText w:val="%1.%2.%3.%4"/>
        <w:lvlJc w:val="left"/>
        <w:pPr>
          <w:tabs>
            <w:tab w:val="num" w:pos="1871"/>
          </w:tabs>
          <w:ind w:left="2438" w:hanging="850"/>
        </w:pPr>
        <w:rPr>
          <w:rFonts w:hint="default"/>
        </w:rPr>
      </w:lvl>
    </w:lvlOverride>
    <w:lvlOverride w:ilvl="4">
      <w:lvl w:ilvl="4">
        <w:start w:val="5"/>
        <w:numFmt w:val="decimal"/>
        <w:lvlText w:val="%1.%2.%3.%4.%5"/>
        <w:lvlJc w:val="left"/>
        <w:pPr>
          <w:tabs>
            <w:tab w:val="num" w:pos="1080"/>
          </w:tabs>
          <w:ind w:left="1080" w:hanging="1080"/>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16cid:durableId="1399135780">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2"/>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 w16cid:durableId="910387101">
    <w:abstractNumId w:val="16"/>
  </w:num>
  <w:num w:numId="10" w16cid:durableId="1097092349">
    <w:abstractNumId w:val="16"/>
  </w:num>
  <w:num w:numId="11" w16cid:durableId="584847930">
    <w:abstractNumId w:val="16"/>
  </w:num>
  <w:num w:numId="12" w16cid:durableId="671421048">
    <w:abstractNumId w:val="16"/>
  </w:num>
  <w:num w:numId="13" w16cid:durableId="1263761030">
    <w:abstractNumId w:val="16"/>
  </w:num>
  <w:num w:numId="14" w16cid:durableId="2113889334">
    <w:abstractNumId w:val="16"/>
  </w:num>
  <w:num w:numId="15" w16cid:durableId="2083673154">
    <w:abstractNumId w:val="16"/>
  </w:num>
  <w:num w:numId="16" w16cid:durableId="737284892">
    <w:abstractNumId w:val="16"/>
  </w:num>
  <w:num w:numId="17" w16cid:durableId="61567581">
    <w:abstractNumId w:val="16"/>
  </w:num>
  <w:num w:numId="18" w16cid:durableId="1201825410">
    <w:abstractNumId w:val="3"/>
  </w:num>
  <w:num w:numId="19" w16cid:durableId="708919663">
    <w:abstractNumId w:val="13"/>
    <w:lvlOverride w:ilvl="0">
      <w:lvl w:ilvl="0">
        <w:start w:val="1"/>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b w:val="0"/>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bullet"/>
        <w:lvlText w:val=""/>
        <w:lvlJc w:val="left"/>
        <w:pPr>
          <w:tabs>
            <w:tab w:val="num" w:pos="2325"/>
          </w:tabs>
          <w:ind w:left="2552" w:hanging="284"/>
        </w:pPr>
        <w:rPr>
          <w:rFonts w:ascii="Symbol" w:hAnsi="Symbol" w:hint="default"/>
          <w:color w:val="auto"/>
        </w:rPr>
      </w:lvl>
    </w:lvlOverride>
    <w:lvlOverride w:ilvl="4">
      <w:lvl w:ilvl="4">
        <w:start w:val="5"/>
        <w:numFmt w:val="bullet"/>
        <w:lvlText w:val=""/>
        <w:lvlJc w:val="left"/>
        <w:pPr>
          <w:ind w:left="2835" w:hanging="567"/>
        </w:pPr>
        <w:rPr>
          <w:rFonts w:ascii="Wingdings" w:hAnsi="Wingding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16cid:durableId="1262178960">
    <w:abstractNumId w:val="16"/>
  </w:num>
  <w:num w:numId="21" w16cid:durableId="1612125305">
    <w:abstractNumId w:val="16"/>
  </w:num>
  <w:num w:numId="22" w16cid:durableId="2018654690">
    <w:abstractNumId w:val="16"/>
  </w:num>
  <w:num w:numId="23" w16cid:durableId="825321172">
    <w:abstractNumId w:val="16"/>
  </w:num>
  <w:num w:numId="24" w16cid:durableId="2079740467">
    <w:abstractNumId w:val="6"/>
  </w:num>
  <w:num w:numId="25" w16cid:durableId="365257152">
    <w:abstractNumId w:val="9"/>
  </w:num>
  <w:num w:numId="26" w16cid:durableId="774717893">
    <w:abstractNumId w:val="5"/>
  </w:num>
  <w:num w:numId="27" w16cid:durableId="1037394053">
    <w:abstractNumId w:val="4"/>
  </w:num>
  <w:num w:numId="28" w16cid:durableId="227806815">
    <w:abstractNumId w:val="16"/>
    <w:lvlOverride w:ilvl="0">
      <w:startOverride w:val="1"/>
    </w:lvlOverride>
    <w:lvlOverride w:ilvl="1">
      <w:startOverride w:val="1"/>
    </w:lvlOverride>
    <w:lvlOverride w:ilvl="2">
      <w:startOverride w:val="1"/>
    </w:lvlOverride>
    <w:lvlOverride w:ilvl="3"/>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 w:numId="29" w16cid:durableId="1280263974">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2500153">
    <w:abstractNumId w:val="8"/>
  </w:num>
  <w:num w:numId="31" w16cid:durableId="704450121">
    <w:abstractNumId w:val="11"/>
  </w:num>
  <w:num w:numId="32" w16cid:durableId="113377556">
    <w:abstractNumId w:val="1"/>
  </w:num>
  <w:num w:numId="33" w16cid:durableId="1067918957">
    <w:abstractNumId w:val="17"/>
  </w:num>
  <w:num w:numId="34" w16cid:durableId="38553618">
    <w:abstractNumId w:val="15"/>
  </w:num>
  <w:num w:numId="35" w16cid:durableId="99583708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16"/>
    <w:rsid w:val="0000099C"/>
    <w:rsid w:val="00000D93"/>
    <w:rsid w:val="00003B57"/>
    <w:rsid w:val="00007229"/>
    <w:rsid w:val="00010F20"/>
    <w:rsid w:val="00012312"/>
    <w:rsid w:val="00012604"/>
    <w:rsid w:val="00013C07"/>
    <w:rsid w:val="00014F2F"/>
    <w:rsid w:val="0001576A"/>
    <w:rsid w:val="000161B6"/>
    <w:rsid w:val="00016A35"/>
    <w:rsid w:val="00020E98"/>
    <w:rsid w:val="000217C6"/>
    <w:rsid w:val="000225D0"/>
    <w:rsid w:val="00022B8A"/>
    <w:rsid w:val="00023368"/>
    <w:rsid w:val="000237DA"/>
    <w:rsid w:val="000241D7"/>
    <w:rsid w:val="0002455E"/>
    <w:rsid w:val="00025071"/>
    <w:rsid w:val="00026087"/>
    <w:rsid w:val="0002616C"/>
    <w:rsid w:val="0002687C"/>
    <w:rsid w:val="00027C15"/>
    <w:rsid w:val="00030FE8"/>
    <w:rsid w:val="00031BF5"/>
    <w:rsid w:val="0003275E"/>
    <w:rsid w:val="00032B14"/>
    <w:rsid w:val="00033926"/>
    <w:rsid w:val="00034D46"/>
    <w:rsid w:val="00034D5B"/>
    <w:rsid w:val="00035A3F"/>
    <w:rsid w:val="00036CA3"/>
    <w:rsid w:val="000373A3"/>
    <w:rsid w:val="00040F30"/>
    <w:rsid w:val="00042113"/>
    <w:rsid w:val="00043038"/>
    <w:rsid w:val="000436F0"/>
    <w:rsid w:val="00043848"/>
    <w:rsid w:val="000441C8"/>
    <w:rsid w:val="0004422D"/>
    <w:rsid w:val="000443BA"/>
    <w:rsid w:val="00046B61"/>
    <w:rsid w:val="0005011B"/>
    <w:rsid w:val="00050925"/>
    <w:rsid w:val="00053ABD"/>
    <w:rsid w:val="00054ED9"/>
    <w:rsid w:val="00055E7B"/>
    <w:rsid w:val="000564C1"/>
    <w:rsid w:val="00060CE6"/>
    <w:rsid w:val="00061196"/>
    <w:rsid w:val="00061630"/>
    <w:rsid w:val="00061BCC"/>
    <w:rsid w:val="000623E5"/>
    <w:rsid w:val="00064738"/>
    <w:rsid w:val="00065474"/>
    <w:rsid w:val="000658BB"/>
    <w:rsid w:val="00066EE4"/>
    <w:rsid w:val="0006760B"/>
    <w:rsid w:val="0007089B"/>
    <w:rsid w:val="00070C2E"/>
    <w:rsid w:val="00071711"/>
    <w:rsid w:val="000724AB"/>
    <w:rsid w:val="00072CE0"/>
    <w:rsid w:val="0007343E"/>
    <w:rsid w:val="00074806"/>
    <w:rsid w:val="00074A53"/>
    <w:rsid w:val="000751B8"/>
    <w:rsid w:val="00075F3B"/>
    <w:rsid w:val="00076D49"/>
    <w:rsid w:val="000779EC"/>
    <w:rsid w:val="000801CF"/>
    <w:rsid w:val="00080272"/>
    <w:rsid w:val="00081F33"/>
    <w:rsid w:val="0008434D"/>
    <w:rsid w:val="00084559"/>
    <w:rsid w:val="00084879"/>
    <w:rsid w:val="00084CA1"/>
    <w:rsid w:val="000850E8"/>
    <w:rsid w:val="000855CC"/>
    <w:rsid w:val="00086CA7"/>
    <w:rsid w:val="000877E2"/>
    <w:rsid w:val="00090A28"/>
    <w:rsid w:val="00090ED9"/>
    <w:rsid w:val="000910BB"/>
    <w:rsid w:val="000918FD"/>
    <w:rsid w:val="00093113"/>
    <w:rsid w:val="0009370B"/>
    <w:rsid w:val="00093CDC"/>
    <w:rsid w:val="00094FEE"/>
    <w:rsid w:val="00095135"/>
    <w:rsid w:val="000959FF"/>
    <w:rsid w:val="000965D8"/>
    <w:rsid w:val="000969DF"/>
    <w:rsid w:val="00097053"/>
    <w:rsid w:val="00097A9C"/>
    <w:rsid w:val="000A01DB"/>
    <w:rsid w:val="000A1A82"/>
    <w:rsid w:val="000A2B9D"/>
    <w:rsid w:val="000A3343"/>
    <w:rsid w:val="000A58C1"/>
    <w:rsid w:val="000A5FB5"/>
    <w:rsid w:val="000A674F"/>
    <w:rsid w:val="000A6857"/>
    <w:rsid w:val="000A7A0B"/>
    <w:rsid w:val="000B0473"/>
    <w:rsid w:val="000B07A7"/>
    <w:rsid w:val="000B2620"/>
    <w:rsid w:val="000B27B6"/>
    <w:rsid w:val="000B2EC1"/>
    <w:rsid w:val="000B3FAE"/>
    <w:rsid w:val="000B76A7"/>
    <w:rsid w:val="000B7B47"/>
    <w:rsid w:val="000C4F94"/>
    <w:rsid w:val="000C67A1"/>
    <w:rsid w:val="000C6FCD"/>
    <w:rsid w:val="000C7001"/>
    <w:rsid w:val="000D1326"/>
    <w:rsid w:val="000D2CA7"/>
    <w:rsid w:val="000D5D86"/>
    <w:rsid w:val="000D6A1F"/>
    <w:rsid w:val="000D6C5B"/>
    <w:rsid w:val="000E00B6"/>
    <w:rsid w:val="000E0F10"/>
    <w:rsid w:val="000E1F8D"/>
    <w:rsid w:val="000E29EE"/>
    <w:rsid w:val="000E2F0E"/>
    <w:rsid w:val="000E328C"/>
    <w:rsid w:val="000E5130"/>
    <w:rsid w:val="000E5571"/>
    <w:rsid w:val="000E5695"/>
    <w:rsid w:val="000E74A8"/>
    <w:rsid w:val="000E7B3B"/>
    <w:rsid w:val="000F0292"/>
    <w:rsid w:val="000F06DD"/>
    <w:rsid w:val="000F0DDD"/>
    <w:rsid w:val="000F2ED7"/>
    <w:rsid w:val="000F4718"/>
    <w:rsid w:val="000F513B"/>
    <w:rsid w:val="000F5C0F"/>
    <w:rsid w:val="000F74EE"/>
    <w:rsid w:val="000F75EB"/>
    <w:rsid w:val="000F7D94"/>
    <w:rsid w:val="0010083B"/>
    <w:rsid w:val="001024C2"/>
    <w:rsid w:val="00102B35"/>
    <w:rsid w:val="00103AFE"/>
    <w:rsid w:val="00104DFA"/>
    <w:rsid w:val="00105819"/>
    <w:rsid w:val="00107048"/>
    <w:rsid w:val="001077EB"/>
    <w:rsid w:val="00110326"/>
    <w:rsid w:val="00112C5E"/>
    <w:rsid w:val="00113037"/>
    <w:rsid w:val="00113ADF"/>
    <w:rsid w:val="00113B1A"/>
    <w:rsid w:val="00115DAC"/>
    <w:rsid w:val="001161FD"/>
    <w:rsid w:val="001179C2"/>
    <w:rsid w:val="00121064"/>
    <w:rsid w:val="00121D35"/>
    <w:rsid w:val="0012305F"/>
    <w:rsid w:val="00123C8F"/>
    <w:rsid w:val="00124111"/>
    <w:rsid w:val="00126C82"/>
    <w:rsid w:val="00127E94"/>
    <w:rsid w:val="001321F1"/>
    <w:rsid w:val="001323B8"/>
    <w:rsid w:val="0013386C"/>
    <w:rsid w:val="00134660"/>
    <w:rsid w:val="00134CB3"/>
    <w:rsid w:val="0013575E"/>
    <w:rsid w:val="00135763"/>
    <w:rsid w:val="00136213"/>
    <w:rsid w:val="00136955"/>
    <w:rsid w:val="001377DA"/>
    <w:rsid w:val="001400A3"/>
    <w:rsid w:val="0014090B"/>
    <w:rsid w:val="00141BF6"/>
    <w:rsid w:val="00141EA4"/>
    <w:rsid w:val="001421C0"/>
    <w:rsid w:val="001426FE"/>
    <w:rsid w:val="00144026"/>
    <w:rsid w:val="00146553"/>
    <w:rsid w:val="00146881"/>
    <w:rsid w:val="00146B76"/>
    <w:rsid w:val="00147D8A"/>
    <w:rsid w:val="00150425"/>
    <w:rsid w:val="001511B7"/>
    <w:rsid w:val="001538E9"/>
    <w:rsid w:val="001543E5"/>
    <w:rsid w:val="001553EF"/>
    <w:rsid w:val="00155EA3"/>
    <w:rsid w:val="0015727B"/>
    <w:rsid w:val="001600C3"/>
    <w:rsid w:val="00160B31"/>
    <w:rsid w:val="00160E13"/>
    <w:rsid w:val="001617FD"/>
    <w:rsid w:val="0016219F"/>
    <w:rsid w:val="00162720"/>
    <w:rsid w:val="00162777"/>
    <w:rsid w:val="00162809"/>
    <w:rsid w:val="00164A4A"/>
    <w:rsid w:val="00165AEE"/>
    <w:rsid w:val="00166F1C"/>
    <w:rsid w:val="00167CFF"/>
    <w:rsid w:val="00171514"/>
    <w:rsid w:val="0017218B"/>
    <w:rsid w:val="0017289F"/>
    <w:rsid w:val="00173001"/>
    <w:rsid w:val="00173784"/>
    <w:rsid w:val="00173DBE"/>
    <w:rsid w:val="00175070"/>
    <w:rsid w:val="00175B09"/>
    <w:rsid w:val="0017730A"/>
    <w:rsid w:val="0017745F"/>
    <w:rsid w:val="00181804"/>
    <w:rsid w:val="00181CCA"/>
    <w:rsid w:val="00181F2D"/>
    <w:rsid w:val="0018335C"/>
    <w:rsid w:val="00183499"/>
    <w:rsid w:val="0018523B"/>
    <w:rsid w:val="00185D04"/>
    <w:rsid w:val="00186286"/>
    <w:rsid w:val="001863F9"/>
    <w:rsid w:val="00187CCF"/>
    <w:rsid w:val="001901E7"/>
    <w:rsid w:val="00190527"/>
    <w:rsid w:val="00191EC3"/>
    <w:rsid w:val="001934C8"/>
    <w:rsid w:val="001953E0"/>
    <w:rsid w:val="00195C45"/>
    <w:rsid w:val="001A03EC"/>
    <w:rsid w:val="001A1F5B"/>
    <w:rsid w:val="001A2562"/>
    <w:rsid w:val="001A2DD4"/>
    <w:rsid w:val="001A2EE7"/>
    <w:rsid w:val="001A2F01"/>
    <w:rsid w:val="001A2FB1"/>
    <w:rsid w:val="001A3169"/>
    <w:rsid w:val="001A667C"/>
    <w:rsid w:val="001A6DCB"/>
    <w:rsid w:val="001A79CD"/>
    <w:rsid w:val="001B0A17"/>
    <w:rsid w:val="001B0C3F"/>
    <w:rsid w:val="001B46F3"/>
    <w:rsid w:val="001B5B82"/>
    <w:rsid w:val="001B7657"/>
    <w:rsid w:val="001B7B33"/>
    <w:rsid w:val="001C20F1"/>
    <w:rsid w:val="001C3CCF"/>
    <w:rsid w:val="001C3FA4"/>
    <w:rsid w:val="001C5F43"/>
    <w:rsid w:val="001C7AF8"/>
    <w:rsid w:val="001C7E44"/>
    <w:rsid w:val="001D13E3"/>
    <w:rsid w:val="001D14CE"/>
    <w:rsid w:val="001D1CF4"/>
    <w:rsid w:val="001D5121"/>
    <w:rsid w:val="001D5991"/>
    <w:rsid w:val="001D5E2D"/>
    <w:rsid w:val="001D6B43"/>
    <w:rsid w:val="001D71FD"/>
    <w:rsid w:val="001D7317"/>
    <w:rsid w:val="001E1933"/>
    <w:rsid w:val="001E1FBE"/>
    <w:rsid w:val="001E2048"/>
    <w:rsid w:val="001E2880"/>
    <w:rsid w:val="001E57C8"/>
    <w:rsid w:val="001E6EA5"/>
    <w:rsid w:val="001E7442"/>
    <w:rsid w:val="001E7B89"/>
    <w:rsid w:val="001E7D5D"/>
    <w:rsid w:val="001F086E"/>
    <w:rsid w:val="001F109F"/>
    <w:rsid w:val="001F4D5B"/>
    <w:rsid w:val="001F7360"/>
    <w:rsid w:val="002004D6"/>
    <w:rsid w:val="002018A0"/>
    <w:rsid w:val="00202083"/>
    <w:rsid w:val="002022B8"/>
    <w:rsid w:val="002028B7"/>
    <w:rsid w:val="0020411D"/>
    <w:rsid w:val="00204790"/>
    <w:rsid w:val="00204823"/>
    <w:rsid w:val="00206E82"/>
    <w:rsid w:val="002100D2"/>
    <w:rsid w:val="0021086C"/>
    <w:rsid w:val="002115BA"/>
    <w:rsid w:val="00212075"/>
    <w:rsid w:val="00212CDD"/>
    <w:rsid w:val="00212DEC"/>
    <w:rsid w:val="00212F4D"/>
    <w:rsid w:val="00214F3E"/>
    <w:rsid w:val="00215E52"/>
    <w:rsid w:val="0021682A"/>
    <w:rsid w:val="00216E97"/>
    <w:rsid w:val="00216F8E"/>
    <w:rsid w:val="0021722C"/>
    <w:rsid w:val="00217610"/>
    <w:rsid w:val="00217673"/>
    <w:rsid w:val="002178E0"/>
    <w:rsid w:val="00217DF5"/>
    <w:rsid w:val="00217FD8"/>
    <w:rsid w:val="00220A34"/>
    <w:rsid w:val="00220E32"/>
    <w:rsid w:val="00221A7D"/>
    <w:rsid w:val="0022228E"/>
    <w:rsid w:val="002227B9"/>
    <w:rsid w:val="00222964"/>
    <w:rsid w:val="00222B56"/>
    <w:rsid w:val="0022318E"/>
    <w:rsid w:val="002231F8"/>
    <w:rsid w:val="00223561"/>
    <w:rsid w:val="0022409D"/>
    <w:rsid w:val="002251B7"/>
    <w:rsid w:val="0022541D"/>
    <w:rsid w:val="00225ECB"/>
    <w:rsid w:val="002262D4"/>
    <w:rsid w:val="00226B85"/>
    <w:rsid w:val="00227335"/>
    <w:rsid w:val="00227CBB"/>
    <w:rsid w:val="0023012D"/>
    <w:rsid w:val="00231092"/>
    <w:rsid w:val="00234068"/>
    <w:rsid w:val="00234151"/>
    <w:rsid w:val="002352E8"/>
    <w:rsid w:val="0023664F"/>
    <w:rsid w:val="00237FC3"/>
    <w:rsid w:val="002407EB"/>
    <w:rsid w:val="0024095A"/>
    <w:rsid w:val="0024110B"/>
    <w:rsid w:val="0024111A"/>
    <w:rsid w:val="0024249F"/>
    <w:rsid w:val="00242E74"/>
    <w:rsid w:val="002430F5"/>
    <w:rsid w:val="00243AAA"/>
    <w:rsid w:val="00244987"/>
    <w:rsid w:val="00244A20"/>
    <w:rsid w:val="00245B18"/>
    <w:rsid w:val="00245B8E"/>
    <w:rsid w:val="00246244"/>
    <w:rsid w:val="002476C4"/>
    <w:rsid w:val="002516BB"/>
    <w:rsid w:val="00251CFA"/>
    <w:rsid w:val="0025660F"/>
    <w:rsid w:val="00256879"/>
    <w:rsid w:val="00257510"/>
    <w:rsid w:val="00260494"/>
    <w:rsid w:val="0026098E"/>
    <w:rsid w:val="00260FF3"/>
    <w:rsid w:val="00261C01"/>
    <w:rsid w:val="00262619"/>
    <w:rsid w:val="0026311E"/>
    <w:rsid w:val="0026540F"/>
    <w:rsid w:val="0026573B"/>
    <w:rsid w:val="002658C7"/>
    <w:rsid w:val="00266D42"/>
    <w:rsid w:val="002671B0"/>
    <w:rsid w:val="00270F39"/>
    <w:rsid w:val="00271A79"/>
    <w:rsid w:val="00272CB4"/>
    <w:rsid w:val="00273901"/>
    <w:rsid w:val="00273EB7"/>
    <w:rsid w:val="002747D4"/>
    <w:rsid w:val="00274DD3"/>
    <w:rsid w:val="002755CF"/>
    <w:rsid w:val="00276842"/>
    <w:rsid w:val="00276E42"/>
    <w:rsid w:val="00276F29"/>
    <w:rsid w:val="0028078B"/>
    <w:rsid w:val="00280947"/>
    <w:rsid w:val="00281441"/>
    <w:rsid w:val="00281E60"/>
    <w:rsid w:val="00281FDA"/>
    <w:rsid w:val="0028489E"/>
    <w:rsid w:val="002868C1"/>
    <w:rsid w:val="0028690A"/>
    <w:rsid w:val="00286934"/>
    <w:rsid w:val="00287161"/>
    <w:rsid w:val="00287F04"/>
    <w:rsid w:val="002926C5"/>
    <w:rsid w:val="00296880"/>
    <w:rsid w:val="00296C36"/>
    <w:rsid w:val="00296F1C"/>
    <w:rsid w:val="00297C1B"/>
    <w:rsid w:val="002A0AAC"/>
    <w:rsid w:val="002A0F98"/>
    <w:rsid w:val="002A2B5A"/>
    <w:rsid w:val="002A3C1A"/>
    <w:rsid w:val="002A49F1"/>
    <w:rsid w:val="002A6D00"/>
    <w:rsid w:val="002A7019"/>
    <w:rsid w:val="002A78A5"/>
    <w:rsid w:val="002B0117"/>
    <w:rsid w:val="002B01D2"/>
    <w:rsid w:val="002B087C"/>
    <w:rsid w:val="002B20DA"/>
    <w:rsid w:val="002B2900"/>
    <w:rsid w:val="002B4277"/>
    <w:rsid w:val="002B4B81"/>
    <w:rsid w:val="002B64E9"/>
    <w:rsid w:val="002B698F"/>
    <w:rsid w:val="002B70F7"/>
    <w:rsid w:val="002B736E"/>
    <w:rsid w:val="002B7968"/>
    <w:rsid w:val="002B7B87"/>
    <w:rsid w:val="002C077B"/>
    <w:rsid w:val="002C1142"/>
    <w:rsid w:val="002C21A9"/>
    <w:rsid w:val="002C38C9"/>
    <w:rsid w:val="002C47E6"/>
    <w:rsid w:val="002D045F"/>
    <w:rsid w:val="002D0802"/>
    <w:rsid w:val="002D2BAA"/>
    <w:rsid w:val="002D33E2"/>
    <w:rsid w:val="002D3804"/>
    <w:rsid w:val="002D3D79"/>
    <w:rsid w:val="002D507A"/>
    <w:rsid w:val="002D5F45"/>
    <w:rsid w:val="002D6468"/>
    <w:rsid w:val="002E08BE"/>
    <w:rsid w:val="002E1946"/>
    <w:rsid w:val="002E2212"/>
    <w:rsid w:val="002E408D"/>
    <w:rsid w:val="002E4FA4"/>
    <w:rsid w:val="002E565E"/>
    <w:rsid w:val="002E5E35"/>
    <w:rsid w:val="002E7466"/>
    <w:rsid w:val="002E7604"/>
    <w:rsid w:val="002F05C1"/>
    <w:rsid w:val="002F1450"/>
    <w:rsid w:val="002F3085"/>
    <w:rsid w:val="002F31AA"/>
    <w:rsid w:val="002F5028"/>
    <w:rsid w:val="002F5FED"/>
    <w:rsid w:val="002F6B92"/>
    <w:rsid w:val="002F6F75"/>
    <w:rsid w:val="003006FC"/>
    <w:rsid w:val="00302B4E"/>
    <w:rsid w:val="003033E9"/>
    <w:rsid w:val="0030380F"/>
    <w:rsid w:val="0030422D"/>
    <w:rsid w:val="00304C4A"/>
    <w:rsid w:val="00304EE1"/>
    <w:rsid w:val="00305AB7"/>
    <w:rsid w:val="0030710A"/>
    <w:rsid w:val="0031057F"/>
    <w:rsid w:val="003123F1"/>
    <w:rsid w:val="00314EDB"/>
    <w:rsid w:val="0031789B"/>
    <w:rsid w:val="00320D4E"/>
    <w:rsid w:val="0032131C"/>
    <w:rsid w:val="00321C36"/>
    <w:rsid w:val="00321D41"/>
    <w:rsid w:val="0032299A"/>
    <w:rsid w:val="00323E47"/>
    <w:rsid w:val="00324D26"/>
    <w:rsid w:val="0032546B"/>
    <w:rsid w:val="003260C9"/>
    <w:rsid w:val="0032666E"/>
    <w:rsid w:val="00326703"/>
    <w:rsid w:val="00327523"/>
    <w:rsid w:val="00327BBE"/>
    <w:rsid w:val="00330EE6"/>
    <w:rsid w:val="003325D8"/>
    <w:rsid w:val="003340EC"/>
    <w:rsid w:val="003364A6"/>
    <w:rsid w:val="0033799E"/>
    <w:rsid w:val="00337DBD"/>
    <w:rsid w:val="0034180A"/>
    <w:rsid w:val="00342E78"/>
    <w:rsid w:val="00343B8D"/>
    <w:rsid w:val="00345089"/>
    <w:rsid w:val="003456D7"/>
    <w:rsid w:val="0034670A"/>
    <w:rsid w:val="00346F4E"/>
    <w:rsid w:val="0034707C"/>
    <w:rsid w:val="00347671"/>
    <w:rsid w:val="0034793E"/>
    <w:rsid w:val="00347D78"/>
    <w:rsid w:val="003508E3"/>
    <w:rsid w:val="0035152D"/>
    <w:rsid w:val="00351FA3"/>
    <w:rsid w:val="00352256"/>
    <w:rsid w:val="00353E3F"/>
    <w:rsid w:val="00354EE0"/>
    <w:rsid w:val="003550A1"/>
    <w:rsid w:val="00355478"/>
    <w:rsid w:val="00355A4C"/>
    <w:rsid w:val="003566AC"/>
    <w:rsid w:val="003569F8"/>
    <w:rsid w:val="00357838"/>
    <w:rsid w:val="003609F8"/>
    <w:rsid w:val="00361CAC"/>
    <w:rsid w:val="00362EA7"/>
    <w:rsid w:val="00363217"/>
    <w:rsid w:val="00364FA3"/>
    <w:rsid w:val="003654F0"/>
    <w:rsid w:val="00366621"/>
    <w:rsid w:val="0036702A"/>
    <w:rsid w:val="003701A4"/>
    <w:rsid w:val="003706B2"/>
    <w:rsid w:val="003732B8"/>
    <w:rsid w:val="00374203"/>
    <w:rsid w:val="00374945"/>
    <w:rsid w:val="00374F49"/>
    <w:rsid w:val="00375315"/>
    <w:rsid w:val="00376386"/>
    <w:rsid w:val="003807C0"/>
    <w:rsid w:val="00380FD3"/>
    <w:rsid w:val="0038194A"/>
    <w:rsid w:val="00383752"/>
    <w:rsid w:val="00384603"/>
    <w:rsid w:val="0038470D"/>
    <w:rsid w:val="00384C91"/>
    <w:rsid w:val="0038773C"/>
    <w:rsid w:val="00387E32"/>
    <w:rsid w:val="003905F7"/>
    <w:rsid w:val="003916F5"/>
    <w:rsid w:val="0039247F"/>
    <w:rsid w:val="003932C8"/>
    <w:rsid w:val="0039400F"/>
    <w:rsid w:val="0039408B"/>
    <w:rsid w:val="003950DB"/>
    <w:rsid w:val="003954AC"/>
    <w:rsid w:val="00395645"/>
    <w:rsid w:val="0039668D"/>
    <w:rsid w:val="003A08AF"/>
    <w:rsid w:val="003A16AA"/>
    <w:rsid w:val="003A4116"/>
    <w:rsid w:val="003A49A0"/>
    <w:rsid w:val="003A4E16"/>
    <w:rsid w:val="003A5E21"/>
    <w:rsid w:val="003A7A3B"/>
    <w:rsid w:val="003B0484"/>
    <w:rsid w:val="003B1633"/>
    <w:rsid w:val="003B1964"/>
    <w:rsid w:val="003B26EE"/>
    <w:rsid w:val="003B5290"/>
    <w:rsid w:val="003B5A22"/>
    <w:rsid w:val="003B5F44"/>
    <w:rsid w:val="003B630C"/>
    <w:rsid w:val="003B7164"/>
    <w:rsid w:val="003B77FE"/>
    <w:rsid w:val="003C0038"/>
    <w:rsid w:val="003C093B"/>
    <w:rsid w:val="003C1759"/>
    <w:rsid w:val="003C2A3C"/>
    <w:rsid w:val="003C2ABA"/>
    <w:rsid w:val="003C30FF"/>
    <w:rsid w:val="003C37B8"/>
    <w:rsid w:val="003C3B71"/>
    <w:rsid w:val="003C3DB0"/>
    <w:rsid w:val="003C3F12"/>
    <w:rsid w:val="003C4237"/>
    <w:rsid w:val="003C44CF"/>
    <w:rsid w:val="003C49BA"/>
    <w:rsid w:val="003C675A"/>
    <w:rsid w:val="003C7666"/>
    <w:rsid w:val="003D0D04"/>
    <w:rsid w:val="003D1035"/>
    <w:rsid w:val="003D151E"/>
    <w:rsid w:val="003D25F0"/>
    <w:rsid w:val="003D38DD"/>
    <w:rsid w:val="003D3FB2"/>
    <w:rsid w:val="003D4185"/>
    <w:rsid w:val="003D598F"/>
    <w:rsid w:val="003D74E4"/>
    <w:rsid w:val="003D77A2"/>
    <w:rsid w:val="003E154B"/>
    <w:rsid w:val="003E1B5A"/>
    <w:rsid w:val="003E2115"/>
    <w:rsid w:val="003E5027"/>
    <w:rsid w:val="003E528A"/>
    <w:rsid w:val="003E6956"/>
    <w:rsid w:val="003E6BB8"/>
    <w:rsid w:val="003F0F86"/>
    <w:rsid w:val="003F1111"/>
    <w:rsid w:val="003F21B7"/>
    <w:rsid w:val="003F21C2"/>
    <w:rsid w:val="003F23FC"/>
    <w:rsid w:val="003F4104"/>
    <w:rsid w:val="003F4E6E"/>
    <w:rsid w:val="003F5A25"/>
    <w:rsid w:val="003F69E5"/>
    <w:rsid w:val="003F7A0E"/>
    <w:rsid w:val="00401210"/>
    <w:rsid w:val="00401791"/>
    <w:rsid w:val="00401C4C"/>
    <w:rsid w:val="00403129"/>
    <w:rsid w:val="00403782"/>
    <w:rsid w:val="004044F6"/>
    <w:rsid w:val="00404B91"/>
    <w:rsid w:val="0040528F"/>
    <w:rsid w:val="00406A7B"/>
    <w:rsid w:val="00407131"/>
    <w:rsid w:val="00407134"/>
    <w:rsid w:val="004072D9"/>
    <w:rsid w:val="00407E4E"/>
    <w:rsid w:val="00410FAE"/>
    <w:rsid w:val="00412498"/>
    <w:rsid w:val="0041272A"/>
    <w:rsid w:val="00413789"/>
    <w:rsid w:val="004143D4"/>
    <w:rsid w:val="004144AB"/>
    <w:rsid w:val="0041450E"/>
    <w:rsid w:val="00416623"/>
    <w:rsid w:val="00420554"/>
    <w:rsid w:val="00422783"/>
    <w:rsid w:val="00424899"/>
    <w:rsid w:val="00424956"/>
    <w:rsid w:val="00424982"/>
    <w:rsid w:val="00424B00"/>
    <w:rsid w:val="00425D05"/>
    <w:rsid w:val="00427012"/>
    <w:rsid w:val="004271D7"/>
    <w:rsid w:val="00427310"/>
    <w:rsid w:val="004320FD"/>
    <w:rsid w:val="00432BCA"/>
    <w:rsid w:val="00433E2B"/>
    <w:rsid w:val="00437680"/>
    <w:rsid w:val="004447AB"/>
    <w:rsid w:val="004456B8"/>
    <w:rsid w:val="004457E5"/>
    <w:rsid w:val="004462FB"/>
    <w:rsid w:val="00447542"/>
    <w:rsid w:val="00447543"/>
    <w:rsid w:val="00450C50"/>
    <w:rsid w:val="00451821"/>
    <w:rsid w:val="00452B18"/>
    <w:rsid w:val="00452EE1"/>
    <w:rsid w:val="0045307F"/>
    <w:rsid w:val="00454529"/>
    <w:rsid w:val="00454FD8"/>
    <w:rsid w:val="00455740"/>
    <w:rsid w:val="00456074"/>
    <w:rsid w:val="00456827"/>
    <w:rsid w:val="00456F42"/>
    <w:rsid w:val="00457AF7"/>
    <w:rsid w:val="004611EF"/>
    <w:rsid w:val="00461AD7"/>
    <w:rsid w:val="00463827"/>
    <w:rsid w:val="00463A07"/>
    <w:rsid w:val="004649A3"/>
    <w:rsid w:val="00471196"/>
    <w:rsid w:val="0047134F"/>
    <w:rsid w:val="0047177C"/>
    <w:rsid w:val="00471B9F"/>
    <w:rsid w:val="00472BEC"/>
    <w:rsid w:val="00473651"/>
    <w:rsid w:val="00473CE8"/>
    <w:rsid w:val="00474AA9"/>
    <w:rsid w:val="00474FE4"/>
    <w:rsid w:val="00475286"/>
    <w:rsid w:val="00475BB7"/>
    <w:rsid w:val="00476E07"/>
    <w:rsid w:val="0047708A"/>
    <w:rsid w:val="00481A97"/>
    <w:rsid w:val="00482695"/>
    <w:rsid w:val="00484033"/>
    <w:rsid w:val="00484080"/>
    <w:rsid w:val="00485279"/>
    <w:rsid w:val="0048551B"/>
    <w:rsid w:val="00487CBF"/>
    <w:rsid w:val="00490AE5"/>
    <w:rsid w:val="004911BA"/>
    <w:rsid w:val="004923C8"/>
    <w:rsid w:val="00492CFB"/>
    <w:rsid w:val="004933BC"/>
    <w:rsid w:val="0049479C"/>
    <w:rsid w:val="004950FD"/>
    <w:rsid w:val="00495923"/>
    <w:rsid w:val="00495965"/>
    <w:rsid w:val="00496D42"/>
    <w:rsid w:val="00496D6F"/>
    <w:rsid w:val="00496DF0"/>
    <w:rsid w:val="00497003"/>
    <w:rsid w:val="0049784F"/>
    <w:rsid w:val="004A0510"/>
    <w:rsid w:val="004A056C"/>
    <w:rsid w:val="004A1358"/>
    <w:rsid w:val="004A16CC"/>
    <w:rsid w:val="004A2460"/>
    <w:rsid w:val="004A2597"/>
    <w:rsid w:val="004A2C7F"/>
    <w:rsid w:val="004A308C"/>
    <w:rsid w:val="004A4F7A"/>
    <w:rsid w:val="004A540B"/>
    <w:rsid w:val="004A559C"/>
    <w:rsid w:val="004A5D42"/>
    <w:rsid w:val="004A61B7"/>
    <w:rsid w:val="004A63A7"/>
    <w:rsid w:val="004A643E"/>
    <w:rsid w:val="004A6EDF"/>
    <w:rsid w:val="004A71D8"/>
    <w:rsid w:val="004A7266"/>
    <w:rsid w:val="004B25DF"/>
    <w:rsid w:val="004B3FE3"/>
    <w:rsid w:val="004B5330"/>
    <w:rsid w:val="004B5BE3"/>
    <w:rsid w:val="004B5F72"/>
    <w:rsid w:val="004B68B5"/>
    <w:rsid w:val="004B72CC"/>
    <w:rsid w:val="004C0889"/>
    <w:rsid w:val="004C2C9C"/>
    <w:rsid w:val="004C2F15"/>
    <w:rsid w:val="004C30E3"/>
    <w:rsid w:val="004C3516"/>
    <w:rsid w:val="004C3703"/>
    <w:rsid w:val="004C3E0B"/>
    <w:rsid w:val="004C428D"/>
    <w:rsid w:val="004C6AB5"/>
    <w:rsid w:val="004C6FAD"/>
    <w:rsid w:val="004C776B"/>
    <w:rsid w:val="004D01E9"/>
    <w:rsid w:val="004D1334"/>
    <w:rsid w:val="004D1395"/>
    <w:rsid w:val="004D192A"/>
    <w:rsid w:val="004D2DD3"/>
    <w:rsid w:val="004D39F8"/>
    <w:rsid w:val="004D3BAB"/>
    <w:rsid w:val="004D4DA2"/>
    <w:rsid w:val="004D504F"/>
    <w:rsid w:val="004D5EC3"/>
    <w:rsid w:val="004D6005"/>
    <w:rsid w:val="004D62E0"/>
    <w:rsid w:val="004D7093"/>
    <w:rsid w:val="004D7CB5"/>
    <w:rsid w:val="004D7F04"/>
    <w:rsid w:val="004E03BA"/>
    <w:rsid w:val="004E0B16"/>
    <w:rsid w:val="004E2A26"/>
    <w:rsid w:val="004E2D3D"/>
    <w:rsid w:val="004E3910"/>
    <w:rsid w:val="004E3AA3"/>
    <w:rsid w:val="004E6186"/>
    <w:rsid w:val="004E6D95"/>
    <w:rsid w:val="004E7131"/>
    <w:rsid w:val="004F0B2F"/>
    <w:rsid w:val="004F0BCA"/>
    <w:rsid w:val="004F14D3"/>
    <w:rsid w:val="004F14DF"/>
    <w:rsid w:val="004F181D"/>
    <w:rsid w:val="004F1A05"/>
    <w:rsid w:val="004F2837"/>
    <w:rsid w:val="004F2863"/>
    <w:rsid w:val="004F2E09"/>
    <w:rsid w:val="004F3618"/>
    <w:rsid w:val="004F4934"/>
    <w:rsid w:val="004F595B"/>
    <w:rsid w:val="004F698F"/>
    <w:rsid w:val="004F772E"/>
    <w:rsid w:val="005001E6"/>
    <w:rsid w:val="0050161D"/>
    <w:rsid w:val="00503837"/>
    <w:rsid w:val="00504512"/>
    <w:rsid w:val="0050582F"/>
    <w:rsid w:val="005104F8"/>
    <w:rsid w:val="005113C5"/>
    <w:rsid w:val="0051146D"/>
    <w:rsid w:val="005129CB"/>
    <w:rsid w:val="00516BEC"/>
    <w:rsid w:val="00517A7A"/>
    <w:rsid w:val="00517AA4"/>
    <w:rsid w:val="00517C12"/>
    <w:rsid w:val="00520F9E"/>
    <w:rsid w:val="00521961"/>
    <w:rsid w:val="005227FE"/>
    <w:rsid w:val="005238FC"/>
    <w:rsid w:val="00523955"/>
    <w:rsid w:val="005257A9"/>
    <w:rsid w:val="00525FF7"/>
    <w:rsid w:val="0053002D"/>
    <w:rsid w:val="00530C72"/>
    <w:rsid w:val="00531F50"/>
    <w:rsid w:val="005322C6"/>
    <w:rsid w:val="00532F03"/>
    <w:rsid w:val="005347A9"/>
    <w:rsid w:val="00534854"/>
    <w:rsid w:val="00534D06"/>
    <w:rsid w:val="00535BB5"/>
    <w:rsid w:val="00536F21"/>
    <w:rsid w:val="005401AC"/>
    <w:rsid w:val="00546343"/>
    <w:rsid w:val="005467E7"/>
    <w:rsid w:val="00547D1B"/>
    <w:rsid w:val="00551867"/>
    <w:rsid w:val="00551AD3"/>
    <w:rsid w:val="00551AFB"/>
    <w:rsid w:val="005534DB"/>
    <w:rsid w:val="005538ED"/>
    <w:rsid w:val="00553BEB"/>
    <w:rsid w:val="0055453D"/>
    <w:rsid w:val="005603A2"/>
    <w:rsid w:val="005604F0"/>
    <w:rsid w:val="00560F5A"/>
    <w:rsid w:val="00561AFA"/>
    <w:rsid w:val="00562365"/>
    <w:rsid w:val="00563271"/>
    <w:rsid w:val="005712F8"/>
    <w:rsid w:val="0057237E"/>
    <w:rsid w:val="00572B8E"/>
    <w:rsid w:val="00575FB5"/>
    <w:rsid w:val="0057687F"/>
    <w:rsid w:val="00577659"/>
    <w:rsid w:val="0058112A"/>
    <w:rsid w:val="00581D65"/>
    <w:rsid w:val="00581E94"/>
    <w:rsid w:val="00581FEB"/>
    <w:rsid w:val="00583011"/>
    <w:rsid w:val="005839C5"/>
    <w:rsid w:val="00583FB4"/>
    <w:rsid w:val="00584E68"/>
    <w:rsid w:val="00585561"/>
    <w:rsid w:val="0058598E"/>
    <w:rsid w:val="00586088"/>
    <w:rsid w:val="00587A94"/>
    <w:rsid w:val="0059078E"/>
    <w:rsid w:val="00591433"/>
    <w:rsid w:val="00591E95"/>
    <w:rsid w:val="00595F40"/>
    <w:rsid w:val="00596154"/>
    <w:rsid w:val="00596A97"/>
    <w:rsid w:val="005A02DD"/>
    <w:rsid w:val="005A0831"/>
    <w:rsid w:val="005A15DE"/>
    <w:rsid w:val="005A359B"/>
    <w:rsid w:val="005A54C6"/>
    <w:rsid w:val="005A571E"/>
    <w:rsid w:val="005A5A1B"/>
    <w:rsid w:val="005B0147"/>
    <w:rsid w:val="005B07C1"/>
    <w:rsid w:val="005B1597"/>
    <w:rsid w:val="005B1A9A"/>
    <w:rsid w:val="005B2B93"/>
    <w:rsid w:val="005B46E2"/>
    <w:rsid w:val="005B549C"/>
    <w:rsid w:val="005B6D73"/>
    <w:rsid w:val="005C0ED4"/>
    <w:rsid w:val="005C3317"/>
    <w:rsid w:val="005C33BC"/>
    <w:rsid w:val="005C3AF9"/>
    <w:rsid w:val="005C3C56"/>
    <w:rsid w:val="005C3CA1"/>
    <w:rsid w:val="005C54E4"/>
    <w:rsid w:val="005C6555"/>
    <w:rsid w:val="005C6C7A"/>
    <w:rsid w:val="005C6CCA"/>
    <w:rsid w:val="005C6FE4"/>
    <w:rsid w:val="005D09F6"/>
    <w:rsid w:val="005D0B2C"/>
    <w:rsid w:val="005D190F"/>
    <w:rsid w:val="005D1B4D"/>
    <w:rsid w:val="005D2A2A"/>
    <w:rsid w:val="005D7228"/>
    <w:rsid w:val="005D7491"/>
    <w:rsid w:val="005D78E2"/>
    <w:rsid w:val="005D7A66"/>
    <w:rsid w:val="005E0C2F"/>
    <w:rsid w:val="005E100A"/>
    <w:rsid w:val="005E1B80"/>
    <w:rsid w:val="005E2DAF"/>
    <w:rsid w:val="005E4D0E"/>
    <w:rsid w:val="005E4DD4"/>
    <w:rsid w:val="005E56E3"/>
    <w:rsid w:val="005E5E7D"/>
    <w:rsid w:val="005E6630"/>
    <w:rsid w:val="0060005E"/>
    <w:rsid w:val="0060290D"/>
    <w:rsid w:val="006032AF"/>
    <w:rsid w:val="00604BA8"/>
    <w:rsid w:val="00604D57"/>
    <w:rsid w:val="00604E7A"/>
    <w:rsid w:val="00605D27"/>
    <w:rsid w:val="00607C3E"/>
    <w:rsid w:val="00607E8A"/>
    <w:rsid w:val="0061075A"/>
    <w:rsid w:val="00610FF5"/>
    <w:rsid w:val="00611244"/>
    <w:rsid w:val="006118CB"/>
    <w:rsid w:val="00612063"/>
    <w:rsid w:val="00612142"/>
    <w:rsid w:val="00612DF5"/>
    <w:rsid w:val="00613D70"/>
    <w:rsid w:val="006148C3"/>
    <w:rsid w:val="006153A9"/>
    <w:rsid w:val="006158E7"/>
    <w:rsid w:val="006159CB"/>
    <w:rsid w:val="00615F93"/>
    <w:rsid w:val="006164E2"/>
    <w:rsid w:val="00616EE6"/>
    <w:rsid w:val="00620B90"/>
    <w:rsid w:val="0062177F"/>
    <w:rsid w:val="00621BBD"/>
    <w:rsid w:val="00624B21"/>
    <w:rsid w:val="0063021C"/>
    <w:rsid w:val="00630FEC"/>
    <w:rsid w:val="006322A8"/>
    <w:rsid w:val="00633775"/>
    <w:rsid w:val="0063429C"/>
    <w:rsid w:val="0063530A"/>
    <w:rsid w:val="00635954"/>
    <w:rsid w:val="00635CC7"/>
    <w:rsid w:val="00635E38"/>
    <w:rsid w:val="00635E8C"/>
    <w:rsid w:val="00640EF3"/>
    <w:rsid w:val="00641B28"/>
    <w:rsid w:val="00641BC2"/>
    <w:rsid w:val="00643352"/>
    <w:rsid w:val="00643769"/>
    <w:rsid w:val="00644232"/>
    <w:rsid w:val="0064429E"/>
    <w:rsid w:val="006446FF"/>
    <w:rsid w:val="00645534"/>
    <w:rsid w:val="00646918"/>
    <w:rsid w:val="00646D05"/>
    <w:rsid w:val="0064775C"/>
    <w:rsid w:val="0064792D"/>
    <w:rsid w:val="00650A75"/>
    <w:rsid w:val="006519A0"/>
    <w:rsid w:val="00653B51"/>
    <w:rsid w:val="00653B6D"/>
    <w:rsid w:val="00653DC8"/>
    <w:rsid w:val="0065432D"/>
    <w:rsid w:val="006570C4"/>
    <w:rsid w:val="00657639"/>
    <w:rsid w:val="0065799C"/>
    <w:rsid w:val="00657A39"/>
    <w:rsid w:val="0066261A"/>
    <w:rsid w:val="00662DCA"/>
    <w:rsid w:val="00663EDC"/>
    <w:rsid w:val="00665F3D"/>
    <w:rsid w:val="00666938"/>
    <w:rsid w:val="006678BC"/>
    <w:rsid w:val="00670C2E"/>
    <w:rsid w:val="006730C6"/>
    <w:rsid w:val="00673CE4"/>
    <w:rsid w:val="00674036"/>
    <w:rsid w:val="0067437A"/>
    <w:rsid w:val="006747EF"/>
    <w:rsid w:val="00674FA3"/>
    <w:rsid w:val="0067515A"/>
    <w:rsid w:val="0067678B"/>
    <w:rsid w:val="00676D47"/>
    <w:rsid w:val="00677453"/>
    <w:rsid w:val="00677746"/>
    <w:rsid w:val="00677C23"/>
    <w:rsid w:val="00680060"/>
    <w:rsid w:val="00681501"/>
    <w:rsid w:val="00681ED2"/>
    <w:rsid w:val="00682086"/>
    <w:rsid w:val="00682253"/>
    <w:rsid w:val="00682276"/>
    <w:rsid w:val="00682639"/>
    <w:rsid w:val="00682D33"/>
    <w:rsid w:val="00682E02"/>
    <w:rsid w:val="0068317A"/>
    <w:rsid w:val="00683E82"/>
    <w:rsid w:val="006843A1"/>
    <w:rsid w:val="006846F4"/>
    <w:rsid w:val="006848C6"/>
    <w:rsid w:val="00685274"/>
    <w:rsid w:val="00687373"/>
    <w:rsid w:val="00691CE2"/>
    <w:rsid w:val="006922A7"/>
    <w:rsid w:val="00692818"/>
    <w:rsid w:val="006958B6"/>
    <w:rsid w:val="006968DA"/>
    <w:rsid w:val="006A190C"/>
    <w:rsid w:val="006A3E77"/>
    <w:rsid w:val="006A7645"/>
    <w:rsid w:val="006B0CEB"/>
    <w:rsid w:val="006B0DE5"/>
    <w:rsid w:val="006B259E"/>
    <w:rsid w:val="006B28D0"/>
    <w:rsid w:val="006B4898"/>
    <w:rsid w:val="006B559C"/>
    <w:rsid w:val="006B5ABD"/>
    <w:rsid w:val="006B6A2D"/>
    <w:rsid w:val="006B7651"/>
    <w:rsid w:val="006C29D6"/>
    <w:rsid w:val="006C374F"/>
    <w:rsid w:val="006C4A1B"/>
    <w:rsid w:val="006C554A"/>
    <w:rsid w:val="006C63E3"/>
    <w:rsid w:val="006C786B"/>
    <w:rsid w:val="006C7944"/>
    <w:rsid w:val="006C7D05"/>
    <w:rsid w:val="006D0AF7"/>
    <w:rsid w:val="006D13EE"/>
    <w:rsid w:val="006D1908"/>
    <w:rsid w:val="006D1AEB"/>
    <w:rsid w:val="006D1E5F"/>
    <w:rsid w:val="006D336C"/>
    <w:rsid w:val="006D40EF"/>
    <w:rsid w:val="006D441A"/>
    <w:rsid w:val="006D5BB1"/>
    <w:rsid w:val="006D6A94"/>
    <w:rsid w:val="006D728D"/>
    <w:rsid w:val="006D7CC9"/>
    <w:rsid w:val="006E08EC"/>
    <w:rsid w:val="006E2B25"/>
    <w:rsid w:val="006E2CFE"/>
    <w:rsid w:val="006E3877"/>
    <w:rsid w:val="006E4AA0"/>
    <w:rsid w:val="006E5BB5"/>
    <w:rsid w:val="006E5E09"/>
    <w:rsid w:val="006F017E"/>
    <w:rsid w:val="006F1084"/>
    <w:rsid w:val="006F1EBB"/>
    <w:rsid w:val="006F2D5C"/>
    <w:rsid w:val="006F3010"/>
    <w:rsid w:val="006F3233"/>
    <w:rsid w:val="006F4054"/>
    <w:rsid w:val="006F411E"/>
    <w:rsid w:val="006F4B14"/>
    <w:rsid w:val="006F530F"/>
    <w:rsid w:val="006F53B3"/>
    <w:rsid w:val="006F5DB5"/>
    <w:rsid w:val="006F767A"/>
    <w:rsid w:val="006F7867"/>
    <w:rsid w:val="007002A5"/>
    <w:rsid w:val="00700A36"/>
    <w:rsid w:val="00700EF1"/>
    <w:rsid w:val="00702331"/>
    <w:rsid w:val="0070242A"/>
    <w:rsid w:val="007024D8"/>
    <w:rsid w:val="00702F12"/>
    <w:rsid w:val="00702FA6"/>
    <w:rsid w:val="00703E9A"/>
    <w:rsid w:val="00704162"/>
    <w:rsid w:val="007041A4"/>
    <w:rsid w:val="00704969"/>
    <w:rsid w:val="007056DF"/>
    <w:rsid w:val="007077E5"/>
    <w:rsid w:val="00710A09"/>
    <w:rsid w:val="00711C3B"/>
    <w:rsid w:val="0071345D"/>
    <w:rsid w:val="0071473B"/>
    <w:rsid w:val="0071538E"/>
    <w:rsid w:val="007154DF"/>
    <w:rsid w:val="007157EB"/>
    <w:rsid w:val="00716DC5"/>
    <w:rsid w:val="00717374"/>
    <w:rsid w:val="00717CC5"/>
    <w:rsid w:val="00717CE1"/>
    <w:rsid w:val="007202FC"/>
    <w:rsid w:val="00720BEB"/>
    <w:rsid w:val="00721822"/>
    <w:rsid w:val="00721E72"/>
    <w:rsid w:val="00722494"/>
    <w:rsid w:val="00722AE8"/>
    <w:rsid w:val="007254EF"/>
    <w:rsid w:val="00726CBD"/>
    <w:rsid w:val="0073011A"/>
    <w:rsid w:val="00731B8A"/>
    <w:rsid w:val="007339CE"/>
    <w:rsid w:val="00734F7B"/>
    <w:rsid w:val="0073661A"/>
    <w:rsid w:val="007374E0"/>
    <w:rsid w:val="00740452"/>
    <w:rsid w:val="007404D1"/>
    <w:rsid w:val="00740793"/>
    <w:rsid w:val="00740B0A"/>
    <w:rsid w:val="00741C83"/>
    <w:rsid w:val="00742452"/>
    <w:rsid w:val="00742516"/>
    <w:rsid w:val="007453BD"/>
    <w:rsid w:val="007454AF"/>
    <w:rsid w:val="0074550D"/>
    <w:rsid w:val="00745AD3"/>
    <w:rsid w:val="00746061"/>
    <w:rsid w:val="007461F6"/>
    <w:rsid w:val="00746D8E"/>
    <w:rsid w:val="00751FE9"/>
    <w:rsid w:val="007533A9"/>
    <w:rsid w:val="00754466"/>
    <w:rsid w:val="00754C00"/>
    <w:rsid w:val="00755AAB"/>
    <w:rsid w:val="0075609E"/>
    <w:rsid w:val="00760E8A"/>
    <w:rsid w:val="00761A8C"/>
    <w:rsid w:val="00762107"/>
    <w:rsid w:val="00762AF0"/>
    <w:rsid w:val="00762E98"/>
    <w:rsid w:val="00762EFC"/>
    <w:rsid w:val="0076390A"/>
    <w:rsid w:val="00763910"/>
    <w:rsid w:val="00763FB2"/>
    <w:rsid w:val="00765AD5"/>
    <w:rsid w:val="00765CAE"/>
    <w:rsid w:val="00766671"/>
    <w:rsid w:val="0076703E"/>
    <w:rsid w:val="00767C19"/>
    <w:rsid w:val="00767E1A"/>
    <w:rsid w:val="00772225"/>
    <w:rsid w:val="007723DB"/>
    <w:rsid w:val="00773D3D"/>
    <w:rsid w:val="00773F11"/>
    <w:rsid w:val="0077518D"/>
    <w:rsid w:val="0077565F"/>
    <w:rsid w:val="00775FCB"/>
    <w:rsid w:val="007765A5"/>
    <w:rsid w:val="00776931"/>
    <w:rsid w:val="00781F8A"/>
    <w:rsid w:val="0078384F"/>
    <w:rsid w:val="0078462A"/>
    <w:rsid w:val="00784ABE"/>
    <w:rsid w:val="0078645D"/>
    <w:rsid w:val="0078684F"/>
    <w:rsid w:val="00787B5A"/>
    <w:rsid w:val="007907B7"/>
    <w:rsid w:val="00790E9C"/>
    <w:rsid w:val="00790EBE"/>
    <w:rsid w:val="007913A2"/>
    <w:rsid w:val="007931B1"/>
    <w:rsid w:val="0079322E"/>
    <w:rsid w:val="00794409"/>
    <w:rsid w:val="00795E6C"/>
    <w:rsid w:val="00795F5F"/>
    <w:rsid w:val="00797AAD"/>
    <w:rsid w:val="007A0AA7"/>
    <w:rsid w:val="007A0C28"/>
    <w:rsid w:val="007A0ED8"/>
    <w:rsid w:val="007A0F10"/>
    <w:rsid w:val="007A147A"/>
    <w:rsid w:val="007A20AA"/>
    <w:rsid w:val="007A51E9"/>
    <w:rsid w:val="007A657E"/>
    <w:rsid w:val="007A687B"/>
    <w:rsid w:val="007A6BD2"/>
    <w:rsid w:val="007A786C"/>
    <w:rsid w:val="007A7A5C"/>
    <w:rsid w:val="007B0828"/>
    <w:rsid w:val="007B0AA6"/>
    <w:rsid w:val="007B1252"/>
    <w:rsid w:val="007B17FE"/>
    <w:rsid w:val="007B1A8C"/>
    <w:rsid w:val="007B1BE5"/>
    <w:rsid w:val="007B38B4"/>
    <w:rsid w:val="007B51F3"/>
    <w:rsid w:val="007B56D2"/>
    <w:rsid w:val="007B7540"/>
    <w:rsid w:val="007B7C65"/>
    <w:rsid w:val="007C1C42"/>
    <w:rsid w:val="007C1D75"/>
    <w:rsid w:val="007C1EA9"/>
    <w:rsid w:val="007C40BE"/>
    <w:rsid w:val="007C44F0"/>
    <w:rsid w:val="007C4712"/>
    <w:rsid w:val="007C487C"/>
    <w:rsid w:val="007C49EB"/>
    <w:rsid w:val="007C5230"/>
    <w:rsid w:val="007C5B2B"/>
    <w:rsid w:val="007C6BDF"/>
    <w:rsid w:val="007D1582"/>
    <w:rsid w:val="007D2FA6"/>
    <w:rsid w:val="007D3558"/>
    <w:rsid w:val="007D3ABF"/>
    <w:rsid w:val="007D4D04"/>
    <w:rsid w:val="007D4D9A"/>
    <w:rsid w:val="007D5470"/>
    <w:rsid w:val="007D5F7C"/>
    <w:rsid w:val="007D7A76"/>
    <w:rsid w:val="007E025C"/>
    <w:rsid w:val="007E0442"/>
    <w:rsid w:val="007E1E9B"/>
    <w:rsid w:val="007E214E"/>
    <w:rsid w:val="007E2CE0"/>
    <w:rsid w:val="007E377B"/>
    <w:rsid w:val="007E4943"/>
    <w:rsid w:val="007E4BFF"/>
    <w:rsid w:val="007E5052"/>
    <w:rsid w:val="007E5325"/>
    <w:rsid w:val="007E6A78"/>
    <w:rsid w:val="007E777D"/>
    <w:rsid w:val="007F05E0"/>
    <w:rsid w:val="007F09B7"/>
    <w:rsid w:val="007F0BD4"/>
    <w:rsid w:val="007F10F3"/>
    <w:rsid w:val="007F25F6"/>
    <w:rsid w:val="007F2602"/>
    <w:rsid w:val="007F26D1"/>
    <w:rsid w:val="007F28B9"/>
    <w:rsid w:val="007F3071"/>
    <w:rsid w:val="007F3186"/>
    <w:rsid w:val="007F3E6D"/>
    <w:rsid w:val="007F4660"/>
    <w:rsid w:val="007F47AB"/>
    <w:rsid w:val="007F52D7"/>
    <w:rsid w:val="007F58C1"/>
    <w:rsid w:val="007F70FA"/>
    <w:rsid w:val="007F7461"/>
    <w:rsid w:val="00800929"/>
    <w:rsid w:val="00802016"/>
    <w:rsid w:val="008038BB"/>
    <w:rsid w:val="00804DEC"/>
    <w:rsid w:val="00804EFB"/>
    <w:rsid w:val="008055CD"/>
    <w:rsid w:val="00806E17"/>
    <w:rsid w:val="00813202"/>
    <w:rsid w:val="00813466"/>
    <w:rsid w:val="00813957"/>
    <w:rsid w:val="00814615"/>
    <w:rsid w:val="00815522"/>
    <w:rsid w:val="00816668"/>
    <w:rsid w:val="00817662"/>
    <w:rsid w:val="00820105"/>
    <w:rsid w:val="00820706"/>
    <w:rsid w:val="0082227A"/>
    <w:rsid w:val="008224D0"/>
    <w:rsid w:val="00822923"/>
    <w:rsid w:val="008232CF"/>
    <w:rsid w:val="00824C12"/>
    <w:rsid w:val="008252AB"/>
    <w:rsid w:val="008252FE"/>
    <w:rsid w:val="008261A1"/>
    <w:rsid w:val="008262AC"/>
    <w:rsid w:val="00826682"/>
    <w:rsid w:val="0083021E"/>
    <w:rsid w:val="00830225"/>
    <w:rsid w:val="008329FA"/>
    <w:rsid w:val="00832A9C"/>
    <w:rsid w:val="008332FA"/>
    <w:rsid w:val="00834FAE"/>
    <w:rsid w:val="0083573F"/>
    <w:rsid w:val="0083579A"/>
    <w:rsid w:val="00836801"/>
    <w:rsid w:val="00836C4E"/>
    <w:rsid w:val="00837227"/>
    <w:rsid w:val="008407A6"/>
    <w:rsid w:val="00840AC3"/>
    <w:rsid w:val="0084463C"/>
    <w:rsid w:val="00845214"/>
    <w:rsid w:val="008459C8"/>
    <w:rsid w:val="00845A99"/>
    <w:rsid w:val="00846D78"/>
    <w:rsid w:val="008563AB"/>
    <w:rsid w:val="00857D0B"/>
    <w:rsid w:val="00860AB1"/>
    <w:rsid w:val="00860BA8"/>
    <w:rsid w:val="00860E6F"/>
    <w:rsid w:val="00861EAB"/>
    <w:rsid w:val="008637A4"/>
    <w:rsid w:val="00863BD5"/>
    <w:rsid w:val="0086471D"/>
    <w:rsid w:val="00864977"/>
    <w:rsid w:val="00864BBD"/>
    <w:rsid w:val="00867BC3"/>
    <w:rsid w:val="008706B5"/>
    <w:rsid w:val="008738DF"/>
    <w:rsid w:val="00873DBD"/>
    <w:rsid w:val="00874C8C"/>
    <w:rsid w:val="00875079"/>
    <w:rsid w:val="00875147"/>
    <w:rsid w:val="00877393"/>
    <w:rsid w:val="00877D3F"/>
    <w:rsid w:val="00883245"/>
    <w:rsid w:val="00884369"/>
    <w:rsid w:val="00884EAD"/>
    <w:rsid w:val="00885627"/>
    <w:rsid w:val="00885ACA"/>
    <w:rsid w:val="00886ECC"/>
    <w:rsid w:val="008900BA"/>
    <w:rsid w:val="00891A9E"/>
    <w:rsid w:val="00891D10"/>
    <w:rsid w:val="00893CF2"/>
    <w:rsid w:val="00894A0D"/>
    <w:rsid w:val="00894F70"/>
    <w:rsid w:val="00895111"/>
    <w:rsid w:val="00895548"/>
    <w:rsid w:val="008957AE"/>
    <w:rsid w:val="00896198"/>
    <w:rsid w:val="00896359"/>
    <w:rsid w:val="0089691E"/>
    <w:rsid w:val="008975FE"/>
    <w:rsid w:val="008978C5"/>
    <w:rsid w:val="00897C27"/>
    <w:rsid w:val="00897CB8"/>
    <w:rsid w:val="008A0485"/>
    <w:rsid w:val="008A07AB"/>
    <w:rsid w:val="008A0A07"/>
    <w:rsid w:val="008A114B"/>
    <w:rsid w:val="008A181D"/>
    <w:rsid w:val="008A1EC2"/>
    <w:rsid w:val="008A24A9"/>
    <w:rsid w:val="008A55C5"/>
    <w:rsid w:val="008A6814"/>
    <w:rsid w:val="008A6A0D"/>
    <w:rsid w:val="008B0871"/>
    <w:rsid w:val="008B0C17"/>
    <w:rsid w:val="008B197B"/>
    <w:rsid w:val="008B210A"/>
    <w:rsid w:val="008B21A6"/>
    <w:rsid w:val="008B3A21"/>
    <w:rsid w:val="008B3B50"/>
    <w:rsid w:val="008B494F"/>
    <w:rsid w:val="008B574C"/>
    <w:rsid w:val="008B5E9C"/>
    <w:rsid w:val="008B60F6"/>
    <w:rsid w:val="008B6771"/>
    <w:rsid w:val="008B75D4"/>
    <w:rsid w:val="008B7EE8"/>
    <w:rsid w:val="008B7FE5"/>
    <w:rsid w:val="008C007A"/>
    <w:rsid w:val="008C1FA7"/>
    <w:rsid w:val="008C2ACE"/>
    <w:rsid w:val="008C3C16"/>
    <w:rsid w:val="008C41F2"/>
    <w:rsid w:val="008C42E1"/>
    <w:rsid w:val="008C47C5"/>
    <w:rsid w:val="008C68B9"/>
    <w:rsid w:val="008C6A04"/>
    <w:rsid w:val="008C74D2"/>
    <w:rsid w:val="008D0EFA"/>
    <w:rsid w:val="008D1B49"/>
    <w:rsid w:val="008D299B"/>
    <w:rsid w:val="008D2D40"/>
    <w:rsid w:val="008D3239"/>
    <w:rsid w:val="008D5E4E"/>
    <w:rsid w:val="008D66BB"/>
    <w:rsid w:val="008D74D5"/>
    <w:rsid w:val="008E0E3B"/>
    <w:rsid w:val="008E1A04"/>
    <w:rsid w:val="008E2123"/>
    <w:rsid w:val="008E22F0"/>
    <w:rsid w:val="008E23E4"/>
    <w:rsid w:val="008E275B"/>
    <w:rsid w:val="008E3DC0"/>
    <w:rsid w:val="008E61A4"/>
    <w:rsid w:val="008E6743"/>
    <w:rsid w:val="008E6A7B"/>
    <w:rsid w:val="008E70B1"/>
    <w:rsid w:val="008E7829"/>
    <w:rsid w:val="008F2836"/>
    <w:rsid w:val="008F3898"/>
    <w:rsid w:val="008F3A43"/>
    <w:rsid w:val="008F5B19"/>
    <w:rsid w:val="008F72DC"/>
    <w:rsid w:val="008F7767"/>
    <w:rsid w:val="0090010C"/>
    <w:rsid w:val="0090054D"/>
    <w:rsid w:val="00900D4B"/>
    <w:rsid w:val="0090261A"/>
    <w:rsid w:val="009048E0"/>
    <w:rsid w:val="00904B04"/>
    <w:rsid w:val="00904B1D"/>
    <w:rsid w:val="00904B91"/>
    <w:rsid w:val="00905693"/>
    <w:rsid w:val="0090633C"/>
    <w:rsid w:val="0090731D"/>
    <w:rsid w:val="009077A8"/>
    <w:rsid w:val="00907CC2"/>
    <w:rsid w:val="009105BF"/>
    <w:rsid w:val="0091210E"/>
    <w:rsid w:val="00912C0E"/>
    <w:rsid w:val="00912C2B"/>
    <w:rsid w:val="00912D2C"/>
    <w:rsid w:val="00912D6B"/>
    <w:rsid w:val="009136F1"/>
    <w:rsid w:val="00914DF8"/>
    <w:rsid w:val="009155F8"/>
    <w:rsid w:val="00917B43"/>
    <w:rsid w:val="00920092"/>
    <w:rsid w:val="00920338"/>
    <w:rsid w:val="00920968"/>
    <w:rsid w:val="00920D38"/>
    <w:rsid w:val="0092290B"/>
    <w:rsid w:val="00923BD3"/>
    <w:rsid w:val="00924FB8"/>
    <w:rsid w:val="00925E2D"/>
    <w:rsid w:val="0092619A"/>
    <w:rsid w:val="009266E2"/>
    <w:rsid w:val="00926E28"/>
    <w:rsid w:val="00927B6F"/>
    <w:rsid w:val="009302B0"/>
    <w:rsid w:val="00930C36"/>
    <w:rsid w:val="00930CE2"/>
    <w:rsid w:val="00931C13"/>
    <w:rsid w:val="0093303E"/>
    <w:rsid w:val="0093358E"/>
    <w:rsid w:val="009354FE"/>
    <w:rsid w:val="00935771"/>
    <w:rsid w:val="00936FE4"/>
    <w:rsid w:val="00937F94"/>
    <w:rsid w:val="009419C5"/>
    <w:rsid w:val="00943642"/>
    <w:rsid w:val="00943B91"/>
    <w:rsid w:val="00943DE2"/>
    <w:rsid w:val="009442F7"/>
    <w:rsid w:val="00945725"/>
    <w:rsid w:val="0094582F"/>
    <w:rsid w:val="009459ED"/>
    <w:rsid w:val="00945F85"/>
    <w:rsid w:val="009513B9"/>
    <w:rsid w:val="0095315E"/>
    <w:rsid w:val="00954FC9"/>
    <w:rsid w:val="00955C23"/>
    <w:rsid w:val="00955C85"/>
    <w:rsid w:val="00956145"/>
    <w:rsid w:val="00956CE6"/>
    <w:rsid w:val="009605C9"/>
    <w:rsid w:val="00963E16"/>
    <w:rsid w:val="0096602B"/>
    <w:rsid w:val="00966486"/>
    <w:rsid w:val="009668AB"/>
    <w:rsid w:val="009668E9"/>
    <w:rsid w:val="00966EEF"/>
    <w:rsid w:val="00967B87"/>
    <w:rsid w:val="00967D41"/>
    <w:rsid w:val="00967F68"/>
    <w:rsid w:val="009714B5"/>
    <w:rsid w:val="009719D6"/>
    <w:rsid w:val="00971B4D"/>
    <w:rsid w:val="009724AD"/>
    <w:rsid w:val="009732BC"/>
    <w:rsid w:val="00974FC2"/>
    <w:rsid w:val="00975499"/>
    <w:rsid w:val="00977049"/>
    <w:rsid w:val="009818C0"/>
    <w:rsid w:val="00981A5B"/>
    <w:rsid w:val="009821CC"/>
    <w:rsid w:val="00983894"/>
    <w:rsid w:val="0098405B"/>
    <w:rsid w:val="00984081"/>
    <w:rsid w:val="00984C52"/>
    <w:rsid w:val="00985D8A"/>
    <w:rsid w:val="0098729F"/>
    <w:rsid w:val="00990101"/>
    <w:rsid w:val="00993C7A"/>
    <w:rsid w:val="009946AC"/>
    <w:rsid w:val="00995121"/>
    <w:rsid w:val="0099515F"/>
    <w:rsid w:val="009A1FC8"/>
    <w:rsid w:val="009A4959"/>
    <w:rsid w:val="009A4B43"/>
    <w:rsid w:val="009A50F0"/>
    <w:rsid w:val="009A57C4"/>
    <w:rsid w:val="009A59E6"/>
    <w:rsid w:val="009A5CEB"/>
    <w:rsid w:val="009A6D50"/>
    <w:rsid w:val="009A79E2"/>
    <w:rsid w:val="009A7DBB"/>
    <w:rsid w:val="009B1996"/>
    <w:rsid w:val="009B1EEB"/>
    <w:rsid w:val="009B202C"/>
    <w:rsid w:val="009B2B87"/>
    <w:rsid w:val="009B6263"/>
    <w:rsid w:val="009B71F8"/>
    <w:rsid w:val="009B731F"/>
    <w:rsid w:val="009B7865"/>
    <w:rsid w:val="009B79EF"/>
    <w:rsid w:val="009B7EAD"/>
    <w:rsid w:val="009C02D8"/>
    <w:rsid w:val="009C115F"/>
    <w:rsid w:val="009C3D25"/>
    <w:rsid w:val="009C3D95"/>
    <w:rsid w:val="009C68C7"/>
    <w:rsid w:val="009C6B0D"/>
    <w:rsid w:val="009C7C96"/>
    <w:rsid w:val="009D08E9"/>
    <w:rsid w:val="009D0C33"/>
    <w:rsid w:val="009D10B7"/>
    <w:rsid w:val="009D1705"/>
    <w:rsid w:val="009D22D7"/>
    <w:rsid w:val="009D273E"/>
    <w:rsid w:val="009D3221"/>
    <w:rsid w:val="009D3574"/>
    <w:rsid w:val="009D3597"/>
    <w:rsid w:val="009D410F"/>
    <w:rsid w:val="009D47C3"/>
    <w:rsid w:val="009D4C39"/>
    <w:rsid w:val="009D5404"/>
    <w:rsid w:val="009D66B2"/>
    <w:rsid w:val="009D7506"/>
    <w:rsid w:val="009D7883"/>
    <w:rsid w:val="009E1A88"/>
    <w:rsid w:val="009E28EF"/>
    <w:rsid w:val="009E2F71"/>
    <w:rsid w:val="009E3A6D"/>
    <w:rsid w:val="009E497B"/>
    <w:rsid w:val="009E5BB1"/>
    <w:rsid w:val="009E6D63"/>
    <w:rsid w:val="009E7B26"/>
    <w:rsid w:val="009F0949"/>
    <w:rsid w:val="009F1EF0"/>
    <w:rsid w:val="009F2392"/>
    <w:rsid w:val="009F25E2"/>
    <w:rsid w:val="009F3814"/>
    <w:rsid w:val="009F3A5C"/>
    <w:rsid w:val="009F66D2"/>
    <w:rsid w:val="009F7767"/>
    <w:rsid w:val="00A00624"/>
    <w:rsid w:val="00A00991"/>
    <w:rsid w:val="00A01A3D"/>
    <w:rsid w:val="00A02450"/>
    <w:rsid w:val="00A02B89"/>
    <w:rsid w:val="00A02DE9"/>
    <w:rsid w:val="00A038D6"/>
    <w:rsid w:val="00A04DCF"/>
    <w:rsid w:val="00A056AE"/>
    <w:rsid w:val="00A06062"/>
    <w:rsid w:val="00A07DFE"/>
    <w:rsid w:val="00A11FDD"/>
    <w:rsid w:val="00A129B5"/>
    <w:rsid w:val="00A13071"/>
    <w:rsid w:val="00A1312A"/>
    <w:rsid w:val="00A14D41"/>
    <w:rsid w:val="00A161B1"/>
    <w:rsid w:val="00A1697F"/>
    <w:rsid w:val="00A174EE"/>
    <w:rsid w:val="00A17E83"/>
    <w:rsid w:val="00A20D25"/>
    <w:rsid w:val="00A222BE"/>
    <w:rsid w:val="00A22BA0"/>
    <w:rsid w:val="00A2363F"/>
    <w:rsid w:val="00A23BA3"/>
    <w:rsid w:val="00A2465A"/>
    <w:rsid w:val="00A25536"/>
    <w:rsid w:val="00A26331"/>
    <w:rsid w:val="00A2644E"/>
    <w:rsid w:val="00A269D2"/>
    <w:rsid w:val="00A27502"/>
    <w:rsid w:val="00A31C57"/>
    <w:rsid w:val="00A31CC3"/>
    <w:rsid w:val="00A328D3"/>
    <w:rsid w:val="00A334A9"/>
    <w:rsid w:val="00A33768"/>
    <w:rsid w:val="00A33B49"/>
    <w:rsid w:val="00A343F8"/>
    <w:rsid w:val="00A34A7D"/>
    <w:rsid w:val="00A37C6F"/>
    <w:rsid w:val="00A41B3C"/>
    <w:rsid w:val="00A41F5D"/>
    <w:rsid w:val="00A42405"/>
    <w:rsid w:val="00A4317D"/>
    <w:rsid w:val="00A439FD"/>
    <w:rsid w:val="00A43E5B"/>
    <w:rsid w:val="00A455E7"/>
    <w:rsid w:val="00A45C55"/>
    <w:rsid w:val="00A4694D"/>
    <w:rsid w:val="00A46BF9"/>
    <w:rsid w:val="00A4784F"/>
    <w:rsid w:val="00A50D35"/>
    <w:rsid w:val="00A51190"/>
    <w:rsid w:val="00A51272"/>
    <w:rsid w:val="00A51FCB"/>
    <w:rsid w:val="00A52DB5"/>
    <w:rsid w:val="00A53EFB"/>
    <w:rsid w:val="00A55CD3"/>
    <w:rsid w:val="00A56069"/>
    <w:rsid w:val="00A56349"/>
    <w:rsid w:val="00A56CC2"/>
    <w:rsid w:val="00A60C90"/>
    <w:rsid w:val="00A61012"/>
    <w:rsid w:val="00A613F8"/>
    <w:rsid w:val="00A61441"/>
    <w:rsid w:val="00A61442"/>
    <w:rsid w:val="00A61613"/>
    <w:rsid w:val="00A619F4"/>
    <w:rsid w:val="00A61C05"/>
    <w:rsid w:val="00A62833"/>
    <w:rsid w:val="00A62F37"/>
    <w:rsid w:val="00A64115"/>
    <w:rsid w:val="00A64478"/>
    <w:rsid w:val="00A64BEC"/>
    <w:rsid w:val="00A64E80"/>
    <w:rsid w:val="00A65677"/>
    <w:rsid w:val="00A65702"/>
    <w:rsid w:val="00A65F60"/>
    <w:rsid w:val="00A66051"/>
    <w:rsid w:val="00A66E71"/>
    <w:rsid w:val="00A67B06"/>
    <w:rsid w:val="00A67C6B"/>
    <w:rsid w:val="00A704FF"/>
    <w:rsid w:val="00A71487"/>
    <w:rsid w:val="00A71E30"/>
    <w:rsid w:val="00A72C9E"/>
    <w:rsid w:val="00A74291"/>
    <w:rsid w:val="00A75C35"/>
    <w:rsid w:val="00A76567"/>
    <w:rsid w:val="00A76C7E"/>
    <w:rsid w:val="00A76E40"/>
    <w:rsid w:val="00A80CC1"/>
    <w:rsid w:val="00A8344C"/>
    <w:rsid w:val="00A864BE"/>
    <w:rsid w:val="00A8684A"/>
    <w:rsid w:val="00A8788E"/>
    <w:rsid w:val="00A90C34"/>
    <w:rsid w:val="00A92337"/>
    <w:rsid w:val="00A92AD5"/>
    <w:rsid w:val="00A9484A"/>
    <w:rsid w:val="00A949AC"/>
    <w:rsid w:val="00A95A6B"/>
    <w:rsid w:val="00A9614B"/>
    <w:rsid w:val="00A9749C"/>
    <w:rsid w:val="00A975AF"/>
    <w:rsid w:val="00A977BD"/>
    <w:rsid w:val="00A97CC5"/>
    <w:rsid w:val="00AA060A"/>
    <w:rsid w:val="00AA0E20"/>
    <w:rsid w:val="00AA1B73"/>
    <w:rsid w:val="00AA1FC2"/>
    <w:rsid w:val="00AA5DD5"/>
    <w:rsid w:val="00AA6819"/>
    <w:rsid w:val="00AA6BFD"/>
    <w:rsid w:val="00AA6C34"/>
    <w:rsid w:val="00AB020E"/>
    <w:rsid w:val="00AB198C"/>
    <w:rsid w:val="00AB1A76"/>
    <w:rsid w:val="00AB1BD2"/>
    <w:rsid w:val="00AB249F"/>
    <w:rsid w:val="00AB370F"/>
    <w:rsid w:val="00AB4636"/>
    <w:rsid w:val="00AB4715"/>
    <w:rsid w:val="00AB4AAB"/>
    <w:rsid w:val="00AB4FE7"/>
    <w:rsid w:val="00AB51C1"/>
    <w:rsid w:val="00AB5867"/>
    <w:rsid w:val="00AB64D9"/>
    <w:rsid w:val="00AB7008"/>
    <w:rsid w:val="00AB7572"/>
    <w:rsid w:val="00AC12B4"/>
    <w:rsid w:val="00AC367E"/>
    <w:rsid w:val="00AC38D9"/>
    <w:rsid w:val="00AC6219"/>
    <w:rsid w:val="00AD0E96"/>
    <w:rsid w:val="00AD17D3"/>
    <w:rsid w:val="00AD1F3B"/>
    <w:rsid w:val="00AD2EC2"/>
    <w:rsid w:val="00AD3DF6"/>
    <w:rsid w:val="00AD4844"/>
    <w:rsid w:val="00AD4B35"/>
    <w:rsid w:val="00AD6854"/>
    <w:rsid w:val="00AD7446"/>
    <w:rsid w:val="00AE0CC3"/>
    <w:rsid w:val="00AE22A2"/>
    <w:rsid w:val="00AE2CAE"/>
    <w:rsid w:val="00AE3132"/>
    <w:rsid w:val="00AE4749"/>
    <w:rsid w:val="00AE515E"/>
    <w:rsid w:val="00AE6142"/>
    <w:rsid w:val="00AE67C2"/>
    <w:rsid w:val="00AE6A72"/>
    <w:rsid w:val="00AE6C3E"/>
    <w:rsid w:val="00AE777D"/>
    <w:rsid w:val="00AF2820"/>
    <w:rsid w:val="00AF316E"/>
    <w:rsid w:val="00AF3AF7"/>
    <w:rsid w:val="00AF3E2E"/>
    <w:rsid w:val="00AF7B1C"/>
    <w:rsid w:val="00B00C51"/>
    <w:rsid w:val="00B00EB5"/>
    <w:rsid w:val="00B03BEE"/>
    <w:rsid w:val="00B04B7E"/>
    <w:rsid w:val="00B06624"/>
    <w:rsid w:val="00B0679E"/>
    <w:rsid w:val="00B10631"/>
    <w:rsid w:val="00B10729"/>
    <w:rsid w:val="00B10D43"/>
    <w:rsid w:val="00B13965"/>
    <w:rsid w:val="00B143F9"/>
    <w:rsid w:val="00B150CC"/>
    <w:rsid w:val="00B15615"/>
    <w:rsid w:val="00B21821"/>
    <w:rsid w:val="00B22E51"/>
    <w:rsid w:val="00B237C2"/>
    <w:rsid w:val="00B23DDD"/>
    <w:rsid w:val="00B23EDF"/>
    <w:rsid w:val="00B2524C"/>
    <w:rsid w:val="00B254CE"/>
    <w:rsid w:val="00B26713"/>
    <w:rsid w:val="00B27694"/>
    <w:rsid w:val="00B27A27"/>
    <w:rsid w:val="00B27D24"/>
    <w:rsid w:val="00B27EDB"/>
    <w:rsid w:val="00B300B3"/>
    <w:rsid w:val="00B30599"/>
    <w:rsid w:val="00B317F0"/>
    <w:rsid w:val="00B31FDA"/>
    <w:rsid w:val="00B32A02"/>
    <w:rsid w:val="00B35249"/>
    <w:rsid w:val="00B36068"/>
    <w:rsid w:val="00B37311"/>
    <w:rsid w:val="00B37850"/>
    <w:rsid w:val="00B40273"/>
    <w:rsid w:val="00B407F9"/>
    <w:rsid w:val="00B408EE"/>
    <w:rsid w:val="00B41494"/>
    <w:rsid w:val="00B41BDE"/>
    <w:rsid w:val="00B424B8"/>
    <w:rsid w:val="00B424BE"/>
    <w:rsid w:val="00B42633"/>
    <w:rsid w:val="00B44896"/>
    <w:rsid w:val="00B455CF"/>
    <w:rsid w:val="00B45608"/>
    <w:rsid w:val="00B47324"/>
    <w:rsid w:val="00B47917"/>
    <w:rsid w:val="00B50215"/>
    <w:rsid w:val="00B51019"/>
    <w:rsid w:val="00B51996"/>
    <w:rsid w:val="00B51C33"/>
    <w:rsid w:val="00B53288"/>
    <w:rsid w:val="00B54191"/>
    <w:rsid w:val="00B549EE"/>
    <w:rsid w:val="00B557DF"/>
    <w:rsid w:val="00B55D8F"/>
    <w:rsid w:val="00B57CC0"/>
    <w:rsid w:val="00B57D8F"/>
    <w:rsid w:val="00B60715"/>
    <w:rsid w:val="00B60F71"/>
    <w:rsid w:val="00B6209C"/>
    <w:rsid w:val="00B6245E"/>
    <w:rsid w:val="00B64EFE"/>
    <w:rsid w:val="00B65499"/>
    <w:rsid w:val="00B7036D"/>
    <w:rsid w:val="00B70F40"/>
    <w:rsid w:val="00B71675"/>
    <w:rsid w:val="00B7226E"/>
    <w:rsid w:val="00B7278B"/>
    <w:rsid w:val="00B72B9F"/>
    <w:rsid w:val="00B732A1"/>
    <w:rsid w:val="00B74E5E"/>
    <w:rsid w:val="00B75E42"/>
    <w:rsid w:val="00B7601A"/>
    <w:rsid w:val="00B76424"/>
    <w:rsid w:val="00B76FEF"/>
    <w:rsid w:val="00B77129"/>
    <w:rsid w:val="00B7789B"/>
    <w:rsid w:val="00B80A06"/>
    <w:rsid w:val="00B80D36"/>
    <w:rsid w:val="00B81E60"/>
    <w:rsid w:val="00B828D9"/>
    <w:rsid w:val="00B82AB1"/>
    <w:rsid w:val="00B8367E"/>
    <w:rsid w:val="00B836DF"/>
    <w:rsid w:val="00B8614C"/>
    <w:rsid w:val="00B90720"/>
    <w:rsid w:val="00B91E68"/>
    <w:rsid w:val="00B930A7"/>
    <w:rsid w:val="00B931AD"/>
    <w:rsid w:val="00B93494"/>
    <w:rsid w:val="00B9435D"/>
    <w:rsid w:val="00B95575"/>
    <w:rsid w:val="00B95780"/>
    <w:rsid w:val="00B96137"/>
    <w:rsid w:val="00B96499"/>
    <w:rsid w:val="00B97C97"/>
    <w:rsid w:val="00B97DD9"/>
    <w:rsid w:val="00BA018F"/>
    <w:rsid w:val="00BA0CE8"/>
    <w:rsid w:val="00BA1031"/>
    <w:rsid w:val="00BA151A"/>
    <w:rsid w:val="00BA3B0A"/>
    <w:rsid w:val="00BA3BEB"/>
    <w:rsid w:val="00BA4853"/>
    <w:rsid w:val="00BA4E52"/>
    <w:rsid w:val="00BA5730"/>
    <w:rsid w:val="00BA5F0F"/>
    <w:rsid w:val="00BA62FA"/>
    <w:rsid w:val="00BA68CA"/>
    <w:rsid w:val="00BA68E8"/>
    <w:rsid w:val="00BA6E06"/>
    <w:rsid w:val="00BA7418"/>
    <w:rsid w:val="00BB13C8"/>
    <w:rsid w:val="00BB19F3"/>
    <w:rsid w:val="00BB2833"/>
    <w:rsid w:val="00BB2CAE"/>
    <w:rsid w:val="00BB3599"/>
    <w:rsid w:val="00BB35E8"/>
    <w:rsid w:val="00BB4A39"/>
    <w:rsid w:val="00BB4CB0"/>
    <w:rsid w:val="00BB4ED1"/>
    <w:rsid w:val="00BB6724"/>
    <w:rsid w:val="00BB6A86"/>
    <w:rsid w:val="00BB7522"/>
    <w:rsid w:val="00BC245C"/>
    <w:rsid w:val="00BC2891"/>
    <w:rsid w:val="00BC3E63"/>
    <w:rsid w:val="00BC6E79"/>
    <w:rsid w:val="00BC752D"/>
    <w:rsid w:val="00BD1722"/>
    <w:rsid w:val="00BD1958"/>
    <w:rsid w:val="00BD6B16"/>
    <w:rsid w:val="00BD6BB9"/>
    <w:rsid w:val="00BE12D3"/>
    <w:rsid w:val="00BE1B2F"/>
    <w:rsid w:val="00BE1B69"/>
    <w:rsid w:val="00BE1CC6"/>
    <w:rsid w:val="00BE430D"/>
    <w:rsid w:val="00BE6D20"/>
    <w:rsid w:val="00BF33C6"/>
    <w:rsid w:val="00BF6C8F"/>
    <w:rsid w:val="00BF6E5E"/>
    <w:rsid w:val="00BF71DF"/>
    <w:rsid w:val="00C02352"/>
    <w:rsid w:val="00C0266A"/>
    <w:rsid w:val="00C02FBA"/>
    <w:rsid w:val="00C051DB"/>
    <w:rsid w:val="00C0688F"/>
    <w:rsid w:val="00C070E0"/>
    <w:rsid w:val="00C0744A"/>
    <w:rsid w:val="00C07467"/>
    <w:rsid w:val="00C10AA1"/>
    <w:rsid w:val="00C1181D"/>
    <w:rsid w:val="00C124D8"/>
    <w:rsid w:val="00C15670"/>
    <w:rsid w:val="00C176B7"/>
    <w:rsid w:val="00C20C00"/>
    <w:rsid w:val="00C218ED"/>
    <w:rsid w:val="00C21DF2"/>
    <w:rsid w:val="00C22213"/>
    <w:rsid w:val="00C23648"/>
    <w:rsid w:val="00C241E8"/>
    <w:rsid w:val="00C276D9"/>
    <w:rsid w:val="00C27812"/>
    <w:rsid w:val="00C27F37"/>
    <w:rsid w:val="00C304DF"/>
    <w:rsid w:val="00C30E37"/>
    <w:rsid w:val="00C31085"/>
    <w:rsid w:val="00C31A05"/>
    <w:rsid w:val="00C325B6"/>
    <w:rsid w:val="00C32E49"/>
    <w:rsid w:val="00C33684"/>
    <w:rsid w:val="00C341E1"/>
    <w:rsid w:val="00C400F4"/>
    <w:rsid w:val="00C410B9"/>
    <w:rsid w:val="00C41B0C"/>
    <w:rsid w:val="00C42277"/>
    <w:rsid w:val="00C427C2"/>
    <w:rsid w:val="00C42D6E"/>
    <w:rsid w:val="00C42D7C"/>
    <w:rsid w:val="00C45766"/>
    <w:rsid w:val="00C45CAD"/>
    <w:rsid w:val="00C476F7"/>
    <w:rsid w:val="00C47FDB"/>
    <w:rsid w:val="00C5087A"/>
    <w:rsid w:val="00C50DF2"/>
    <w:rsid w:val="00C52234"/>
    <w:rsid w:val="00C53886"/>
    <w:rsid w:val="00C54385"/>
    <w:rsid w:val="00C5493B"/>
    <w:rsid w:val="00C56D74"/>
    <w:rsid w:val="00C56EF9"/>
    <w:rsid w:val="00C57069"/>
    <w:rsid w:val="00C571A6"/>
    <w:rsid w:val="00C578FC"/>
    <w:rsid w:val="00C605A5"/>
    <w:rsid w:val="00C61E80"/>
    <w:rsid w:val="00C62494"/>
    <w:rsid w:val="00C6330B"/>
    <w:rsid w:val="00C64014"/>
    <w:rsid w:val="00C64D74"/>
    <w:rsid w:val="00C65605"/>
    <w:rsid w:val="00C663B1"/>
    <w:rsid w:val="00C66B66"/>
    <w:rsid w:val="00C67718"/>
    <w:rsid w:val="00C67A7D"/>
    <w:rsid w:val="00C67CF1"/>
    <w:rsid w:val="00C7086B"/>
    <w:rsid w:val="00C725FA"/>
    <w:rsid w:val="00C726F8"/>
    <w:rsid w:val="00C727A0"/>
    <w:rsid w:val="00C72A29"/>
    <w:rsid w:val="00C75074"/>
    <w:rsid w:val="00C758E2"/>
    <w:rsid w:val="00C772DB"/>
    <w:rsid w:val="00C772F5"/>
    <w:rsid w:val="00C8037F"/>
    <w:rsid w:val="00C808B9"/>
    <w:rsid w:val="00C81433"/>
    <w:rsid w:val="00C81DB4"/>
    <w:rsid w:val="00C82263"/>
    <w:rsid w:val="00C82664"/>
    <w:rsid w:val="00C837C0"/>
    <w:rsid w:val="00C84703"/>
    <w:rsid w:val="00C850D5"/>
    <w:rsid w:val="00C8583E"/>
    <w:rsid w:val="00C85841"/>
    <w:rsid w:val="00C8607A"/>
    <w:rsid w:val="00C872A6"/>
    <w:rsid w:val="00C87755"/>
    <w:rsid w:val="00C921F8"/>
    <w:rsid w:val="00C9259D"/>
    <w:rsid w:val="00C92DA8"/>
    <w:rsid w:val="00C95BCC"/>
    <w:rsid w:val="00C95E3D"/>
    <w:rsid w:val="00C974AD"/>
    <w:rsid w:val="00CA00DB"/>
    <w:rsid w:val="00CA053E"/>
    <w:rsid w:val="00CA381B"/>
    <w:rsid w:val="00CA3E4D"/>
    <w:rsid w:val="00CA4B3E"/>
    <w:rsid w:val="00CB1838"/>
    <w:rsid w:val="00CB2B64"/>
    <w:rsid w:val="00CB36B7"/>
    <w:rsid w:val="00CB4484"/>
    <w:rsid w:val="00CC0F29"/>
    <w:rsid w:val="00CC3966"/>
    <w:rsid w:val="00CC4960"/>
    <w:rsid w:val="00CC6093"/>
    <w:rsid w:val="00CC6802"/>
    <w:rsid w:val="00CC6C51"/>
    <w:rsid w:val="00CC6CA0"/>
    <w:rsid w:val="00CC78CB"/>
    <w:rsid w:val="00CD0676"/>
    <w:rsid w:val="00CD0D62"/>
    <w:rsid w:val="00CD122E"/>
    <w:rsid w:val="00CD1AA7"/>
    <w:rsid w:val="00CD200B"/>
    <w:rsid w:val="00CD4249"/>
    <w:rsid w:val="00CD4339"/>
    <w:rsid w:val="00CD4F09"/>
    <w:rsid w:val="00CD570A"/>
    <w:rsid w:val="00CD7991"/>
    <w:rsid w:val="00CD7BA2"/>
    <w:rsid w:val="00CE0097"/>
    <w:rsid w:val="00CE24BF"/>
    <w:rsid w:val="00CE26F2"/>
    <w:rsid w:val="00CE2D47"/>
    <w:rsid w:val="00CE3FA6"/>
    <w:rsid w:val="00CE5242"/>
    <w:rsid w:val="00CE77AF"/>
    <w:rsid w:val="00CE7991"/>
    <w:rsid w:val="00CF002D"/>
    <w:rsid w:val="00CF04E6"/>
    <w:rsid w:val="00CF147B"/>
    <w:rsid w:val="00CF2D14"/>
    <w:rsid w:val="00CF71C4"/>
    <w:rsid w:val="00CF7211"/>
    <w:rsid w:val="00CF7CDD"/>
    <w:rsid w:val="00D00093"/>
    <w:rsid w:val="00D00BC4"/>
    <w:rsid w:val="00D028B5"/>
    <w:rsid w:val="00D032A5"/>
    <w:rsid w:val="00D034FC"/>
    <w:rsid w:val="00D05262"/>
    <w:rsid w:val="00D053A8"/>
    <w:rsid w:val="00D0681F"/>
    <w:rsid w:val="00D079FC"/>
    <w:rsid w:val="00D100AC"/>
    <w:rsid w:val="00D100E7"/>
    <w:rsid w:val="00D12D0F"/>
    <w:rsid w:val="00D15134"/>
    <w:rsid w:val="00D15289"/>
    <w:rsid w:val="00D15FB3"/>
    <w:rsid w:val="00D161EF"/>
    <w:rsid w:val="00D17475"/>
    <w:rsid w:val="00D17F45"/>
    <w:rsid w:val="00D217D8"/>
    <w:rsid w:val="00D21F3E"/>
    <w:rsid w:val="00D26275"/>
    <w:rsid w:val="00D270B5"/>
    <w:rsid w:val="00D30138"/>
    <w:rsid w:val="00D30A50"/>
    <w:rsid w:val="00D31066"/>
    <w:rsid w:val="00D31E90"/>
    <w:rsid w:val="00D32AA5"/>
    <w:rsid w:val="00D32C4E"/>
    <w:rsid w:val="00D3499C"/>
    <w:rsid w:val="00D34E60"/>
    <w:rsid w:val="00D35304"/>
    <w:rsid w:val="00D35426"/>
    <w:rsid w:val="00D35845"/>
    <w:rsid w:val="00D360A8"/>
    <w:rsid w:val="00D37C96"/>
    <w:rsid w:val="00D428E6"/>
    <w:rsid w:val="00D429C8"/>
    <w:rsid w:val="00D430EB"/>
    <w:rsid w:val="00D438B3"/>
    <w:rsid w:val="00D4457F"/>
    <w:rsid w:val="00D476F6"/>
    <w:rsid w:val="00D50F6A"/>
    <w:rsid w:val="00D5140F"/>
    <w:rsid w:val="00D51A1D"/>
    <w:rsid w:val="00D535CB"/>
    <w:rsid w:val="00D53A64"/>
    <w:rsid w:val="00D53E62"/>
    <w:rsid w:val="00D545F2"/>
    <w:rsid w:val="00D54957"/>
    <w:rsid w:val="00D57577"/>
    <w:rsid w:val="00D60BAD"/>
    <w:rsid w:val="00D60E02"/>
    <w:rsid w:val="00D61671"/>
    <w:rsid w:val="00D62605"/>
    <w:rsid w:val="00D63101"/>
    <w:rsid w:val="00D63182"/>
    <w:rsid w:val="00D63506"/>
    <w:rsid w:val="00D63784"/>
    <w:rsid w:val="00D649C8"/>
    <w:rsid w:val="00D65319"/>
    <w:rsid w:val="00D65A24"/>
    <w:rsid w:val="00D65EE0"/>
    <w:rsid w:val="00D66A58"/>
    <w:rsid w:val="00D66FAB"/>
    <w:rsid w:val="00D6701D"/>
    <w:rsid w:val="00D6767F"/>
    <w:rsid w:val="00D677C0"/>
    <w:rsid w:val="00D67E94"/>
    <w:rsid w:val="00D70FCB"/>
    <w:rsid w:val="00D71B11"/>
    <w:rsid w:val="00D71F45"/>
    <w:rsid w:val="00D7292E"/>
    <w:rsid w:val="00D72C97"/>
    <w:rsid w:val="00D75022"/>
    <w:rsid w:val="00D753E2"/>
    <w:rsid w:val="00D75650"/>
    <w:rsid w:val="00D76755"/>
    <w:rsid w:val="00D77279"/>
    <w:rsid w:val="00D81FDE"/>
    <w:rsid w:val="00D82CCE"/>
    <w:rsid w:val="00D82EAB"/>
    <w:rsid w:val="00D83DF9"/>
    <w:rsid w:val="00D8465C"/>
    <w:rsid w:val="00D8496F"/>
    <w:rsid w:val="00D85678"/>
    <w:rsid w:val="00D870D8"/>
    <w:rsid w:val="00D87759"/>
    <w:rsid w:val="00D90940"/>
    <w:rsid w:val="00D918BA"/>
    <w:rsid w:val="00D92A5B"/>
    <w:rsid w:val="00D92EA7"/>
    <w:rsid w:val="00D958F6"/>
    <w:rsid w:val="00D95C03"/>
    <w:rsid w:val="00D95CC8"/>
    <w:rsid w:val="00D9797D"/>
    <w:rsid w:val="00D97AB9"/>
    <w:rsid w:val="00D97B76"/>
    <w:rsid w:val="00D97F88"/>
    <w:rsid w:val="00DA0725"/>
    <w:rsid w:val="00DA24E4"/>
    <w:rsid w:val="00DA2B47"/>
    <w:rsid w:val="00DA42A2"/>
    <w:rsid w:val="00DA558B"/>
    <w:rsid w:val="00DA56CE"/>
    <w:rsid w:val="00DA58D6"/>
    <w:rsid w:val="00DA5D9F"/>
    <w:rsid w:val="00DA681B"/>
    <w:rsid w:val="00DA7A86"/>
    <w:rsid w:val="00DA7B8A"/>
    <w:rsid w:val="00DA7DF1"/>
    <w:rsid w:val="00DB0072"/>
    <w:rsid w:val="00DB0654"/>
    <w:rsid w:val="00DB0AA8"/>
    <w:rsid w:val="00DB1460"/>
    <w:rsid w:val="00DB1F69"/>
    <w:rsid w:val="00DB2171"/>
    <w:rsid w:val="00DB2384"/>
    <w:rsid w:val="00DB293F"/>
    <w:rsid w:val="00DB328B"/>
    <w:rsid w:val="00DB3C3D"/>
    <w:rsid w:val="00DB4463"/>
    <w:rsid w:val="00DB618E"/>
    <w:rsid w:val="00DB6E52"/>
    <w:rsid w:val="00DC00A0"/>
    <w:rsid w:val="00DC5B95"/>
    <w:rsid w:val="00DC6F26"/>
    <w:rsid w:val="00DD282A"/>
    <w:rsid w:val="00DD3292"/>
    <w:rsid w:val="00DD3E52"/>
    <w:rsid w:val="00DD63F5"/>
    <w:rsid w:val="00DD6B2F"/>
    <w:rsid w:val="00DE358C"/>
    <w:rsid w:val="00DE370D"/>
    <w:rsid w:val="00DE4E70"/>
    <w:rsid w:val="00DE55ED"/>
    <w:rsid w:val="00DE577C"/>
    <w:rsid w:val="00DE5979"/>
    <w:rsid w:val="00DE6656"/>
    <w:rsid w:val="00DE7C9D"/>
    <w:rsid w:val="00DF0346"/>
    <w:rsid w:val="00DF061D"/>
    <w:rsid w:val="00DF2599"/>
    <w:rsid w:val="00DF28D6"/>
    <w:rsid w:val="00DF2C6A"/>
    <w:rsid w:val="00DF2CAA"/>
    <w:rsid w:val="00DF3251"/>
    <w:rsid w:val="00DF3D9D"/>
    <w:rsid w:val="00DF4E69"/>
    <w:rsid w:val="00DF5044"/>
    <w:rsid w:val="00DF5CA0"/>
    <w:rsid w:val="00DF7BFE"/>
    <w:rsid w:val="00DF7D30"/>
    <w:rsid w:val="00E02653"/>
    <w:rsid w:val="00E03384"/>
    <w:rsid w:val="00E03BE2"/>
    <w:rsid w:val="00E05115"/>
    <w:rsid w:val="00E05963"/>
    <w:rsid w:val="00E077FD"/>
    <w:rsid w:val="00E1136E"/>
    <w:rsid w:val="00E118BB"/>
    <w:rsid w:val="00E129A2"/>
    <w:rsid w:val="00E12BF5"/>
    <w:rsid w:val="00E13CD5"/>
    <w:rsid w:val="00E14E28"/>
    <w:rsid w:val="00E15463"/>
    <w:rsid w:val="00E1567E"/>
    <w:rsid w:val="00E16821"/>
    <w:rsid w:val="00E178F9"/>
    <w:rsid w:val="00E2026C"/>
    <w:rsid w:val="00E219E6"/>
    <w:rsid w:val="00E221E9"/>
    <w:rsid w:val="00E224E5"/>
    <w:rsid w:val="00E235E4"/>
    <w:rsid w:val="00E259D0"/>
    <w:rsid w:val="00E259E5"/>
    <w:rsid w:val="00E26347"/>
    <w:rsid w:val="00E26CAE"/>
    <w:rsid w:val="00E27CAC"/>
    <w:rsid w:val="00E31039"/>
    <w:rsid w:val="00E31E02"/>
    <w:rsid w:val="00E32062"/>
    <w:rsid w:val="00E33A38"/>
    <w:rsid w:val="00E412BC"/>
    <w:rsid w:val="00E4294C"/>
    <w:rsid w:val="00E43476"/>
    <w:rsid w:val="00E43878"/>
    <w:rsid w:val="00E43BC3"/>
    <w:rsid w:val="00E44165"/>
    <w:rsid w:val="00E44E85"/>
    <w:rsid w:val="00E459FA"/>
    <w:rsid w:val="00E473DD"/>
    <w:rsid w:val="00E51533"/>
    <w:rsid w:val="00E51C2C"/>
    <w:rsid w:val="00E52A0A"/>
    <w:rsid w:val="00E562F8"/>
    <w:rsid w:val="00E57A24"/>
    <w:rsid w:val="00E60A3D"/>
    <w:rsid w:val="00E61037"/>
    <w:rsid w:val="00E63CEC"/>
    <w:rsid w:val="00E653D2"/>
    <w:rsid w:val="00E65D5C"/>
    <w:rsid w:val="00E65F2E"/>
    <w:rsid w:val="00E66EA2"/>
    <w:rsid w:val="00E66F7E"/>
    <w:rsid w:val="00E70A5E"/>
    <w:rsid w:val="00E71AA4"/>
    <w:rsid w:val="00E72353"/>
    <w:rsid w:val="00E725FE"/>
    <w:rsid w:val="00E729AD"/>
    <w:rsid w:val="00E72AFB"/>
    <w:rsid w:val="00E731DB"/>
    <w:rsid w:val="00E75152"/>
    <w:rsid w:val="00E752F1"/>
    <w:rsid w:val="00E75462"/>
    <w:rsid w:val="00E757BC"/>
    <w:rsid w:val="00E76A95"/>
    <w:rsid w:val="00E76EB6"/>
    <w:rsid w:val="00E82A15"/>
    <w:rsid w:val="00E86087"/>
    <w:rsid w:val="00E86E91"/>
    <w:rsid w:val="00E903DD"/>
    <w:rsid w:val="00E911C7"/>
    <w:rsid w:val="00E91457"/>
    <w:rsid w:val="00E926D0"/>
    <w:rsid w:val="00E93418"/>
    <w:rsid w:val="00E93C08"/>
    <w:rsid w:val="00E94BA9"/>
    <w:rsid w:val="00E95892"/>
    <w:rsid w:val="00E95D3D"/>
    <w:rsid w:val="00E95E39"/>
    <w:rsid w:val="00E96AE9"/>
    <w:rsid w:val="00E96CF8"/>
    <w:rsid w:val="00EA1CFD"/>
    <w:rsid w:val="00EA1DA0"/>
    <w:rsid w:val="00EA5CD5"/>
    <w:rsid w:val="00EA6F76"/>
    <w:rsid w:val="00EA6FED"/>
    <w:rsid w:val="00EA75F5"/>
    <w:rsid w:val="00EA7BC0"/>
    <w:rsid w:val="00EB0070"/>
    <w:rsid w:val="00EB067A"/>
    <w:rsid w:val="00EB105E"/>
    <w:rsid w:val="00EB1EF4"/>
    <w:rsid w:val="00EB20BF"/>
    <w:rsid w:val="00EB32D4"/>
    <w:rsid w:val="00EB4095"/>
    <w:rsid w:val="00EB537C"/>
    <w:rsid w:val="00EB5AD7"/>
    <w:rsid w:val="00EB76AC"/>
    <w:rsid w:val="00EC0D93"/>
    <w:rsid w:val="00EC0FAA"/>
    <w:rsid w:val="00EC1FEB"/>
    <w:rsid w:val="00EC28D7"/>
    <w:rsid w:val="00EC41C6"/>
    <w:rsid w:val="00EC5A38"/>
    <w:rsid w:val="00EC67B1"/>
    <w:rsid w:val="00EC69A1"/>
    <w:rsid w:val="00EC7CA1"/>
    <w:rsid w:val="00EC7F24"/>
    <w:rsid w:val="00ED082E"/>
    <w:rsid w:val="00ED1772"/>
    <w:rsid w:val="00ED177E"/>
    <w:rsid w:val="00ED1A4D"/>
    <w:rsid w:val="00ED30C2"/>
    <w:rsid w:val="00ED3B2E"/>
    <w:rsid w:val="00ED5FC2"/>
    <w:rsid w:val="00ED6CA8"/>
    <w:rsid w:val="00ED6E65"/>
    <w:rsid w:val="00ED6ECE"/>
    <w:rsid w:val="00EE0705"/>
    <w:rsid w:val="00EE15BF"/>
    <w:rsid w:val="00EE1AD3"/>
    <w:rsid w:val="00EE24CF"/>
    <w:rsid w:val="00EE4636"/>
    <w:rsid w:val="00EE72ED"/>
    <w:rsid w:val="00EF10E8"/>
    <w:rsid w:val="00EF2048"/>
    <w:rsid w:val="00EF286B"/>
    <w:rsid w:val="00EF2EB0"/>
    <w:rsid w:val="00EF3625"/>
    <w:rsid w:val="00EF3A4F"/>
    <w:rsid w:val="00EF3F5E"/>
    <w:rsid w:val="00EF594D"/>
    <w:rsid w:val="00EF65E4"/>
    <w:rsid w:val="00EF666B"/>
    <w:rsid w:val="00EF6A85"/>
    <w:rsid w:val="00EF6C40"/>
    <w:rsid w:val="00EF731C"/>
    <w:rsid w:val="00F0005A"/>
    <w:rsid w:val="00F0075C"/>
    <w:rsid w:val="00F017FF"/>
    <w:rsid w:val="00F0192B"/>
    <w:rsid w:val="00F02A6C"/>
    <w:rsid w:val="00F05FFF"/>
    <w:rsid w:val="00F06B76"/>
    <w:rsid w:val="00F10A67"/>
    <w:rsid w:val="00F10EBB"/>
    <w:rsid w:val="00F111FD"/>
    <w:rsid w:val="00F114F4"/>
    <w:rsid w:val="00F13080"/>
    <w:rsid w:val="00F1338A"/>
    <w:rsid w:val="00F13729"/>
    <w:rsid w:val="00F1432D"/>
    <w:rsid w:val="00F14583"/>
    <w:rsid w:val="00F149FF"/>
    <w:rsid w:val="00F14B60"/>
    <w:rsid w:val="00F15521"/>
    <w:rsid w:val="00F155D0"/>
    <w:rsid w:val="00F156C2"/>
    <w:rsid w:val="00F164FE"/>
    <w:rsid w:val="00F16572"/>
    <w:rsid w:val="00F169C5"/>
    <w:rsid w:val="00F16DC9"/>
    <w:rsid w:val="00F16E94"/>
    <w:rsid w:val="00F17B9A"/>
    <w:rsid w:val="00F206F2"/>
    <w:rsid w:val="00F2197E"/>
    <w:rsid w:val="00F22675"/>
    <w:rsid w:val="00F24B17"/>
    <w:rsid w:val="00F24D28"/>
    <w:rsid w:val="00F25A5A"/>
    <w:rsid w:val="00F26684"/>
    <w:rsid w:val="00F3016A"/>
    <w:rsid w:val="00F30887"/>
    <w:rsid w:val="00F30A68"/>
    <w:rsid w:val="00F318AE"/>
    <w:rsid w:val="00F31EF4"/>
    <w:rsid w:val="00F322E1"/>
    <w:rsid w:val="00F3282B"/>
    <w:rsid w:val="00F32E59"/>
    <w:rsid w:val="00F33865"/>
    <w:rsid w:val="00F350E6"/>
    <w:rsid w:val="00F359DF"/>
    <w:rsid w:val="00F35CE5"/>
    <w:rsid w:val="00F3656A"/>
    <w:rsid w:val="00F365D0"/>
    <w:rsid w:val="00F36A9D"/>
    <w:rsid w:val="00F42176"/>
    <w:rsid w:val="00F43814"/>
    <w:rsid w:val="00F43AFD"/>
    <w:rsid w:val="00F46846"/>
    <w:rsid w:val="00F51271"/>
    <w:rsid w:val="00F519F3"/>
    <w:rsid w:val="00F52DFB"/>
    <w:rsid w:val="00F5589E"/>
    <w:rsid w:val="00F56DB5"/>
    <w:rsid w:val="00F56E56"/>
    <w:rsid w:val="00F601E5"/>
    <w:rsid w:val="00F60C78"/>
    <w:rsid w:val="00F617E6"/>
    <w:rsid w:val="00F62771"/>
    <w:rsid w:val="00F62B5E"/>
    <w:rsid w:val="00F64402"/>
    <w:rsid w:val="00F6651D"/>
    <w:rsid w:val="00F66744"/>
    <w:rsid w:val="00F673CD"/>
    <w:rsid w:val="00F701B5"/>
    <w:rsid w:val="00F71C2A"/>
    <w:rsid w:val="00F72097"/>
    <w:rsid w:val="00F732D6"/>
    <w:rsid w:val="00F7426E"/>
    <w:rsid w:val="00F744BD"/>
    <w:rsid w:val="00F7575A"/>
    <w:rsid w:val="00F7584E"/>
    <w:rsid w:val="00F75D71"/>
    <w:rsid w:val="00F76BB6"/>
    <w:rsid w:val="00F76D78"/>
    <w:rsid w:val="00F809D1"/>
    <w:rsid w:val="00F842F2"/>
    <w:rsid w:val="00F843DF"/>
    <w:rsid w:val="00F85DC4"/>
    <w:rsid w:val="00F8733F"/>
    <w:rsid w:val="00F87718"/>
    <w:rsid w:val="00F90321"/>
    <w:rsid w:val="00F90BD5"/>
    <w:rsid w:val="00F91AC5"/>
    <w:rsid w:val="00F93B5C"/>
    <w:rsid w:val="00F942DB"/>
    <w:rsid w:val="00F950D2"/>
    <w:rsid w:val="00F95C83"/>
    <w:rsid w:val="00F967D0"/>
    <w:rsid w:val="00F96929"/>
    <w:rsid w:val="00F96985"/>
    <w:rsid w:val="00F97741"/>
    <w:rsid w:val="00F97DA4"/>
    <w:rsid w:val="00FA1293"/>
    <w:rsid w:val="00FA32FC"/>
    <w:rsid w:val="00FA3C15"/>
    <w:rsid w:val="00FA5C01"/>
    <w:rsid w:val="00FA5CE4"/>
    <w:rsid w:val="00FA7872"/>
    <w:rsid w:val="00FB02F4"/>
    <w:rsid w:val="00FB0E83"/>
    <w:rsid w:val="00FB151B"/>
    <w:rsid w:val="00FB2E04"/>
    <w:rsid w:val="00FB52C7"/>
    <w:rsid w:val="00FB52F9"/>
    <w:rsid w:val="00FB56B7"/>
    <w:rsid w:val="00FC1369"/>
    <w:rsid w:val="00FC2471"/>
    <w:rsid w:val="00FC26A0"/>
    <w:rsid w:val="00FC3CC5"/>
    <w:rsid w:val="00FC47A9"/>
    <w:rsid w:val="00FC6631"/>
    <w:rsid w:val="00FC71E9"/>
    <w:rsid w:val="00FC7673"/>
    <w:rsid w:val="00FC7C41"/>
    <w:rsid w:val="00FD08C9"/>
    <w:rsid w:val="00FD0B67"/>
    <w:rsid w:val="00FD110A"/>
    <w:rsid w:val="00FD2D48"/>
    <w:rsid w:val="00FD3467"/>
    <w:rsid w:val="00FD34E6"/>
    <w:rsid w:val="00FD3799"/>
    <w:rsid w:val="00FD3C0D"/>
    <w:rsid w:val="00FD45EA"/>
    <w:rsid w:val="00FD7DC7"/>
    <w:rsid w:val="00FE14A9"/>
    <w:rsid w:val="00FE1BE6"/>
    <w:rsid w:val="00FE3348"/>
    <w:rsid w:val="00FE3F7C"/>
    <w:rsid w:val="00FE46F5"/>
    <w:rsid w:val="00FE486E"/>
    <w:rsid w:val="00FE6080"/>
    <w:rsid w:val="00FE6E3B"/>
    <w:rsid w:val="00FF003D"/>
    <w:rsid w:val="00FF0321"/>
    <w:rsid w:val="00FF0A63"/>
    <w:rsid w:val="00FF1252"/>
    <w:rsid w:val="00FF16EB"/>
    <w:rsid w:val="00FF1F5D"/>
    <w:rsid w:val="00FF2039"/>
    <w:rsid w:val="00FF218E"/>
    <w:rsid w:val="00FF2CFC"/>
    <w:rsid w:val="00FF340B"/>
    <w:rsid w:val="00FF38E1"/>
    <w:rsid w:val="00FF3DB7"/>
    <w:rsid w:val="00FF4814"/>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F779D"/>
  <w15:docId w15:val="{DFA26BED-1E1B-4362-A642-C16C8114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FB5"/>
    <w:rPr>
      <w:rFonts w:ascii="Arial" w:hAnsi="Arial"/>
      <w:sz w:val="24"/>
      <w:lang w:eastAsia="en-US"/>
    </w:rPr>
  </w:style>
  <w:style w:type="paragraph" w:styleId="Heading1">
    <w:name w:val="heading 1"/>
    <w:basedOn w:val="Normal"/>
    <w:next w:val="Normal"/>
    <w:link w:val="Heading1Char"/>
    <w:qFormat/>
    <w:rsid w:val="00967B87"/>
    <w:pPr>
      <w:keepNext/>
      <w:numPr>
        <w:numId w:val="1"/>
      </w:numPr>
      <w:shd w:val="clear" w:color="auto" w:fill="FFFFFF" w:themeFill="background1"/>
      <w:spacing w:before="240" w:after="60"/>
      <w:outlineLvl w:val="0"/>
    </w:pPr>
    <w:rPr>
      <w:rFonts w:ascii="Arial Bold" w:hAnsi="Arial Bold" w:cs="Arial"/>
      <w:b/>
      <w:bCs/>
      <w:color w:val="365F91" w:themeColor="accent1" w:themeShade="BF"/>
      <w:kern w:val="32"/>
      <w:sz w:val="32"/>
      <w:szCs w:val="32"/>
    </w:rPr>
  </w:style>
  <w:style w:type="paragraph" w:styleId="Heading2">
    <w:name w:val="heading 2"/>
    <w:basedOn w:val="Normal"/>
    <w:next w:val="Normal"/>
    <w:link w:val="Heading2Char"/>
    <w:qFormat/>
    <w:rsid w:val="00D76755"/>
    <w:pPr>
      <w:keepNext/>
      <w:shd w:val="clear" w:color="auto" w:fill="B3B3B3"/>
      <w:spacing w:before="240" w:after="60"/>
      <w:outlineLvl w:val="1"/>
    </w:pPr>
    <w:rPr>
      <w:rFonts w:cs="Arial"/>
      <w:b/>
      <w:bCs/>
      <w:iCs/>
      <w:sz w:val="28"/>
      <w:szCs w:val="28"/>
    </w:rPr>
  </w:style>
  <w:style w:type="paragraph" w:styleId="Heading3">
    <w:name w:val="heading 3"/>
    <w:basedOn w:val="Normal"/>
    <w:next w:val="Normal"/>
    <w:qFormat/>
    <w:rsid w:val="00A64115"/>
    <w:pPr>
      <w:keepNext/>
      <w:tabs>
        <w:tab w:val="num" w:pos="720"/>
      </w:tabs>
      <w:ind w:left="720" w:hanging="432"/>
      <w:jc w:val="center"/>
      <w:outlineLvl w:val="2"/>
    </w:pPr>
    <w:rPr>
      <w:b/>
      <w:color w:val="0000FF"/>
    </w:rPr>
  </w:style>
  <w:style w:type="paragraph" w:styleId="Heading4">
    <w:name w:val="heading 4"/>
    <w:basedOn w:val="Normal"/>
    <w:next w:val="Normal"/>
    <w:qFormat/>
    <w:rsid w:val="00A64115"/>
    <w:pPr>
      <w:keepNext/>
      <w:tabs>
        <w:tab w:val="num" w:pos="864"/>
      </w:tabs>
      <w:ind w:left="864" w:hanging="144"/>
      <w:jc w:val="center"/>
      <w:outlineLvl w:val="3"/>
    </w:pPr>
    <w:rPr>
      <w:b/>
    </w:rPr>
  </w:style>
  <w:style w:type="paragraph" w:styleId="Heading5">
    <w:name w:val="heading 5"/>
    <w:basedOn w:val="Normal"/>
    <w:next w:val="Normal"/>
    <w:qFormat/>
    <w:rsid w:val="00A64115"/>
    <w:pPr>
      <w:keepNext/>
      <w:tabs>
        <w:tab w:val="num" w:pos="1008"/>
      </w:tabs>
      <w:ind w:left="1008" w:hanging="432"/>
      <w:jc w:val="center"/>
      <w:outlineLvl w:val="4"/>
    </w:pPr>
    <w:rPr>
      <w:b/>
    </w:rPr>
  </w:style>
  <w:style w:type="paragraph" w:styleId="Heading6">
    <w:name w:val="heading 6"/>
    <w:basedOn w:val="Normal"/>
    <w:next w:val="Normal"/>
    <w:qFormat/>
    <w:rsid w:val="00A64115"/>
    <w:pPr>
      <w:keepNext/>
      <w:tabs>
        <w:tab w:val="num" w:pos="1152"/>
      </w:tabs>
      <w:ind w:left="1152" w:hanging="432"/>
      <w:jc w:val="center"/>
      <w:outlineLvl w:val="5"/>
    </w:pPr>
    <w:rPr>
      <w:color w:val="FFFFFF"/>
    </w:rPr>
  </w:style>
  <w:style w:type="paragraph" w:styleId="Heading7">
    <w:name w:val="heading 7"/>
    <w:basedOn w:val="Normal"/>
    <w:next w:val="Normal"/>
    <w:qFormat/>
    <w:rsid w:val="00A64115"/>
    <w:pPr>
      <w:keepNext/>
      <w:tabs>
        <w:tab w:val="num" w:pos="1296"/>
      </w:tabs>
      <w:ind w:left="1296" w:hanging="288"/>
      <w:jc w:val="center"/>
      <w:outlineLvl w:val="6"/>
    </w:pPr>
    <w:rPr>
      <w:b/>
      <w:color w:val="FFFFFF"/>
    </w:rPr>
  </w:style>
  <w:style w:type="paragraph" w:styleId="Heading8">
    <w:name w:val="heading 8"/>
    <w:basedOn w:val="Normal"/>
    <w:next w:val="Normal"/>
    <w:qFormat/>
    <w:rsid w:val="00A64115"/>
    <w:pPr>
      <w:keepNext/>
      <w:tabs>
        <w:tab w:val="num" w:pos="1440"/>
      </w:tabs>
      <w:ind w:left="1440" w:hanging="432"/>
      <w:outlineLvl w:val="7"/>
    </w:pPr>
    <w:rPr>
      <w:lang w:val="en-US"/>
    </w:rPr>
  </w:style>
  <w:style w:type="paragraph" w:styleId="Heading9">
    <w:name w:val="heading 9"/>
    <w:basedOn w:val="Normal"/>
    <w:next w:val="Normal"/>
    <w:qFormat/>
    <w:rsid w:val="00A64115"/>
    <w:pPr>
      <w:keepNext/>
      <w:tabs>
        <w:tab w:val="num" w:pos="1584"/>
      </w:tabs>
      <w:ind w:left="1584" w:hanging="144"/>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D3804"/>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1D1CF4"/>
    <w:pPr>
      <w:tabs>
        <w:tab w:val="center" w:pos="4320"/>
        <w:tab w:val="right" w:pos="8640"/>
      </w:tabs>
    </w:pPr>
  </w:style>
  <w:style w:type="paragraph" w:styleId="Footer">
    <w:name w:val="footer"/>
    <w:basedOn w:val="Normal"/>
    <w:link w:val="FooterChar"/>
    <w:rsid w:val="001D1CF4"/>
    <w:pPr>
      <w:tabs>
        <w:tab w:val="center" w:pos="4320"/>
        <w:tab w:val="right" w:pos="8640"/>
      </w:tabs>
    </w:pPr>
  </w:style>
  <w:style w:type="paragraph" w:customStyle="1" w:styleId="Char">
    <w:name w:val="Char"/>
    <w:basedOn w:val="Normal"/>
    <w:rsid w:val="006C29D6"/>
    <w:pPr>
      <w:numPr>
        <w:ilvl w:val="3"/>
        <w:numId w:val="6"/>
      </w:numPr>
      <w:spacing w:after="160" w:line="240" w:lineRule="exact"/>
    </w:pPr>
    <w:rPr>
      <w:lang w:val="en-US"/>
    </w:rPr>
  </w:style>
  <w:style w:type="table" w:styleId="TableGrid">
    <w:name w:val="Table Grid"/>
    <w:basedOn w:val="TableNormal"/>
    <w:uiPriority w:val="59"/>
    <w:rsid w:val="001D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tternClear">
    <w:name w:val="Style Heading 1 + Pattern: Clear"/>
    <w:basedOn w:val="Heading1"/>
    <w:rsid w:val="001D1CF4"/>
    <w:pPr>
      <w:shd w:val="clear" w:color="auto" w:fill="auto"/>
    </w:pPr>
    <w:rPr>
      <w:rFonts w:cs="Times New Roman"/>
      <w:sz w:val="22"/>
      <w:szCs w:val="20"/>
    </w:rPr>
  </w:style>
  <w:style w:type="paragraph" w:styleId="TOC2">
    <w:name w:val="toc 2"/>
    <w:basedOn w:val="Normal"/>
    <w:next w:val="Normal"/>
    <w:autoRedefine/>
    <w:semiHidden/>
    <w:rsid w:val="00F96985"/>
    <w:pPr>
      <w:spacing w:before="240"/>
    </w:pPr>
    <w:rPr>
      <w:rFonts w:ascii="Times New Roman" w:hAnsi="Times New Roman"/>
      <w:b/>
      <w:bCs/>
      <w:sz w:val="20"/>
    </w:rPr>
  </w:style>
  <w:style w:type="paragraph" w:styleId="TOC1">
    <w:name w:val="toc 1"/>
    <w:basedOn w:val="Normal"/>
    <w:next w:val="Normal"/>
    <w:autoRedefine/>
    <w:uiPriority w:val="39"/>
    <w:rsid w:val="00F96985"/>
    <w:pPr>
      <w:spacing w:before="360"/>
    </w:pPr>
    <w:rPr>
      <w:rFonts w:cs="Arial"/>
      <w:b/>
      <w:bCs/>
      <w:caps/>
      <w:szCs w:val="24"/>
    </w:rPr>
  </w:style>
  <w:style w:type="character" w:styleId="Hyperlink">
    <w:name w:val="Hyperlink"/>
    <w:uiPriority w:val="99"/>
    <w:rsid w:val="00F96985"/>
    <w:rPr>
      <w:rFonts w:ascii="Arial" w:hAnsi="Arial"/>
      <w:color w:val="0000FF"/>
      <w:sz w:val="22"/>
      <w:u w:val="single"/>
      <w:lang w:val="en-US" w:eastAsia="en-US" w:bidi="ar-SA"/>
    </w:rPr>
  </w:style>
  <w:style w:type="paragraph" w:styleId="TOC3">
    <w:name w:val="toc 3"/>
    <w:basedOn w:val="Normal"/>
    <w:next w:val="Normal"/>
    <w:autoRedefine/>
    <w:semiHidden/>
    <w:rsid w:val="00F96985"/>
    <w:pPr>
      <w:ind w:left="220"/>
    </w:pPr>
    <w:rPr>
      <w:rFonts w:ascii="Times New Roman" w:hAnsi="Times New Roman"/>
      <w:sz w:val="20"/>
    </w:rPr>
  </w:style>
  <w:style w:type="paragraph" w:styleId="TOC4">
    <w:name w:val="toc 4"/>
    <w:basedOn w:val="Normal"/>
    <w:next w:val="Normal"/>
    <w:autoRedefine/>
    <w:semiHidden/>
    <w:rsid w:val="00F96985"/>
    <w:pPr>
      <w:ind w:left="440"/>
    </w:pPr>
    <w:rPr>
      <w:rFonts w:ascii="Times New Roman" w:hAnsi="Times New Roman"/>
      <w:sz w:val="20"/>
    </w:rPr>
  </w:style>
  <w:style w:type="paragraph" w:styleId="TOC5">
    <w:name w:val="toc 5"/>
    <w:basedOn w:val="Normal"/>
    <w:next w:val="Normal"/>
    <w:autoRedefine/>
    <w:semiHidden/>
    <w:rsid w:val="00F96985"/>
    <w:pPr>
      <w:ind w:left="660"/>
    </w:pPr>
    <w:rPr>
      <w:rFonts w:ascii="Times New Roman" w:hAnsi="Times New Roman"/>
      <w:sz w:val="20"/>
    </w:rPr>
  </w:style>
  <w:style w:type="paragraph" w:styleId="TOC6">
    <w:name w:val="toc 6"/>
    <w:basedOn w:val="Normal"/>
    <w:next w:val="Normal"/>
    <w:autoRedefine/>
    <w:semiHidden/>
    <w:rsid w:val="00F96985"/>
    <w:pPr>
      <w:ind w:left="880"/>
    </w:pPr>
    <w:rPr>
      <w:rFonts w:ascii="Times New Roman" w:hAnsi="Times New Roman"/>
      <w:sz w:val="20"/>
    </w:rPr>
  </w:style>
  <w:style w:type="paragraph" w:styleId="TOC7">
    <w:name w:val="toc 7"/>
    <w:basedOn w:val="Normal"/>
    <w:next w:val="Normal"/>
    <w:autoRedefine/>
    <w:semiHidden/>
    <w:rsid w:val="00F96985"/>
    <w:pPr>
      <w:ind w:left="1100"/>
    </w:pPr>
    <w:rPr>
      <w:rFonts w:ascii="Times New Roman" w:hAnsi="Times New Roman"/>
      <w:sz w:val="20"/>
    </w:rPr>
  </w:style>
  <w:style w:type="paragraph" w:styleId="TOC8">
    <w:name w:val="toc 8"/>
    <w:basedOn w:val="Normal"/>
    <w:next w:val="Normal"/>
    <w:autoRedefine/>
    <w:semiHidden/>
    <w:rsid w:val="00F96985"/>
    <w:pPr>
      <w:ind w:left="1320"/>
    </w:pPr>
    <w:rPr>
      <w:rFonts w:ascii="Times New Roman" w:hAnsi="Times New Roman"/>
      <w:sz w:val="20"/>
    </w:rPr>
  </w:style>
  <w:style w:type="paragraph" w:styleId="TOC9">
    <w:name w:val="toc 9"/>
    <w:basedOn w:val="Normal"/>
    <w:next w:val="Normal"/>
    <w:autoRedefine/>
    <w:semiHidden/>
    <w:rsid w:val="00F96985"/>
    <w:pPr>
      <w:ind w:left="1540"/>
    </w:pPr>
    <w:rPr>
      <w:rFonts w:ascii="Times New Roman" w:hAnsi="Times New Roman"/>
      <w:sz w:val="20"/>
    </w:rPr>
  </w:style>
  <w:style w:type="numbering" w:customStyle="1" w:styleId="StyleOutlinenumbered">
    <w:name w:val="Style Outline numbered"/>
    <w:basedOn w:val="NoList"/>
    <w:rsid w:val="00EC69A1"/>
    <w:pPr>
      <w:numPr>
        <w:numId w:val="2"/>
      </w:numPr>
    </w:pPr>
  </w:style>
  <w:style w:type="paragraph" w:customStyle="1" w:styleId="Char1">
    <w:name w:val="Char1"/>
    <w:basedOn w:val="Normal"/>
    <w:rsid w:val="006C29D6"/>
    <w:pPr>
      <w:spacing w:after="160" w:line="240" w:lineRule="exact"/>
    </w:pPr>
    <w:rPr>
      <w:rFonts w:ascii="Verdana" w:hAnsi="Verdana"/>
      <w:sz w:val="20"/>
      <w:lang w:val="en-US"/>
    </w:rPr>
  </w:style>
  <w:style w:type="paragraph" w:customStyle="1" w:styleId="Default">
    <w:name w:val="Default"/>
    <w:rsid w:val="006C29D6"/>
    <w:pPr>
      <w:widowControl w:val="0"/>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A64115"/>
    <w:rPr>
      <w:rFonts w:ascii="Arial" w:hAnsi="Arial"/>
      <w:sz w:val="22"/>
      <w:lang w:val="en-US" w:eastAsia="en-US" w:bidi="ar-SA"/>
    </w:rPr>
  </w:style>
  <w:style w:type="paragraph" w:styleId="BodyText">
    <w:name w:val="Body Text"/>
    <w:basedOn w:val="Normal"/>
    <w:rsid w:val="00A64115"/>
  </w:style>
  <w:style w:type="paragraph" w:styleId="BodyTextIndent">
    <w:name w:val="Body Text Indent"/>
    <w:basedOn w:val="Normal"/>
    <w:rsid w:val="00A64115"/>
    <w:pPr>
      <w:ind w:left="720" w:hanging="720"/>
    </w:pPr>
    <w:rPr>
      <w:rFonts w:cs="Arial"/>
    </w:rPr>
  </w:style>
  <w:style w:type="paragraph" w:styleId="BodyTextIndent2">
    <w:name w:val="Body Text Indent 2"/>
    <w:basedOn w:val="Normal"/>
    <w:rsid w:val="00A64115"/>
    <w:pPr>
      <w:ind w:left="720"/>
    </w:pPr>
    <w:rPr>
      <w:rFonts w:cs="Arial"/>
    </w:rPr>
  </w:style>
  <w:style w:type="paragraph" w:styleId="BodyTextIndent3">
    <w:name w:val="Body Text Indent 3"/>
    <w:basedOn w:val="Normal"/>
    <w:rsid w:val="00A64115"/>
    <w:pPr>
      <w:ind w:left="720"/>
    </w:pPr>
    <w:rPr>
      <w:rFonts w:cs="Arial"/>
      <w:b/>
    </w:rPr>
  </w:style>
  <w:style w:type="paragraph" w:styleId="BodyText2">
    <w:name w:val="Body Text 2"/>
    <w:basedOn w:val="Normal"/>
    <w:rsid w:val="00A64115"/>
    <w:pPr>
      <w:shd w:val="solid" w:color="auto" w:fill="auto"/>
      <w:jc w:val="center"/>
    </w:pPr>
    <w:rPr>
      <w:b/>
      <w:sz w:val="36"/>
    </w:rPr>
  </w:style>
  <w:style w:type="paragraph" w:styleId="Title">
    <w:name w:val="Title"/>
    <w:basedOn w:val="Normal"/>
    <w:link w:val="TitleChar"/>
    <w:qFormat/>
    <w:rsid w:val="00A64115"/>
    <w:pPr>
      <w:jc w:val="center"/>
    </w:pPr>
    <w:rPr>
      <w:b/>
    </w:rPr>
  </w:style>
  <w:style w:type="paragraph" w:styleId="DocumentMap">
    <w:name w:val="Document Map"/>
    <w:basedOn w:val="Normal"/>
    <w:semiHidden/>
    <w:rsid w:val="00A64115"/>
    <w:pPr>
      <w:shd w:val="clear" w:color="auto" w:fill="000080"/>
    </w:pPr>
    <w:rPr>
      <w:rFonts w:ascii="Tahoma" w:hAnsi="Tahoma"/>
    </w:rPr>
  </w:style>
  <w:style w:type="paragraph" w:styleId="BodyText3">
    <w:name w:val="Body Text 3"/>
    <w:basedOn w:val="Normal"/>
    <w:rsid w:val="00A64115"/>
    <w:rPr>
      <w:b/>
      <w:color w:val="FFFFFF"/>
    </w:rPr>
  </w:style>
  <w:style w:type="paragraph" w:styleId="NormalWeb">
    <w:name w:val="Normal (Web)"/>
    <w:basedOn w:val="Normal"/>
    <w:rsid w:val="00A64115"/>
    <w:pPr>
      <w:spacing w:before="100" w:beforeAutospacing="1" w:after="100" w:afterAutospacing="1"/>
    </w:pPr>
    <w:rPr>
      <w:rFonts w:cs="Arial"/>
      <w:color w:val="000000"/>
      <w:sz w:val="18"/>
      <w:szCs w:val="18"/>
    </w:rPr>
  </w:style>
  <w:style w:type="paragraph" w:styleId="FootnoteText">
    <w:name w:val="footnote text"/>
    <w:basedOn w:val="Normal"/>
    <w:semiHidden/>
    <w:rsid w:val="00A64115"/>
  </w:style>
  <w:style w:type="character" w:styleId="FootnoteReference">
    <w:name w:val="footnote reference"/>
    <w:semiHidden/>
    <w:rsid w:val="00A64115"/>
    <w:rPr>
      <w:rFonts w:ascii="Arial" w:hAnsi="Arial"/>
      <w:sz w:val="22"/>
      <w:vertAlign w:val="superscript"/>
      <w:lang w:val="en-US" w:eastAsia="en-US" w:bidi="ar-SA"/>
    </w:rPr>
  </w:style>
  <w:style w:type="character" w:styleId="FollowedHyperlink">
    <w:name w:val="FollowedHyperlink"/>
    <w:rsid w:val="00A64115"/>
    <w:rPr>
      <w:rFonts w:ascii="Arial" w:hAnsi="Arial"/>
      <w:color w:val="800080"/>
      <w:sz w:val="22"/>
      <w:u w:val="single"/>
      <w:lang w:val="en-US" w:eastAsia="en-US" w:bidi="ar-SA"/>
    </w:rPr>
  </w:style>
  <w:style w:type="paragraph" w:styleId="BlockText">
    <w:name w:val="Block Text"/>
    <w:basedOn w:val="Normal"/>
    <w:rsid w:val="00A64115"/>
    <w:pPr>
      <w:ind w:left="360" w:right="44" w:hanging="300"/>
    </w:pPr>
  </w:style>
  <w:style w:type="paragraph" w:styleId="BalloonText">
    <w:name w:val="Balloon Text"/>
    <w:basedOn w:val="Normal"/>
    <w:semiHidden/>
    <w:rsid w:val="00A64115"/>
    <w:rPr>
      <w:rFonts w:ascii="Tahoma" w:hAnsi="Tahoma" w:cs="Tahoma"/>
      <w:sz w:val="16"/>
      <w:szCs w:val="16"/>
    </w:rPr>
  </w:style>
  <w:style w:type="numbering" w:customStyle="1" w:styleId="StyleStyleOutlinenumberedOutlinenumbered">
    <w:name w:val="Style Style Outline numbered + Outline numbered"/>
    <w:basedOn w:val="NoList"/>
    <w:rsid w:val="00A64115"/>
    <w:pPr>
      <w:numPr>
        <w:numId w:val="3"/>
      </w:numPr>
    </w:pPr>
  </w:style>
  <w:style w:type="character" w:styleId="CommentReference">
    <w:name w:val="annotation reference"/>
    <w:semiHidden/>
    <w:rsid w:val="00A64115"/>
    <w:rPr>
      <w:rFonts w:ascii="Arial" w:hAnsi="Arial"/>
      <w:sz w:val="16"/>
      <w:szCs w:val="16"/>
      <w:lang w:val="en-US" w:eastAsia="en-US" w:bidi="ar-SA"/>
    </w:rPr>
  </w:style>
  <w:style w:type="paragraph" w:styleId="CommentText">
    <w:name w:val="annotation text"/>
    <w:basedOn w:val="Normal"/>
    <w:semiHidden/>
    <w:rsid w:val="00A64115"/>
    <w:rPr>
      <w:sz w:val="20"/>
    </w:rPr>
  </w:style>
  <w:style w:type="paragraph" w:styleId="CommentSubject">
    <w:name w:val="annotation subject"/>
    <w:basedOn w:val="CommentText"/>
    <w:next w:val="CommentText"/>
    <w:semiHidden/>
    <w:rsid w:val="00A64115"/>
    <w:rPr>
      <w:b/>
      <w:bCs/>
    </w:rPr>
  </w:style>
  <w:style w:type="paragraph" w:customStyle="1" w:styleId="DefaultParagraphFontParaCharCharCharCharCharCharCharCharCharCharCharCharCharCharChar1CharCharCharCharCharCharCharCharChar1CharCharCharCharCharCharCharCharCharChar">
    <w:name w:val="Default Paragraph Font Para Char Char Char Char Char Char Char Char Char Char Char Char Char Char Char1 Char Char Char Char Char Char Char Char Char1 Char Char Char Char Char Char Char Char Char Char"/>
    <w:basedOn w:val="Normal"/>
    <w:rsid w:val="00A64115"/>
    <w:pPr>
      <w:spacing w:after="160" w:line="240" w:lineRule="exact"/>
    </w:pPr>
    <w:rPr>
      <w:rFonts w:ascii="Verdana" w:hAnsi="Verdana"/>
      <w:sz w:val="20"/>
      <w:lang w:val="en-US"/>
    </w:rPr>
  </w:style>
  <w:style w:type="table" w:styleId="TableWeb2">
    <w:name w:val="Table Web 2"/>
    <w:basedOn w:val="TableNormal"/>
    <w:rsid w:val="00A64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TimesNewRomanItalicCenteredLinespacingDouble">
    <w:name w:val="Style Times New Roman Italic Centered Line spacing:  Double"/>
    <w:basedOn w:val="Normal"/>
    <w:rsid w:val="00A64115"/>
    <w:pPr>
      <w:jc w:val="center"/>
    </w:pPr>
    <w:rPr>
      <w:rFonts w:ascii="Times New Roman" w:hAnsi="Times New Roman"/>
      <w:i/>
      <w:iCs/>
    </w:rPr>
  </w:style>
  <w:style w:type="character" w:customStyle="1" w:styleId="Heading1Char">
    <w:name w:val="Heading 1 Char"/>
    <w:link w:val="Heading1"/>
    <w:rsid w:val="00967B87"/>
    <w:rPr>
      <w:rFonts w:ascii="Arial Bold" w:hAnsi="Arial Bold" w:cs="Arial"/>
      <w:b/>
      <w:bCs/>
      <w:color w:val="365F91" w:themeColor="accent1" w:themeShade="BF"/>
      <w:kern w:val="32"/>
      <w:sz w:val="32"/>
      <w:szCs w:val="32"/>
      <w:shd w:val="clear" w:color="auto" w:fill="FFFFFF" w:themeFill="background1"/>
      <w:lang w:eastAsia="en-US"/>
    </w:rPr>
  </w:style>
  <w:style w:type="paragraph" w:styleId="ListParagraph">
    <w:name w:val="List Paragraph"/>
    <w:basedOn w:val="Normal"/>
    <w:uiPriority w:val="34"/>
    <w:qFormat/>
    <w:rsid w:val="009E5BB1"/>
    <w:pPr>
      <w:ind w:left="720"/>
    </w:pPr>
  </w:style>
  <w:style w:type="character" w:customStyle="1" w:styleId="Heading2Char">
    <w:name w:val="Heading 2 Char"/>
    <w:link w:val="Heading2"/>
    <w:rsid w:val="008E70B1"/>
    <w:rPr>
      <w:rFonts w:ascii="Arial" w:hAnsi="Arial" w:cs="Arial"/>
      <w:b/>
      <w:bCs/>
      <w:iCs/>
      <w:sz w:val="28"/>
      <w:szCs w:val="28"/>
      <w:shd w:val="clear" w:color="auto" w:fill="B3B3B3"/>
      <w:lang w:eastAsia="en-US"/>
    </w:rPr>
  </w:style>
  <w:style w:type="character" w:customStyle="1" w:styleId="HeaderChar">
    <w:name w:val="Header Char"/>
    <w:link w:val="Header"/>
    <w:uiPriority w:val="99"/>
    <w:rsid w:val="008E70B1"/>
    <w:rPr>
      <w:rFonts w:ascii="Arial" w:hAnsi="Arial"/>
      <w:sz w:val="24"/>
      <w:lang w:eastAsia="en-US"/>
    </w:rPr>
  </w:style>
  <w:style w:type="character" w:styleId="Strong">
    <w:name w:val="Strong"/>
    <w:aliases w:val="Table text"/>
    <w:qFormat/>
    <w:rsid w:val="00281441"/>
    <w:rPr>
      <w:rFonts w:ascii="Arial" w:hAnsi="Arial"/>
      <w:b w:val="0"/>
      <w:bCs/>
      <w:i w:val="0"/>
      <w:sz w:val="20"/>
      <w:lang w:val="en-US" w:eastAsia="en-US" w:bidi="ar-SA"/>
    </w:rPr>
  </w:style>
  <w:style w:type="character" w:customStyle="1" w:styleId="FooterChar">
    <w:name w:val="Footer Char"/>
    <w:link w:val="Footer"/>
    <w:rsid w:val="00A41F5D"/>
    <w:rPr>
      <w:rFonts w:ascii="Arial" w:hAnsi="Arial"/>
      <w:sz w:val="24"/>
      <w:lang w:eastAsia="en-US"/>
    </w:rPr>
  </w:style>
  <w:style w:type="character" w:styleId="PlaceholderText">
    <w:name w:val="Placeholder Text"/>
    <w:basedOn w:val="DefaultParagraphFont"/>
    <w:uiPriority w:val="99"/>
    <w:semiHidden/>
    <w:rsid w:val="0060005E"/>
    <w:rPr>
      <w:rFonts w:ascii="Arial" w:hAnsi="Arial"/>
      <w:color w:val="808080"/>
      <w:sz w:val="22"/>
      <w:lang w:val="en-US" w:eastAsia="en-US" w:bidi="ar-SA"/>
    </w:rPr>
  </w:style>
  <w:style w:type="table" w:styleId="LightList-Accent5">
    <w:name w:val="Light List Accent 5"/>
    <w:basedOn w:val="TableNormal"/>
    <w:uiPriority w:val="61"/>
    <w:rsid w:val="004227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422783"/>
    <w:rPr>
      <w:rFonts w:ascii="Arial" w:hAnsi="Arial"/>
      <w:b/>
      <w:sz w:val="24"/>
      <w:lang w:eastAsia="en-US"/>
    </w:rPr>
  </w:style>
  <w:style w:type="character" w:customStyle="1" w:styleId="Style1">
    <w:name w:val="Style1"/>
    <w:basedOn w:val="DefaultParagraphFont"/>
    <w:uiPriority w:val="1"/>
    <w:rsid w:val="00242E74"/>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972">
      <w:bodyDiv w:val="1"/>
      <w:marLeft w:val="0"/>
      <w:marRight w:val="0"/>
      <w:marTop w:val="0"/>
      <w:marBottom w:val="0"/>
      <w:divBdr>
        <w:top w:val="none" w:sz="0" w:space="0" w:color="auto"/>
        <w:left w:val="none" w:sz="0" w:space="0" w:color="auto"/>
        <w:bottom w:val="none" w:sz="0" w:space="0" w:color="auto"/>
        <w:right w:val="none" w:sz="0" w:space="0" w:color="auto"/>
      </w:divBdr>
    </w:div>
    <w:div w:id="217211347">
      <w:bodyDiv w:val="1"/>
      <w:marLeft w:val="0"/>
      <w:marRight w:val="0"/>
      <w:marTop w:val="0"/>
      <w:marBottom w:val="0"/>
      <w:divBdr>
        <w:top w:val="none" w:sz="0" w:space="0" w:color="auto"/>
        <w:left w:val="none" w:sz="0" w:space="0" w:color="auto"/>
        <w:bottom w:val="none" w:sz="0" w:space="0" w:color="auto"/>
        <w:right w:val="none" w:sz="0" w:space="0" w:color="auto"/>
      </w:divBdr>
      <w:divsChild>
        <w:div w:id="723870011">
          <w:marLeft w:val="547"/>
          <w:marRight w:val="0"/>
          <w:marTop w:val="0"/>
          <w:marBottom w:val="0"/>
          <w:divBdr>
            <w:top w:val="none" w:sz="0" w:space="0" w:color="auto"/>
            <w:left w:val="none" w:sz="0" w:space="0" w:color="auto"/>
            <w:bottom w:val="none" w:sz="0" w:space="0" w:color="auto"/>
            <w:right w:val="none" w:sz="0" w:space="0" w:color="auto"/>
          </w:divBdr>
        </w:div>
      </w:divsChild>
    </w:div>
    <w:div w:id="235214051">
      <w:bodyDiv w:val="1"/>
      <w:marLeft w:val="0"/>
      <w:marRight w:val="0"/>
      <w:marTop w:val="0"/>
      <w:marBottom w:val="0"/>
      <w:divBdr>
        <w:top w:val="none" w:sz="0" w:space="0" w:color="auto"/>
        <w:left w:val="none" w:sz="0" w:space="0" w:color="auto"/>
        <w:bottom w:val="none" w:sz="0" w:space="0" w:color="auto"/>
        <w:right w:val="none" w:sz="0" w:space="0" w:color="auto"/>
      </w:divBdr>
    </w:div>
    <w:div w:id="1014646473">
      <w:bodyDiv w:val="1"/>
      <w:marLeft w:val="0"/>
      <w:marRight w:val="0"/>
      <w:marTop w:val="0"/>
      <w:marBottom w:val="0"/>
      <w:divBdr>
        <w:top w:val="none" w:sz="0" w:space="0" w:color="auto"/>
        <w:left w:val="none" w:sz="0" w:space="0" w:color="auto"/>
        <w:bottom w:val="none" w:sz="0" w:space="0" w:color="auto"/>
        <w:right w:val="none" w:sz="0" w:space="0" w:color="auto"/>
      </w:divBdr>
    </w:div>
    <w:div w:id="1194926192">
      <w:bodyDiv w:val="1"/>
      <w:marLeft w:val="0"/>
      <w:marRight w:val="0"/>
      <w:marTop w:val="0"/>
      <w:marBottom w:val="0"/>
      <w:divBdr>
        <w:top w:val="none" w:sz="0" w:space="0" w:color="auto"/>
        <w:left w:val="none" w:sz="0" w:space="0" w:color="auto"/>
        <w:bottom w:val="none" w:sz="0" w:space="0" w:color="auto"/>
        <w:right w:val="none" w:sz="0" w:space="0" w:color="auto"/>
      </w:divBdr>
    </w:div>
    <w:div w:id="1253125117">
      <w:bodyDiv w:val="1"/>
      <w:marLeft w:val="0"/>
      <w:marRight w:val="0"/>
      <w:marTop w:val="0"/>
      <w:marBottom w:val="0"/>
      <w:divBdr>
        <w:top w:val="none" w:sz="0" w:space="0" w:color="auto"/>
        <w:left w:val="none" w:sz="0" w:space="0" w:color="auto"/>
        <w:bottom w:val="none" w:sz="0" w:space="0" w:color="auto"/>
        <w:right w:val="none" w:sz="0" w:space="0" w:color="auto"/>
      </w:divBdr>
      <w:divsChild>
        <w:div w:id="922643744">
          <w:marLeft w:val="547"/>
          <w:marRight w:val="0"/>
          <w:marTop w:val="0"/>
          <w:marBottom w:val="0"/>
          <w:divBdr>
            <w:top w:val="none" w:sz="0" w:space="0" w:color="auto"/>
            <w:left w:val="none" w:sz="0" w:space="0" w:color="auto"/>
            <w:bottom w:val="none" w:sz="0" w:space="0" w:color="auto"/>
            <w:right w:val="none" w:sz="0" w:space="0" w:color="auto"/>
          </w:divBdr>
        </w:div>
      </w:divsChild>
    </w:div>
    <w:div w:id="1500266643">
      <w:bodyDiv w:val="1"/>
      <w:marLeft w:val="0"/>
      <w:marRight w:val="0"/>
      <w:marTop w:val="0"/>
      <w:marBottom w:val="0"/>
      <w:divBdr>
        <w:top w:val="none" w:sz="0" w:space="0" w:color="auto"/>
        <w:left w:val="none" w:sz="0" w:space="0" w:color="auto"/>
        <w:bottom w:val="none" w:sz="0" w:space="0" w:color="auto"/>
        <w:right w:val="none" w:sz="0" w:space="0" w:color="auto"/>
      </w:divBdr>
    </w:div>
    <w:div w:id="1725257057">
      <w:bodyDiv w:val="1"/>
      <w:marLeft w:val="0"/>
      <w:marRight w:val="0"/>
      <w:marTop w:val="0"/>
      <w:marBottom w:val="0"/>
      <w:divBdr>
        <w:top w:val="none" w:sz="0" w:space="0" w:color="auto"/>
        <w:left w:val="none" w:sz="0" w:space="0" w:color="auto"/>
        <w:bottom w:val="none" w:sz="0" w:space="0" w:color="auto"/>
        <w:right w:val="none" w:sz="0" w:space="0" w:color="auto"/>
      </w:divBdr>
    </w:div>
    <w:div w:id="1888756488">
      <w:bodyDiv w:val="1"/>
      <w:marLeft w:val="0"/>
      <w:marRight w:val="0"/>
      <w:marTop w:val="0"/>
      <w:marBottom w:val="0"/>
      <w:divBdr>
        <w:top w:val="none" w:sz="0" w:space="0" w:color="auto"/>
        <w:left w:val="none" w:sz="0" w:space="0" w:color="auto"/>
        <w:bottom w:val="none" w:sz="0" w:space="0" w:color="auto"/>
        <w:right w:val="none" w:sz="0" w:space="0" w:color="auto"/>
      </w:divBdr>
    </w:div>
    <w:div w:id="1919753999">
      <w:bodyDiv w:val="1"/>
      <w:marLeft w:val="0"/>
      <w:marRight w:val="0"/>
      <w:marTop w:val="0"/>
      <w:marBottom w:val="0"/>
      <w:divBdr>
        <w:top w:val="none" w:sz="0" w:space="0" w:color="auto"/>
        <w:left w:val="none" w:sz="0" w:space="0" w:color="auto"/>
        <w:bottom w:val="none" w:sz="0" w:space="0" w:color="auto"/>
        <w:right w:val="none" w:sz="0" w:space="0" w:color="auto"/>
      </w:divBdr>
    </w:div>
    <w:div w:id="1982534660">
      <w:bodyDiv w:val="1"/>
      <w:marLeft w:val="0"/>
      <w:marRight w:val="0"/>
      <w:marTop w:val="0"/>
      <w:marBottom w:val="0"/>
      <w:divBdr>
        <w:top w:val="none" w:sz="0" w:space="0" w:color="auto"/>
        <w:left w:val="none" w:sz="0" w:space="0" w:color="auto"/>
        <w:bottom w:val="none" w:sz="0" w:space="0" w:color="auto"/>
        <w:right w:val="none" w:sz="0" w:space="0" w:color="auto"/>
      </w:divBdr>
    </w:div>
    <w:div w:id="203707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medway.nhs.uk\Shares\Shared\HR\Equality%20and%20Inclusion\Equality%20Standards%20Data%20Management%20Reports\WRES%20and%20WDES%202025\Workforce%20Pro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edway.nhs.uk\Shares\Shared\HR\Equality%20and%20Inclusion\Equality%20Standards%20Data%20Management%20Reports\WRES%20and%20WDES%202025\Workforce%20Profi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edway.nhs.uk\Shares\Shared\HR\Equality%20and%20Inclusion\Equality%20Standards%20Data%20Management%20Reports\WRES%20and%20WDES%202025\Workforce%20Profil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Non-Clinical - % at each Band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Sheet1!$B$45</c:f>
              <c:strCache>
                <c:ptCount val="1"/>
                <c:pt idx="0">
                  <c:v>All Other EG</c:v>
                </c:pt>
              </c:strCache>
            </c:strRef>
          </c:tx>
          <c:spPr>
            <a:solidFill>
              <a:schemeClr val="accent1"/>
            </a:solidFill>
            <a:ln>
              <a:noFill/>
            </a:ln>
            <a:effectLst/>
          </c:spPr>
          <c:invertIfNegative val="0"/>
          <c:cat>
            <c:strRef>
              <c:f>Sheet1!$A$46:$A$57</c:f>
              <c:strCache>
                <c:ptCount val="12"/>
                <c:pt idx="0">
                  <c:v>Bands 2</c:v>
                </c:pt>
                <c:pt idx="1">
                  <c:v>Bands 3</c:v>
                </c:pt>
                <c:pt idx="2">
                  <c:v>Bands 4</c:v>
                </c:pt>
                <c:pt idx="3">
                  <c:v>Bands 5</c:v>
                </c:pt>
                <c:pt idx="4">
                  <c:v>Bands 6</c:v>
                </c:pt>
                <c:pt idx="5">
                  <c:v>Bands 7</c:v>
                </c:pt>
                <c:pt idx="6">
                  <c:v>Bands 8a</c:v>
                </c:pt>
                <c:pt idx="7">
                  <c:v>Bands 8b</c:v>
                </c:pt>
                <c:pt idx="8">
                  <c:v>Bands 8c</c:v>
                </c:pt>
                <c:pt idx="9">
                  <c:v>Bands 8d</c:v>
                </c:pt>
                <c:pt idx="10">
                  <c:v>Bands 9</c:v>
                </c:pt>
                <c:pt idx="11">
                  <c:v>VSM</c:v>
                </c:pt>
              </c:strCache>
            </c:strRef>
          </c:cat>
          <c:val>
            <c:numRef>
              <c:f>Sheet1!$B$46:$B$57</c:f>
              <c:numCache>
                <c:formatCode>General</c:formatCode>
                <c:ptCount val="12"/>
                <c:pt idx="0">
                  <c:v>147</c:v>
                </c:pt>
                <c:pt idx="1">
                  <c:v>43</c:v>
                </c:pt>
                <c:pt idx="2">
                  <c:v>49</c:v>
                </c:pt>
                <c:pt idx="3">
                  <c:v>25</c:v>
                </c:pt>
                <c:pt idx="4">
                  <c:v>22</c:v>
                </c:pt>
                <c:pt idx="5">
                  <c:v>18</c:v>
                </c:pt>
                <c:pt idx="6">
                  <c:v>9</c:v>
                </c:pt>
                <c:pt idx="7">
                  <c:v>5</c:v>
                </c:pt>
                <c:pt idx="8">
                  <c:v>3</c:v>
                </c:pt>
                <c:pt idx="9">
                  <c:v>2</c:v>
                </c:pt>
                <c:pt idx="10">
                  <c:v>0</c:v>
                </c:pt>
                <c:pt idx="11">
                  <c:v>3</c:v>
                </c:pt>
              </c:numCache>
            </c:numRef>
          </c:val>
          <c:extLst>
            <c:ext xmlns:c16="http://schemas.microsoft.com/office/drawing/2014/chart" uri="{C3380CC4-5D6E-409C-BE32-E72D297353CC}">
              <c16:uniqueId val="{00000000-A163-4E96-9AB4-295656F84F33}"/>
            </c:ext>
          </c:extLst>
        </c:ser>
        <c:ser>
          <c:idx val="1"/>
          <c:order val="1"/>
          <c:tx>
            <c:strRef>
              <c:f>Sheet1!$C$45</c:f>
              <c:strCache>
                <c:ptCount val="1"/>
                <c:pt idx="0">
                  <c:v>White</c:v>
                </c:pt>
              </c:strCache>
            </c:strRef>
          </c:tx>
          <c:spPr>
            <a:solidFill>
              <a:schemeClr val="accent2"/>
            </a:solidFill>
            <a:ln>
              <a:noFill/>
            </a:ln>
            <a:effectLst/>
          </c:spPr>
          <c:invertIfNegative val="0"/>
          <c:cat>
            <c:strRef>
              <c:f>Sheet1!$A$46:$A$57</c:f>
              <c:strCache>
                <c:ptCount val="12"/>
                <c:pt idx="0">
                  <c:v>Bands 2</c:v>
                </c:pt>
                <c:pt idx="1">
                  <c:v>Bands 3</c:v>
                </c:pt>
                <c:pt idx="2">
                  <c:v>Bands 4</c:v>
                </c:pt>
                <c:pt idx="3">
                  <c:v>Bands 5</c:v>
                </c:pt>
                <c:pt idx="4">
                  <c:v>Bands 6</c:v>
                </c:pt>
                <c:pt idx="5">
                  <c:v>Bands 7</c:v>
                </c:pt>
                <c:pt idx="6">
                  <c:v>Bands 8a</c:v>
                </c:pt>
                <c:pt idx="7">
                  <c:v>Bands 8b</c:v>
                </c:pt>
                <c:pt idx="8">
                  <c:v>Bands 8c</c:v>
                </c:pt>
                <c:pt idx="9">
                  <c:v>Bands 8d</c:v>
                </c:pt>
                <c:pt idx="10">
                  <c:v>Bands 9</c:v>
                </c:pt>
                <c:pt idx="11">
                  <c:v>VSM</c:v>
                </c:pt>
              </c:strCache>
            </c:strRef>
          </c:cat>
          <c:val>
            <c:numRef>
              <c:f>Sheet1!$C$46:$C$57</c:f>
              <c:numCache>
                <c:formatCode>General</c:formatCode>
                <c:ptCount val="12"/>
                <c:pt idx="0">
                  <c:v>506</c:v>
                </c:pt>
                <c:pt idx="1">
                  <c:v>154</c:v>
                </c:pt>
                <c:pt idx="2">
                  <c:v>212</c:v>
                </c:pt>
                <c:pt idx="3">
                  <c:v>95</c:v>
                </c:pt>
                <c:pt idx="4">
                  <c:v>82</c:v>
                </c:pt>
                <c:pt idx="5">
                  <c:v>79</c:v>
                </c:pt>
                <c:pt idx="6">
                  <c:v>33</c:v>
                </c:pt>
                <c:pt idx="7">
                  <c:v>23</c:v>
                </c:pt>
                <c:pt idx="8">
                  <c:v>13</c:v>
                </c:pt>
                <c:pt idx="9">
                  <c:v>12</c:v>
                </c:pt>
                <c:pt idx="10">
                  <c:v>5</c:v>
                </c:pt>
                <c:pt idx="11">
                  <c:v>14</c:v>
                </c:pt>
              </c:numCache>
            </c:numRef>
          </c:val>
          <c:extLst>
            <c:ext xmlns:c16="http://schemas.microsoft.com/office/drawing/2014/chart" uri="{C3380CC4-5D6E-409C-BE32-E72D297353CC}">
              <c16:uniqueId val="{00000001-A163-4E96-9AB4-295656F84F33}"/>
            </c:ext>
          </c:extLst>
        </c:ser>
        <c:ser>
          <c:idx val="2"/>
          <c:order val="2"/>
          <c:tx>
            <c:strRef>
              <c:f>Sheet1!$D$45</c:f>
              <c:strCache>
                <c:ptCount val="1"/>
                <c:pt idx="0">
                  <c:v>Not known/nul</c:v>
                </c:pt>
              </c:strCache>
            </c:strRef>
          </c:tx>
          <c:spPr>
            <a:solidFill>
              <a:schemeClr val="accent3"/>
            </a:solidFill>
            <a:ln>
              <a:noFill/>
            </a:ln>
            <a:effectLst/>
          </c:spPr>
          <c:invertIfNegative val="0"/>
          <c:cat>
            <c:strRef>
              <c:f>Sheet1!$A$46:$A$57</c:f>
              <c:strCache>
                <c:ptCount val="12"/>
                <c:pt idx="0">
                  <c:v>Bands 2</c:v>
                </c:pt>
                <c:pt idx="1">
                  <c:v>Bands 3</c:v>
                </c:pt>
                <c:pt idx="2">
                  <c:v>Bands 4</c:v>
                </c:pt>
                <c:pt idx="3">
                  <c:v>Bands 5</c:v>
                </c:pt>
                <c:pt idx="4">
                  <c:v>Bands 6</c:v>
                </c:pt>
                <c:pt idx="5">
                  <c:v>Bands 7</c:v>
                </c:pt>
                <c:pt idx="6">
                  <c:v>Bands 8a</c:v>
                </c:pt>
                <c:pt idx="7">
                  <c:v>Bands 8b</c:v>
                </c:pt>
                <c:pt idx="8">
                  <c:v>Bands 8c</c:v>
                </c:pt>
                <c:pt idx="9">
                  <c:v>Bands 8d</c:v>
                </c:pt>
                <c:pt idx="10">
                  <c:v>Bands 9</c:v>
                </c:pt>
                <c:pt idx="11">
                  <c:v>VSM</c:v>
                </c:pt>
              </c:strCache>
            </c:strRef>
          </c:cat>
          <c:val>
            <c:numRef>
              <c:f>Sheet1!$D$46:$D$57</c:f>
              <c:numCache>
                <c:formatCode>General</c:formatCode>
                <c:ptCount val="12"/>
                <c:pt idx="0">
                  <c:v>51</c:v>
                </c:pt>
                <c:pt idx="1">
                  <c:v>14</c:v>
                </c:pt>
                <c:pt idx="2">
                  <c:v>9</c:v>
                </c:pt>
                <c:pt idx="3">
                  <c:v>6</c:v>
                </c:pt>
                <c:pt idx="4">
                  <c:v>5</c:v>
                </c:pt>
                <c:pt idx="5">
                  <c:v>2</c:v>
                </c:pt>
                <c:pt idx="6">
                  <c:v>3</c:v>
                </c:pt>
                <c:pt idx="7">
                  <c:v>4</c:v>
                </c:pt>
                <c:pt idx="8">
                  <c:v>1</c:v>
                </c:pt>
                <c:pt idx="9">
                  <c:v>0</c:v>
                </c:pt>
                <c:pt idx="10">
                  <c:v>0</c:v>
                </c:pt>
                <c:pt idx="11">
                  <c:v>1</c:v>
                </c:pt>
              </c:numCache>
            </c:numRef>
          </c:val>
          <c:extLst>
            <c:ext xmlns:c16="http://schemas.microsoft.com/office/drawing/2014/chart" uri="{C3380CC4-5D6E-409C-BE32-E72D297353CC}">
              <c16:uniqueId val="{00000002-A163-4E96-9AB4-295656F84F33}"/>
            </c:ext>
          </c:extLst>
        </c:ser>
        <c:dLbls>
          <c:showLegendKey val="0"/>
          <c:showVal val="0"/>
          <c:showCatName val="0"/>
          <c:showSerName val="0"/>
          <c:showPercent val="0"/>
          <c:showBubbleSize val="0"/>
        </c:dLbls>
        <c:gapWidth val="150"/>
        <c:overlap val="100"/>
        <c:axId val="705633896"/>
        <c:axId val="705625368"/>
      </c:barChart>
      <c:catAx>
        <c:axId val="705633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625368"/>
        <c:crosses val="autoZero"/>
        <c:auto val="1"/>
        <c:lblAlgn val="ctr"/>
        <c:lblOffset val="100"/>
        <c:noMultiLvlLbl val="0"/>
      </c:catAx>
      <c:valAx>
        <c:axId val="705625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633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Clinical - % at each Band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Sheet1!$B$60</c:f>
              <c:strCache>
                <c:ptCount val="1"/>
                <c:pt idx="0">
                  <c:v>All Other EG</c:v>
                </c:pt>
              </c:strCache>
            </c:strRef>
          </c:tx>
          <c:spPr>
            <a:solidFill>
              <a:schemeClr val="accent1"/>
            </a:solidFill>
            <a:ln>
              <a:noFill/>
            </a:ln>
            <a:effectLst/>
          </c:spPr>
          <c:invertIfNegative val="0"/>
          <c:cat>
            <c:strRef>
              <c:f>Sheet1!$A$61:$A$72</c:f>
              <c:strCache>
                <c:ptCount val="12"/>
                <c:pt idx="0">
                  <c:v>Bands 2</c:v>
                </c:pt>
                <c:pt idx="1">
                  <c:v>Bands 3</c:v>
                </c:pt>
                <c:pt idx="2">
                  <c:v>Bands 4</c:v>
                </c:pt>
                <c:pt idx="3">
                  <c:v>Bands 5</c:v>
                </c:pt>
                <c:pt idx="4">
                  <c:v>Bands 6</c:v>
                </c:pt>
                <c:pt idx="5">
                  <c:v>Bands 7</c:v>
                </c:pt>
                <c:pt idx="6">
                  <c:v>Bands 8a</c:v>
                </c:pt>
                <c:pt idx="7">
                  <c:v>Bands 8b</c:v>
                </c:pt>
                <c:pt idx="8">
                  <c:v>Bands 8c</c:v>
                </c:pt>
                <c:pt idx="9">
                  <c:v>Bands 8d</c:v>
                </c:pt>
                <c:pt idx="10">
                  <c:v>Bands 9</c:v>
                </c:pt>
                <c:pt idx="11">
                  <c:v>VSM</c:v>
                </c:pt>
              </c:strCache>
            </c:strRef>
          </c:cat>
          <c:val>
            <c:numRef>
              <c:f>Sheet1!$B$61:$B$72</c:f>
              <c:numCache>
                <c:formatCode>General</c:formatCode>
                <c:ptCount val="12"/>
                <c:pt idx="0">
                  <c:v>102</c:v>
                </c:pt>
                <c:pt idx="1">
                  <c:v>292</c:v>
                </c:pt>
                <c:pt idx="2">
                  <c:v>20</c:v>
                </c:pt>
                <c:pt idx="3">
                  <c:v>515</c:v>
                </c:pt>
                <c:pt idx="4">
                  <c:v>386</c:v>
                </c:pt>
                <c:pt idx="5">
                  <c:v>126</c:v>
                </c:pt>
                <c:pt idx="6">
                  <c:v>23</c:v>
                </c:pt>
                <c:pt idx="7">
                  <c:v>9</c:v>
                </c:pt>
                <c:pt idx="8">
                  <c:v>3</c:v>
                </c:pt>
                <c:pt idx="9">
                  <c:v>0</c:v>
                </c:pt>
                <c:pt idx="10">
                  <c:v>0</c:v>
                </c:pt>
                <c:pt idx="11">
                  <c:v>1</c:v>
                </c:pt>
              </c:numCache>
            </c:numRef>
          </c:val>
          <c:extLst>
            <c:ext xmlns:c16="http://schemas.microsoft.com/office/drawing/2014/chart" uri="{C3380CC4-5D6E-409C-BE32-E72D297353CC}">
              <c16:uniqueId val="{00000000-3268-47E3-B2EA-EB24653127E1}"/>
            </c:ext>
          </c:extLst>
        </c:ser>
        <c:ser>
          <c:idx val="1"/>
          <c:order val="1"/>
          <c:tx>
            <c:strRef>
              <c:f>Sheet1!$C$60</c:f>
              <c:strCache>
                <c:ptCount val="1"/>
                <c:pt idx="0">
                  <c:v>White</c:v>
                </c:pt>
              </c:strCache>
            </c:strRef>
          </c:tx>
          <c:spPr>
            <a:solidFill>
              <a:schemeClr val="accent2"/>
            </a:solidFill>
            <a:ln>
              <a:noFill/>
            </a:ln>
            <a:effectLst/>
          </c:spPr>
          <c:invertIfNegative val="0"/>
          <c:cat>
            <c:strRef>
              <c:f>Sheet1!$A$61:$A$72</c:f>
              <c:strCache>
                <c:ptCount val="12"/>
                <c:pt idx="0">
                  <c:v>Bands 2</c:v>
                </c:pt>
                <c:pt idx="1">
                  <c:v>Bands 3</c:v>
                </c:pt>
                <c:pt idx="2">
                  <c:v>Bands 4</c:v>
                </c:pt>
                <c:pt idx="3">
                  <c:v>Bands 5</c:v>
                </c:pt>
                <c:pt idx="4">
                  <c:v>Bands 6</c:v>
                </c:pt>
                <c:pt idx="5">
                  <c:v>Bands 7</c:v>
                </c:pt>
                <c:pt idx="6">
                  <c:v>Bands 8a</c:v>
                </c:pt>
                <c:pt idx="7">
                  <c:v>Bands 8b</c:v>
                </c:pt>
                <c:pt idx="8">
                  <c:v>Bands 8c</c:v>
                </c:pt>
                <c:pt idx="9">
                  <c:v>Bands 8d</c:v>
                </c:pt>
                <c:pt idx="10">
                  <c:v>Bands 9</c:v>
                </c:pt>
                <c:pt idx="11">
                  <c:v>VSM</c:v>
                </c:pt>
              </c:strCache>
            </c:strRef>
          </c:cat>
          <c:val>
            <c:numRef>
              <c:f>Sheet1!$C$61:$C$72</c:f>
              <c:numCache>
                <c:formatCode>General</c:formatCode>
                <c:ptCount val="12"/>
                <c:pt idx="0">
                  <c:v>142</c:v>
                </c:pt>
                <c:pt idx="1">
                  <c:v>373</c:v>
                </c:pt>
                <c:pt idx="2">
                  <c:v>110</c:v>
                </c:pt>
                <c:pt idx="3">
                  <c:v>205</c:v>
                </c:pt>
                <c:pt idx="4">
                  <c:v>370</c:v>
                </c:pt>
                <c:pt idx="5">
                  <c:v>258</c:v>
                </c:pt>
                <c:pt idx="6">
                  <c:v>77</c:v>
                </c:pt>
                <c:pt idx="7">
                  <c:v>17</c:v>
                </c:pt>
                <c:pt idx="8">
                  <c:v>6</c:v>
                </c:pt>
                <c:pt idx="9">
                  <c:v>0</c:v>
                </c:pt>
                <c:pt idx="10">
                  <c:v>4</c:v>
                </c:pt>
                <c:pt idx="11">
                  <c:v>1</c:v>
                </c:pt>
              </c:numCache>
            </c:numRef>
          </c:val>
          <c:extLst>
            <c:ext xmlns:c16="http://schemas.microsoft.com/office/drawing/2014/chart" uri="{C3380CC4-5D6E-409C-BE32-E72D297353CC}">
              <c16:uniqueId val="{00000001-3268-47E3-B2EA-EB24653127E1}"/>
            </c:ext>
          </c:extLst>
        </c:ser>
        <c:ser>
          <c:idx val="2"/>
          <c:order val="2"/>
          <c:tx>
            <c:strRef>
              <c:f>Sheet1!$D$60</c:f>
              <c:strCache>
                <c:ptCount val="1"/>
                <c:pt idx="0">
                  <c:v>Not known/nul</c:v>
                </c:pt>
              </c:strCache>
            </c:strRef>
          </c:tx>
          <c:spPr>
            <a:solidFill>
              <a:schemeClr val="accent3"/>
            </a:solidFill>
            <a:ln>
              <a:noFill/>
            </a:ln>
            <a:effectLst/>
          </c:spPr>
          <c:invertIfNegative val="0"/>
          <c:cat>
            <c:strRef>
              <c:f>Sheet1!$A$61:$A$72</c:f>
              <c:strCache>
                <c:ptCount val="12"/>
                <c:pt idx="0">
                  <c:v>Bands 2</c:v>
                </c:pt>
                <c:pt idx="1">
                  <c:v>Bands 3</c:v>
                </c:pt>
                <c:pt idx="2">
                  <c:v>Bands 4</c:v>
                </c:pt>
                <c:pt idx="3">
                  <c:v>Bands 5</c:v>
                </c:pt>
                <c:pt idx="4">
                  <c:v>Bands 6</c:v>
                </c:pt>
                <c:pt idx="5">
                  <c:v>Bands 7</c:v>
                </c:pt>
                <c:pt idx="6">
                  <c:v>Bands 8a</c:v>
                </c:pt>
                <c:pt idx="7">
                  <c:v>Bands 8b</c:v>
                </c:pt>
                <c:pt idx="8">
                  <c:v>Bands 8c</c:v>
                </c:pt>
                <c:pt idx="9">
                  <c:v>Bands 8d</c:v>
                </c:pt>
                <c:pt idx="10">
                  <c:v>Bands 9</c:v>
                </c:pt>
                <c:pt idx="11">
                  <c:v>VSM</c:v>
                </c:pt>
              </c:strCache>
            </c:strRef>
          </c:cat>
          <c:val>
            <c:numRef>
              <c:f>Sheet1!$D$61:$D$72</c:f>
              <c:numCache>
                <c:formatCode>General</c:formatCode>
                <c:ptCount val="12"/>
                <c:pt idx="0">
                  <c:v>8</c:v>
                </c:pt>
                <c:pt idx="1">
                  <c:v>43</c:v>
                </c:pt>
                <c:pt idx="2">
                  <c:v>14</c:v>
                </c:pt>
                <c:pt idx="3">
                  <c:v>98</c:v>
                </c:pt>
                <c:pt idx="4">
                  <c:v>36</c:v>
                </c:pt>
                <c:pt idx="5">
                  <c:v>20</c:v>
                </c:pt>
                <c:pt idx="6">
                  <c:v>3</c:v>
                </c:pt>
                <c:pt idx="7">
                  <c:v>2</c:v>
                </c:pt>
                <c:pt idx="8">
                  <c:v>3</c:v>
                </c:pt>
                <c:pt idx="9">
                  <c:v>1</c:v>
                </c:pt>
                <c:pt idx="10">
                  <c:v>0</c:v>
                </c:pt>
                <c:pt idx="11">
                  <c:v>0</c:v>
                </c:pt>
              </c:numCache>
            </c:numRef>
          </c:val>
          <c:extLst>
            <c:ext xmlns:c16="http://schemas.microsoft.com/office/drawing/2014/chart" uri="{C3380CC4-5D6E-409C-BE32-E72D297353CC}">
              <c16:uniqueId val="{00000002-3268-47E3-B2EA-EB24653127E1}"/>
            </c:ext>
          </c:extLst>
        </c:ser>
        <c:dLbls>
          <c:showLegendKey val="0"/>
          <c:showVal val="0"/>
          <c:showCatName val="0"/>
          <c:showSerName val="0"/>
          <c:showPercent val="0"/>
          <c:showBubbleSize val="0"/>
        </c:dLbls>
        <c:gapWidth val="150"/>
        <c:overlap val="100"/>
        <c:axId val="705632584"/>
        <c:axId val="705633240"/>
      </c:barChart>
      <c:catAx>
        <c:axId val="705632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633240"/>
        <c:crosses val="autoZero"/>
        <c:auto val="1"/>
        <c:lblAlgn val="ctr"/>
        <c:lblOffset val="100"/>
        <c:noMultiLvlLbl val="0"/>
      </c:catAx>
      <c:valAx>
        <c:axId val="705633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632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Medical and Dental - % at each grade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Sheet1!$B$75</c:f>
              <c:strCache>
                <c:ptCount val="1"/>
                <c:pt idx="0">
                  <c:v>All Other EG</c:v>
                </c:pt>
              </c:strCache>
            </c:strRef>
          </c:tx>
          <c:spPr>
            <a:solidFill>
              <a:schemeClr val="accent1"/>
            </a:solidFill>
            <a:ln>
              <a:noFill/>
            </a:ln>
            <a:effectLst/>
          </c:spPr>
          <c:invertIfNegative val="0"/>
          <c:cat>
            <c:strRef>
              <c:f>Sheet1!$A$76:$A$78</c:f>
              <c:strCache>
                <c:ptCount val="3"/>
                <c:pt idx="0">
                  <c:v>Medical &amp; Dental Staff, Consultants</c:v>
                </c:pt>
                <c:pt idx="1">
                  <c:v>Medical &amp; Dental Staff, Non-Consultants career grade</c:v>
                </c:pt>
                <c:pt idx="2">
                  <c:v>Medical &amp; Dental Staff, Medical and dental trainee grades</c:v>
                </c:pt>
              </c:strCache>
            </c:strRef>
          </c:cat>
          <c:val>
            <c:numRef>
              <c:f>Sheet1!$B$76:$B$78</c:f>
              <c:numCache>
                <c:formatCode>General</c:formatCode>
                <c:ptCount val="3"/>
                <c:pt idx="0">
                  <c:v>181</c:v>
                </c:pt>
                <c:pt idx="1">
                  <c:v>71</c:v>
                </c:pt>
                <c:pt idx="2">
                  <c:v>260</c:v>
                </c:pt>
              </c:numCache>
            </c:numRef>
          </c:val>
          <c:extLst>
            <c:ext xmlns:c16="http://schemas.microsoft.com/office/drawing/2014/chart" uri="{C3380CC4-5D6E-409C-BE32-E72D297353CC}">
              <c16:uniqueId val="{00000000-07CE-4EF6-B463-2A1BC8063A46}"/>
            </c:ext>
          </c:extLst>
        </c:ser>
        <c:ser>
          <c:idx val="1"/>
          <c:order val="1"/>
          <c:tx>
            <c:strRef>
              <c:f>Sheet1!$C$75</c:f>
              <c:strCache>
                <c:ptCount val="1"/>
                <c:pt idx="0">
                  <c:v>White</c:v>
                </c:pt>
              </c:strCache>
            </c:strRef>
          </c:tx>
          <c:spPr>
            <a:solidFill>
              <a:schemeClr val="accent2"/>
            </a:solidFill>
            <a:ln>
              <a:noFill/>
            </a:ln>
            <a:effectLst/>
          </c:spPr>
          <c:invertIfNegative val="0"/>
          <c:cat>
            <c:strRef>
              <c:f>Sheet1!$A$76:$A$78</c:f>
              <c:strCache>
                <c:ptCount val="3"/>
                <c:pt idx="0">
                  <c:v>Medical &amp; Dental Staff, Consultants</c:v>
                </c:pt>
                <c:pt idx="1">
                  <c:v>Medical &amp; Dental Staff, Non-Consultants career grade</c:v>
                </c:pt>
                <c:pt idx="2">
                  <c:v>Medical &amp; Dental Staff, Medical and dental trainee grades</c:v>
                </c:pt>
              </c:strCache>
            </c:strRef>
          </c:cat>
          <c:val>
            <c:numRef>
              <c:f>Sheet1!$C$76:$C$78</c:f>
              <c:numCache>
                <c:formatCode>General</c:formatCode>
                <c:ptCount val="3"/>
                <c:pt idx="0">
                  <c:v>69</c:v>
                </c:pt>
                <c:pt idx="1">
                  <c:v>14</c:v>
                </c:pt>
                <c:pt idx="2">
                  <c:v>67</c:v>
                </c:pt>
              </c:numCache>
            </c:numRef>
          </c:val>
          <c:extLst>
            <c:ext xmlns:c16="http://schemas.microsoft.com/office/drawing/2014/chart" uri="{C3380CC4-5D6E-409C-BE32-E72D297353CC}">
              <c16:uniqueId val="{00000001-07CE-4EF6-B463-2A1BC8063A46}"/>
            </c:ext>
          </c:extLst>
        </c:ser>
        <c:ser>
          <c:idx val="2"/>
          <c:order val="2"/>
          <c:tx>
            <c:strRef>
              <c:f>Sheet1!$D$75</c:f>
              <c:strCache>
                <c:ptCount val="1"/>
                <c:pt idx="0">
                  <c:v>Not known/nul</c:v>
                </c:pt>
              </c:strCache>
            </c:strRef>
          </c:tx>
          <c:spPr>
            <a:solidFill>
              <a:schemeClr val="accent3"/>
            </a:solidFill>
            <a:ln>
              <a:noFill/>
            </a:ln>
            <a:effectLst/>
          </c:spPr>
          <c:invertIfNegative val="0"/>
          <c:cat>
            <c:strRef>
              <c:f>Sheet1!$A$76:$A$78</c:f>
              <c:strCache>
                <c:ptCount val="3"/>
                <c:pt idx="0">
                  <c:v>Medical &amp; Dental Staff, Consultants</c:v>
                </c:pt>
                <c:pt idx="1">
                  <c:v>Medical &amp; Dental Staff, Non-Consultants career grade</c:v>
                </c:pt>
                <c:pt idx="2">
                  <c:v>Medical &amp; Dental Staff, Medical and dental trainee grades</c:v>
                </c:pt>
              </c:strCache>
            </c:strRef>
          </c:cat>
          <c:val>
            <c:numRef>
              <c:f>Sheet1!$D$76:$D$78</c:f>
              <c:numCache>
                <c:formatCode>General</c:formatCode>
                <c:ptCount val="3"/>
                <c:pt idx="0">
                  <c:v>24</c:v>
                </c:pt>
                <c:pt idx="1">
                  <c:v>10</c:v>
                </c:pt>
                <c:pt idx="2">
                  <c:v>148</c:v>
                </c:pt>
              </c:numCache>
            </c:numRef>
          </c:val>
          <c:extLst>
            <c:ext xmlns:c16="http://schemas.microsoft.com/office/drawing/2014/chart" uri="{C3380CC4-5D6E-409C-BE32-E72D297353CC}">
              <c16:uniqueId val="{00000002-07CE-4EF6-B463-2A1BC8063A46}"/>
            </c:ext>
          </c:extLst>
        </c:ser>
        <c:dLbls>
          <c:showLegendKey val="0"/>
          <c:showVal val="0"/>
          <c:showCatName val="0"/>
          <c:showSerName val="0"/>
          <c:showPercent val="0"/>
          <c:showBubbleSize val="0"/>
        </c:dLbls>
        <c:gapWidth val="150"/>
        <c:overlap val="100"/>
        <c:axId val="709748784"/>
        <c:axId val="709749112"/>
      </c:barChart>
      <c:catAx>
        <c:axId val="70974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749112"/>
        <c:crosses val="autoZero"/>
        <c:auto val="1"/>
        <c:lblAlgn val="ctr"/>
        <c:lblOffset val="100"/>
        <c:noMultiLvlLbl val="0"/>
      </c:catAx>
      <c:valAx>
        <c:axId val="709749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74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A560F-8336-4701-9C47-20BA2895CF99}">
  <ds:schemaRefs>
    <ds:schemaRef ds:uri="http://schemas.openxmlformats.org/officeDocument/2006/bibliography"/>
  </ds:schemaRefs>
</ds:datastoreItem>
</file>

<file path=customXml/itemProps2.xml><?xml version="1.0" encoding="utf-8"?>
<ds:datastoreItem xmlns:ds="http://schemas.openxmlformats.org/officeDocument/2006/customXml" ds:itemID="{4839F984-CDC2-412D-9B44-8E4928E6C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7573CD-162B-4367-980E-1A025122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7477C8-4E21-4B08-88E9-85494467C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Mandated EDI Reports</vt:lpstr>
    </vt:vector>
  </TitlesOfParts>
  <Company>Kent &amp; Medway HIS</Company>
  <LinksUpToDate>false</LinksUpToDate>
  <CharactersWithSpaces>6584</CharactersWithSpaces>
  <SharedDoc>false</SharedDoc>
  <HLinks>
    <vt:vector size="78" baseType="variant">
      <vt:variant>
        <vt:i4>7209021</vt:i4>
      </vt:variant>
      <vt:variant>
        <vt:i4>66</vt:i4>
      </vt:variant>
      <vt:variant>
        <vt:i4>0</vt:i4>
      </vt:variant>
      <vt:variant>
        <vt:i4>5</vt:i4>
      </vt:variant>
      <vt:variant>
        <vt:lpwstr>http://www.medway.nhs.uk/our-foundation-trust/publications/equality-and-diversity/equality-impact-assessments/</vt:lpwstr>
      </vt:variant>
      <vt:variant>
        <vt:lpwstr/>
      </vt:variant>
      <vt:variant>
        <vt:i4>1966133</vt:i4>
      </vt:variant>
      <vt:variant>
        <vt:i4>59</vt:i4>
      </vt:variant>
      <vt:variant>
        <vt:i4>0</vt:i4>
      </vt:variant>
      <vt:variant>
        <vt:i4>5</vt:i4>
      </vt:variant>
      <vt:variant>
        <vt:lpwstr/>
      </vt:variant>
      <vt:variant>
        <vt:lpwstr>_Toc450729326</vt:lpwstr>
      </vt:variant>
      <vt:variant>
        <vt:i4>1966133</vt:i4>
      </vt:variant>
      <vt:variant>
        <vt:i4>53</vt:i4>
      </vt:variant>
      <vt:variant>
        <vt:i4>0</vt:i4>
      </vt:variant>
      <vt:variant>
        <vt:i4>5</vt:i4>
      </vt:variant>
      <vt:variant>
        <vt:lpwstr/>
      </vt:variant>
      <vt:variant>
        <vt:lpwstr>_Toc450729325</vt:lpwstr>
      </vt:variant>
      <vt:variant>
        <vt:i4>1966133</vt:i4>
      </vt:variant>
      <vt:variant>
        <vt:i4>47</vt:i4>
      </vt:variant>
      <vt:variant>
        <vt:i4>0</vt:i4>
      </vt:variant>
      <vt:variant>
        <vt:i4>5</vt:i4>
      </vt:variant>
      <vt:variant>
        <vt:lpwstr/>
      </vt:variant>
      <vt:variant>
        <vt:lpwstr>_Toc450729324</vt:lpwstr>
      </vt:variant>
      <vt:variant>
        <vt:i4>1966133</vt:i4>
      </vt:variant>
      <vt:variant>
        <vt:i4>41</vt:i4>
      </vt:variant>
      <vt:variant>
        <vt:i4>0</vt:i4>
      </vt:variant>
      <vt:variant>
        <vt:i4>5</vt:i4>
      </vt:variant>
      <vt:variant>
        <vt:lpwstr/>
      </vt:variant>
      <vt:variant>
        <vt:lpwstr>_Toc450729323</vt:lpwstr>
      </vt:variant>
      <vt:variant>
        <vt:i4>1966133</vt:i4>
      </vt:variant>
      <vt:variant>
        <vt:i4>35</vt:i4>
      </vt:variant>
      <vt:variant>
        <vt:i4>0</vt:i4>
      </vt:variant>
      <vt:variant>
        <vt:i4>5</vt:i4>
      </vt:variant>
      <vt:variant>
        <vt:lpwstr/>
      </vt:variant>
      <vt:variant>
        <vt:lpwstr>_Toc450729322</vt:lpwstr>
      </vt:variant>
      <vt:variant>
        <vt:i4>1966133</vt:i4>
      </vt:variant>
      <vt:variant>
        <vt:i4>29</vt:i4>
      </vt:variant>
      <vt:variant>
        <vt:i4>0</vt:i4>
      </vt:variant>
      <vt:variant>
        <vt:i4>5</vt:i4>
      </vt:variant>
      <vt:variant>
        <vt:lpwstr/>
      </vt:variant>
      <vt:variant>
        <vt:lpwstr>_Toc450729321</vt:lpwstr>
      </vt:variant>
      <vt:variant>
        <vt:i4>1966133</vt:i4>
      </vt:variant>
      <vt:variant>
        <vt:i4>23</vt:i4>
      </vt:variant>
      <vt:variant>
        <vt:i4>0</vt:i4>
      </vt:variant>
      <vt:variant>
        <vt:i4>5</vt:i4>
      </vt:variant>
      <vt:variant>
        <vt:lpwstr/>
      </vt:variant>
      <vt:variant>
        <vt:lpwstr>_Toc450729320</vt:lpwstr>
      </vt:variant>
      <vt:variant>
        <vt:i4>1900597</vt:i4>
      </vt:variant>
      <vt:variant>
        <vt:i4>17</vt:i4>
      </vt:variant>
      <vt:variant>
        <vt:i4>0</vt:i4>
      </vt:variant>
      <vt:variant>
        <vt:i4>5</vt:i4>
      </vt:variant>
      <vt:variant>
        <vt:lpwstr/>
      </vt:variant>
      <vt:variant>
        <vt:lpwstr>_Toc450729319</vt:lpwstr>
      </vt:variant>
      <vt:variant>
        <vt:i4>1900597</vt:i4>
      </vt:variant>
      <vt:variant>
        <vt:i4>11</vt:i4>
      </vt:variant>
      <vt:variant>
        <vt:i4>0</vt:i4>
      </vt:variant>
      <vt:variant>
        <vt:i4>5</vt:i4>
      </vt:variant>
      <vt:variant>
        <vt:lpwstr/>
      </vt:variant>
      <vt:variant>
        <vt:lpwstr>_Toc450729318</vt:lpwstr>
      </vt:variant>
      <vt:variant>
        <vt:i4>1900597</vt:i4>
      </vt:variant>
      <vt:variant>
        <vt:i4>5</vt:i4>
      </vt:variant>
      <vt:variant>
        <vt:i4>0</vt:i4>
      </vt:variant>
      <vt:variant>
        <vt:i4>5</vt:i4>
      </vt:variant>
      <vt:variant>
        <vt:lpwstr/>
      </vt:variant>
      <vt:variant>
        <vt:lpwstr>_Toc450729317</vt:lpwstr>
      </vt:variant>
      <vt:variant>
        <vt:i4>6946902</vt:i4>
      </vt:variant>
      <vt:variant>
        <vt:i4>2278</vt:i4>
      </vt:variant>
      <vt:variant>
        <vt:i4>1025</vt:i4>
      </vt:variant>
      <vt:variant>
        <vt:i4>1</vt:i4>
      </vt:variant>
      <vt:variant>
        <vt:lpwstr>cid:image009.png@01D1A146.572D8A40</vt:lpwstr>
      </vt:variant>
      <vt:variant>
        <vt:lpwstr/>
      </vt:variant>
      <vt:variant>
        <vt:i4>6946902</vt:i4>
      </vt:variant>
      <vt:variant>
        <vt:i4>-1</vt:i4>
      </vt:variant>
      <vt:variant>
        <vt:i4>2056</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Mandated EDI Reports</dc:title>
  <dc:subject>People Committee</dc:subject>
  <dc:creator>Alister McClure</dc:creator>
  <cp:lastModifiedBy>LEE, Nina (MEDWAY NHS FOUNDATION TRUST)</cp:lastModifiedBy>
  <cp:revision>4</cp:revision>
  <cp:lastPrinted>2007-07-05T10:17:00Z</cp:lastPrinted>
  <dcterms:created xsi:type="dcterms:W3CDTF">2025-10-31T16:21:00Z</dcterms:created>
  <dcterms:modified xsi:type="dcterms:W3CDTF">2025-11-03T10:44:00Z</dcterms:modified>
</cp:coreProperties>
</file>